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09A1B4" w14:textId="3E66CBEA" w:rsidR="00894F59" w:rsidRDefault="00986020" w:rsidP="005234B0">
      <w:r>
        <w:rPr>
          <w:noProof/>
        </w:rPr>
        <w:drawing>
          <wp:anchor distT="0" distB="0" distL="114300" distR="114300" simplePos="0" relativeHeight="251658240" behindDoc="1" locked="0" layoutInCell="1" allowOverlap="1" wp14:anchorId="113CB9E6" wp14:editId="1D5F3C11">
            <wp:simplePos x="0" y="0"/>
            <wp:positionH relativeFrom="column">
              <wp:posOffset>1295400</wp:posOffset>
            </wp:positionH>
            <wp:positionV relativeFrom="paragraph">
              <wp:posOffset>-424180</wp:posOffset>
            </wp:positionV>
            <wp:extent cx="3152775" cy="1751386"/>
            <wp:effectExtent l="0" t="0" r="0" b="1270"/>
            <wp:wrapNone/>
            <wp:docPr id="1746320678" name="Picture 1" descr="A black and yello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6320678" name="Picture 1" descr="A black and yellow logo"/>
                    <pic:cNvPicPr/>
                  </pic:nvPicPr>
                  <pic:blipFill>
                    <a:blip r:embed="rId8" cstate="print">
                      <a:extLst>
                        <a:ext uri="{28A0092B-C50C-407E-A947-70E740481C1C}">
                          <a14:useLocalDpi xmlns:a14="http://schemas.microsoft.com/office/drawing/2010/main" val="0"/>
                        </a:ext>
                      </a:extLst>
                    </a:blip>
                    <a:stretch>
                      <a:fillRect/>
                    </a:stretch>
                  </pic:blipFill>
                  <pic:spPr>
                    <a:xfrm>
                      <a:off x="0" y="0"/>
                      <a:ext cx="3152775" cy="1751386"/>
                    </a:xfrm>
                    <a:prstGeom prst="rect">
                      <a:avLst/>
                    </a:prstGeom>
                  </pic:spPr>
                </pic:pic>
              </a:graphicData>
            </a:graphic>
          </wp:anchor>
        </w:drawing>
      </w:r>
    </w:p>
    <w:p w14:paraId="4F3D02BB" w14:textId="43DE4217" w:rsidR="00894F59" w:rsidRDefault="00894F59" w:rsidP="005234B0"/>
    <w:p w14:paraId="4BD117D5" w14:textId="7E87E4F0" w:rsidR="00894F59" w:rsidRDefault="00894F59" w:rsidP="005234B0"/>
    <w:p w14:paraId="2C52A650" w14:textId="77777777" w:rsidR="00894F59" w:rsidRDefault="00894F59" w:rsidP="005234B0"/>
    <w:p w14:paraId="4BAE2325" w14:textId="77777777" w:rsidR="00894F59" w:rsidRDefault="00894F59" w:rsidP="005234B0">
      <w:pPr>
        <w:rPr>
          <w:rFonts w:ascii="Arial" w:hAnsi="Arial" w:cs="Arial"/>
          <w:b/>
          <w:bCs/>
          <w:sz w:val="40"/>
          <w:szCs w:val="40"/>
        </w:rPr>
      </w:pPr>
    </w:p>
    <w:p w14:paraId="00E2E750" w14:textId="79C3129E" w:rsidR="00894F59" w:rsidRPr="00894F59" w:rsidRDefault="00894F59" w:rsidP="005234B0">
      <w:pPr>
        <w:rPr>
          <w:rFonts w:ascii="Arial" w:hAnsi="Arial" w:cs="Arial"/>
          <w:b/>
          <w:bCs/>
          <w:sz w:val="40"/>
          <w:szCs w:val="40"/>
        </w:rPr>
      </w:pPr>
      <w:r w:rsidRPr="00894F59">
        <w:rPr>
          <w:rFonts w:ascii="Arial" w:hAnsi="Arial" w:cs="Arial"/>
          <w:b/>
          <w:bCs/>
          <w:sz w:val="40"/>
          <w:szCs w:val="40"/>
        </w:rPr>
        <w:t xml:space="preserve">Certificate of Higher Education in Employability Skills </w:t>
      </w:r>
    </w:p>
    <w:p w14:paraId="457FBA61" w14:textId="77777777" w:rsidR="00894F59" w:rsidRDefault="00894F59" w:rsidP="005234B0">
      <w:pPr>
        <w:rPr>
          <w:rFonts w:ascii="Arial" w:hAnsi="Arial" w:cs="Arial"/>
          <w:b/>
          <w:bCs/>
          <w:sz w:val="40"/>
          <w:szCs w:val="40"/>
        </w:rPr>
      </w:pPr>
    </w:p>
    <w:p w14:paraId="2B7EBF3B" w14:textId="72872412" w:rsidR="00894F59" w:rsidRPr="00894F59" w:rsidRDefault="00894F59" w:rsidP="005234B0">
      <w:pPr>
        <w:rPr>
          <w:rFonts w:ascii="Arial" w:hAnsi="Arial" w:cs="Arial"/>
          <w:b/>
          <w:bCs/>
          <w:sz w:val="40"/>
          <w:szCs w:val="40"/>
        </w:rPr>
      </w:pPr>
      <w:r w:rsidRPr="00894F59">
        <w:rPr>
          <w:rFonts w:ascii="Arial" w:hAnsi="Arial" w:cs="Arial"/>
          <w:b/>
          <w:bCs/>
          <w:sz w:val="40"/>
          <w:szCs w:val="40"/>
        </w:rPr>
        <w:t xml:space="preserve">LEVEL 4 </w:t>
      </w:r>
    </w:p>
    <w:p w14:paraId="645F87B1" w14:textId="77777777" w:rsidR="00894F59" w:rsidRPr="00894F59" w:rsidRDefault="00894F59" w:rsidP="005234B0">
      <w:pPr>
        <w:rPr>
          <w:rFonts w:ascii="Arial" w:hAnsi="Arial" w:cs="Arial"/>
          <w:b/>
          <w:bCs/>
          <w:sz w:val="40"/>
          <w:szCs w:val="40"/>
        </w:rPr>
      </w:pPr>
    </w:p>
    <w:p w14:paraId="026C52D7" w14:textId="387B119D" w:rsidR="005234B0" w:rsidRPr="00894F59" w:rsidRDefault="00894F59" w:rsidP="005234B0">
      <w:pPr>
        <w:rPr>
          <w:rFonts w:ascii="Arial" w:hAnsi="Arial" w:cs="Arial"/>
          <w:b/>
          <w:bCs/>
          <w:sz w:val="40"/>
          <w:szCs w:val="40"/>
        </w:rPr>
      </w:pPr>
      <w:r w:rsidRPr="00894F59">
        <w:rPr>
          <w:rFonts w:ascii="Arial" w:hAnsi="Arial" w:cs="Arial"/>
          <w:b/>
          <w:bCs/>
          <w:sz w:val="40"/>
          <w:szCs w:val="40"/>
        </w:rPr>
        <w:t>Problem Solving and Innovation (BMSW4014)</w:t>
      </w:r>
    </w:p>
    <w:p w14:paraId="0893E07E" w14:textId="77777777" w:rsidR="00605A9D" w:rsidRDefault="00605A9D" w:rsidP="005234B0"/>
    <w:p w14:paraId="195A8039" w14:textId="452439BB" w:rsidR="00227821" w:rsidRPr="003828AE" w:rsidRDefault="0095553B" w:rsidP="0095553B">
      <w:pPr>
        <w:rPr>
          <w:rFonts w:ascii="Arial" w:hAnsi="Arial" w:cs="Arial"/>
          <w:b/>
          <w:bCs/>
          <w:sz w:val="36"/>
          <w:szCs w:val="36"/>
        </w:rPr>
      </w:pPr>
      <w:r w:rsidRPr="003828AE">
        <w:rPr>
          <w:rFonts w:ascii="Arial" w:hAnsi="Arial" w:cs="Arial"/>
          <w:b/>
          <w:bCs/>
          <w:sz w:val="36"/>
          <w:szCs w:val="36"/>
        </w:rPr>
        <w:t>Student name</w:t>
      </w:r>
      <w:r w:rsidR="003828AE" w:rsidRPr="003828AE">
        <w:rPr>
          <w:rFonts w:ascii="Arial" w:hAnsi="Arial" w:cs="Arial"/>
          <w:b/>
          <w:bCs/>
          <w:sz w:val="36"/>
          <w:szCs w:val="36"/>
        </w:rPr>
        <w:t xml:space="preserve">: Laura Elena Minea </w:t>
      </w:r>
    </w:p>
    <w:p w14:paraId="4C2598CE" w14:textId="57030B1E" w:rsidR="003828AE" w:rsidRPr="003828AE" w:rsidRDefault="003828AE" w:rsidP="0095553B">
      <w:pPr>
        <w:rPr>
          <w:rFonts w:ascii="Arial" w:hAnsi="Arial" w:cs="Arial"/>
          <w:b/>
          <w:bCs/>
          <w:sz w:val="36"/>
          <w:szCs w:val="36"/>
        </w:rPr>
      </w:pPr>
      <w:r w:rsidRPr="003828AE">
        <w:rPr>
          <w:rFonts w:ascii="Arial" w:hAnsi="Arial" w:cs="Arial"/>
          <w:b/>
          <w:bCs/>
          <w:sz w:val="36"/>
          <w:szCs w:val="36"/>
        </w:rPr>
        <w:t xml:space="preserve">Student ID: 2321195 </w:t>
      </w:r>
    </w:p>
    <w:p w14:paraId="1C9C02D0" w14:textId="77777777" w:rsidR="00DC2FD8" w:rsidRDefault="00DC2FD8" w:rsidP="00DC2FD8"/>
    <w:p w14:paraId="1EBF69EE" w14:textId="77777777" w:rsidR="00DC2FD8" w:rsidRDefault="00DC2FD8" w:rsidP="00DC2FD8"/>
    <w:p w14:paraId="35ABC8D2" w14:textId="2FD5756E" w:rsidR="00DC2FD8" w:rsidRPr="00986020" w:rsidRDefault="00986020" w:rsidP="00986020">
      <w:pPr>
        <w:jc w:val="center"/>
        <w:rPr>
          <w:b/>
          <w:bCs/>
          <w:sz w:val="32"/>
          <w:szCs w:val="32"/>
        </w:rPr>
      </w:pPr>
      <w:r w:rsidRPr="00986020">
        <w:rPr>
          <w:b/>
          <w:bCs/>
          <w:sz w:val="32"/>
          <w:szCs w:val="32"/>
        </w:rPr>
        <w:t>Understanding the Business Environment of the UK EV Industry</w:t>
      </w:r>
    </w:p>
    <w:p w14:paraId="35B6A350" w14:textId="77777777" w:rsidR="00DC2FD8" w:rsidRDefault="00DC2FD8" w:rsidP="00DC2FD8"/>
    <w:p w14:paraId="7859001E" w14:textId="77777777" w:rsidR="00DC2FD8" w:rsidRDefault="00DC2FD8" w:rsidP="00DC2FD8"/>
    <w:p w14:paraId="4B3B3A68" w14:textId="77777777" w:rsidR="00DC2FD8" w:rsidRDefault="00DC2FD8" w:rsidP="00DC2FD8"/>
    <w:p w14:paraId="5437C085" w14:textId="77777777" w:rsidR="00DC2FD8" w:rsidRDefault="00DC2FD8" w:rsidP="00DC2FD8"/>
    <w:p w14:paraId="2F3C5D82" w14:textId="77777777" w:rsidR="00605A9D" w:rsidRDefault="00605A9D" w:rsidP="00DC2FD8"/>
    <w:p w14:paraId="4A9D1951" w14:textId="77777777" w:rsidR="00605A9D" w:rsidRDefault="00605A9D" w:rsidP="00DC2FD8"/>
    <w:p w14:paraId="5F7E1845" w14:textId="6B1806E7" w:rsidR="00605A9D" w:rsidRDefault="003828AE" w:rsidP="003828AE">
      <w:pPr>
        <w:jc w:val="right"/>
        <w:rPr>
          <w:rFonts w:ascii="Arial" w:hAnsi="Arial" w:cs="Arial"/>
          <w:b/>
          <w:bCs/>
          <w:sz w:val="28"/>
          <w:szCs w:val="28"/>
        </w:rPr>
      </w:pPr>
      <w:r w:rsidRPr="003828AE">
        <w:rPr>
          <w:rFonts w:ascii="Arial" w:hAnsi="Arial" w:cs="Arial"/>
          <w:b/>
          <w:bCs/>
          <w:sz w:val="28"/>
          <w:szCs w:val="28"/>
        </w:rPr>
        <w:t xml:space="preserve">2025 – 2026 </w:t>
      </w:r>
    </w:p>
    <w:p w14:paraId="7041B75D" w14:textId="77777777" w:rsidR="00986020" w:rsidRDefault="00986020" w:rsidP="003828AE">
      <w:pPr>
        <w:jc w:val="right"/>
        <w:rPr>
          <w:rFonts w:ascii="Arial" w:hAnsi="Arial" w:cs="Arial"/>
          <w:b/>
          <w:bCs/>
          <w:sz w:val="28"/>
          <w:szCs w:val="28"/>
        </w:rPr>
      </w:pPr>
    </w:p>
    <w:sdt>
      <w:sdtPr>
        <w:id w:val="463704703"/>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29AA951B" w14:textId="579BC498" w:rsidR="00986020" w:rsidRDefault="00986020">
          <w:pPr>
            <w:pStyle w:val="TOCHeading"/>
            <w:rPr>
              <w:rFonts w:ascii="Arial" w:hAnsi="Arial" w:cs="Arial"/>
              <w:b/>
              <w:bCs/>
              <w:color w:val="auto"/>
              <w:sz w:val="36"/>
              <w:szCs w:val="36"/>
            </w:rPr>
          </w:pPr>
          <w:r w:rsidRPr="00986020">
            <w:rPr>
              <w:rFonts w:ascii="Arial" w:hAnsi="Arial" w:cs="Arial"/>
              <w:b/>
              <w:bCs/>
              <w:color w:val="auto"/>
              <w:sz w:val="36"/>
              <w:szCs w:val="36"/>
            </w:rPr>
            <w:t>Table of Contents</w:t>
          </w:r>
        </w:p>
        <w:p w14:paraId="2FEC7952" w14:textId="77777777" w:rsidR="00986020" w:rsidRPr="00986020" w:rsidRDefault="00986020" w:rsidP="00986020">
          <w:pPr>
            <w:rPr>
              <w:lang w:eastAsia="en-GB"/>
            </w:rPr>
          </w:pPr>
        </w:p>
        <w:p w14:paraId="4F85EF82" w14:textId="45506D28" w:rsidR="00986020" w:rsidRDefault="0098602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5782900" w:history="1">
            <w:r w:rsidRPr="002B2F8E">
              <w:rPr>
                <w:rStyle w:val="Hyperlink"/>
                <w:rFonts w:ascii="Arial" w:hAnsi="Arial" w:cs="Arial"/>
                <w:noProof/>
              </w:rPr>
              <w:t>1.Introduction</w:t>
            </w:r>
            <w:r>
              <w:rPr>
                <w:noProof/>
                <w:webHidden/>
              </w:rPr>
              <w:tab/>
            </w:r>
            <w:r>
              <w:rPr>
                <w:noProof/>
                <w:webHidden/>
              </w:rPr>
              <w:fldChar w:fldCharType="begin"/>
            </w:r>
            <w:r>
              <w:rPr>
                <w:noProof/>
                <w:webHidden/>
              </w:rPr>
              <w:instrText xml:space="preserve"> PAGEREF _Toc215782900 \h </w:instrText>
            </w:r>
            <w:r>
              <w:rPr>
                <w:noProof/>
                <w:webHidden/>
              </w:rPr>
            </w:r>
            <w:r>
              <w:rPr>
                <w:noProof/>
                <w:webHidden/>
              </w:rPr>
              <w:fldChar w:fldCharType="separate"/>
            </w:r>
            <w:r>
              <w:rPr>
                <w:noProof/>
                <w:webHidden/>
              </w:rPr>
              <w:t>3</w:t>
            </w:r>
            <w:r>
              <w:rPr>
                <w:noProof/>
                <w:webHidden/>
              </w:rPr>
              <w:fldChar w:fldCharType="end"/>
            </w:r>
          </w:hyperlink>
        </w:p>
        <w:p w14:paraId="60423F4B" w14:textId="5BC7A503" w:rsidR="00986020" w:rsidRDefault="00986020">
          <w:pPr>
            <w:pStyle w:val="TOC1"/>
            <w:tabs>
              <w:tab w:val="right" w:leader="dot" w:pos="9016"/>
            </w:tabs>
            <w:rPr>
              <w:rFonts w:eastAsiaTheme="minorEastAsia"/>
              <w:noProof/>
              <w:lang w:eastAsia="en-GB"/>
            </w:rPr>
          </w:pPr>
          <w:hyperlink w:anchor="_Toc215782901" w:history="1">
            <w:r w:rsidRPr="002B2F8E">
              <w:rPr>
                <w:rStyle w:val="Hyperlink"/>
                <w:rFonts w:ascii="Arial" w:hAnsi="Arial" w:cs="Arial"/>
                <w:noProof/>
              </w:rPr>
              <w:t>2. Main Findings</w:t>
            </w:r>
            <w:r>
              <w:rPr>
                <w:noProof/>
                <w:webHidden/>
              </w:rPr>
              <w:tab/>
            </w:r>
            <w:r>
              <w:rPr>
                <w:noProof/>
                <w:webHidden/>
              </w:rPr>
              <w:fldChar w:fldCharType="begin"/>
            </w:r>
            <w:r>
              <w:rPr>
                <w:noProof/>
                <w:webHidden/>
              </w:rPr>
              <w:instrText xml:space="preserve"> PAGEREF _Toc215782901 \h </w:instrText>
            </w:r>
            <w:r>
              <w:rPr>
                <w:noProof/>
                <w:webHidden/>
              </w:rPr>
            </w:r>
            <w:r>
              <w:rPr>
                <w:noProof/>
                <w:webHidden/>
              </w:rPr>
              <w:fldChar w:fldCharType="separate"/>
            </w:r>
            <w:r>
              <w:rPr>
                <w:noProof/>
                <w:webHidden/>
              </w:rPr>
              <w:t>3</w:t>
            </w:r>
            <w:r>
              <w:rPr>
                <w:noProof/>
                <w:webHidden/>
              </w:rPr>
              <w:fldChar w:fldCharType="end"/>
            </w:r>
          </w:hyperlink>
        </w:p>
        <w:p w14:paraId="6882FDC1" w14:textId="78BEDB0B" w:rsidR="00986020" w:rsidRDefault="00986020">
          <w:pPr>
            <w:pStyle w:val="TOC2"/>
            <w:tabs>
              <w:tab w:val="right" w:leader="dot" w:pos="9016"/>
            </w:tabs>
            <w:rPr>
              <w:rFonts w:eastAsiaTheme="minorEastAsia"/>
              <w:noProof/>
              <w:lang w:eastAsia="en-GB"/>
            </w:rPr>
          </w:pPr>
          <w:hyperlink w:anchor="_Toc215782902" w:history="1">
            <w:r w:rsidRPr="002B2F8E">
              <w:rPr>
                <w:rStyle w:val="Hyperlink"/>
                <w:rFonts w:ascii="Arial" w:hAnsi="Arial" w:cs="Arial"/>
                <w:noProof/>
              </w:rPr>
              <w:t>2.1 PESTLE Analysis</w:t>
            </w:r>
            <w:r>
              <w:rPr>
                <w:noProof/>
                <w:webHidden/>
              </w:rPr>
              <w:tab/>
            </w:r>
            <w:r>
              <w:rPr>
                <w:noProof/>
                <w:webHidden/>
              </w:rPr>
              <w:fldChar w:fldCharType="begin"/>
            </w:r>
            <w:r>
              <w:rPr>
                <w:noProof/>
                <w:webHidden/>
              </w:rPr>
              <w:instrText xml:space="preserve"> PAGEREF _Toc215782902 \h </w:instrText>
            </w:r>
            <w:r>
              <w:rPr>
                <w:noProof/>
                <w:webHidden/>
              </w:rPr>
            </w:r>
            <w:r>
              <w:rPr>
                <w:noProof/>
                <w:webHidden/>
              </w:rPr>
              <w:fldChar w:fldCharType="separate"/>
            </w:r>
            <w:r>
              <w:rPr>
                <w:noProof/>
                <w:webHidden/>
              </w:rPr>
              <w:t>3</w:t>
            </w:r>
            <w:r>
              <w:rPr>
                <w:noProof/>
                <w:webHidden/>
              </w:rPr>
              <w:fldChar w:fldCharType="end"/>
            </w:r>
          </w:hyperlink>
        </w:p>
        <w:p w14:paraId="044DC955" w14:textId="3454D124" w:rsidR="00986020" w:rsidRDefault="00986020">
          <w:pPr>
            <w:pStyle w:val="TOC2"/>
            <w:tabs>
              <w:tab w:val="right" w:leader="dot" w:pos="9016"/>
            </w:tabs>
            <w:rPr>
              <w:rFonts w:eastAsiaTheme="minorEastAsia"/>
              <w:noProof/>
              <w:lang w:eastAsia="en-GB"/>
            </w:rPr>
          </w:pPr>
          <w:hyperlink w:anchor="_Toc215782903" w:history="1">
            <w:r w:rsidRPr="002B2F8E">
              <w:rPr>
                <w:rStyle w:val="Hyperlink"/>
                <w:rFonts w:ascii="Arial" w:hAnsi="Arial" w:cs="Arial"/>
                <w:noProof/>
              </w:rPr>
              <w:t>2.2 SWOT Analysis</w:t>
            </w:r>
            <w:r>
              <w:rPr>
                <w:noProof/>
                <w:webHidden/>
              </w:rPr>
              <w:tab/>
            </w:r>
            <w:r>
              <w:rPr>
                <w:noProof/>
                <w:webHidden/>
              </w:rPr>
              <w:fldChar w:fldCharType="begin"/>
            </w:r>
            <w:r>
              <w:rPr>
                <w:noProof/>
                <w:webHidden/>
              </w:rPr>
              <w:instrText xml:space="preserve"> PAGEREF _Toc215782903 \h </w:instrText>
            </w:r>
            <w:r>
              <w:rPr>
                <w:noProof/>
                <w:webHidden/>
              </w:rPr>
            </w:r>
            <w:r>
              <w:rPr>
                <w:noProof/>
                <w:webHidden/>
              </w:rPr>
              <w:fldChar w:fldCharType="separate"/>
            </w:r>
            <w:r>
              <w:rPr>
                <w:noProof/>
                <w:webHidden/>
              </w:rPr>
              <w:t>5</w:t>
            </w:r>
            <w:r>
              <w:rPr>
                <w:noProof/>
                <w:webHidden/>
              </w:rPr>
              <w:fldChar w:fldCharType="end"/>
            </w:r>
          </w:hyperlink>
        </w:p>
        <w:p w14:paraId="37316ACA" w14:textId="47ECDEEF" w:rsidR="00986020" w:rsidRDefault="00986020">
          <w:pPr>
            <w:pStyle w:val="TOC1"/>
            <w:tabs>
              <w:tab w:val="right" w:leader="dot" w:pos="9016"/>
            </w:tabs>
            <w:rPr>
              <w:rFonts w:eastAsiaTheme="minorEastAsia"/>
              <w:noProof/>
              <w:lang w:eastAsia="en-GB"/>
            </w:rPr>
          </w:pPr>
          <w:hyperlink w:anchor="_Toc215782904" w:history="1">
            <w:r w:rsidRPr="002B2F8E">
              <w:rPr>
                <w:rStyle w:val="Hyperlink"/>
                <w:rFonts w:ascii="Arial" w:hAnsi="Arial" w:cs="Arial"/>
                <w:noProof/>
              </w:rPr>
              <w:t>3.Discussion: Innovation and Decision Making under Uncertainty</w:t>
            </w:r>
            <w:r>
              <w:rPr>
                <w:noProof/>
                <w:webHidden/>
              </w:rPr>
              <w:tab/>
            </w:r>
            <w:r>
              <w:rPr>
                <w:noProof/>
                <w:webHidden/>
              </w:rPr>
              <w:fldChar w:fldCharType="begin"/>
            </w:r>
            <w:r>
              <w:rPr>
                <w:noProof/>
                <w:webHidden/>
              </w:rPr>
              <w:instrText xml:space="preserve"> PAGEREF _Toc215782904 \h </w:instrText>
            </w:r>
            <w:r>
              <w:rPr>
                <w:noProof/>
                <w:webHidden/>
              </w:rPr>
            </w:r>
            <w:r>
              <w:rPr>
                <w:noProof/>
                <w:webHidden/>
              </w:rPr>
              <w:fldChar w:fldCharType="separate"/>
            </w:r>
            <w:r>
              <w:rPr>
                <w:noProof/>
                <w:webHidden/>
              </w:rPr>
              <w:t>6</w:t>
            </w:r>
            <w:r>
              <w:rPr>
                <w:noProof/>
                <w:webHidden/>
              </w:rPr>
              <w:fldChar w:fldCharType="end"/>
            </w:r>
          </w:hyperlink>
        </w:p>
        <w:p w14:paraId="7DDAA7F6" w14:textId="2FF33B4D" w:rsidR="00986020" w:rsidRDefault="00986020">
          <w:pPr>
            <w:pStyle w:val="TOC1"/>
            <w:tabs>
              <w:tab w:val="right" w:leader="dot" w:pos="9016"/>
            </w:tabs>
            <w:rPr>
              <w:rFonts w:eastAsiaTheme="minorEastAsia"/>
              <w:noProof/>
              <w:lang w:eastAsia="en-GB"/>
            </w:rPr>
          </w:pPr>
          <w:hyperlink w:anchor="_Toc215782905" w:history="1">
            <w:r w:rsidRPr="002B2F8E">
              <w:rPr>
                <w:rStyle w:val="Hyperlink"/>
                <w:rFonts w:ascii="Arial" w:hAnsi="Arial" w:cs="Arial"/>
                <w:noProof/>
              </w:rPr>
              <w:t>4. Conclusion</w:t>
            </w:r>
            <w:r>
              <w:rPr>
                <w:noProof/>
                <w:webHidden/>
              </w:rPr>
              <w:tab/>
            </w:r>
            <w:r>
              <w:rPr>
                <w:noProof/>
                <w:webHidden/>
              </w:rPr>
              <w:fldChar w:fldCharType="begin"/>
            </w:r>
            <w:r>
              <w:rPr>
                <w:noProof/>
                <w:webHidden/>
              </w:rPr>
              <w:instrText xml:space="preserve"> PAGEREF _Toc215782905 \h </w:instrText>
            </w:r>
            <w:r>
              <w:rPr>
                <w:noProof/>
                <w:webHidden/>
              </w:rPr>
            </w:r>
            <w:r>
              <w:rPr>
                <w:noProof/>
                <w:webHidden/>
              </w:rPr>
              <w:fldChar w:fldCharType="separate"/>
            </w:r>
            <w:r>
              <w:rPr>
                <w:noProof/>
                <w:webHidden/>
              </w:rPr>
              <w:t>7</w:t>
            </w:r>
            <w:r>
              <w:rPr>
                <w:noProof/>
                <w:webHidden/>
              </w:rPr>
              <w:fldChar w:fldCharType="end"/>
            </w:r>
          </w:hyperlink>
        </w:p>
        <w:p w14:paraId="486A8DBD" w14:textId="4E92EF1F" w:rsidR="00986020" w:rsidRDefault="00986020">
          <w:pPr>
            <w:pStyle w:val="TOC1"/>
            <w:tabs>
              <w:tab w:val="right" w:leader="dot" w:pos="9016"/>
            </w:tabs>
            <w:rPr>
              <w:rFonts w:eastAsiaTheme="minorEastAsia"/>
              <w:noProof/>
              <w:lang w:eastAsia="en-GB"/>
            </w:rPr>
          </w:pPr>
          <w:hyperlink w:anchor="_Toc215782906" w:history="1">
            <w:r w:rsidRPr="002B2F8E">
              <w:rPr>
                <w:rStyle w:val="Hyperlink"/>
                <w:rFonts w:ascii="Arial" w:hAnsi="Arial" w:cs="Arial"/>
                <w:noProof/>
              </w:rPr>
              <w:t>5. Recommendations</w:t>
            </w:r>
            <w:r>
              <w:rPr>
                <w:noProof/>
                <w:webHidden/>
              </w:rPr>
              <w:tab/>
            </w:r>
            <w:r>
              <w:rPr>
                <w:noProof/>
                <w:webHidden/>
              </w:rPr>
              <w:fldChar w:fldCharType="begin"/>
            </w:r>
            <w:r>
              <w:rPr>
                <w:noProof/>
                <w:webHidden/>
              </w:rPr>
              <w:instrText xml:space="preserve"> PAGEREF _Toc215782906 \h </w:instrText>
            </w:r>
            <w:r>
              <w:rPr>
                <w:noProof/>
                <w:webHidden/>
              </w:rPr>
            </w:r>
            <w:r>
              <w:rPr>
                <w:noProof/>
                <w:webHidden/>
              </w:rPr>
              <w:fldChar w:fldCharType="separate"/>
            </w:r>
            <w:r>
              <w:rPr>
                <w:noProof/>
                <w:webHidden/>
              </w:rPr>
              <w:t>8</w:t>
            </w:r>
            <w:r>
              <w:rPr>
                <w:noProof/>
                <w:webHidden/>
              </w:rPr>
              <w:fldChar w:fldCharType="end"/>
            </w:r>
          </w:hyperlink>
        </w:p>
        <w:p w14:paraId="3ACC71CA" w14:textId="0932BD4C" w:rsidR="00986020" w:rsidRDefault="00986020">
          <w:pPr>
            <w:pStyle w:val="TOC1"/>
            <w:tabs>
              <w:tab w:val="right" w:leader="dot" w:pos="9016"/>
            </w:tabs>
            <w:rPr>
              <w:rFonts w:eastAsiaTheme="minorEastAsia"/>
              <w:noProof/>
              <w:lang w:eastAsia="en-GB"/>
            </w:rPr>
          </w:pPr>
          <w:hyperlink w:anchor="_Toc215782907" w:history="1">
            <w:r w:rsidRPr="002B2F8E">
              <w:rPr>
                <w:rStyle w:val="Hyperlink"/>
                <w:noProof/>
              </w:rPr>
              <w:t>6. References</w:t>
            </w:r>
            <w:r>
              <w:rPr>
                <w:noProof/>
                <w:webHidden/>
              </w:rPr>
              <w:tab/>
            </w:r>
            <w:r>
              <w:rPr>
                <w:noProof/>
                <w:webHidden/>
              </w:rPr>
              <w:fldChar w:fldCharType="begin"/>
            </w:r>
            <w:r>
              <w:rPr>
                <w:noProof/>
                <w:webHidden/>
              </w:rPr>
              <w:instrText xml:space="preserve"> PAGEREF _Toc215782907 \h </w:instrText>
            </w:r>
            <w:r>
              <w:rPr>
                <w:noProof/>
                <w:webHidden/>
              </w:rPr>
            </w:r>
            <w:r>
              <w:rPr>
                <w:noProof/>
                <w:webHidden/>
              </w:rPr>
              <w:fldChar w:fldCharType="separate"/>
            </w:r>
            <w:r>
              <w:rPr>
                <w:noProof/>
                <w:webHidden/>
              </w:rPr>
              <w:t>9</w:t>
            </w:r>
            <w:r>
              <w:rPr>
                <w:noProof/>
                <w:webHidden/>
              </w:rPr>
              <w:fldChar w:fldCharType="end"/>
            </w:r>
          </w:hyperlink>
        </w:p>
        <w:p w14:paraId="50361BF6" w14:textId="38F2CE25" w:rsidR="00986020" w:rsidRDefault="00986020">
          <w:pPr>
            <w:pStyle w:val="TOC1"/>
            <w:tabs>
              <w:tab w:val="right" w:leader="dot" w:pos="9016"/>
            </w:tabs>
            <w:rPr>
              <w:rFonts w:eastAsiaTheme="minorEastAsia"/>
              <w:noProof/>
              <w:lang w:eastAsia="en-GB"/>
            </w:rPr>
          </w:pPr>
          <w:hyperlink w:anchor="_Toc215782908" w:history="1">
            <w:r w:rsidRPr="002B2F8E">
              <w:rPr>
                <w:rStyle w:val="Hyperlink"/>
                <w:noProof/>
              </w:rPr>
              <w:t>7. AI Statement</w:t>
            </w:r>
            <w:r>
              <w:rPr>
                <w:noProof/>
                <w:webHidden/>
              </w:rPr>
              <w:tab/>
            </w:r>
            <w:r>
              <w:rPr>
                <w:noProof/>
                <w:webHidden/>
              </w:rPr>
              <w:fldChar w:fldCharType="begin"/>
            </w:r>
            <w:r>
              <w:rPr>
                <w:noProof/>
                <w:webHidden/>
              </w:rPr>
              <w:instrText xml:space="preserve"> PAGEREF _Toc215782908 \h </w:instrText>
            </w:r>
            <w:r>
              <w:rPr>
                <w:noProof/>
                <w:webHidden/>
              </w:rPr>
            </w:r>
            <w:r>
              <w:rPr>
                <w:noProof/>
                <w:webHidden/>
              </w:rPr>
              <w:fldChar w:fldCharType="separate"/>
            </w:r>
            <w:r>
              <w:rPr>
                <w:noProof/>
                <w:webHidden/>
              </w:rPr>
              <w:t>12</w:t>
            </w:r>
            <w:r>
              <w:rPr>
                <w:noProof/>
                <w:webHidden/>
              </w:rPr>
              <w:fldChar w:fldCharType="end"/>
            </w:r>
          </w:hyperlink>
        </w:p>
        <w:p w14:paraId="1026F21F" w14:textId="23BE53A6" w:rsidR="00986020" w:rsidRDefault="00986020">
          <w:r>
            <w:rPr>
              <w:b/>
              <w:bCs/>
            </w:rPr>
            <w:fldChar w:fldCharType="end"/>
          </w:r>
        </w:p>
      </w:sdtContent>
    </w:sdt>
    <w:p w14:paraId="6467E583" w14:textId="77777777" w:rsidR="00986020" w:rsidRDefault="00986020" w:rsidP="00986020">
      <w:pPr>
        <w:rPr>
          <w:rFonts w:ascii="Arial" w:hAnsi="Arial" w:cs="Arial"/>
          <w:b/>
          <w:bCs/>
          <w:sz w:val="28"/>
          <w:szCs w:val="28"/>
        </w:rPr>
      </w:pPr>
    </w:p>
    <w:p w14:paraId="30AE0D0B" w14:textId="77777777" w:rsidR="00986020" w:rsidRDefault="00986020" w:rsidP="003828AE">
      <w:pPr>
        <w:jc w:val="right"/>
        <w:rPr>
          <w:rFonts w:ascii="Arial" w:hAnsi="Arial" w:cs="Arial"/>
          <w:b/>
          <w:bCs/>
          <w:sz w:val="28"/>
          <w:szCs w:val="28"/>
        </w:rPr>
      </w:pPr>
    </w:p>
    <w:p w14:paraId="00EB4E29" w14:textId="77777777" w:rsidR="00986020" w:rsidRDefault="00986020" w:rsidP="003828AE">
      <w:pPr>
        <w:jc w:val="right"/>
        <w:rPr>
          <w:rFonts w:ascii="Arial" w:hAnsi="Arial" w:cs="Arial"/>
          <w:b/>
          <w:bCs/>
          <w:sz w:val="28"/>
          <w:szCs w:val="28"/>
        </w:rPr>
      </w:pPr>
    </w:p>
    <w:p w14:paraId="62917AA4" w14:textId="77777777" w:rsidR="00986020" w:rsidRDefault="00986020" w:rsidP="003828AE">
      <w:pPr>
        <w:jc w:val="right"/>
        <w:rPr>
          <w:rFonts w:ascii="Arial" w:hAnsi="Arial" w:cs="Arial"/>
          <w:b/>
          <w:bCs/>
          <w:sz w:val="28"/>
          <w:szCs w:val="28"/>
        </w:rPr>
      </w:pPr>
    </w:p>
    <w:p w14:paraId="5A7877A6" w14:textId="77777777" w:rsidR="00986020" w:rsidRDefault="00986020" w:rsidP="003828AE">
      <w:pPr>
        <w:jc w:val="right"/>
        <w:rPr>
          <w:rFonts w:ascii="Arial" w:hAnsi="Arial" w:cs="Arial"/>
          <w:b/>
          <w:bCs/>
          <w:sz w:val="28"/>
          <w:szCs w:val="28"/>
        </w:rPr>
      </w:pPr>
    </w:p>
    <w:p w14:paraId="55C7731A" w14:textId="77777777" w:rsidR="00986020" w:rsidRDefault="00986020" w:rsidP="003828AE">
      <w:pPr>
        <w:jc w:val="right"/>
        <w:rPr>
          <w:rFonts w:ascii="Arial" w:hAnsi="Arial" w:cs="Arial"/>
          <w:b/>
          <w:bCs/>
          <w:sz w:val="28"/>
          <w:szCs w:val="28"/>
        </w:rPr>
      </w:pPr>
    </w:p>
    <w:p w14:paraId="55E74F15" w14:textId="77777777" w:rsidR="00986020" w:rsidRDefault="00986020" w:rsidP="003828AE">
      <w:pPr>
        <w:jc w:val="right"/>
        <w:rPr>
          <w:rFonts w:ascii="Arial" w:hAnsi="Arial" w:cs="Arial"/>
          <w:b/>
          <w:bCs/>
          <w:sz w:val="28"/>
          <w:szCs w:val="28"/>
        </w:rPr>
      </w:pPr>
    </w:p>
    <w:p w14:paraId="7B8716EE" w14:textId="77777777" w:rsidR="00986020" w:rsidRDefault="00986020" w:rsidP="003828AE">
      <w:pPr>
        <w:jc w:val="right"/>
        <w:rPr>
          <w:rFonts w:ascii="Arial" w:hAnsi="Arial" w:cs="Arial"/>
          <w:b/>
          <w:bCs/>
          <w:sz w:val="28"/>
          <w:szCs w:val="28"/>
        </w:rPr>
      </w:pPr>
    </w:p>
    <w:p w14:paraId="5821CAB6" w14:textId="77777777" w:rsidR="00986020" w:rsidRDefault="00986020" w:rsidP="003828AE">
      <w:pPr>
        <w:jc w:val="right"/>
        <w:rPr>
          <w:rFonts w:ascii="Arial" w:hAnsi="Arial" w:cs="Arial"/>
          <w:b/>
          <w:bCs/>
          <w:sz w:val="28"/>
          <w:szCs w:val="28"/>
        </w:rPr>
      </w:pPr>
    </w:p>
    <w:p w14:paraId="47420E99" w14:textId="77777777" w:rsidR="00986020" w:rsidRDefault="00986020" w:rsidP="003828AE">
      <w:pPr>
        <w:jc w:val="right"/>
        <w:rPr>
          <w:rFonts w:ascii="Arial" w:hAnsi="Arial" w:cs="Arial"/>
          <w:b/>
          <w:bCs/>
          <w:sz w:val="28"/>
          <w:szCs w:val="28"/>
        </w:rPr>
      </w:pPr>
    </w:p>
    <w:p w14:paraId="72268F64" w14:textId="77777777" w:rsidR="00986020" w:rsidRDefault="00986020" w:rsidP="003828AE">
      <w:pPr>
        <w:jc w:val="right"/>
        <w:rPr>
          <w:rFonts w:ascii="Arial" w:hAnsi="Arial" w:cs="Arial"/>
          <w:b/>
          <w:bCs/>
          <w:sz w:val="28"/>
          <w:szCs w:val="28"/>
        </w:rPr>
      </w:pPr>
    </w:p>
    <w:p w14:paraId="645C286D" w14:textId="77777777" w:rsidR="00986020" w:rsidRDefault="00986020" w:rsidP="003828AE">
      <w:pPr>
        <w:jc w:val="right"/>
        <w:rPr>
          <w:rFonts w:ascii="Arial" w:hAnsi="Arial" w:cs="Arial"/>
          <w:b/>
          <w:bCs/>
          <w:sz w:val="28"/>
          <w:szCs w:val="28"/>
        </w:rPr>
      </w:pPr>
    </w:p>
    <w:p w14:paraId="789AA996" w14:textId="77777777" w:rsidR="00986020" w:rsidRDefault="00986020" w:rsidP="003828AE">
      <w:pPr>
        <w:jc w:val="right"/>
        <w:rPr>
          <w:rFonts w:ascii="Arial" w:hAnsi="Arial" w:cs="Arial"/>
          <w:b/>
          <w:bCs/>
          <w:sz w:val="28"/>
          <w:szCs w:val="28"/>
        </w:rPr>
      </w:pPr>
    </w:p>
    <w:p w14:paraId="3393D33E" w14:textId="77777777" w:rsidR="00986020" w:rsidRDefault="00986020" w:rsidP="003828AE">
      <w:pPr>
        <w:jc w:val="right"/>
        <w:rPr>
          <w:rFonts w:ascii="Arial" w:hAnsi="Arial" w:cs="Arial"/>
          <w:b/>
          <w:bCs/>
          <w:sz w:val="28"/>
          <w:szCs w:val="28"/>
        </w:rPr>
      </w:pPr>
    </w:p>
    <w:p w14:paraId="68733437" w14:textId="27511A03" w:rsidR="00DC2FD8" w:rsidRPr="00DC2FD8" w:rsidRDefault="00DC2FD8" w:rsidP="00DC2FD8"/>
    <w:p w14:paraId="05594DE4" w14:textId="537DBA22" w:rsidR="00E55ECA" w:rsidRPr="00AC7430" w:rsidRDefault="000A221A" w:rsidP="000A221A">
      <w:pPr>
        <w:pStyle w:val="Heading1"/>
        <w:rPr>
          <w:rFonts w:ascii="Arial" w:hAnsi="Arial" w:cs="Arial"/>
          <w:color w:val="auto"/>
        </w:rPr>
      </w:pPr>
      <w:bookmarkStart w:id="0" w:name="_Toc215782900"/>
      <w:r w:rsidRPr="00AC7430">
        <w:rPr>
          <w:rFonts w:ascii="Arial" w:hAnsi="Arial" w:cs="Arial"/>
          <w:color w:val="auto"/>
        </w:rPr>
        <w:t>1.</w:t>
      </w:r>
      <w:r w:rsidR="000E1FCD" w:rsidRPr="00AC7430">
        <w:rPr>
          <w:rFonts w:ascii="Arial" w:hAnsi="Arial" w:cs="Arial"/>
          <w:color w:val="auto"/>
        </w:rPr>
        <w:t>Introduction</w:t>
      </w:r>
      <w:bookmarkEnd w:id="0"/>
    </w:p>
    <w:p w14:paraId="09CAA98D" w14:textId="42B5241E" w:rsidR="000E1FCD" w:rsidRPr="00AC7430" w:rsidRDefault="000E1FCD" w:rsidP="00AC7430">
      <w:pPr>
        <w:spacing w:line="360" w:lineRule="auto"/>
        <w:jc w:val="both"/>
        <w:rPr>
          <w:rFonts w:ascii="Arial" w:hAnsi="Arial" w:cs="Arial"/>
        </w:rPr>
      </w:pPr>
      <w:r w:rsidRPr="00AC7430">
        <w:rPr>
          <w:rFonts w:ascii="Arial" w:hAnsi="Arial" w:cs="Arial"/>
        </w:rPr>
        <w:t xml:space="preserve">The UK electric vehicle </w:t>
      </w:r>
      <w:r w:rsidR="008E2739" w:rsidRPr="00AC7430">
        <w:rPr>
          <w:rFonts w:ascii="Arial" w:hAnsi="Arial" w:cs="Arial"/>
        </w:rPr>
        <w:t xml:space="preserve">industry has developed at a remarkable pace over the </w:t>
      </w:r>
      <w:r w:rsidR="00A81A37" w:rsidRPr="00AC7430">
        <w:rPr>
          <w:rFonts w:ascii="Arial" w:hAnsi="Arial" w:cs="Arial"/>
        </w:rPr>
        <w:t>l</w:t>
      </w:r>
      <w:r w:rsidR="008E2739" w:rsidRPr="00AC7430">
        <w:rPr>
          <w:rFonts w:ascii="Arial" w:hAnsi="Arial" w:cs="Arial"/>
        </w:rPr>
        <w:t xml:space="preserve">ast decade, moving from a relatively </w:t>
      </w:r>
      <w:r w:rsidR="00A81A37" w:rsidRPr="00AC7430">
        <w:rPr>
          <w:rFonts w:ascii="Arial" w:hAnsi="Arial" w:cs="Arial"/>
        </w:rPr>
        <w:t xml:space="preserve">marginal part of the transport sector to a central </w:t>
      </w:r>
      <w:r w:rsidR="007E483E" w:rsidRPr="00AC7430">
        <w:rPr>
          <w:rFonts w:ascii="Arial" w:hAnsi="Arial" w:cs="Arial"/>
        </w:rPr>
        <w:t xml:space="preserve">component of the national net-zero strategy. Reducing emissions from road transport is essential for meeting </w:t>
      </w:r>
      <w:r w:rsidR="00A13353" w:rsidRPr="00AC7430">
        <w:rPr>
          <w:rFonts w:ascii="Arial" w:hAnsi="Arial" w:cs="Arial"/>
        </w:rPr>
        <w:t>statutory</w:t>
      </w:r>
      <w:r w:rsidR="003E5740" w:rsidRPr="00AC7430">
        <w:rPr>
          <w:rFonts w:ascii="Arial" w:hAnsi="Arial" w:cs="Arial"/>
        </w:rPr>
        <w:t xml:space="preserve"> carbon budgets (gov.uk, 2022), and global</w:t>
      </w:r>
      <w:r w:rsidR="009F61B9" w:rsidRPr="00AC7430">
        <w:rPr>
          <w:rFonts w:ascii="Arial" w:hAnsi="Arial" w:cs="Arial"/>
        </w:rPr>
        <w:t xml:space="preserve"> trends in EV deployment reinforce this direction </w:t>
      </w:r>
      <w:r w:rsidR="006B10BE" w:rsidRPr="00AC7430">
        <w:rPr>
          <w:rFonts w:ascii="Arial" w:hAnsi="Arial" w:cs="Arial"/>
        </w:rPr>
        <w:t>of travel, with international markets adopting EVs faster each year</w:t>
      </w:r>
      <w:r w:rsidR="00F236E4" w:rsidRPr="00AC7430">
        <w:rPr>
          <w:rFonts w:ascii="Arial" w:hAnsi="Arial" w:cs="Arial"/>
        </w:rPr>
        <w:t xml:space="preserve"> (IEA, 2024). Although UK EV registrations have continued to </w:t>
      </w:r>
      <w:r w:rsidR="00FD716A" w:rsidRPr="00AC7430">
        <w:rPr>
          <w:rFonts w:ascii="Arial" w:hAnsi="Arial" w:cs="Arial"/>
        </w:rPr>
        <w:t xml:space="preserve">rise, this growth sits within a wider automotive landscape that remains </w:t>
      </w:r>
      <w:r w:rsidR="00A21AD9" w:rsidRPr="00AC7430">
        <w:rPr>
          <w:rFonts w:ascii="Arial" w:hAnsi="Arial" w:cs="Arial"/>
        </w:rPr>
        <w:t>uncertain</w:t>
      </w:r>
      <w:r w:rsidR="00C2662C" w:rsidRPr="00AC7430">
        <w:rPr>
          <w:rFonts w:ascii="Arial" w:hAnsi="Arial" w:cs="Arial"/>
        </w:rPr>
        <w:t>, shaped by fluctuating consume</w:t>
      </w:r>
      <w:r w:rsidR="0084787A" w:rsidRPr="00AC7430">
        <w:rPr>
          <w:rFonts w:ascii="Arial" w:hAnsi="Arial" w:cs="Arial"/>
        </w:rPr>
        <w:t xml:space="preserve">r confidence, mixed policy signals and broader cost-of-living pressures (Jolly, 2024) </w:t>
      </w:r>
    </w:p>
    <w:p w14:paraId="43659BBD" w14:textId="2178562B" w:rsidR="0084787A" w:rsidRPr="00AC7430" w:rsidRDefault="00C20761" w:rsidP="00AC7430">
      <w:pPr>
        <w:spacing w:line="360" w:lineRule="auto"/>
        <w:jc w:val="both"/>
        <w:rPr>
          <w:rFonts w:ascii="Arial" w:hAnsi="Arial" w:cs="Arial"/>
        </w:rPr>
      </w:pPr>
      <w:r w:rsidRPr="00AC7430">
        <w:rPr>
          <w:rFonts w:ascii="Arial" w:hAnsi="Arial" w:cs="Arial"/>
        </w:rPr>
        <w:t xml:space="preserve">What makes the Ev transition </w:t>
      </w:r>
      <w:r w:rsidR="00A13353" w:rsidRPr="00AC7430">
        <w:rPr>
          <w:rFonts w:ascii="Arial" w:hAnsi="Arial" w:cs="Arial"/>
        </w:rPr>
        <w:t>particularly</w:t>
      </w:r>
      <w:r w:rsidRPr="00AC7430">
        <w:rPr>
          <w:rFonts w:ascii="Arial" w:hAnsi="Arial" w:cs="Arial"/>
        </w:rPr>
        <w:t xml:space="preserve"> challenging is that it does not rely on a single system. Instead, it spans </w:t>
      </w:r>
      <w:r w:rsidR="008A6D08" w:rsidRPr="00AC7430">
        <w:rPr>
          <w:rFonts w:ascii="Arial" w:hAnsi="Arial" w:cs="Arial"/>
        </w:rPr>
        <w:t>energy networks, local authority planning, private industry investment</w:t>
      </w:r>
      <w:r w:rsidR="00204933" w:rsidRPr="00AC7430">
        <w:rPr>
          <w:rFonts w:ascii="Arial" w:hAnsi="Arial" w:cs="Arial"/>
        </w:rPr>
        <w:t xml:space="preserve">, consumer behaviour and national policy, </w:t>
      </w:r>
      <w:r w:rsidR="00A13353" w:rsidRPr="00AC7430">
        <w:rPr>
          <w:rFonts w:ascii="Arial" w:hAnsi="Arial" w:cs="Arial"/>
        </w:rPr>
        <w:t>these</w:t>
      </w:r>
      <w:r w:rsidR="00204933" w:rsidRPr="00AC7430">
        <w:rPr>
          <w:rFonts w:ascii="Arial" w:hAnsi="Arial" w:cs="Arial"/>
        </w:rPr>
        <w:t xml:space="preserve"> components do not always </w:t>
      </w:r>
      <w:r w:rsidR="00316B89" w:rsidRPr="00AC7430">
        <w:rPr>
          <w:rFonts w:ascii="Arial" w:hAnsi="Arial" w:cs="Arial"/>
        </w:rPr>
        <w:t xml:space="preserve">develop at the same pace, which creates gaps, bottlenecks and inconsistent </w:t>
      </w:r>
      <w:r w:rsidR="00323FD0" w:rsidRPr="00AC7430">
        <w:rPr>
          <w:rFonts w:ascii="Arial" w:hAnsi="Arial" w:cs="Arial"/>
        </w:rPr>
        <w:t xml:space="preserve">levels of preparation across different parts of the country (Dempsey and Hinson, 2024). As a result, organisations </w:t>
      </w:r>
      <w:r w:rsidR="004A7F74" w:rsidRPr="00AC7430">
        <w:rPr>
          <w:rFonts w:ascii="Arial" w:hAnsi="Arial" w:cs="Arial"/>
        </w:rPr>
        <w:t xml:space="preserve">working within the EV sector must navigate an environment where </w:t>
      </w:r>
      <w:r w:rsidR="00F91E1F" w:rsidRPr="00AC7430">
        <w:rPr>
          <w:rFonts w:ascii="Arial" w:hAnsi="Arial" w:cs="Arial"/>
        </w:rPr>
        <w:t xml:space="preserve">political ambition is high, but practical delivery remains uneven. </w:t>
      </w:r>
    </w:p>
    <w:p w14:paraId="19CA816B" w14:textId="6D6BFEDC" w:rsidR="00F91E1F" w:rsidRPr="00AC7430" w:rsidRDefault="00F91E1F" w:rsidP="00AC7430">
      <w:pPr>
        <w:spacing w:line="360" w:lineRule="auto"/>
        <w:jc w:val="both"/>
        <w:rPr>
          <w:rFonts w:ascii="Arial" w:hAnsi="Arial" w:cs="Arial"/>
        </w:rPr>
      </w:pPr>
      <w:r w:rsidRPr="00AC7430">
        <w:rPr>
          <w:rFonts w:ascii="Arial" w:hAnsi="Arial" w:cs="Arial"/>
        </w:rPr>
        <w:t>This report uses PESTLE and SWOT analysis to examine how external influences shape the UK EV industry. It then discusses how innovation</w:t>
      </w:r>
      <w:r w:rsidR="007A66F7" w:rsidRPr="00AC7430">
        <w:rPr>
          <w:rFonts w:ascii="Arial" w:hAnsi="Arial" w:cs="Arial"/>
        </w:rPr>
        <w:t xml:space="preserve"> theory and decision making under deep uncertainty can help </w:t>
      </w:r>
      <w:r w:rsidR="00E54F71" w:rsidRPr="00AC7430">
        <w:rPr>
          <w:rFonts w:ascii="Arial" w:hAnsi="Arial" w:cs="Arial"/>
        </w:rPr>
        <w:t xml:space="preserve">organisations respond more effectively to this rapidly changing landscape. The purpose is not only to map external pressure but to consider how firms can make more resilient and socially grounded decisions as the industry expands. </w:t>
      </w:r>
    </w:p>
    <w:p w14:paraId="7183BEC9" w14:textId="1FC818CF" w:rsidR="00E54F71" w:rsidRPr="00AC7430" w:rsidRDefault="000A221A" w:rsidP="00AC7430">
      <w:pPr>
        <w:pStyle w:val="Heading1"/>
        <w:spacing w:line="360" w:lineRule="auto"/>
        <w:jc w:val="both"/>
        <w:rPr>
          <w:rFonts w:ascii="Arial" w:hAnsi="Arial" w:cs="Arial"/>
          <w:color w:val="auto"/>
        </w:rPr>
      </w:pPr>
      <w:bookmarkStart w:id="1" w:name="_Toc215782901"/>
      <w:r w:rsidRPr="00AC7430">
        <w:rPr>
          <w:rFonts w:ascii="Arial" w:hAnsi="Arial" w:cs="Arial"/>
          <w:color w:val="auto"/>
        </w:rPr>
        <w:lastRenderedPageBreak/>
        <w:t xml:space="preserve">2. </w:t>
      </w:r>
      <w:r w:rsidR="00E54F71" w:rsidRPr="00AC7430">
        <w:rPr>
          <w:rFonts w:ascii="Arial" w:hAnsi="Arial" w:cs="Arial"/>
          <w:color w:val="auto"/>
        </w:rPr>
        <w:t>Main Findings</w:t>
      </w:r>
      <w:bookmarkEnd w:id="1"/>
    </w:p>
    <w:p w14:paraId="1ADD1918" w14:textId="258CA10C" w:rsidR="00E54F71" w:rsidRPr="00AC7430" w:rsidRDefault="000A221A" w:rsidP="00AC7430">
      <w:pPr>
        <w:pStyle w:val="Heading2"/>
        <w:spacing w:line="360" w:lineRule="auto"/>
        <w:jc w:val="both"/>
        <w:rPr>
          <w:rFonts w:ascii="Arial" w:hAnsi="Arial" w:cs="Arial"/>
          <w:color w:val="auto"/>
        </w:rPr>
      </w:pPr>
      <w:bookmarkStart w:id="2" w:name="_Toc215782902"/>
      <w:r w:rsidRPr="00AC7430">
        <w:rPr>
          <w:rFonts w:ascii="Arial" w:hAnsi="Arial" w:cs="Arial"/>
          <w:color w:val="auto"/>
        </w:rPr>
        <w:t xml:space="preserve">2.1 </w:t>
      </w:r>
      <w:r w:rsidR="00F35F2C" w:rsidRPr="00AC7430">
        <w:rPr>
          <w:rFonts w:ascii="Arial" w:hAnsi="Arial" w:cs="Arial"/>
          <w:color w:val="auto"/>
        </w:rPr>
        <w:t>PESTLE Analysis</w:t>
      </w:r>
      <w:bookmarkEnd w:id="2"/>
      <w:r w:rsidR="00F35F2C" w:rsidRPr="00AC7430">
        <w:rPr>
          <w:rFonts w:ascii="Arial" w:hAnsi="Arial" w:cs="Arial"/>
          <w:color w:val="auto"/>
        </w:rPr>
        <w:t xml:space="preserve"> </w:t>
      </w:r>
    </w:p>
    <w:p w14:paraId="27A57016" w14:textId="7039D640" w:rsidR="00F35F2C" w:rsidRPr="00AC7430" w:rsidRDefault="00F35F2C" w:rsidP="00AC7430">
      <w:pPr>
        <w:spacing w:line="360" w:lineRule="auto"/>
        <w:jc w:val="both"/>
        <w:rPr>
          <w:rFonts w:ascii="Arial" w:hAnsi="Arial" w:cs="Arial"/>
          <w:b/>
          <w:bCs/>
        </w:rPr>
      </w:pPr>
      <w:r w:rsidRPr="00AC7430">
        <w:rPr>
          <w:rFonts w:ascii="Arial" w:hAnsi="Arial" w:cs="Arial"/>
          <w:b/>
          <w:bCs/>
        </w:rPr>
        <w:t xml:space="preserve">Political and Legal Factors </w:t>
      </w:r>
    </w:p>
    <w:p w14:paraId="43A33D3D" w14:textId="4A3F837E" w:rsidR="00F35F2C" w:rsidRPr="00AC7430" w:rsidRDefault="00F35F2C" w:rsidP="00AC7430">
      <w:pPr>
        <w:spacing w:line="360" w:lineRule="auto"/>
        <w:jc w:val="both"/>
        <w:rPr>
          <w:rFonts w:ascii="Arial" w:hAnsi="Arial" w:cs="Arial"/>
        </w:rPr>
      </w:pPr>
      <w:r w:rsidRPr="00AC7430">
        <w:rPr>
          <w:rFonts w:ascii="Arial" w:hAnsi="Arial" w:cs="Arial"/>
        </w:rPr>
        <w:t xml:space="preserve">UK </w:t>
      </w:r>
      <w:r w:rsidR="00A13353" w:rsidRPr="00AC7430">
        <w:rPr>
          <w:rFonts w:ascii="Arial" w:hAnsi="Arial" w:cs="Arial"/>
        </w:rPr>
        <w:t>policy has</w:t>
      </w:r>
      <w:r w:rsidRPr="00AC7430">
        <w:rPr>
          <w:rFonts w:ascii="Arial" w:hAnsi="Arial" w:cs="Arial"/>
        </w:rPr>
        <w:t xml:space="preserve"> been one of the strongest drivers of EV adoption. The </w:t>
      </w:r>
      <w:r w:rsidR="00A13353" w:rsidRPr="00AC7430">
        <w:rPr>
          <w:rFonts w:ascii="Arial" w:hAnsi="Arial" w:cs="Arial"/>
        </w:rPr>
        <w:t>Department</w:t>
      </w:r>
      <w:r w:rsidRPr="00AC7430">
        <w:rPr>
          <w:rFonts w:ascii="Arial" w:hAnsi="Arial" w:cs="Arial"/>
        </w:rPr>
        <w:t xml:space="preserve"> of Transport</w:t>
      </w:r>
      <w:r w:rsidR="00945B08" w:rsidRPr="00AC7430">
        <w:rPr>
          <w:rFonts w:ascii="Arial" w:hAnsi="Arial" w:cs="Arial"/>
        </w:rPr>
        <w:t xml:space="preserve">’s Electric Vehicle Infrastructure Strategy outlines ambitions for a more reliable and accessible national charging network, placing </w:t>
      </w:r>
      <w:r w:rsidR="00D17023" w:rsidRPr="00AC7430">
        <w:rPr>
          <w:rFonts w:ascii="Arial" w:hAnsi="Arial" w:cs="Arial"/>
        </w:rPr>
        <w:t>particular emphasis on interoperability and fair access (</w:t>
      </w:r>
      <w:r w:rsidR="00A13353" w:rsidRPr="00AC7430">
        <w:rPr>
          <w:rFonts w:ascii="Arial" w:hAnsi="Arial" w:cs="Arial"/>
        </w:rPr>
        <w:t>Department</w:t>
      </w:r>
      <w:r w:rsidR="00D17023" w:rsidRPr="00AC7430">
        <w:rPr>
          <w:rFonts w:ascii="Arial" w:hAnsi="Arial" w:cs="Arial"/>
        </w:rPr>
        <w:t xml:space="preserve"> for Transport, 2022). The Office </w:t>
      </w:r>
      <w:r w:rsidR="00A13353" w:rsidRPr="00AC7430">
        <w:rPr>
          <w:rFonts w:ascii="Arial" w:hAnsi="Arial" w:cs="Arial"/>
        </w:rPr>
        <w:t>for</w:t>
      </w:r>
      <w:r w:rsidR="00D17023" w:rsidRPr="00AC7430">
        <w:rPr>
          <w:rFonts w:ascii="Arial" w:hAnsi="Arial" w:cs="Arial"/>
        </w:rPr>
        <w:t xml:space="preserve"> Zero </w:t>
      </w:r>
      <w:r w:rsidR="003F5060" w:rsidRPr="00AC7430">
        <w:rPr>
          <w:rFonts w:ascii="Arial" w:hAnsi="Arial" w:cs="Arial"/>
        </w:rPr>
        <w:t xml:space="preserve">Emissions Vehicle provides central coordination and long-term directions </w:t>
      </w:r>
      <w:r w:rsidR="0080149F" w:rsidRPr="00AC7430">
        <w:rPr>
          <w:rFonts w:ascii="Arial" w:hAnsi="Arial" w:cs="Arial"/>
        </w:rPr>
        <w:t xml:space="preserve">(gov.uk, 2024). However, the government’s 2022 </w:t>
      </w:r>
      <w:r w:rsidR="00073962" w:rsidRPr="00AC7430">
        <w:rPr>
          <w:rFonts w:ascii="Arial" w:hAnsi="Arial" w:cs="Arial"/>
        </w:rPr>
        <w:t>Review of Net Zero highlights several barriers to delivery</w:t>
      </w:r>
      <w:r w:rsidR="009D1524" w:rsidRPr="00AC7430">
        <w:rPr>
          <w:rFonts w:ascii="Arial" w:hAnsi="Arial" w:cs="Arial"/>
        </w:rPr>
        <w:t xml:space="preserve">, including uncertainty about costs, uneven local authority </w:t>
      </w:r>
      <w:r w:rsidR="00C2502F" w:rsidRPr="00AC7430">
        <w:rPr>
          <w:rFonts w:ascii="Arial" w:hAnsi="Arial" w:cs="Arial"/>
        </w:rPr>
        <w:t xml:space="preserve">capacity and delays in infrastructure deployment (gov.uk, 2022). Parliamentary research also shows </w:t>
      </w:r>
      <w:r w:rsidR="00DB33E2" w:rsidRPr="00AC7430">
        <w:rPr>
          <w:rFonts w:ascii="Arial" w:hAnsi="Arial" w:cs="Arial"/>
        </w:rPr>
        <w:t xml:space="preserve">clear regional inequalities in charging provision, with rural areas </w:t>
      </w:r>
      <w:r w:rsidR="002F2415" w:rsidRPr="00AC7430">
        <w:rPr>
          <w:rFonts w:ascii="Arial" w:hAnsi="Arial" w:cs="Arial"/>
        </w:rPr>
        <w:t>significantly behind urban centres (Dempsey and Hinson, 2024).</w:t>
      </w:r>
    </w:p>
    <w:p w14:paraId="3F42D853" w14:textId="65AEA39C" w:rsidR="002F2415" w:rsidRPr="00AC7430" w:rsidRDefault="00A13353" w:rsidP="00AC7430">
      <w:pPr>
        <w:spacing w:line="360" w:lineRule="auto"/>
        <w:jc w:val="both"/>
        <w:rPr>
          <w:rFonts w:ascii="Arial" w:hAnsi="Arial" w:cs="Arial"/>
        </w:rPr>
      </w:pPr>
      <w:r w:rsidRPr="00AC7430">
        <w:rPr>
          <w:rFonts w:ascii="Arial" w:hAnsi="Arial" w:cs="Arial"/>
        </w:rPr>
        <w:t>Regulators</w:t>
      </w:r>
      <w:r w:rsidR="00144307" w:rsidRPr="00AC7430">
        <w:rPr>
          <w:rFonts w:ascii="Arial" w:hAnsi="Arial" w:cs="Arial"/>
        </w:rPr>
        <w:t xml:space="preserve"> are increasingly involved as well. The Competition and Market Authority</w:t>
      </w:r>
      <w:r w:rsidR="00E6080B" w:rsidRPr="00AC7430">
        <w:rPr>
          <w:rFonts w:ascii="Arial" w:hAnsi="Arial" w:cs="Arial"/>
        </w:rPr>
        <w:t xml:space="preserve"> has warned hat early public- charging markets could become too concentrated among a few operators</w:t>
      </w:r>
      <w:r w:rsidR="008A2A17" w:rsidRPr="00AC7430">
        <w:rPr>
          <w:rFonts w:ascii="Arial" w:hAnsi="Arial" w:cs="Arial"/>
        </w:rPr>
        <w:t xml:space="preserve">, potentially limiting consumer choice (gov.uk, 2020). Technical </w:t>
      </w:r>
      <w:r w:rsidR="000204A4" w:rsidRPr="00AC7430">
        <w:rPr>
          <w:rFonts w:ascii="Arial" w:hAnsi="Arial" w:cs="Arial"/>
        </w:rPr>
        <w:t xml:space="preserve">and safety standards, such </w:t>
      </w:r>
      <w:r w:rsidR="0088569C" w:rsidRPr="00AC7430">
        <w:rPr>
          <w:rFonts w:ascii="Arial" w:hAnsi="Arial" w:cs="Arial"/>
        </w:rPr>
        <w:t xml:space="preserve">as the IEE specification for bidirectional DC charging, shape infrastructure design and influence </w:t>
      </w:r>
      <w:r w:rsidR="00A00D63" w:rsidRPr="00AC7430">
        <w:rPr>
          <w:rFonts w:ascii="Arial" w:hAnsi="Arial" w:cs="Arial"/>
        </w:rPr>
        <w:t>long-term compatibility across netwo</w:t>
      </w:r>
      <w:r w:rsidR="00A6661B" w:rsidRPr="00AC7430">
        <w:rPr>
          <w:rFonts w:ascii="Arial" w:hAnsi="Arial" w:cs="Arial"/>
        </w:rPr>
        <w:t xml:space="preserve">rks </w:t>
      </w:r>
      <w:r w:rsidRPr="00AC7430">
        <w:rPr>
          <w:rFonts w:ascii="Arial" w:hAnsi="Arial" w:cs="Arial"/>
        </w:rPr>
        <w:t>(IEEE</w:t>
      </w:r>
      <w:r w:rsidR="00A6661B" w:rsidRPr="00AC7430">
        <w:rPr>
          <w:rFonts w:ascii="Arial" w:hAnsi="Arial" w:cs="Arial"/>
        </w:rPr>
        <w:t xml:space="preserve">, 2022) </w:t>
      </w:r>
    </w:p>
    <w:p w14:paraId="437F6228" w14:textId="54F19C1D" w:rsidR="001F4290" w:rsidRPr="00AC7430" w:rsidRDefault="001F4290" w:rsidP="00AC7430">
      <w:pPr>
        <w:spacing w:line="360" w:lineRule="auto"/>
        <w:jc w:val="both"/>
        <w:rPr>
          <w:rFonts w:ascii="Arial" w:hAnsi="Arial" w:cs="Arial"/>
          <w:b/>
          <w:bCs/>
        </w:rPr>
      </w:pPr>
      <w:r w:rsidRPr="00AC7430">
        <w:rPr>
          <w:rFonts w:ascii="Arial" w:hAnsi="Arial" w:cs="Arial"/>
          <w:b/>
          <w:bCs/>
        </w:rPr>
        <w:t>Economic Factors</w:t>
      </w:r>
    </w:p>
    <w:p w14:paraId="7709F37D" w14:textId="53F8BD64" w:rsidR="001F4290" w:rsidRPr="00AC7430" w:rsidRDefault="00E3246A" w:rsidP="00AC7430">
      <w:pPr>
        <w:spacing w:line="360" w:lineRule="auto"/>
        <w:jc w:val="both"/>
        <w:rPr>
          <w:rFonts w:ascii="Arial" w:hAnsi="Arial" w:cs="Arial"/>
        </w:rPr>
      </w:pPr>
      <w:r w:rsidRPr="00AC7430">
        <w:rPr>
          <w:rFonts w:ascii="Arial" w:hAnsi="Arial" w:cs="Arial"/>
        </w:rPr>
        <w:t xml:space="preserve">EV uptake is shaped by cost perception, energy prices and consumer </w:t>
      </w:r>
      <w:r w:rsidR="00DA320D" w:rsidRPr="00AC7430">
        <w:rPr>
          <w:rFonts w:ascii="Arial" w:hAnsi="Arial" w:cs="Arial"/>
        </w:rPr>
        <w:t>confidence. Although, global battery costs are declining (IEA, 2024)</w:t>
      </w:r>
      <w:r w:rsidR="008106A1" w:rsidRPr="00AC7430">
        <w:rPr>
          <w:rFonts w:ascii="Arial" w:hAnsi="Arial" w:cs="Arial"/>
        </w:rPr>
        <w:t xml:space="preserve">, UK consumers continue to perceive EVs as expensive. Research </w:t>
      </w:r>
      <w:r w:rsidR="00A03A85" w:rsidRPr="00AC7430">
        <w:rPr>
          <w:rFonts w:ascii="Arial" w:hAnsi="Arial" w:cs="Arial"/>
        </w:rPr>
        <w:t xml:space="preserve">in Spain </w:t>
      </w:r>
      <w:r w:rsidR="005A264B" w:rsidRPr="00AC7430">
        <w:rPr>
          <w:rFonts w:ascii="Arial" w:hAnsi="Arial" w:cs="Arial"/>
        </w:rPr>
        <w:t xml:space="preserve">demonstrates that </w:t>
      </w:r>
      <w:r w:rsidR="00590058" w:rsidRPr="00AC7430">
        <w:rPr>
          <w:rFonts w:ascii="Arial" w:hAnsi="Arial" w:cs="Arial"/>
        </w:rPr>
        <w:t>technological confidence</w:t>
      </w:r>
      <w:r w:rsidR="004E552A" w:rsidRPr="00AC7430">
        <w:rPr>
          <w:rFonts w:ascii="Arial" w:hAnsi="Arial" w:cs="Arial"/>
        </w:rPr>
        <w:t xml:space="preserve"> influences purchasing</w:t>
      </w:r>
      <w:r w:rsidR="007C19F2" w:rsidRPr="00AC7430">
        <w:rPr>
          <w:rFonts w:ascii="Arial" w:hAnsi="Arial" w:cs="Arial"/>
        </w:rPr>
        <w:t xml:space="preserve"> intention, reinfor</w:t>
      </w:r>
      <w:r w:rsidR="00B75FCD" w:rsidRPr="00AC7430">
        <w:rPr>
          <w:rFonts w:ascii="Arial" w:hAnsi="Arial" w:cs="Arial"/>
        </w:rPr>
        <w:t xml:space="preserve">cing </w:t>
      </w:r>
      <w:r w:rsidR="000B312C" w:rsidRPr="00AC7430">
        <w:rPr>
          <w:rFonts w:ascii="Arial" w:hAnsi="Arial" w:cs="Arial"/>
        </w:rPr>
        <w:t>the role of perceived risk (Junquera</w:t>
      </w:r>
      <w:r w:rsidR="00F54FD1" w:rsidRPr="00AC7430">
        <w:rPr>
          <w:rFonts w:ascii="Arial" w:hAnsi="Arial" w:cs="Arial"/>
        </w:rPr>
        <w:t xml:space="preserve"> et al., 2016). A systematic review identifies that adoption depends on the </w:t>
      </w:r>
      <w:r w:rsidR="00B13F36" w:rsidRPr="00AC7430">
        <w:rPr>
          <w:rFonts w:ascii="Arial" w:hAnsi="Arial" w:cs="Arial"/>
        </w:rPr>
        <w:t xml:space="preserve">interaction between economic incentives, organisational capability and policy frameworks (Zaino et al., </w:t>
      </w:r>
      <w:r w:rsidR="003F4E00" w:rsidRPr="00AC7430">
        <w:rPr>
          <w:rFonts w:ascii="Arial" w:hAnsi="Arial" w:cs="Arial"/>
        </w:rPr>
        <w:t>2024). The Uk has emerging strengths in battery systems, powe</w:t>
      </w:r>
      <w:r w:rsidR="00D50A56" w:rsidRPr="00AC7430">
        <w:rPr>
          <w:rFonts w:ascii="Arial" w:hAnsi="Arial" w:cs="Arial"/>
        </w:rPr>
        <w:t>r electronics and EV engineering (</w:t>
      </w:r>
      <w:proofErr w:type="spellStart"/>
      <w:r w:rsidR="00D50A56" w:rsidRPr="00AC7430">
        <w:rPr>
          <w:rFonts w:ascii="Arial" w:hAnsi="Arial" w:cs="Arial"/>
        </w:rPr>
        <w:t>Gaiceanu</w:t>
      </w:r>
      <w:proofErr w:type="spellEnd"/>
      <w:r w:rsidR="00D50A56" w:rsidRPr="00AC7430">
        <w:rPr>
          <w:rFonts w:ascii="Arial" w:hAnsi="Arial" w:cs="Arial"/>
        </w:rPr>
        <w:t xml:space="preserve">, 2022), but investment uncertainty linked </w:t>
      </w:r>
      <w:r w:rsidR="00A82465" w:rsidRPr="00AC7430">
        <w:rPr>
          <w:rFonts w:ascii="Arial" w:hAnsi="Arial" w:cs="Arial"/>
        </w:rPr>
        <w:t xml:space="preserve">to policy shifts may constrain growth (gov.uk, 2022). </w:t>
      </w:r>
    </w:p>
    <w:p w14:paraId="430C9A3F" w14:textId="5E609361" w:rsidR="00A82465" w:rsidRPr="00AC7430" w:rsidRDefault="00A82465" w:rsidP="00AC7430">
      <w:pPr>
        <w:spacing w:line="360" w:lineRule="auto"/>
        <w:jc w:val="both"/>
        <w:rPr>
          <w:rFonts w:ascii="Arial" w:hAnsi="Arial" w:cs="Arial"/>
          <w:b/>
          <w:bCs/>
        </w:rPr>
      </w:pPr>
      <w:r w:rsidRPr="00AC7430">
        <w:rPr>
          <w:rFonts w:ascii="Arial" w:hAnsi="Arial" w:cs="Arial"/>
          <w:b/>
          <w:bCs/>
        </w:rPr>
        <w:t>Social Factors</w:t>
      </w:r>
    </w:p>
    <w:p w14:paraId="4E0DE192" w14:textId="245CE76A" w:rsidR="00E55ECA" w:rsidRPr="00AC7430" w:rsidRDefault="00A82465" w:rsidP="00AC7430">
      <w:pPr>
        <w:spacing w:line="360" w:lineRule="auto"/>
        <w:jc w:val="both"/>
        <w:rPr>
          <w:rFonts w:ascii="Arial" w:hAnsi="Arial" w:cs="Arial"/>
        </w:rPr>
      </w:pPr>
      <w:r w:rsidRPr="00AC7430">
        <w:rPr>
          <w:rFonts w:ascii="Arial" w:hAnsi="Arial" w:cs="Arial"/>
        </w:rPr>
        <w:lastRenderedPageBreak/>
        <w:t>Social acceptance is central to understanding adoption. Research on pro-</w:t>
      </w:r>
      <w:r w:rsidR="00C12232" w:rsidRPr="00AC7430">
        <w:rPr>
          <w:rFonts w:ascii="Arial" w:hAnsi="Arial" w:cs="Arial"/>
        </w:rPr>
        <w:t>environmental</w:t>
      </w:r>
      <w:r w:rsidRPr="00AC7430">
        <w:rPr>
          <w:rFonts w:ascii="Arial" w:hAnsi="Arial" w:cs="Arial"/>
        </w:rPr>
        <w:t xml:space="preserve"> </w:t>
      </w:r>
      <w:r w:rsidR="007A7800" w:rsidRPr="00AC7430">
        <w:rPr>
          <w:rFonts w:ascii="Arial" w:hAnsi="Arial" w:cs="Arial"/>
        </w:rPr>
        <w:t>behaviour shows that sustainable choices depend on attitudes</w:t>
      </w:r>
      <w:r w:rsidR="000E37EF" w:rsidRPr="00AC7430">
        <w:rPr>
          <w:rFonts w:ascii="Arial" w:hAnsi="Arial" w:cs="Arial"/>
        </w:rPr>
        <w:t>, norms and structural support (</w:t>
      </w:r>
      <w:proofErr w:type="spellStart"/>
      <w:r w:rsidR="000E37EF" w:rsidRPr="00AC7430">
        <w:rPr>
          <w:rFonts w:ascii="Arial" w:hAnsi="Arial" w:cs="Arial"/>
        </w:rPr>
        <w:t>Yusliza</w:t>
      </w:r>
      <w:proofErr w:type="spellEnd"/>
      <w:r w:rsidR="000E60CF" w:rsidRPr="00AC7430">
        <w:rPr>
          <w:rFonts w:ascii="Arial" w:hAnsi="Arial" w:cs="Arial"/>
        </w:rPr>
        <w:t xml:space="preserve"> et al., 2020). EV-specific studies demonstrate that </w:t>
      </w:r>
      <w:r w:rsidR="00562E64" w:rsidRPr="00AC7430">
        <w:rPr>
          <w:rFonts w:ascii="Arial" w:hAnsi="Arial" w:cs="Arial"/>
        </w:rPr>
        <w:t>environmental</w:t>
      </w:r>
      <w:r w:rsidR="000E60CF" w:rsidRPr="00AC7430">
        <w:rPr>
          <w:rFonts w:ascii="Arial" w:hAnsi="Arial" w:cs="Arial"/>
        </w:rPr>
        <w:t xml:space="preserve"> </w:t>
      </w:r>
      <w:r w:rsidR="00764920" w:rsidRPr="00AC7430">
        <w:rPr>
          <w:rFonts w:ascii="Arial" w:hAnsi="Arial" w:cs="Arial"/>
        </w:rPr>
        <w:t>concern alone does not guarantee adoption. Convenience, reliability</w:t>
      </w:r>
      <w:r w:rsidR="00DD7F43" w:rsidRPr="00AC7430">
        <w:rPr>
          <w:rFonts w:ascii="Arial" w:hAnsi="Arial" w:cs="Arial"/>
        </w:rPr>
        <w:t xml:space="preserve"> and trust strongly influence behaviour (Rezvani et al., 2015). Range anxiety remains widespread, reinforced </w:t>
      </w:r>
      <w:r w:rsidR="006D5664" w:rsidRPr="00AC7430">
        <w:rPr>
          <w:rFonts w:ascii="Arial" w:hAnsi="Arial" w:cs="Arial"/>
        </w:rPr>
        <w:t xml:space="preserve">by social </w:t>
      </w:r>
      <w:r w:rsidR="00562E64" w:rsidRPr="00AC7430">
        <w:rPr>
          <w:rFonts w:ascii="Arial" w:hAnsi="Arial" w:cs="Arial"/>
        </w:rPr>
        <w:t xml:space="preserve">narratives </w:t>
      </w:r>
      <w:r w:rsidR="006D5664" w:rsidRPr="00AC7430">
        <w:rPr>
          <w:rFonts w:ascii="Arial" w:hAnsi="Arial" w:cs="Arial"/>
        </w:rPr>
        <w:t>and misinformation (Noel et al., 20</w:t>
      </w:r>
      <w:r w:rsidR="00A972D6" w:rsidRPr="00AC7430">
        <w:rPr>
          <w:rFonts w:ascii="Arial" w:hAnsi="Arial" w:cs="Arial"/>
        </w:rPr>
        <w:t>20</w:t>
      </w:r>
      <w:r w:rsidR="006D5664" w:rsidRPr="00AC7430">
        <w:rPr>
          <w:rFonts w:ascii="Arial" w:hAnsi="Arial" w:cs="Arial"/>
        </w:rPr>
        <w:t>). Even in advance</w:t>
      </w:r>
      <w:r w:rsidR="003A536B" w:rsidRPr="00AC7430">
        <w:rPr>
          <w:rFonts w:ascii="Arial" w:hAnsi="Arial" w:cs="Arial"/>
        </w:rPr>
        <w:t xml:space="preserve">d </w:t>
      </w:r>
      <w:r w:rsidR="00562E64" w:rsidRPr="00AC7430">
        <w:rPr>
          <w:rFonts w:ascii="Arial" w:hAnsi="Arial" w:cs="Arial"/>
        </w:rPr>
        <w:t>markets</w:t>
      </w:r>
      <w:r w:rsidR="003A536B" w:rsidRPr="00AC7430">
        <w:rPr>
          <w:rFonts w:ascii="Arial" w:hAnsi="Arial" w:cs="Arial"/>
        </w:rPr>
        <w:t xml:space="preserve"> such as the Nordic region, consumers still report</w:t>
      </w:r>
      <w:r w:rsidR="00147F78" w:rsidRPr="00AC7430">
        <w:rPr>
          <w:rFonts w:ascii="Arial" w:hAnsi="Arial" w:cs="Arial"/>
        </w:rPr>
        <w:t xml:space="preserve"> concerns regarding cost, charging access and technological knowledge (Noel et al.,</w:t>
      </w:r>
      <w:r w:rsidR="00A972D6" w:rsidRPr="00AC7430">
        <w:rPr>
          <w:rFonts w:ascii="Arial" w:hAnsi="Arial" w:cs="Arial"/>
        </w:rPr>
        <w:t xml:space="preserve"> 2020)</w:t>
      </w:r>
      <w:r w:rsidR="00481D70" w:rsidRPr="00AC7430">
        <w:rPr>
          <w:rFonts w:ascii="Arial" w:hAnsi="Arial" w:cs="Arial"/>
        </w:rPr>
        <w:t xml:space="preserve">. These tensions align with </w:t>
      </w:r>
      <w:r w:rsidR="00562E64" w:rsidRPr="00AC7430">
        <w:rPr>
          <w:rFonts w:ascii="Arial" w:hAnsi="Arial" w:cs="Arial"/>
        </w:rPr>
        <w:t>stakeholders’</w:t>
      </w:r>
      <w:r w:rsidR="00481D70" w:rsidRPr="00AC7430">
        <w:rPr>
          <w:rFonts w:ascii="Arial" w:hAnsi="Arial" w:cs="Arial"/>
        </w:rPr>
        <w:t xml:space="preserve"> theory suggesting </w:t>
      </w:r>
      <w:r w:rsidR="00401EC0" w:rsidRPr="00AC7430">
        <w:rPr>
          <w:rFonts w:ascii="Arial" w:hAnsi="Arial" w:cs="Arial"/>
        </w:rPr>
        <w:t>contradictions within systems undergoing transition (Alexander and Hj</w:t>
      </w:r>
      <w:r w:rsidR="00FD1ECE" w:rsidRPr="00AC7430">
        <w:rPr>
          <w:rFonts w:ascii="Arial" w:hAnsi="Arial" w:cs="Arial"/>
        </w:rPr>
        <w:t xml:space="preserve">ortso, 2019) </w:t>
      </w:r>
    </w:p>
    <w:p w14:paraId="0274ED9B" w14:textId="4C7CBDDC" w:rsidR="00FD1ECE" w:rsidRPr="00AC7430" w:rsidRDefault="00FD1ECE" w:rsidP="00AC7430">
      <w:pPr>
        <w:spacing w:line="360" w:lineRule="auto"/>
        <w:jc w:val="both"/>
        <w:rPr>
          <w:rFonts w:ascii="Arial" w:hAnsi="Arial" w:cs="Arial"/>
          <w:b/>
          <w:bCs/>
        </w:rPr>
      </w:pPr>
      <w:r w:rsidRPr="00AC7430">
        <w:rPr>
          <w:rFonts w:ascii="Arial" w:hAnsi="Arial" w:cs="Arial"/>
          <w:b/>
          <w:bCs/>
        </w:rPr>
        <w:t>Technological Factors</w:t>
      </w:r>
    </w:p>
    <w:p w14:paraId="70769AB3" w14:textId="3B746F31" w:rsidR="00FD1ECE" w:rsidRPr="00AC7430" w:rsidRDefault="00B57E95" w:rsidP="00AC7430">
      <w:pPr>
        <w:spacing w:line="360" w:lineRule="auto"/>
        <w:jc w:val="both"/>
        <w:rPr>
          <w:rFonts w:ascii="Arial" w:hAnsi="Arial" w:cs="Arial"/>
        </w:rPr>
      </w:pPr>
      <w:r w:rsidRPr="00AC7430">
        <w:rPr>
          <w:rFonts w:ascii="Arial" w:hAnsi="Arial" w:cs="Arial"/>
        </w:rPr>
        <w:t xml:space="preserve">Technological advancement continues rapidly. Bidirectional charging standards enable new value streams by integrating EVs </w:t>
      </w:r>
      <w:r w:rsidR="00C12232" w:rsidRPr="00AC7430">
        <w:rPr>
          <w:rFonts w:ascii="Arial" w:hAnsi="Arial" w:cs="Arial"/>
        </w:rPr>
        <w:t xml:space="preserve">with energy systems </w:t>
      </w:r>
      <w:r w:rsidR="00562E64" w:rsidRPr="00AC7430">
        <w:rPr>
          <w:rFonts w:ascii="Arial" w:hAnsi="Arial" w:cs="Arial"/>
        </w:rPr>
        <w:t>(IEEE</w:t>
      </w:r>
      <w:r w:rsidR="00C12232" w:rsidRPr="00AC7430">
        <w:rPr>
          <w:rFonts w:ascii="Arial" w:hAnsi="Arial" w:cs="Arial"/>
        </w:rPr>
        <w:t>, 2022)</w:t>
      </w:r>
      <w:r w:rsidR="00562E64" w:rsidRPr="00AC7430">
        <w:rPr>
          <w:rFonts w:ascii="Arial" w:hAnsi="Arial" w:cs="Arial"/>
        </w:rPr>
        <w:t xml:space="preserve">. </w:t>
      </w:r>
      <w:r w:rsidR="00FD4729" w:rsidRPr="00AC7430">
        <w:rPr>
          <w:rFonts w:ascii="Arial" w:hAnsi="Arial" w:cs="Arial"/>
        </w:rPr>
        <w:t xml:space="preserve">While </w:t>
      </w:r>
      <w:r w:rsidR="00AC7430" w:rsidRPr="00AC7430">
        <w:rPr>
          <w:rFonts w:ascii="Arial" w:hAnsi="Arial" w:cs="Arial"/>
        </w:rPr>
        <w:t>wireless</w:t>
      </w:r>
      <w:r w:rsidR="00FD4729" w:rsidRPr="00AC7430">
        <w:rPr>
          <w:rFonts w:ascii="Arial" w:hAnsi="Arial" w:cs="Arial"/>
        </w:rPr>
        <w:t xml:space="preserve"> </w:t>
      </w:r>
      <w:r w:rsidR="007453D4" w:rsidRPr="00AC7430">
        <w:rPr>
          <w:rFonts w:ascii="Arial" w:hAnsi="Arial" w:cs="Arial"/>
        </w:rPr>
        <w:t>charging makes everyday life easier, it also introduces concerns around safety and cybersecurity, highlighti</w:t>
      </w:r>
      <w:r w:rsidR="00BB37A8" w:rsidRPr="00AC7430">
        <w:rPr>
          <w:rFonts w:ascii="Arial" w:hAnsi="Arial" w:cs="Arial"/>
        </w:rPr>
        <w:t xml:space="preserve">ng the need for stronger protections and careful oversight (Niu et al., </w:t>
      </w:r>
      <w:r w:rsidR="000E5BFC" w:rsidRPr="00AC7430">
        <w:rPr>
          <w:rFonts w:ascii="Arial" w:hAnsi="Arial" w:cs="Arial"/>
        </w:rPr>
        <w:t xml:space="preserve">2025). </w:t>
      </w:r>
      <w:r w:rsidR="004840BE" w:rsidRPr="00AC7430">
        <w:rPr>
          <w:rFonts w:ascii="Arial" w:hAnsi="Arial" w:cs="Arial"/>
        </w:rPr>
        <w:t xml:space="preserve">Research shows that unmanaged residential </w:t>
      </w:r>
      <w:r w:rsidR="003A5EAE" w:rsidRPr="00AC7430">
        <w:rPr>
          <w:rFonts w:ascii="Arial" w:hAnsi="Arial" w:cs="Arial"/>
        </w:rPr>
        <w:t>charging can crate congestion in distribution grids, requiring</w:t>
      </w:r>
      <w:r w:rsidR="00170869" w:rsidRPr="00AC7430">
        <w:rPr>
          <w:rFonts w:ascii="Arial" w:hAnsi="Arial" w:cs="Arial"/>
        </w:rPr>
        <w:t xml:space="preserve"> smart charging policies and advanced forecasting (Li and Jenn, 2024). Feder</w:t>
      </w:r>
      <w:r w:rsidR="003720CC" w:rsidRPr="00AC7430">
        <w:rPr>
          <w:rFonts w:ascii="Arial" w:hAnsi="Arial" w:cs="Arial"/>
        </w:rPr>
        <w:t>ated learning models offer innovative methods for predicting energy demand while protecting user privacy (</w:t>
      </w:r>
      <w:proofErr w:type="spellStart"/>
      <w:r w:rsidR="003720CC" w:rsidRPr="00AC7430">
        <w:rPr>
          <w:rFonts w:ascii="Arial" w:hAnsi="Arial" w:cs="Arial"/>
        </w:rPr>
        <w:t>Th</w:t>
      </w:r>
      <w:r w:rsidR="00ED0AC2" w:rsidRPr="00AC7430">
        <w:rPr>
          <w:rFonts w:ascii="Arial" w:hAnsi="Arial" w:cs="Arial"/>
        </w:rPr>
        <w:t>orgeirsson</w:t>
      </w:r>
      <w:proofErr w:type="spellEnd"/>
      <w:r w:rsidR="00ED0AC2" w:rsidRPr="00AC7430">
        <w:rPr>
          <w:rFonts w:ascii="Arial" w:hAnsi="Arial" w:cs="Arial"/>
        </w:rPr>
        <w:t xml:space="preserve">, 2024). These developments highlight </w:t>
      </w:r>
      <w:r w:rsidR="00A55A06" w:rsidRPr="00AC7430">
        <w:rPr>
          <w:rFonts w:ascii="Arial" w:hAnsi="Arial" w:cs="Arial"/>
        </w:rPr>
        <w:t>interdependence between EV technology and the wider soci</w:t>
      </w:r>
      <w:r w:rsidR="00E05A09" w:rsidRPr="00AC7430">
        <w:rPr>
          <w:rFonts w:ascii="Arial" w:hAnsi="Arial" w:cs="Arial"/>
        </w:rPr>
        <w:t xml:space="preserve">o-technical systems. </w:t>
      </w:r>
    </w:p>
    <w:p w14:paraId="649A9F16" w14:textId="7F21A2B4" w:rsidR="00E05A09" w:rsidRPr="00AC7430" w:rsidRDefault="007A7AD4" w:rsidP="00AC7430">
      <w:pPr>
        <w:spacing w:line="360" w:lineRule="auto"/>
        <w:jc w:val="both"/>
        <w:rPr>
          <w:rFonts w:ascii="Arial" w:hAnsi="Arial" w:cs="Arial"/>
          <w:b/>
          <w:bCs/>
        </w:rPr>
      </w:pPr>
      <w:r w:rsidRPr="00AC7430">
        <w:rPr>
          <w:rFonts w:ascii="Arial" w:hAnsi="Arial" w:cs="Arial"/>
          <w:b/>
          <w:bCs/>
        </w:rPr>
        <w:t xml:space="preserve">Environmental Factors </w:t>
      </w:r>
    </w:p>
    <w:p w14:paraId="68F7FEB0" w14:textId="02B586F0" w:rsidR="007A7AD4" w:rsidRPr="00AC7430" w:rsidRDefault="007A7AD4" w:rsidP="00AC7430">
      <w:pPr>
        <w:spacing w:line="360" w:lineRule="auto"/>
        <w:jc w:val="both"/>
        <w:rPr>
          <w:rFonts w:ascii="Arial" w:hAnsi="Arial" w:cs="Arial"/>
        </w:rPr>
      </w:pPr>
      <w:r w:rsidRPr="00AC7430">
        <w:rPr>
          <w:rFonts w:ascii="Arial" w:hAnsi="Arial" w:cs="Arial"/>
        </w:rPr>
        <w:t>Environmental motivations underpin the transition yet require nuanced interpretation</w:t>
      </w:r>
      <w:r w:rsidR="00974CC3" w:rsidRPr="00AC7430">
        <w:rPr>
          <w:rFonts w:ascii="Arial" w:hAnsi="Arial" w:cs="Arial"/>
        </w:rPr>
        <w:t xml:space="preserve">. Life cycle assessment demonstrates that EVs produce lower operational emissions </w:t>
      </w:r>
      <w:r w:rsidR="00C31854" w:rsidRPr="00AC7430">
        <w:rPr>
          <w:rFonts w:ascii="Arial" w:hAnsi="Arial" w:cs="Arial"/>
        </w:rPr>
        <w:t>but shift environmental burdens to battery production and elect</w:t>
      </w:r>
      <w:r w:rsidR="00473C58" w:rsidRPr="00AC7430">
        <w:rPr>
          <w:rFonts w:ascii="Arial" w:hAnsi="Arial" w:cs="Arial"/>
        </w:rPr>
        <w:t>ricity generation (Hawkins et al., 2013)</w:t>
      </w:r>
      <w:r w:rsidR="00B522D7" w:rsidRPr="00AC7430">
        <w:rPr>
          <w:rFonts w:ascii="Arial" w:hAnsi="Arial" w:cs="Arial"/>
        </w:rPr>
        <w:t>. As Plotz et al.</w:t>
      </w:r>
      <w:r w:rsidR="00E87C37" w:rsidRPr="00AC7430">
        <w:rPr>
          <w:rFonts w:ascii="Arial" w:hAnsi="Arial" w:cs="Arial"/>
        </w:rPr>
        <w:t xml:space="preserve"> (2017)</w:t>
      </w:r>
      <w:r w:rsidR="00B522D7" w:rsidRPr="00AC7430">
        <w:rPr>
          <w:rFonts w:ascii="Arial" w:hAnsi="Arial" w:cs="Arial"/>
        </w:rPr>
        <w:t xml:space="preserve"> argues</w:t>
      </w:r>
      <w:r w:rsidR="00D667C2" w:rsidRPr="00AC7430">
        <w:rPr>
          <w:rFonts w:ascii="Arial" w:hAnsi="Arial" w:cs="Arial"/>
        </w:rPr>
        <w:t xml:space="preserve">, plug-in hybrid performance varies depending on user charging </w:t>
      </w:r>
      <w:r w:rsidR="00E87C37" w:rsidRPr="00AC7430">
        <w:rPr>
          <w:rFonts w:ascii="Arial" w:hAnsi="Arial" w:cs="Arial"/>
        </w:rPr>
        <w:t>behaviour and policy incentives</w:t>
      </w:r>
      <w:r w:rsidR="00846436" w:rsidRPr="00AC7430">
        <w:rPr>
          <w:rFonts w:ascii="Arial" w:hAnsi="Arial" w:cs="Arial"/>
        </w:rPr>
        <w:t>. Also, Fields (2021)</w:t>
      </w:r>
      <w:r w:rsidR="00E360F0" w:rsidRPr="00AC7430">
        <w:rPr>
          <w:rFonts w:ascii="Arial" w:hAnsi="Arial" w:cs="Arial"/>
        </w:rPr>
        <w:t xml:space="preserve"> </w:t>
      </w:r>
      <w:r w:rsidR="00B45BDA" w:rsidRPr="00AC7430">
        <w:rPr>
          <w:rFonts w:ascii="Arial" w:hAnsi="Arial" w:cs="Arial"/>
        </w:rPr>
        <w:t>and Dias and Marin</w:t>
      </w:r>
      <w:r w:rsidR="00100281" w:rsidRPr="00AC7430">
        <w:rPr>
          <w:rFonts w:ascii="Arial" w:hAnsi="Arial" w:cs="Arial"/>
        </w:rPr>
        <w:t xml:space="preserve">ho- Araujo (2023) </w:t>
      </w:r>
      <w:r w:rsidR="00E360F0" w:rsidRPr="00AC7430">
        <w:rPr>
          <w:rFonts w:ascii="Arial" w:hAnsi="Arial" w:cs="Arial"/>
        </w:rPr>
        <w:t>stresses</w:t>
      </w:r>
      <w:r w:rsidR="00100281" w:rsidRPr="00AC7430">
        <w:rPr>
          <w:rFonts w:ascii="Arial" w:hAnsi="Arial" w:cs="Arial"/>
        </w:rPr>
        <w:t xml:space="preserve"> </w:t>
      </w:r>
      <w:r w:rsidR="001C36E1" w:rsidRPr="00AC7430">
        <w:rPr>
          <w:rFonts w:ascii="Arial" w:hAnsi="Arial" w:cs="Arial"/>
        </w:rPr>
        <w:t>that EV deployment must align with power sector decarbonisation pathways</w:t>
      </w:r>
      <w:r w:rsidR="00554591" w:rsidRPr="00AC7430">
        <w:rPr>
          <w:rFonts w:ascii="Arial" w:hAnsi="Arial" w:cs="Arial"/>
        </w:rPr>
        <w:t xml:space="preserve"> to keep the sustainability </w:t>
      </w:r>
      <w:r w:rsidR="004F3A73" w:rsidRPr="00AC7430">
        <w:rPr>
          <w:rFonts w:ascii="Arial" w:hAnsi="Arial" w:cs="Arial"/>
        </w:rPr>
        <w:t xml:space="preserve">a systemic approach to innovation. </w:t>
      </w:r>
    </w:p>
    <w:p w14:paraId="52BB0C7C" w14:textId="6041820B" w:rsidR="004F3A73" w:rsidRPr="00AC7430" w:rsidRDefault="000A221A" w:rsidP="00AC7430">
      <w:pPr>
        <w:pStyle w:val="Heading2"/>
        <w:spacing w:line="360" w:lineRule="auto"/>
        <w:jc w:val="both"/>
        <w:rPr>
          <w:rFonts w:ascii="Arial" w:hAnsi="Arial" w:cs="Arial"/>
          <w:color w:val="auto"/>
        </w:rPr>
      </w:pPr>
      <w:bookmarkStart w:id="3" w:name="_Toc215782903"/>
      <w:r w:rsidRPr="00AC7430">
        <w:rPr>
          <w:rFonts w:ascii="Arial" w:hAnsi="Arial" w:cs="Arial"/>
          <w:color w:val="auto"/>
        </w:rPr>
        <w:lastRenderedPageBreak/>
        <w:t xml:space="preserve">2.2 </w:t>
      </w:r>
      <w:r w:rsidR="004F3A73" w:rsidRPr="00AC7430">
        <w:rPr>
          <w:rFonts w:ascii="Arial" w:hAnsi="Arial" w:cs="Arial"/>
          <w:color w:val="auto"/>
        </w:rPr>
        <w:t>SWOT Analysis</w:t>
      </w:r>
      <w:bookmarkEnd w:id="3"/>
      <w:r w:rsidR="004F3A73" w:rsidRPr="00AC7430">
        <w:rPr>
          <w:rFonts w:ascii="Arial" w:hAnsi="Arial" w:cs="Arial"/>
          <w:color w:val="auto"/>
        </w:rPr>
        <w:t xml:space="preserve"> </w:t>
      </w:r>
    </w:p>
    <w:p w14:paraId="7407FF4E" w14:textId="5AC331AC" w:rsidR="004F3A73" w:rsidRPr="00AC7430" w:rsidRDefault="00626C4C" w:rsidP="00AC7430">
      <w:pPr>
        <w:spacing w:line="360" w:lineRule="auto"/>
        <w:jc w:val="both"/>
        <w:rPr>
          <w:rFonts w:ascii="Arial" w:hAnsi="Arial" w:cs="Arial"/>
          <w:b/>
          <w:bCs/>
        </w:rPr>
      </w:pPr>
      <w:r w:rsidRPr="00AC7430">
        <w:rPr>
          <w:rFonts w:ascii="Arial" w:hAnsi="Arial" w:cs="Arial"/>
          <w:b/>
          <w:bCs/>
        </w:rPr>
        <w:t xml:space="preserve">Strengths </w:t>
      </w:r>
    </w:p>
    <w:p w14:paraId="24FBD089" w14:textId="5EAAA054" w:rsidR="00626C4C" w:rsidRPr="00AC7430" w:rsidRDefault="00626C4C" w:rsidP="00AC7430">
      <w:pPr>
        <w:spacing w:line="360" w:lineRule="auto"/>
        <w:jc w:val="both"/>
        <w:rPr>
          <w:rFonts w:ascii="Arial" w:hAnsi="Arial" w:cs="Arial"/>
        </w:rPr>
      </w:pPr>
      <w:r w:rsidRPr="00AC7430">
        <w:rPr>
          <w:rFonts w:ascii="Arial" w:hAnsi="Arial" w:cs="Arial"/>
        </w:rPr>
        <w:t xml:space="preserve">UK strengths include ambitious climate targets, strong research capacity, emerging </w:t>
      </w:r>
      <w:r w:rsidR="00B9302E" w:rsidRPr="00AC7430">
        <w:rPr>
          <w:rFonts w:ascii="Arial" w:hAnsi="Arial" w:cs="Arial"/>
        </w:rPr>
        <w:t>technological expertise and strategic institutional frameworks (</w:t>
      </w:r>
      <w:proofErr w:type="spellStart"/>
      <w:r w:rsidR="00B9302E" w:rsidRPr="00AC7430">
        <w:rPr>
          <w:rFonts w:ascii="Arial" w:hAnsi="Arial" w:cs="Arial"/>
        </w:rPr>
        <w:t>Gaiceanu</w:t>
      </w:r>
      <w:proofErr w:type="spellEnd"/>
      <w:r w:rsidR="00B9302E" w:rsidRPr="00AC7430">
        <w:rPr>
          <w:rFonts w:ascii="Arial" w:hAnsi="Arial" w:cs="Arial"/>
        </w:rPr>
        <w:t>, 2022</w:t>
      </w:r>
      <w:r w:rsidR="003A7CF1" w:rsidRPr="00AC7430">
        <w:rPr>
          <w:rFonts w:ascii="Arial" w:hAnsi="Arial" w:cs="Arial"/>
        </w:rPr>
        <w:t xml:space="preserve">). </w:t>
      </w:r>
      <w:r w:rsidR="00C64C78" w:rsidRPr="00AC7430">
        <w:rPr>
          <w:rFonts w:ascii="Arial" w:hAnsi="Arial" w:cs="Arial"/>
        </w:rPr>
        <w:t xml:space="preserve">Following Department for Transport (2022) </w:t>
      </w:r>
      <w:r w:rsidR="001A1A5F" w:rsidRPr="00AC7430">
        <w:rPr>
          <w:rFonts w:ascii="Arial" w:hAnsi="Arial" w:cs="Arial"/>
        </w:rPr>
        <w:t>report</w:t>
      </w:r>
      <w:r w:rsidR="007B1569" w:rsidRPr="00AC7430">
        <w:rPr>
          <w:rFonts w:ascii="Arial" w:hAnsi="Arial" w:cs="Arial"/>
        </w:rPr>
        <w:t>s</w:t>
      </w:r>
      <w:r w:rsidR="001A1A5F" w:rsidRPr="00AC7430">
        <w:rPr>
          <w:rFonts w:ascii="Arial" w:hAnsi="Arial" w:cs="Arial"/>
        </w:rPr>
        <w:t xml:space="preserve"> </w:t>
      </w:r>
      <w:r w:rsidR="00BF2823" w:rsidRPr="00AC7430">
        <w:rPr>
          <w:rFonts w:ascii="Arial" w:hAnsi="Arial" w:cs="Arial"/>
        </w:rPr>
        <w:t>based on consumers increasing awareness, infrastructure</w:t>
      </w:r>
      <w:r w:rsidR="007B1569" w:rsidRPr="00AC7430">
        <w:rPr>
          <w:rFonts w:ascii="Arial" w:hAnsi="Arial" w:cs="Arial"/>
        </w:rPr>
        <w:t xml:space="preserve"> needs to provide clear direction. </w:t>
      </w:r>
    </w:p>
    <w:p w14:paraId="6B9C7DAF" w14:textId="77777777" w:rsidR="00AC7430" w:rsidRDefault="00AC7430" w:rsidP="00AC7430">
      <w:pPr>
        <w:spacing w:line="360" w:lineRule="auto"/>
        <w:jc w:val="both"/>
        <w:rPr>
          <w:rFonts w:ascii="Arial" w:hAnsi="Arial" w:cs="Arial"/>
          <w:b/>
          <w:bCs/>
        </w:rPr>
      </w:pPr>
    </w:p>
    <w:p w14:paraId="112A7EF2" w14:textId="77777777" w:rsidR="00AC7430" w:rsidRDefault="00AC7430" w:rsidP="00AC7430">
      <w:pPr>
        <w:spacing w:line="360" w:lineRule="auto"/>
        <w:jc w:val="both"/>
        <w:rPr>
          <w:rFonts w:ascii="Arial" w:hAnsi="Arial" w:cs="Arial"/>
          <w:b/>
          <w:bCs/>
        </w:rPr>
      </w:pPr>
    </w:p>
    <w:p w14:paraId="66C1FCB6" w14:textId="6D8E8FAB" w:rsidR="007B1569" w:rsidRPr="00AC7430" w:rsidRDefault="007B1569" w:rsidP="00AC7430">
      <w:pPr>
        <w:spacing w:line="360" w:lineRule="auto"/>
        <w:jc w:val="both"/>
        <w:rPr>
          <w:rFonts w:ascii="Arial" w:hAnsi="Arial" w:cs="Arial"/>
          <w:b/>
          <w:bCs/>
        </w:rPr>
      </w:pPr>
      <w:r w:rsidRPr="00AC7430">
        <w:rPr>
          <w:rFonts w:ascii="Arial" w:hAnsi="Arial" w:cs="Arial"/>
          <w:b/>
          <w:bCs/>
        </w:rPr>
        <w:t xml:space="preserve">Weaknesses </w:t>
      </w:r>
    </w:p>
    <w:p w14:paraId="52067EDD" w14:textId="502784EB" w:rsidR="007B1569" w:rsidRPr="00AC7430" w:rsidRDefault="008B1BC2" w:rsidP="00AC7430">
      <w:pPr>
        <w:spacing w:line="360" w:lineRule="auto"/>
        <w:jc w:val="both"/>
        <w:rPr>
          <w:rFonts w:ascii="Arial" w:hAnsi="Arial" w:cs="Arial"/>
        </w:rPr>
      </w:pPr>
      <w:r w:rsidRPr="00AC7430">
        <w:rPr>
          <w:rFonts w:ascii="Arial" w:hAnsi="Arial" w:cs="Arial"/>
        </w:rPr>
        <w:t>A</w:t>
      </w:r>
      <w:r w:rsidR="009E6781" w:rsidRPr="00AC7430">
        <w:rPr>
          <w:rFonts w:ascii="Arial" w:hAnsi="Arial" w:cs="Arial"/>
        </w:rPr>
        <w:t>s</w:t>
      </w:r>
      <w:r w:rsidRPr="00AC7430">
        <w:rPr>
          <w:rFonts w:ascii="Arial" w:hAnsi="Arial" w:cs="Arial"/>
        </w:rPr>
        <w:t xml:space="preserve"> Dempsey </w:t>
      </w:r>
      <w:r w:rsidR="007C2659" w:rsidRPr="00AC7430">
        <w:rPr>
          <w:rFonts w:ascii="Arial" w:hAnsi="Arial" w:cs="Arial"/>
        </w:rPr>
        <w:t xml:space="preserve">and Hinson (2024) and Rezvani et al. (2015) </w:t>
      </w:r>
      <w:r w:rsidR="00D83620" w:rsidRPr="00AC7430">
        <w:rPr>
          <w:rFonts w:ascii="Arial" w:hAnsi="Arial" w:cs="Arial"/>
        </w:rPr>
        <w:t>highlights the gaps in the infrastructure</w:t>
      </w:r>
      <w:r w:rsidR="00AF351B" w:rsidRPr="00AC7430">
        <w:rPr>
          <w:rFonts w:ascii="Arial" w:hAnsi="Arial" w:cs="Arial"/>
        </w:rPr>
        <w:t xml:space="preserve"> and the uneven public charging access</w:t>
      </w:r>
      <w:r w:rsidR="00473202" w:rsidRPr="00AC7430">
        <w:rPr>
          <w:rFonts w:ascii="Arial" w:hAnsi="Arial" w:cs="Arial"/>
        </w:rPr>
        <w:t xml:space="preserve"> and because of that,</w:t>
      </w:r>
      <w:r w:rsidR="009E6781" w:rsidRPr="00AC7430">
        <w:rPr>
          <w:rFonts w:ascii="Arial" w:hAnsi="Arial" w:cs="Arial"/>
        </w:rPr>
        <w:t xml:space="preserve"> UK lacks large</w:t>
      </w:r>
      <w:r w:rsidR="009361ED" w:rsidRPr="00AC7430">
        <w:rPr>
          <w:rFonts w:ascii="Arial" w:hAnsi="Arial" w:cs="Arial"/>
        </w:rPr>
        <w:t>-</w:t>
      </w:r>
      <w:r w:rsidR="009E6781" w:rsidRPr="00AC7430">
        <w:rPr>
          <w:rFonts w:ascii="Arial" w:hAnsi="Arial" w:cs="Arial"/>
        </w:rPr>
        <w:t>scale</w:t>
      </w:r>
      <w:r w:rsidR="009361ED" w:rsidRPr="00AC7430">
        <w:rPr>
          <w:rFonts w:ascii="Arial" w:hAnsi="Arial" w:cs="Arial"/>
        </w:rPr>
        <w:t xml:space="preserve"> domestic battery manufacturing capability, which </w:t>
      </w:r>
      <w:r w:rsidR="009F2A2D" w:rsidRPr="00AC7430">
        <w:rPr>
          <w:rFonts w:ascii="Arial" w:hAnsi="Arial" w:cs="Arial"/>
        </w:rPr>
        <w:t xml:space="preserve">leads to </w:t>
      </w:r>
      <w:r w:rsidR="002B7577" w:rsidRPr="00AC7430">
        <w:rPr>
          <w:rFonts w:ascii="Arial" w:hAnsi="Arial" w:cs="Arial"/>
        </w:rPr>
        <w:t>dependence on global supply chains</w:t>
      </w:r>
      <w:r w:rsidR="00987E3B" w:rsidRPr="00AC7430">
        <w:rPr>
          <w:rFonts w:ascii="Arial" w:hAnsi="Arial" w:cs="Arial"/>
        </w:rPr>
        <w:t xml:space="preserve">. </w:t>
      </w:r>
    </w:p>
    <w:p w14:paraId="3E4C3C9D" w14:textId="48C90EA7" w:rsidR="00D8689A" w:rsidRPr="00AC7430" w:rsidRDefault="00D8689A" w:rsidP="00AC7430">
      <w:pPr>
        <w:spacing w:line="360" w:lineRule="auto"/>
        <w:jc w:val="both"/>
        <w:rPr>
          <w:rFonts w:ascii="Arial" w:hAnsi="Arial" w:cs="Arial"/>
          <w:b/>
          <w:bCs/>
        </w:rPr>
      </w:pPr>
      <w:r w:rsidRPr="00AC7430">
        <w:rPr>
          <w:rFonts w:ascii="Arial" w:hAnsi="Arial" w:cs="Arial"/>
          <w:b/>
          <w:bCs/>
        </w:rPr>
        <w:t xml:space="preserve">Opportunities </w:t>
      </w:r>
    </w:p>
    <w:p w14:paraId="24BAED8B" w14:textId="4909D082" w:rsidR="007560DE" w:rsidRPr="00AC7430" w:rsidRDefault="007560DE" w:rsidP="00AC7430">
      <w:pPr>
        <w:spacing w:line="360" w:lineRule="auto"/>
        <w:jc w:val="both"/>
        <w:rPr>
          <w:rFonts w:ascii="Arial" w:hAnsi="Arial" w:cs="Arial"/>
        </w:rPr>
      </w:pPr>
      <w:r w:rsidRPr="00AC7430">
        <w:rPr>
          <w:rFonts w:ascii="Arial" w:hAnsi="Arial" w:cs="Arial"/>
        </w:rPr>
        <w:t xml:space="preserve">Opportunities stem from accelerating global EV demand, the expansion of bidirectional </w:t>
      </w:r>
      <w:r w:rsidR="005F1D5D" w:rsidRPr="00AC7430">
        <w:rPr>
          <w:rFonts w:ascii="Arial" w:hAnsi="Arial" w:cs="Arial"/>
        </w:rPr>
        <w:t xml:space="preserve">charging </w:t>
      </w:r>
      <w:r w:rsidR="00BA7C3D" w:rsidRPr="00AC7430">
        <w:rPr>
          <w:rFonts w:ascii="Arial" w:hAnsi="Arial" w:cs="Arial"/>
        </w:rPr>
        <w:t>(IEEE</w:t>
      </w:r>
      <w:r w:rsidR="005F1D5D" w:rsidRPr="00AC7430">
        <w:rPr>
          <w:rFonts w:ascii="Arial" w:hAnsi="Arial" w:cs="Arial"/>
        </w:rPr>
        <w:t>, 2022)</w:t>
      </w:r>
      <w:r w:rsidR="00BA7C3D" w:rsidRPr="00AC7430">
        <w:rPr>
          <w:rFonts w:ascii="Arial" w:hAnsi="Arial" w:cs="Arial"/>
        </w:rPr>
        <w:t>, emerging wireless systems (Niu et al., 2025) and increasingly sophisticated forecasting tools (</w:t>
      </w:r>
      <w:proofErr w:type="spellStart"/>
      <w:r w:rsidR="00BA7C3D" w:rsidRPr="00AC7430">
        <w:rPr>
          <w:rFonts w:ascii="Arial" w:hAnsi="Arial" w:cs="Arial"/>
        </w:rPr>
        <w:t>Thor</w:t>
      </w:r>
      <w:r w:rsidR="00EF15A0" w:rsidRPr="00AC7430">
        <w:rPr>
          <w:rFonts w:ascii="Arial" w:hAnsi="Arial" w:cs="Arial"/>
        </w:rPr>
        <w:t>geirsson</w:t>
      </w:r>
      <w:proofErr w:type="spellEnd"/>
      <w:r w:rsidR="00EF15A0" w:rsidRPr="00AC7430">
        <w:rPr>
          <w:rFonts w:ascii="Arial" w:hAnsi="Arial" w:cs="Arial"/>
        </w:rPr>
        <w:t>, 2024). Enhanced integration with re</w:t>
      </w:r>
      <w:r w:rsidR="00214ADD" w:rsidRPr="00AC7430">
        <w:rPr>
          <w:rFonts w:ascii="Arial" w:hAnsi="Arial" w:cs="Arial"/>
        </w:rPr>
        <w:t>newable energy sources and participation in grid- flexibility services further s</w:t>
      </w:r>
      <w:r w:rsidR="00F33688" w:rsidRPr="00AC7430">
        <w:rPr>
          <w:rFonts w:ascii="Arial" w:hAnsi="Arial" w:cs="Arial"/>
        </w:rPr>
        <w:t xml:space="preserve">trengthen long-term </w:t>
      </w:r>
      <w:r w:rsidR="009E597F" w:rsidRPr="00AC7430">
        <w:rPr>
          <w:rFonts w:ascii="Arial" w:hAnsi="Arial" w:cs="Arial"/>
        </w:rPr>
        <w:t xml:space="preserve">competitiveness, offering firms new avenues for innovation, collaboration and value creation across evolving energy ecosystems. </w:t>
      </w:r>
    </w:p>
    <w:p w14:paraId="3B353D9A" w14:textId="77777777" w:rsidR="004F10DC" w:rsidRPr="00AC7430" w:rsidRDefault="004F10DC" w:rsidP="00AC7430">
      <w:pPr>
        <w:spacing w:line="360" w:lineRule="auto"/>
        <w:jc w:val="both"/>
        <w:rPr>
          <w:rFonts w:ascii="Arial" w:hAnsi="Arial" w:cs="Arial"/>
          <w:b/>
          <w:bCs/>
        </w:rPr>
      </w:pPr>
      <w:r w:rsidRPr="00AC7430">
        <w:rPr>
          <w:rFonts w:ascii="Arial" w:hAnsi="Arial" w:cs="Arial"/>
          <w:b/>
          <w:bCs/>
        </w:rPr>
        <w:t>Threats</w:t>
      </w:r>
    </w:p>
    <w:p w14:paraId="4AB22F9B" w14:textId="113036D8" w:rsidR="00015756" w:rsidRPr="00AC7430" w:rsidRDefault="00C5174F" w:rsidP="00AC7430">
      <w:pPr>
        <w:pStyle w:val="ListParagraph"/>
        <w:numPr>
          <w:ilvl w:val="0"/>
          <w:numId w:val="2"/>
        </w:numPr>
        <w:spacing w:line="360" w:lineRule="auto"/>
        <w:jc w:val="both"/>
        <w:rPr>
          <w:rFonts w:ascii="Arial" w:hAnsi="Arial" w:cs="Arial"/>
        </w:rPr>
      </w:pPr>
      <w:r w:rsidRPr="00AC7430">
        <w:rPr>
          <w:rFonts w:ascii="Arial" w:hAnsi="Arial" w:cs="Arial"/>
        </w:rPr>
        <w:t xml:space="preserve">Persistent uncertainty across policy, markets and consumer behaviour. </w:t>
      </w:r>
    </w:p>
    <w:p w14:paraId="168EA52B" w14:textId="0EC5EF9C" w:rsidR="00015756" w:rsidRPr="00AC7430" w:rsidRDefault="00C5174F" w:rsidP="00AC7430">
      <w:pPr>
        <w:pStyle w:val="ListParagraph"/>
        <w:numPr>
          <w:ilvl w:val="0"/>
          <w:numId w:val="2"/>
        </w:numPr>
        <w:spacing w:line="360" w:lineRule="auto"/>
        <w:jc w:val="both"/>
        <w:rPr>
          <w:rFonts w:ascii="Arial" w:hAnsi="Arial" w:cs="Arial"/>
        </w:rPr>
      </w:pPr>
      <w:r w:rsidRPr="00AC7430">
        <w:rPr>
          <w:rFonts w:ascii="Arial" w:hAnsi="Arial" w:cs="Arial"/>
        </w:rPr>
        <w:t>Regulatory vola</w:t>
      </w:r>
      <w:r w:rsidR="00870442" w:rsidRPr="00AC7430">
        <w:rPr>
          <w:rFonts w:ascii="Arial" w:hAnsi="Arial" w:cs="Arial"/>
        </w:rPr>
        <w:t xml:space="preserve">tility that complicates long term planning and investment decisions (gov.uk, 2022) </w:t>
      </w:r>
    </w:p>
    <w:p w14:paraId="6AC93DF0" w14:textId="1355B27F" w:rsidR="00015756" w:rsidRPr="00AC7430" w:rsidRDefault="00870442" w:rsidP="00AC7430">
      <w:pPr>
        <w:pStyle w:val="ListParagraph"/>
        <w:numPr>
          <w:ilvl w:val="0"/>
          <w:numId w:val="2"/>
        </w:numPr>
        <w:spacing w:line="360" w:lineRule="auto"/>
        <w:jc w:val="both"/>
        <w:rPr>
          <w:rFonts w:ascii="Arial" w:hAnsi="Arial" w:cs="Arial"/>
        </w:rPr>
      </w:pPr>
      <w:r w:rsidRPr="00AC7430">
        <w:rPr>
          <w:rFonts w:ascii="Arial" w:hAnsi="Arial" w:cs="Arial"/>
        </w:rPr>
        <w:t xml:space="preserve">Ongoing grid </w:t>
      </w:r>
      <w:r w:rsidR="00853B29" w:rsidRPr="00AC7430">
        <w:rPr>
          <w:rFonts w:ascii="Arial" w:hAnsi="Arial" w:cs="Arial"/>
        </w:rPr>
        <w:t xml:space="preserve">constraints that limit charging capacity </w:t>
      </w:r>
      <w:r w:rsidR="00B46BAB" w:rsidRPr="00AC7430">
        <w:rPr>
          <w:rFonts w:ascii="Arial" w:hAnsi="Arial" w:cs="Arial"/>
        </w:rPr>
        <w:t xml:space="preserve">and slow regional deployment (Li and Jenn, 2024) </w:t>
      </w:r>
    </w:p>
    <w:p w14:paraId="2DBBEC86" w14:textId="3DBD8A9A" w:rsidR="00015756" w:rsidRPr="00AC7430" w:rsidRDefault="00B46BAB" w:rsidP="00AC7430">
      <w:pPr>
        <w:pStyle w:val="ListParagraph"/>
        <w:numPr>
          <w:ilvl w:val="0"/>
          <w:numId w:val="2"/>
        </w:numPr>
        <w:spacing w:line="360" w:lineRule="auto"/>
        <w:jc w:val="both"/>
        <w:rPr>
          <w:rFonts w:ascii="Arial" w:hAnsi="Arial" w:cs="Arial"/>
        </w:rPr>
      </w:pPr>
      <w:r w:rsidRPr="00AC7430">
        <w:rPr>
          <w:rFonts w:ascii="Arial" w:hAnsi="Arial" w:cs="Arial"/>
        </w:rPr>
        <w:t xml:space="preserve">Social resistance </w:t>
      </w:r>
      <w:r w:rsidR="00ED59F3" w:rsidRPr="00AC7430">
        <w:rPr>
          <w:rFonts w:ascii="Arial" w:hAnsi="Arial" w:cs="Arial"/>
        </w:rPr>
        <w:t xml:space="preserve">driven by misconceptions, cost concerns and uneven public engagement </w:t>
      </w:r>
      <w:r w:rsidR="00CB3D4F" w:rsidRPr="00AC7430">
        <w:rPr>
          <w:rFonts w:ascii="Arial" w:hAnsi="Arial" w:cs="Arial"/>
        </w:rPr>
        <w:t>(</w:t>
      </w:r>
      <w:r w:rsidR="00015756" w:rsidRPr="00AC7430">
        <w:rPr>
          <w:rFonts w:ascii="Arial" w:hAnsi="Arial" w:cs="Arial"/>
        </w:rPr>
        <w:t>Noel et al., 2019)</w:t>
      </w:r>
      <w:r w:rsidR="00E01124" w:rsidRPr="00AC7430">
        <w:rPr>
          <w:rFonts w:ascii="Arial" w:hAnsi="Arial" w:cs="Arial"/>
        </w:rPr>
        <w:t xml:space="preserve">. </w:t>
      </w:r>
    </w:p>
    <w:p w14:paraId="20594267" w14:textId="05B892DA" w:rsidR="00E05A09" w:rsidRPr="00AC7430" w:rsidRDefault="00E01124" w:rsidP="00AC7430">
      <w:pPr>
        <w:pStyle w:val="ListParagraph"/>
        <w:numPr>
          <w:ilvl w:val="0"/>
          <w:numId w:val="2"/>
        </w:numPr>
        <w:spacing w:line="360" w:lineRule="auto"/>
        <w:jc w:val="both"/>
        <w:rPr>
          <w:rFonts w:ascii="Arial" w:hAnsi="Arial" w:cs="Arial"/>
        </w:rPr>
      </w:pPr>
      <w:r w:rsidRPr="00AC7430">
        <w:rPr>
          <w:rFonts w:ascii="Arial" w:hAnsi="Arial" w:cs="Arial"/>
        </w:rPr>
        <w:lastRenderedPageBreak/>
        <w:t>Exposure to supply chain risk, including material scarcity, geopolitical tension and global manufacturing</w:t>
      </w:r>
      <w:r w:rsidR="007427D9" w:rsidRPr="00AC7430">
        <w:rPr>
          <w:rFonts w:ascii="Arial" w:hAnsi="Arial" w:cs="Arial"/>
        </w:rPr>
        <w:t xml:space="preserve"> dependencies, all of </w:t>
      </w:r>
      <w:r w:rsidR="009E597F" w:rsidRPr="00AC7430">
        <w:rPr>
          <w:rFonts w:ascii="Arial" w:hAnsi="Arial" w:cs="Arial"/>
        </w:rPr>
        <w:t>which</w:t>
      </w:r>
      <w:r w:rsidR="007427D9" w:rsidRPr="00AC7430">
        <w:rPr>
          <w:rFonts w:ascii="Arial" w:hAnsi="Arial" w:cs="Arial"/>
        </w:rPr>
        <w:t xml:space="preserve"> increase vulnerability. </w:t>
      </w:r>
    </w:p>
    <w:p w14:paraId="18C704F5" w14:textId="3B72C746" w:rsidR="007427D9" w:rsidRPr="00AC7430" w:rsidRDefault="00CF5F61" w:rsidP="00AC7430">
      <w:pPr>
        <w:spacing w:line="360" w:lineRule="auto"/>
        <w:jc w:val="both"/>
        <w:rPr>
          <w:rFonts w:ascii="Arial" w:hAnsi="Arial" w:cs="Arial"/>
        </w:rPr>
      </w:pPr>
      <w:r w:rsidRPr="00AC7430">
        <w:rPr>
          <w:rFonts w:ascii="Arial" w:hAnsi="Arial" w:cs="Arial"/>
        </w:rPr>
        <w:t xml:space="preserve">These combined pressures create a </w:t>
      </w:r>
      <w:r w:rsidR="00C02A24" w:rsidRPr="00AC7430">
        <w:rPr>
          <w:rFonts w:ascii="Arial" w:hAnsi="Arial" w:cs="Arial"/>
        </w:rPr>
        <w:t xml:space="preserve">challenging environment in which firms must remain highly responsive, develop robust contingency strategies and collaborate closely with policymakers to minimize disruptions and maintain consumer confidence. </w:t>
      </w:r>
    </w:p>
    <w:p w14:paraId="4C685057" w14:textId="7D0BCEA7" w:rsidR="00923EE3" w:rsidRPr="00AC7430" w:rsidRDefault="00155BB8" w:rsidP="00AC7430">
      <w:pPr>
        <w:pStyle w:val="Heading1"/>
        <w:spacing w:line="360" w:lineRule="auto"/>
        <w:jc w:val="both"/>
        <w:rPr>
          <w:rFonts w:ascii="Arial" w:hAnsi="Arial" w:cs="Arial"/>
          <w:color w:val="auto"/>
        </w:rPr>
      </w:pPr>
      <w:bookmarkStart w:id="4" w:name="_Toc215782904"/>
      <w:r w:rsidRPr="00AC7430">
        <w:rPr>
          <w:rFonts w:ascii="Arial" w:hAnsi="Arial" w:cs="Arial"/>
          <w:color w:val="auto"/>
        </w:rPr>
        <w:t>3.</w:t>
      </w:r>
      <w:r w:rsidR="009C4204" w:rsidRPr="00AC7430">
        <w:rPr>
          <w:rFonts w:ascii="Arial" w:hAnsi="Arial" w:cs="Arial"/>
          <w:color w:val="auto"/>
        </w:rPr>
        <w:t>Discussion: Innovation and Decision Making under Uncertainty</w:t>
      </w:r>
      <w:bookmarkEnd w:id="4"/>
      <w:r w:rsidR="009C4204" w:rsidRPr="00AC7430">
        <w:rPr>
          <w:rFonts w:ascii="Arial" w:hAnsi="Arial" w:cs="Arial"/>
          <w:color w:val="auto"/>
        </w:rPr>
        <w:t xml:space="preserve"> </w:t>
      </w:r>
    </w:p>
    <w:p w14:paraId="1A1604E0" w14:textId="5D19C426" w:rsidR="004A12F7" w:rsidRPr="00AC7430" w:rsidRDefault="00A73EEC" w:rsidP="00AC7430">
      <w:pPr>
        <w:spacing w:line="360" w:lineRule="auto"/>
        <w:jc w:val="both"/>
        <w:rPr>
          <w:rFonts w:ascii="Arial" w:hAnsi="Arial" w:cs="Arial"/>
        </w:rPr>
      </w:pPr>
      <w:r w:rsidRPr="00AC7430">
        <w:rPr>
          <w:rFonts w:ascii="Arial" w:hAnsi="Arial" w:cs="Arial"/>
        </w:rPr>
        <w:t xml:space="preserve">Both Proctor (2014) and Adair (2010) </w:t>
      </w:r>
      <w:r w:rsidR="00155BB8" w:rsidRPr="00AC7430">
        <w:rPr>
          <w:rFonts w:ascii="Arial" w:hAnsi="Arial" w:cs="Arial"/>
        </w:rPr>
        <w:t>dictate</w:t>
      </w:r>
      <w:r w:rsidR="00BE2037" w:rsidRPr="00AC7430">
        <w:rPr>
          <w:rFonts w:ascii="Arial" w:hAnsi="Arial" w:cs="Arial"/>
        </w:rPr>
        <w:t xml:space="preserve"> that i</w:t>
      </w:r>
      <w:r w:rsidRPr="00AC7430">
        <w:rPr>
          <w:rFonts w:ascii="Arial" w:hAnsi="Arial" w:cs="Arial"/>
        </w:rPr>
        <w:t>nnovation</w:t>
      </w:r>
      <w:r w:rsidR="00F50000" w:rsidRPr="00AC7430">
        <w:rPr>
          <w:rFonts w:ascii="Arial" w:hAnsi="Arial" w:cs="Arial"/>
        </w:rPr>
        <w:t xml:space="preserve"> theory suggests that effective problem-solving in dynamic contexts requires creativity</w:t>
      </w:r>
      <w:r w:rsidR="00FE3D3C" w:rsidRPr="00AC7430">
        <w:rPr>
          <w:rFonts w:ascii="Arial" w:hAnsi="Arial" w:cs="Arial"/>
        </w:rPr>
        <w:t>, cross-disciplinary collaboration and iterative experimentation</w:t>
      </w:r>
      <w:r w:rsidR="00BE2037" w:rsidRPr="00AC7430">
        <w:rPr>
          <w:rFonts w:ascii="Arial" w:hAnsi="Arial" w:cs="Arial"/>
        </w:rPr>
        <w:t xml:space="preserve">. </w:t>
      </w:r>
      <w:r w:rsidR="00AC06C2" w:rsidRPr="00AC7430">
        <w:rPr>
          <w:rFonts w:ascii="Arial" w:hAnsi="Arial" w:cs="Arial"/>
        </w:rPr>
        <w:t>Sustainability scholars, Fields</w:t>
      </w:r>
      <w:r w:rsidR="00E218FC" w:rsidRPr="00AC7430">
        <w:rPr>
          <w:rFonts w:ascii="Arial" w:hAnsi="Arial" w:cs="Arial"/>
        </w:rPr>
        <w:t xml:space="preserve"> (2021) and Dias and Marinho</w:t>
      </w:r>
      <w:r w:rsidR="00DA7000" w:rsidRPr="00AC7430">
        <w:rPr>
          <w:rFonts w:ascii="Arial" w:hAnsi="Arial" w:cs="Arial"/>
        </w:rPr>
        <w:t>- Araujo (2023) emphasise th</w:t>
      </w:r>
      <w:r w:rsidR="009D7B77" w:rsidRPr="00AC7430">
        <w:rPr>
          <w:rFonts w:ascii="Arial" w:hAnsi="Arial" w:cs="Arial"/>
        </w:rPr>
        <w:t>at transition demand</w:t>
      </w:r>
      <w:r w:rsidR="00710C80" w:rsidRPr="00AC7430">
        <w:rPr>
          <w:rFonts w:ascii="Arial" w:hAnsi="Arial" w:cs="Arial"/>
        </w:rPr>
        <w:t xml:space="preserve"> systemic thinking and integration across energy, mobility and behavioural systems</w:t>
      </w:r>
      <w:r w:rsidR="00155BB8" w:rsidRPr="00AC7430">
        <w:rPr>
          <w:rFonts w:ascii="Arial" w:hAnsi="Arial" w:cs="Arial"/>
        </w:rPr>
        <w:t xml:space="preserve">. </w:t>
      </w:r>
      <w:r w:rsidR="004A12F7" w:rsidRPr="00AC7430">
        <w:rPr>
          <w:rFonts w:ascii="Arial" w:hAnsi="Arial" w:cs="Arial"/>
        </w:rPr>
        <w:t>Applying these frameworks, the UK EV</w:t>
      </w:r>
      <w:r w:rsidR="00C356AA" w:rsidRPr="00AC7430">
        <w:rPr>
          <w:rFonts w:ascii="Arial" w:hAnsi="Arial" w:cs="Arial"/>
        </w:rPr>
        <w:t xml:space="preserve"> sector must move beyond linear planning and adopt approaches that embrace </w:t>
      </w:r>
      <w:r w:rsidR="004047EB" w:rsidRPr="00AC7430">
        <w:rPr>
          <w:rFonts w:ascii="Arial" w:hAnsi="Arial" w:cs="Arial"/>
        </w:rPr>
        <w:t>complexity</w:t>
      </w:r>
      <w:r w:rsidR="00562135" w:rsidRPr="00AC7430">
        <w:rPr>
          <w:rFonts w:ascii="Arial" w:hAnsi="Arial" w:cs="Arial"/>
        </w:rPr>
        <w:t xml:space="preserve">. </w:t>
      </w:r>
    </w:p>
    <w:p w14:paraId="23237E76" w14:textId="0CEE890E" w:rsidR="00562135" w:rsidRPr="00AC7430" w:rsidRDefault="00562135" w:rsidP="00AC7430">
      <w:pPr>
        <w:spacing w:line="360" w:lineRule="auto"/>
        <w:jc w:val="both"/>
        <w:rPr>
          <w:rFonts w:ascii="Arial" w:hAnsi="Arial" w:cs="Arial"/>
        </w:rPr>
      </w:pPr>
      <w:r w:rsidRPr="00AC7430">
        <w:rPr>
          <w:rFonts w:ascii="Arial" w:hAnsi="Arial" w:cs="Arial"/>
        </w:rPr>
        <w:t xml:space="preserve">Decision Making under Deep Uncertainty provides a </w:t>
      </w:r>
      <w:r w:rsidR="004047EB" w:rsidRPr="00AC7430">
        <w:rPr>
          <w:rFonts w:ascii="Arial" w:hAnsi="Arial" w:cs="Arial"/>
        </w:rPr>
        <w:t>theoretical</w:t>
      </w:r>
      <w:r w:rsidRPr="00AC7430">
        <w:rPr>
          <w:rFonts w:ascii="Arial" w:hAnsi="Arial" w:cs="Arial"/>
        </w:rPr>
        <w:t xml:space="preserve"> foundation for robust planning </w:t>
      </w:r>
      <w:r w:rsidR="00A44B80" w:rsidRPr="00AC7430">
        <w:rPr>
          <w:rFonts w:ascii="Arial" w:hAnsi="Arial" w:cs="Arial"/>
        </w:rPr>
        <w:t xml:space="preserve">in unpredictable </w:t>
      </w:r>
      <w:r w:rsidR="004047EB" w:rsidRPr="00AC7430">
        <w:rPr>
          <w:rFonts w:ascii="Arial" w:hAnsi="Arial" w:cs="Arial"/>
        </w:rPr>
        <w:t>environments</w:t>
      </w:r>
      <w:r w:rsidR="00A44B80" w:rsidRPr="00AC7430">
        <w:rPr>
          <w:rFonts w:ascii="Arial" w:hAnsi="Arial" w:cs="Arial"/>
        </w:rPr>
        <w:t xml:space="preserve"> (</w:t>
      </w:r>
      <w:proofErr w:type="spellStart"/>
      <w:r w:rsidR="00A44B80" w:rsidRPr="00AC7430">
        <w:rPr>
          <w:rFonts w:ascii="Arial" w:hAnsi="Arial" w:cs="Arial"/>
        </w:rPr>
        <w:t>Marchau</w:t>
      </w:r>
      <w:proofErr w:type="spellEnd"/>
      <w:r w:rsidR="00A44B80" w:rsidRPr="00AC7430">
        <w:rPr>
          <w:rFonts w:ascii="Arial" w:hAnsi="Arial" w:cs="Arial"/>
        </w:rPr>
        <w:t xml:space="preserve">, 2019). Rather than relying </w:t>
      </w:r>
      <w:r w:rsidR="003820EF" w:rsidRPr="00AC7430">
        <w:rPr>
          <w:rFonts w:ascii="Arial" w:hAnsi="Arial" w:cs="Arial"/>
        </w:rPr>
        <w:t>on single forecasts, organisations are encouraged to explore a range of plausible futures</w:t>
      </w:r>
      <w:r w:rsidR="004A1ED0" w:rsidRPr="00AC7430">
        <w:rPr>
          <w:rFonts w:ascii="Arial" w:hAnsi="Arial" w:cs="Arial"/>
        </w:rPr>
        <w:t>, stress- test strategies and priorities</w:t>
      </w:r>
      <w:r w:rsidR="00423B97" w:rsidRPr="00AC7430">
        <w:rPr>
          <w:rFonts w:ascii="Arial" w:hAnsi="Arial" w:cs="Arial"/>
        </w:rPr>
        <w:t xml:space="preserve"> adaptability (Malekpour et al., 2020). This approach</w:t>
      </w:r>
      <w:r w:rsidR="00F51326" w:rsidRPr="00AC7430">
        <w:rPr>
          <w:rFonts w:ascii="Arial" w:hAnsi="Arial" w:cs="Arial"/>
        </w:rPr>
        <w:t xml:space="preserve"> aligns with empirical evidence that charging demand varies significantly across regions and socio</w:t>
      </w:r>
      <w:r w:rsidR="000C0EB3" w:rsidRPr="00AC7430">
        <w:rPr>
          <w:rFonts w:ascii="Arial" w:hAnsi="Arial" w:cs="Arial"/>
        </w:rPr>
        <w:t>-technical contexts (Li and Jenn, 2024)</w:t>
      </w:r>
      <w:r w:rsidR="004047EB" w:rsidRPr="00AC7430">
        <w:rPr>
          <w:rFonts w:ascii="Arial" w:hAnsi="Arial" w:cs="Arial"/>
        </w:rPr>
        <w:t xml:space="preserve">. </w:t>
      </w:r>
    </w:p>
    <w:p w14:paraId="426A7FC2" w14:textId="7BF193E7" w:rsidR="006C189D" w:rsidRPr="00AC7430" w:rsidRDefault="008C1258" w:rsidP="00AC7430">
      <w:pPr>
        <w:spacing w:line="360" w:lineRule="auto"/>
        <w:jc w:val="both"/>
        <w:rPr>
          <w:rFonts w:ascii="Arial" w:hAnsi="Arial" w:cs="Arial"/>
        </w:rPr>
      </w:pPr>
      <w:r w:rsidRPr="00AC7430">
        <w:rPr>
          <w:rFonts w:ascii="Arial" w:hAnsi="Arial" w:cs="Arial"/>
        </w:rPr>
        <w:t xml:space="preserve">Behavioural research reinforces that social legitimacy influences transition success. Addressing </w:t>
      </w:r>
      <w:r w:rsidR="00B961E9" w:rsidRPr="00AC7430">
        <w:rPr>
          <w:rFonts w:ascii="Arial" w:hAnsi="Arial" w:cs="Arial"/>
        </w:rPr>
        <w:t>misinformation around EV range bui</w:t>
      </w:r>
      <w:r w:rsidR="00753003" w:rsidRPr="00AC7430">
        <w:rPr>
          <w:rFonts w:ascii="Arial" w:hAnsi="Arial" w:cs="Arial"/>
        </w:rPr>
        <w:t xml:space="preserve">lds </w:t>
      </w:r>
      <w:r w:rsidR="00610D02" w:rsidRPr="00AC7430">
        <w:rPr>
          <w:rFonts w:ascii="Arial" w:hAnsi="Arial" w:cs="Arial"/>
        </w:rPr>
        <w:t xml:space="preserve">trust in charging reliability, engage communities in decision making </w:t>
      </w:r>
      <w:r w:rsidR="00B74DB8" w:rsidRPr="00AC7430">
        <w:rPr>
          <w:rFonts w:ascii="Arial" w:hAnsi="Arial" w:cs="Arial"/>
        </w:rPr>
        <w:t xml:space="preserve">and are </w:t>
      </w:r>
      <w:r w:rsidR="00E339B9" w:rsidRPr="00AC7430">
        <w:rPr>
          <w:rFonts w:ascii="Arial" w:hAnsi="Arial" w:cs="Arial"/>
        </w:rPr>
        <w:t>essential for durable adoption (Alexander and Hjortso, 2019). Th</w:t>
      </w:r>
      <w:r w:rsidR="006C189D" w:rsidRPr="00AC7430">
        <w:rPr>
          <w:rFonts w:ascii="Arial" w:hAnsi="Arial" w:cs="Arial"/>
        </w:rPr>
        <w:t xml:space="preserve">is insight illustrates how innovation must be socially grounded as well as technologically advanced. </w:t>
      </w:r>
    </w:p>
    <w:p w14:paraId="630293A5" w14:textId="5FA6F0A5" w:rsidR="006C189D" w:rsidRPr="00AC7430" w:rsidRDefault="006C189D" w:rsidP="00AC7430">
      <w:pPr>
        <w:pStyle w:val="Heading1"/>
        <w:spacing w:line="360" w:lineRule="auto"/>
        <w:jc w:val="both"/>
        <w:rPr>
          <w:rFonts w:ascii="Arial" w:hAnsi="Arial" w:cs="Arial"/>
          <w:color w:val="auto"/>
        </w:rPr>
      </w:pPr>
      <w:bookmarkStart w:id="5" w:name="_Toc215782905"/>
      <w:r w:rsidRPr="00AC7430">
        <w:rPr>
          <w:rFonts w:ascii="Arial" w:hAnsi="Arial" w:cs="Arial"/>
          <w:color w:val="auto"/>
        </w:rPr>
        <w:t>4. Conclusion</w:t>
      </w:r>
      <w:bookmarkEnd w:id="5"/>
      <w:r w:rsidRPr="00AC7430">
        <w:rPr>
          <w:rFonts w:ascii="Arial" w:hAnsi="Arial" w:cs="Arial"/>
          <w:color w:val="auto"/>
        </w:rPr>
        <w:t xml:space="preserve"> </w:t>
      </w:r>
    </w:p>
    <w:p w14:paraId="72F7A1B9" w14:textId="6E67183B" w:rsidR="006C189D" w:rsidRPr="00AC7430" w:rsidRDefault="00E64455" w:rsidP="00AC7430">
      <w:pPr>
        <w:spacing w:line="360" w:lineRule="auto"/>
        <w:jc w:val="both"/>
        <w:rPr>
          <w:rFonts w:ascii="Arial" w:hAnsi="Arial" w:cs="Arial"/>
        </w:rPr>
      </w:pPr>
      <w:r w:rsidRPr="00AC7430">
        <w:rPr>
          <w:rFonts w:ascii="Arial" w:hAnsi="Arial" w:cs="Arial"/>
        </w:rPr>
        <w:t xml:space="preserve">The UK EV industry operates within a complex external environment characterised by strong political ambition, rapid technological change and significant uncertainty. While </w:t>
      </w:r>
      <w:r w:rsidRPr="00AC7430">
        <w:rPr>
          <w:rFonts w:ascii="Arial" w:hAnsi="Arial" w:cs="Arial"/>
        </w:rPr>
        <w:lastRenderedPageBreak/>
        <w:t xml:space="preserve">the UK contains substantial strengths </w:t>
      </w:r>
      <w:r w:rsidR="00226A88" w:rsidRPr="00AC7430">
        <w:rPr>
          <w:rFonts w:ascii="Arial" w:hAnsi="Arial" w:cs="Arial"/>
        </w:rPr>
        <w:t xml:space="preserve">in climate policy, research capacity and emerging technical expertise, weaknesses </w:t>
      </w:r>
      <w:r w:rsidR="00D424B2" w:rsidRPr="00AC7430">
        <w:rPr>
          <w:rFonts w:ascii="Arial" w:hAnsi="Arial" w:cs="Arial"/>
        </w:rPr>
        <w:t xml:space="preserve">in infrastructure equity, consumer confidence and regulatory stability persist. </w:t>
      </w:r>
    </w:p>
    <w:p w14:paraId="05E9E434" w14:textId="557A5419" w:rsidR="00724F92" w:rsidRPr="00AC7430" w:rsidRDefault="00724F92" w:rsidP="00AC7430">
      <w:pPr>
        <w:spacing w:line="360" w:lineRule="auto"/>
        <w:jc w:val="both"/>
        <w:rPr>
          <w:rFonts w:ascii="Arial" w:hAnsi="Arial" w:cs="Arial"/>
        </w:rPr>
      </w:pPr>
      <w:r w:rsidRPr="00AC7430">
        <w:rPr>
          <w:rFonts w:ascii="Arial" w:hAnsi="Arial" w:cs="Arial"/>
        </w:rPr>
        <w:t xml:space="preserve">Opportunities in smart charging, interoperability and integration with renewable energy contrast with threats </w:t>
      </w:r>
      <w:r w:rsidR="004600E3" w:rsidRPr="00AC7430">
        <w:rPr>
          <w:rFonts w:ascii="Arial" w:hAnsi="Arial" w:cs="Arial"/>
        </w:rPr>
        <w:t xml:space="preserve">arising from grid constraints, social resistance and supply chain exposure. </w:t>
      </w:r>
      <w:r w:rsidR="00D87BA1" w:rsidRPr="00AC7430">
        <w:rPr>
          <w:rFonts w:ascii="Arial" w:hAnsi="Arial" w:cs="Arial"/>
        </w:rPr>
        <w:t>Addressing</w:t>
      </w:r>
      <w:r w:rsidR="004600E3" w:rsidRPr="00AC7430">
        <w:rPr>
          <w:rFonts w:ascii="Arial" w:hAnsi="Arial" w:cs="Arial"/>
        </w:rPr>
        <w:t xml:space="preserve"> </w:t>
      </w:r>
      <w:r w:rsidR="00CF563E" w:rsidRPr="00AC7430">
        <w:rPr>
          <w:rFonts w:ascii="Arial" w:hAnsi="Arial" w:cs="Arial"/>
        </w:rPr>
        <w:t>these challenges requires firms to adopt adaptive, innovation-</w:t>
      </w:r>
      <w:r w:rsidR="00D87BA1" w:rsidRPr="00AC7430">
        <w:rPr>
          <w:rFonts w:ascii="Arial" w:hAnsi="Arial" w:cs="Arial"/>
        </w:rPr>
        <w:t>centred</w:t>
      </w:r>
      <w:r w:rsidR="00CF563E" w:rsidRPr="00AC7430">
        <w:rPr>
          <w:rFonts w:ascii="Arial" w:hAnsi="Arial" w:cs="Arial"/>
        </w:rPr>
        <w:t xml:space="preserve"> </w:t>
      </w:r>
      <w:r w:rsidR="00D87BA1" w:rsidRPr="00AC7430">
        <w:rPr>
          <w:rFonts w:ascii="Arial" w:hAnsi="Arial" w:cs="Arial"/>
        </w:rPr>
        <w:t xml:space="preserve">and socially informed strategies. </w:t>
      </w:r>
    </w:p>
    <w:p w14:paraId="28843ECB" w14:textId="23EE5DC4" w:rsidR="00D81418" w:rsidRPr="00AC7430" w:rsidRDefault="00D81418" w:rsidP="00AC7430">
      <w:pPr>
        <w:spacing w:line="360" w:lineRule="auto"/>
        <w:jc w:val="both"/>
        <w:rPr>
          <w:rFonts w:ascii="Arial" w:hAnsi="Arial" w:cs="Arial"/>
        </w:rPr>
      </w:pPr>
      <w:r w:rsidRPr="00AC7430">
        <w:rPr>
          <w:rFonts w:ascii="Arial" w:hAnsi="Arial" w:cs="Arial"/>
        </w:rPr>
        <w:t xml:space="preserve">Moreover, effective progress will depend </w:t>
      </w:r>
      <w:r w:rsidR="004B7131" w:rsidRPr="00AC7430">
        <w:rPr>
          <w:rFonts w:ascii="Arial" w:hAnsi="Arial" w:cs="Arial"/>
        </w:rPr>
        <w:t>on consistent policy signals, long term investment commitment and collaborative partnership between government, industry and local communities. The pace of technological development</w:t>
      </w:r>
      <w:r w:rsidR="006B4930" w:rsidRPr="00AC7430">
        <w:rPr>
          <w:rFonts w:ascii="Arial" w:hAnsi="Arial" w:cs="Arial"/>
        </w:rPr>
        <w:t xml:space="preserve"> also demands </w:t>
      </w:r>
      <w:r w:rsidR="00A84618" w:rsidRPr="00AC7430">
        <w:rPr>
          <w:rFonts w:ascii="Arial" w:hAnsi="Arial" w:cs="Arial"/>
        </w:rPr>
        <w:t>continuous</w:t>
      </w:r>
      <w:r w:rsidR="006B4930" w:rsidRPr="00AC7430">
        <w:rPr>
          <w:rFonts w:ascii="Arial" w:hAnsi="Arial" w:cs="Arial"/>
        </w:rPr>
        <w:t xml:space="preserve"> workforce upskilling and the creation of flexible regulatory </w:t>
      </w:r>
      <w:r w:rsidR="00E16BF1" w:rsidRPr="00AC7430">
        <w:rPr>
          <w:rFonts w:ascii="Arial" w:hAnsi="Arial" w:cs="Arial"/>
        </w:rPr>
        <w:t xml:space="preserve">frameworks capable of responding to evolving risks. As consumers expectations shift, manufacturers </w:t>
      </w:r>
      <w:r w:rsidR="003B63CD" w:rsidRPr="00AC7430">
        <w:rPr>
          <w:rFonts w:ascii="Arial" w:hAnsi="Arial" w:cs="Arial"/>
        </w:rPr>
        <w:t xml:space="preserve">and policymakers must prioritize transparency, affordability </w:t>
      </w:r>
      <w:r w:rsidR="00B5176E" w:rsidRPr="00AC7430">
        <w:rPr>
          <w:rFonts w:ascii="Arial" w:hAnsi="Arial" w:cs="Arial"/>
        </w:rPr>
        <w:t>and accessibility to maintain trust and encourage widespread adoption. Through strategic</w:t>
      </w:r>
      <w:r w:rsidR="00A84618" w:rsidRPr="00AC7430">
        <w:rPr>
          <w:rFonts w:ascii="Arial" w:hAnsi="Arial" w:cs="Arial"/>
        </w:rPr>
        <w:t xml:space="preserve"> coordination and evidence-based decision-making, the UK can strengthen resilience and position itself competitively within the global transition to electrified transport.</w:t>
      </w:r>
    </w:p>
    <w:p w14:paraId="0ABA4780" w14:textId="3E7E6A2D" w:rsidR="00EF5D95" w:rsidRPr="00AC7430" w:rsidRDefault="00FA61A1" w:rsidP="00AC7430">
      <w:pPr>
        <w:pStyle w:val="Heading1"/>
        <w:spacing w:line="360" w:lineRule="auto"/>
        <w:jc w:val="both"/>
        <w:rPr>
          <w:rFonts w:ascii="Arial" w:hAnsi="Arial" w:cs="Arial"/>
          <w:color w:val="auto"/>
        </w:rPr>
      </w:pPr>
      <w:bookmarkStart w:id="6" w:name="_Toc215782906"/>
      <w:r w:rsidRPr="00AC7430">
        <w:rPr>
          <w:rFonts w:ascii="Arial" w:hAnsi="Arial" w:cs="Arial"/>
          <w:color w:val="auto"/>
        </w:rPr>
        <w:t>5. Recommendations</w:t>
      </w:r>
      <w:bookmarkEnd w:id="6"/>
      <w:r w:rsidRPr="00AC7430">
        <w:rPr>
          <w:rFonts w:ascii="Arial" w:hAnsi="Arial" w:cs="Arial"/>
          <w:color w:val="auto"/>
        </w:rPr>
        <w:t xml:space="preserve"> </w:t>
      </w:r>
    </w:p>
    <w:p w14:paraId="2148616F" w14:textId="22329CE8" w:rsidR="00FA61A1" w:rsidRPr="00AC7430" w:rsidRDefault="00FA61A1" w:rsidP="00AC7430">
      <w:pPr>
        <w:spacing w:line="360" w:lineRule="auto"/>
        <w:jc w:val="both"/>
        <w:rPr>
          <w:rFonts w:ascii="Arial" w:hAnsi="Arial" w:cs="Arial"/>
        </w:rPr>
      </w:pPr>
      <w:r w:rsidRPr="00AC7430">
        <w:rPr>
          <w:rFonts w:ascii="Arial" w:hAnsi="Arial" w:cs="Arial"/>
          <w:b/>
          <w:bCs/>
        </w:rPr>
        <w:t>Recommendation 1</w:t>
      </w:r>
      <w:r w:rsidRPr="00AC7430">
        <w:rPr>
          <w:rFonts w:ascii="Arial" w:hAnsi="Arial" w:cs="Arial"/>
        </w:rPr>
        <w:t xml:space="preserve">: Implement </w:t>
      </w:r>
      <w:r w:rsidR="00490771" w:rsidRPr="00AC7430">
        <w:rPr>
          <w:rFonts w:ascii="Arial" w:hAnsi="Arial" w:cs="Arial"/>
        </w:rPr>
        <w:t xml:space="preserve">uncertainty-aware, adaptive planning frameworks. </w:t>
      </w:r>
    </w:p>
    <w:p w14:paraId="1DF6CB32" w14:textId="433820F1" w:rsidR="00490771" w:rsidRPr="00AC7430" w:rsidRDefault="00490771" w:rsidP="00AC7430">
      <w:pPr>
        <w:spacing w:line="360" w:lineRule="auto"/>
        <w:jc w:val="both"/>
        <w:rPr>
          <w:rFonts w:ascii="Arial" w:hAnsi="Arial" w:cs="Arial"/>
        </w:rPr>
      </w:pPr>
      <w:r w:rsidRPr="00AC7430">
        <w:rPr>
          <w:rFonts w:ascii="Arial" w:hAnsi="Arial" w:cs="Arial"/>
        </w:rPr>
        <w:t xml:space="preserve">Firms should adopt DMDU principles supported by </w:t>
      </w:r>
      <w:r w:rsidR="00B9478C" w:rsidRPr="00AC7430">
        <w:rPr>
          <w:rFonts w:ascii="Arial" w:hAnsi="Arial" w:cs="Arial"/>
        </w:rPr>
        <w:t xml:space="preserve">probabilistic forecasting (Li and Jenn, </w:t>
      </w:r>
      <w:r w:rsidR="008E3A77" w:rsidRPr="00AC7430">
        <w:rPr>
          <w:rFonts w:ascii="Arial" w:hAnsi="Arial" w:cs="Arial"/>
        </w:rPr>
        <w:t>2024;</w:t>
      </w:r>
      <w:r w:rsidR="00B9478C" w:rsidRPr="00AC7430">
        <w:rPr>
          <w:rFonts w:ascii="Arial" w:hAnsi="Arial" w:cs="Arial"/>
        </w:rPr>
        <w:t xml:space="preserve"> </w:t>
      </w:r>
      <w:proofErr w:type="spellStart"/>
      <w:r w:rsidR="00B9478C" w:rsidRPr="00AC7430">
        <w:rPr>
          <w:rFonts w:ascii="Arial" w:hAnsi="Arial" w:cs="Arial"/>
        </w:rPr>
        <w:t>Thorgeir</w:t>
      </w:r>
      <w:r w:rsidR="001D33C8" w:rsidRPr="00AC7430">
        <w:rPr>
          <w:rFonts w:ascii="Arial" w:hAnsi="Arial" w:cs="Arial"/>
        </w:rPr>
        <w:t>sson</w:t>
      </w:r>
      <w:proofErr w:type="spellEnd"/>
      <w:r w:rsidR="001D33C8" w:rsidRPr="00AC7430">
        <w:rPr>
          <w:rFonts w:ascii="Arial" w:hAnsi="Arial" w:cs="Arial"/>
        </w:rPr>
        <w:t xml:space="preserve">, 2024) and integrate flexible architectures compatible with emerging </w:t>
      </w:r>
      <w:r w:rsidR="00EE45AE" w:rsidRPr="00AC7430">
        <w:rPr>
          <w:rFonts w:ascii="Arial" w:hAnsi="Arial" w:cs="Arial"/>
        </w:rPr>
        <w:t xml:space="preserve">charging </w:t>
      </w:r>
      <w:r w:rsidR="00626B4A" w:rsidRPr="00AC7430">
        <w:rPr>
          <w:rFonts w:ascii="Arial" w:hAnsi="Arial" w:cs="Arial"/>
        </w:rPr>
        <w:t xml:space="preserve">standards. Stress-testing </w:t>
      </w:r>
      <w:r w:rsidR="00416EAE" w:rsidRPr="00AC7430">
        <w:rPr>
          <w:rFonts w:ascii="Arial" w:hAnsi="Arial" w:cs="Arial"/>
        </w:rPr>
        <w:t xml:space="preserve">strategies against multiple </w:t>
      </w:r>
      <w:r w:rsidR="008E3A77" w:rsidRPr="00AC7430">
        <w:rPr>
          <w:rFonts w:ascii="Arial" w:hAnsi="Arial" w:cs="Arial"/>
        </w:rPr>
        <w:t>regulatory</w:t>
      </w:r>
      <w:r w:rsidR="00416EAE" w:rsidRPr="00AC7430">
        <w:rPr>
          <w:rFonts w:ascii="Arial" w:hAnsi="Arial" w:cs="Arial"/>
        </w:rPr>
        <w:t xml:space="preserve"> and market scenarios will enhance </w:t>
      </w:r>
      <w:r w:rsidR="0039120E" w:rsidRPr="00AC7430">
        <w:rPr>
          <w:rFonts w:ascii="Arial" w:hAnsi="Arial" w:cs="Arial"/>
        </w:rPr>
        <w:t>resilience (</w:t>
      </w:r>
      <w:proofErr w:type="spellStart"/>
      <w:r w:rsidR="0039120E" w:rsidRPr="00AC7430">
        <w:rPr>
          <w:rFonts w:ascii="Arial" w:hAnsi="Arial" w:cs="Arial"/>
        </w:rPr>
        <w:t>Marchau</w:t>
      </w:r>
      <w:proofErr w:type="spellEnd"/>
      <w:r w:rsidR="0039120E" w:rsidRPr="00AC7430">
        <w:rPr>
          <w:rFonts w:ascii="Arial" w:hAnsi="Arial" w:cs="Arial"/>
        </w:rPr>
        <w:t>, 2019; Sc</w:t>
      </w:r>
      <w:r w:rsidR="00EF5D95" w:rsidRPr="00AC7430">
        <w:rPr>
          <w:rFonts w:ascii="Arial" w:hAnsi="Arial" w:cs="Arial"/>
        </w:rPr>
        <w:t xml:space="preserve">holte et al. 2023). </w:t>
      </w:r>
    </w:p>
    <w:p w14:paraId="668ABD4E" w14:textId="671CCAF7" w:rsidR="00EF5D95" w:rsidRPr="00AC7430" w:rsidRDefault="00EF5D95" w:rsidP="00AC7430">
      <w:pPr>
        <w:spacing w:line="360" w:lineRule="auto"/>
        <w:jc w:val="both"/>
        <w:rPr>
          <w:rFonts w:ascii="Arial" w:hAnsi="Arial" w:cs="Arial"/>
        </w:rPr>
      </w:pPr>
      <w:r w:rsidRPr="00AC7430">
        <w:rPr>
          <w:rFonts w:ascii="Arial" w:hAnsi="Arial" w:cs="Arial"/>
          <w:b/>
          <w:bCs/>
        </w:rPr>
        <w:t>Recommendation 2</w:t>
      </w:r>
      <w:r w:rsidRPr="00AC7430">
        <w:rPr>
          <w:rFonts w:ascii="Arial" w:hAnsi="Arial" w:cs="Arial"/>
        </w:rPr>
        <w:t xml:space="preserve">: Co-create socially embedded </w:t>
      </w:r>
      <w:r w:rsidR="0024051F" w:rsidRPr="00AC7430">
        <w:rPr>
          <w:rFonts w:ascii="Arial" w:hAnsi="Arial" w:cs="Arial"/>
        </w:rPr>
        <w:t xml:space="preserve">charging solutions. </w:t>
      </w:r>
    </w:p>
    <w:p w14:paraId="53CFB2E0" w14:textId="2D2A29BA" w:rsidR="0024051F" w:rsidRPr="00AC7430" w:rsidRDefault="0024051F" w:rsidP="00AC7430">
      <w:pPr>
        <w:spacing w:line="360" w:lineRule="auto"/>
        <w:jc w:val="both"/>
        <w:rPr>
          <w:rFonts w:ascii="Arial" w:hAnsi="Arial" w:cs="Arial"/>
        </w:rPr>
      </w:pPr>
      <w:r w:rsidRPr="00AC7430">
        <w:rPr>
          <w:rFonts w:ascii="Arial" w:hAnsi="Arial" w:cs="Arial"/>
        </w:rPr>
        <w:t>Industry should collaborate with local authorities and communities to design and implemen</w:t>
      </w:r>
      <w:r w:rsidR="00C432AB" w:rsidRPr="00AC7430">
        <w:rPr>
          <w:rFonts w:ascii="Arial" w:hAnsi="Arial" w:cs="Arial"/>
        </w:rPr>
        <w:t>t accessible, equitable charging networks (Dempsey and Hinson, 2024)</w:t>
      </w:r>
      <w:r w:rsidR="00770EBC" w:rsidRPr="00AC7430">
        <w:rPr>
          <w:rFonts w:ascii="Arial" w:hAnsi="Arial" w:cs="Arial"/>
        </w:rPr>
        <w:t xml:space="preserve">. Addressing behavioural barriers through targeted communication </w:t>
      </w:r>
      <w:r w:rsidR="00FC0064" w:rsidRPr="00AC7430">
        <w:rPr>
          <w:rFonts w:ascii="Arial" w:hAnsi="Arial" w:cs="Arial"/>
        </w:rPr>
        <w:t>(Rezvani et al. 2025; Noel et al. 2019) and creative engagement approaches</w:t>
      </w:r>
      <w:r w:rsidR="009A32EA" w:rsidRPr="00AC7430">
        <w:rPr>
          <w:rFonts w:ascii="Arial" w:hAnsi="Arial" w:cs="Arial"/>
        </w:rPr>
        <w:t xml:space="preserve"> (Adair, 2010; Proctor, 2014) will strengthen social legitimacy and accelerate adoption</w:t>
      </w:r>
      <w:r w:rsidR="00CD165F" w:rsidRPr="00AC7430">
        <w:rPr>
          <w:rFonts w:ascii="Arial" w:hAnsi="Arial" w:cs="Arial"/>
        </w:rPr>
        <w:t xml:space="preserve">. </w:t>
      </w:r>
    </w:p>
    <w:p w14:paraId="36BC064E" w14:textId="77777777" w:rsidR="006C189D" w:rsidRPr="00AC7430" w:rsidRDefault="006C189D" w:rsidP="00AC7430">
      <w:pPr>
        <w:spacing w:line="360" w:lineRule="auto"/>
        <w:jc w:val="both"/>
        <w:rPr>
          <w:rFonts w:ascii="Arial" w:hAnsi="Arial" w:cs="Arial"/>
        </w:rPr>
      </w:pPr>
    </w:p>
    <w:p w14:paraId="37ACF196" w14:textId="77777777" w:rsidR="00C12232" w:rsidRDefault="00C12232" w:rsidP="00D5591D"/>
    <w:p w14:paraId="69DDE2E2" w14:textId="77777777" w:rsidR="00C12232" w:rsidRDefault="00C12232" w:rsidP="00D5591D"/>
    <w:p w14:paraId="7BF0134E" w14:textId="77777777" w:rsidR="00C12232" w:rsidRDefault="00C12232" w:rsidP="00D5591D"/>
    <w:p w14:paraId="5951D729" w14:textId="77777777" w:rsidR="00C12232" w:rsidRDefault="00C12232" w:rsidP="00D5591D"/>
    <w:p w14:paraId="38C8B295" w14:textId="77777777" w:rsidR="00C12232" w:rsidRDefault="00C12232" w:rsidP="00D5591D"/>
    <w:p w14:paraId="3CB98CE1" w14:textId="77777777" w:rsidR="00C12232" w:rsidRPr="009B5AAB" w:rsidRDefault="00C12232" w:rsidP="00D5591D"/>
    <w:p w14:paraId="5682F189" w14:textId="77777777" w:rsidR="008E3A77" w:rsidRDefault="008E3A77" w:rsidP="00701073">
      <w:pPr>
        <w:rPr>
          <w:i/>
          <w:iCs/>
        </w:rPr>
      </w:pPr>
    </w:p>
    <w:p w14:paraId="12A04BD6" w14:textId="77777777" w:rsidR="00AC7430" w:rsidRDefault="00AC7430" w:rsidP="008E3A77">
      <w:pPr>
        <w:pStyle w:val="Heading1"/>
        <w:rPr>
          <w:color w:val="auto"/>
        </w:rPr>
      </w:pPr>
    </w:p>
    <w:p w14:paraId="52D9A32B" w14:textId="52DA0FE3" w:rsidR="008E3A77" w:rsidRPr="00AC7430" w:rsidRDefault="008E3A77" w:rsidP="008E3A77">
      <w:pPr>
        <w:pStyle w:val="Heading1"/>
        <w:rPr>
          <w:color w:val="auto"/>
        </w:rPr>
      </w:pPr>
      <w:bookmarkStart w:id="7" w:name="_Toc215782907"/>
      <w:r w:rsidRPr="00AC7430">
        <w:rPr>
          <w:color w:val="auto"/>
        </w:rPr>
        <w:t>6. References</w:t>
      </w:r>
      <w:bookmarkEnd w:id="7"/>
      <w:r w:rsidRPr="00AC7430">
        <w:rPr>
          <w:color w:val="auto"/>
        </w:rPr>
        <w:t xml:space="preserve"> </w:t>
      </w:r>
    </w:p>
    <w:p w14:paraId="1AF98FF0" w14:textId="77777777" w:rsidR="00AC7430" w:rsidRDefault="00AC7430" w:rsidP="00E55ECA"/>
    <w:p w14:paraId="7313BA52" w14:textId="77777777" w:rsidR="00AC7430" w:rsidRDefault="00AC7430" w:rsidP="00E55ECA"/>
    <w:p w14:paraId="56DFD2F6" w14:textId="5A86C9C4" w:rsidR="00AC7430" w:rsidRPr="00D5591D" w:rsidRDefault="00AC7430" w:rsidP="00D5591D">
      <w:r>
        <w:t xml:space="preserve">1. </w:t>
      </w:r>
      <w:r w:rsidRPr="00D5591D">
        <w:t xml:space="preserve">Adair, J. (2010). </w:t>
      </w:r>
      <w:r w:rsidRPr="00D5591D">
        <w:rPr>
          <w:i/>
          <w:iCs/>
        </w:rPr>
        <w:t>Decision Making and Problem Solving.</w:t>
      </w:r>
      <w:r w:rsidRPr="00D5591D">
        <w:t xml:space="preserve"> Kogan Page.</w:t>
      </w:r>
    </w:p>
    <w:p w14:paraId="63AD10A4" w14:textId="3CD53609" w:rsidR="00AC7430" w:rsidRPr="0074256D" w:rsidRDefault="00AC7430" w:rsidP="0074256D">
      <w:r>
        <w:t xml:space="preserve">2. </w:t>
      </w:r>
      <w:r w:rsidRPr="0074256D">
        <w:t xml:space="preserve">Alexander, I.K. and </w:t>
      </w:r>
      <w:proofErr w:type="spellStart"/>
      <w:r w:rsidRPr="0074256D">
        <w:t>Hjortso</w:t>
      </w:r>
      <w:proofErr w:type="spellEnd"/>
      <w:r w:rsidRPr="0074256D">
        <w:t xml:space="preserve">, C.N. (2019) ‘Sources of complexity in participatory curriculum development: An activity system and stakeholder analysis approach to the analyses of tensions and contradictions’, </w:t>
      </w:r>
      <w:r w:rsidRPr="0074256D">
        <w:rPr>
          <w:i/>
          <w:iCs/>
        </w:rPr>
        <w:t>Higher education</w:t>
      </w:r>
      <w:r w:rsidRPr="0074256D">
        <w:t>, 77(2), pp. 301–322. Available at: https://doi.org/10.1007/s10734-018-0274-x.</w:t>
      </w:r>
    </w:p>
    <w:p w14:paraId="0164454A" w14:textId="0D16C020" w:rsidR="00AC7430" w:rsidRPr="00643BF6" w:rsidRDefault="00AC7430" w:rsidP="00643BF6">
      <w:r>
        <w:t xml:space="preserve">3. </w:t>
      </w:r>
      <w:r w:rsidRPr="00643BF6">
        <w:t xml:space="preserve">Dempsey, N. and Hinson, S. (2024). Electric vehicles and infrastructure. </w:t>
      </w:r>
      <w:r w:rsidRPr="00643BF6">
        <w:rPr>
          <w:i/>
          <w:iCs/>
        </w:rPr>
        <w:t>commonslibrary.parliament.uk</w:t>
      </w:r>
      <w:r w:rsidRPr="00643BF6">
        <w:t>. [online] Available at: https://commonslibrary.parliament.uk/research-briefings/cbp-7480/.</w:t>
      </w:r>
    </w:p>
    <w:p w14:paraId="7EC2D5F6" w14:textId="46963FB4" w:rsidR="00AC7430" w:rsidRPr="00434771" w:rsidRDefault="00AC7430" w:rsidP="00434771">
      <w:r>
        <w:t xml:space="preserve">4. </w:t>
      </w:r>
      <w:r w:rsidRPr="00434771">
        <w:t xml:space="preserve">Department for Transport (2022). </w:t>
      </w:r>
      <w:r w:rsidRPr="00434771">
        <w:rPr>
          <w:i/>
          <w:iCs/>
        </w:rPr>
        <w:t>UK electric vehicle infrastructure strategy</w:t>
      </w:r>
      <w:r w:rsidRPr="00434771">
        <w:t>. [online] GOV.UK. Available at: https://www.gov.uk/government/publications/uk-electric-vehicle-infrastructure-strategy.</w:t>
      </w:r>
    </w:p>
    <w:p w14:paraId="13973369" w14:textId="6CFD258B" w:rsidR="00AC7430" w:rsidRPr="00605303" w:rsidRDefault="00AC7430" w:rsidP="00605303">
      <w:r>
        <w:t xml:space="preserve">5. </w:t>
      </w:r>
      <w:r w:rsidRPr="00605303">
        <w:t xml:space="preserve">Dias, D. and Marinho-Araujo, C.M. (2023) </w:t>
      </w:r>
      <w:r w:rsidRPr="00605303">
        <w:rPr>
          <w:i/>
          <w:iCs/>
        </w:rPr>
        <w:t>Creativity and innovation for a better world</w:t>
      </w:r>
      <w:r w:rsidRPr="00605303">
        <w:t xml:space="preserve">. London: </w:t>
      </w:r>
      <w:proofErr w:type="spellStart"/>
      <w:r w:rsidRPr="00605303">
        <w:t>IntechOpen</w:t>
      </w:r>
      <w:proofErr w:type="spellEnd"/>
      <w:r w:rsidRPr="00605303">
        <w:t>.</w:t>
      </w:r>
    </w:p>
    <w:p w14:paraId="2A9BF785" w14:textId="6DFF0F5C" w:rsidR="00AC7430" w:rsidRPr="0082740C" w:rsidRDefault="00AC7430" w:rsidP="0082740C">
      <w:r>
        <w:t xml:space="preserve">6. </w:t>
      </w:r>
      <w:r w:rsidRPr="0082740C">
        <w:t xml:space="preserve">Eichhorn, T. </w:t>
      </w:r>
      <w:r w:rsidRPr="0082740C">
        <w:rPr>
          <w:i/>
          <w:iCs/>
        </w:rPr>
        <w:t>et al.</w:t>
      </w:r>
      <w:r w:rsidRPr="0082740C">
        <w:t xml:space="preserve"> (2024) ‘Exploring macro-environmental factors influencing adoption of result-based and collective agri-environmental measures: A PESTLE approach based on stakeholder statements’, </w:t>
      </w:r>
      <w:r w:rsidRPr="0082740C">
        <w:rPr>
          <w:i/>
          <w:iCs/>
        </w:rPr>
        <w:t>Bio-based and applied economics</w:t>
      </w:r>
      <w:r w:rsidRPr="0082740C">
        <w:t>, 13(1), pp. 49–71. Available at: https://doi.org/10.36253/bae-14489.</w:t>
      </w:r>
    </w:p>
    <w:p w14:paraId="3C7381E2" w14:textId="7E03AC89" w:rsidR="00AC7430" w:rsidRPr="00BB7036" w:rsidRDefault="00AC7430" w:rsidP="00BB7036">
      <w:r>
        <w:lastRenderedPageBreak/>
        <w:t xml:space="preserve">7. </w:t>
      </w:r>
      <w:r w:rsidRPr="00BB7036">
        <w:t xml:space="preserve">Fields, Z. (ed.) (2021) </w:t>
      </w:r>
      <w:r w:rsidRPr="00BB7036">
        <w:rPr>
          <w:i/>
          <w:iCs/>
        </w:rPr>
        <w:t xml:space="preserve">Achieving sustainability using creativity, innovation, and </w:t>
      </w:r>
      <w:proofErr w:type="gramStart"/>
      <w:r w:rsidRPr="00BB7036">
        <w:rPr>
          <w:i/>
          <w:iCs/>
        </w:rPr>
        <w:t>education</w:t>
      </w:r>
      <w:r w:rsidRPr="00BB7036">
        <w:rPr>
          <w:rFonts w:ascii="Arial" w:hAnsi="Arial" w:cs="Arial"/>
          <w:i/>
          <w:iCs/>
        </w:rPr>
        <w:t> </w:t>
      </w:r>
      <w:r w:rsidRPr="00BB7036">
        <w:rPr>
          <w:i/>
          <w:iCs/>
        </w:rPr>
        <w:t>:</w:t>
      </w:r>
      <w:proofErr w:type="gramEnd"/>
      <w:r w:rsidRPr="00BB7036">
        <w:rPr>
          <w:i/>
          <w:iCs/>
        </w:rPr>
        <w:t xml:space="preserve"> a multidisciplinary approach</w:t>
      </w:r>
      <w:r w:rsidRPr="00BB7036">
        <w:t>. Hershey, Pennsylvania: Information Science Reference. Available at: https://doi.org/10.4018/978-1-7998-7963-3.</w:t>
      </w:r>
    </w:p>
    <w:p w14:paraId="364A8967" w14:textId="5C31CFF4" w:rsidR="00AC7430" w:rsidRPr="00E965A1" w:rsidRDefault="00AC7430" w:rsidP="00E965A1">
      <w:r>
        <w:t xml:space="preserve">8. </w:t>
      </w:r>
      <w:r w:rsidRPr="00E965A1">
        <w:t xml:space="preserve">Gaiceanu, M. (ed.) (2022) </w:t>
      </w:r>
      <w:r w:rsidRPr="00E965A1">
        <w:rPr>
          <w:i/>
          <w:iCs/>
        </w:rPr>
        <w:t>New perspectives on electric vehicles</w:t>
      </w:r>
      <w:r w:rsidRPr="00E965A1">
        <w:t xml:space="preserve">. London, England: </w:t>
      </w:r>
      <w:proofErr w:type="spellStart"/>
      <w:r w:rsidRPr="00E965A1">
        <w:t>IntechOpen</w:t>
      </w:r>
      <w:proofErr w:type="spellEnd"/>
      <w:r w:rsidRPr="00E965A1">
        <w:t>.</w:t>
      </w:r>
    </w:p>
    <w:p w14:paraId="64860723" w14:textId="0C1D5425" w:rsidR="00AC7430" w:rsidRPr="00434771" w:rsidRDefault="00AC7430" w:rsidP="00434771">
      <w:r>
        <w:t xml:space="preserve">9. </w:t>
      </w:r>
      <w:r w:rsidRPr="00434771">
        <w:t xml:space="preserve">gov.uk (2020). </w:t>
      </w:r>
      <w:r w:rsidRPr="00434771">
        <w:rPr>
          <w:i/>
          <w:iCs/>
        </w:rPr>
        <w:t>Electric vehicle charging market study</w:t>
      </w:r>
      <w:r w:rsidRPr="00434771">
        <w:t>. [online] GOV.UK. Available at: https://www.gov.uk/cma-cases/electric-vehicle-charging-market-study.</w:t>
      </w:r>
    </w:p>
    <w:p w14:paraId="04CCB7F0" w14:textId="0E77B845" w:rsidR="00AC7430" w:rsidRPr="00C40718" w:rsidRDefault="00AC7430" w:rsidP="00C40718">
      <w:r>
        <w:t xml:space="preserve">10. </w:t>
      </w:r>
      <w:r w:rsidRPr="00C40718">
        <w:t xml:space="preserve">gov.uk (2022). </w:t>
      </w:r>
      <w:r w:rsidRPr="00C40718">
        <w:rPr>
          <w:i/>
          <w:iCs/>
        </w:rPr>
        <w:t>Review of Net Zero</w:t>
      </w:r>
      <w:r w:rsidRPr="00C40718">
        <w:t>. [online] GOV.UK. Available at: https://www.gov.uk/government/publications/review-of-net-zero.</w:t>
      </w:r>
    </w:p>
    <w:p w14:paraId="3CB92D15" w14:textId="28D631C1" w:rsidR="00AC7430" w:rsidRPr="00C40718" w:rsidRDefault="00AC7430" w:rsidP="00C40718">
      <w:r>
        <w:t xml:space="preserve">11. </w:t>
      </w:r>
      <w:r w:rsidRPr="00C40718">
        <w:t xml:space="preserve">gov.uk (2024). </w:t>
      </w:r>
      <w:r w:rsidRPr="00C40718">
        <w:rPr>
          <w:i/>
          <w:iCs/>
        </w:rPr>
        <w:t>Office for Zero Emission Vehicles</w:t>
      </w:r>
      <w:r w:rsidRPr="00C40718">
        <w:t>. [online] GOV.UK. Available at: https://www.gov.uk/government/organisations/office-for-zero-emission-vehicles.</w:t>
      </w:r>
    </w:p>
    <w:p w14:paraId="27034FA1" w14:textId="0363BF46" w:rsidR="00AC7430" w:rsidRPr="00FB302A" w:rsidRDefault="00AC7430" w:rsidP="00FB302A">
      <w:r>
        <w:t xml:space="preserve">12. </w:t>
      </w:r>
      <w:r w:rsidRPr="00FB302A">
        <w:t>Hawkins, T.R., Singh, B., Majeau</w:t>
      </w:r>
      <w:r w:rsidRPr="00FB302A">
        <w:rPr>
          <w:rFonts w:ascii="Cambria Math" w:hAnsi="Cambria Math" w:cs="Cambria Math"/>
        </w:rPr>
        <w:t>‐</w:t>
      </w:r>
      <w:r w:rsidRPr="00FB302A">
        <w:t xml:space="preserve">Bettez, G. and </w:t>
      </w:r>
      <w:proofErr w:type="spellStart"/>
      <w:r w:rsidRPr="00FB302A">
        <w:t>Str</w:t>
      </w:r>
      <w:r w:rsidRPr="00FB302A">
        <w:rPr>
          <w:rFonts w:ascii="Aptos" w:hAnsi="Aptos" w:cs="Aptos"/>
        </w:rPr>
        <w:t>ø</w:t>
      </w:r>
      <w:r w:rsidRPr="00FB302A">
        <w:t>mman</w:t>
      </w:r>
      <w:proofErr w:type="spellEnd"/>
      <w:r w:rsidRPr="00FB302A">
        <w:t xml:space="preserve">, A.H. (2013). Comparative environmental life cycle assessment of conventional and electric vehicles. </w:t>
      </w:r>
      <w:r w:rsidRPr="00FB302A">
        <w:rPr>
          <w:i/>
          <w:iCs/>
        </w:rPr>
        <w:t>Journal of Industrial Ecology</w:t>
      </w:r>
      <w:r w:rsidRPr="00FB302A">
        <w:t>, 17(1), pp.53–64.</w:t>
      </w:r>
    </w:p>
    <w:p w14:paraId="45129487" w14:textId="33ECDB18" w:rsidR="00AC7430" w:rsidRPr="00FB302A" w:rsidRDefault="00AC7430" w:rsidP="00FB302A">
      <w:r>
        <w:t xml:space="preserve">13. </w:t>
      </w:r>
      <w:r w:rsidRPr="00FB302A">
        <w:t xml:space="preserve">IEA (2024). </w:t>
      </w:r>
      <w:r w:rsidRPr="00FB302A">
        <w:rPr>
          <w:i/>
          <w:iCs/>
        </w:rPr>
        <w:t>Global EV Outlook 2024</w:t>
      </w:r>
      <w:r w:rsidRPr="00FB302A">
        <w:t>. [online] IEA. Available at: https://www.iea.org/reports/global-ev-outlook-2024.</w:t>
      </w:r>
    </w:p>
    <w:p w14:paraId="74D8CBFE" w14:textId="00AEDA39" w:rsidR="00AC7430" w:rsidRPr="00701073" w:rsidRDefault="00AC7430" w:rsidP="00701073">
      <w:r w:rsidRPr="005234B0">
        <w:t>14</w:t>
      </w:r>
      <w:r w:rsidR="005234B0" w:rsidRPr="005234B0">
        <w:t>.</w:t>
      </w:r>
      <w:r w:rsidR="005234B0">
        <w:rPr>
          <w:i/>
          <w:iCs/>
        </w:rPr>
        <w:t xml:space="preserve"> </w:t>
      </w:r>
      <w:r w:rsidRPr="00701073">
        <w:rPr>
          <w:i/>
          <w:iCs/>
        </w:rPr>
        <w:t>IEEE Standard for Technical Specifications of a DC Quick and Bidirectional Charger for Use with Electric Vehicles</w:t>
      </w:r>
      <w:r w:rsidRPr="00701073">
        <w:t xml:space="preserve"> (2022). </w:t>
      </w:r>
      <w:r w:rsidRPr="00A13353">
        <w:t>The Institute of Electrical and Electronics Engineers (IEEE).</w:t>
      </w:r>
    </w:p>
    <w:p w14:paraId="3C16BE05" w14:textId="3DEB22FB" w:rsidR="00AC7430" w:rsidRPr="00E55ECA" w:rsidRDefault="005234B0" w:rsidP="00E55ECA">
      <w:r>
        <w:t xml:space="preserve">15. </w:t>
      </w:r>
      <w:r w:rsidR="00AC7430" w:rsidRPr="00E55ECA">
        <w:t xml:space="preserve">Jolly, J. (2024). </w:t>
      </w:r>
      <w:r w:rsidR="00AC7430" w:rsidRPr="00E55ECA">
        <w:rPr>
          <w:i/>
          <w:iCs/>
        </w:rPr>
        <w:t>Electric car sales grow in UK despite decline in overall vehicle market</w:t>
      </w:r>
      <w:r w:rsidR="00AC7430" w:rsidRPr="00E55ECA">
        <w:t>. [online] the Guardian. Available at: https://www.theguardian.com/business/2024/nov/05/electric-car-sales-grow-uk-decline-overall-vehicle-market.</w:t>
      </w:r>
    </w:p>
    <w:p w14:paraId="4F848B46" w14:textId="27E6B588" w:rsidR="00AC7430" w:rsidRPr="00E55ECA" w:rsidRDefault="005234B0" w:rsidP="00E55ECA">
      <w:r>
        <w:t xml:space="preserve">17. </w:t>
      </w:r>
      <w:r w:rsidR="00AC7430" w:rsidRPr="00E55ECA">
        <w:t xml:space="preserve">Junquera, B., Moreno, B. and Álvarez, R. (2016). </w:t>
      </w:r>
      <w:proofErr w:type="spellStart"/>
      <w:r w:rsidR="00AC7430" w:rsidRPr="00E55ECA">
        <w:t>Analyzing</w:t>
      </w:r>
      <w:proofErr w:type="spellEnd"/>
      <w:r w:rsidR="00AC7430" w:rsidRPr="00E55ECA">
        <w:t xml:space="preserve"> Consumer Attitudes Towards Electric Vehicle Purchasing Intentions in Spain: Technological Limitations and Vehicle Confidence. </w:t>
      </w:r>
      <w:r w:rsidR="00AC7430" w:rsidRPr="00E55ECA">
        <w:rPr>
          <w:i/>
          <w:iCs/>
        </w:rPr>
        <w:t>Technological Forecasting and Social Change</w:t>
      </w:r>
      <w:r w:rsidR="00AC7430" w:rsidRPr="00E55ECA">
        <w:t xml:space="preserve">, 109, pp.6–14. </w:t>
      </w:r>
      <w:proofErr w:type="spellStart"/>
      <w:proofErr w:type="gramStart"/>
      <w:r w:rsidR="00AC7430" w:rsidRPr="00E55ECA">
        <w:t>doi:https</w:t>
      </w:r>
      <w:proofErr w:type="spellEnd"/>
      <w:r w:rsidR="00AC7430" w:rsidRPr="00E55ECA">
        <w:t>://doi.org/10.1016/j.techfore.2016.05.006</w:t>
      </w:r>
      <w:proofErr w:type="gramEnd"/>
      <w:r w:rsidR="00AC7430" w:rsidRPr="00E55ECA">
        <w:t>.</w:t>
      </w:r>
    </w:p>
    <w:p w14:paraId="2ADFE4E2" w14:textId="14CC7584" w:rsidR="00AC7430" w:rsidRPr="00E55ECA" w:rsidRDefault="005234B0" w:rsidP="00E55ECA">
      <w:r>
        <w:t xml:space="preserve">18. </w:t>
      </w:r>
      <w:r w:rsidR="00AC7430" w:rsidRPr="00E55ECA">
        <w:t xml:space="preserve">Li, Y. and Jenn, A. (2024). Impact of electric vehicle charging demand on power distribution grid congestion. </w:t>
      </w:r>
      <w:r w:rsidR="00AC7430" w:rsidRPr="00E55ECA">
        <w:rPr>
          <w:i/>
          <w:iCs/>
        </w:rPr>
        <w:t>Proceedings of the National Academy of Sciences of the United States of America</w:t>
      </w:r>
      <w:r w:rsidR="00AC7430" w:rsidRPr="00E55ECA">
        <w:t xml:space="preserve">, 121(18). </w:t>
      </w:r>
      <w:proofErr w:type="spellStart"/>
      <w:proofErr w:type="gramStart"/>
      <w:r w:rsidR="00AC7430" w:rsidRPr="00E55ECA">
        <w:t>doi:https</w:t>
      </w:r>
      <w:proofErr w:type="spellEnd"/>
      <w:r w:rsidR="00AC7430" w:rsidRPr="00E55ECA">
        <w:t>://doi.org/10.1073/pnas.2317599121</w:t>
      </w:r>
      <w:proofErr w:type="gramEnd"/>
      <w:r w:rsidR="00AC7430" w:rsidRPr="00E55ECA">
        <w:t>.</w:t>
      </w:r>
    </w:p>
    <w:p w14:paraId="6A5C6D84" w14:textId="1A48B260" w:rsidR="00AC7430" w:rsidRPr="001455D3" w:rsidRDefault="005234B0" w:rsidP="001455D3">
      <w:r>
        <w:t xml:space="preserve">19. </w:t>
      </w:r>
      <w:r w:rsidR="00AC7430" w:rsidRPr="001455D3">
        <w:t xml:space="preserve">Malekpour, S. </w:t>
      </w:r>
      <w:r w:rsidR="00AC7430" w:rsidRPr="001455D3">
        <w:rPr>
          <w:i/>
          <w:iCs/>
        </w:rPr>
        <w:t>et al.</w:t>
      </w:r>
      <w:r w:rsidR="00AC7430" w:rsidRPr="001455D3">
        <w:t xml:space="preserve"> (2020) ‘Bridging Decision Making under Deep Uncertainty (DMDU) and Transition Management (TM) to improve strategic planning for sustainable development’, </w:t>
      </w:r>
      <w:r w:rsidR="00AC7430" w:rsidRPr="001455D3">
        <w:rPr>
          <w:i/>
          <w:iCs/>
        </w:rPr>
        <w:t>Environmental science &amp; policy</w:t>
      </w:r>
      <w:r w:rsidR="00AC7430" w:rsidRPr="001455D3">
        <w:t>, 107, pp. 158–167. Available at: https://doi.org/10.1016/j.envsci.2020.03.002.</w:t>
      </w:r>
    </w:p>
    <w:p w14:paraId="76E262BA" w14:textId="7E6161F7" w:rsidR="00AC7430" w:rsidRPr="00EE7A42" w:rsidRDefault="005234B0" w:rsidP="00EE7A42">
      <w:r>
        <w:lastRenderedPageBreak/>
        <w:t xml:space="preserve">20. </w:t>
      </w:r>
      <w:proofErr w:type="spellStart"/>
      <w:r w:rsidR="00AC7430" w:rsidRPr="00EE7A42">
        <w:t>Marchau</w:t>
      </w:r>
      <w:proofErr w:type="spellEnd"/>
      <w:r w:rsidR="00AC7430" w:rsidRPr="00EE7A42">
        <w:t xml:space="preserve">, V.A.W.J. (2019) </w:t>
      </w:r>
      <w:r w:rsidR="00AC7430" w:rsidRPr="00EE7A42">
        <w:rPr>
          <w:i/>
          <w:iCs/>
        </w:rPr>
        <w:t xml:space="preserve">Decision making under deep </w:t>
      </w:r>
      <w:proofErr w:type="gramStart"/>
      <w:r w:rsidR="00AC7430" w:rsidRPr="00EE7A42">
        <w:rPr>
          <w:i/>
          <w:iCs/>
        </w:rPr>
        <w:t>uncertainty</w:t>
      </w:r>
      <w:r w:rsidR="00AC7430" w:rsidRPr="00EE7A42">
        <w:rPr>
          <w:rFonts w:ascii="Arial" w:hAnsi="Arial" w:cs="Arial"/>
          <w:i/>
          <w:iCs/>
        </w:rPr>
        <w:t> </w:t>
      </w:r>
      <w:r w:rsidR="00AC7430" w:rsidRPr="00EE7A42">
        <w:rPr>
          <w:i/>
          <w:iCs/>
        </w:rPr>
        <w:t>:</w:t>
      </w:r>
      <w:proofErr w:type="gramEnd"/>
      <w:r w:rsidR="00AC7430" w:rsidRPr="00EE7A42">
        <w:rPr>
          <w:i/>
          <w:iCs/>
        </w:rPr>
        <w:t xml:space="preserve"> from theory to practice</w:t>
      </w:r>
      <w:r w:rsidR="00AC7430" w:rsidRPr="00EE7A42">
        <w:t xml:space="preserve">. 1st </w:t>
      </w:r>
      <w:proofErr w:type="spellStart"/>
      <w:r w:rsidR="00AC7430" w:rsidRPr="00EE7A42">
        <w:t>edn</w:t>
      </w:r>
      <w:proofErr w:type="spellEnd"/>
      <w:r w:rsidR="00AC7430" w:rsidRPr="00EE7A42">
        <w:t>. Edited by P.J.T.M. Bloemen et al. Cham: Springer. Available at: https://doi.org/10.1007/978-3-030-05252-2.</w:t>
      </w:r>
    </w:p>
    <w:p w14:paraId="65F26A7C" w14:textId="62684463" w:rsidR="00AC7430" w:rsidRPr="00C36C48" w:rsidRDefault="005234B0" w:rsidP="00C36C48">
      <w:r>
        <w:t xml:space="preserve">21. </w:t>
      </w:r>
      <w:r w:rsidR="00AC7430" w:rsidRPr="00C36C48">
        <w:t xml:space="preserve">Marmol, T. del </w:t>
      </w:r>
      <w:r w:rsidR="00AC7430" w:rsidRPr="00C36C48">
        <w:rPr>
          <w:i/>
          <w:iCs/>
        </w:rPr>
        <w:t>et al.</w:t>
      </w:r>
      <w:r w:rsidR="00AC7430" w:rsidRPr="00C36C48">
        <w:t xml:space="preserve"> (2015) </w:t>
      </w:r>
      <w:r w:rsidR="00AC7430" w:rsidRPr="00C36C48">
        <w:rPr>
          <w:i/>
          <w:iCs/>
        </w:rPr>
        <w:t>PESTLE analysis</w:t>
      </w:r>
      <w:r w:rsidR="00AC7430" w:rsidRPr="00C36C48">
        <w:t>. Translated by C. Probert. Namur: Lemaitre Publishing.</w:t>
      </w:r>
    </w:p>
    <w:p w14:paraId="1FEC0D10" w14:textId="41B4EC73" w:rsidR="00AC7430" w:rsidRPr="00E55ECA" w:rsidRDefault="005234B0" w:rsidP="00E55ECA">
      <w:r>
        <w:t xml:space="preserve">22. </w:t>
      </w:r>
      <w:r w:rsidR="00AC7430" w:rsidRPr="00E55ECA">
        <w:t xml:space="preserve">National Audit Office (2023). </w:t>
      </w:r>
      <w:r w:rsidR="00AC7430" w:rsidRPr="00E55ECA">
        <w:rPr>
          <w:i/>
          <w:iCs/>
        </w:rPr>
        <w:t>Decarbonising the power sector - National Audit Office (NAO) report</w:t>
      </w:r>
      <w:r w:rsidR="00AC7430" w:rsidRPr="00E55ECA">
        <w:t>. [online] National Audit Office (NAO). Available at: https://www.nao.org.uk/reports/decarbonising-the-power-sector/.</w:t>
      </w:r>
    </w:p>
    <w:p w14:paraId="3DBDD583" w14:textId="483F97ED" w:rsidR="00AC7430" w:rsidRPr="00E55ECA" w:rsidRDefault="005234B0" w:rsidP="00E55ECA">
      <w:r>
        <w:t xml:space="preserve">23. </w:t>
      </w:r>
      <w:r w:rsidR="00AC7430" w:rsidRPr="00E55ECA">
        <w:t xml:space="preserve">Niu, S., Jia, Q., Hu, Y., Yang, C. and Jian, L. (2025). Safety Management Technologies for Wireless Electric Vehicle Charging Systems: A Review. </w:t>
      </w:r>
      <w:r w:rsidR="00AC7430" w:rsidRPr="00E55ECA">
        <w:rPr>
          <w:i/>
          <w:iCs/>
        </w:rPr>
        <w:t>Electronics</w:t>
      </w:r>
      <w:r w:rsidR="00AC7430" w:rsidRPr="00E55ECA">
        <w:t xml:space="preserve">, [online] 14(12), p.2380. </w:t>
      </w:r>
      <w:proofErr w:type="spellStart"/>
      <w:proofErr w:type="gramStart"/>
      <w:r w:rsidR="00AC7430" w:rsidRPr="00E55ECA">
        <w:t>doi:https</w:t>
      </w:r>
      <w:proofErr w:type="spellEnd"/>
      <w:r w:rsidR="00AC7430" w:rsidRPr="00E55ECA">
        <w:t>://doi.org/10.3390/electronics14122380</w:t>
      </w:r>
      <w:proofErr w:type="gramEnd"/>
      <w:r w:rsidR="00AC7430" w:rsidRPr="00E55ECA">
        <w:t>.</w:t>
      </w:r>
    </w:p>
    <w:p w14:paraId="36B4CCFF" w14:textId="7D6EF3E6" w:rsidR="00AC7430" w:rsidRPr="00E55ECA" w:rsidRDefault="005234B0" w:rsidP="00E55ECA">
      <w:r>
        <w:t xml:space="preserve">24. </w:t>
      </w:r>
      <w:r w:rsidR="00AC7430" w:rsidRPr="00E55ECA">
        <w:t xml:space="preserve">Noel, L., Zarazua de Rubens, G., Kester, J. and </w:t>
      </w:r>
      <w:proofErr w:type="spellStart"/>
      <w:r w:rsidR="00AC7430" w:rsidRPr="00E55ECA">
        <w:t>Sovacool</w:t>
      </w:r>
      <w:proofErr w:type="spellEnd"/>
      <w:r w:rsidR="00AC7430" w:rsidRPr="00E55ECA">
        <w:t xml:space="preserve">, B.K. (2020). Understanding the socio-technical Nexus of Nordic Electric Vehicle (EV) barriers: a Qualitative Discussion of range, price, Charging and Knowledge. </w:t>
      </w:r>
      <w:r w:rsidR="00AC7430" w:rsidRPr="00E55ECA">
        <w:rPr>
          <w:i/>
          <w:iCs/>
        </w:rPr>
        <w:t>Energy Policy</w:t>
      </w:r>
      <w:r w:rsidR="00AC7430" w:rsidRPr="00E55ECA">
        <w:t xml:space="preserve">, [online] 138(volume 138), p.111292. </w:t>
      </w:r>
      <w:proofErr w:type="spellStart"/>
      <w:proofErr w:type="gramStart"/>
      <w:r w:rsidR="00AC7430" w:rsidRPr="00E55ECA">
        <w:t>doi:https</w:t>
      </w:r>
      <w:proofErr w:type="spellEnd"/>
      <w:r w:rsidR="00AC7430" w:rsidRPr="00E55ECA">
        <w:t>://doi.org/10.1016/j.enpol.2020.111292</w:t>
      </w:r>
      <w:proofErr w:type="gramEnd"/>
      <w:r w:rsidR="00AC7430" w:rsidRPr="00E55ECA">
        <w:t>.</w:t>
      </w:r>
    </w:p>
    <w:p w14:paraId="51291446" w14:textId="701FB7EF" w:rsidR="00AC7430" w:rsidRPr="00E55ECA" w:rsidRDefault="005234B0" w:rsidP="00E55ECA">
      <w:r>
        <w:t xml:space="preserve">25. </w:t>
      </w:r>
      <w:r w:rsidR="00AC7430" w:rsidRPr="00E55ECA">
        <w:t xml:space="preserve">Noel, L., Zarazua de Rubens, G., </w:t>
      </w:r>
      <w:proofErr w:type="spellStart"/>
      <w:r w:rsidR="00AC7430" w:rsidRPr="00E55ECA">
        <w:t>Sovacool</w:t>
      </w:r>
      <w:proofErr w:type="spellEnd"/>
      <w:r w:rsidR="00AC7430" w:rsidRPr="00E55ECA">
        <w:t xml:space="preserve">, B.K. and Kester, J. (2019). Fear and loathing of electric vehicles: The reactionary rhetoric of range anxiety. </w:t>
      </w:r>
      <w:r w:rsidR="00AC7430" w:rsidRPr="00E55ECA">
        <w:rPr>
          <w:i/>
          <w:iCs/>
        </w:rPr>
        <w:t>Energy Research &amp; Social Science</w:t>
      </w:r>
      <w:r w:rsidR="00AC7430" w:rsidRPr="00E55ECA">
        <w:t xml:space="preserve">, 48, pp.96–107. </w:t>
      </w:r>
      <w:proofErr w:type="spellStart"/>
      <w:proofErr w:type="gramStart"/>
      <w:r w:rsidR="00AC7430" w:rsidRPr="00E55ECA">
        <w:t>doi:https</w:t>
      </w:r>
      <w:proofErr w:type="spellEnd"/>
      <w:r w:rsidR="00AC7430" w:rsidRPr="00E55ECA">
        <w:t>://doi.org/10.1016/j.erss.2018.10.001</w:t>
      </w:r>
      <w:proofErr w:type="gramEnd"/>
      <w:r w:rsidR="00AC7430" w:rsidRPr="00E55ECA">
        <w:t>.</w:t>
      </w:r>
    </w:p>
    <w:p w14:paraId="2FFB9FC4" w14:textId="328DC72B" w:rsidR="00AC7430" w:rsidRDefault="005234B0" w:rsidP="00E55ECA">
      <w:r>
        <w:t xml:space="preserve">26. </w:t>
      </w:r>
      <w:r w:rsidR="00AC7430" w:rsidRPr="00E55ECA">
        <w:t>Pl</w:t>
      </w:r>
      <w:r w:rsidR="00AC7430">
        <w:t>o</w:t>
      </w:r>
      <w:r w:rsidR="00AC7430" w:rsidRPr="00E55ECA">
        <w:t xml:space="preserve">tz, P., Funke, S.A., Jochem, P. and </w:t>
      </w:r>
      <w:proofErr w:type="spellStart"/>
      <w:r w:rsidR="00AC7430" w:rsidRPr="00E55ECA">
        <w:t>Wietschel</w:t>
      </w:r>
      <w:proofErr w:type="spellEnd"/>
      <w:r w:rsidR="00AC7430" w:rsidRPr="00E55ECA">
        <w:t xml:space="preserve">, M. (2017). CO2 Mitigation Potential of Plug-in Hybrid Electric Vehicles larger than expected. </w:t>
      </w:r>
      <w:r w:rsidR="00AC7430" w:rsidRPr="00E55ECA">
        <w:rPr>
          <w:i/>
          <w:iCs/>
        </w:rPr>
        <w:t>Scientific Reports</w:t>
      </w:r>
      <w:r w:rsidR="00AC7430" w:rsidRPr="00E55ECA">
        <w:t xml:space="preserve">, 7(1). </w:t>
      </w:r>
      <w:proofErr w:type="spellStart"/>
      <w:proofErr w:type="gramStart"/>
      <w:r w:rsidR="00AC7430" w:rsidRPr="00E55ECA">
        <w:t>doi:https</w:t>
      </w:r>
      <w:proofErr w:type="spellEnd"/>
      <w:r w:rsidR="00AC7430" w:rsidRPr="00E55ECA">
        <w:t>://doi.org/10.1038/s41598-017-16684-9</w:t>
      </w:r>
      <w:proofErr w:type="gramEnd"/>
      <w:r w:rsidR="00AC7430" w:rsidRPr="00E55ECA">
        <w:t>.</w:t>
      </w:r>
    </w:p>
    <w:p w14:paraId="632CEFFA" w14:textId="62836DA3" w:rsidR="00AC7430" w:rsidRPr="00E55ECA" w:rsidRDefault="005234B0" w:rsidP="00E55ECA">
      <w:r>
        <w:t xml:space="preserve">27. </w:t>
      </w:r>
      <w:r w:rsidR="00AC7430" w:rsidRPr="006070AF">
        <w:t xml:space="preserve">Proctor, T. (2014). </w:t>
      </w:r>
      <w:r w:rsidR="00AC7430" w:rsidRPr="006070AF">
        <w:rPr>
          <w:i/>
          <w:iCs/>
        </w:rPr>
        <w:t>Creative Problem Solving for Managers</w:t>
      </w:r>
      <w:r w:rsidR="00AC7430" w:rsidRPr="006070AF">
        <w:t>. Routledge.</w:t>
      </w:r>
    </w:p>
    <w:p w14:paraId="4DFF387D" w14:textId="1AD6D32D" w:rsidR="00AC7430" w:rsidRPr="00E55ECA" w:rsidRDefault="005234B0" w:rsidP="00E55ECA">
      <w:r>
        <w:t xml:space="preserve">28. </w:t>
      </w:r>
      <w:r w:rsidR="00AC7430" w:rsidRPr="00E55ECA">
        <w:t xml:space="preserve">Rezvani, Z., Jansson, J. and Bodin, J. (2015). Advances in Consumer Electric Vehicle Adoption Research: A Review and Research Agenda. </w:t>
      </w:r>
      <w:r w:rsidR="00AC7430" w:rsidRPr="00E55ECA">
        <w:rPr>
          <w:i/>
          <w:iCs/>
        </w:rPr>
        <w:t>Transportation Research Part D: Transport and Environment</w:t>
      </w:r>
      <w:r w:rsidR="00AC7430" w:rsidRPr="00E55ECA">
        <w:t xml:space="preserve">, [online] 34(1), pp.122–136. </w:t>
      </w:r>
      <w:proofErr w:type="spellStart"/>
      <w:proofErr w:type="gramStart"/>
      <w:r w:rsidR="00AC7430" w:rsidRPr="00E55ECA">
        <w:t>doi:https</w:t>
      </w:r>
      <w:proofErr w:type="spellEnd"/>
      <w:r w:rsidR="00AC7430" w:rsidRPr="00E55ECA">
        <w:t>://doi.org/10.1016/j.trd.2014.10.010</w:t>
      </w:r>
      <w:proofErr w:type="gramEnd"/>
      <w:r w:rsidR="00AC7430" w:rsidRPr="00E55ECA">
        <w:t>.</w:t>
      </w:r>
    </w:p>
    <w:p w14:paraId="5326F81D" w14:textId="0E35A62B" w:rsidR="00AC7430" w:rsidRPr="00305B82" w:rsidRDefault="005234B0" w:rsidP="00305B82">
      <w:r>
        <w:t xml:space="preserve">29. </w:t>
      </w:r>
      <w:r w:rsidR="00AC7430" w:rsidRPr="00305B82">
        <w:t xml:space="preserve">Scholte, M. </w:t>
      </w:r>
      <w:r w:rsidR="00AC7430" w:rsidRPr="00305B82">
        <w:rPr>
          <w:i/>
          <w:iCs/>
        </w:rPr>
        <w:t>et al.</w:t>
      </w:r>
      <w:r w:rsidR="00AC7430" w:rsidRPr="00305B82">
        <w:t xml:space="preserve"> (2023) ‘Dealing </w:t>
      </w:r>
      <w:proofErr w:type="gramStart"/>
      <w:r w:rsidR="00AC7430" w:rsidRPr="00305B82">
        <w:t>With</w:t>
      </w:r>
      <w:proofErr w:type="gramEnd"/>
      <w:r w:rsidR="00AC7430" w:rsidRPr="00305B82">
        <w:t xml:space="preserve"> Uncertainty in Early Health Technology Assessment: An Exploration of Methods for Decision Making Under Deep Uncertainty’, </w:t>
      </w:r>
      <w:r w:rsidR="00AC7430" w:rsidRPr="00305B82">
        <w:rPr>
          <w:i/>
          <w:iCs/>
        </w:rPr>
        <w:t>Value in health</w:t>
      </w:r>
      <w:r w:rsidR="00AC7430" w:rsidRPr="00305B82">
        <w:t>, 26(5), pp. 694–703. Available at: https://doi.org/10.1016/j.jval.2022.08.012.</w:t>
      </w:r>
    </w:p>
    <w:p w14:paraId="19094F2C" w14:textId="12980D52" w:rsidR="00AC7430" w:rsidRPr="00774A6D" w:rsidRDefault="005234B0" w:rsidP="00774A6D">
      <w:r w:rsidRPr="005234B0">
        <w:t>30</w:t>
      </w:r>
      <w:r>
        <w:rPr>
          <w:i/>
          <w:iCs/>
        </w:rPr>
        <w:t xml:space="preserve">. </w:t>
      </w:r>
      <w:r w:rsidR="00AC7430" w:rsidRPr="00774A6D">
        <w:rPr>
          <w:i/>
          <w:iCs/>
        </w:rPr>
        <w:t>SWOT Analysis</w:t>
      </w:r>
      <w:r w:rsidR="00AC7430" w:rsidRPr="00774A6D">
        <w:t xml:space="preserve"> (no date). </w:t>
      </w:r>
      <w:proofErr w:type="spellStart"/>
      <w:r w:rsidR="00AC7430" w:rsidRPr="00774A6D">
        <w:t>Datamonitor</w:t>
      </w:r>
      <w:proofErr w:type="spellEnd"/>
      <w:r w:rsidR="00AC7430" w:rsidRPr="00774A6D">
        <w:t xml:space="preserve"> Plc.</w:t>
      </w:r>
    </w:p>
    <w:p w14:paraId="152F0E46" w14:textId="6029AABE" w:rsidR="00AC7430" w:rsidRPr="00DA3609" w:rsidRDefault="005234B0" w:rsidP="00DA3609">
      <w:r>
        <w:t xml:space="preserve">31. </w:t>
      </w:r>
      <w:proofErr w:type="spellStart"/>
      <w:r w:rsidR="00AC7430" w:rsidRPr="00DA3609">
        <w:t>Thorgeirsson</w:t>
      </w:r>
      <w:proofErr w:type="spellEnd"/>
      <w:r w:rsidR="00AC7430" w:rsidRPr="00DA3609">
        <w:t xml:space="preserve">, A.T. (2024) </w:t>
      </w:r>
      <w:r w:rsidR="00AC7430" w:rsidRPr="00DA3609">
        <w:rPr>
          <w:i/>
          <w:iCs/>
        </w:rPr>
        <w:t>Probabilistic Prediction of Energy Demand and Driving Range for Electric Vehicles with Federated Learning</w:t>
      </w:r>
      <w:r w:rsidR="00AC7430" w:rsidRPr="00DA3609">
        <w:t>. Karlsruhe: KIT Scientific Publishing.</w:t>
      </w:r>
    </w:p>
    <w:p w14:paraId="49434B40" w14:textId="08E31680" w:rsidR="00AC7430" w:rsidRPr="00E55ECA" w:rsidRDefault="005234B0" w:rsidP="00E55ECA">
      <w:r>
        <w:t xml:space="preserve">32. </w:t>
      </w:r>
      <w:r w:rsidR="00AC7430" w:rsidRPr="00E55ECA">
        <w:t xml:space="preserve">Yusliza, M.Y., Amirudin, A., </w:t>
      </w:r>
      <w:proofErr w:type="spellStart"/>
      <w:r w:rsidR="00AC7430" w:rsidRPr="00E55ECA">
        <w:t>Rahadi</w:t>
      </w:r>
      <w:proofErr w:type="spellEnd"/>
      <w:r w:rsidR="00AC7430" w:rsidRPr="00E55ECA">
        <w:t xml:space="preserve">, R.A., Nik Sarah Athirah, N.A., Ramayah, T., Muhammad, Z., Dal Mas, F., Massaro, M., Saputra, J. and </w:t>
      </w:r>
      <w:proofErr w:type="spellStart"/>
      <w:r w:rsidR="00AC7430" w:rsidRPr="00E55ECA">
        <w:t>Mokhlis</w:t>
      </w:r>
      <w:proofErr w:type="spellEnd"/>
      <w:r w:rsidR="00AC7430" w:rsidRPr="00E55ECA">
        <w:t xml:space="preserve">, S. (2020). An </w:t>
      </w:r>
      <w:r w:rsidR="00AC7430" w:rsidRPr="00E55ECA">
        <w:lastRenderedPageBreak/>
        <w:t xml:space="preserve">Investigation of Pro-Environmental Behaviour and Sustainable Development in Malaysia. </w:t>
      </w:r>
      <w:r w:rsidR="00AC7430" w:rsidRPr="00E55ECA">
        <w:rPr>
          <w:i/>
          <w:iCs/>
        </w:rPr>
        <w:t>Sustainability</w:t>
      </w:r>
      <w:r w:rsidR="00AC7430" w:rsidRPr="00E55ECA">
        <w:t xml:space="preserve">, [online] 12(17), p.7083. </w:t>
      </w:r>
      <w:proofErr w:type="spellStart"/>
      <w:proofErr w:type="gramStart"/>
      <w:r w:rsidR="00AC7430" w:rsidRPr="00E55ECA">
        <w:t>doi:https</w:t>
      </w:r>
      <w:proofErr w:type="spellEnd"/>
      <w:r w:rsidR="00AC7430" w:rsidRPr="00E55ECA">
        <w:t>://doi.org/10.3390/su12177083</w:t>
      </w:r>
      <w:proofErr w:type="gramEnd"/>
      <w:r w:rsidR="00AC7430" w:rsidRPr="00E55ECA">
        <w:t>.</w:t>
      </w:r>
    </w:p>
    <w:p w14:paraId="35AABC74" w14:textId="76E5F062" w:rsidR="00AC7430" w:rsidRDefault="005234B0" w:rsidP="00E55ECA">
      <w:r>
        <w:t xml:space="preserve">33. </w:t>
      </w:r>
      <w:r w:rsidR="00AC7430" w:rsidRPr="00E55ECA">
        <w:t xml:space="preserve">Zaino, R., Ahmed, V., Alhammadi, A.M. and </w:t>
      </w:r>
      <w:proofErr w:type="spellStart"/>
      <w:r w:rsidR="00AC7430" w:rsidRPr="00E55ECA">
        <w:t>Alghoush</w:t>
      </w:r>
      <w:proofErr w:type="spellEnd"/>
      <w:r w:rsidR="00AC7430" w:rsidRPr="00E55ECA">
        <w:t xml:space="preserve">, M. (2024). Electric Vehicle Adoption: A Comprehensive Systematic Review of Technological, Environmental, Organizational and Policy Impacts. </w:t>
      </w:r>
      <w:r w:rsidR="00AC7430" w:rsidRPr="00E55ECA">
        <w:rPr>
          <w:i/>
          <w:iCs/>
        </w:rPr>
        <w:t>World Electric Vehicle Journal</w:t>
      </w:r>
      <w:r w:rsidR="00AC7430" w:rsidRPr="00E55ECA">
        <w:t xml:space="preserve">, [online] 15(8), p.375. </w:t>
      </w:r>
      <w:proofErr w:type="spellStart"/>
      <w:proofErr w:type="gramStart"/>
      <w:r w:rsidR="00AC7430" w:rsidRPr="00E55ECA">
        <w:t>doi:https</w:t>
      </w:r>
      <w:proofErr w:type="spellEnd"/>
      <w:r w:rsidR="00AC7430" w:rsidRPr="00E55ECA">
        <w:t>://doi.org/10.3390/wevj15080375</w:t>
      </w:r>
      <w:proofErr w:type="gramEnd"/>
      <w:r w:rsidR="00AC7430" w:rsidRPr="00E55ECA">
        <w:t>.</w:t>
      </w:r>
    </w:p>
    <w:p w14:paraId="4C9B149D" w14:textId="77777777" w:rsidR="006113A2" w:rsidRDefault="006113A2" w:rsidP="00E55ECA"/>
    <w:p w14:paraId="6E5129DA" w14:textId="77777777" w:rsidR="006113A2" w:rsidRDefault="006113A2" w:rsidP="00E55ECA"/>
    <w:p w14:paraId="624168BB" w14:textId="77777777" w:rsidR="006113A2" w:rsidRDefault="006113A2" w:rsidP="00E55ECA"/>
    <w:p w14:paraId="0718A850" w14:textId="77777777" w:rsidR="006113A2" w:rsidRDefault="006113A2" w:rsidP="00E55ECA"/>
    <w:p w14:paraId="657EF717" w14:textId="77777777" w:rsidR="00AC7430" w:rsidRDefault="00AC7430" w:rsidP="006113A2">
      <w:pPr>
        <w:pStyle w:val="Heading1"/>
      </w:pPr>
    </w:p>
    <w:p w14:paraId="3CB70B22" w14:textId="7C690F5A" w:rsidR="006113A2" w:rsidRDefault="006113A2" w:rsidP="006113A2">
      <w:pPr>
        <w:pStyle w:val="Heading1"/>
      </w:pPr>
      <w:bookmarkStart w:id="8" w:name="_Toc215782908"/>
      <w:r>
        <w:t>7. AI Statement</w:t>
      </w:r>
      <w:bookmarkEnd w:id="8"/>
      <w:r>
        <w:t xml:space="preserve"> </w:t>
      </w:r>
    </w:p>
    <w:p w14:paraId="1D30FF07" w14:textId="77777777" w:rsidR="00FF29A3" w:rsidRPr="001364AA" w:rsidRDefault="00FF29A3" w:rsidP="00FF29A3">
      <w:pPr>
        <w:pStyle w:val="BodyText"/>
        <w:spacing w:line="360" w:lineRule="auto"/>
        <w:ind w:right="215"/>
        <w:jc w:val="both"/>
        <w:rPr>
          <w:b/>
          <w:bCs/>
          <w:sz w:val="24"/>
          <w:szCs w:val="24"/>
          <w:lang w:val="en-GB"/>
        </w:rPr>
      </w:pPr>
      <w:r w:rsidRPr="001364AA">
        <w:rPr>
          <w:b/>
          <w:bCs/>
          <w:i/>
          <w:iCs/>
          <w:sz w:val="24"/>
          <w:szCs w:val="24"/>
          <w:lang w:val="en-GB"/>
        </w:rPr>
        <w:t>I confirm that I have not presented any AI generated text as my own work. I confirm I have copies of my drafts, notes, and other resources I used before, and after the use of AI tools which I may be asked to</w:t>
      </w:r>
    </w:p>
    <w:p w14:paraId="7BB4748C" w14:textId="77777777" w:rsidR="00FF29A3" w:rsidRPr="001364AA" w:rsidRDefault="00FF29A3" w:rsidP="00FF29A3">
      <w:pPr>
        <w:pStyle w:val="BodyText"/>
        <w:spacing w:line="360" w:lineRule="auto"/>
        <w:ind w:right="215"/>
        <w:jc w:val="both"/>
        <w:rPr>
          <w:b/>
          <w:bCs/>
          <w:sz w:val="24"/>
          <w:szCs w:val="24"/>
          <w:lang w:val="en-GB"/>
        </w:rPr>
      </w:pPr>
      <w:r w:rsidRPr="001364AA">
        <w:rPr>
          <w:b/>
          <w:bCs/>
          <w:i/>
          <w:iCs/>
          <w:sz w:val="24"/>
          <w:szCs w:val="24"/>
          <w:lang w:val="en-GB"/>
        </w:rPr>
        <w:t>provide in evidence.</w:t>
      </w:r>
    </w:p>
    <w:p w14:paraId="54E82A3A" w14:textId="77777777" w:rsidR="00FF29A3" w:rsidRPr="001364AA" w:rsidRDefault="00FF29A3" w:rsidP="00FF29A3">
      <w:pPr>
        <w:pStyle w:val="BodyText"/>
        <w:spacing w:line="360" w:lineRule="auto"/>
        <w:ind w:right="215"/>
        <w:jc w:val="both"/>
        <w:rPr>
          <w:b/>
          <w:bCs/>
          <w:sz w:val="24"/>
          <w:szCs w:val="24"/>
          <w:lang w:val="en-GB"/>
        </w:rPr>
      </w:pPr>
      <w:r w:rsidRPr="001364AA">
        <w:rPr>
          <w:b/>
          <w:bCs/>
          <w:sz w:val="24"/>
          <w:szCs w:val="24"/>
          <w:lang w:val="en-GB"/>
        </w:rPr>
        <w:t> </w:t>
      </w:r>
    </w:p>
    <w:p w14:paraId="1357EC6A" w14:textId="77777777" w:rsidR="006113A2" w:rsidRPr="006113A2" w:rsidRDefault="006113A2" w:rsidP="006113A2"/>
    <w:sectPr w:rsidR="006113A2" w:rsidRPr="006113A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784E16" w14:textId="77777777" w:rsidR="00227821" w:rsidRDefault="00227821" w:rsidP="00227821">
      <w:pPr>
        <w:spacing w:after="0" w:line="240" w:lineRule="auto"/>
      </w:pPr>
      <w:r>
        <w:separator/>
      </w:r>
    </w:p>
  </w:endnote>
  <w:endnote w:type="continuationSeparator" w:id="0">
    <w:p w14:paraId="36E81FE7" w14:textId="77777777" w:rsidR="00227821" w:rsidRDefault="00227821" w:rsidP="002278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F23AB62" w14:textId="77777777" w:rsidR="00227821" w:rsidRDefault="00227821" w:rsidP="00227821">
      <w:pPr>
        <w:spacing w:after="0" w:line="240" w:lineRule="auto"/>
      </w:pPr>
      <w:r>
        <w:separator/>
      </w:r>
    </w:p>
  </w:footnote>
  <w:footnote w:type="continuationSeparator" w:id="0">
    <w:p w14:paraId="7CC16B69" w14:textId="77777777" w:rsidR="00227821" w:rsidRDefault="00227821" w:rsidP="0022782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B32B31"/>
    <w:multiLevelType w:val="multilevel"/>
    <w:tmpl w:val="FD60F4F8"/>
    <w:lvl w:ilvl="0">
      <w:start w:val="1"/>
      <w:numFmt w:val="decimal"/>
      <w:lvlText w:val="%1."/>
      <w:lvlJc w:val="left"/>
      <w:pPr>
        <w:ind w:left="720" w:hanging="360"/>
      </w:pPr>
      <w:rPr>
        <w:rFonts w:hint="default"/>
      </w:rPr>
    </w:lvl>
    <w:lvl w:ilvl="1">
      <w:start w:val="1"/>
      <w:numFmt w:val="decimal"/>
      <w:isLgl/>
      <w:lvlText w:val="%1.%2"/>
      <w:lvlJc w:val="left"/>
      <w:pPr>
        <w:ind w:left="1095" w:hanging="375"/>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1" w15:restartNumberingAfterBreak="0">
    <w:nsid w:val="57D43516"/>
    <w:multiLevelType w:val="hybridMultilevel"/>
    <w:tmpl w:val="88083C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32590662">
    <w:abstractNumId w:val="0"/>
  </w:num>
  <w:num w:numId="2" w16cid:durableId="155519199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0396"/>
    <w:rsid w:val="00015756"/>
    <w:rsid w:val="000204A4"/>
    <w:rsid w:val="00056179"/>
    <w:rsid w:val="00073962"/>
    <w:rsid w:val="000A221A"/>
    <w:rsid w:val="000B312C"/>
    <w:rsid w:val="000C0EB3"/>
    <w:rsid w:val="000E1FCD"/>
    <w:rsid w:val="000E37EF"/>
    <w:rsid w:val="000E5BFC"/>
    <w:rsid w:val="000E60CF"/>
    <w:rsid w:val="00100281"/>
    <w:rsid w:val="00144307"/>
    <w:rsid w:val="001455D3"/>
    <w:rsid w:val="00147F78"/>
    <w:rsid w:val="00155BB8"/>
    <w:rsid w:val="00170869"/>
    <w:rsid w:val="001A1A5F"/>
    <w:rsid w:val="001A4EE5"/>
    <w:rsid w:val="001C36E1"/>
    <w:rsid w:val="001D33C8"/>
    <w:rsid w:val="001F4290"/>
    <w:rsid w:val="00204933"/>
    <w:rsid w:val="00214ADD"/>
    <w:rsid w:val="00226A88"/>
    <w:rsid w:val="00227821"/>
    <w:rsid w:val="0024051F"/>
    <w:rsid w:val="002B7577"/>
    <w:rsid w:val="002C4738"/>
    <w:rsid w:val="002F2415"/>
    <w:rsid w:val="00305B82"/>
    <w:rsid w:val="00316B89"/>
    <w:rsid w:val="00323FD0"/>
    <w:rsid w:val="003720CC"/>
    <w:rsid w:val="003820EF"/>
    <w:rsid w:val="003828AE"/>
    <w:rsid w:val="0039120E"/>
    <w:rsid w:val="003A536B"/>
    <w:rsid w:val="003A5EAE"/>
    <w:rsid w:val="003A7CF1"/>
    <w:rsid w:val="003B63CD"/>
    <w:rsid w:val="003E2F31"/>
    <w:rsid w:val="003E5740"/>
    <w:rsid w:val="003F4E00"/>
    <w:rsid w:val="003F5060"/>
    <w:rsid w:val="00401EC0"/>
    <w:rsid w:val="004047EB"/>
    <w:rsid w:val="00416EAE"/>
    <w:rsid w:val="00423B97"/>
    <w:rsid w:val="00434771"/>
    <w:rsid w:val="004379B6"/>
    <w:rsid w:val="00447B8E"/>
    <w:rsid w:val="004600E3"/>
    <w:rsid w:val="00466D3C"/>
    <w:rsid w:val="00473202"/>
    <w:rsid w:val="00473C58"/>
    <w:rsid w:val="00481D70"/>
    <w:rsid w:val="004840BE"/>
    <w:rsid w:val="00490771"/>
    <w:rsid w:val="004A12F7"/>
    <w:rsid w:val="004A1ED0"/>
    <w:rsid w:val="004A7F74"/>
    <w:rsid w:val="004B7131"/>
    <w:rsid w:val="004E552A"/>
    <w:rsid w:val="004F10DC"/>
    <w:rsid w:val="004F3A73"/>
    <w:rsid w:val="005234B0"/>
    <w:rsid w:val="00554591"/>
    <w:rsid w:val="00562135"/>
    <w:rsid w:val="00562E64"/>
    <w:rsid w:val="00590058"/>
    <w:rsid w:val="005A264B"/>
    <w:rsid w:val="005F1D5D"/>
    <w:rsid w:val="00605303"/>
    <w:rsid w:val="00605A9D"/>
    <w:rsid w:val="006070AF"/>
    <w:rsid w:val="00610D02"/>
    <w:rsid w:val="006113A2"/>
    <w:rsid w:val="00626B4A"/>
    <w:rsid w:val="00626C4C"/>
    <w:rsid w:val="00643BF6"/>
    <w:rsid w:val="006B10BE"/>
    <w:rsid w:val="006B4930"/>
    <w:rsid w:val="006C189D"/>
    <w:rsid w:val="006D5664"/>
    <w:rsid w:val="00701073"/>
    <w:rsid w:val="00710C80"/>
    <w:rsid w:val="00724F92"/>
    <w:rsid w:val="0074256D"/>
    <w:rsid w:val="007427D9"/>
    <w:rsid w:val="007453D4"/>
    <w:rsid w:val="00753003"/>
    <w:rsid w:val="007560DE"/>
    <w:rsid w:val="00764920"/>
    <w:rsid w:val="00770EBC"/>
    <w:rsid w:val="00774A6D"/>
    <w:rsid w:val="007A66F7"/>
    <w:rsid w:val="007A7800"/>
    <w:rsid w:val="007A7AD4"/>
    <w:rsid w:val="007B1569"/>
    <w:rsid w:val="007B22AC"/>
    <w:rsid w:val="007C19F2"/>
    <w:rsid w:val="007C2659"/>
    <w:rsid w:val="007E483E"/>
    <w:rsid w:val="0080149F"/>
    <w:rsid w:val="008106A1"/>
    <w:rsid w:val="0082740C"/>
    <w:rsid w:val="0084333E"/>
    <w:rsid w:val="00846436"/>
    <w:rsid w:val="0084787A"/>
    <w:rsid w:val="00853B29"/>
    <w:rsid w:val="00870442"/>
    <w:rsid w:val="0088569C"/>
    <w:rsid w:val="00894F59"/>
    <w:rsid w:val="008A2A17"/>
    <w:rsid w:val="008A6D08"/>
    <w:rsid w:val="008B1BC2"/>
    <w:rsid w:val="008C1258"/>
    <w:rsid w:val="008D6DEF"/>
    <w:rsid w:val="008E2739"/>
    <w:rsid w:val="008E2C2B"/>
    <w:rsid w:val="008E3A77"/>
    <w:rsid w:val="00902696"/>
    <w:rsid w:val="00923EE3"/>
    <w:rsid w:val="009361ED"/>
    <w:rsid w:val="00945B08"/>
    <w:rsid w:val="0095553B"/>
    <w:rsid w:val="00974CC3"/>
    <w:rsid w:val="00986020"/>
    <w:rsid w:val="00987E3B"/>
    <w:rsid w:val="009A32EA"/>
    <w:rsid w:val="009B5AAB"/>
    <w:rsid w:val="009C4204"/>
    <w:rsid w:val="009D139F"/>
    <w:rsid w:val="009D1524"/>
    <w:rsid w:val="009D7B77"/>
    <w:rsid w:val="009E597F"/>
    <w:rsid w:val="009E6781"/>
    <w:rsid w:val="009F2A2D"/>
    <w:rsid w:val="009F61B9"/>
    <w:rsid w:val="00A00D63"/>
    <w:rsid w:val="00A03A85"/>
    <w:rsid w:val="00A13353"/>
    <w:rsid w:val="00A21AD9"/>
    <w:rsid w:val="00A235C1"/>
    <w:rsid w:val="00A44B80"/>
    <w:rsid w:val="00A55A06"/>
    <w:rsid w:val="00A6661B"/>
    <w:rsid w:val="00A73EEC"/>
    <w:rsid w:val="00A81A37"/>
    <w:rsid w:val="00A82465"/>
    <w:rsid w:val="00A84618"/>
    <w:rsid w:val="00A972D6"/>
    <w:rsid w:val="00AC06C2"/>
    <w:rsid w:val="00AC7430"/>
    <w:rsid w:val="00AF351B"/>
    <w:rsid w:val="00B041B6"/>
    <w:rsid w:val="00B13F36"/>
    <w:rsid w:val="00B45BDA"/>
    <w:rsid w:val="00B46BAB"/>
    <w:rsid w:val="00B5176E"/>
    <w:rsid w:val="00B522D7"/>
    <w:rsid w:val="00B56823"/>
    <w:rsid w:val="00B57E95"/>
    <w:rsid w:val="00B74DB8"/>
    <w:rsid w:val="00B75FCD"/>
    <w:rsid w:val="00B761E8"/>
    <w:rsid w:val="00B9302E"/>
    <w:rsid w:val="00B9478C"/>
    <w:rsid w:val="00B961E9"/>
    <w:rsid w:val="00BA7C3D"/>
    <w:rsid w:val="00BB37A8"/>
    <w:rsid w:val="00BB7036"/>
    <w:rsid w:val="00BE2037"/>
    <w:rsid w:val="00BF2823"/>
    <w:rsid w:val="00C02A24"/>
    <w:rsid w:val="00C12232"/>
    <w:rsid w:val="00C20371"/>
    <w:rsid w:val="00C20761"/>
    <w:rsid w:val="00C2502F"/>
    <w:rsid w:val="00C2662C"/>
    <w:rsid w:val="00C3025E"/>
    <w:rsid w:val="00C31854"/>
    <w:rsid w:val="00C356AA"/>
    <w:rsid w:val="00C36C48"/>
    <w:rsid w:val="00C40718"/>
    <w:rsid w:val="00C432AB"/>
    <w:rsid w:val="00C5174F"/>
    <w:rsid w:val="00C64C78"/>
    <w:rsid w:val="00C920F9"/>
    <w:rsid w:val="00CB3D4F"/>
    <w:rsid w:val="00CD165F"/>
    <w:rsid w:val="00CF563E"/>
    <w:rsid w:val="00CF5F61"/>
    <w:rsid w:val="00D17023"/>
    <w:rsid w:val="00D2657D"/>
    <w:rsid w:val="00D424B2"/>
    <w:rsid w:val="00D46D87"/>
    <w:rsid w:val="00D50A56"/>
    <w:rsid w:val="00D5591D"/>
    <w:rsid w:val="00D667C2"/>
    <w:rsid w:val="00D81418"/>
    <w:rsid w:val="00D83620"/>
    <w:rsid w:val="00D8689A"/>
    <w:rsid w:val="00D87BA1"/>
    <w:rsid w:val="00DA320D"/>
    <w:rsid w:val="00DA3609"/>
    <w:rsid w:val="00DA7000"/>
    <w:rsid w:val="00DB33E2"/>
    <w:rsid w:val="00DC2FD8"/>
    <w:rsid w:val="00DD7F43"/>
    <w:rsid w:val="00E01124"/>
    <w:rsid w:val="00E05A09"/>
    <w:rsid w:val="00E16BF1"/>
    <w:rsid w:val="00E218FC"/>
    <w:rsid w:val="00E3246A"/>
    <w:rsid w:val="00E339B9"/>
    <w:rsid w:val="00E360F0"/>
    <w:rsid w:val="00E40396"/>
    <w:rsid w:val="00E54F71"/>
    <w:rsid w:val="00E55ECA"/>
    <w:rsid w:val="00E6080B"/>
    <w:rsid w:val="00E64455"/>
    <w:rsid w:val="00E87C37"/>
    <w:rsid w:val="00E965A1"/>
    <w:rsid w:val="00ED0AC2"/>
    <w:rsid w:val="00ED4AE0"/>
    <w:rsid w:val="00ED59F3"/>
    <w:rsid w:val="00EE45AE"/>
    <w:rsid w:val="00EE7A42"/>
    <w:rsid w:val="00EF15A0"/>
    <w:rsid w:val="00EF5D95"/>
    <w:rsid w:val="00F1337B"/>
    <w:rsid w:val="00F236E4"/>
    <w:rsid w:val="00F23E91"/>
    <w:rsid w:val="00F33688"/>
    <w:rsid w:val="00F35F2C"/>
    <w:rsid w:val="00F40BF3"/>
    <w:rsid w:val="00F50000"/>
    <w:rsid w:val="00F51326"/>
    <w:rsid w:val="00F54FD1"/>
    <w:rsid w:val="00F56EF5"/>
    <w:rsid w:val="00F91E1F"/>
    <w:rsid w:val="00FA61A1"/>
    <w:rsid w:val="00FB302A"/>
    <w:rsid w:val="00FC0064"/>
    <w:rsid w:val="00FD1ECE"/>
    <w:rsid w:val="00FD4729"/>
    <w:rsid w:val="00FD716A"/>
    <w:rsid w:val="00FE3D3C"/>
    <w:rsid w:val="00FF29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7E5552"/>
  <w15:chartTrackingRefBased/>
  <w15:docId w15:val="{066B7666-1C5B-4E9F-89F5-D2C658684F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4039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4039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4039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4039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4039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4039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4039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4039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4039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039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4039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4039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4039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4039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4039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4039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4039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40396"/>
    <w:rPr>
      <w:rFonts w:eastAsiaTheme="majorEastAsia" w:cstheme="majorBidi"/>
      <w:color w:val="272727" w:themeColor="text1" w:themeTint="D8"/>
    </w:rPr>
  </w:style>
  <w:style w:type="paragraph" w:styleId="Title">
    <w:name w:val="Title"/>
    <w:basedOn w:val="Normal"/>
    <w:next w:val="Normal"/>
    <w:link w:val="TitleChar"/>
    <w:uiPriority w:val="10"/>
    <w:qFormat/>
    <w:rsid w:val="00E4039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4039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4039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4039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40396"/>
    <w:pPr>
      <w:spacing w:before="160"/>
      <w:jc w:val="center"/>
    </w:pPr>
    <w:rPr>
      <w:i/>
      <w:iCs/>
      <w:color w:val="404040" w:themeColor="text1" w:themeTint="BF"/>
    </w:rPr>
  </w:style>
  <w:style w:type="character" w:customStyle="1" w:styleId="QuoteChar">
    <w:name w:val="Quote Char"/>
    <w:basedOn w:val="DefaultParagraphFont"/>
    <w:link w:val="Quote"/>
    <w:uiPriority w:val="29"/>
    <w:rsid w:val="00E40396"/>
    <w:rPr>
      <w:i/>
      <w:iCs/>
      <w:color w:val="404040" w:themeColor="text1" w:themeTint="BF"/>
    </w:rPr>
  </w:style>
  <w:style w:type="paragraph" w:styleId="ListParagraph">
    <w:name w:val="List Paragraph"/>
    <w:basedOn w:val="Normal"/>
    <w:uiPriority w:val="34"/>
    <w:qFormat/>
    <w:rsid w:val="00E40396"/>
    <w:pPr>
      <w:ind w:left="720"/>
      <w:contextualSpacing/>
    </w:pPr>
  </w:style>
  <w:style w:type="character" w:styleId="IntenseEmphasis">
    <w:name w:val="Intense Emphasis"/>
    <w:basedOn w:val="DefaultParagraphFont"/>
    <w:uiPriority w:val="21"/>
    <w:qFormat/>
    <w:rsid w:val="00E40396"/>
    <w:rPr>
      <w:i/>
      <w:iCs/>
      <w:color w:val="0F4761" w:themeColor="accent1" w:themeShade="BF"/>
    </w:rPr>
  </w:style>
  <w:style w:type="paragraph" w:styleId="IntenseQuote">
    <w:name w:val="Intense Quote"/>
    <w:basedOn w:val="Normal"/>
    <w:next w:val="Normal"/>
    <w:link w:val="IntenseQuoteChar"/>
    <w:uiPriority w:val="30"/>
    <w:qFormat/>
    <w:rsid w:val="00E4039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40396"/>
    <w:rPr>
      <w:i/>
      <w:iCs/>
      <w:color w:val="0F4761" w:themeColor="accent1" w:themeShade="BF"/>
    </w:rPr>
  </w:style>
  <w:style w:type="character" w:styleId="IntenseReference">
    <w:name w:val="Intense Reference"/>
    <w:basedOn w:val="DefaultParagraphFont"/>
    <w:uiPriority w:val="32"/>
    <w:qFormat/>
    <w:rsid w:val="00E40396"/>
    <w:rPr>
      <w:b/>
      <w:bCs/>
      <w:smallCaps/>
      <w:color w:val="0F4761" w:themeColor="accent1" w:themeShade="BF"/>
      <w:spacing w:val="5"/>
    </w:rPr>
  </w:style>
  <w:style w:type="character" w:styleId="Hyperlink">
    <w:name w:val="Hyperlink"/>
    <w:basedOn w:val="DefaultParagraphFont"/>
    <w:uiPriority w:val="99"/>
    <w:unhideWhenUsed/>
    <w:rsid w:val="004379B6"/>
    <w:rPr>
      <w:color w:val="467886" w:themeColor="hyperlink"/>
      <w:u w:val="single"/>
    </w:rPr>
  </w:style>
  <w:style w:type="character" w:styleId="UnresolvedMention">
    <w:name w:val="Unresolved Mention"/>
    <w:basedOn w:val="DefaultParagraphFont"/>
    <w:uiPriority w:val="99"/>
    <w:semiHidden/>
    <w:unhideWhenUsed/>
    <w:rsid w:val="004379B6"/>
    <w:rPr>
      <w:color w:val="605E5C"/>
      <w:shd w:val="clear" w:color="auto" w:fill="E1DFDD"/>
    </w:rPr>
  </w:style>
  <w:style w:type="paragraph" w:styleId="BodyText">
    <w:name w:val="Body Text"/>
    <w:basedOn w:val="Normal"/>
    <w:link w:val="BodyTextChar"/>
    <w:uiPriority w:val="1"/>
    <w:qFormat/>
    <w:rsid w:val="00FF29A3"/>
    <w:pPr>
      <w:widowControl w:val="0"/>
      <w:autoSpaceDE w:val="0"/>
      <w:autoSpaceDN w:val="0"/>
      <w:spacing w:after="0" w:line="240" w:lineRule="auto"/>
    </w:pPr>
    <w:rPr>
      <w:rFonts w:ascii="Arial" w:eastAsia="Arial" w:hAnsi="Arial" w:cs="Arial"/>
      <w:kern w:val="0"/>
      <w:sz w:val="22"/>
      <w:szCs w:val="22"/>
      <w:lang w:val="en-US" w:bidi="en-US"/>
      <w14:ligatures w14:val="none"/>
    </w:rPr>
  </w:style>
  <w:style w:type="character" w:customStyle="1" w:styleId="BodyTextChar">
    <w:name w:val="Body Text Char"/>
    <w:basedOn w:val="DefaultParagraphFont"/>
    <w:link w:val="BodyText"/>
    <w:uiPriority w:val="1"/>
    <w:rsid w:val="00FF29A3"/>
    <w:rPr>
      <w:rFonts w:ascii="Arial" w:eastAsia="Arial" w:hAnsi="Arial" w:cs="Arial"/>
      <w:kern w:val="0"/>
      <w:sz w:val="22"/>
      <w:szCs w:val="22"/>
      <w:lang w:val="en-US" w:bidi="en-US"/>
      <w14:ligatures w14:val="none"/>
    </w:rPr>
  </w:style>
  <w:style w:type="paragraph" w:styleId="TOCHeading">
    <w:name w:val="TOC Heading"/>
    <w:basedOn w:val="Heading1"/>
    <w:next w:val="Normal"/>
    <w:uiPriority w:val="39"/>
    <w:unhideWhenUsed/>
    <w:qFormat/>
    <w:rsid w:val="00227821"/>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227821"/>
    <w:pPr>
      <w:spacing w:after="100"/>
    </w:pPr>
  </w:style>
  <w:style w:type="paragraph" w:styleId="TOC2">
    <w:name w:val="toc 2"/>
    <w:basedOn w:val="Normal"/>
    <w:next w:val="Normal"/>
    <w:autoRedefine/>
    <w:uiPriority w:val="39"/>
    <w:unhideWhenUsed/>
    <w:rsid w:val="00227821"/>
    <w:pPr>
      <w:spacing w:after="100"/>
      <w:ind w:left="240"/>
    </w:pPr>
  </w:style>
  <w:style w:type="paragraph" w:styleId="Header">
    <w:name w:val="header"/>
    <w:basedOn w:val="Normal"/>
    <w:link w:val="HeaderChar"/>
    <w:uiPriority w:val="99"/>
    <w:unhideWhenUsed/>
    <w:rsid w:val="002278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7821"/>
  </w:style>
  <w:style w:type="paragraph" w:styleId="Footer">
    <w:name w:val="footer"/>
    <w:basedOn w:val="Normal"/>
    <w:link w:val="FooterChar"/>
    <w:uiPriority w:val="99"/>
    <w:unhideWhenUsed/>
    <w:rsid w:val="002278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782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27EA295-5A87-460B-ABA2-305748BE1E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1533</TotalTime>
  <Pages>12</Pages>
  <Words>2822</Words>
  <Characters>16797</Characters>
  <Application>Microsoft Office Word</Application>
  <DocSecurity>0</DocSecurity>
  <Lines>988</Lines>
  <Paragraphs>338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Minea</dc:creator>
  <cp:keywords/>
  <dc:description/>
  <cp:lastModifiedBy>Laura Minea</cp:lastModifiedBy>
  <cp:revision>246</cp:revision>
  <dcterms:created xsi:type="dcterms:W3CDTF">2025-12-03T21:49:00Z</dcterms:created>
  <dcterms:modified xsi:type="dcterms:W3CDTF">2025-12-04T23:22:00Z</dcterms:modified>
</cp:coreProperties>
</file>