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margin" w:tblpXSpec="center" w:tblpY="3078"/>
        <w:tblW w:w="9481" w:type="dxa"/>
        <w:tblLook w:val="04A0" w:firstRow="1" w:lastRow="0" w:firstColumn="1" w:lastColumn="0" w:noHBand="0" w:noVBand="1"/>
      </w:tblPr>
      <w:tblGrid>
        <w:gridCol w:w="3160"/>
        <w:gridCol w:w="3160"/>
        <w:gridCol w:w="3161"/>
      </w:tblGrid>
      <w:tr w:rsidR="00C63E0D" w14:paraId="0817CA72" w14:textId="77777777" w:rsidTr="005F669A">
        <w:trPr>
          <w:trHeight w:val="2044"/>
        </w:trPr>
        <w:tc>
          <w:tcPr>
            <w:tcW w:w="3160" w:type="dxa"/>
          </w:tcPr>
          <w:p w14:paraId="31B2E567" w14:textId="493221EC" w:rsidR="00C63E0D" w:rsidRDefault="00C63E0D" w:rsidP="005F669A">
            <w:pPr>
              <w:jc w:val="center"/>
              <w:rPr>
                <w:b/>
                <w:bCs/>
                <w:i/>
                <w:iCs/>
                <w:sz w:val="24"/>
                <w:szCs w:val="24"/>
              </w:rPr>
            </w:pPr>
            <w:r w:rsidRPr="00C63E0D">
              <w:rPr>
                <w:b/>
                <w:bCs/>
                <w:i/>
                <w:iCs/>
                <w:sz w:val="24"/>
                <w:szCs w:val="24"/>
              </w:rPr>
              <w:t>Key partners</w:t>
            </w:r>
          </w:p>
          <w:p w14:paraId="36C7F5DE" w14:textId="6F4C2CE9" w:rsidR="00C63E0D" w:rsidRPr="00C63E0D" w:rsidRDefault="005D67EF" w:rsidP="005F669A">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Segoe UI" w:hAnsi="Segoe UI" w:cs="Segoe UI"/>
                <w:color w:val="374151"/>
                <w:sz w:val="16"/>
                <w:szCs w:val="16"/>
              </w:rPr>
            </w:pPr>
            <w:r w:rsidRPr="00C63E0D">
              <w:rPr>
                <w:rFonts w:ascii="Segoe UI" w:hAnsi="Segoe UI" w:cs="Segoe UI"/>
                <w:color w:val="374151"/>
                <w:sz w:val="16"/>
                <w:szCs w:val="16"/>
              </w:rPr>
              <w:t>To</w:t>
            </w:r>
            <w:r w:rsidR="00C63E0D" w:rsidRPr="00C63E0D">
              <w:rPr>
                <w:rFonts w:ascii="Segoe UI" w:hAnsi="Segoe UI" w:cs="Segoe UI"/>
                <w:color w:val="374151"/>
                <w:sz w:val="16"/>
                <w:szCs w:val="16"/>
              </w:rPr>
              <w:t xml:space="preserve"> become more 'circular' and less 'linear' in its approach to resource utilization and waste avoidance, an organization can leverage key partnerships to enhance its efforts. Collaborating with relevant stakeholders is crucial in establishing a sustainable and circular business model.</w:t>
            </w:r>
          </w:p>
          <w:p w14:paraId="303015E6" w14:textId="77777777" w:rsidR="00C63E0D" w:rsidRPr="00C63E0D" w:rsidRDefault="00C63E0D" w:rsidP="005F669A">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sz w:val="16"/>
                <w:szCs w:val="16"/>
              </w:rPr>
            </w:pPr>
            <w:r w:rsidRPr="00C63E0D">
              <w:rPr>
                <w:rFonts w:ascii="Segoe UI" w:hAnsi="Segoe UI" w:cs="Segoe UI"/>
                <w:color w:val="374151"/>
                <w:sz w:val="16"/>
                <w:szCs w:val="16"/>
              </w:rPr>
              <w:t>Key partners can include suppliers, manufacturers, recycling facilities, technology providers, and industry experts. By working closely with suppliers, organizations can source materials that are recycled, renewable, or have a reduced environmental impact. Partnering with manufacturers allows for the design and production of products with extended lifecycles, modularity, or components that can be easily repaired or recycled.</w:t>
            </w:r>
          </w:p>
          <w:p w14:paraId="3FC4E0A3" w14:textId="77777777" w:rsidR="00C63E0D" w:rsidRPr="00C63E0D" w:rsidRDefault="00C63E0D" w:rsidP="005F669A">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sz w:val="16"/>
                <w:szCs w:val="16"/>
              </w:rPr>
            </w:pPr>
            <w:r w:rsidRPr="00C63E0D">
              <w:rPr>
                <w:rFonts w:ascii="Segoe UI" w:hAnsi="Segoe UI" w:cs="Segoe UI"/>
                <w:color w:val="374151"/>
                <w:sz w:val="16"/>
                <w:szCs w:val="16"/>
              </w:rPr>
              <w:t>Collaboration with recycling facilities enables proper disposal and recovery of materials, ensuring a closed-loop system. Technology providers can offer innovative solutions such as tracking and tracing systems, data analytics, or digital platforms to optimize resource utilization and waste management. Additionally, engaging industry experts and research institutions can provide valuable insights, guidance, and best practices for implementing circular strategies.</w:t>
            </w:r>
          </w:p>
          <w:p w14:paraId="7EEA9D03" w14:textId="77777777" w:rsidR="00C63E0D" w:rsidRPr="00C63E0D" w:rsidRDefault="00C63E0D" w:rsidP="005F669A">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Segoe UI" w:hAnsi="Segoe UI" w:cs="Segoe UI"/>
                <w:color w:val="374151"/>
                <w:sz w:val="16"/>
                <w:szCs w:val="16"/>
              </w:rPr>
            </w:pPr>
            <w:r w:rsidRPr="00C63E0D">
              <w:rPr>
                <w:rFonts w:ascii="Segoe UI" w:hAnsi="Segoe UI" w:cs="Segoe UI"/>
                <w:color w:val="374151"/>
                <w:sz w:val="16"/>
                <w:szCs w:val="16"/>
              </w:rPr>
              <w:t>Through these strategic partnerships, organizations can access knowledge, resources, and networks to develop more sustainable supply chains, implement circular business models, and promote the reuse, remanufacturing, and recycling of resources. By embracing collaboration, businesses can drive positive environmental impact, reduce waste generation, and contribute to the circular economy paradigm.</w:t>
            </w:r>
          </w:p>
          <w:p w14:paraId="7FB53EC1" w14:textId="31DBE460" w:rsidR="00C63E0D" w:rsidRPr="00C63E0D" w:rsidRDefault="00BF39BA" w:rsidP="005F669A">
            <w:pPr>
              <w:rPr>
                <w:sz w:val="16"/>
                <w:szCs w:val="16"/>
              </w:rPr>
            </w:pPr>
            <w:r>
              <w:rPr>
                <w:noProof/>
              </w:rPr>
              <w:drawing>
                <wp:inline distT="0" distB="0" distL="0" distR="0" wp14:anchorId="5BD4FECE" wp14:editId="35F082BD">
                  <wp:extent cx="1667105" cy="1163320"/>
                  <wp:effectExtent l="0" t="0" r="9525" b="0"/>
                  <wp:docPr id="1892402858" name="Picture 2" descr="Organizational Design: A Complete Guide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Organizational Design: A Complete Guide - AIH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flipH="1">
                            <a:off x="0" y="0"/>
                            <a:ext cx="1727333" cy="1205348"/>
                          </a:xfrm>
                          <a:prstGeom prst="rect">
                            <a:avLst/>
                          </a:prstGeom>
                          <a:noFill/>
                          <a:ln>
                            <a:noFill/>
                          </a:ln>
                        </pic:spPr>
                      </pic:pic>
                    </a:graphicData>
                  </a:graphic>
                </wp:inline>
              </w:drawing>
            </w:r>
          </w:p>
        </w:tc>
        <w:tc>
          <w:tcPr>
            <w:tcW w:w="3160" w:type="dxa"/>
          </w:tcPr>
          <w:p w14:paraId="2DDECE97" w14:textId="77777777" w:rsidR="005D67EF" w:rsidRDefault="00C63E0D" w:rsidP="005F669A">
            <w:pPr>
              <w:jc w:val="center"/>
              <w:rPr>
                <w:b/>
                <w:bCs/>
                <w:i/>
                <w:iCs/>
                <w:sz w:val="24"/>
                <w:szCs w:val="24"/>
              </w:rPr>
            </w:pPr>
            <w:r w:rsidRPr="005D67EF">
              <w:rPr>
                <w:b/>
                <w:bCs/>
                <w:i/>
                <w:iCs/>
                <w:sz w:val="24"/>
                <w:szCs w:val="24"/>
              </w:rPr>
              <w:t>Solution</w:t>
            </w:r>
          </w:p>
          <w:p w14:paraId="317F7DE9" w14:textId="1BA1EBC6" w:rsidR="00C63E0D" w:rsidRPr="005D67EF" w:rsidRDefault="00C63E0D" w:rsidP="005F669A">
            <w:pPr>
              <w:jc w:val="center"/>
              <w:rPr>
                <w:b/>
                <w:bCs/>
                <w:i/>
                <w:iCs/>
                <w:sz w:val="24"/>
                <w:szCs w:val="24"/>
              </w:rPr>
            </w:pPr>
            <w:r w:rsidRPr="005D67EF">
              <w:rPr>
                <w:rFonts w:ascii="Segoe UI" w:hAnsi="Segoe UI" w:cs="Segoe UI"/>
                <w:color w:val="374151"/>
                <w:sz w:val="16"/>
                <w:szCs w:val="16"/>
              </w:rPr>
              <w:t>To transition towards a more circular approach and reduce waste, organizations can implement several key solutions. Firstly, they can focus on product design and innovation. By incorporating principles such as modularity, durability, and recyclability into product development, companies can extend product lifecycles and make it easier to repair, upgrade, or recycle components. This shift can be facilitated through collaboration with designers, engineers, and materials experts.</w:t>
            </w:r>
          </w:p>
          <w:p w14:paraId="030E2073" w14:textId="77777777" w:rsidR="00C63E0D" w:rsidRPr="005D67EF" w:rsidRDefault="00C63E0D" w:rsidP="005F669A">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sz w:val="16"/>
                <w:szCs w:val="16"/>
              </w:rPr>
            </w:pPr>
            <w:r w:rsidRPr="005D67EF">
              <w:rPr>
                <w:rFonts w:ascii="Segoe UI" w:hAnsi="Segoe UI" w:cs="Segoe UI"/>
                <w:color w:val="374151"/>
                <w:sz w:val="16"/>
                <w:szCs w:val="16"/>
              </w:rPr>
              <w:t>Another solution is to implement a closed-loop supply chain. This involves establishing partnerships with suppliers and customers to create a system where resources and materials are reused or recycled. By collecting and reintegrating used products or materials back into their value chain, organizations can minimize waste generation and optimize resource utilization.</w:t>
            </w:r>
          </w:p>
          <w:p w14:paraId="4FFF9639" w14:textId="77777777" w:rsidR="00C63E0D" w:rsidRPr="005D67EF" w:rsidRDefault="00C63E0D" w:rsidP="005F669A">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sz w:val="16"/>
                <w:szCs w:val="16"/>
              </w:rPr>
            </w:pPr>
            <w:r w:rsidRPr="005D67EF">
              <w:rPr>
                <w:rFonts w:ascii="Segoe UI" w:hAnsi="Segoe UI" w:cs="Segoe UI"/>
                <w:color w:val="374151"/>
                <w:sz w:val="16"/>
                <w:szCs w:val="16"/>
              </w:rPr>
              <w:t>Furthermore, organizations can adopt innovative business models such as product-as-a-service or sharing platforms. These models promote the sharing or leasing of products, reducing the need for individual ownership and encouraging longer product lifecycles. Collaborating with other businesses in the sharing economy can enhance these initiatives.</w:t>
            </w:r>
          </w:p>
          <w:p w14:paraId="1B32D643" w14:textId="77777777" w:rsidR="00C63E0D" w:rsidRPr="005D67EF" w:rsidRDefault="00C63E0D" w:rsidP="005F669A">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sz w:val="16"/>
                <w:szCs w:val="16"/>
              </w:rPr>
            </w:pPr>
            <w:r w:rsidRPr="005D67EF">
              <w:rPr>
                <w:rFonts w:ascii="Segoe UI" w:hAnsi="Segoe UI" w:cs="Segoe UI"/>
                <w:color w:val="374151"/>
                <w:sz w:val="16"/>
                <w:szCs w:val="16"/>
              </w:rPr>
              <w:t>Technology also plays a crucial role in enabling circularity. Implementing digital systems for tracking and tracing resources, as well as data analytics, can optimize material flows and identify areas for improvement. Additionally, emerging technologies like blockchain can enhance transparency and trust within supply chains, facilitating the tracking and verification of sustainable practices.</w:t>
            </w:r>
          </w:p>
          <w:p w14:paraId="085292BF" w14:textId="77777777" w:rsidR="00C63E0D" w:rsidRPr="005D67EF" w:rsidRDefault="00C63E0D" w:rsidP="005F669A">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sz w:val="16"/>
                <w:szCs w:val="16"/>
              </w:rPr>
            </w:pPr>
            <w:r w:rsidRPr="005D67EF">
              <w:rPr>
                <w:rFonts w:ascii="Segoe UI" w:hAnsi="Segoe UI" w:cs="Segoe UI"/>
                <w:color w:val="374151"/>
                <w:sz w:val="16"/>
                <w:szCs w:val="16"/>
              </w:rPr>
              <w:t xml:space="preserve">Finally, organizations should engage in partnerships and collaborations with relevant stakeholders, such as suppliers, customers, recycling facilities, and research institutions. These partnerships </w:t>
            </w:r>
            <w:r w:rsidRPr="005D67EF">
              <w:rPr>
                <w:rFonts w:ascii="Segoe UI" w:hAnsi="Segoe UI" w:cs="Segoe UI"/>
                <w:color w:val="374151"/>
                <w:sz w:val="16"/>
                <w:szCs w:val="16"/>
              </w:rPr>
              <w:lastRenderedPageBreak/>
              <w:t>can foster knowledge exchange, resource sharing, and joint initiatives for circularity.</w:t>
            </w:r>
          </w:p>
          <w:p w14:paraId="62D46B06" w14:textId="77777777" w:rsidR="00C63E0D" w:rsidRDefault="00C63E0D" w:rsidP="005F669A">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Segoe UI" w:hAnsi="Segoe UI" w:cs="Segoe UI"/>
                <w:color w:val="374151"/>
                <w:sz w:val="16"/>
                <w:szCs w:val="16"/>
              </w:rPr>
            </w:pPr>
            <w:r w:rsidRPr="005D67EF">
              <w:rPr>
                <w:rFonts w:ascii="Segoe UI" w:hAnsi="Segoe UI" w:cs="Segoe UI"/>
                <w:color w:val="374151"/>
                <w:sz w:val="16"/>
                <w:szCs w:val="16"/>
              </w:rPr>
              <w:t>By implementing these solutions, organizations can transition towards a more circular approach, reducing waste, optimizing resource use, and contributing to a sustainable future.</w:t>
            </w:r>
          </w:p>
          <w:p w14:paraId="4023FE30" w14:textId="73BE5841" w:rsidR="0052784C" w:rsidRPr="005D67EF" w:rsidRDefault="00A128EC" w:rsidP="005F669A">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Segoe UI" w:hAnsi="Segoe UI" w:cs="Segoe UI"/>
                <w:color w:val="374151"/>
                <w:sz w:val="16"/>
                <w:szCs w:val="16"/>
              </w:rPr>
            </w:pPr>
            <w:sdt>
              <w:sdtPr>
                <w:rPr>
                  <w:rFonts w:ascii="Segoe UI" w:hAnsi="Segoe UI" w:cs="Segoe UI"/>
                  <w:color w:val="374151"/>
                  <w:sz w:val="16"/>
                  <w:szCs w:val="16"/>
                </w:rPr>
                <w:id w:val="-1270077131"/>
                <w:citation/>
              </w:sdtPr>
              <w:sdtContent>
                <w:r>
                  <w:rPr>
                    <w:rFonts w:ascii="Segoe UI" w:hAnsi="Segoe UI" w:cs="Segoe UI"/>
                    <w:color w:val="374151"/>
                    <w:sz w:val="16"/>
                    <w:szCs w:val="16"/>
                  </w:rPr>
                  <w:fldChar w:fldCharType="begin"/>
                </w:r>
                <w:r>
                  <w:rPr>
                    <w:rFonts w:ascii="Segoe UI" w:hAnsi="Segoe UI" w:cs="Segoe UI"/>
                    <w:color w:val="374151"/>
                    <w:sz w:val="16"/>
                    <w:szCs w:val="16"/>
                  </w:rPr>
                  <w:instrText xml:space="preserve"> CITATION Pat16 \l 2057 </w:instrText>
                </w:r>
                <w:r>
                  <w:rPr>
                    <w:rFonts w:ascii="Segoe UI" w:hAnsi="Segoe UI" w:cs="Segoe UI"/>
                    <w:color w:val="374151"/>
                    <w:sz w:val="16"/>
                    <w:szCs w:val="16"/>
                  </w:rPr>
                  <w:fldChar w:fldCharType="separate"/>
                </w:r>
                <w:r w:rsidRPr="00A128EC">
                  <w:rPr>
                    <w:rFonts w:ascii="Segoe UI" w:hAnsi="Segoe UI" w:cs="Segoe UI"/>
                    <w:noProof/>
                    <w:color w:val="374151"/>
                    <w:sz w:val="16"/>
                    <w:szCs w:val="16"/>
                  </w:rPr>
                  <w:t>(Ghisellini, 2016)</w:t>
                </w:r>
                <w:r>
                  <w:rPr>
                    <w:rFonts w:ascii="Segoe UI" w:hAnsi="Segoe UI" w:cs="Segoe UI"/>
                    <w:color w:val="374151"/>
                    <w:sz w:val="16"/>
                    <w:szCs w:val="16"/>
                  </w:rPr>
                  <w:fldChar w:fldCharType="end"/>
                </w:r>
              </w:sdtContent>
            </w:sdt>
          </w:p>
          <w:p w14:paraId="67357B28" w14:textId="54E382C1" w:rsidR="00C63E0D" w:rsidRPr="005D67EF" w:rsidRDefault="00C63E0D" w:rsidP="005F669A">
            <w:pPr>
              <w:rPr>
                <w:sz w:val="16"/>
                <w:szCs w:val="16"/>
              </w:rPr>
            </w:pPr>
          </w:p>
        </w:tc>
        <w:tc>
          <w:tcPr>
            <w:tcW w:w="3161" w:type="dxa"/>
          </w:tcPr>
          <w:p w14:paraId="5014F896" w14:textId="77777777" w:rsidR="00C63E0D" w:rsidRDefault="005D67EF" w:rsidP="005F669A">
            <w:pPr>
              <w:jc w:val="center"/>
              <w:rPr>
                <w:b/>
                <w:bCs/>
                <w:i/>
                <w:iCs/>
                <w:sz w:val="24"/>
                <w:szCs w:val="24"/>
              </w:rPr>
            </w:pPr>
            <w:r w:rsidRPr="005D67EF">
              <w:rPr>
                <w:b/>
                <w:bCs/>
                <w:i/>
                <w:iCs/>
                <w:sz w:val="24"/>
                <w:szCs w:val="24"/>
              </w:rPr>
              <w:lastRenderedPageBreak/>
              <w:t>Unfair Advantage</w:t>
            </w:r>
          </w:p>
          <w:p w14:paraId="45C24939" w14:textId="77777777" w:rsidR="005D67EF" w:rsidRPr="005D67EF" w:rsidRDefault="005D67EF" w:rsidP="005F669A">
            <w:pPr>
              <w:rPr>
                <w:sz w:val="16"/>
                <w:szCs w:val="16"/>
              </w:rPr>
            </w:pPr>
            <w:r w:rsidRPr="005D67EF">
              <w:rPr>
                <w:sz w:val="16"/>
                <w:szCs w:val="16"/>
              </w:rPr>
              <w:t>Gaining an unfair advantage in adopting a circular approach to resource utilization and waste avoidance can set an organization apart from its competitors. Here are some potential unfair advantages:</w:t>
            </w:r>
          </w:p>
          <w:p w14:paraId="497FF742" w14:textId="77777777" w:rsidR="005D67EF" w:rsidRPr="005D67EF" w:rsidRDefault="005D67EF" w:rsidP="005F669A">
            <w:pPr>
              <w:rPr>
                <w:sz w:val="16"/>
                <w:szCs w:val="16"/>
              </w:rPr>
            </w:pPr>
          </w:p>
          <w:p w14:paraId="4D3D79DD" w14:textId="77777777" w:rsidR="005D67EF" w:rsidRPr="005D67EF" w:rsidRDefault="005D67EF" w:rsidP="005F669A">
            <w:pPr>
              <w:rPr>
                <w:sz w:val="16"/>
                <w:szCs w:val="16"/>
              </w:rPr>
            </w:pPr>
            <w:r w:rsidRPr="005D67EF">
              <w:rPr>
                <w:sz w:val="16"/>
                <w:szCs w:val="16"/>
              </w:rPr>
              <w:t>1)Access to Specialized Expertise: Having a team of experts with in-depth knowledge of circular economy principles, sustainable design, and waste management can give an organization an edge. This expertise allows for innovative solutions, optimized processes, and effective implementation of circular strategies.</w:t>
            </w:r>
          </w:p>
          <w:p w14:paraId="4A78F9C9" w14:textId="77777777" w:rsidR="005D67EF" w:rsidRPr="005D67EF" w:rsidRDefault="005D67EF" w:rsidP="005F669A">
            <w:pPr>
              <w:rPr>
                <w:sz w:val="16"/>
                <w:szCs w:val="16"/>
              </w:rPr>
            </w:pPr>
          </w:p>
          <w:p w14:paraId="1E138071" w14:textId="77777777" w:rsidR="005D67EF" w:rsidRPr="005D67EF" w:rsidRDefault="005D67EF" w:rsidP="005F669A">
            <w:pPr>
              <w:rPr>
                <w:sz w:val="16"/>
                <w:szCs w:val="16"/>
              </w:rPr>
            </w:pPr>
            <w:r w:rsidRPr="005D67EF">
              <w:rPr>
                <w:sz w:val="16"/>
                <w:szCs w:val="16"/>
              </w:rPr>
              <w:t>2)Strategic Partnerships: Building strong alliances with key stakeholders in the circular economy ecosystem, such as recycling facilities, technology providers, or sustainability-focused organizations, can provide unique advantages. These partnerships can enable access to specialized infrastructure, advanced technologies, or exclusive market opportunities, fostering a more effective circular approach.</w:t>
            </w:r>
          </w:p>
          <w:p w14:paraId="6D334285" w14:textId="77777777" w:rsidR="005D67EF" w:rsidRPr="005D67EF" w:rsidRDefault="005D67EF" w:rsidP="005F669A">
            <w:pPr>
              <w:rPr>
                <w:sz w:val="16"/>
                <w:szCs w:val="16"/>
              </w:rPr>
            </w:pPr>
          </w:p>
          <w:p w14:paraId="628BCF7E" w14:textId="77777777" w:rsidR="005D67EF" w:rsidRPr="005D67EF" w:rsidRDefault="005D67EF" w:rsidP="005F669A">
            <w:pPr>
              <w:rPr>
                <w:sz w:val="16"/>
                <w:szCs w:val="16"/>
              </w:rPr>
            </w:pPr>
            <w:r w:rsidRPr="005D67EF">
              <w:rPr>
                <w:sz w:val="16"/>
                <w:szCs w:val="16"/>
              </w:rPr>
              <w:t>3)Strong Supplier Relationships: Developing close ties with suppliers committed to sustainable practices and offering environmentally friendly materials or components can provide a competitive advantage. This ensures a reliable supply chain for recycled or renewable resources, reducing dependency on virgin materials and enabling more sustainable production processes.</w:t>
            </w:r>
          </w:p>
          <w:p w14:paraId="28A3F342" w14:textId="77777777" w:rsidR="005D67EF" w:rsidRPr="005D67EF" w:rsidRDefault="005D67EF" w:rsidP="005F669A">
            <w:pPr>
              <w:rPr>
                <w:sz w:val="16"/>
                <w:szCs w:val="16"/>
              </w:rPr>
            </w:pPr>
          </w:p>
          <w:p w14:paraId="34B806B1" w14:textId="77777777" w:rsidR="005D67EF" w:rsidRPr="005D67EF" w:rsidRDefault="005D67EF" w:rsidP="005F669A">
            <w:pPr>
              <w:rPr>
                <w:sz w:val="16"/>
                <w:szCs w:val="16"/>
              </w:rPr>
            </w:pPr>
            <w:r w:rsidRPr="005D67EF">
              <w:rPr>
                <w:sz w:val="16"/>
                <w:szCs w:val="16"/>
              </w:rPr>
              <w:t>4)Brand Reputation and Customer Loyalty: Establishing a reputation for environmental stewardship and circularity can attract environmentally conscious customers and enhance brand loyalty. Consumers increasingly value companies that demonstrate a commitment to sustainability, and this advantage can drive market share and customer retention.</w:t>
            </w:r>
          </w:p>
          <w:p w14:paraId="12E5745E" w14:textId="77777777" w:rsidR="005D67EF" w:rsidRPr="005D67EF" w:rsidRDefault="005D67EF" w:rsidP="005F669A">
            <w:pPr>
              <w:rPr>
                <w:sz w:val="16"/>
                <w:szCs w:val="16"/>
              </w:rPr>
            </w:pPr>
          </w:p>
          <w:p w14:paraId="07ADF93E" w14:textId="77777777" w:rsidR="005D67EF" w:rsidRPr="005D67EF" w:rsidRDefault="005D67EF" w:rsidP="005F669A">
            <w:pPr>
              <w:rPr>
                <w:sz w:val="16"/>
                <w:szCs w:val="16"/>
              </w:rPr>
            </w:pPr>
            <w:r w:rsidRPr="005D67EF">
              <w:rPr>
                <w:sz w:val="16"/>
                <w:szCs w:val="16"/>
              </w:rPr>
              <w:t>5)Regulatory Compliance and Standards: Being proactive in complying with existing regulations and industry standards related to waste management, resource efficiency, and sustainability can position an organization as an industry leader. Adhering to or surpassing these standards not only mitigates legal risks but also enhances credibility and market competitiveness.</w:t>
            </w:r>
          </w:p>
          <w:p w14:paraId="383F70C1" w14:textId="77777777" w:rsidR="005D67EF" w:rsidRPr="005D67EF" w:rsidRDefault="005D67EF" w:rsidP="005F669A">
            <w:pPr>
              <w:rPr>
                <w:sz w:val="16"/>
                <w:szCs w:val="16"/>
              </w:rPr>
            </w:pPr>
          </w:p>
          <w:p w14:paraId="384C6F28" w14:textId="77777777" w:rsidR="005D67EF" w:rsidRPr="005D67EF" w:rsidRDefault="005D67EF" w:rsidP="005F669A">
            <w:pPr>
              <w:rPr>
                <w:sz w:val="16"/>
                <w:szCs w:val="16"/>
              </w:rPr>
            </w:pPr>
          </w:p>
          <w:p w14:paraId="40D501EC" w14:textId="77777777" w:rsidR="005D67EF" w:rsidRDefault="005D67EF" w:rsidP="005F669A">
            <w:pPr>
              <w:rPr>
                <w:sz w:val="16"/>
                <w:szCs w:val="16"/>
              </w:rPr>
            </w:pPr>
            <w:r w:rsidRPr="005D67EF">
              <w:rPr>
                <w:sz w:val="16"/>
                <w:szCs w:val="16"/>
              </w:rPr>
              <w:t xml:space="preserve">By leveraging these unfair advantages, organizations can position themselves as leaders in the circular economy, differentiate </w:t>
            </w:r>
            <w:r w:rsidRPr="005D67EF">
              <w:rPr>
                <w:sz w:val="16"/>
                <w:szCs w:val="16"/>
              </w:rPr>
              <w:lastRenderedPageBreak/>
              <w:t>their brand, and gain a competitive edge in resource utilization, waste reduction, and sustainable practices.</w:t>
            </w:r>
          </w:p>
          <w:p w14:paraId="09C28FEA" w14:textId="528EA260" w:rsidR="00FF63E2" w:rsidRPr="005D67EF" w:rsidRDefault="00FF63E2" w:rsidP="005F669A">
            <w:pPr>
              <w:rPr>
                <w:sz w:val="16"/>
                <w:szCs w:val="16"/>
              </w:rPr>
            </w:pPr>
            <w:sdt>
              <w:sdtPr>
                <w:rPr>
                  <w:sz w:val="16"/>
                  <w:szCs w:val="16"/>
                </w:rPr>
                <w:id w:val="1235508376"/>
                <w:citation/>
              </w:sdtPr>
              <w:sdtContent>
                <w:r>
                  <w:rPr>
                    <w:sz w:val="16"/>
                    <w:szCs w:val="16"/>
                  </w:rPr>
                  <w:fldChar w:fldCharType="begin"/>
                </w:r>
                <w:r>
                  <w:rPr>
                    <w:sz w:val="16"/>
                    <w:szCs w:val="16"/>
                  </w:rPr>
                  <w:instrText xml:space="preserve"> CITATION Mar20 \l 2057 </w:instrText>
                </w:r>
                <w:r>
                  <w:rPr>
                    <w:sz w:val="16"/>
                    <w:szCs w:val="16"/>
                  </w:rPr>
                  <w:fldChar w:fldCharType="separate"/>
                </w:r>
                <w:r w:rsidRPr="00FF63E2">
                  <w:rPr>
                    <w:noProof/>
                    <w:sz w:val="16"/>
                    <w:szCs w:val="16"/>
                  </w:rPr>
                  <w:t>(pieroni, 2020)</w:t>
                </w:r>
                <w:r>
                  <w:rPr>
                    <w:sz w:val="16"/>
                    <w:szCs w:val="16"/>
                  </w:rPr>
                  <w:fldChar w:fldCharType="end"/>
                </w:r>
              </w:sdtContent>
            </w:sdt>
          </w:p>
        </w:tc>
      </w:tr>
      <w:tr w:rsidR="00C63E0D" w14:paraId="20F8D74B" w14:textId="77777777" w:rsidTr="005F669A">
        <w:trPr>
          <w:trHeight w:val="2044"/>
        </w:trPr>
        <w:tc>
          <w:tcPr>
            <w:tcW w:w="3160" w:type="dxa"/>
          </w:tcPr>
          <w:p w14:paraId="299709FD" w14:textId="62778592" w:rsidR="00C63E0D" w:rsidRDefault="00594BC3" w:rsidP="005F669A">
            <w:pPr>
              <w:jc w:val="center"/>
              <w:rPr>
                <w:b/>
                <w:bCs/>
                <w:i/>
                <w:iCs/>
                <w:sz w:val="24"/>
                <w:szCs w:val="24"/>
              </w:rPr>
            </w:pPr>
            <w:r w:rsidRPr="008E3B9B">
              <w:rPr>
                <w:b/>
                <w:bCs/>
                <w:i/>
                <w:iCs/>
                <w:sz w:val="24"/>
                <w:szCs w:val="24"/>
              </w:rPr>
              <w:lastRenderedPageBreak/>
              <w:t>P</w:t>
            </w:r>
            <w:r w:rsidR="008E3B9B" w:rsidRPr="008E3B9B">
              <w:rPr>
                <w:b/>
                <w:bCs/>
                <w:i/>
                <w:iCs/>
                <w:sz w:val="24"/>
                <w:szCs w:val="24"/>
              </w:rPr>
              <w:t>roblems</w:t>
            </w:r>
          </w:p>
          <w:p w14:paraId="798BB8EC" w14:textId="77777777" w:rsidR="00594BC3" w:rsidRPr="00594BC3" w:rsidRDefault="00594BC3" w:rsidP="005F669A">
            <w:pPr>
              <w:rPr>
                <w:sz w:val="16"/>
                <w:szCs w:val="16"/>
              </w:rPr>
            </w:pPr>
            <w:r w:rsidRPr="00594BC3">
              <w:rPr>
                <w:sz w:val="16"/>
                <w:szCs w:val="16"/>
              </w:rPr>
              <w:t>1)Resistance to Change: Shifting from a linear to a circular approach requires significant changes in mindset, processes, and infrastructure. Resistance to change can emerge from employees, suppliers, or even customers who may be accustomed to traditional linear practices. Overcoming resistance and ensuring buy-in from stakeholders may pose challenges.</w:t>
            </w:r>
          </w:p>
          <w:p w14:paraId="004236C4" w14:textId="77777777" w:rsidR="00594BC3" w:rsidRPr="00594BC3" w:rsidRDefault="00594BC3" w:rsidP="005F669A">
            <w:pPr>
              <w:rPr>
                <w:sz w:val="16"/>
                <w:szCs w:val="16"/>
              </w:rPr>
            </w:pPr>
          </w:p>
          <w:p w14:paraId="073BA897" w14:textId="77777777" w:rsidR="00594BC3" w:rsidRPr="00594BC3" w:rsidRDefault="00594BC3" w:rsidP="005F669A">
            <w:pPr>
              <w:rPr>
                <w:sz w:val="16"/>
                <w:szCs w:val="16"/>
              </w:rPr>
            </w:pPr>
            <w:r w:rsidRPr="00594BC3">
              <w:rPr>
                <w:sz w:val="16"/>
                <w:szCs w:val="16"/>
              </w:rPr>
              <w:t>2)Lack of Awareness and Knowledge: Understanding the principles and strategies of circular economy practices can be a barrier. Organizations may lack awareness or knowledge about the benefits and potential solutions related to resource utilization, waste avoidance, and circularity. Educating employees and stakeholders about these concepts becomes essential.</w:t>
            </w:r>
          </w:p>
          <w:p w14:paraId="16BF62DB" w14:textId="77777777" w:rsidR="00594BC3" w:rsidRPr="00594BC3" w:rsidRDefault="00594BC3" w:rsidP="005F669A">
            <w:pPr>
              <w:rPr>
                <w:sz w:val="16"/>
                <w:szCs w:val="16"/>
              </w:rPr>
            </w:pPr>
          </w:p>
          <w:p w14:paraId="47401DAD" w14:textId="77777777" w:rsidR="00594BC3" w:rsidRPr="00594BC3" w:rsidRDefault="00594BC3" w:rsidP="005F669A">
            <w:pPr>
              <w:rPr>
                <w:sz w:val="16"/>
                <w:szCs w:val="16"/>
              </w:rPr>
            </w:pPr>
            <w:r w:rsidRPr="00594BC3">
              <w:rPr>
                <w:sz w:val="16"/>
                <w:szCs w:val="16"/>
              </w:rPr>
              <w:t>3)Technological and Infrastructural Constraints: Implementing circular practices often necessitates new technologies, infrastructure, or processes. Lack of suitable infrastructure, limited access to advanced recycling or remanufacturing facilities, or the absence of innovative technologies can hinder progress. Overcoming these constraints may require substantial investments and collaborations with external partners.</w:t>
            </w:r>
          </w:p>
          <w:p w14:paraId="01BF544D" w14:textId="77777777" w:rsidR="00594BC3" w:rsidRPr="00594BC3" w:rsidRDefault="00594BC3" w:rsidP="005F669A">
            <w:pPr>
              <w:rPr>
                <w:sz w:val="16"/>
                <w:szCs w:val="16"/>
              </w:rPr>
            </w:pPr>
          </w:p>
          <w:p w14:paraId="2411ACB2" w14:textId="77777777" w:rsidR="00594BC3" w:rsidRPr="00594BC3" w:rsidRDefault="00594BC3" w:rsidP="005F669A">
            <w:pPr>
              <w:rPr>
                <w:sz w:val="16"/>
                <w:szCs w:val="16"/>
              </w:rPr>
            </w:pPr>
            <w:r w:rsidRPr="00594BC3">
              <w:rPr>
                <w:sz w:val="16"/>
                <w:szCs w:val="16"/>
              </w:rPr>
              <w:t>4)Supply Chain Complexity: Adapting supply chains to circular models can be complex. It requires redesigning sourcing strategies, establishing reverse logistics for product recovery, and managing partnerships with suppliers and customers. Ensuring seamless coordination and collaboration throughout the supply chain can be challenging.</w:t>
            </w:r>
          </w:p>
          <w:p w14:paraId="551AEE46" w14:textId="77777777" w:rsidR="00594BC3" w:rsidRPr="00594BC3" w:rsidRDefault="00594BC3" w:rsidP="005F669A">
            <w:pPr>
              <w:rPr>
                <w:sz w:val="16"/>
                <w:szCs w:val="16"/>
              </w:rPr>
            </w:pPr>
          </w:p>
          <w:p w14:paraId="0533DA76" w14:textId="77777777" w:rsidR="00594BC3" w:rsidRPr="00594BC3" w:rsidRDefault="00594BC3" w:rsidP="005F669A">
            <w:pPr>
              <w:rPr>
                <w:sz w:val="16"/>
                <w:szCs w:val="16"/>
              </w:rPr>
            </w:pPr>
            <w:r w:rsidRPr="00594BC3">
              <w:rPr>
                <w:sz w:val="16"/>
                <w:szCs w:val="16"/>
              </w:rPr>
              <w:t>5)Economic Viability: Transitioning to circular practices may entail upfront costs or a shift in revenue streams. Rethinking business models, product pricing, and profitability in the context of circularity can pose economic challenges. Organizations need to find ways to make circular practices economically viable while ensuring long-term sustainability.</w:t>
            </w:r>
          </w:p>
          <w:p w14:paraId="31508AFA" w14:textId="77777777" w:rsidR="00594BC3" w:rsidRPr="00594BC3" w:rsidRDefault="00594BC3" w:rsidP="005F669A">
            <w:pPr>
              <w:rPr>
                <w:sz w:val="16"/>
                <w:szCs w:val="16"/>
              </w:rPr>
            </w:pPr>
          </w:p>
          <w:p w14:paraId="79F075CE" w14:textId="77777777" w:rsidR="00594BC3" w:rsidRPr="00594BC3" w:rsidRDefault="00594BC3" w:rsidP="005F669A">
            <w:pPr>
              <w:rPr>
                <w:sz w:val="16"/>
                <w:szCs w:val="16"/>
              </w:rPr>
            </w:pPr>
            <w:r w:rsidRPr="00594BC3">
              <w:rPr>
                <w:sz w:val="16"/>
                <w:szCs w:val="16"/>
              </w:rPr>
              <w:t xml:space="preserve">6)Regulatory and Policy Frameworks: In some cases, existing regulations and policies may not align with circular economy principles, making it challenging for organizations to adopt circular practices. </w:t>
            </w:r>
            <w:r w:rsidRPr="00594BC3">
              <w:rPr>
                <w:sz w:val="16"/>
                <w:szCs w:val="16"/>
              </w:rPr>
              <w:lastRenderedPageBreak/>
              <w:t>Advocacy for supportive regulatory frameworks and engagement with policymakers may be necessary to overcome these obstacles.</w:t>
            </w:r>
          </w:p>
          <w:p w14:paraId="18E449A3" w14:textId="77777777" w:rsidR="00594BC3" w:rsidRPr="00594BC3" w:rsidRDefault="00594BC3" w:rsidP="005F669A">
            <w:pPr>
              <w:rPr>
                <w:sz w:val="16"/>
                <w:szCs w:val="16"/>
              </w:rPr>
            </w:pPr>
          </w:p>
          <w:p w14:paraId="39FE6E8E" w14:textId="774CDA52" w:rsidR="00D368A4" w:rsidRPr="00890DBA" w:rsidRDefault="00594BC3" w:rsidP="00D368A4">
            <w:pPr>
              <w:rPr>
                <w:sz w:val="18"/>
                <w:szCs w:val="18"/>
              </w:rPr>
            </w:pPr>
            <w:r w:rsidRPr="00594BC3">
              <w:rPr>
                <w:sz w:val="16"/>
                <w:szCs w:val="16"/>
              </w:rPr>
              <w:t>Navigating these problems requires a strategic and holistic approach. Organizations should invest in education and awareness, collaborate with stakeholders, explore technological solutions, advocate for supportive policies, and develop a clear roadmap for the transition to a circular economy.</w:t>
            </w:r>
            <w:r w:rsidR="00D368A4">
              <w:rPr>
                <w:sz w:val="16"/>
                <w:szCs w:val="16"/>
              </w:rPr>
              <w:t xml:space="preserve"> </w:t>
            </w:r>
            <w:r w:rsidR="00D368A4" w:rsidRPr="00890DBA">
              <w:rPr>
                <w:sz w:val="18"/>
                <w:szCs w:val="18"/>
              </w:rPr>
              <w:t xml:space="preserve"> </w:t>
            </w:r>
            <w:sdt>
              <w:sdtPr>
                <w:rPr>
                  <w:sz w:val="18"/>
                  <w:szCs w:val="18"/>
                </w:rPr>
                <w:id w:val="-526723581"/>
                <w:citation/>
              </w:sdtPr>
              <w:sdtContent>
                <w:r w:rsidR="00D368A4" w:rsidRPr="00890DBA">
                  <w:rPr>
                    <w:sz w:val="18"/>
                    <w:szCs w:val="18"/>
                  </w:rPr>
                  <w:fldChar w:fldCharType="begin"/>
                </w:r>
                <w:r w:rsidR="00D368A4" w:rsidRPr="00890DBA">
                  <w:rPr>
                    <w:sz w:val="18"/>
                    <w:szCs w:val="18"/>
                  </w:rPr>
                  <w:instrText xml:space="preserve"> CITATION Mar17 \l 2057 </w:instrText>
                </w:r>
                <w:r w:rsidR="00D368A4" w:rsidRPr="00890DBA">
                  <w:rPr>
                    <w:sz w:val="18"/>
                    <w:szCs w:val="18"/>
                  </w:rPr>
                  <w:fldChar w:fldCharType="separate"/>
                </w:r>
                <w:r w:rsidR="00D368A4" w:rsidRPr="00890DBA">
                  <w:rPr>
                    <w:noProof/>
                    <w:sz w:val="18"/>
                    <w:szCs w:val="18"/>
                  </w:rPr>
                  <w:t>(</w:t>
                </w:r>
                <w:r w:rsidR="00D368A4" w:rsidRPr="00D368A4">
                  <w:rPr>
                    <w:noProof/>
                    <w:sz w:val="16"/>
                    <w:szCs w:val="16"/>
                  </w:rPr>
                  <w:t>geissdoerfer</w:t>
                </w:r>
                <w:r w:rsidR="00D368A4" w:rsidRPr="00890DBA">
                  <w:rPr>
                    <w:noProof/>
                    <w:sz w:val="18"/>
                    <w:szCs w:val="18"/>
                  </w:rPr>
                  <w:t>, 2017)</w:t>
                </w:r>
                <w:r w:rsidR="00D368A4" w:rsidRPr="00890DBA">
                  <w:rPr>
                    <w:sz w:val="18"/>
                    <w:szCs w:val="18"/>
                  </w:rPr>
                  <w:fldChar w:fldCharType="end"/>
                </w:r>
              </w:sdtContent>
            </w:sdt>
          </w:p>
          <w:p w14:paraId="13BE2101" w14:textId="70E4097C" w:rsidR="00594BC3" w:rsidRPr="00594BC3" w:rsidRDefault="00594BC3" w:rsidP="005F669A">
            <w:pPr>
              <w:rPr>
                <w:sz w:val="16"/>
                <w:szCs w:val="16"/>
              </w:rPr>
            </w:pPr>
          </w:p>
        </w:tc>
        <w:tc>
          <w:tcPr>
            <w:tcW w:w="3160" w:type="dxa"/>
          </w:tcPr>
          <w:p w14:paraId="21769B21" w14:textId="77777777" w:rsidR="00C63E0D" w:rsidRDefault="00CD055F" w:rsidP="005F669A">
            <w:pPr>
              <w:jc w:val="center"/>
              <w:rPr>
                <w:b/>
                <w:bCs/>
                <w:i/>
                <w:iCs/>
                <w:sz w:val="24"/>
                <w:szCs w:val="24"/>
              </w:rPr>
            </w:pPr>
            <w:r w:rsidRPr="00CD055F">
              <w:rPr>
                <w:b/>
                <w:bCs/>
                <w:i/>
                <w:iCs/>
                <w:sz w:val="24"/>
                <w:szCs w:val="24"/>
              </w:rPr>
              <w:lastRenderedPageBreak/>
              <w:t>Cost structure</w:t>
            </w:r>
          </w:p>
          <w:p w14:paraId="4E480B5E" w14:textId="19FBDDA8" w:rsidR="00BD6268" w:rsidRPr="00BD6268" w:rsidRDefault="00BD6268" w:rsidP="005F669A">
            <w:pPr>
              <w:rPr>
                <w:sz w:val="16"/>
                <w:szCs w:val="16"/>
              </w:rPr>
            </w:pPr>
            <w:r w:rsidRPr="00BD6268">
              <w:rPr>
                <w:sz w:val="16"/>
                <w:szCs w:val="16"/>
              </w:rPr>
              <w:t>Transitioning to a more 'circular' approach involves revaluating and adjusting the cost structure of an organization. While there may be upfront investments, implementing circular practices can also yield long-term cost savings and benefits. Here are some key considerations:</w:t>
            </w:r>
          </w:p>
          <w:p w14:paraId="3CE8E998" w14:textId="77777777" w:rsidR="00BD6268" w:rsidRPr="00BD6268" w:rsidRDefault="00BD6268" w:rsidP="005F669A">
            <w:pPr>
              <w:rPr>
                <w:sz w:val="16"/>
                <w:szCs w:val="16"/>
              </w:rPr>
            </w:pPr>
          </w:p>
          <w:p w14:paraId="4E563AE5" w14:textId="77777777" w:rsidR="00BD6268" w:rsidRPr="00BD6268" w:rsidRDefault="00BD6268" w:rsidP="005F669A">
            <w:pPr>
              <w:rPr>
                <w:sz w:val="16"/>
                <w:szCs w:val="16"/>
              </w:rPr>
            </w:pPr>
            <w:r w:rsidRPr="00BD6268">
              <w:rPr>
                <w:sz w:val="16"/>
                <w:szCs w:val="16"/>
              </w:rPr>
              <w:t>1) Initial Investments: Shifting towards a circular economy may require investments in new technologies, equipment, or infrastructure to facilitate resource recovery, recycling, or remanufacturing processes. These initial capital expenditures need to be carefully assessed and incorporated into the cost structure.</w:t>
            </w:r>
          </w:p>
          <w:p w14:paraId="5D1E3264" w14:textId="77777777" w:rsidR="00BD6268" w:rsidRPr="00BD6268" w:rsidRDefault="00BD6268" w:rsidP="005F669A">
            <w:pPr>
              <w:rPr>
                <w:sz w:val="16"/>
                <w:szCs w:val="16"/>
              </w:rPr>
            </w:pPr>
          </w:p>
          <w:p w14:paraId="6A7FFFF1" w14:textId="77777777" w:rsidR="00BD6268" w:rsidRPr="00BD6268" w:rsidRDefault="00BD6268" w:rsidP="005F669A">
            <w:pPr>
              <w:rPr>
                <w:sz w:val="16"/>
                <w:szCs w:val="16"/>
              </w:rPr>
            </w:pPr>
            <w:r w:rsidRPr="00BD6268">
              <w:rPr>
                <w:sz w:val="16"/>
                <w:szCs w:val="16"/>
              </w:rPr>
              <w:t>2) Operational Costs: Embracing circular practices may involve additional operational costs compared to traditional linear models. This can include expenses related to reverse logistics, collection, sorting, and processing of used products or materials. However, optimizing these processes over time can lead to cost efficiencies and increased resource recovery rates.</w:t>
            </w:r>
          </w:p>
          <w:p w14:paraId="4B8AA3AE" w14:textId="77777777" w:rsidR="00BD6268" w:rsidRPr="00BD6268" w:rsidRDefault="00BD6268" w:rsidP="005F669A">
            <w:pPr>
              <w:rPr>
                <w:sz w:val="16"/>
                <w:szCs w:val="16"/>
              </w:rPr>
            </w:pPr>
          </w:p>
          <w:p w14:paraId="20B62FF7" w14:textId="77777777" w:rsidR="00BD6268" w:rsidRPr="00BD6268" w:rsidRDefault="00BD6268" w:rsidP="005F669A">
            <w:pPr>
              <w:rPr>
                <w:sz w:val="16"/>
                <w:szCs w:val="16"/>
              </w:rPr>
            </w:pPr>
            <w:r w:rsidRPr="00BD6268">
              <w:rPr>
                <w:sz w:val="16"/>
                <w:szCs w:val="16"/>
              </w:rPr>
              <w:t>3) Supply Chain Optimization Rethinking and redesigning the supply chain to support circular practices can impact the cost structure. Collaborating closely with suppliers and implementing sustainable sourcing strategies may affect procurement costs. However, it can also lead to long-term benefits, such as reduced dependence on virgin materials, improved supplier relationships, and enhanced reputation.</w:t>
            </w:r>
          </w:p>
          <w:p w14:paraId="085AE3D6" w14:textId="77777777" w:rsidR="00BD6268" w:rsidRPr="00BD6268" w:rsidRDefault="00BD6268" w:rsidP="005F669A">
            <w:pPr>
              <w:rPr>
                <w:sz w:val="16"/>
                <w:szCs w:val="16"/>
              </w:rPr>
            </w:pPr>
          </w:p>
          <w:p w14:paraId="21E338B3" w14:textId="77777777" w:rsidR="00BD6268" w:rsidRPr="00BD6268" w:rsidRDefault="00BD6268" w:rsidP="005F669A">
            <w:pPr>
              <w:rPr>
                <w:sz w:val="16"/>
                <w:szCs w:val="16"/>
              </w:rPr>
            </w:pPr>
            <w:r w:rsidRPr="00BD6268">
              <w:rPr>
                <w:sz w:val="16"/>
                <w:szCs w:val="16"/>
              </w:rPr>
              <w:t xml:space="preserve">4) Revenue Streams: Shifting towards a circular approach can </w:t>
            </w:r>
            <w:proofErr w:type="gramStart"/>
            <w:r w:rsidRPr="00BD6268">
              <w:rPr>
                <w:sz w:val="16"/>
                <w:szCs w:val="16"/>
              </w:rPr>
              <w:t>open up</w:t>
            </w:r>
            <w:proofErr w:type="gramEnd"/>
            <w:r w:rsidRPr="00BD6268">
              <w:rPr>
                <w:sz w:val="16"/>
                <w:szCs w:val="16"/>
              </w:rPr>
              <w:t xml:space="preserve"> new revenue streams. By designing products for durability, repairability, or leasing models, organizations can generate income from extended product lifecycles or value-added services. Exploring innovative business models and identifying potential revenue opportunities is crucial.</w:t>
            </w:r>
          </w:p>
          <w:p w14:paraId="2502E819" w14:textId="77777777" w:rsidR="00BD6268" w:rsidRPr="00BD6268" w:rsidRDefault="00BD6268" w:rsidP="005F669A">
            <w:pPr>
              <w:rPr>
                <w:sz w:val="16"/>
                <w:szCs w:val="16"/>
              </w:rPr>
            </w:pPr>
          </w:p>
          <w:p w14:paraId="7B8EBBFA" w14:textId="77777777" w:rsidR="00BD6268" w:rsidRPr="00BD6268" w:rsidRDefault="00BD6268" w:rsidP="005F669A">
            <w:pPr>
              <w:rPr>
                <w:sz w:val="16"/>
                <w:szCs w:val="16"/>
              </w:rPr>
            </w:pPr>
            <w:r w:rsidRPr="00BD6268">
              <w:rPr>
                <w:sz w:val="16"/>
                <w:szCs w:val="16"/>
              </w:rPr>
              <w:t xml:space="preserve">5) Cost Savings and Efficiency: Adopting circular practices can result in cost savings through improved resource efficiency, reduced waste disposal expenses, and optimized use of materials. For example, recycling and reusing materials can minimize raw material costs, while remanufacturing can lower production expenses. Identifying </w:t>
            </w:r>
            <w:r w:rsidRPr="00BD6268">
              <w:rPr>
                <w:sz w:val="16"/>
                <w:szCs w:val="16"/>
              </w:rPr>
              <w:lastRenderedPageBreak/>
              <w:t>and quantifying these cost savings is vital for assessing the overall financial impact.</w:t>
            </w:r>
          </w:p>
          <w:p w14:paraId="2DCE6F2A" w14:textId="77777777" w:rsidR="00BD6268" w:rsidRPr="00BD6268" w:rsidRDefault="00BD6268" w:rsidP="005F669A">
            <w:pPr>
              <w:rPr>
                <w:sz w:val="16"/>
                <w:szCs w:val="16"/>
              </w:rPr>
            </w:pPr>
          </w:p>
          <w:p w14:paraId="0004CF93" w14:textId="2B5B7D20" w:rsidR="00CD055F" w:rsidRPr="00BD6268" w:rsidRDefault="00BD6268" w:rsidP="005F669A">
            <w:pPr>
              <w:rPr>
                <w:sz w:val="16"/>
                <w:szCs w:val="16"/>
              </w:rPr>
            </w:pPr>
            <w:r w:rsidRPr="00BD6268">
              <w:rPr>
                <w:sz w:val="16"/>
                <w:szCs w:val="16"/>
              </w:rPr>
              <w:t>Organizations should conduct a thorough cost analysis to evaluate the short-term investments, long-term cost savings, and potential revenue streams associated with the transition to circular practices. By taking a holistic view of the cost structure, organizations can make informed decisions, allocate resources effectively, and drive financial sustainability while promoting resource circularity.</w:t>
            </w:r>
            <w:r w:rsidR="00F34C51">
              <w:rPr>
                <w:sz w:val="16"/>
                <w:szCs w:val="16"/>
              </w:rPr>
              <w:t xml:space="preserve"> </w:t>
            </w:r>
            <w:sdt>
              <w:sdtPr>
                <w:rPr>
                  <w:sz w:val="16"/>
                  <w:szCs w:val="16"/>
                </w:rPr>
                <w:id w:val="1113707142"/>
                <w:citation/>
              </w:sdtPr>
              <w:sdtContent>
                <w:r w:rsidR="00F34C51">
                  <w:rPr>
                    <w:sz w:val="16"/>
                    <w:szCs w:val="16"/>
                  </w:rPr>
                  <w:fldChar w:fldCharType="begin"/>
                </w:r>
                <w:r w:rsidR="00F34C51">
                  <w:rPr>
                    <w:sz w:val="16"/>
                    <w:szCs w:val="16"/>
                  </w:rPr>
                  <w:instrText xml:space="preserve"> CITATION Ell15 \l 2057 </w:instrText>
                </w:r>
                <w:r w:rsidR="00F34C51">
                  <w:rPr>
                    <w:sz w:val="16"/>
                    <w:szCs w:val="16"/>
                  </w:rPr>
                  <w:fldChar w:fldCharType="separate"/>
                </w:r>
                <w:r w:rsidR="00F34C51" w:rsidRPr="00F34C51">
                  <w:rPr>
                    <w:noProof/>
                    <w:sz w:val="16"/>
                    <w:szCs w:val="16"/>
                  </w:rPr>
                  <w:t>(Arthur, 2015)</w:t>
                </w:r>
                <w:r w:rsidR="00F34C51">
                  <w:rPr>
                    <w:sz w:val="16"/>
                    <w:szCs w:val="16"/>
                  </w:rPr>
                  <w:fldChar w:fldCharType="end"/>
                </w:r>
              </w:sdtContent>
            </w:sdt>
          </w:p>
        </w:tc>
        <w:tc>
          <w:tcPr>
            <w:tcW w:w="3161" w:type="dxa"/>
          </w:tcPr>
          <w:p w14:paraId="39552545" w14:textId="77777777" w:rsidR="00C63E0D" w:rsidRDefault="00284B42" w:rsidP="005F669A">
            <w:pPr>
              <w:jc w:val="center"/>
              <w:rPr>
                <w:b/>
                <w:bCs/>
                <w:i/>
                <w:iCs/>
                <w:sz w:val="24"/>
                <w:szCs w:val="24"/>
              </w:rPr>
            </w:pPr>
            <w:r w:rsidRPr="002755DF">
              <w:rPr>
                <w:b/>
                <w:bCs/>
                <w:i/>
                <w:iCs/>
                <w:sz w:val="24"/>
                <w:szCs w:val="24"/>
              </w:rPr>
              <w:lastRenderedPageBreak/>
              <w:t>Customer S</w:t>
            </w:r>
            <w:r w:rsidR="002755DF" w:rsidRPr="002755DF">
              <w:rPr>
                <w:b/>
                <w:bCs/>
                <w:i/>
                <w:iCs/>
                <w:sz w:val="24"/>
                <w:szCs w:val="24"/>
              </w:rPr>
              <w:t>egments</w:t>
            </w:r>
          </w:p>
          <w:p w14:paraId="4282D117" w14:textId="77777777" w:rsidR="002B07C8" w:rsidRPr="002B07C8" w:rsidRDefault="002B07C8" w:rsidP="005F669A">
            <w:pPr>
              <w:rPr>
                <w:sz w:val="16"/>
                <w:szCs w:val="16"/>
              </w:rPr>
            </w:pPr>
            <w:r w:rsidRPr="002B07C8">
              <w:rPr>
                <w:sz w:val="16"/>
                <w:szCs w:val="16"/>
              </w:rPr>
              <w:t>When transitioning to a more 'circular' approach, organizations need to carefully consider their customer segments and tailor their strategies to meet their needs while promoting resource circularity. Here are some key considerations:</w:t>
            </w:r>
          </w:p>
          <w:p w14:paraId="2F9C34C6" w14:textId="77777777" w:rsidR="002B07C8" w:rsidRPr="002B07C8" w:rsidRDefault="002B07C8" w:rsidP="005F669A">
            <w:pPr>
              <w:rPr>
                <w:sz w:val="16"/>
                <w:szCs w:val="16"/>
              </w:rPr>
            </w:pPr>
          </w:p>
          <w:p w14:paraId="16A16C78" w14:textId="4EEF8EC4" w:rsidR="002B07C8" w:rsidRPr="002B07C8" w:rsidRDefault="002B07C8" w:rsidP="005F669A">
            <w:pPr>
              <w:rPr>
                <w:sz w:val="16"/>
                <w:szCs w:val="16"/>
              </w:rPr>
            </w:pPr>
            <w:r w:rsidRPr="002B07C8">
              <w:rPr>
                <w:sz w:val="16"/>
                <w:szCs w:val="16"/>
              </w:rPr>
              <w:t xml:space="preserve">1)Segment Identification: Organizations should </w:t>
            </w:r>
            <w:r w:rsidR="00E53F5B" w:rsidRPr="002B07C8">
              <w:rPr>
                <w:sz w:val="16"/>
                <w:szCs w:val="16"/>
              </w:rPr>
              <w:t>analyse</w:t>
            </w:r>
            <w:r w:rsidRPr="002B07C8">
              <w:rPr>
                <w:sz w:val="16"/>
                <w:szCs w:val="16"/>
              </w:rPr>
              <w:t xml:space="preserve"> their customer base to identify segments that are more receptive to circular practices, sustainability, and environmentally conscious </w:t>
            </w:r>
            <w:r w:rsidR="00E53F5B" w:rsidRPr="002B07C8">
              <w:rPr>
                <w:sz w:val="16"/>
                <w:szCs w:val="16"/>
              </w:rPr>
              <w:t>behaviours</w:t>
            </w:r>
            <w:r w:rsidRPr="002B07C8">
              <w:rPr>
                <w:sz w:val="16"/>
                <w:szCs w:val="16"/>
              </w:rPr>
              <w:t>. This can include customers who prioritize durability, repairability, or recyclability of products, or those who are actively engaged in the sharing economy.</w:t>
            </w:r>
          </w:p>
          <w:p w14:paraId="49CAF795" w14:textId="77777777" w:rsidR="002B07C8" w:rsidRPr="002B07C8" w:rsidRDefault="002B07C8" w:rsidP="005F669A">
            <w:pPr>
              <w:rPr>
                <w:sz w:val="16"/>
                <w:szCs w:val="16"/>
              </w:rPr>
            </w:pPr>
          </w:p>
          <w:p w14:paraId="0A88ED9E" w14:textId="77777777" w:rsidR="002B07C8" w:rsidRPr="002B07C8" w:rsidRDefault="002B07C8" w:rsidP="005F669A">
            <w:pPr>
              <w:rPr>
                <w:sz w:val="16"/>
                <w:szCs w:val="16"/>
              </w:rPr>
            </w:pPr>
            <w:r w:rsidRPr="002B07C8">
              <w:rPr>
                <w:sz w:val="16"/>
                <w:szCs w:val="16"/>
              </w:rPr>
              <w:t>2)Value Proposition Alignment: Adapting the value proposition to resonate with the circular mindset of target customer segments is crucial. Highlighting the environmental benefits, cost savings, and convenience associated with circular products or services can attract and retain customers. Emphasize factors like product longevity, eco-friendly materials, and options for repair, refurbishment, or recycling.</w:t>
            </w:r>
          </w:p>
          <w:p w14:paraId="42107BBF" w14:textId="77777777" w:rsidR="002B07C8" w:rsidRPr="002B07C8" w:rsidRDefault="002B07C8" w:rsidP="005F669A">
            <w:pPr>
              <w:rPr>
                <w:sz w:val="16"/>
                <w:szCs w:val="16"/>
              </w:rPr>
            </w:pPr>
          </w:p>
          <w:p w14:paraId="0D6834D1" w14:textId="425EA51D" w:rsidR="002B07C8" w:rsidRPr="002B07C8" w:rsidRDefault="002B07C8" w:rsidP="005F669A">
            <w:pPr>
              <w:rPr>
                <w:sz w:val="16"/>
                <w:szCs w:val="16"/>
              </w:rPr>
            </w:pPr>
            <w:r w:rsidRPr="002B07C8">
              <w:rPr>
                <w:sz w:val="16"/>
                <w:szCs w:val="16"/>
              </w:rPr>
              <w:t xml:space="preserve">3)Communication and Education: Educating customers about the advantages of circular practices and the importance of their involvement can be instrumental. Clear and transparent communication about the organization's commitment to circularity, product </w:t>
            </w:r>
            <w:r w:rsidR="00E53F5B" w:rsidRPr="002B07C8">
              <w:rPr>
                <w:sz w:val="16"/>
                <w:szCs w:val="16"/>
              </w:rPr>
              <w:t>labelling</w:t>
            </w:r>
            <w:r w:rsidRPr="002B07C8">
              <w:rPr>
                <w:sz w:val="16"/>
                <w:szCs w:val="16"/>
              </w:rPr>
              <w:t>, and information about the product's lifecycle can help customers make informed choices and understand their role in the circular economy.</w:t>
            </w:r>
          </w:p>
          <w:p w14:paraId="71BEF503" w14:textId="77777777" w:rsidR="002B07C8" w:rsidRPr="002B07C8" w:rsidRDefault="002B07C8" w:rsidP="005F669A">
            <w:pPr>
              <w:rPr>
                <w:sz w:val="16"/>
                <w:szCs w:val="16"/>
              </w:rPr>
            </w:pPr>
          </w:p>
          <w:p w14:paraId="45CA720B" w14:textId="77777777" w:rsidR="002B07C8" w:rsidRPr="002B07C8" w:rsidRDefault="002B07C8" w:rsidP="005F669A">
            <w:pPr>
              <w:rPr>
                <w:sz w:val="16"/>
                <w:szCs w:val="16"/>
              </w:rPr>
            </w:pPr>
            <w:r w:rsidRPr="002B07C8">
              <w:rPr>
                <w:sz w:val="16"/>
                <w:szCs w:val="16"/>
              </w:rPr>
              <w:t xml:space="preserve">4)Customer Engagement and Participation: Creating opportunities for customer engagement and participation in circular initiatives can foster a sense of ownership and loyalty. Implementing take-back programs, incentivizing </w:t>
            </w:r>
            <w:proofErr w:type="gramStart"/>
            <w:r w:rsidRPr="002B07C8">
              <w:rPr>
                <w:sz w:val="16"/>
                <w:szCs w:val="16"/>
              </w:rPr>
              <w:t>recycling</w:t>
            </w:r>
            <w:proofErr w:type="gramEnd"/>
            <w:r w:rsidRPr="002B07C8">
              <w:rPr>
                <w:sz w:val="16"/>
                <w:szCs w:val="16"/>
              </w:rPr>
              <w:t xml:space="preserve"> or refurbishment, or offering repair services can encourage customers to actively participate in the circular process.</w:t>
            </w:r>
          </w:p>
          <w:p w14:paraId="0285F6E0" w14:textId="77777777" w:rsidR="002B07C8" w:rsidRPr="002B07C8" w:rsidRDefault="002B07C8" w:rsidP="005F669A">
            <w:pPr>
              <w:rPr>
                <w:sz w:val="16"/>
                <w:szCs w:val="16"/>
              </w:rPr>
            </w:pPr>
          </w:p>
          <w:p w14:paraId="685CB1E9" w14:textId="77777777" w:rsidR="002B07C8" w:rsidRPr="002B07C8" w:rsidRDefault="002B07C8" w:rsidP="005F669A">
            <w:pPr>
              <w:rPr>
                <w:sz w:val="16"/>
                <w:szCs w:val="16"/>
              </w:rPr>
            </w:pPr>
            <w:r w:rsidRPr="002B07C8">
              <w:rPr>
                <w:sz w:val="16"/>
                <w:szCs w:val="16"/>
              </w:rPr>
              <w:t xml:space="preserve">5)New Customer Segments: Embracing a circular approach may also open doors to new customer segments. For example, organizations can target environmentally conscious millennials, eco-design enthusiasts, or businesses seeking sustainable solutions. Understanding the </w:t>
            </w:r>
            <w:r w:rsidRPr="002B07C8">
              <w:rPr>
                <w:sz w:val="16"/>
                <w:szCs w:val="16"/>
              </w:rPr>
              <w:lastRenderedPageBreak/>
              <w:t>unique needs and preferences of these segments can guide the development of targeted offerings and marketing strategies.</w:t>
            </w:r>
          </w:p>
          <w:p w14:paraId="47221CE0" w14:textId="77777777" w:rsidR="002B07C8" w:rsidRPr="002B07C8" w:rsidRDefault="002B07C8" w:rsidP="005F669A">
            <w:pPr>
              <w:rPr>
                <w:sz w:val="16"/>
                <w:szCs w:val="16"/>
              </w:rPr>
            </w:pPr>
          </w:p>
          <w:p w14:paraId="6C59D4C3" w14:textId="77777777" w:rsidR="002755DF" w:rsidRDefault="002B07C8" w:rsidP="005F669A">
            <w:pPr>
              <w:rPr>
                <w:sz w:val="16"/>
                <w:szCs w:val="16"/>
              </w:rPr>
            </w:pPr>
            <w:r w:rsidRPr="002B07C8">
              <w:rPr>
                <w:sz w:val="16"/>
                <w:szCs w:val="16"/>
              </w:rPr>
              <w:t>By aligning the organization's value proposition, communication, and engagement efforts with the specific needs and preferences of customer segments, organizations can successfully transition to a more circular approach. Ultimately, this can lead to customer satisfaction, loyalty, and increased market share in the growing sustainability-conscious consumer base.</w:t>
            </w:r>
            <w:r w:rsidR="00840A8A">
              <w:rPr>
                <w:sz w:val="16"/>
                <w:szCs w:val="16"/>
              </w:rPr>
              <w:t xml:space="preserve"> </w:t>
            </w:r>
          </w:p>
          <w:p w14:paraId="539BF452" w14:textId="16B6B6ED" w:rsidR="00840A8A" w:rsidRPr="002755DF" w:rsidRDefault="005078F8" w:rsidP="005F669A">
            <w:pPr>
              <w:rPr>
                <w:sz w:val="16"/>
                <w:szCs w:val="16"/>
              </w:rPr>
            </w:pPr>
            <w:sdt>
              <w:sdtPr>
                <w:rPr>
                  <w:sz w:val="16"/>
                  <w:szCs w:val="16"/>
                </w:rPr>
                <w:id w:val="1584328683"/>
                <w:citation/>
              </w:sdtPr>
              <w:sdtContent>
                <w:r>
                  <w:rPr>
                    <w:sz w:val="16"/>
                    <w:szCs w:val="16"/>
                  </w:rPr>
                  <w:fldChar w:fldCharType="begin"/>
                </w:r>
                <w:r>
                  <w:rPr>
                    <w:sz w:val="16"/>
                    <w:szCs w:val="16"/>
                  </w:rPr>
                  <w:instrText xml:space="preserve"> CITATION wal16 \l 2057 </w:instrText>
                </w:r>
                <w:r>
                  <w:rPr>
                    <w:sz w:val="16"/>
                    <w:szCs w:val="16"/>
                  </w:rPr>
                  <w:fldChar w:fldCharType="separate"/>
                </w:r>
                <w:r w:rsidRPr="005078F8">
                  <w:rPr>
                    <w:noProof/>
                    <w:sz w:val="16"/>
                    <w:szCs w:val="16"/>
                  </w:rPr>
                  <w:t>(stahel, 2016)</w:t>
                </w:r>
                <w:r>
                  <w:rPr>
                    <w:sz w:val="16"/>
                    <w:szCs w:val="16"/>
                  </w:rPr>
                  <w:fldChar w:fldCharType="end"/>
                </w:r>
              </w:sdtContent>
            </w:sdt>
          </w:p>
        </w:tc>
      </w:tr>
    </w:tbl>
    <w:p w14:paraId="1F375213" w14:textId="77777777" w:rsidR="002B6F31" w:rsidRDefault="002B6F31"/>
    <w:p w14:paraId="0973B9B4" w14:textId="1142D6E7" w:rsidR="00FA06B4" w:rsidRDefault="00FA06B4"/>
    <w:p w14:paraId="5B4AF5A4" w14:textId="0E489B2A" w:rsidR="00FA06B4" w:rsidRDefault="00F75A9B">
      <w:r>
        <w:rPr>
          <w:noProof/>
        </w:rPr>
        <w:drawing>
          <wp:inline distT="0" distB="0" distL="0" distR="0" wp14:anchorId="236CF7A3" wp14:editId="78B04F9A">
            <wp:extent cx="5928360" cy="4450556"/>
            <wp:effectExtent l="0" t="0" r="0" b="7620"/>
            <wp:docPr id="1952618058" name="Picture 3" descr="Too many problems? Maybe coping isn't the answer | Health &amp; wellbeing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oo many problems? Maybe coping isn't the answer | Health &amp; wellbeing | The  Guardia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45766" cy="4538695"/>
                    </a:xfrm>
                    <a:prstGeom prst="rect">
                      <a:avLst/>
                    </a:prstGeom>
                    <a:noFill/>
                    <a:ln>
                      <a:noFill/>
                    </a:ln>
                  </pic:spPr>
                </pic:pic>
              </a:graphicData>
            </a:graphic>
          </wp:inline>
        </w:drawing>
      </w:r>
    </w:p>
    <w:p w14:paraId="54E3F8F3" w14:textId="77777777" w:rsidR="00FA06B4" w:rsidRDefault="00FA06B4"/>
    <w:p w14:paraId="48F99E83" w14:textId="77777777" w:rsidR="00FA06B4" w:rsidRDefault="00FA06B4"/>
    <w:p w14:paraId="3D81C525" w14:textId="77777777" w:rsidR="00FA06B4" w:rsidRDefault="00FA06B4"/>
    <w:p w14:paraId="4027592F" w14:textId="77777777" w:rsidR="00FA06B4" w:rsidRDefault="00FA06B4"/>
    <w:p w14:paraId="34B3DC05" w14:textId="77777777" w:rsidR="00FA06B4" w:rsidRDefault="00FA06B4"/>
    <w:p w14:paraId="43702431" w14:textId="77777777" w:rsidR="00FA06B4" w:rsidRDefault="00FA06B4"/>
    <w:p w14:paraId="0CD9D9CD" w14:textId="77777777" w:rsidR="00FA06B4" w:rsidRDefault="00FA06B4"/>
    <w:p w14:paraId="4124A46A" w14:textId="77777777" w:rsidR="00FA06B4" w:rsidRDefault="00FA06B4"/>
    <w:p w14:paraId="440F5D40" w14:textId="77777777" w:rsidR="00FA06B4" w:rsidRDefault="00FA06B4"/>
    <w:p w14:paraId="71491AF0" w14:textId="77777777" w:rsidR="00FA06B4" w:rsidRDefault="00FA06B4"/>
    <w:sdt>
      <w:sdtPr>
        <w:id w:val="26837400"/>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449F88B3" w14:textId="5073F035" w:rsidR="008C76CE" w:rsidRDefault="008C76CE" w:rsidP="00FA06B4">
          <w:pPr>
            <w:pStyle w:val="Heading1"/>
          </w:pPr>
          <w:r>
            <w:t>References</w:t>
          </w:r>
        </w:p>
        <w:sdt>
          <w:sdtPr>
            <w:id w:val="-573587230"/>
            <w:bibliography/>
          </w:sdtPr>
          <w:sdtContent>
            <w:p w14:paraId="5F061B2E" w14:textId="77777777" w:rsidR="008C76CE" w:rsidRDefault="008C76CE" w:rsidP="008C76CE">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Arthur, E. m., 2015. </w:t>
              </w:r>
              <w:r>
                <w:rPr>
                  <w:i/>
                  <w:iCs/>
                  <w:noProof/>
                  <w:lang w:val="en-US"/>
                </w:rPr>
                <w:t xml:space="preserve">Ellen mac foundation. </w:t>
              </w:r>
              <w:r>
                <w:rPr>
                  <w:noProof/>
                  <w:lang w:val="en-US"/>
                </w:rPr>
                <w:t xml:space="preserve">[Online] </w:t>
              </w:r>
              <w:r>
                <w:rPr>
                  <w:noProof/>
                  <w:lang w:val="en-US"/>
                </w:rPr>
                <w:br/>
                <w:t xml:space="preserve">Available at: </w:t>
              </w:r>
              <w:r>
                <w:rPr>
                  <w:noProof/>
                  <w:u w:val="single"/>
                  <w:lang w:val="en-US"/>
                </w:rPr>
                <w:t>https://ellenmacarthurfoundation.org/towards-the-circular-economy-vol-2-opportunities-for-the-consumer-goods</w:t>
              </w:r>
              <w:r>
                <w:rPr>
                  <w:noProof/>
                  <w:lang w:val="en-US"/>
                </w:rPr>
                <w:br/>
                <w:t>[Accessed 2023].</w:t>
              </w:r>
            </w:p>
            <w:p w14:paraId="084D90C7" w14:textId="77777777" w:rsidR="008C76CE" w:rsidRDefault="008C76CE" w:rsidP="008C76CE">
              <w:pPr>
                <w:pStyle w:val="Bibliography"/>
                <w:rPr>
                  <w:noProof/>
                  <w:lang w:val="en-US"/>
                </w:rPr>
              </w:pPr>
              <w:r>
                <w:rPr>
                  <w:noProof/>
                  <w:lang w:val="en-US"/>
                </w:rPr>
                <w:t xml:space="preserve">geissdoerfer, M., 2017. </w:t>
              </w:r>
              <w:r>
                <w:rPr>
                  <w:i/>
                  <w:iCs/>
                  <w:noProof/>
                  <w:lang w:val="en-US"/>
                </w:rPr>
                <w:t xml:space="preserve">science direct. </w:t>
              </w:r>
              <w:r>
                <w:rPr>
                  <w:noProof/>
                  <w:lang w:val="en-US"/>
                </w:rPr>
                <w:t xml:space="preserve">[Online] </w:t>
              </w:r>
              <w:r>
                <w:rPr>
                  <w:noProof/>
                  <w:lang w:val="en-US"/>
                </w:rPr>
                <w:br/>
                <w:t xml:space="preserve">Available at: </w:t>
              </w:r>
              <w:r>
                <w:rPr>
                  <w:noProof/>
                  <w:u w:val="single"/>
                  <w:lang w:val="en-US"/>
                </w:rPr>
                <w:t>https://www.sciencedirect.com/science/article/abs/pii/S0959652616321023</w:t>
              </w:r>
              <w:r>
                <w:rPr>
                  <w:noProof/>
                  <w:lang w:val="en-US"/>
                </w:rPr>
                <w:br/>
                <w:t>[Accessed 2023].</w:t>
              </w:r>
            </w:p>
            <w:p w14:paraId="22B7C656" w14:textId="77777777" w:rsidR="008C76CE" w:rsidRDefault="008C76CE" w:rsidP="008C76CE">
              <w:pPr>
                <w:pStyle w:val="Bibliography"/>
                <w:rPr>
                  <w:noProof/>
                  <w:lang w:val="en-US"/>
                </w:rPr>
              </w:pPr>
              <w:r>
                <w:rPr>
                  <w:noProof/>
                  <w:lang w:val="en-US"/>
                </w:rPr>
                <w:t xml:space="preserve">Ghisellini, P., 2016. </w:t>
              </w:r>
              <w:r>
                <w:rPr>
                  <w:i/>
                  <w:iCs/>
                  <w:noProof/>
                  <w:lang w:val="en-US"/>
                </w:rPr>
                <w:t xml:space="preserve">scince direct. </w:t>
              </w:r>
              <w:r>
                <w:rPr>
                  <w:noProof/>
                  <w:lang w:val="en-US"/>
                </w:rPr>
                <w:t xml:space="preserve">[Online] </w:t>
              </w:r>
              <w:r>
                <w:rPr>
                  <w:noProof/>
                  <w:lang w:val="en-US"/>
                </w:rPr>
                <w:br/>
                <w:t xml:space="preserve">Available at: </w:t>
              </w:r>
              <w:r>
                <w:rPr>
                  <w:noProof/>
                  <w:u w:val="single"/>
                  <w:lang w:val="en-US"/>
                </w:rPr>
                <w:t>https://www.sciencedirect.com/science/article/abs/pii/S0959652615012287</w:t>
              </w:r>
              <w:r>
                <w:rPr>
                  <w:noProof/>
                  <w:lang w:val="en-US"/>
                </w:rPr>
                <w:br/>
                <w:t>[Accessed 2023].</w:t>
              </w:r>
            </w:p>
            <w:p w14:paraId="7F4092E0" w14:textId="77777777" w:rsidR="008C76CE" w:rsidRDefault="008C76CE" w:rsidP="008C76CE">
              <w:pPr>
                <w:pStyle w:val="Bibliography"/>
                <w:rPr>
                  <w:noProof/>
                  <w:lang w:val="en-US"/>
                </w:rPr>
              </w:pPr>
              <w:r>
                <w:rPr>
                  <w:noProof/>
                  <w:lang w:val="en-US"/>
                </w:rPr>
                <w:t xml:space="preserve">pieroni, M., 2020. </w:t>
              </w:r>
              <w:r>
                <w:rPr>
                  <w:i/>
                  <w:iCs/>
                  <w:noProof/>
                  <w:lang w:val="en-US"/>
                </w:rPr>
                <w:t xml:space="preserve">research gate. </w:t>
              </w:r>
              <w:r>
                <w:rPr>
                  <w:noProof/>
                  <w:lang w:val="en-US"/>
                </w:rPr>
                <w:t xml:space="preserve">[Online] </w:t>
              </w:r>
              <w:r>
                <w:rPr>
                  <w:noProof/>
                  <w:lang w:val="en-US"/>
                </w:rPr>
                <w:br/>
                <w:t xml:space="preserve">Available at: </w:t>
              </w:r>
              <w:r>
                <w:rPr>
                  <w:noProof/>
                  <w:u w:val="single"/>
                  <w:lang w:val="en-US"/>
                </w:rPr>
                <w:t>https://www.researchgate.net/publication/343810965_Circular_business_models_A_review</w:t>
              </w:r>
              <w:r>
                <w:rPr>
                  <w:noProof/>
                  <w:lang w:val="en-US"/>
                </w:rPr>
                <w:br/>
                <w:t>[Accessed 2023].</w:t>
              </w:r>
            </w:p>
            <w:p w14:paraId="6B4FA012" w14:textId="77777777" w:rsidR="008C76CE" w:rsidRDefault="008C76CE" w:rsidP="008C76CE">
              <w:pPr>
                <w:pStyle w:val="Bibliography"/>
                <w:rPr>
                  <w:noProof/>
                  <w:lang w:val="en-US"/>
                </w:rPr>
              </w:pPr>
              <w:r>
                <w:rPr>
                  <w:noProof/>
                  <w:lang w:val="en-US"/>
                </w:rPr>
                <w:t xml:space="preserve">stahel, w. R., 2016. </w:t>
              </w:r>
              <w:r>
                <w:rPr>
                  <w:i/>
                  <w:iCs/>
                  <w:noProof/>
                  <w:lang w:val="en-US"/>
                </w:rPr>
                <w:t xml:space="preserve">nature. </w:t>
              </w:r>
              <w:r>
                <w:rPr>
                  <w:noProof/>
                  <w:lang w:val="en-US"/>
                </w:rPr>
                <w:t xml:space="preserve">[Online] </w:t>
              </w:r>
              <w:r>
                <w:rPr>
                  <w:noProof/>
                  <w:lang w:val="en-US"/>
                </w:rPr>
                <w:br/>
                <w:t xml:space="preserve">Available at: </w:t>
              </w:r>
              <w:r>
                <w:rPr>
                  <w:noProof/>
                  <w:u w:val="single"/>
                  <w:lang w:val="en-US"/>
                </w:rPr>
                <w:t>https://www.nature.com/articles/531435a</w:t>
              </w:r>
              <w:r>
                <w:rPr>
                  <w:noProof/>
                  <w:lang w:val="en-US"/>
                </w:rPr>
                <w:br/>
                <w:t>[Accessed 2023].</w:t>
              </w:r>
            </w:p>
            <w:p w14:paraId="374C05CE" w14:textId="7F6EFB6A" w:rsidR="008C76CE" w:rsidRDefault="008C76CE" w:rsidP="008C76CE">
              <w:r>
                <w:rPr>
                  <w:b/>
                  <w:bCs/>
                  <w:noProof/>
                </w:rPr>
                <w:fldChar w:fldCharType="end"/>
              </w:r>
            </w:p>
          </w:sdtContent>
        </w:sdt>
      </w:sdtContent>
    </w:sdt>
    <w:p w14:paraId="4AF1D361" w14:textId="2449020D" w:rsidR="0005559D" w:rsidRDefault="0005559D"/>
    <w:sectPr w:rsidR="0005559D">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70D15F" w14:textId="77777777" w:rsidR="00AE063A" w:rsidRDefault="00AE063A" w:rsidP="00AE063A">
      <w:pPr>
        <w:spacing w:after="0" w:line="240" w:lineRule="auto"/>
      </w:pPr>
      <w:r>
        <w:separator/>
      </w:r>
    </w:p>
  </w:endnote>
  <w:endnote w:type="continuationSeparator" w:id="0">
    <w:p w14:paraId="56BFC0E0" w14:textId="77777777" w:rsidR="00AE063A" w:rsidRDefault="00AE063A" w:rsidP="00AE06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B00CE7" w14:textId="77777777" w:rsidR="00AE063A" w:rsidRDefault="00AE063A" w:rsidP="00AE063A">
      <w:pPr>
        <w:spacing w:after="0" w:line="240" w:lineRule="auto"/>
      </w:pPr>
      <w:r>
        <w:separator/>
      </w:r>
    </w:p>
  </w:footnote>
  <w:footnote w:type="continuationSeparator" w:id="0">
    <w:p w14:paraId="24C42E72" w14:textId="77777777" w:rsidR="00AE063A" w:rsidRDefault="00AE063A" w:rsidP="00AE06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DA217E" w14:textId="5BF76007" w:rsidR="00355875" w:rsidRDefault="00355875">
    <w:pPr>
      <w:pStyle w:val="Header"/>
    </w:pPr>
    <w:r>
      <w:t>Amer Alkadri 2123935</w:t>
    </w:r>
  </w:p>
  <w:p w14:paraId="13C6B9FC" w14:textId="0110DB4C" w:rsidR="0005559D" w:rsidRDefault="0005559D">
    <w:pPr>
      <w:pStyle w:val="Header"/>
    </w:pPr>
    <w:r>
      <w:rPr>
        <w:rFonts w:ascii="Arial" w:hAnsi="Arial" w:cs="Arial"/>
        <w:b/>
      </w:rPr>
      <w:t>Presentation with a Business Model Canvas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E0D"/>
    <w:rsid w:val="0005559D"/>
    <w:rsid w:val="002755DF"/>
    <w:rsid w:val="00284B42"/>
    <w:rsid w:val="002B07C8"/>
    <w:rsid w:val="002B6F31"/>
    <w:rsid w:val="00355875"/>
    <w:rsid w:val="00420A1E"/>
    <w:rsid w:val="005078F8"/>
    <w:rsid w:val="0052466B"/>
    <w:rsid w:val="0052784C"/>
    <w:rsid w:val="00594BC3"/>
    <w:rsid w:val="005D67EF"/>
    <w:rsid w:val="005F669A"/>
    <w:rsid w:val="00660BD8"/>
    <w:rsid w:val="007E7D23"/>
    <w:rsid w:val="00840A8A"/>
    <w:rsid w:val="00890DBA"/>
    <w:rsid w:val="008C76CE"/>
    <w:rsid w:val="008E3B9B"/>
    <w:rsid w:val="0094636C"/>
    <w:rsid w:val="00A128EC"/>
    <w:rsid w:val="00AE063A"/>
    <w:rsid w:val="00BD6268"/>
    <w:rsid w:val="00BF39BA"/>
    <w:rsid w:val="00C63E0D"/>
    <w:rsid w:val="00CD055F"/>
    <w:rsid w:val="00D368A4"/>
    <w:rsid w:val="00D61267"/>
    <w:rsid w:val="00E53F5B"/>
    <w:rsid w:val="00F34C51"/>
    <w:rsid w:val="00F75A9B"/>
    <w:rsid w:val="00FA06B4"/>
    <w:rsid w:val="00FE61AF"/>
    <w:rsid w:val="00FF63E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6E22CC"/>
  <w15:chartTrackingRefBased/>
  <w15:docId w15:val="{EEB025D9-3F54-4EFA-B399-4F1808388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76CE"/>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3E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63E0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AE06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063A"/>
  </w:style>
  <w:style w:type="paragraph" w:styleId="Footer">
    <w:name w:val="footer"/>
    <w:basedOn w:val="Normal"/>
    <w:link w:val="FooterChar"/>
    <w:uiPriority w:val="99"/>
    <w:unhideWhenUsed/>
    <w:rsid w:val="00AE06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063A"/>
  </w:style>
  <w:style w:type="character" w:customStyle="1" w:styleId="Heading1Char">
    <w:name w:val="Heading 1 Char"/>
    <w:basedOn w:val="DefaultParagraphFont"/>
    <w:link w:val="Heading1"/>
    <w:uiPriority w:val="9"/>
    <w:rsid w:val="008C76CE"/>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8C76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733538">
      <w:bodyDiv w:val="1"/>
      <w:marLeft w:val="0"/>
      <w:marRight w:val="0"/>
      <w:marTop w:val="0"/>
      <w:marBottom w:val="0"/>
      <w:divBdr>
        <w:top w:val="none" w:sz="0" w:space="0" w:color="auto"/>
        <w:left w:val="none" w:sz="0" w:space="0" w:color="auto"/>
        <w:bottom w:val="none" w:sz="0" w:space="0" w:color="auto"/>
        <w:right w:val="none" w:sz="0" w:space="0" w:color="auto"/>
      </w:divBdr>
    </w:div>
    <w:div w:id="595284221">
      <w:bodyDiv w:val="1"/>
      <w:marLeft w:val="0"/>
      <w:marRight w:val="0"/>
      <w:marTop w:val="0"/>
      <w:marBottom w:val="0"/>
      <w:divBdr>
        <w:top w:val="none" w:sz="0" w:space="0" w:color="auto"/>
        <w:left w:val="none" w:sz="0" w:space="0" w:color="auto"/>
        <w:bottom w:val="none" w:sz="0" w:space="0" w:color="auto"/>
        <w:right w:val="none" w:sz="0" w:space="0" w:color="auto"/>
      </w:divBdr>
    </w:div>
    <w:div w:id="1062564905">
      <w:bodyDiv w:val="1"/>
      <w:marLeft w:val="0"/>
      <w:marRight w:val="0"/>
      <w:marTop w:val="0"/>
      <w:marBottom w:val="0"/>
      <w:divBdr>
        <w:top w:val="none" w:sz="0" w:space="0" w:color="auto"/>
        <w:left w:val="none" w:sz="0" w:space="0" w:color="auto"/>
        <w:bottom w:val="none" w:sz="0" w:space="0" w:color="auto"/>
        <w:right w:val="none" w:sz="0" w:space="0" w:color="auto"/>
      </w:divBdr>
    </w:div>
    <w:div w:id="1242565121">
      <w:bodyDiv w:val="1"/>
      <w:marLeft w:val="0"/>
      <w:marRight w:val="0"/>
      <w:marTop w:val="0"/>
      <w:marBottom w:val="0"/>
      <w:divBdr>
        <w:top w:val="none" w:sz="0" w:space="0" w:color="auto"/>
        <w:left w:val="none" w:sz="0" w:space="0" w:color="auto"/>
        <w:bottom w:val="none" w:sz="0" w:space="0" w:color="auto"/>
        <w:right w:val="none" w:sz="0" w:space="0" w:color="auto"/>
      </w:divBdr>
    </w:div>
    <w:div w:id="1461877977">
      <w:bodyDiv w:val="1"/>
      <w:marLeft w:val="0"/>
      <w:marRight w:val="0"/>
      <w:marTop w:val="0"/>
      <w:marBottom w:val="0"/>
      <w:divBdr>
        <w:top w:val="none" w:sz="0" w:space="0" w:color="auto"/>
        <w:left w:val="none" w:sz="0" w:space="0" w:color="auto"/>
        <w:bottom w:val="none" w:sz="0" w:space="0" w:color="auto"/>
        <w:right w:val="none" w:sz="0" w:space="0" w:color="auto"/>
      </w:divBdr>
    </w:div>
    <w:div w:id="1792243090">
      <w:bodyDiv w:val="1"/>
      <w:marLeft w:val="0"/>
      <w:marRight w:val="0"/>
      <w:marTop w:val="0"/>
      <w:marBottom w:val="0"/>
      <w:divBdr>
        <w:top w:val="none" w:sz="0" w:space="0" w:color="auto"/>
        <w:left w:val="none" w:sz="0" w:space="0" w:color="auto"/>
        <w:bottom w:val="none" w:sz="0" w:space="0" w:color="auto"/>
        <w:right w:val="none" w:sz="0" w:space="0" w:color="auto"/>
      </w:divBdr>
    </w:div>
    <w:div w:id="1831407579">
      <w:bodyDiv w:val="1"/>
      <w:marLeft w:val="0"/>
      <w:marRight w:val="0"/>
      <w:marTop w:val="0"/>
      <w:marBottom w:val="0"/>
      <w:divBdr>
        <w:top w:val="none" w:sz="0" w:space="0" w:color="auto"/>
        <w:left w:val="none" w:sz="0" w:space="0" w:color="auto"/>
        <w:bottom w:val="none" w:sz="0" w:space="0" w:color="auto"/>
        <w:right w:val="none" w:sz="0" w:space="0" w:color="auto"/>
      </w:divBdr>
    </w:div>
    <w:div w:id="2055618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cfc01e556e2c5266183835c54dab3afd">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7c5fa2d576dc11d03293fe559dc6e1b"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Mar17</b:Tag>
    <b:SourceType>InternetSite</b:SourceType>
    <b:Guid>{92A52FEA-6B1D-436A-A852-E6ECF582FA03}</b:Guid>
    <b:Author>
      <b:Author>
        <b:NameList>
          <b:Person>
            <b:Last>geissdoerfer</b:Last>
            <b:First>Martin</b:First>
          </b:Person>
        </b:NameList>
      </b:Author>
    </b:Author>
    <b:Title>science direct </b:Title>
    <b:Year>2017</b:Year>
    <b:YearAccessed>2023</b:YearAccessed>
    <b:URL>https://www.sciencedirect.com/science/article/abs/pii/S0959652616321023</b:URL>
    <b:RefOrder>3</b:RefOrder>
  </b:Source>
  <b:Source>
    <b:Tag>Ell15</b:Tag>
    <b:SourceType>InternetSite</b:SourceType>
    <b:Guid>{C6F8B4E6-1C09-4CC6-AEE0-A1A290A60928}</b:Guid>
    <b:Author>
      <b:Author>
        <b:NameList>
          <b:Person>
            <b:Last>Arthur</b:Last>
            <b:First>Ellen</b:First>
            <b:Middle>mac</b:Middle>
          </b:Person>
        </b:NameList>
      </b:Author>
    </b:Author>
    <b:Title>Ellen mac foundation </b:Title>
    <b:Year>2015</b:Year>
    <b:YearAccessed>2023</b:YearAccessed>
    <b:URL>https://ellenmacarthurfoundation.org/towards-the-circular-economy-vol-2-opportunities-for-the-consumer-goods</b:URL>
    <b:RefOrder>4</b:RefOrder>
  </b:Source>
  <b:Source>
    <b:Tag>wal16</b:Tag>
    <b:SourceType>InternetSite</b:SourceType>
    <b:Guid>{F4751B8C-5882-4D96-9A32-4B75B2B602A7}</b:Guid>
    <b:Author>
      <b:Author>
        <b:NameList>
          <b:Person>
            <b:Last>stahel</b:Last>
            <b:First>walter</b:First>
            <b:Middle>R</b:Middle>
          </b:Person>
        </b:NameList>
      </b:Author>
    </b:Author>
    <b:Title>nature</b:Title>
    <b:Year>2016</b:Year>
    <b:YearAccessed>2023</b:YearAccessed>
    <b:URL>https://www.nature.com/articles/531435a</b:URL>
    <b:RefOrder>5</b:RefOrder>
  </b:Source>
  <b:Source>
    <b:Tag>Pat16</b:Tag>
    <b:SourceType>InternetSite</b:SourceType>
    <b:Guid>{77F62955-CC64-423D-871D-FA73F0DA295C}</b:Guid>
    <b:Author>
      <b:Author>
        <b:NameList>
          <b:Person>
            <b:Last>Ghisellini</b:Last>
            <b:First>Patrizia</b:First>
          </b:Person>
        </b:NameList>
      </b:Author>
    </b:Author>
    <b:Title>scince direct </b:Title>
    <b:Year>2016</b:Year>
    <b:YearAccessed>2023</b:YearAccessed>
    <b:URL>https://www.sciencedirect.com/science/article/abs/pii/S0959652615012287</b:URL>
    <b:RefOrder>1</b:RefOrder>
  </b:Source>
  <b:Source>
    <b:Tag>Mar20</b:Tag>
    <b:SourceType>InternetSite</b:SourceType>
    <b:Guid>{D17A21BC-198C-491B-8707-43BCD92CF8FF}</b:Guid>
    <b:Author>
      <b:Author>
        <b:NameList>
          <b:Person>
            <b:Last>pieroni</b:Last>
            <b:First>Marina</b:First>
          </b:Person>
        </b:NameList>
      </b:Author>
    </b:Author>
    <b:Title>research gate </b:Title>
    <b:Year>2020</b:Year>
    <b:YearAccessed>2023</b:YearAccessed>
    <b:URL>https://www.researchgate.net/publication/343810965_Circular_business_models_A_review</b:URL>
    <b:RefOrder>2</b:RefOrder>
  </b:Source>
</b:Sources>
</file>

<file path=customXml/itemProps1.xml><?xml version="1.0" encoding="utf-8"?>
<ds:datastoreItem xmlns:ds="http://schemas.openxmlformats.org/officeDocument/2006/customXml" ds:itemID="{0E3FF67F-1444-49C2-B8F6-4CAD518CC16B}">
  <ds:schemaRefs>
    <ds:schemaRef ds:uri="0cb976d4-72d8-43fd-a100-21d54766e958"/>
    <ds:schemaRef ds:uri="http://purl.org/dc/dcmitype/"/>
    <ds:schemaRef ds:uri="http://schemas.openxmlformats.org/package/2006/metadata/core-properties"/>
    <ds:schemaRef ds:uri="http://www.w3.org/XML/1998/namespace"/>
    <ds:schemaRef ds:uri="http://schemas.microsoft.com/office/2006/documentManagement/types"/>
    <ds:schemaRef ds:uri="http://purl.org/dc/terms/"/>
    <ds:schemaRef ds:uri="http://schemas.microsoft.com/office/2006/metadata/properties"/>
    <ds:schemaRef ds:uri="http://schemas.microsoft.com/office/infopath/2007/PartnerControls"/>
    <ds:schemaRef ds:uri="da3f2772-8f1e-4acb-bd98-3a0ee892f48a"/>
    <ds:schemaRef ds:uri="http://purl.org/dc/elements/1.1/"/>
  </ds:schemaRefs>
</ds:datastoreItem>
</file>

<file path=customXml/itemProps2.xml><?xml version="1.0" encoding="utf-8"?>
<ds:datastoreItem xmlns:ds="http://schemas.openxmlformats.org/officeDocument/2006/customXml" ds:itemID="{2F7A9A80-E371-4467-8F9E-4E3D1B22343B}">
  <ds:schemaRefs>
    <ds:schemaRef ds:uri="http://schemas.microsoft.com/sharepoint/v3/contenttype/forms"/>
  </ds:schemaRefs>
</ds:datastoreItem>
</file>

<file path=customXml/itemProps3.xml><?xml version="1.0" encoding="utf-8"?>
<ds:datastoreItem xmlns:ds="http://schemas.openxmlformats.org/officeDocument/2006/customXml" ds:itemID="{15EBE1C1-FB43-471E-AB16-68BB25FBE0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CBE5F9-9998-48BA-9B74-445B5AD1E9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2168</Words>
  <Characters>12358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Amer</dc:creator>
  <cp:keywords/>
  <dc:description/>
  <cp:lastModifiedBy>Amer Alkadri (2123935)</cp:lastModifiedBy>
  <cp:revision>2</cp:revision>
  <dcterms:created xsi:type="dcterms:W3CDTF">2023-05-18T13:46:00Z</dcterms:created>
  <dcterms:modified xsi:type="dcterms:W3CDTF">2023-05-18T13:46:00Z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