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8744E" w14:textId="77777777" w:rsidR="00AB47CC" w:rsidRPr="00AB47CC" w:rsidRDefault="00AB47CC" w:rsidP="00AB47CC">
      <w:pPr>
        <w:pStyle w:val="Title"/>
        <w:rPr>
          <w:lang w:val="en-GB"/>
        </w:rPr>
      </w:pPr>
    </w:p>
    <w:p w14:paraId="67C2AE2C" w14:textId="77777777" w:rsidR="00AB47CC" w:rsidRPr="00AB47CC" w:rsidRDefault="00AB47CC" w:rsidP="00AB47CC">
      <w:pPr>
        <w:pStyle w:val="Title"/>
        <w:rPr>
          <w:lang w:val="en-GB"/>
        </w:rPr>
      </w:pPr>
    </w:p>
    <w:p w14:paraId="32A0C605" w14:textId="77777777" w:rsidR="00AB47CC" w:rsidRPr="00AB47CC" w:rsidRDefault="00AB47CC" w:rsidP="00AB47CC">
      <w:pPr>
        <w:pStyle w:val="Title"/>
        <w:rPr>
          <w:lang w:val="en-GB"/>
        </w:rPr>
      </w:pPr>
    </w:p>
    <w:p w14:paraId="5CD98734" w14:textId="77777777" w:rsidR="00AB47CC" w:rsidRPr="00AB47CC" w:rsidRDefault="00AB47CC" w:rsidP="00AB47CC">
      <w:pPr>
        <w:pStyle w:val="Title"/>
        <w:rPr>
          <w:lang w:val="en-GB"/>
        </w:rPr>
      </w:pPr>
    </w:p>
    <w:p w14:paraId="2024CA7B" w14:textId="77777777" w:rsidR="00AB47CC" w:rsidRPr="00AB47CC" w:rsidRDefault="00AB47CC" w:rsidP="00AB47CC">
      <w:pPr>
        <w:pStyle w:val="Title"/>
        <w:rPr>
          <w:lang w:val="en-GB"/>
        </w:rPr>
      </w:pPr>
      <w:bookmarkStart w:id="0" w:name="_GoBack"/>
      <w:bookmarkEnd w:id="0"/>
    </w:p>
    <w:p w14:paraId="3E789C70" w14:textId="77777777" w:rsidR="00AB47CC" w:rsidRPr="00AB47CC" w:rsidRDefault="00AB47CC" w:rsidP="00AB47CC">
      <w:pPr>
        <w:pStyle w:val="Title"/>
        <w:rPr>
          <w:lang w:val="en-GB"/>
        </w:rPr>
      </w:pPr>
    </w:p>
    <w:p w14:paraId="341640AA" w14:textId="77777777" w:rsidR="00546B38" w:rsidRPr="00AB47CC" w:rsidRDefault="002C16A6" w:rsidP="00AB47CC">
      <w:pPr>
        <w:pStyle w:val="Title"/>
        <w:rPr>
          <w:lang w:val="en-GB"/>
        </w:rPr>
      </w:pPr>
      <w:r w:rsidRPr="00AB47CC">
        <w:rPr>
          <w:lang w:val="en-GB"/>
        </w:rPr>
        <w:t>Assessment 1 Community Engagement</w:t>
      </w:r>
    </w:p>
    <w:p w14:paraId="54BB9AA4" w14:textId="77777777" w:rsidR="00546B38" w:rsidRPr="00AB47CC" w:rsidRDefault="00546B38">
      <w:pPr>
        <w:pStyle w:val="Normal1"/>
        <w:spacing w:line="360" w:lineRule="auto"/>
        <w:jc w:val="both"/>
        <w:rPr>
          <w:rFonts w:ascii="Times New Roman" w:eastAsia="Times New Roman" w:hAnsi="Times New Roman" w:cs="Times New Roman"/>
          <w:sz w:val="24"/>
          <w:szCs w:val="24"/>
          <w:lang w:val="en-GB"/>
        </w:rPr>
      </w:pPr>
    </w:p>
    <w:p w14:paraId="3C285A19" w14:textId="77777777" w:rsidR="00546B38" w:rsidRPr="00AB47CC" w:rsidRDefault="002C16A6">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 </w:t>
      </w:r>
    </w:p>
    <w:p w14:paraId="731546B9" w14:textId="77777777" w:rsidR="00546B38" w:rsidRPr="00AB47CC" w:rsidRDefault="002C16A6">
      <w:pPr>
        <w:pStyle w:val="Normal1"/>
        <w:spacing w:before="240" w:after="240" w:line="360" w:lineRule="auto"/>
        <w:jc w:val="both"/>
        <w:rPr>
          <w:rFonts w:ascii="Times New Roman" w:eastAsia="Times New Roman" w:hAnsi="Times New Roman" w:cs="Times New Roman"/>
          <w:b/>
          <w:sz w:val="24"/>
          <w:szCs w:val="24"/>
          <w:lang w:val="en-GB"/>
        </w:rPr>
      </w:pPr>
      <w:r w:rsidRPr="00AB47CC">
        <w:rPr>
          <w:lang w:val="en-GB"/>
        </w:rPr>
        <w:br w:type="page"/>
      </w:r>
    </w:p>
    <w:sdt>
      <w:sdtPr>
        <w:rPr>
          <w:rFonts w:ascii="Arial" w:eastAsia="Arial" w:hAnsi="Arial" w:cs="Arial"/>
          <w:b w:val="0"/>
          <w:bCs w:val="0"/>
          <w:color w:val="auto"/>
          <w:sz w:val="22"/>
          <w:szCs w:val="22"/>
        </w:rPr>
        <w:id w:val="13698299"/>
        <w:docPartObj>
          <w:docPartGallery w:val="Table of Contents"/>
          <w:docPartUnique/>
        </w:docPartObj>
      </w:sdtPr>
      <w:sdtEndPr/>
      <w:sdtContent>
        <w:p w14:paraId="124718A7" w14:textId="77777777" w:rsidR="00AB47CC" w:rsidRPr="00AB47CC" w:rsidRDefault="002C16A6" w:rsidP="00AB47CC">
          <w:pPr>
            <w:pStyle w:val="TOCHeading"/>
            <w:spacing w:line="360" w:lineRule="auto"/>
            <w:jc w:val="center"/>
            <w:rPr>
              <w:rFonts w:ascii="Times New Roman" w:hAnsi="Times New Roman" w:cs="Times New Roman"/>
              <w:color w:val="000000" w:themeColor="text1"/>
              <w:sz w:val="24"/>
              <w:szCs w:val="24"/>
            </w:rPr>
          </w:pPr>
          <w:r w:rsidRPr="00AB47CC">
            <w:rPr>
              <w:rFonts w:ascii="Times New Roman" w:hAnsi="Times New Roman" w:cs="Times New Roman"/>
              <w:color w:val="000000" w:themeColor="text1"/>
              <w:sz w:val="24"/>
              <w:szCs w:val="24"/>
            </w:rPr>
            <w:t>Table of Contents</w:t>
          </w:r>
        </w:p>
        <w:p w14:paraId="4C897271" w14:textId="77777777" w:rsidR="00AB47CC" w:rsidRPr="00AB47CC" w:rsidRDefault="0070764F"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AB47CC">
            <w:rPr>
              <w:rFonts w:ascii="Times New Roman" w:hAnsi="Times New Roman" w:cs="Times New Roman"/>
              <w:color w:val="000000" w:themeColor="text1"/>
              <w:sz w:val="24"/>
              <w:szCs w:val="24"/>
            </w:rPr>
            <w:fldChar w:fldCharType="begin"/>
          </w:r>
          <w:r w:rsidR="002C16A6" w:rsidRPr="00AB47CC">
            <w:rPr>
              <w:rFonts w:ascii="Times New Roman" w:hAnsi="Times New Roman" w:cs="Times New Roman"/>
              <w:color w:val="000000" w:themeColor="text1"/>
              <w:sz w:val="24"/>
              <w:szCs w:val="24"/>
            </w:rPr>
            <w:instrText xml:space="preserve"> TOC \o "1-3" \h \z \u </w:instrText>
          </w:r>
          <w:r w:rsidRPr="00AB47CC">
            <w:rPr>
              <w:rFonts w:ascii="Times New Roman" w:hAnsi="Times New Roman" w:cs="Times New Roman"/>
              <w:color w:val="000000" w:themeColor="text1"/>
              <w:sz w:val="24"/>
              <w:szCs w:val="24"/>
            </w:rPr>
            <w:fldChar w:fldCharType="separate"/>
          </w:r>
          <w:hyperlink w:anchor="_Toc101891298" w:history="1">
            <w:r w:rsidR="002C16A6" w:rsidRPr="00AB47CC">
              <w:rPr>
                <w:rStyle w:val="Hyperlink"/>
                <w:rFonts w:ascii="Times New Roman" w:hAnsi="Times New Roman" w:cs="Times New Roman"/>
                <w:noProof/>
                <w:color w:val="000000" w:themeColor="text1"/>
                <w:sz w:val="24"/>
                <w:szCs w:val="24"/>
                <w:lang w:val="en-GB"/>
              </w:rPr>
              <w:t>Introduction</w:t>
            </w:r>
            <w:r w:rsidR="002C16A6" w:rsidRPr="00AB47CC">
              <w:rPr>
                <w:rFonts w:ascii="Times New Roman" w:hAnsi="Times New Roman" w:cs="Times New Roman"/>
                <w:noProof/>
                <w:webHidden/>
                <w:color w:val="000000" w:themeColor="text1"/>
                <w:sz w:val="24"/>
                <w:szCs w:val="24"/>
              </w:rPr>
              <w:tab/>
            </w:r>
            <w:r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_Toc101891298 \h </w:instrText>
            </w:r>
            <w:r w:rsidRPr="00AB47CC">
              <w:rPr>
                <w:rFonts w:ascii="Times New Roman" w:hAnsi="Times New Roman" w:cs="Times New Roman"/>
                <w:noProof/>
                <w:webHidden/>
                <w:color w:val="000000" w:themeColor="text1"/>
                <w:sz w:val="24"/>
                <w:szCs w:val="24"/>
              </w:rPr>
            </w:r>
            <w:r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2</w:t>
            </w:r>
            <w:r w:rsidRPr="00AB47CC">
              <w:rPr>
                <w:rFonts w:ascii="Times New Roman" w:hAnsi="Times New Roman" w:cs="Times New Roman"/>
                <w:noProof/>
                <w:webHidden/>
                <w:color w:val="000000" w:themeColor="text1"/>
                <w:sz w:val="24"/>
                <w:szCs w:val="24"/>
              </w:rPr>
              <w:fldChar w:fldCharType="end"/>
            </w:r>
          </w:hyperlink>
        </w:p>
        <w:p w14:paraId="4FF84698"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299" w:history="1">
            <w:r w:rsidR="002C16A6" w:rsidRPr="00AB47CC">
              <w:rPr>
                <w:rStyle w:val="Hyperlink"/>
                <w:rFonts w:ascii="Times New Roman" w:hAnsi="Times New Roman" w:cs="Times New Roman"/>
                <w:noProof/>
                <w:color w:val="000000" w:themeColor="text1"/>
                <w:sz w:val="24"/>
                <w:szCs w:val="24"/>
                <w:lang w:val="en-GB"/>
              </w:rPr>
              <w:t>Description of the project</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_Toc101891299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2</w:t>
            </w:r>
            <w:r w:rsidR="0070764F" w:rsidRPr="00AB47CC">
              <w:rPr>
                <w:rFonts w:ascii="Times New Roman" w:hAnsi="Times New Roman" w:cs="Times New Roman"/>
                <w:noProof/>
                <w:webHidden/>
                <w:color w:val="000000" w:themeColor="text1"/>
                <w:sz w:val="24"/>
                <w:szCs w:val="24"/>
              </w:rPr>
              <w:fldChar w:fldCharType="end"/>
            </w:r>
          </w:hyperlink>
        </w:p>
        <w:p w14:paraId="02B9247E"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0" w:history="1">
            <w:r w:rsidR="002C16A6" w:rsidRPr="00AB47CC">
              <w:rPr>
                <w:rStyle w:val="Hyperlink"/>
                <w:rFonts w:ascii="Times New Roman" w:hAnsi="Times New Roman" w:cs="Times New Roman"/>
                <w:noProof/>
                <w:color w:val="000000" w:themeColor="text1"/>
                <w:sz w:val="24"/>
                <w:szCs w:val="24"/>
                <w:lang w:val="en-GB"/>
              </w:rPr>
              <w:t>Analysis of the best practices</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_Toc101891300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3</w:t>
            </w:r>
            <w:r w:rsidR="0070764F" w:rsidRPr="00AB47CC">
              <w:rPr>
                <w:rFonts w:ascii="Times New Roman" w:hAnsi="Times New Roman" w:cs="Times New Roman"/>
                <w:noProof/>
                <w:webHidden/>
                <w:color w:val="000000" w:themeColor="text1"/>
                <w:sz w:val="24"/>
                <w:szCs w:val="24"/>
              </w:rPr>
              <w:fldChar w:fldCharType="end"/>
            </w:r>
          </w:hyperlink>
        </w:p>
        <w:p w14:paraId="13B99F23"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1" w:history="1">
            <w:r w:rsidR="002C16A6" w:rsidRPr="00AB47CC">
              <w:rPr>
                <w:rStyle w:val="Hyperlink"/>
                <w:rFonts w:ascii="Times New Roman" w:hAnsi="Times New Roman" w:cs="Times New Roman"/>
                <w:noProof/>
                <w:color w:val="000000" w:themeColor="text1"/>
                <w:sz w:val="24"/>
                <w:szCs w:val="24"/>
                <w:lang w:val="en-GB"/>
              </w:rPr>
              <w:t>Benefits for the stakeholder’s participation</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_Toc101891301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5</w:t>
            </w:r>
            <w:r w:rsidR="0070764F" w:rsidRPr="00AB47CC">
              <w:rPr>
                <w:rFonts w:ascii="Times New Roman" w:hAnsi="Times New Roman" w:cs="Times New Roman"/>
                <w:noProof/>
                <w:webHidden/>
                <w:color w:val="000000" w:themeColor="text1"/>
                <w:sz w:val="24"/>
                <w:szCs w:val="24"/>
              </w:rPr>
              <w:fldChar w:fldCharType="end"/>
            </w:r>
          </w:hyperlink>
        </w:p>
        <w:p w14:paraId="531ABF62"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2" w:history="1">
            <w:r w:rsidR="002C16A6" w:rsidRPr="00AB47CC">
              <w:rPr>
                <w:rStyle w:val="Hyperlink"/>
                <w:rFonts w:ascii="Times New Roman" w:hAnsi="Times New Roman" w:cs="Times New Roman"/>
                <w:noProof/>
                <w:color w:val="000000" w:themeColor="text1"/>
                <w:sz w:val="24"/>
                <w:szCs w:val="24"/>
                <w:lang w:val="en-GB"/>
              </w:rPr>
              <w:t>Identification of the stakeholders and the suitable strategies to engage them</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_Toc101891302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5</w:t>
            </w:r>
            <w:r w:rsidR="0070764F" w:rsidRPr="00AB47CC">
              <w:rPr>
                <w:rFonts w:ascii="Times New Roman" w:hAnsi="Times New Roman" w:cs="Times New Roman"/>
                <w:noProof/>
                <w:webHidden/>
                <w:color w:val="000000" w:themeColor="text1"/>
                <w:sz w:val="24"/>
                <w:szCs w:val="24"/>
              </w:rPr>
              <w:fldChar w:fldCharType="end"/>
            </w:r>
          </w:hyperlink>
        </w:p>
        <w:p w14:paraId="442CEFE3"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3" w:history="1">
            <w:r w:rsidR="002C16A6" w:rsidRPr="00AB47CC">
              <w:rPr>
                <w:rStyle w:val="Hyperlink"/>
                <w:rFonts w:ascii="Times New Roman" w:hAnsi="Times New Roman" w:cs="Times New Roman"/>
                <w:noProof/>
                <w:color w:val="000000" w:themeColor="text1"/>
                <w:sz w:val="24"/>
                <w:szCs w:val="24"/>
                <w:lang w:val="en-GB"/>
              </w:rPr>
              <w:t>The way of the utilisation of different social media platforms as an outreach to support the project</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_Toc101891303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6</w:t>
            </w:r>
            <w:r w:rsidR="0070764F" w:rsidRPr="00AB47CC">
              <w:rPr>
                <w:rFonts w:ascii="Times New Roman" w:hAnsi="Times New Roman" w:cs="Times New Roman"/>
                <w:noProof/>
                <w:webHidden/>
                <w:color w:val="000000" w:themeColor="text1"/>
                <w:sz w:val="24"/>
                <w:szCs w:val="24"/>
              </w:rPr>
              <w:fldChar w:fldCharType="end"/>
            </w:r>
          </w:hyperlink>
        </w:p>
        <w:p w14:paraId="0AFBB6C7"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4" w:history="1">
            <w:r w:rsidR="002C16A6" w:rsidRPr="00AB47CC">
              <w:rPr>
                <w:rStyle w:val="Hyperlink"/>
                <w:rFonts w:ascii="Times New Roman" w:hAnsi="Times New Roman" w:cs="Times New Roman"/>
                <w:noProof/>
                <w:color w:val="000000" w:themeColor="text1"/>
                <w:sz w:val="24"/>
                <w:szCs w:val="24"/>
                <w:lang w:val="en-GB"/>
              </w:rPr>
              <w:t>Avenues to promote community participation, collaboration, diversity and inclusion to enable socio-cultural integration and multiculturalism</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_Toc101891304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6</w:t>
            </w:r>
            <w:r w:rsidR="0070764F" w:rsidRPr="00AB47CC">
              <w:rPr>
                <w:rFonts w:ascii="Times New Roman" w:hAnsi="Times New Roman" w:cs="Times New Roman"/>
                <w:noProof/>
                <w:webHidden/>
                <w:color w:val="000000" w:themeColor="text1"/>
                <w:sz w:val="24"/>
                <w:szCs w:val="24"/>
              </w:rPr>
              <w:fldChar w:fldCharType="end"/>
            </w:r>
          </w:hyperlink>
        </w:p>
        <w:p w14:paraId="759FA590"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5" w:history="1">
            <w:r w:rsidR="002C16A6" w:rsidRPr="00AB47CC">
              <w:rPr>
                <w:rStyle w:val="Hyperlink"/>
                <w:rFonts w:ascii="Times New Roman" w:hAnsi="Times New Roman" w:cs="Times New Roman"/>
                <w:noProof/>
                <w:color w:val="000000" w:themeColor="text1"/>
                <w:sz w:val="24"/>
                <w:szCs w:val="24"/>
                <w:lang w:val="en-GB"/>
              </w:rPr>
              <w:t>The reason behind the adoption of forward-looking approach by community engagement practitioners to educate community members on internal and external factors that influence community development</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_Toc101891305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7</w:t>
            </w:r>
            <w:r w:rsidR="0070764F" w:rsidRPr="00AB47CC">
              <w:rPr>
                <w:rFonts w:ascii="Times New Roman" w:hAnsi="Times New Roman" w:cs="Times New Roman"/>
                <w:noProof/>
                <w:webHidden/>
                <w:color w:val="000000" w:themeColor="text1"/>
                <w:sz w:val="24"/>
                <w:szCs w:val="24"/>
              </w:rPr>
              <w:fldChar w:fldCharType="end"/>
            </w:r>
          </w:hyperlink>
        </w:p>
        <w:p w14:paraId="089F8B23"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6" w:history="1">
            <w:r w:rsidR="002C16A6" w:rsidRPr="00AB47CC">
              <w:rPr>
                <w:rStyle w:val="Hyperlink"/>
                <w:rFonts w:ascii="Times New Roman" w:hAnsi="Times New Roman" w:cs="Times New Roman"/>
                <w:noProof/>
                <w:color w:val="000000" w:themeColor="text1"/>
                <w:sz w:val="24"/>
                <w:szCs w:val="24"/>
                <w:lang w:val="en-GB"/>
              </w:rPr>
              <w:t>Conclusion</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_Toc101891306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7</w:t>
            </w:r>
            <w:r w:rsidR="0070764F" w:rsidRPr="00AB47CC">
              <w:rPr>
                <w:rFonts w:ascii="Times New Roman" w:hAnsi="Times New Roman" w:cs="Times New Roman"/>
                <w:noProof/>
                <w:webHidden/>
                <w:color w:val="000000" w:themeColor="text1"/>
                <w:sz w:val="24"/>
                <w:szCs w:val="24"/>
              </w:rPr>
              <w:fldChar w:fldCharType="end"/>
            </w:r>
          </w:hyperlink>
        </w:p>
        <w:p w14:paraId="6BA98113" w14:textId="77777777" w:rsidR="00AB47CC" w:rsidRPr="00AB47CC" w:rsidRDefault="00190D45" w:rsidP="00AB47C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891307" w:history="1">
            <w:r w:rsidR="002C16A6" w:rsidRPr="00AB47CC">
              <w:rPr>
                <w:rStyle w:val="Hyperlink"/>
                <w:rFonts w:ascii="Times New Roman" w:hAnsi="Times New Roman" w:cs="Times New Roman"/>
                <w:noProof/>
                <w:color w:val="000000" w:themeColor="text1"/>
                <w:sz w:val="24"/>
                <w:szCs w:val="24"/>
                <w:lang w:val="en-GB"/>
              </w:rPr>
              <w:t>Reference list</w:t>
            </w:r>
            <w:r w:rsidR="002C16A6" w:rsidRPr="00AB47CC">
              <w:rPr>
                <w:rFonts w:ascii="Times New Roman" w:hAnsi="Times New Roman" w:cs="Times New Roman"/>
                <w:noProof/>
                <w:webHidden/>
                <w:color w:val="000000" w:themeColor="text1"/>
                <w:sz w:val="24"/>
                <w:szCs w:val="24"/>
              </w:rPr>
              <w:tab/>
            </w:r>
            <w:r w:rsidR="0070764F" w:rsidRPr="00AB47CC">
              <w:rPr>
                <w:rFonts w:ascii="Times New Roman" w:hAnsi="Times New Roman" w:cs="Times New Roman"/>
                <w:noProof/>
                <w:webHidden/>
                <w:color w:val="000000" w:themeColor="text1"/>
                <w:sz w:val="24"/>
                <w:szCs w:val="24"/>
              </w:rPr>
              <w:fldChar w:fldCharType="begin"/>
            </w:r>
            <w:r w:rsidR="002C16A6" w:rsidRPr="00AB47CC">
              <w:rPr>
                <w:rFonts w:ascii="Times New Roman" w:hAnsi="Times New Roman" w:cs="Times New Roman"/>
                <w:noProof/>
                <w:webHidden/>
                <w:color w:val="000000" w:themeColor="text1"/>
                <w:sz w:val="24"/>
                <w:szCs w:val="24"/>
              </w:rPr>
              <w:instrText xml:space="preserve"> PAGEREF _Toc101891307 \h </w:instrText>
            </w:r>
            <w:r w:rsidR="0070764F" w:rsidRPr="00AB47CC">
              <w:rPr>
                <w:rFonts w:ascii="Times New Roman" w:hAnsi="Times New Roman" w:cs="Times New Roman"/>
                <w:noProof/>
                <w:webHidden/>
                <w:color w:val="000000" w:themeColor="text1"/>
                <w:sz w:val="24"/>
                <w:szCs w:val="24"/>
              </w:rPr>
            </w:r>
            <w:r w:rsidR="0070764F" w:rsidRPr="00AB47CC">
              <w:rPr>
                <w:rFonts w:ascii="Times New Roman" w:hAnsi="Times New Roman" w:cs="Times New Roman"/>
                <w:noProof/>
                <w:webHidden/>
                <w:color w:val="000000" w:themeColor="text1"/>
                <w:sz w:val="24"/>
                <w:szCs w:val="24"/>
              </w:rPr>
              <w:fldChar w:fldCharType="separate"/>
            </w:r>
            <w:r w:rsidR="002C16A6" w:rsidRPr="00AB47CC">
              <w:rPr>
                <w:rFonts w:ascii="Times New Roman" w:hAnsi="Times New Roman" w:cs="Times New Roman"/>
                <w:noProof/>
                <w:webHidden/>
                <w:color w:val="000000" w:themeColor="text1"/>
                <w:sz w:val="24"/>
                <w:szCs w:val="24"/>
              </w:rPr>
              <w:t>10</w:t>
            </w:r>
            <w:r w:rsidR="0070764F" w:rsidRPr="00AB47CC">
              <w:rPr>
                <w:rFonts w:ascii="Times New Roman" w:hAnsi="Times New Roman" w:cs="Times New Roman"/>
                <w:noProof/>
                <w:webHidden/>
                <w:color w:val="000000" w:themeColor="text1"/>
                <w:sz w:val="24"/>
                <w:szCs w:val="24"/>
              </w:rPr>
              <w:fldChar w:fldCharType="end"/>
            </w:r>
          </w:hyperlink>
        </w:p>
        <w:p w14:paraId="60C99B0E" w14:textId="77777777" w:rsidR="00AB47CC" w:rsidRDefault="0070764F" w:rsidP="00AB47CC">
          <w:pPr>
            <w:spacing w:line="360" w:lineRule="auto"/>
            <w:jc w:val="both"/>
          </w:pPr>
          <w:r w:rsidRPr="00AB47CC">
            <w:rPr>
              <w:rFonts w:ascii="Times New Roman" w:hAnsi="Times New Roman" w:cs="Times New Roman"/>
              <w:color w:val="000000" w:themeColor="text1"/>
              <w:sz w:val="24"/>
              <w:szCs w:val="24"/>
            </w:rPr>
            <w:fldChar w:fldCharType="end"/>
          </w:r>
        </w:p>
      </w:sdtContent>
    </w:sdt>
    <w:p w14:paraId="314E4A51" w14:textId="77777777" w:rsidR="00AB47CC" w:rsidRDefault="00AB47CC" w:rsidP="00AB47CC">
      <w:pPr>
        <w:pStyle w:val="Heading1"/>
        <w:rPr>
          <w:szCs w:val="24"/>
          <w:lang w:val="en-GB"/>
        </w:rPr>
      </w:pPr>
    </w:p>
    <w:p w14:paraId="2385E449" w14:textId="77777777" w:rsidR="00AB47CC" w:rsidRDefault="002C16A6">
      <w:pPr>
        <w:rPr>
          <w:rFonts w:ascii="Times New Roman" w:hAnsi="Times New Roman"/>
          <w:b/>
          <w:sz w:val="28"/>
          <w:szCs w:val="24"/>
          <w:lang w:val="en-GB"/>
        </w:rPr>
      </w:pPr>
      <w:bookmarkStart w:id="1" w:name="_Toc101891298"/>
      <w:r>
        <w:rPr>
          <w:szCs w:val="24"/>
          <w:lang w:val="en-GB"/>
        </w:rPr>
        <w:br w:type="page"/>
      </w:r>
    </w:p>
    <w:p w14:paraId="62939CB5" w14:textId="77777777" w:rsidR="00546B38" w:rsidRPr="00AB47CC" w:rsidRDefault="002C16A6" w:rsidP="00AB47CC">
      <w:pPr>
        <w:pStyle w:val="Heading1"/>
        <w:rPr>
          <w:lang w:val="en-GB"/>
        </w:rPr>
      </w:pPr>
      <w:r w:rsidRPr="00AB47CC">
        <w:rPr>
          <w:szCs w:val="24"/>
          <w:lang w:val="en-GB"/>
        </w:rPr>
        <w:lastRenderedPageBreak/>
        <w:t>Introduction</w:t>
      </w:r>
      <w:bookmarkEnd w:id="1"/>
      <w:r w:rsidRPr="00AB47CC">
        <w:rPr>
          <w:lang w:val="en-GB"/>
        </w:rPr>
        <w:t xml:space="preserve"> </w:t>
      </w:r>
    </w:p>
    <w:p w14:paraId="53EFC3F0"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process of enhancing work collaboratively with as well as through groups of people, who are affiliated by special interests, geographical proximity and similar situations for addressing the issues by which those groups of people are </w:t>
      </w:r>
      <w:r w:rsidR="00AB47CC" w:rsidRPr="00AB47CC">
        <w:rPr>
          <w:rFonts w:ascii="Times New Roman" w:eastAsia="Times New Roman" w:hAnsi="Times New Roman" w:cs="Times New Roman"/>
          <w:sz w:val="24"/>
          <w:szCs w:val="24"/>
          <w:lang w:val="en-GB"/>
        </w:rPr>
        <w:t>affected,</w:t>
      </w:r>
      <w:r w:rsidRPr="00AB47CC">
        <w:rPr>
          <w:rFonts w:ascii="Times New Roman" w:eastAsia="Times New Roman" w:hAnsi="Times New Roman" w:cs="Times New Roman"/>
          <w:sz w:val="24"/>
          <w:szCs w:val="24"/>
          <w:lang w:val="en-GB"/>
        </w:rPr>
        <w:t xml:space="preserve"> can be defined as the community engagement. Community engagement can be adopted as a powerful vehicle by the entities by which they can bring behavioural and environmental changes to reduce the negative effects on the community (Aese.psu.edu, 2022). The aim of the report is to disclose the </w:t>
      </w:r>
      <w:r w:rsidR="00AB47CC" w:rsidRPr="00AB47CC">
        <w:rPr>
          <w:rFonts w:ascii="Times New Roman" w:eastAsia="Times New Roman" w:hAnsi="Times New Roman" w:cs="Times New Roman"/>
          <w:sz w:val="24"/>
          <w:szCs w:val="24"/>
          <w:lang w:val="en-GB"/>
        </w:rPr>
        <w:t>way the</w:t>
      </w:r>
      <w:r w:rsidRPr="00AB47CC">
        <w:rPr>
          <w:rFonts w:ascii="Times New Roman" w:eastAsia="Times New Roman" w:hAnsi="Times New Roman" w:cs="Times New Roman"/>
          <w:sz w:val="24"/>
          <w:szCs w:val="24"/>
          <w:lang w:val="en-GB"/>
        </w:rPr>
        <w:t xml:space="preserve"> Seascale Community Beach Park Group can conduct community engagement in the Cumbrian Community throughout the completion of the Seascale Community Beach Park project. In order to do that the report will disclose the areas, the members, who are involved in the </w:t>
      </w:r>
      <w:r w:rsidR="00AB47CC" w:rsidRPr="00AB47CC">
        <w:rPr>
          <w:rFonts w:ascii="Times New Roman" w:eastAsia="Times New Roman" w:hAnsi="Times New Roman" w:cs="Times New Roman"/>
          <w:sz w:val="24"/>
          <w:szCs w:val="24"/>
          <w:lang w:val="en-GB"/>
        </w:rPr>
        <w:t xml:space="preserve">project </w:t>
      </w:r>
      <w:r w:rsidRPr="00AB47CC">
        <w:rPr>
          <w:rFonts w:ascii="Times New Roman" w:eastAsia="Times New Roman" w:hAnsi="Times New Roman" w:cs="Times New Roman"/>
          <w:sz w:val="24"/>
          <w:szCs w:val="24"/>
          <w:lang w:val="en-GB"/>
        </w:rPr>
        <w:t xml:space="preserve">are most active and the type of approaches that have been adopted by them for efficient completion of the project. An exploration and deployment of a range of options that can be adopted by the involved members for engaging the community members through the project will also be given in the report. </w:t>
      </w:r>
    </w:p>
    <w:p w14:paraId="303CB584" w14:textId="77777777" w:rsidR="00546B38" w:rsidRPr="00AB47CC" w:rsidRDefault="002C16A6" w:rsidP="00AB47CC">
      <w:pPr>
        <w:pStyle w:val="Heading1"/>
        <w:rPr>
          <w:lang w:val="en-GB"/>
        </w:rPr>
      </w:pPr>
      <w:bookmarkStart w:id="2" w:name="_Toc101891299"/>
      <w:r>
        <w:rPr>
          <w:lang w:val="en-GB"/>
        </w:rPr>
        <w:t>Description of the project</w:t>
      </w:r>
      <w:bookmarkEnd w:id="2"/>
      <w:r>
        <w:rPr>
          <w:lang w:val="en-GB"/>
        </w:rPr>
        <w:t xml:space="preserve"> </w:t>
      </w:r>
    </w:p>
    <w:p w14:paraId="240C4EF0"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name of the project is "Seascale community beach park project." The project is being supported by LLWR, which stands for Low-Level Waste Repository. Effective and safe options for recycling and reducing waste are provided to the waste producers (Gov.uk, 2022). The project has been estimated to be completed in 2 years of time and an investment of £158,400 has been estimated to be made in the project. LLWR has been committed to make an investment of £10,000 over the 2 years of the completion of the project. </w:t>
      </w:r>
      <w:r w:rsidR="00AB47CC" w:rsidRPr="00AB47CC">
        <w:rPr>
          <w:rFonts w:ascii="Times New Roman" w:eastAsia="Times New Roman" w:hAnsi="Times New Roman" w:cs="Times New Roman"/>
          <w:sz w:val="24"/>
          <w:szCs w:val="24"/>
          <w:lang w:val="en-GB"/>
        </w:rPr>
        <w:t>Seascale Community Beach Park Group has mainly undertaken the project</w:t>
      </w:r>
      <w:r w:rsidRPr="00AB47CC">
        <w:rPr>
          <w:rFonts w:ascii="Times New Roman" w:eastAsia="Times New Roman" w:hAnsi="Times New Roman" w:cs="Times New Roman"/>
          <w:sz w:val="24"/>
          <w:szCs w:val="24"/>
          <w:lang w:val="en-GB"/>
        </w:rPr>
        <w:t xml:space="preserve">. The main aim behind the accomplishment of the project is to create a ‘wow’ factor play area by which imagination and </w:t>
      </w:r>
      <w:r w:rsidR="00AB47CC" w:rsidRPr="00AB47CC">
        <w:rPr>
          <w:rFonts w:ascii="Times New Roman" w:eastAsia="Times New Roman" w:hAnsi="Times New Roman" w:cs="Times New Roman"/>
          <w:sz w:val="24"/>
          <w:szCs w:val="24"/>
          <w:lang w:val="en-GB"/>
        </w:rPr>
        <w:t>people of multiple categories of ages can promote social play</w:t>
      </w:r>
      <w:r w:rsidRPr="00AB47CC">
        <w:rPr>
          <w:rFonts w:ascii="Times New Roman" w:eastAsia="Times New Roman" w:hAnsi="Times New Roman" w:cs="Times New Roman"/>
          <w:sz w:val="24"/>
          <w:szCs w:val="24"/>
          <w:lang w:val="en-GB"/>
        </w:rPr>
        <w:t>. The social group among whom the promotion has been planned to be made are the local families and visitors of Seasc</w:t>
      </w:r>
      <w:r w:rsidR="00AB47CC">
        <w:rPr>
          <w:rFonts w:ascii="Times New Roman" w:eastAsia="Times New Roman" w:hAnsi="Times New Roman" w:cs="Times New Roman"/>
          <w:sz w:val="24"/>
          <w:szCs w:val="24"/>
          <w:lang w:val="en-GB"/>
        </w:rPr>
        <w:t>a</w:t>
      </w:r>
      <w:r w:rsidRPr="00AB47CC">
        <w:rPr>
          <w:rFonts w:ascii="Times New Roman" w:eastAsia="Times New Roman" w:hAnsi="Times New Roman" w:cs="Times New Roman"/>
          <w:sz w:val="24"/>
          <w:szCs w:val="24"/>
          <w:lang w:val="en-GB"/>
        </w:rPr>
        <w:t>le. In order</w:t>
      </w:r>
      <w:r w:rsidR="00AB47CC">
        <w:rPr>
          <w:rFonts w:ascii="Times New Roman" w:eastAsia="Times New Roman" w:hAnsi="Times New Roman" w:cs="Times New Roman"/>
          <w:sz w:val="24"/>
          <w:szCs w:val="24"/>
          <w:lang w:val="en-GB"/>
        </w:rPr>
        <w:t xml:space="preserve"> to reach the aim</w:t>
      </w:r>
      <w:r w:rsidRPr="00AB47CC">
        <w:rPr>
          <w:rFonts w:ascii="Times New Roman" w:eastAsia="Times New Roman" w:hAnsi="Times New Roman" w:cs="Times New Roman"/>
          <w:sz w:val="24"/>
          <w:szCs w:val="24"/>
          <w:lang w:val="en-GB"/>
        </w:rPr>
        <w:t xml:space="preserve"> of the Seascale Community Beach Park Group has planned to create a space that can sit efficiently in the coastal environment of the area and get matched with the maritime heritage of the area. The main reason considering why the project has been undertaken to be completed is the deterioration of the old play area that is situated in Seascale beach over time as since the </w:t>
      </w:r>
      <w:r w:rsidRPr="00AB47CC">
        <w:rPr>
          <w:rFonts w:ascii="Times New Roman" w:eastAsia="Times New Roman" w:hAnsi="Times New Roman" w:cs="Times New Roman"/>
          <w:sz w:val="24"/>
          <w:szCs w:val="24"/>
          <w:lang w:val="en-GB"/>
        </w:rPr>
        <w:lastRenderedPageBreak/>
        <w:t xml:space="preserve">inauguration of the area it was widely being used by people. In </w:t>
      </w:r>
      <w:r w:rsidR="00AB47CC" w:rsidRPr="00AB47CC">
        <w:rPr>
          <w:rFonts w:ascii="Times New Roman" w:eastAsia="Times New Roman" w:hAnsi="Times New Roman" w:cs="Times New Roman"/>
          <w:sz w:val="24"/>
          <w:szCs w:val="24"/>
          <w:lang w:val="en-GB"/>
        </w:rPr>
        <w:t>fact</w:t>
      </w:r>
      <w:r w:rsidRPr="00AB47CC">
        <w:rPr>
          <w:rFonts w:ascii="Times New Roman" w:eastAsia="Times New Roman" w:hAnsi="Times New Roman" w:cs="Times New Roman"/>
          <w:sz w:val="24"/>
          <w:szCs w:val="24"/>
          <w:lang w:val="en-GB"/>
        </w:rPr>
        <w:t xml:space="preserve">, </w:t>
      </w:r>
      <w:r w:rsidR="00AB47CC" w:rsidRPr="00AB47CC">
        <w:rPr>
          <w:rFonts w:ascii="Times New Roman" w:eastAsia="Times New Roman" w:hAnsi="Times New Roman" w:cs="Times New Roman"/>
          <w:sz w:val="24"/>
          <w:szCs w:val="24"/>
          <w:lang w:val="en-GB"/>
        </w:rPr>
        <w:t>the local community of the area has expressed concerns regarding the absence of effective facilities in the village, where children and old people could interact and play</w:t>
      </w:r>
      <w:r w:rsidR="00AB47CC">
        <w:rPr>
          <w:rFonts w:ascii="Times New Roman" w:eastAsia="Times New Roman" w:hAnsi="Times New Roman" w:cs="Times New Roman"/>
          <w:sz w:val="24"/>
          <w:szCs w:val="24"/>
          <w:lang w:val="en-GB"/>
        </w:rPr>
        <w:t xml:space="preserve"> </w:t>
      </w:r>
      <w:r w:rsidR="00AB47CC" w:rsidRPr="00AB47CC">
        <w:rPr>
          <w:rFonts w:ascii="Times New Roman" w:eastAsia="Times New Roman" w:hAnsi="Times New Roman" w:cs="Times New Roman"/>
          <w:sz w:val="24"/>
          <w:szCs w:val="24"/>
          <w:lang w:val="en-GB"/>
        </w:rPr>
        <w:t>(Gov.uk, 2022)</w:t>
      </w:r>
      <w:r w:rsidRPr="00AB47CC">
        <w:rPr>
          <w:rFonts w:ascii="Times New Roman" w:eastAsia="Times New Roman" w:hAnsi="Times New Roman" w:cs="Times New Roman"/>
          <w:sz w:val="24"/>
          <w:szCs w:val="24"/>
          <w:lang w:val="en-GB"/>
        </w:rPr>
        <w:t xml:space="preserve">. </w:t>
      </w:r>
      <w:r w:rsidR="00AB47CC">
        <w:rPr>
          <w:rFonts w:ascii="Times New Roman" w:eastAsia="Times New Roman" w:hAnsi="Times New Roman" w:cs="Times New Roman"/>
          <w:sz w:val="24"/>
          <w:szCs w:val="24"/>
          <w:lang w:val="en-GB"/>
        </w:rPr>
        <w:t xml:space="preserve"> </w:t>
      </w:r>
    </w:p>
    <w:p w14:paraId="073D19B1" w14:textId="77777777" w:rsidR="00546B38" w:rsidRPr="00AB47CC" w:rsidRDefault="002C16A6" w:rsidP="00AB47CC">
      <w:pPr>
        <w:pStyle w:val="Heading1"/>
        <w:rPr>
          <w:lang w:val="en-GB"/>
        </w:rPr>
      </w:pPr>
      <w:bookmarkStart w:id="3" w:name="_Toc101891300"/>
      <w:r w:rsidRPr="00AB47CC">
        <w:rPr>
          <w:lang w:val="en-GB"/>
        </w:rPr>
        <w:t>Analysis of the best practices</w:t>
      </w:r>
      <w:bookmarkEnd w:id="3"/>
      <w:r w:rsidRPr="00AB47CC">
        <w:rPr>
          <w:lang w:val="en-GB"/>
        </w:rPr>
        <w:t xml:space="preserve"> </w:t>
      </w:r>
    </w:p>
    <w:p w14:paraId="4E0F603C"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In order to analyse the best practices of community engagement, the principles of community engagement and standards that are expected to be maintained by the Seascale Beach Park Community Group can be discussed. Discussion on the benefits for the stakeholders involved in the project can also be involved in analysing the best practices of community engagement. </w:t>
      </w:r>
    </w:p>
    <w:p w14:paraId="3EEBBBD5" w14:textId="2432061B" w:rsidR="00546B38" w:rsidRPr="00AB47CC" w:rsidRDefault="002C16A6">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following are the principles that are expected to be maintained by the Seascale </w:t>
      </w:r>
      <w:r w:rsidR="00A835E0" w:rsidRPr="00AB47CC">
        <w:rPr>
          <w:rFonts w:ascii="Times New Roman" w:eastAsia="Times New Roman" w:hAnsi="Times New Roman" w:cs="Times New Roman"/>
          <w:sz w:val="24"/>
          <w:szCs w:val="24"/>
          <w:lang w:val="en-GB"/>
        </w:rPr>
        <w:t>Community Beach Park</w:t>
      </w:r>
      <w:r w:rsidRPr="00AB47CC">
        <w:rPr>
          <w:rFonts w:ascii="Times New Roman" w:eastAsia="Times New Roman" w:hAnsi="Times New Roman" w:cs="Times New Roman"/>
          <w:sz w:val="24"/>
          <w:szCs w:val="24"/>
          <w:lang w:val="en-GB"/>
        </w:rPr>
        <w:t xml:space="preserve"> group throughout the completion of the project:</w:t>
      </w:r>
    </w:p>
    <w:p w14:paraId="7491B2A4" w14:textId="77777777" w:rsidR="00546B38" w:rsidRPr="00AB47CC" w:rsidRDefault="002C16A6">
      <w:pPr>
        <w:pStyle w:val="Normal1"/>
        <w:numPr>
          <w:ilvl w:val="0"/>
          <w:numId w:val="1"/>
        </w:numPr>
        <w:spacing w:before="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accomplishment of the activities that are required should be made with careful preparation and planning. The enhancement of the project with inclusive and adequate planning can ensure the stakeholders that are involved in the project that the design, organising and convenience of the process will serve their requirements and a clearly defined purpose. With the maintenance of this principle, the Seascale Community Beach Park Group has made community involvement since the first stage of the design and development of the project plan. </w:t>
      </w:r>
    </w:p>
    <w:p w14:paraId="147F3CBC" w14:textId="77777777" w:rsidR="00546B38" w:rsidRPr="00AB47CC" w:rsidRDefault="002C16A6">
      <w:pPr>
        <w:pStyle w:val="Normal1"/>
        <w:numPr>
          <w:ilvl w:val="0"/>
          <w:numId w:val="1"/>
        </w:numPr>
        <w:spacing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The Seascale Community Beach Park Group should give priority to demographic diversity and inclusion throughout the completion of the renovation of the old p</w:t>
      </w:r>
      <w:r w:rsidR="00AB47CC">
        <w:rPr>
          <w:rFonts w:ascii="Times New Roman" w:eastAsia="Times New Roman" w:hAnsi="Times New Roman" w:cs="Times New Roman"/>
          <w:sz w:val="24"/>
          <w:szCs w:val="24"/>
          <w:lang w:val="en-GB"/>
        </w:rPr>
        <w:t>lay area of Seascale. Therefore, to lay the groundwork together should incorporate diverse people, ideas, voices and information</w:t>
      </w:r>
      <w:r w:rsidRPr="00AB47CC">
        <w:rPr>
          <w:rFonts w:ascii="Times New Roman" w:eastAsia="Times New Roman" w:hAnsi="Times New Roman" w:cs="Times New Roman"/>
          <w:sz w:val="24"/>
          <w:szCs w:val="24"/>
          <w:lang w:val="en-GB"/>
        </w:rPr>
        <w:t xml:space="preserve"> (Waldron, 2018). There are chances that the maintenance of this principle will lead the project towards quality outcomes and “demographic legitimacy”. By maintaining this </w:t>
      </w:r>
      <w:r w:rsidR="00AB47CC" w:rsidRPr="00AB47CC">
        <w:rPr>
          <w:rFonts w:ascii="Times New Roman" w:eastAsia="Times New Roman" w:hAnsi="Times New Roman" w:cs="Times New Roman"/>
          <w:sz w:val="24"/>
          <w:szCs w:val="24"/>
          <w:lang w:val="en-GB"/>
        </w:rPr>
        <w:t>principle,</w:t>
      </w:r>
      <w:r w:rsidRPr="00AB47CC">
        <w:rPr>
          <w:rFonts w:ascii="Times New Roman" w:eastAsia="Times New Roman" w:hAnsi="Times New Roman" w:cs="Times New Roman"/>
          <w:sz w:val="24"/>
          <w:szCs w:val="24"/>
          <w:lang w:val="en-GB"/>
        </w:rPr>
        <w:t xml:space="preserve"> the project authority has already engaged local residents as chairpersons of the group. </w:t>
      </w:r>
    </w:p>
    <w:p w14:paraId="7049B536" w14:textId="77777777" w:rsidR="00546B38" w:rsidRPr="00AB47CC" w:rsidRDefault="002C16A6">
      <w:pPr>
        <w:pStyle w:val="Normal1"/>
        <w:numPr>
          <w:ilvl w:val="0"/>
          <w:numId w:val="1"/>
        </w:numPr>
        <w:spacing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Seascale Community Beach Park Group should give priority to shared purpose and collaboration to enhance an effective community engagement in the compilation of the undertaken project. Therefore, for achieving the common good from the completion of </w:t>
      </w:r>
      <w:r w:rsidRPr="00AB47CC">
        <w:rPr>
          <w:rFonts w:ascii="Times New Roman" w:eastAsia="Times New Roman" w:hAnsi="Times New Roman" w:cs="Times New Roman"/>
          <w:sz w:val="24"/>
          <w:szCs w:val="24"/>
          <w:lang w:val="en-GB"/>
        </w:rPr>
        <w:lastRenderedPageBreak/>
        <w:t xml:space="preserve">the renovation of the older play area, the government authorities, community institutions and participants can be encouraged to work together. As a community institution </w:t>
      </w:r>
      <w:proofErr w:type="gramStart"/>
      <w:r w:rsidRPr="00AB47CC">
        <w:rPr>
          <w:rFonts w:ascii="Times New Roman" w:eastAsia="Times New Roman" w:hAnsi="Times New Roman" w:cs="Times New Roman"/>
          <w:sz w:val="24"/>
          <w:szCs w:val="24"/>
          <w:lang w:val="en-GB"/>
        </w:rPr>
        <w:t>nearby</w:t>
      </w:r>
      <w:proofErr w:type="gramEnd"/>
      <w:r w:rsidRPr="00AB47CC">
        <w:rPr>
          <w:rFonts w:ascii="Times New Roman" w:eastAsia="Times New Roman" w:hAnsi="Times New Roman" w:cs="Times New Roman"/>
          <w:sz w:val="24"/>
          <w:szCs w:val="24"/>
          <w:lang w:val="en-GB"/>
        </w:rPr>
        <w:t xml:space="preserve"> they can consider Sellafield and Low-Level Waste Repository.</w:t>
      </w:r>
    </w:p>
    <w:p w14:paraId="56B9CC4E" w14:textId="77777777" w:rsidR="00546B38" w:rsidRPr="00AB47CC" w:rsidRDefault="002C16A6">
      <w:pPr>
        <w:pStyle w:val="Normal1"/>
        <w:numPr>
          <w:ilvl w:val="0"/>
          <w:numId w:val="1"/>
        </w:numPr>
        <w:spacing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Seascale Community Beach Park Group should encourage openness and learning among all the involved personnel in the project to the end. Therefore, all the members in the completion of the project should be inspired to listen to each other properly and explore newer ideas that will be unconstrained by the predetermined results of the activities performed. The entities that will be involved in the project should also be encouraged to learn and implement the information in suitable ways through which new options for efficient completion of the renovation of the older play area of Seascale can be made. In </w:t>
      </w:r>
      <w:r w:rsidR="00AB47CC" w:rsidRPr="00AB47CC">
        <w:rPr>
          <w:rFonts w:ascii="Times New Roman" w:eastAsia="Times New Roman" w:hAnsi="Times New Roman" w:cs="Times New Roman"/>
          <w:sz w:val="24"/>
          <w:szCs w:val="24"/>
          <w:lang w:val="en-GB"/>
        </w:rPr>
        <w:t>fact</w:t>
      </w:r>
      <w:r w:rsidRPr="00AB47CC">
        <w:rPr>
          <w:rFonts w:ascii="Times New Roman" w:eastAsia="Times New Roman" w:hAnsi="Times New Roman" w:cs="Times New Roman"/>
          <w:sz w:val="24"/>
          <w:szCs w:val="24"/>
          <w:lang w:val="en-GB"/>
        </w:rPr>
        <w:t xml:space="preserve">, </w:t>
      </w:r>
      <w:r w:rsidR="00AB47CC" w:rsidRPr="00AB47CC">
        <w:rPr>
          <w:rFonts w:ascii="Times New Roman" w:eastAsia="Times New Roman" w:hAnsi="Times New Roman" w:cs="Times New Roman"/>
          <w:sz w:val="24"/>
          <w:szCs w:val="24"/>
          <w:lang w:val="en-GB"/>
        </w:rPr>
        <w:t>the project authority to increase the overall effectiveness of the project should rigorously evaluate activities that will be performed to engage the community in</w:t>
      </w:r>
      <w:r w:rsidRPr="00AB47CC">
        <w:rPr>
          <w:rFonts w:ascii="Times New Roman" w:eastAsia="Times New Roman" w:hAnsi="Times New Roman" w:cs="Times New Roman"/>
          <w:sz w:val="24"/>
          <w:szCs w:val="24"/>
          <w:lang w:val="en-GB"/>
        </w:rPr>
        <w:t xml:space="preserve"> the project. </w:t>
      </w:r>
    </w:p>
    <w:p w14:paraId="30DFB78F" w14:textId="77777777" w:rsidR="00546B38" w:rsidRPr="00AB47CC" w:rsidRDefault="002C16A6">
      <w:pPr>
        <w:pStyle w:val="Normal1"/>
        <w:numPr>
          <w:ilvl w:val="0"/>
          <w:numId w:val="1"/>
        </w:numPr>
        <w:spacing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The project authorities should promote trust and transparency among all the entities that will be engaged</w:t>
      </w:r>
      <w:r w:rsidR="00AB47CC">
        <w:rPr>
          <w:rFonts w:ascii="Times New Roman" w:eastAsia="Times New Roman" w:hAnsi="Times New Roman" w:cs="Times New Roman"/>
          <w:sz w:val="24"/>
          <w:szCs w:val="24"/>
          <w:lang w:val="en-GB"/>
        </w:rPr>
        <w:t xml:space="preserve"> in the renovation of the older</w:t>
      </w:r>
      <w:r w:rsidRPr="00AB47CC">
        <w:rPr>
          <w:rFonts w:ascii="Times New Roman" w:eastAsia="Times New Roman" w:hAnsi="Times New Roman" w:cs="Times New Roman"/>
          <w:sz w:val="24"/>
          <w:szCs w:val="24"/>
          <w:lang w:val="en-GB"/>
        </w:rPr>
        <w:t xml:space="preserve"> play area of Seascale. Therefore, the Seabeach Community Park Group should be open and clear about the enhancement of the </w:t>
      </w:r>
      <w:r w:rsidR="00AB47CC" w:rsidRPr="00AB47CC">
        <w:rPr>
          <w:rFonts w:ascii="Times New Roman" w:eastAsia="Times New Roman" w:hAnsi="Times New Roman" w:cs="Times New Roman"/>
          <w:sz w:val="24"/>
          <w:szCs w:val="24"/>
          <w:lang w:val="en-GB"/>
        </w:rPr>
        <w:t>project to</w:t>
      </w:r>
      <w:r w:rsidRPr="00AB47CC">
        <w:rPr>
          <w:rFonts w:ascii="Times New Roman" w:eastAsia="Times New Roman" w:hAnsi="Times New Roman" w:cs="Times New Roman"/>
          <w:sz w:val="24"/>
          <w:szCs w:val="24"/>
          <w:lang w:val="en-GB"/>
        </w:rPr>
        <w:t xml:space="preserve"> the community members. The community members should also be provided with records of the organisers of the project activities, investors including LLWR, estimated outcome, views and ideas made throughout the completion of the project (Mitchell </w:t>
      </w:r>
      <w:r w:rsidRPr="00AB47CC">
        <w:rPr>
          <w:rFonts w:ascii="Times New Roman" w:eastAsia="Times New Roman" w:hAnsi="Times New Roman" w:cs="Times New Roman"/>
          <w:i/>
          <w:sz w:val="24"/>
          <w:szCs w:val="24"/>
          <w:lang w:val="en-GB"/>
        </w:rPr>
        <w:t xml:space="preserve">et al., </w:t>
      </w:r>
      <w:r w:rsidRPr="00AB47CC">
        <w:rPr>
          <w:rFonts w:ascii="Times New Roman" w:eastAsia="Times New Roman" w:hAnsi="Times New Roman" w:cs="Times New Roman"/>
          <w:sz w:val="24"/>
          <w:szCs w:val="24"/>
          <w:lang w:val="en-GB"/>
        </w:rPr>
        <w:t xml:space="preserve">2019). Therefore, the engagement of local residents as the chairperson can prove to be effective for the project. </w:t>
      </w:r>
    </w:p>
    <w:p w14:paraId="1191C005" w14:textId="77777777" w:rsidR="00546B38" w:rsidRPr="00AB47CC" w:rsidRDefault="002C16A6">
      <w:pPr>
        <w:pStyle w:val="Normal1"/>
        <w:numPr>
          <w:ilvl w:val="0"/>
          <w:numId w:val="1"/>
        </w:numPr>
        <w:spacing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Seascale Community Beach Park should give priority to action and impact throughout the completion </w:t>
      </w:r>
      <w:r w:rsidR="00AB47CC" w:rsidRPr="00AB47CC">
        <w:rPr>
          <w:rFonts w:ascii="Times New Roman" w:eastAsia="Times New Roman" w:hAnsi="Times New Roman" w:cs="Times New Roman"/>
          <w:sz w:val="24"/>
          <w:szCs w:val="24"/>
          <w:lang w:val="en-GB"/>
        </w:rPr>
        <w:t>of the</w:t>
      </w:r>
      <w:r w:rsidRPr="00AB47CC">
        <w:rPr>
          <w:rFonts w:ascii="Times New Roman" w:eastAsia="Times New Roman" w:hAnsi="Times New Roman" w:cs="Times New Roman"/>
          <w:sz w:val="24"/>
          <w:szCs w:val="24"/>
          <w:lang w:val="en-GB"/>
        </w:rPr>
        <w:t xml:space="preserve"> project. They should ensure that the entities that will be involved in the activities of renovating the older play area have the potential to bring change and they are aware of their capabilities. </w:t>
      </w:r>
    </w:p>
    <w:p w14:paraId="1F8035D8" w14:textId="77777777" w:rsidR="00546B38" w:rsidRPr="00AB47CC" w:rsidRDefault="002C16A6">
      <w:pPr>
        <w:pStyle w:val="Normal1"/>
        <w:numPr>
          <w:ilvl w:val="0"/>
          <w:numId w:val="1"/>
        </w:numPr>
        <w:spacing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The project authorities throughout the completion of the project undertaken should prioritise sustained engagement and participatory culture</w:t>
      </w:r>
      <w:r w:rsidR="00222C36" w:rsidRPr="00AB47CC">
        <w:rPr>
          <w:rFonts w:ascii="Times New Roman" w:eastAsia="Times New Roman" w:hAnsi="Times New Roman" w:cs="Times New Roman"/>
          <w:sz w:val="24"/>
          <w:szCs w:val="24"/>
          <w:lang w:val="en-GB"/>
        </w:rPr>
        <w:t xml:space="preserve">. Through the enhancement of </w:t>
      </w:r>
      <w:r w:rsidRPr="00AB47CC">
        <w:rPr>
          <w:rFonts w:ascii="Times New Roman" w:eastAsia="Times New Roman" w:hAnsi="Times New Roman" w:cs="Times New Roman"/>
          <w:sz w:val="24"/>
          <w:szCs w:val="24"/>
          <w:lang w:val="en-GB"/>
        </w:rPr>
        <w:t>programs,</w:t>
      </w:r>
      <w:r w:rsidR="00222C36" w:rsidRPr="00AB47CC">
        <w:rPr>
          <w:rFonts w:ascii="Times New Roman" w:eastAsia="Times New Roman" w:hAnsi="Times New Roman" w:cs="Times New Roman"/>
          <w:sz w:val="24"/>
          <w:szCs w:val="24"/>
          <w:lang w:val="en-GB"/>
        </w:rPr>
        <w:t xml:space="preserve"> participation should be promoted among the involved entities in the project (aese.psu.edu, 2022). </w:t>
      </w:r>
    </w:p>
    <w:p w14:paraId="149E5186" w14:textId="77777777" w:rsidR="00546B38" w:rsidRPr="00AB47CC" w:rsidRDefault="002C16A6" w:rsidP="00A835E0">
      <w:pPr>
        <w:pStyle w:val="Normal1"/>
        <w:spacing w:before="240" w:after="240" w:line="360" w:lineRule="auto"/>
        <w:ind w:firstLine="36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Based on the principles that are expected to be maintained by the project authorities, a rights-based approach in the completion of the project, diversity, and equity are some of the core </w:t>
      </w:r>
      <w:r w:rsidRPr="00AB47CC">
        <w:rPr>
          <w:rFonts w:ascii="Times New Roman" w:eastAsia="Times New Roman" w:hAnsi="Times New Roman" w:cs="Times New Roman"/>
          <w:sz w:val="24"/>
          <w:szCs w:val="24"/>
          <w:lang w:val="en-GB"/>
        </w:rPr>
        <w:lastRenderedPageBreak/>
        <w:t>standards that are expected to be set by the project authority throughout the completion of the project. The standards that</w:t>
      </w:r>
      <w:r w:rsidR="00AB47CC">
        <w:rPr>
          <w:rFonts w:ascii="Times New Roman" w:eastAsia="Times New Roman" w:hAnsi="Times New Roman" w:cs="Times New Roman"/>
          <w:sz w:val="24"/>
          <w:szCs w:val="24"/>
          <w:lang w:val="en-GB"/>
        </w:rPr>
        <w:t xml:space="preserve"> are supposed to be set</w:t>
      </w:r>
      <w:r w:rsidRPr="00AB47CC">
        <w:rPr>
          <w:rFonts w:ascii="Times New Roman" w:eastAsia="Times New Roman" w:hAnsi="Times New Roman" w:cs="Times New Roman"/>
          <w:sz w:val="24"/>
          <w:szCs w:val="24"/>
          <w:lang w:val="en-GB"/>
        </w:rPr>
        <w:t xml:space="preserve"> by the project authorities to complete the project efficiently with an effective community engagement include active participation, empowerment and ownership, two-way communication between the community and project authorities, adaptability and localisation and completion of the project according to the local capacity (unicef.org, 2020). </w:t>
      </w:r>
    </w:p>
    <w:p w14:paraId="18AA420C" w14:textId="77777777" w:rsidR="00546B38" w:rsidRPr="00AB47CC" w:rsidRDefault="002C16A6" w:rsidP="00AB47CC">
      <w:pPr>
        <w:pStyle w:val="Heading1"/>
        <w:rPr>
          <w:lang w:val="en-GB"/>
        </w:rPr>
      </w:pPr>
      <w:bookmarkStart w:id="4" w:name="_Toc101891301"/>
      <w:r w:rsidRPr="00AB47CC">
        <w:rPr>
          <w:lang w:val="en-GB"/>
        </w:rPr>
        <w:t>Benefits for the stakeholder’s participation</w:t>
      </w:r>
      <w:bookmarkEnd w:id="4"/>
    </w:p>
    <w:p w14:paraId="56B47AF5"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The engagement of the stakeholders can prove to be beneficial for the effective completion of the renovation of the older play area that is situated at Seascale. The engagement of stakeholders </w:t>
      </w:r>
      <w:r w:rsidR="00AB47CC" w:rsidRPr="00AB47CC">
        <w:rPr>
          <w:rFonts w:ascii="Times New Roman" w:eastAsia="Times New Roman" w:hAnsi="Times New Roman" w:cs="Times New Roman"/>
          <w:sz w:val="24"/>
          <w:szCs w:val="24"/>
          <w:lang w:val="en-GB"/>
        </w:rPr>
        <w:t>cannot</w:t>
      </w:r>
      <w:r w:rsidRPr="00AB47CC">
        <w:rPr>
          <w:rFonts w:ascii="Times New Roman" w:eastAsia="Times New Roman" w:hAnsi="Times New Roman" w:cs="Times New Roman"/>
          <w:sz w:val="24"/>
          <w:szCs w:val="24"/>
          <w:lang w:val="en-GB"/>
        </w:rPr>
        <w:t xml:space="preserve"> only benefit the community but also the project aut</w:t>
      </w:r>
      <w:r w:rsidR="00AB47CC">
        <w:rPr>
          <w:rFonts w:ascii="Times New Roman" w:eastAsia="Times New Roman" w:hAnsi="Times New Roman" w:cs="Times New Roman"/>
          <w:sz w:val="24"/>
          <w:szCs w:val="24"/>
          <w:lang w:val="en-GB"/>
        </w:rPr>
        <w:t xml:space="preserve">hority in a significant way. </w:t>
      </w:r>
      <w:r w:rsidRPr="00AB47CC">
        <w:rPr>
          <w:rFonts w:ascii="Times New Roman" w:eastAsia="Times New Roman" w:hAnsi="Times New Roman" w:cs="Times New Roman"/>
          <w:sz w:val="24"/>
          <w:szCs w:val="24"/>
          <w:lang w:val="en-GB"/>
        </w:rPr>
        <w:t xml:space="preserve">The engagement of stakeholders in the planning and execution of the plan of the renovation of the older play area can help the project authorities to make effective decisions regarding the activities that are supposed to be enhanced for the effective completion of the project. In </w:t>
      </w:r>
      <w:r w:rsidR="00AB47CC" w:rsidRPr="00AB47CC">
        <w:rPr>
          <w:rFonts w:ascii="Times New Roman" w:eastAsia="Times New Roman" w:hAnsi="Times New Roman" w:cs="Times New Roman"/>
          <w:sz w:val="24"/>
          <w:szCs w:val="24"/>
          <w:lang w:val="en-GB"/>
        </w:rPr>
        <w:t>fact</w:t>
      </w:r>
      <w:r w:rsidRPr="00AB47CC">
        <w:rPr>
          <w:rFonts w:ascii="Times New Roman" w:eastAsia="Times New Roman" w:hAnsi="Times New Roman" w:cs="Times New Roman"/>
          <w:sz w:val="24"/>
          <w:szCs w:val="24"/>
          <w:lang w:val="en-GB"/>
        </w:rPr>
        <w:t xml:space="preserve">, through stakeholder engagement, the project authorities can be able to obtain local information about the site area more effectively and prevent costly delays through which legitimacy in the completion of the project can be demonstrated by them (nbs.net, 2012). </w:t>
      </w:r>
    </w:p>
    <w:p w14:paraId="64DDF679" w14:textId="77777777" w:rsidR="00546B38" w:rsidRPr="00AB47CC" w:rsidRDefault="002C16A6" w:rsidP="00AB47CC">
      <w:pPr>
        <w:pStyle w:val="Heading1"/>
        <w:rPr>
          <w:lang w:val="en-GB"/>
        </w:rPr>
      </w:pPr>
      <w:bookmarkStart w:id="5" w:name="_Toc101891302"/>
      <w:r w:rsidRPr="00AB47CC">
        <w:rPr>
          <w:lang w:val="en-GB"/>
        </w:rPr>
        <w:t>Identification of the stakeholders and the suitable strategies to engage them</w:t>
      </w:r>
      <w:bookmarkEnd w:id="5"/>
      <w:r w:rsidRPr="00AB47CC">
        <w:rPr>
          <w:lang w:val="en-GB"/>
        </w:rPr>
        <w:t xml:space="preserve"> </w:t>
      </w:r>
    </w:p>
    <w:p w14:paraId="32456842"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As the project is being supported by an NDA site </w:t>
      </w:r>
      <w:r w:rsidR="00AB47CC" w:rsidRPr="00AB47CC">
        <w:rPr>
          <w:rFonts w:ascii="Times New Roman" w:eastAsia="Times New Roman" w:hAnsi="Times New Roman" w:cs="Times New Roman"/>
          <w:sz w:val="24"/>
          <w:szCs w:val="24"/>
          <w:lang w:val="en-GB"/>
        </w:rPr>
        <w:t>named LLWR</w:t>
      </w:r>
      <w:r w:rsidRPr="00AB47CC">
        <w:rPr>
          <w:rFonts w:ascii="Times New Roman" w:eastAsia="Times New Roman" w:hAnsi="Times New Roman" w:cs="Times New Roman"/>
          <w:sz w:val="24"/>
          <w:szCs w:val="24"/>
          <w:lang w:val="en-GB"/>
        </w:rPr>
        <w:t xml:space="preserve"> to provide an attractive and safe seafront area, therefore, the LLWR can be considered as one of the most significant stakeholders of the project. The location of the older play area is in the direction of the west Cumbrian </w:t>
      </w:r>
      <w:r w:rsidR="00AB47CC" w:rsidRPr="00AB47CC">
        <w:rPr>
          <w:rFonts w:ascii="Times New Roman" w:eastAsia="Times New Roman" w:hAnsi="Times New Roman" w:cs="Times New Roman"/>
          <w:sz w:val="24"/>
          <w:szCs w:val="24"/>
          <w:lang w:val="en-GB"/>
        </w:rPr>
        <w:t>community, which</w:t>
      </w:r>
      <w:r w:rsidRPr="00AB47CC">
        <w:rPr>
          <w:rFonts w:ascii="Times New Roman" w:eastAsia="Times New Roman" w:hAnsi="Times New Roman" w:cs="Times New Roman"/>
          <w:sz w:val="24"/>
          <w:szCs w:val="24"/>
          <w:lang w:val="en-GB"/>
        </w:rPr>
        <w:t xml:space="preserve"> is surrounded by a range of villages. Therefore, the residents of that particular area and the people who visit the area can be considered as another group of stakeholders of the community engagement project.  The project has been undertaken by the Seascale Community Beach Park Group, which can be considered as the most significant s</w:t>
      </w:r>
      <w:r w:rsidR="00AB47CC">
        <w:rPr>
          <w:rFonts w:ascii="Times New Roman" w:eastAsia="Times New Roman" w:hAnsi="Times New Roman" w:cs="Times New Roman"/>
          <w:sz w:val="24"/>
          <w:szCs w:val="24"/>
          <w:lang w:val="en-GB"/>
        </w:rPr>
        <w:t>takeholder in the project. Apart</w:t>
      </w:r>
      <w:r w:rsidRPr="00AB47CC">
        <w:rPr>
          <w:rFonts w:ascii="Times New Roman" w:eastAsia="Times New Roman" w:hAnsi="Times New Roman" w:cs="Times New Roman"/>
          <w:sz w:val="24"/>
          <w:szCs w:val="24"/>
          <w:lang w:val="en-GB"/>
        </w:rPr>
        <w:t xml:space="preserve"> from these, the community partners are Copeland Community Fund, Community choices and others, who have been partnered for efficient completion of the project can be considered as another group of stakeholders (Gov.uk, 2022). </w:t>
      </w:r>
    </w:p>
    <w:p w14:paraId="2BBD7FD3" w14:textId="77777777" w:rsidR="00546B38" w:rsidRPr="00AB47CC" w:rsidRDefault="002C16A6">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lastRenderedPageBreak/>
        <w:t>In order to engage these stakeholders effectively in the completion of the project, different types of social media platforms such as Fac</w:t>
      </w:r>
      <w:r w:rsidR="00AB47CC">
        <w:rPr>
          <w:rFonts w:ascii="Times New Roman" w:eastAsia="Times New Roman" w:hAnsi="Times New Roman" w:cs="Times New Roman"/>
          <w:sz w:val="24"/>
          <w:szCs w:val="24"/>
          <w:lang w:val="en-GB"/>
        </w:rPr>
        <w:t>e</w:t>
      </w:r>
      <w:r w:rsidRPr="00AB47CC">
        <w:rPr>
          <w:rFonts w:ascii="Times New Roman" w:eastAsia="Times New Roman" w:hAnsi="Times New Roman" w:cs="Times New Roman"/>
          <w:sz w:val="24"/>
          <w:szCs w:val="24"/>
          <w:lang w:val="en-GB"/>
        </w:rPr>
        <w:t>boo</w:t>
      </w:r>
      <w:r w:rsidR="00AB47CC">
        <w:rPr>
          <w:rFonts w:ascii="Times New Roman" w:eastAsia="Times New Roman" w:hAnsi="Times New Roman" w:cs="Times New Roman"/>
          <w:sz w:val="24"/>
          <w:szCs w:val="24"/>
          <w:lang w:val="en-GB"/>
        </w:rPr>
        <w:t>k</w:t>
      </w:r>
      <w:r w:rsidRPr="00AB47CC">
        <w:rPr>
          <w:rFonts w:ascii="Times New Roman" w:eastAsia="Times New Roman" w:hAnsi="Times New Roman" w:cs="Times New Roman"/>
          <w:sz w:val="24"/>
          <w:szCs w:val="24"/>
          <w:lang w:val="en-GB"/>
        </w:rPr>
        <w:t>, Instagram, Twitter, YouTube and others can be utilised by the project authorities as the platforms, where interaction between the stakeholders can be made (</w:t>
      </w:r>
      <w:proofErr w:type="spellStart"/>
      <w:r w:rsidRPr="00AB47CC">
        <w:rPr>
          <w:rFonts w:ascii="Times New Roman" w:eastAsia="Times New Roman" w:hAnsi="Times New Roman" w:cs="Times New Roman"/>
          <w:sz w:val="24"/>
          <w:szCs w:val="24"/>
          <w:lang w:val="en-GB"/>
        </w:rPr>
        <w:t>Troise</w:t>
      </w:r>
      <w:proofErr w:type="spellEnd"/>
      <w:r w:rsidRPr="00AB47CC">
        <w:rPr>
          <w:rFonts w:ascii="Times New Roman" w:eastAsia="Times New Roman" w:hAnsi="Times New Roman" w:cs="Times New Roman"/>
          <w:sz w:val="24"/>
          <w:szCs w:val="24"/>
          <w:lang w:val="en-GB"/>
        </w:rPr>
        <w:t xml:space="preserve">, C. and Camilleri, 2022). </w:t>
      </w:r>
    </w:p>
    <w:p w14:paraId="1FDD7EF2" w14:textId="77777777" w:rsidR="00546B38" w:rsidRPr="00AB47CC" w:rsidRDefault="002C16A6" w:rsidP="00AB47CC">
      <w:pPr>
        <w:pStyle w:val="Heading1"/>
        <w:rPr>
          <w:lang w:val="en-GB"/>
        </w:rPr>
      </w:pPr>
      <w:bookmarkStart w:id="6" w:name="_Toc101891303"/>
      <w:r w:rsidRPr="00AB47CC">
        <w:rPr>
          <w:lang w:val="en-GB"/>
        </w:rPr>
        <w:t>The way of the utilisation of different social media platforms as an outreach to support the project</w:t>
      </w:r>
      <w:bookmarkEnd w:id="6"/>
    </w:p>
    <w:p w14:paraId="0F5BD3B9"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The mentioned social media platforms can mainly be used as an outreach to keep the above-discussed stakeholders of the project updated regarding the progress of completion of the renovation of the older play area at Seascale. In the utilisation of the social media platform as an outreach to support the Seascale community beach park project, the Seascale Community Beach Park Group is expected to leverage their relationship with key publishers, influencers and others</w:t>
      </w:r>
      <w:r w:rsidR="00AB47CC">
        <w:rPr>
          <w:rFonts w:ascii="Times New Roman" w:eastAsia="Times New Roman" w:hAnsi="Times New Roman" w:cs="Times New Roman"/>
          <w:sz w:val="24"/>
          <w:szCs w:val="24"/>
          <w:lang w:val="en-GB"/>
        </w:rPr>
        <w:t>. This should be done</w:t>
      </w:r>
      <w:r w:rsidRPr="00AB47CC">
        <w:rPr>
          <w:rFonts w:ascii="Times New Roman" w:eastAsia="Times New Roman" w:hAnsi="Times New Roman" w:cs="Times New Roman"/>
          <w:sz w:val="24"/>
          <w:szCs w:val="24"/>
          <w:lang w:val="en-GB"/>
        </w:rPr>
        <w:t xml:space="preserve"> with the purpose of sharing the continents related to the progress of the discussed renovation project with their network on the channels they use (Jones, 2022). However, </w:t>
      </w:r>
      <w:r w:rsidR="00AB47CC" w:rsidRPr="00AB47CC">
        <w:rPr>
          <w:rFonts w:ascii="Times New Roman" w:eastAsia="Times New Roman" w:hAnsi="Times New Roman" w:cs="Times New Roman"/>
          <w:sz w:val="24"/>
          <w:szCs w:val="24"/>
          <w:lang w:val="en-GB"/>
        </w:rPr>
        <w:t>some basic activities</w:t>
      </w:r>
      <w:r w:rsidRPr="00AB47CC">
        <w:rPr>
          <w:rFonts w:ascii="Times New Roman" w:eastAsia="Times New Roman" w:hAnsi="Times New Roman" w:cs="Times New Roman"/>
          <w:sz w:val="24"/>
          <w:szCs w:val="24"/>
          <w:lang w:val="en-GB"/>
        </w:rPr>
        <w:t xml:space="preserve"> are supposed to be performed to use social media platforms as an outreach to support the project.   </w:t>
      </w:r>
    </w:p>
    <w:p w14:paraId="50D61076" w14:textId="77777777" w:rsidR="00546B38" w:rsidRPr="00AB47CC" w:rsidRDefault="002C16A6" w:rsidP="00AB47CC">
      <w:pPr>
        <w:pStyle w:val="Heading1"/>
        <w:rPr>
          <w:lang w:val="en-GB"/>
        </w:rPr>
      </w:pPr>
      <w:bookmarkStart w:id="7" w:name="_Toc101891304"/>
      <w:r w:rsidRPr="00AB47CC">
        <w:rPr>
          <w:lang w:val="en-GB"/>
        </w:rPr>
        <w:t>Avenues to promote community participation, collaboration, diversity and inclusion to enable socio-cultural integration and multiculturalism</w:t>
      </w:r>
      <w:bookmarkEnd w:id="7"/>
      <w:r w:rsidRPr="00AB47CC">
        <w:rPr>
          <w:lang w:val="en-GB"/>
        </w:rPr>
        <w:t xml:space="preserve"> </w:t>
      </w:r>
    </w:p>
    <w:p w14:paraId="3F4257CF"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Some straightforward strategies can be implemented by the Seascale Community Beach Park Group to promote participation and collaboration of the community members of the Seascale area regardless of gender, cultural characteristics, age, eternity and others. The project authorities can create a sense of urgency among the community members by making them aware of the negative effects on the lives of children and older people in that area that can be seen due to a lack of recreation facilities over there (Mees </w:t>
      </w:r>
      <w:r w:rsidRPr="00AB47CC">
        <w:rPr>
          <w:rFonts w:ascii="Times New Roman" w:eastAsia="Times New Roman" w:hAnsi="Times New Roman" w:cs="Times New Roman"/>
          <w:i/>
          <w:sz w:val="24"/>
          <w:szCs w:val="24"/>
          <w:lang w:val="en-GB"/>
        </w:rPr>
        <w:t xml:space="preserve">et al., </w:t>
      </w:r>
      <w:r w:rsidRPr="00AB47CC">
        <w:rPr>
          <w:rFonts w:ascii="Times New Roman" w:eastAsia="Times New Roman" w:hAnsi="Times New Roman" w:cs="Times New Roman"/>
          <w:sz w:val="24"/>
          <w:szCs w:val="24"/>
          <w:lang w:val="en-GB"/>
        </w:rPr>
        <w:t xml:space="preserve">2019). The project authorities can also take the initiative to solicit earned media. Therefore, they can request the media outlets to profile the undertaken project of renovating the older play area of Seascale. They can also contact bloggers to stream the progress of the project to gain increased participation and collaboration of the community members in the completion of the project. Apart from these, the project </w:t>
      </w:r>
      <w:r w:rsidRPr="00AB47CC">
        <w:rPr>
          <w:rFonts w:ascii="Times New Roman" w:eastAsia="Times New Roman" w:hAnsi="Times New Roman" w:cs="Times New Roman"/>
          <w:sz w:val="24"/>
          <w:szCs w:val="24"/>
          <w:lang w:val="en-GB"/>
        </w:rPr>
        <w:lastRenderedPageBreak/>
        <w:t xml:space="preserve">authorities can also collaborate with newspaper firms, local television channels and press releases to inform the people of the local area about the undertaken project publicly. In addition, social media can be leveraged strategically to make people regardless of gender, age, and other demographic variables participate and collaborate in the success of the renovation of the older play area of </w:t>
      </w:r>
      <w:proofErr w:type="spellStart"/>
      <w:r w:rsidRPr="00AB47CC">
        <w:rPr>
          <w:rFonts w:ascii="Times New Roman" w:eastAsia="Times New Roman" w:hAnsi="Times New Roman" w:cs="Times New Roman"/>
          <w:sz w:val="24"/>
          <w:szCs w:val="24"/>
          <w:lang w:val="en-GB"/>
        </w:rPr>
        <w:t>Seascale</w:t>
      </w:r>
      <w:proofErr w:type="spellEnd"/>
      <w:r w:rsidRPr="00AB47CC">
        <w:rPr>
          <w:rFonts w:ascii="Times New Roman" w:eastAsia="Times New Roman" w:hAnsi="Times New Roman" w:cs="Times New Roman"/>
          <w:sz w:val="24"/>
          <w:szCs w:val="24"/>
          <w:lang w:val="en-GB"/>
        </w:rPr>
        <w:t xml:space="preserve"> (</w:t>
      </w:r>
      <w:proofErr w:type="spellStart"/>
      <w:r w:rsidRPr="00AB47CC">
        <w:rPr>
          <w:rFonts w:ascii="Times New Roman" w:eastAsia="Times New Roman" w:hAnsi="Times New Roman" w:cs="Times New Roman"/>
          <w:sz w:val="24"/>
          <w:szCs w:val="24"/>
          <w:lang w:val="en-GB"/>
        </w:rPr>
        <w:t>Iannaccone</w:t>
      </w:r>
      <w:proofErr w:type="spellEnd"/>
      <w:r w:rsidRPr="00AB47CC">
        <w:rPr>
          <w:rFonts w:ascii="Times New Roman" w:eastAsia="Times New Roman" w:hAnsi="Times New Roman" w:cs="Times New Roman"/>
          <w:sz w:val="24"/>
          <w:szCs w:val="24"/>
          <w:lang w:val="en-GB"/>
        </w:rPr>
        <w:t xml:space="preserve">. 2021). These are the ways, social-cultural integration and multiculturalism in the renovation of older play area can be enabled by the project authorities. </w:t>
      </w:r>
    </w:p>
    <w:p w14:paraId="6F2F6AFA" w14:textId="77777777" w:rsidR="00546B38" w:rsidRPr="00AB47CC" w:rsidRDefault="002C16A6" w:rsidP="00AB47CC">
      <w:pPr>
        <w:pStyle w:val="Heading1"/>
        <w:rPr>
          <w:lang w:val="en-GB"/>
        </w:rPr>
      </w:pPr>
      <w:bookmarkStart w:id="8" w:name="_Toc101891305"/>
      <w:r w:rsidRPr="00AB47CC">
        <w:rPr>
          <w:lang w:val="en-GB"/>
        </w:rPr>
        <w:t>The reason behind the adoption of a forward-looking approach by community engagement practitioners to educate community members on internal and external factors that influence community development</w:t>
      </w:r>
      <w:bookmarkEnd w:id="8"/>
      <w:r w:rsidRPr="00AB47CC">
        <w:rPr>
          <w:lang w:val="en-GB"/>
        </w:rPr>
        <w:t xml:space="preserve">  </w:t>
      </w:r>
    </w:p>
    <w:p w14:paraId="0927DD4E" w14:textId="29CF9076"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A forward-looking approach can be defined as a process of keeping an eye on the future and keeping the focus on the things including the opportunities and threats that can be estimated to arrive (Munoz </w:t>
      </w:r>
      <w:r w:rsidRPr="00AB47CC">
        <w:rPr>
          <w:rFonts w:ascii="Times New Roman" w:eastAsia="Times New Roman" w:hAnsi="Times New Roman" w:cs="Times New Roman"/>
          <w:i/>
          <w:sz w:val="24"/>
          <w:szCs w:val="24"/>
          <w:lang w:val="en-GB"/>
        </w:rPr>
        <w:t xml:space="preserve">et al., </w:t>
      </w:r>
      <w:r w:rsidRPr="00AB47CC">
        <w:rPr>
          <w:rFonts w:ascii="Times New Roman" w:eastAsia="Times New Roman" w:hAnsi="Times New Roman" w:cs="Times New Roman"/>
          <w:sz w:val="24"/>
          <w:szCs w:val="24"/>
          <w:lang w:val="en-GB"/>
        </w:rPr>
        <w:t xml:space="preserve">2019). In order to disclose the reason behind the adoption of a forward-looking approach by the project authorities, the benefits that can be gained by </w:t>
      </w:r>
      <w:r w:rsidR="00AB47CC" w:rsidRPr="00AB47CC">
        <w:rPr>
          <w:rFonts w:ascii="Times New Roman" w:eastAsia="Times New Roman" w:hAnsi="Times New Roman" w:cs="Times New Roman"/>
          <w:sz w:val="24"/>
          <w:szCs w:val="24"/>
          <w:lang w:val="en-GB"/>
        </w:rPr>
        <w:t>them to</w:t>
      </w:r>
      <w:r w:rsidRPr="00AB47CC">
        <w:rPr>
          <w:rFonts w:ascii="Times New Roman" w:eastAsia="Times New Roman" w:hAnsi="Times New Roman" w:cs="Times New Roman"/>
          <w:sz w:val="24"/>
          <w:szCs w:val="24"/>
          <w:lang w:val="en-GB"/>
        </w:rPr>
        <w:t xml:space="preserve"> educate the local community regarding the internal and external factors that can have an impact on the development of their community through the renovation of the</w:t>
      </w:r>
      <w:r w:rsidR="00AB47CC">
        <w:rPr>
          <w:rFonts w:ascii="Times New Roman" w:eastAsia="Times New Roman" w:hAnsi="Times New Roman" w:cs="Times New Roman"/>
          <w:sz w:val="24"/>
          <w:szCs w:val="24"/>
          <w:lang w:val="en-GB"/>
        </w:rPr>
        <w:t xml:space="preserve"> older</w:t>
      </w:r>
      <w:r w:rsidRPr="00AB47CC">
        <w:rPr>
          <w:rFonts w:ascii="Times New Roman" w:eastAsia="Times New Roman" w:hAnsi="Times New Roman" w:cs="Times New Roman"/>
          <w:sz w:val="24"/>
          <w:szCs w:val="24"/>
          <w:lang w:val="en-GB"/>
        </w:rPr>
        <w:t xml:space="preserve"> play area of Seascale can be discussed. By applying a </w:t>
      </w:r>
      <w:r w:rsidR="00AB47CC" w:rsidRPr="00AB47CC">
        <w:rPr>
          <w:rFonts w:ascii="Times New Roman" w:eastAsia="Times New Roman" w:hAnsi="Times New Roman" w:cs="Times New Roman"/>
          <w:sz w:val="24"/>
          <w:szCs w:val="24"/>
          <w:lang w:val="en-GB"/>
        </w:rPr>
        <w:t>forward-looking</w:t>
      </w:r>
      <w:r w:rsidRPr="00AB47CC">
        <w:rPr>
          <w:rFonts w:ascii="Times New Roman" w:eastAsia="Times New Roman" w:hAnsi="Times New Roman" w:cs="Times New Roman"/>
          <w:sz w:val="24"/>
          <w:szCs w:val="24"/>
          <w:lang w:val="en-GB"/>
        </w:rPr>
        <w:t xml:space="preserve"> </w:t>
      </w:r>
      <w:r w:rsidR="00A835E0" w:rsidRPr="00AB47CC">
        <w:rPr>
          <w:rFonts w:ascii="Times New Roman" w:eastAsia="Times New Roman" w:hAnsi="Times New Roman" w:cs="Times New Roman"/>
          <w:sz w:val="24"/>
          <w:szCs w:val="24"/>
          <w:lang w:val="en-GB"/>
        </w:rPr>
        <w:t>approach,</w:t>
      </w:r>
      <w:r w:rsidRPr="00AB47CC">
        <w:rPr>
          <w:rFonts w:ascii="Times New Roman" w:eastAsia="Times New Roman" w:hAnsi="Times New Roman" w:cs="Times New Roman"/>
          <w:sz w:val="24"/>
          <w:szCs w:val="24"/>
          <w:lang w:val="en-GB"/>
        </w:rPr>
        <w:t xml:space="preserve"> the project authorities can be able to predict the opportunities and threats that can affect the progress of the renovation of the older play area, which can be influenced by </w:t>
      </w:r>
      <w:r w:rsidR="00AB47CC">
        <w:rPr>
          <w:rFonts w:ascii="Times New Roman" w:eastAsia="Times New Roman" w:hAnsi="Times New Roman" w:cs="Times New Roman"/>
          <w:sz w:val="24"/>
          <w:szCs w:val="24"/>
          <w:lang w:val="en-GB"/>
        </w:rPr>
        <w:t xml:space="preserve">their strengths and weaknesses </w:t>
      </w:r>
      <w:r w:rsidRPr="00AB47CC">
        <w:rPr>
          <w:rFonts w:ascii="Times New Roman" w:eastAsia="Times New Roman" w:hAnsi="Times New Roman" w:cs="Times New Roman"/>
          <w:sz w:val="24"/>
          <w:szCs w:val="24"/>
          <w:lang w:val="en-GB"/>
        </w:rPr>
        <w:t xml:space="preserve">and the macro-environmental factors. Therefore, the implementation of this type of approach can make the project authorities focus on the long-term value of the completion of the project (Finchandbeak.com, 2020). </w:t>
      </w:r>
    </w:p>
    <w:p w14:paraId="59619CC7" w14:textId="77777777" w:rsidR="00546B38" w:rsidRPr="00AB47CC" w:rsidRDefault="002C16A6" w:rsidP="00AB47CC">
      <w:pPr>
        <w:pStyle w:val="Heading1"/>
        <w:rPr>
          <w:lang w:val="en-GB"/>
        </w:rPr>
      </w:pPr>
      <w:bookmarkStart w:id="9" w:name="_Toc101891306"/>
      <w:r w:rsidRPr="00AB47CC">
        <w:rPr>
          <w:lang w:val="en-GB"/>
        </w:rPr>
        <w:t>Conclusion</w:t>
      </w:r>
      <w:bookmarkEnd w:id="9"/>
      <w:r w:rsidRPr="00AB47CC">
        <w:rPr>
          <w:lang w:val="en-GB"/>
        </w:rPr>
        <w:t xml:space="preserve">  </w:t>
      </w:r>
    </w:p>
    <w:p w14:paraId="10C854EA" w14:textId="77777777" w:rsidR="00546B38" w:rsidRPr="00AB47CC" w:rsidRDefault="002C16A6" w:rsidP="00A835E0">
      <w:pPr>
        <w:pStyle w:val="Normal1"/>
        <w:spacing w:before="240" w:after="240" w:line="360" w:lineRule="auto"/>
        <w:ind w:firstLine="720"/>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It can be concluded that the enhancement of activities of the project should be continued to be enhanced with careful preparation and planning, with the presence of inclu</w:t>
      </w:r>
      <w:r w:rsidR="00AB47CC">
        <w:rPr>
          <w:rFonts w:ascii="Times New Roman" w:eastAsia="Times New Roman" w:hAnsi="Times New Roman" w:cs="Times New Roman"/>
          <w:sz w:val="24"/>
          <w:szCs w:val="24"/>
          <w:lang w:val="en-GB"/>
        </w:rPr>
        <w:t xml:space="preserve">sion and demographic diversity, and </w:t>
      </w:r>
      <w:r w:rsidRPr="00AB47CC">
        <w:rPr>
          <w:rFonts w:ascii="Times New Roman" w:eastAsia="Times New Roman" w:hAnsi="Times New Roman" w:cs="Times New Roman"/>
          <w:sz w:val="24"/>
          <w:szCs w:val="24"/>
          <w:lang w:val="en-GB"/>
        </w:rPr>
        <w:t>collaboration</w:t>
      </w:r>
      <w:r w:rsidR="00AB47CC">
        <w:rPr>
          <w:rFonts w:ascii="Times New Roman" w:eastAsia="Times New Roman" w:hAnsi="Times New Roman" w:cs="Times New Roman"/>
          <w:sz w:val="24"/>
          <w:szCs w:val="24"/>
          <w:lang w:val="en-GB"/>
        </w:rPr>
        <w:t xml:space="preserve">. The activity should also include a </w:t>
      </w:r>
      <w:r w:rsidRPr="00AB47CC">
        <w:rPr>
          <w:rFonts w:ascii="Times New Roman" w:eastAsia="Times New Roman" w:hAnsi="Times New Roman" w:cs="Times New Roman"/>
          <w:sz w:val="24"/>
          <w:szCs w:val="24"/>
          <w:lang w:val="en-GB"/>
        </w:rPr>
        <w:t>shared purpose among the community members and stakeholders, promotion of openness and learning, building of tr</w:t>
      </w:r>
      <w:r w:rsidR="00AB47CC">
        <w:rPr>
          <w:rFonts w:ascii="Times New Roman" w:eastAsia="Times New Roman" w:hAnsi="Times New Roman" w:cs="Times New Roman"/>
          <w:sz w:val="24"/>
          <w:szCs w:val="24"/>
          <w:lang w:val="en-GB"/>
        </w:rPr>
        <w:t>ust and transparency, assessment of impact and action and establishment of participatory culture</w:t>
      </w:r>
      <w:r w:rsidRPr="00AB47CC">
        <w:rPr>
          <w:rFonts w:ascii="Times New Roman" w:eastAsia="Times New Roman" w:hAnsi="Times New Roman" w:cs="Times New Roman"/>
          <w:sz w:val="24"/>
          <w:szCs w:val="24"/>
          <w:lang w:val="en-GB"/>
        </w:rPr>
        <w:t xml:space="preserve"> and sustained engagement.  Active participation, empowerment and ownership, two-way </w:t>
      </w:r>
      <w:r w:rsidRPr="00AB47CC">
        <w:rPr>
          <w:rFonts w:ascii="Times New Roman" w:eastAsia="Times New Roman" w:hAnsi="Times New Roman" w:cs="Times New Roman"/>
          <w:sz w:val="24"/>
          <w:szCs w:val="24"/>
          <w:lang w:val="en-GB"/>
        </w:rPr>
        <w:lastRenderedPageBreak/>
        <w:t xml:space="preserve">communication between the community and project authorities, adaptability and localisation and completion of the project according to the local capacity are the standards that must be set by the project authorities for efficient completion of the project through an effective community engagement. In this digitally growing world of business, the utilisation of social media for community engagement is necessary. In addition, the implementation of a forward-looking approach in the project can prove to be helpful for the project authorities to predict the future outcomes from the completion of the project. </w:t>
      </w:r>
    </w:p>
    <w:p w14:paraId="706E4795" w14:textId="77777777" w:rsidR="00546B38" w:rsidRPr="00AB47CC" w:rsidRDefault="00546B38">
      <w:pPr>
        <w:pStyle w:val="Normal1"/>
        <w:spacing w:line="360" w:lineRule="auto"/>
        <w:jc w:val="both"/>
        <w:rPr>
          <w:rFonts w:ascii="Times New Roman" w:eastAsia="Times New Roman" w:hAnsi="Times New Roman" w:cs="Times New Roman"/>
          <w:b/>
          <w:sz w:val="24"/>
          <w:szCs w:val="24"/>
          <w:lang w:val="en-GB"/>
        </w:rPr>
      </w:pPr>
    </w:p>
    <w:p w14:paraId="51BD1045" w14:textId="77777777" w:rsidR="00546B38" w:rsidRPr="00AB47CC" w:rsidRDefault="002C16A6">
      <w:pPr>
        <w:pStyle w:val="Normal1"/>
        <w:spacing w:before="240" w:after="240" w:line="360" w:lineRule="auto"/>
        <w:jc w:val="both"/>
        <w:rPr>
          <w:rFonts w:ascii="Times New Roman" w:eastAsia="Times New Roman" w:hAnsi="Times New Roman" w:cs="Times New Roman"/>
          <w:b/>
          <w:sz w:val="24"/>
          <w:szCs w:val="24"/>
          <w:lang w:val="en-GB"/>
        </w:rPr>
      </w:pPr>
      <w:r w:rsidRPr="00AB47CC">
        <w:rPr>
          <w:rFonts w:ascii="Times New Roman" w:eastAsia="Times New Roman" w:hAnsi="Times New Roman" w:cs="Times New Roman"/>
          <w:b/>
          <w:sz w:val="24"/>
          <w:szCs w:val="24"/>
          <w:lang w:val="en-GB"/>
        </w:rPr>
        <w:t xml:space="preserve"> </w:t>
      </w:r>
    </w:p>
    <w:p w14:paraId="5D260BB2" w14:textId="77777777" w:rsidR="00546B38" w:rsidRPr="00AB47CC" w:rsidRDefault="002C16A6">
      <w:pPr>
        <w:pStyle w:val="Normal1"/>
        <w:spacing w:before="240" w:after="240" w:line="360" w:lineRule="auto"/>
        <w:jc w:val="both"/>
        <w:rPr>
          <w:rFonts w:ascii="Times New Roman" w:eastAsia="Times New Roman" w:hAnsi="Times New Roman" w:cs="Times New Roman"/>
          <w:b/>
          <w:sz w:val="24"/>
          <w:szCs w:val="24"/>
          <w:lang w:val="en-GB"/>
        </w:rPr>
      </w:pPr>
      <w:r w:rsidRPr="00AB47CC">
        <w:rPr>
          <w:lang w:val="en-GB"/>
        </w:rPr>
        <w:br w:type="page"/>
      </w:r>
    </w:p>
    <w:p w14:paraId="179B8355" w14:textId="77777777" w:rsidR="00546B38" w:rsidRPr="00F40742" w:rsidRDefault="002C16A6" w:rsidP="00F40742">
      <w:pPr>
        <w:pStyle w:val="Heading1"/>
        <w:rPr>
          <w:rFonts w:eastAsia="Times New Roman" w:cs="Times New Roman"/>
          <w:sz w:val="24"/>
          <w:szCs w:val="24"/>
          <w:lang w:val="en-GB"/>
        </w:rPr>
      </w:pPr>
      <w:bookmarkStart w:id="10" w:name="_Toc101891307"/>
      <w:r w:rsidRPr="00AB47CC">
        <w:rPr>
          <w:lang w:val="en-GB"/>
        </w:rPr>
        <w:lastRenderedPageBreak/>
        <w:t>Reference list</w:t>
      </w:r>
      <w:bookmarkEnd w:id="10"/>
    </w:p>
    <w:p w14:paraId="440A1B49"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aese.psu.edu, 2022. </w:t>
      </w:r>
      <w:r w:rsidRPr="00AB47CC">
        <w:rPr>
          <w:rFonts w:ascii="Times New Roman" w:eastAsia="Times New Roman" w:hAnsi="Times New Roman" w:cs="Times New Roman"/>
          <w:i/>
          <w:sz w:val="24"/>
          <w:szCs w:val="24"/>
          <w:lang w:val="en-GB"/>
        </w:rPr>
        <w:t xml:space="preserve">Core Principles of Community Engagement </w:t>
      </w:r>
      <w:r w:rsidRPr="00AB47CC">
        <w:rPr>
          <w:rFonts w:ascii="Times New Roman" w:eastAsia="Times New Roman" w:hAnsi="Times New Roman" w:cs="Times New Roman"/>
          <w:sz w:val="24"/>
          <w:szCs w:val="24"/>
          <w:lang w:val="en-GB"/>
        </w:rPr>
        <w:t>[Online] Available at: https://aese.psu.edu/research/centers/cecd/engagement-toolbox/engagement/core-principles-of-community-engagement [Accessed on: 26.04.2022]</w:t>
      </w:r>
    </w:p>
    <w:p w14:paraId="52C59D54"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Aese.psu.edu, 2022. </w:t>
      </w:r>
      <w:r w:rsidRPr="00AB47CC">
        <w:rPr>
          <w:rFonts w:ascii="Times New Roman" w:eastAsia="Times New Roman" w:hAnsi="Times New Roman" w:cs="Times New Roman"/>
          <w:i/>
          <w:sz w:val="24"/>
          <w:szCs w:val="24"/>
          <w:lang w:val="en-GB"/>
        </w:rPr>
        <w:t>What is Community Engagement?</w:t>
      </w:r>
      <w:r w:rsidRPr="00AB47CC">
        <w:rPr>
          <w:rFonts w:ascii="Times New Roman" w:eastAsia="Times New Roman" w:hAnsi="Times New Roman" w:cs="Times New Roman"/>
          <w:sz w:val="24"/>
          <w:szCs w:val="24"/>
          <w:lang w:val="en-GB"/>
        </w:rPr>
        <w:t xml:space="preserve"> [Online] Available at: https://aese.psu.edu/research/centers/cecd/engagement-toolbox/engagement/what-is-community-engagement [Accessed on: 26.04.2022]</w:t>
      </w:r>
    </w:p>
    <w:p w14:paraId="0231893E"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Finchandbeak.com, 2020. </w:t>
      </w:r>
      <w:r w:rsidRPr="00AB47CC">
        <w:rPr>
          <w:rFonts w:ascii="Times New Roman" w:eastAsia="Times New Roman" w:hAnsi="Times New Roman" w:cs="Times New Roman"/>
          <w:i/>
          <w:sz w:val="24"/>
          <w:szCs w:val="24"/>
          <w:lang w:val="en-GB"/>
        </w:rPr>
        <w:t xml:space="preserve">THE BENEFITS OF FORWARD-LOOKING MATERIALITY </w:t>
      </w:r>
      <w:r w:rsidRPr="00AB47CC">
        <w:rPr>
          <w:rFonts w:ascii="Times New Roman" w:eastAsia="Times New Roman" w:hAnsi="Times New Roman" w:cs="Times New Roman"/>
          <w:sz w:val="24"/>
          <w:szCs w:val="24"/>
          <w:lang w:val="en-GB"/>
        </w:rPr>
        <w:t>[Online] Available at: https://www.finchandbeak.com/1569/the-benefits-forward-looking-materiality.htm#:~:text=Benefits%20of%20a%20forward%2Dlooking%20approach%20to%20materiality&amp;text=Obtaining%20this%20approach%20to%20materiality,creation%20for%20business%20and%20stakeholders. [Accessed on: 26.04.2022]</w:t>
      </w:r>
    </w:p>
    <w:p w14:paraId="416ACE50"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Gov.uk, 2022. </w:t>
      </w:r>
      <w:r w:rsidRPr="00AB47CC">
        <w:rPr>
          <w:rFonts w:ascii="Times New Roman" w:eastAsia="Times New Roman" w:hAnsi="Times New Roman" w:cs="Times New Roman"/>
          <w:i/>
          <w:sz w:val="24"/>
          <w:szCs w:val="24"/>
          <w:lang w:val="en-GB"/>
        </w:rPr>
        <w:t>About us</w:t>
      </w:r>
      <w:r w:rsidRPr="00AB47CC">
        <w:rPr>
          <w:rFonts w:ascii="Times New Roman" w:eastAsia="Times New Roman" w:hAnsi="Times New Roman" w:cs="Times New Roman"/>
          <w:sz w:val="24"/>
          <w:szCs w:val="24"/>
          <w:lang w:val="en-GB"/>
        </w:rPr>
        <w:t xml:space="preserve"> [Online] Available at: https://www.gov.uk/government/organisations/low-level-waste-repository-ltd/about [Accessed on: 26.04.2022]</w:t>
      </w:r>
    </w:p>
    <w:p w14:paraId="3979B526"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Gov.uk, 2022. </w:t>
      </w:r>
      <w:r w:rsidRPr="00AB47CC">
        <w:rPr>
          <w:rFonts w:ascii="Times New Roman" w:eastAsia="Times New Roman" w:hAnsi="Times New Roman" w:cs="Times New Roman"/>
          <w:i/>
          <w:sz w:val="24"/>
          <w:szCs w:val="24"/>
          <w:lang w:val="en-GB"/>
        </w:rPr>
        <w:t>Seascale community beach park project</w:t>
      </w:r>
      <w:r w:rsidRPr="00AB47CC">
        <w:rPr>
          <w:rFonts w:ascii="Times New Roman" w:eastAsia="Times New Roman" w:hAnsi="Times New Roman" w:cs="Times New Roman"/>
          <w:sz w:val="24"/>
          <w:szCs w:val="24"/>
          <w:lang w:val="en-GB"/>
        </w:rPr>
        <w:t xml:space="preserve"> [Online] Available at: https://www.gov.uk/government/case-studies/seascale-community-beach-park-project [Accessed on: 26.04.2022]</w:t>
      </w:r>
    </w:p>
    <w:p w14:paraId="0D27345F"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B47CC">
        <w:rPr>
          <w:rFonts w:ascii="Times New Roman" w:eastAsia="Times New Roman" w:hAnsi="Times New Roman" w:cs="Times New Roman"/>
          <w:sz w:val="24"/>
          <w:szCs w:val="24"/>
          <w:lang w:val="en-GB"/>
        </w:rPr>
        <w:t>Iannaccone</w:t>
      </w:r>
      <w:proofErr w:type="spellEnd"/>
      <w:r w:rsidRPr="00AB47CC">
        <w:rPr>
          <w:rFonts w:ascii="Times New Roman" w:eastAsia="Times New Roman" w:hAnsi="Times New Roman" w:cs="Times New Roman"/>
          <w:sz w:val="24"/>
          <w:szCs w:val="24"/>
          <w:lang w:val="en-GB"/>
        </w:rPr>
        <w:t xml:space="preserve">, S., 2021. Beyond Diversity. A Look at the Social Integration Paths in Sport Practices. Culture e </w:t>
      </w:r>
      <w:proofErr w:type="spellStart"/>
      <w:r w:rsidRPr="00AB47CC">
        <w:rPr>
          <w:rFonts w:ascii="Times New Roman" w:eastAsia="Times New Roman" w:hAnsi="Times New Roman" w:cs="Times New Roman"/>
          <w:sz w:val="24"/>
          <w:szCs w:val="24"/>
          <w:lang w:val="en-GB"/>
        </w:rPr>
        <w:t>Studi</w:t>
      </w:r>
      <w:proofErr w:type="spellEnd"/>
      <w:r w:rsidRPr="00AB47CC">
        <w:rPr>
          <w:rFonts w:ascii="Times New Roman" w:eastAsia="Times New Roman" w:hAnsi="Times New Roman" w:cs="Times New Roman"/>
          <w:sz w:val="24"/>
          <w:szCs w:val="24"/>
          <w:lang w:val="en-GB"/>
        </w:rPr>
        <w:t xml:space="preserve"> del </w:t>
      </w:r>
      <w:proofErr w:type="spellStart"/>
      <w:r w:rsidRPr="00AB47CC">
        <w:rPr>
          <w:rFonts w:ascii="Times New Roman" w:eastAsia="Times New Roman" w:hAnsi="Times New Roman" w:cs="Times New Roman"/>
          <w:sz w:val="24"/>
          <w:szCs w:val="24"/>
          <w:lang w:val="en-GB"/>
        </w:rPr>
        <w:t>Sociale</w:t>
      </w:r>
      <w:proofErr w:type="spellEnd"/>
      <w:r w:rsidRPr="00AB47CC">
        <w:rPr>
          <w:rFonts w:ascii="Times New Roman" w:eastAsia="Times New Roman" w:hAnsi="Times New Roman" w:cs="Times New Roman"/>
          <w:sz w:val="24"/>
          <w:szCs w:val="24"/>
          <w:lang w:val="en-GB"/>
        </w:rPr>
        <w:t>, 6(2), pp.321-333.</w:t>
      </w:r>
    </w:p>
    <w:p w14:paraId="3410D184"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Jones. M, 2022. </w:t>
      </w:r>
      <w:r w:rsidRPr="00AB47CC">
        <w:rPr>
          <w:rFonts w:ascii="Times New Roman" w:eastAsia="Times New Roman" w:hAnsi="Times New Roman" w:cs="Times New Roman"/>
          <w:i/>
          <w:sz w:val="24"/>
          <w:szCs w:val="24"/>
          <w:lang w:val="en-GB"/>
        </w:rPr>
        <w:t xml:space="preserve">4 tips for building a social media outreach strategy </w:t>
      </w:r>
      <w:r w:rsidRPr="00AB47CC">
        <w:rPr>
          <w:rFonts w:ascii="Times New Roman" w:eastAsia="Times New Roman" w:hAnsi="Times New Roman" w:cs="Times New Roman"/>
          <w:sz w:val="24"/>
          <w:szCs w:val="24"/>
          <w:lang w:val="en-GB"/>
        </w:rPr>
        <w:t>[Online] Available at: https://www.coxblue.com/4-tips-for-building-a-social-media-outreach-strategy/ [Accessed on: 26.04.2022]</w:t>
      </w:r>
    </w:p>
    <w:p w14:paraId="044286DB"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B47CC">
        <w:rPr>
          <w:rFonts w:ascii="Times New Roman" w:eastAsia="Times New Roman" w:hAnsi="Times New Roman" w:cs="Times New Roman"/>
          <w:sz w:val="24"/>
          <w:szCs w:val="24"/>
          <w:lang w:val="en-GB"/>
        </w:rPr>
        <w:t>Mees</w:t>
      </w:r>
      <w:proofErr w:type="spellEnd"/>
      <w:r w:rsidRPr="00AB47CC">
        <w:rPr>
          <w:rFonts w:ascii="Times New Roman" w:eastAsia="Times New Roman" w:hAnsi="Times New Roman" w:cs="Times New Roman"/>
          <w:sz w:val="24"/>
          <w:szCs w:val="24"/>
          <w:lang w:val="en-GB"/>
        </w:rPr>
        <w:t xml:space="preserve">, H.L., </w:t>
      </w:r>
      <w:proofErr w:type="spellStart"/>
      <w:r w:rsidRPr="00AB47CC">
        <w:rPr>
          <w:rFonts w:ascii="Times New Roman" w:eastAsia="Times New Roman" w:hAnsi="Times New Roman" w:cs="Times New Roman"/>
          <w:sz w:val="24"/>
          <w:szCs w:val="24"/>
          <w:lang w:val="en-GB"/>
        </w:rPr>
        <w:t>Uittenbroek</w:t>
      </w:r>
      <w:proofErr w:type="spellEnd"/>
      <w:r w:rsidRPr="00AB47CC">
        <w:rPr>
          <w:rFonts w:ascii="Times New Roman" w:eastAsia="Times New Roman" w:hAnsi="Times New Roman" w:cs="Times New Roman"/>
          <w:sz w:val="24"/>
          <w:szCs w:val="24"/>
          <w:lang w:val="en-GB"/>
        </w:rPr>
        <w:t xml:space="preserve">, C.J., </w:t>
      </w:r>
      <w:proofErr w:type="spellStart"/>
      <w:r w:rsidRPr="00AB47CC">
        <w:rPr>
          <w:rFonts w:ascii="Times New Roman" w:eastAsia="Times New Roman" w:hAnsi="Times New Roman" w:cs="Times New Roman"/>
          <w:sz w:val="24"/>
          <w:szCs w:val="24"/>
          <w:lang w:val="en-GB"/>
        </w:rPr>
        <w:t>Hegger</w:t>
      </w:r>
      <w:proofErr w:type="spellEnd"/>
      <w:r w:rsidRPr="00AB47CC">
        <w:rPr>
          <w:rFonts w:ascii="Times New Roman" w:eastAsia="Times New Roman" w:hAnsi="Times New Roman" w:cs="Times New Roman"/>
          <w:sz w:val="24"/>
          <w:szCs w:val="24"/>
          <w:lang w:val="en-GB"/>
        </w:rPr>
        <w:t xml:space="preserve">, D.L. and Driessen, P.P., 2019. From citizen participation to government participation: A n exploration of the roles of local governments in community </w:t>
      </w:r>
      <w:r w:rsidRPr="00AB47CC">
        <w:rPr>
          <w:rFonts w:ascii="Times New Roman" w:eastAsia="Times New Roman" w:hAnsi="Times New Roman" w:cs="Times New Roman"/>
          <w:sz w:val="24"/>
          <w:szCs w:val="24"/>
          <w:lang w:val="en-GB"/>
        </w:rPr>
        <w:lastRenderedPageBreak/>
        <w:t xml:space="preserve">initiatives for climate change adaptation in the N </w:t>
      </w:r>
      <w:proofErr w:type="spellStart"/>
      <w:r w:rsidRPr="00AB47CC">
        <w:rPr>
          <w:rFonts w:ascii="Times New Roman" w:eastAsia="Times New Roman" w:hAnsi="Times New Roman" w:cs="Times New Roman"/>
          <w:sz w:val="24"/>
          <w:szCs w:val="24"/>
          <w:lang w:val="en-GB"/>
        </w:rPr>
        <w:t>etherlands</w:t>
      </w:r>
      <w:proofErr w:type="spellEnd"/>
      <w:r w:rsidRPr="00AB47CC">
        <w:rPr>
          <w:rFonts w:ascii="Times New Roman" w:eastAsia="Times New Roman" w:hAnsi="Times New Roman" w:cs="Times New Roman"/>
          <w:sz w:val="24"/>
          <w:szCs w:val="24"/>
          <w:lang w:val="en-GB"/>
        </w:rPr>
        <w:t>. Environmental Policy and Governance, 29(3), pp.198-208.</w:t>
      </w:r>
    </w:p>
    <w:p w14:paraId="073C2121"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Mitchell, J., Cooke, P., </w:t>
      </w:r>
      <w:proofErr w:type="spellStart"/>
      <w:r w:rsidRPr="00AB47CC">
        <w:rPr>
          <w:rFonts w:ascii="Times New Roman" w:eastAsia="Times New Roman" w:hAnsi="Times New Roman" w:cs="Times New Roman"/>
          <w:sz w:val="24"/>
          <w:szCs w:val="24"/>
          <w:lang w:val="en-GB"/>
        </w:rPr>
        <w:t>Baral</w:t>
      </w:r>
      <w:proofErr w:type="spellEnd"/>
      <w:r w:rsidRPr="00AB47CC">
        <w:rPr>
          <w:rFonts w:ascii="Times New Roman" w:eastAsia="Times New Roman" w:hAnsi="Times New Roman" w:cs="Times New Roman"/>
          <w:sz w:val="24"/>
          <w:szCs w:val="24"/>
          <w:lang w:val="en-GB"/>
        </w:rPr>
        <w:t xml:space="preserve">, S., Bull, N., Stones, C., </w:t>
      </w:r>
      <w:proofErr w:type="spellStart"/>
      <w:r w:rsidRPr="00AB47CC">
        <w:rPr>
          <w:rFonts w:ascii="Times New Roman" w:eastAsia="Times New Roman" w:hAnsi="Times New Roman" w:cs="Times New Roman"/>
          <w:sz w:val="24"/>
          <w:szCs w:val="24"/>
          <w:lang w:val="en-GB"/>
        </w:rPr>
        <w:t>Tsekleves</w:t>
      </w:r>
      <w:proofErr w:type="spellEnd"/>
      <w:r w:rsidRPr="00AB47CC">
        <w:rPr>
          <w:rFonts w:ascii="Times New Roman" w:eastAsia="Times New Roman" w:hAnsi="Times New Roman" w:cs="Times New Roman"/>
          <w:sz w:val="24"/>
          <w:szCs w:val="24"/>
          <w:lang w:val="en-GB"/>
        </w:rPr>
        <w:t xml:space="preserve">, E., </w:t>
      </w:r>
      <w:proofErr w:type="spellStart"/>
      <w:r w:rsidRPr="00AB47CC">
        <w:rPr>
          <w:rFonts w:ascii="Times New Roman" w:eastAsia="Times New Roman" w:hAnsi="Times New Roman" w:cs="Times New Roman"/>
          <w:sz w:val="24"/>
          <w:szCs w:val="24"/>
          <w:lang w:val="en-GB"/>
        </w:rPr>
        <w:t>Verdezoto</w:t>
      </w:r>
      <w:proofErr w:type="spellEnd"/>
      <w:r w:rsidRPr="00AB47CC">
        <w:rPr>
          <w:rFonts w:ascii="Times New Roman" w:eastAsia="Times New Roman" w:hAnsi="Times New Roman" w:cs="Times New Roman"/>
          <w:sz w:val="24"/>
          <w:szCs w:val="24"/>
          <w:lang w:val="en-GB"/>
        </w:rPr>
        <w:t xml:space="preserve">, N., </w:t>
      </w:r>
      <w:proofErr w:type="spellStart"/>
      <w:r w:rsidRPr="00AB47CC">
        <w:rPr>
          <w:rFonts w:ascii="Times New Roman" w:eastAsia="Times New Roman" w:hAnsi="Times New Roman" w:cs="Times New Roman"/>
          <w:sz w:val="24"/>
          <w:szCs w:val="24"/>
          <w:lang w:val="en-GB"/>
        </w:rPr>
        <w:t>Arjyal</w:t>
      </w:r>
      <w:proofErr w:type="spellEnd"/>
      <w:r w:rsidRPr="00AB47CC">
        <w:rPr>
          <w:rFonts w:ascii="Times New Roman" w:eastAsia="Times New Roman" w:hAnsi="Times New Roman" w:cs="Times New Roman"/>
          <w:sz w:val="24"/>
          <w:szCs w:val="24"/>
          <w:lang w:val="en-GB"/>
        </w:rPr>
        <w:t xml:space="preserve">, A., </w:t>
      </w:r>
      <w:proofErr w:type="spellStart"/>
      <w:r w:rsidRPr="00AB47CC">
        <w:rPr>
          <w:rFonts w:ascii="Times New Roman" w:eastAsia="Times New Roman" w:hAnsi="Times New Roman" w:cs="Times New Roman"/>
          <w:sz w:val="24"/>
          <w:szCs w:val="24"/>
          <w:lang w:val="en-GB"/>
        </w:rPr>
        <w:t>Giri</w:t>
      </w:r>
      <w:proofErr w:type="spellEnd"/>
      <w:r w:rsidRPr="00AB47CC">
        <w:rPr>
          <w:rFonts w:ascii="Times New Roman" w:eastAsia="Times New Roman" w:hAnsi="Times New Roman" w:cs="Times New Roman"/>
          <w:sz w:val="24"/>
          <w:szCs w:val="24"/>
          <w:lang w:val="en-GB"/>
        </w:rPr>
        <w:t>, R., Shrestha, A. and King, R., 2019. The values and principles underpinning community engagement approaches to tackling antimicrobial resistance (AMR). Global Health Action, 12(sup1), p.1837484.</w:t>
      </w:r>
    </w:p>
    <w:p w14:paraId="28CFB0DA"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Munoz, E., </w:t>
      </w:r>
      <w:proofErr w:type="spellStart"/>
      <w:r w:rsidRPr="00AB47CC">
        <w:rPr>
          <w:rFonts w:ascii="Times New Roman" w:eastAsia="Times New Roman" w:hAnsi="Times New Roman" w:cs="Times New Roman"/>
          <w:sz w:val="24"/>
          <w:szCs w:val="24"/>
          <w:lang w:val="en-GB"/>
        </w:rPr>
        <w:t>Filshtein</w:t>
      </w:r>
      <w:proofErr w:type="spellEnd"/>
      <w:r w:rsidRPr="00AB47CC">
        <w:rPr>
          <w:rFonts w:ascii="Times New Roman" w:eastAsia="Times New Roman" w:hAnsi="Times New Roman" w:cs="Times New Roman"/>
          <w:sz w:val="24"/>
          <w:szCs w:val="24"/>
          <w:lang w:val="en-GB"/>
        </w:rPr>
        <w:t xml:space="preserve">, T., </w:t>
      </w:r>
      <w:proofErr w:type="spellStart"/>
      <w:r w:rsidRPr="00AB47CC">
        <w:rPr>
          <w:rFonts w:ascii="Times New Roman" w:eastAsia="Times New Roman" w:hAnsi="Times New Roman" w:cs="Times New Roman"/>
          <w:sz w:val="24"/>
          <w:szCs w:val="24"/>
          <w:lang w:val="en-GB"/>
        </w:rPr>
        <w:t>Bettcher</w:t>
      </w:r>
      <w:proofErr w:type="spellEnd"/>
      <w:r w:rsidRPr="00AB47CC">
        <w:rPr>
          <w:rFonts w:ascii="Times New Roman" w:eastAsia="Times New Roman" w:hAnsi="Times New Roman" w:cs="Times New Roman"/>
          <w:sz w:val="24"/>
          <w:szCs w:val="24"/>
          <w:lang w:val="en-GB"/>
        </w:rPr>
        <w:t xml:space="preserve">, B.M., McLaren, D., Hedden, T., </w:t>
      </w:r>
      <w:proofErr w:type="spellStart"/>
      <w:r w:rsidRPr="00AB47CC">
        <w:rPr>
          <w:rFonts w:ascii="Times New Roman" w:eastAsia="Times New Roman" w:hAnsi="Times New Roman" w:cs="Times New Roman"/>
          <w:sz w:val="24"/>
          <w:szCs w:val="24"/>
          <w:lang w:val="en-GB"/>
        </w:rPr>
        <w:t>Tommet</w:t>
      </w:r>
      <w:proofErr w:type="spellEnd"/>
      <w:r w:rsidRPr="00AB47CC">
        <w:rPr>
          <w:rFonts w:ascii="Times New Roman" w:eastAsia="Times New Roman" w:hAnsi="Times New Roman" w:cs="Times New Roman"/>
          <w:sz w:val="24"/>
          <w:szCs w:val="24"/>
          <w:lang w:val="en-GB"/>
        </w:rPr>
        <w:t xml:space="preserve">, D., </w:t>
      </w:r>
      <w:proofErr w:type="spellStart"/>
      <w:r w:rsidRPr="00AB47CC">
        <w:rPr>
          <w:rFonts w:ascii="Times New Roman" w:eastAsia="Times New Roman" w:hAnsi="Times New Roman" w:cs="Times New Roman"/>
          <w:sz w:val="24"/>
          <w:szCs w:val="24"/>
          <w:lang w:val="en-GB"/>
        </w:rPr>
        <w:t>Mungas</w:t>
      </w:r>
      <w:proofErr w:type="spellEnd"/>
      <w:r w:rsidRPr="00AB47CC">
        <w:rPr>
          <w:rFonts w:ascii="Times New Roman" w:eastAsia="Times New Roman" w:hAnsi="Times New Roman" w:cs="Times New Roman"/>
          <w:sz w:val="24"/>
          <w:szCs w:val="24"/>
          <w:lang w:val="en-GB"/>
        </w:rPr>
        <w:t xml:space="preserve">, D. and </w:t>
      </w:r>
      <w:proofErr w:type="spellStart"/>
      <w:r w:rsidRPr="00AB47CC">
        <w:rPr>
          <w:rFonts w:ascii="Times New Roman" w:eastAsia="Times New Roman" w:hAnsi="Times New Roman" w:cs="Times New Roman"/>
          <w:sz w:val="24"/>
          <w:szCs w:val="24"/>
          <w:lang w:val="en-GB"/>
        </w:rPr>
        <w:t>Therneau</w:t>
      </w:r>
      <w:proofErr w:type="spellEnd"/>
      <w:r w:rsidRPr="00AB47CC">
        <w:rPr>
          <w:rFonts w:ascii="Times New Roman" w:eastAsia="Times New Roman" w:hAnsi="Times New Roman" w:cs="Times New Roman"/>
          <w:sz w:val="24"/>
          <w:szCs w:val="24"/>
          <w:lang w:val="en-GB"/>
        </w:rPr>
        <w:t>, T., 2019. Cognitive function and neuropathological outcomes: a forward-looking approach. Journal of neurology, 266(12), pp.2920-2928.</w:t>
      </w:r>
    </w:p>
    <w:p w14:paraId="42C06812"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nbs.net, 2012. </w:t>
      </w:r>
      <w:r w:rsidRPr="00AB47CC">
        <w:rPr>
          <w:rFonts w:ascii="Times New Roman" w:eastAsia="Times New Roman" w:hAnsi="Times New Roman" w:cs="Times New Roman"/>
          <w:i/>
          <w:sz w:val="24"/>
          <w:szCs w:val="24"/>
          <w:lang w:val="en-GB"/>
        </w:rPr>
        <w:t xml:space="preserve">Engage Your Community Stakeholders: A Guide for Businesses </w:t>
      </w:r>
      <w:r w:rsidRPr="00AB47CC">
        <w:rPr>
          <w:rFonts w:ascii="Times New Roman" w:eastAsia="Times New Roman" w:hAnsi="Times New Roman" w:cs="Times New Roman"/>
          <w:sz w:val="24"/>
          <w:szCs w:val="24"/>
          <w:lang w:val="en-GB"/>
        </w:rPr>
        <w:t>[Online] Available at: https://www.nbs.net/articles/engage-your-community-stakeholders-an-introductory-guide-for-businesses#:~:text=Engaging%20with%20community%20stakeholders%20can,recruitment%20and%20preventing%20costly%20delays [Accessed on: 26.04.2022]</w:t>
      </w:r>
    </w:p>
    <w:p w14:paraId="6A656250"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B47CC">
        <w:rPr>
          <w:rFonts w:ascii="Times New Roman" w:eastAsia="Times New Roman" w:hAnsi="Times New Roman" w:cs="Times New Roman"/>
          <w:sz w:val="24"/>
          <w:szCs w:val="24"/>
          <w:lang w:val="en-GB"/>
        </w:rPr>
        <w:t>Troise</w:t>
      </w:r>
      <w:proofErr w:type="spellEnd"/>
      <w:r w:rsidRPr="00AB47CC">
        <w:rPr>
          <w:rFonts w:ascii="Times New Roman" w:eastAsia="Times New Roman" w:hAnsi="Times New Roman" w:cs="Times New Roman"/>
          <w:sz w:val="24"/>
          <w:szCs w:val="24"/>
          <w:lang w:val="en-GB"/>
        </w:rPr>
        <w:t>, C. and Camilleri, M.A., 2021. The use of digital media for marketing, CSR communication and stakeholder engagement. In Strategic corporate communication in the digital age. Emerald Publishing Limited.</w:t>
      </w:r>
    </w:p>
    <w:p w14:paraId="4E7986DB"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unicef.org, 2020. </w:t>
      </w:r>
      <w:r w:rsidRPr="00AB47CC">
        <w:rPr>
          <w:rFonts w:ascii="Times New Roman" w:eastAsia="Times New Roman" w:hAnsi="Times New Roman" w:cs="Times New Roman"/>
          <w:i/>
          <w:sz w:val="24"/>
          <w:szCs w:val="24"/>
          <w:lang w:val="en-GB"/>
        </w:rPr>
        <w:t xml:space="preserve">Minimum quality standards and indicators in community engagement </w:t>
      </w:r>
      <w:r w:rsidRPr="00AB47CC">
        <w:rPr>
          <w:rFonts w:ascii="Times New Roman" w:eastAsia="Times New Roman" w:hAnsi="Times New Roman" w:cs="Times New Roman"/>
          <w:sz w:val="24"/>
          <w:szCs w:val="24"/>
          <w:lang w:val="en-GB"/>
        </w:rPr>
        <w:t>[Online] Available at: https://www.unicef.org/mena/reports/community-engagement-standards [Accessed on: 26.04.2022]</w:t>
      </w:r>
    </w:p>
    <w:p w14:paraId="273759B3" w14:textId="77777777" w:rsidR="00AB47CC" w:rsidRPr="00AB47CC" w:rsidRDefault="002C16A6" w:rsidP="00AB47CC">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Waldron III, E.J., 2018. Is there a long arc of </w:t>
      </w:r>
      <w:proofErr w:type="gramStart"/>
      <w:r w:rsidRPr="00AB47CC">
        <w:rPr>
          <w:rFonts w:ascii="Times New Roman" w:eastAsia="Times New Roman" w:hAnsi="Times New Roman" w:cs="Times New Roman"/>
          <w:sz w:val="24"/>
          <w:szCs w:val="24"/>
          <w:lang w:val="en-GB"/>
        </w:rPr>
        <w:t>leadership?:</w:t>
      </w:r>
      <w:proofErr w:type="gramEnd"/>
      <w:r w:rsidRPr="00AB47CC">
        <w:rPr>
          <w:rFonts w:ascii="Times New Roman" w:eastAsia="Times New Roman" w:hAnsi="Times New Roman" w:cs="Times New Roman"/>
          <w:sz w:val="24"/>
          <w:szCs w:val="24"/>
          <w:lang w:val="en-GB"/>
        </w:rPr>
        <w:t xml:space="preserve"> the David Mathews administration of the University of Alabama in the 1970s. The University of Alabama.</w:t>
      </w:r>
    </w:p>
    <w:p w14:paraId="1178EF36" w14:textId="77777777" w:rsidR="00546B38" w:rsidRPr="00AB47CC" w:rsidRDefault="00546B38">
      <w:pPr>
        <w:pStyle w:val="Normal1"/>
        <w:spacing w:before="240" w:after="240" w:line="360" w:lineRule="auto"/>
        <w:jc w:val="both"/>
        <w:rPr>
          <w:rFonts w:ascii="Times New Roman" w:eastAsia="Times New Roman" w:hAnsi="Times New Roman" w:cs="Times New Roman"/>
          <w:sz w:val="24"/>
          <w:szCs w:val="24"/>
          <w:lang w:val="en-GB"/>
        </w:rPr>
      </w:pPr>
    </w:p>
    <w:p w14:paraId="677DB385" w14:textId="77777777" w:rsidR="00546B38" w:rsidRPr="00AB47CC" w:rsidRDefault="002C16A6">
      <w:pPr>
        <w:pStyle w:val="Normal1"/>
        <w:spacing w:before="240" w:after="240" w:line="360" w:lineRule="auto"/>
        <w:jc w:val="both"/>
        <w:rPr>
          <w:rFonts w:ascii="Times New Roman" w:eastAsia="Times New Roman" w:hAnsi="Times New Roman" w:cs="Times New Roman"/>
          <w:sz w:val="24"/>
          <w:szCs w:val="24"/>
          <w:lang w:val="en-GB"/>
        </w:rPr>
      </w:pPr>
      <w:r w:rsidRPr="00AB47CC">
        <w:rPr>
          <w:rFonts w:ascii="Times New Roman" w:eastAsia="Times New Roman" w:hAnsi="Times New Roman" w:cs="Times New Roman"/>
          <w:sz w:val="24"/>
          <w:szCs w:val="24"/>
          <w:lang w:val="en-GB"/>
        </w:rPr>
        <w:t xml:space="preserve"> </w:t>
      </w:r>
    </w:p>
    <w:p w14:paraId="5C5CEB67" w14:textId="77777777" w:rsidR="00546B38" w:rsidRPr="00AB47CC" w:rsidRDefault="002C16A6" w:rsidP="00AB47CC">
      <w:pPr>
        <w:pStyle w:val="Normal1"/>
        <w:spacing w:before="240" w:after="240" w:line="360" w:lineRule="auto"/>
        <w:jc w:val="both"/>
        <w:rPr>
          <w:rFonts w:ascii="Times New Roman" w:eastAsia="Times New Roman" w:hAnsi="Times New Roman" w:cs="Times New Roman"/>
          <w:b/>
          <w:sz w:val="24"/>
          <w:szCs w:val="24"/>
          <w:lang w:val="en-GB"/>
        </w:rPr>
      </w:pPr>
      <w:r w:rsidRPr="00AB47CC">
        <w:rPr>
          <w:rFonts w:ascii="Times New Roman" w:eastAsia="Times New Roman" w:hAnsi="Times New Roman" w:cs="Times New Roman"/>
          <w:b/>
          <w:sz w:val="24"/>
          <w:szCs w:val="24"/>
          <w:lang w:val="en-GB"/>
        </w:rPr>
        <w:t xml:space="preserve"> </w:t>
      </w:r>
    </w:p>
    <w:sectPr w:rsidR="00546B38" w:rsidRPr="00AB47CC" w:rsidSect="00546B38">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415FE" w14:textId="77777777" w:rsidR="00190D45" w:rsidRDefault="00190D45" w:rsidP="0070764F">
      <w:pPr>
        <w:spacing w:line="240" w:lineRule="auto"/>
      </w:pPr>
      <w:r>
        <w:separator/>
      </w:r>
    </w:p>
  </w:endnote>
  <w:endnote w:type="continuationSeparator" w:id="0">
    <w:p w14:paraId="0DE4EA81" w14:textId="77777777" w:rsidR="00190D45" w:rsidRDefault="00190D45" w:rsidP="00707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8297"/>
      <w:docPartObj>
        <w:docPartGallery w:val="Page Numbers (Bottom of Page)"/>
        <w:docPartUnique/>
      </w:docPartObj>
    </w:sdtPr>
    <w:sdtEndPr/>
    <w:sdtContent>
      <w:p w14:paraId="5400DABF" w14:textId="77777777" w:rsidR="00AB47CC" w:rsidRDefault="0070764F">
        <w:pPr>
          <w:pStyle w:val="Footer"/>
          <w:jc w:val="right"/>
        </w:pPr>
        <w:r w:rsidRPr="00AB47CC">
          <w:rPr>
            <w:rFonts w:ascii="Times New Roman" w:hAnsi="Times New Roman" w:cs="Times New Roman"/>
            <w:sz w:val="24"/>
            <w:szCs w:val="24"/>
          </w:rPr>
          <w:fldChar w:fldCharType="begin"/>
        </w:r>
        <w:r w:rsidR="002C16A6" w:rsidRPr="00AB47CC">
          <w:rPr>
            <w:rFonts w:ascii="Times New Roman" w:hAnsi="Times New Roman" w:cs="Times New Roman"/>
            <w:sz w:val="24"/>
            <w:szCs w:val="24"/>
          </w:rPr>
          <w:instrText xml:space="preserve"> PAGE   \* MERGEFORMAT </w:instrText>
        </w:r>
        <w:r w:rsidRPr="00AB47CC">
          <w:rPr>
            <w:rFonts w:ascii="Times New Roman" w:hAnsi="Times New Roman" w:cs="Times New Roman"/>
            <w:sz w:val="24"/>
            <w:szCs w:val="24"/>
          </w:rPr>
          <w:fldChar w:fldCharType="separate"/>
        </w:r>
        <w:r w:rsidR="00F40742">
          <w:rPr>
            <w:rFonts w:ascii="Times New Roman" w:hAnsi="Times New Roman" w:cs="Times New Roman"/>
            <w:noProof/>
            <w:sz w:val="24"/>
            <w:szCs w:val="24"/>
          </w:rPr>
          <w:t>11</w:t>
        </w:r>
        <w:r w:rsidRPr="00AB47CC">
          <w:rPr>
            <w:rFonts w:ascii="Times New Roman" w:hAnsi="Times New Roman" w:cs="Times New Roman"/>
            <w:sz w:val="24"/>
            <w:szCs w:val="24"/>
          </w:rPr>
          <w:fldChar w:fldCharType="end"/>
        </w:r>
      </w:p>
    </w:sdtContent>
  </w:sdt>
  <w:p w14:paraId="3FD4A768" w14:textId="77777777" w:rsidR="00AB47CC" w:rsidRDefault="00AB4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D829B" w14:textId="77777777" w:rsidR="00190D45" w:rsidRDefault="00190D45" w:rsidP="0070764F">
      <w:pPr>
        <w:spacing w:line="240" w:lineRule="auto"/>
      </w:pPr>
      <w:r>
        <w:separator/>
      </w:r>
    </w:p>
  </w:footnote>
  <w:footnote w:type="continuationSeparator" w:id="0">
    <w:p w14:paraId="534E9726" w14:textId="77777777" w:rsidR="00190D45" w:rsidRDefault="00190D45" w:rsidP="007076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18D70" w14:textId="288E15BF" w:rsidR="009C0943" w:rsidRDefault="009C0943" w:rsidP="009C0943">
    <w:pPr>
      <w:pStyle w:val="Header"/>
      <w:jc w:val="right"/>
      <w:rPr>
        <w:lang w:val="en-GB"/>
      </w:rPr>
    </w:pPr>
    <w:r>
      <w:rPr>
        <w:lang w:val="en-GB"/>
      </w:rPr>
      <w:t>Student ID: 1921883</w:t>
    </w:r>
  </w:p>
  <w:p w14:paraId="6DE511E8" w14:textId="77777777" w:rsidR="009C0943" w:rsidRPr="009C0943" w:rsidRDefault="009C0943" w:rsidP="009C0943">
    <w:pPr>
      <w:pStyle w:val="Heade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DD492D"/>
    <w:multiLevelType w:val="multilevel"/>
    <w:tmpl w:val="85FA3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9C666D"/>
    <w:multiLevelType w:val="hybridMultilevel"/>
    <w:tmpl w:val="61321FEE"/>
    <w:lvl w:ilvl="0" w:tplc="243A4C52">
      <w:start w:val="1"/>
      <w:numFmt w:val="decimal"/>
      <w:lvlText w:val="%1."/>
      <w:lvlJc w:val="left"/>
      <w:pPr>
        <w:ind w:left="720" w:hanging="360"/>
      </w:pPr>
    </w:lvl>
    <w:lvl w:ilvl="1" w:tplc="5FAE0010" w:tentative="1">
      <w:start w:val="1"/>
      <w:numFmt w:val="lowerLetter"/>
      <w:lvlText w:val="%2."/>
      <w:lvlJc w:val="left"/>
      <w:pPr>
        <w:ind w:left="1440" w:hanging="360"/>
      </w:pPr>
    </w:lvl>
    <w:lvl w:ilvl="2" w:tplc="A4885F5E" w:tentative="1">
      <w:start w:val="1"/>
      <w:numFmt w:val="lowerRoman"/>
      <w:lvlText w:val="%3."/>
      <w:lvlJc w:val="right"/>
      <w:pPr>
        <w:ind w:left="2160" w:hanging="180"/>
      </w:pPr>
    </w:lvl>
    <w:lvl w:ilvl="3" w:tplc="F9502010" w:tentative="1">
      <w:start w:val="1"/>
      <w:numFmt w:val="decimal"/>
      <w:lvlText w:val="%4."/>
      <w:lvlJc w:val="left"/>
      <w:pPr>
        <w:ind w:left="2880" w:hanging="360"/>
      </w:pPr>
    </w:lvl>
    <w:lvl w:ilvl="4" w:tplc="8B12B2FE" w:tentative="1">
      <w:start w:val="1"/>
      <w:numFmt w:val="lowerLetter"/>
      <w:lvlText w:val="%5."/>
      <w:lvlJc w:val="left"/>
      <w:pPr>
        <w:ind w:left="3600" w:hanging="360"/>
      </w:pPr>
    </w:lvl>
    <w:lvl w:ilvl="5" w:tplc="6DAA7E24" w:tentative="1">
      <w:start w:val="1"/>
      <w:numFmt w:val="lowerRoman"/>
      <w:lvlText w:val="%6."/>
      <w:lvlJc w:val="right"/>
      <w:pPr>
        <w:ind w:left="4320" w:hanging="180"/>
      </w:pPr>
    </w:lvl>
    <w:lvl w:ilvl="6" w:tplc="A47C93C0" w:tentative="1">
      <w:start w:val="1"/>
      <w:numFmt w:val="decimal"/>
      <w:lvlText w:val="%7."/>
      <w:lvlJc w:val="left"/>
      <w:pPr>
        <w:ind w:left="5040" w:hanging="360"/>
      </w:pPr>
    </w:lvl>
    <w:lvl w:ilvl="7" w:tplc="AE047286" w:tentative="1">
      <w:start w:val="1"/>
      <w:numFmt w:val="lowerLetter"/>
      <w:lvlText w:val="%8."/>
      <w:lvlJc w:val="left"/>
      <w:pPr>
        <w:ind w:left="5760" w:hanging="360"/>
      </w:pPr>
    </w:lvl>
    <w:lvl w:ilvl="8" w:tplc="09FA361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6B38"/>
    <w:rsid w:val="00190D45"/>
    <w:rsid w:val="00222C36"/>
    <w:rsid w:val="002C16A6"/>
    <w:rsid w:val="00345004"/>
    <w:rsid w:val="00546B38"/>
    <w:rsid w:val="0070764F"/>
    <w:rsid w:val="009C0943"/>
    <w:rsid w:val="00A835E0"/>
    <w:rsid w:val="00AB47CC"/>
    <w:rsid w:val="00F40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D873A"/>
  <w15:docId w15:val="{4F601875-96C5-4449-BCDA-676087D3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64F"/>
  </w:style>
  <w:style w:type="paragraph" w:styleId="Heading1">
    <w:name w:val="heading 1"/>
    <w:basedOn w:val="Normal1"/>
    <w:next w:val="Normal1"/>
    <w:rsid w:val="00AB47C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546B38"/>
    <w:pPr>
      <w:keepNext/>
      <w:keepLines/>
      <w:spacing w:before="360" w:after="120"/>
      <w:outlineLvl w:val="1"/>
    </w:pPr>
    <w:rPr>
      <w:sz w:val="32"/>
      <w:szCs w:val="32"/>
    </w:rPr>
  </w:style>
  <w:style w:type="paragraph" w:styleId="Heading3">
    <w:name w:val="heading 3"/>
    <w:basedOn w:val="Normal1"/>
    <w:next w:val="Normal1"/>
    <w:rsid w:val="00546B38"/>
    <w:pPr>
      <w:keepNext/>
      <w:keepLines/>
      <w:spacing w:before="320" w:after="80"/>
      <w:outlineLvl w:val="2"/>
    </w:pPr>
    <w:rPr>
      <w:color w:val="434343"/>
      <w:sz w:val="28"/>
      <w:szCs w:val="28"/>
    </w:rPr>
  </w:style>
  <w:style w:type="paragraph" w:styleId="Heading4">
    <w:name w:val="heading 4"/>
    <w:basedOn w:val="Normal1"/>
    <w:next w:val="Normal1"/>
    <w:rsid w:val="00546B38"/>
    <w:pPr>
      <w:keepNext/>
      <w:keepLines/>
      <w:spacing w:before="280" w:after="80"/>
      <w:outlineLvl w:val="3"/>
    </w:pPr>
    <w:rPr>
      <w:color w:val="666666"/>
      <w:sz w:val="24"/>
      <w:szCs w:val="24"/>
    </w:rPr>
  </w:style>
  <w:style w:type="paragraph" w:styleId="Heading5">
    <w:name w:val="heading 5"/>
    <w:basedOn w:val="Normal1"/>
    <w:next w:val="Normal1"/>
    <w:rsid w:val="00546B38"/>
    <w:pPr>
      <w:keepNext/>
      <w:keepLines/>
      <w:spacing w:before="240" w:after="80"/>
      <w:outlineLvl w:val="4"/>
    </w:pPr>
    <w:rPr>
      <w:color w:val="666666"/>
    </w:rPr>
  </w:style>
  <w:style w:type="paragraph" w:styleId="Heading6">
    <w:name w:val="heading 6"/>
    <w:basedOn w:val="Normal1"/>
    <w:next w:val="Normal1"/>
    <w:rsid w:val="00546B3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46B38"/>
  </w:style>
  <w:style w:type="paragraph" w:styleId="Title">
    <w:name w:val="Title"/>
    <w:basedOn w:val="Normal1"/>
    <w:next w:val="Normal1"/>
    <w:rsid w:val="00AB47CC"/>
    <w:pPr>
      <w:keepNext/>
      <w:keepLines/>
      <w:spacing w:after="60" w:line="360" w:lineRule="auto"/>
      <w:jc w:val="center"/>
    </w:pPr>
    <w:rPr>
      <w:rFonts w:ascii="Times New Roman" w:hAnsi="Times New Roman"/>
      <w:b/>
      <w:sz w:val="32"/>
      <w:szCs w:val="52"/>
    </w:rPr>
  </w:style>
  <w:style w:type="paragraph" w:styleId="Subtitle">
    <w:name w:val="Subtitle"/>
    <w:basedOn w:val="Normal1"/>
    <w:next w:val="Normal1"/>
    <w:rsid w:val="00546B38"/>
    <w:pPr>
      <w:keepNext/>
      <w:keepLines/>
      <w:spacing w:after="320"/>
    </w:pPr>
    <w:rPr>
      <w:color w:val="666666"/>
      <w:sz w:val="30"/>
      <w:szCs w:val="30"/>
    </w:rPr>
  </w:style>
  <w:style w:type="paragraph" w:styleId="Header">
    <w:name w:val="header"/>
    <w:basedOn w:val="Normal"/>
    <w:link w:val="HeaderChar"/>
    <w:uiPriority w:val="99"/>
    <w:unhideWhenUsed/>
    <w:rsid w:val="00AB47CC"/>
    <w:pPr>
      <w:tabs>
        <w:tab w:val="center" w:pos="4680"/>
        <w:tab w:val="right" w:pos="9360"/>
      </w:tabs>
      <w:spacing w:line="240" w:lineRule="auto"/>
    </w:pPr>
  </w:style>
  <w:style w:type="character" w:customStyle="1" w:styleId="HeaderChar">
    <w:name w:val="Header Char"/>
    <w:basedOn w:val="DefaultParagraphFont"/>
    <w:link w:val="Header"/>
    <w:uiPriority w:val="99"/>
    <w:rsid w:val="00AB47CC"/>
  </w:style>
  <w:style w:type="paragraph" w:styleId="Footer">
    <w:name w:val="footer"/>
    <w:basedOn w:val="Normal"/>
    <w:link w:val="FooterChar"/>
    <w:uiPriority w:val="99"/>
    <w:unhideWhenUsed/>
    <w:rsid w:val="00AB47CC"/>
    <w:pPr>
      <w:tabs>
        <w:tab w:val="center" w:pos="4680"/>
        <w:tab w:val="right" w:pos="9360"/>
      </w:tabs>
      <w:spacing w:line="240" w:lineRule="auto"/>
    </w:pPr>
  </w:style>
  <w:style w:type="character" w:customStyle="1" w:styleId="FooterChar">
    <w:name w:val="Footer Char"/>
    <w:basedOn w:val="DefaultParagraphFont"/>
    <w:link w:val="Footer"/>
    <w:uiPriority w:val="99"/>
    <w:rsid w:val="00AB47CC"/>
  </w:style>
  <w:style w:type="paragraph" w:styleId="TOCHeading">
    <w:name w:val="TOC Heading"/>
    <w:basedOn w:val="Heading1"/>
    <w:next w:val="Normal"/>
    <w:uiPriority w:val="39"/>
    <w:semiHidden/>
    <w:unhideWhenUsed/>
    <w:qFormat/>
    <w:rsid w:val="00AB47C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B47CC"/>
    <w:pPr>
      <w:spacing w:after="100"/>
    </w:pPr>
  </w:style>
  <w:style w:type="character" w:styleId="Hyperlink">
    <w:name w:val="Hyperlink"/>
    <w:basedOn w:val="DefaultParagraphFont"/>
    <w:uiPriority w:val="99"/>
    <w:unhideWhenUsed/>
    <w:rsid w:val="00AB47CC"/>
    <w:rPr>
      <w:color w:val="0000FF" w:themeColor="hyperlink"/>
      <w:u w:val="single"/>
    </w:rPr>
  </w:style>
  <w:style w:type="paragraph" w:styleId="BalloonText">
    <w:name w:val="Balloon Text"/>
    <w:basedOn w:val="Normal"/>
    <w:link w:val="BalloonTextChar"/>
    <w:uiPriority w:val="99"/>
    <w:semiHidden/>
    <w:unhideWhenUsed/>
    <w:rsid w:val="00AB47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7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723B5-C032-B54B-AD34-5919B23E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2883</Words>
  <Characters>16436</Characters>
  <Application>Microsoft Office Word</Application>
  <DocSecurity>0</DocSecurity>
  <Lines>136</Lines>
  <Paragraphs>38</Paragraphs>
  <ScaleCrop>false</ScaleCrop>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Narcisa</cp:lastModifiedBy>
  <cp:revision>6</cp:revision>
  <dcterms:created xsi:type="dcterms:W3CDTF">2022-04-26T13:07:00Z</dcterms:created>
  <dcterms:modified xsi:type="dcterms:W3CDTF">2022-04-29T14:49:00Z</dcterms:modified>
</cp:coreProperties>
</file>