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637511" w14:textId="77777777" w:rsidR="006E095E" w:rsidRPr="00EB695F" w:rsidRDefault="006E095E" w:rsidP="006E095E">
      <w:pPr>
        <w:jc w:val="both"/>
        <w:rPr>
          <w:b/>
          <w:sz w:val="24"/>
          <w:szCs w:val="24"/>
        </w:rPr>
      </w:pPr>
      <w:r w:rsidRPr="00EB695F">
        <w:rPr>
          <w:b/>
          <w:sz w:val="24"/>
          <w:szCs w:val="24"/>
        </w:rPr>
        <w:t>Question</w:t>
      </w:r>
      <w:r>
        <w:rPr>
          <w:b/>
          <w:sz w:val="24"/>
          <w:szCs w:val="24"/>
        </w:rPr>
        <w:t xml:space="preserve"> a:</w:t>
      </w:r>
    </w:p>
    <w:p w14:paraId="6D8F06B5" w14:textId="77777777" w:rsidR="006E095E" w:rsidRPr="00BE535C" w:rsidRDefault="006E095E" w:rsidP="006E095E">
      <w:pPr>
        <w:spacing w:line="360" w:lineRule="auto"/>
        <w:jc w:val="both"/>
        <w:rPr>
          <w:sz w:val="24"/>
          <w:szCs w:val="24"/>
        </w:rPr>
      </w:pPr>
      <w:r w:rsidRPr="00BE535C">
        <w:rPr>
          <w:sz w:val="24"/>
          <w:szCs w:val="24"/>
        </w:rPr>
        <w:t xml:space="preserve">In an area </w:t>
      </w:r>
      <w:r w:rsidRPr="00BE535C">
        <w:rPr>
          <w:b/>
          <w:sz w:val="24"/>
          <w:szCs w:val="24"/>
        </w:rPr>
        <w:t xml:space="preserve">that is not your </w:t>
      </w:r>
      <w:proofErr w:type="gramStart"/>
      <w:r w:rsidRPr="00BE535C">
        <w:rPr>
          <w:b/>
          <w:sz w:val="24"/>
          <w:szCs w:val="24"/>
        </w:rPr>
        <w:t>main focus</w:t>
      </w:r>
      <w:proofErr w:type="gramEnd"/>
      <w:r w:rsidRPr="00BE535C">
        <w:rPr>
          <w:b/>
          <w:sz w:val="24"/>
          <w:szCs w:val="24"/>
        </w:rPr>
        <w:t xml:space="preserve"> of work </w:t>
      </w:r>
      <w:r w:rsidRPr="00BE535C">
        <w:rPr>
          <w:sz w:val="24"/>
          <w:szCs w:val="24"/>
        </w:rPr>
        <w:t xml:space="preserve">(see guidance above), explain the relevant legislation, and the national, local and organisational policies and procedures for safeguarding. </w:t>
      </w:r>
    </w:p>
    <w:p w14:paraId="23013F6C" w14:textId="77777777" w:rsidR="006E095E" w:rsidRPr="00BE535C" w:rsidRDefault="006E095E" w:rsidP="006E095E">
      <w:pPr>
        <w:spacing w:line="360" w:lineRule="auto"/>
        <w:jc w:val="both"/>
        <w:rPr>
          <w:sz w:val="24"/>
          <w:szCs w:val="24"/>
        </w:rPr>
      </w:pPr>
      <w:r w:rsidRPr="00BE535C">
        <w:rPr>
          <w:sz w:val="24"/>
          <w:szCs w:val="24"/>
        </w:rPr>
        <w:t>(500 words +/-10%).</w:t>
      </w:r>
    </w:p>
    <w:p w14:paraId="01EADAD8" w14:textId="77777777" w:rsidR="006E095E" w:rsidRPr="00BE535C" w:rsidRDefault="006E095E" w:rsidP="006E095E">
      <w:pPr>
        <w:spacing w:line="360" w:lineRule="auto"/>
        <w:jc w:val="both"/>
        <w:rPr>
          <w:sz w:val="24"/>
          <w:szCs w:val="24"/>
        </w:rPr>
      </w:pPr>
    </w:p>
    <w:p w14:paraId="29DA4452" w14:textId="77777777" w:rsidR="006E095E" w:rsidRDefault="006E095E" w:rsidP="006E095E">
      <w:pPr>
        <w:spacing w:line="360" w:lineRule="auto"/>
        <w:rPr>
          <w:sz w:val="24"/>
          <w:szCs w:val="24"/>
        </w:rPr>
      </w:pPr>
      <w:r w:rsidRPr="00BE535C">
        <w:rPr>
          <w:sz w:val="24"/>
          <w:szCs w:val="24"/>
        </w:rPr>
        <w:t>Safeguarding adults at risk is a statutory responsibility for social workers in Wales, which is governed primarily by the Social Services and Well-being (Wales) Act 2014 (SSWBA). This legislation defines an “adult at risk” as someone who is 18 or over, experiencing or at risk of abuse or neglect, who has care and support needs and is someone who cannot protect themselves (Welsh Government, 2016). The Act places a legal duty on local authorities to investigate if there is reasonable belief that an adult or child is at risk, and to take appropriate action to protect them.</w:t>
      </w:r>
    </w:p>
    <w:p w14:paraId="357BCBF1" w14:textId="77777777" w:rsidR="006E095E" w:rsidRPr="00BE535C" w:rsidRDefault="006E095E" w:rsidP="006E095E">
      <w:pPr>
        <w:spacing w:line="360" w:lineRule="auto"/>
        <w:rPr>
          <w:sz w:val="24"/>
          <w:szCs w:val="24"/>
        </w:rPr>
      </w:pPr>
    </w:p>
    <w:p w14:paraId="694BB856" w14:textId="77777777" w:rsidR="006E095E" w:rsidRDefault="006E095E" w:rsidP="006E095E">
      <w:pPr>
        <w:spacing w:line="360" w:lineRule="auto"/>
        <w:jc w:val="both"/>
        <w:rPr>
          <w:sz w:val="24"/>
          <w:szCs w:val="24"/>
        </w:rPr>
      </w:pPr>
      <w:r w:rsidRPr="00BE535C">
        <w:rPr>
          <w:sz w:val="24"/>
          <w:szCs w:val="24"/>
        </w:rPr>
        <w:t xml:space="preserve">The Wales Safeguarding Procedures provides consistent frameworks for all practitioners and is relevant to both adults and children who are at risk of abuse and neglect. These procedures outline the steps for reporting concerns, conducting enquiries, and coordinating multi-agency responses (Wales Safeguarding Procedures Project Board, 2019). In line with the principles of the SSWBA and the need to protect adults at risk, the Welsh Government have released statutory safeguarding guidance, ‘Working Together to Safeguard People’ (The Welsh Government, 2019).  </w:t>
      </w:r>
    </w:p>
    <w:p w14:paraId="18EBA8A4" w14:textId="77777777" w:rsidR="006E095E" w:rsidRPr="00BE535C" w:rsidRDefault="006E095E" w:rsidP="006E095E">
      <w:pPr>
        <w:spacing w:line="360" w:lineRule="auto"/>
        <w:jc w:val="both"/>
        <w:rPr>
          <w:sz w:val="24"/>
          <w:szCs w:val="24"/>
        </w:rPr>
      </w:pPr>
    </w:p>
    <w:p w14:paraId="23B1568C" w14:textId="77777777" w:rsidR="006E095E" w:rsidRDefault="006E095E" w:rsidP="006E095E">
      <w:pPr>
        <w:spacing w:line="360" w:lineRule="auto"/>
        <w:jc w:val="both"/>
        <w:rPr>
          <w:sz w:val="24"/>
          <w:szCs w:val="24"/>
        </w:rPr>
      </w:pPr>
      <w:r w:rsidRPr="00BE535C">
        <w:rPr>
          <w:sz w:val="24"/>
          <w:szCs w:val="24"/>
        </w:rPr>
        <w:t>Nationally, the Mental Capacity Act 2005 and the Human Rights Act 1998 are key legislative frameworks that underpin safeguarding adults. Local authorities and organisations are required to develop safeguarding procedures that align with these national standards (Care Quality Commission, 2023).</w:t>
      </w:r>
    </w:p>
    <w:p w14:paraId="655210D3" w14:textId="77777777" w:rsidR="006E095E" w:rsidRPr="00BE535C" w:rsidRDefault="006E095E" w:rsidP="006E095E">
      <w:pPr>
        <w:spacing w:line="360" w:lineRule="auto"/>
        <w:jc w:val="both"/>
        <w:rPr>
          <w:sz w:val="24"/>
          <w:szCs w:val="24"/>
        </w:rPr>
      </w:pPr>
    </w:p>
    <w:p w14:paraId="185C51EF" w14:textId="77777777" w:rsidR="006E095E" w:rsidRDefault="006E095E" w:rsidP="006E095E">
      <w:pPr>
        <w:spacing w:line="360" w:lineRule="auto"/>
        <w:jc w:val="both"/>
        <w:rPr>
          <w:sz w:val="24"/>
          <w:szCs w:val="24"/>
        </w:rPr>
      </w:pPr>
      <w:r w:rsidRPr="00BE535C">
        <w:rPr>
          <w:sz w:val="24"/>
          <w:szCs w:val="24"/>
        </w:rPr>
        <w:t>The Mental Capacity Act 2005 is essential in adult safeguarding for social workers. It provides a legal framework to support individuals in making their own decisions and protects those who lack capacity by ensuring decisions are made in their best interests (Mental Capacity Act, 2005). This legislation promotes autonomy, dignity, and safety, and guides professionals in assessing capacity and acting lawfully (Social Care Institute for Excellence, 2022).</w:t>
      </w:r>
    </w:p>
    <w:p w14:paraId="28C00B27" w14:textId="77777777" w:rsidR="006E095E" w:rsidRPr="00BE535C" w:rsidRDefault="006E095E" w:rsidP="006E095E">
      <w:pPr>
        <w:spacing w:line="360" w:lineRule="auto"/>
        <w:jc w:val="both"/>
        <w:rPr>
          <w:sz w:val="24"/>
          <w:szCs w:val="24"/>
        </w:rPr>
      </w:pPr>
    </w:p>
    <w:p w14:paraId="6A789C06" w14:textId="77777777" w:rsidR="006E095E" w:rsidRDefault="006E095E" w:rsidP="006E095E">
      <w:pPr>
        <w:spacing w:line="360" w:lineRule="auto"/>
        <w:jc w:val="both"/>
        <w:rPr>
          <w:sz w:val="24"/>
          <w:szCs w:val="24"/>
        </w:rPr>
      </w:pPr>
      <w:r w:rsidRPr="00BE535C">
        <w:rPr>
          <w:sz w:val="24"/>
          <w:szCs w:val="24"/>
        </w:rPr>
        <w:lastRenderedPageBreak/>
        <w:t>The Human Rights Act 1998 is key to safeguarding adults, as it includes rights from the European Convention on Human Rights into UK law. For social workers, it provides a legal basis to protect individuals from abuse, neglect, and degrading or inhuman treatment. It also ensures respect for autonomy, privacy, and dignity, and guides ethical and lawful practice (Human Rights Act, 1998).</w:t>
      </w:r>
    </w:p>
    <w:p w14:paraId="30068F9C" w14:textId="77777777" w:rsidR="006E095E" w:rsidRPr="00BE535C" w:rsidRDefault="006E095E" w:rsidP="006E095E">
      <w:pPr>
        <w:spacing w:line="360" w:lineRule="auto"/>
        <w:jc w:val="both"/>
        <w:rPr>
          <w:sz w:val="24"/>
          <w:szCs w:val="24"/>
        </w:rPr>
      </w:pPr>
    </w:p>
    <w:p w14:paraId="06C03010" w14:textId="77777777" w:rsidR="006E095E" w:rsidRDefault="006E095E" w:rsidP="006E095E">
      <w:pPr>
        <w:spacing w:line="360" w:lineRule="auto"/>
        <w:jc w:val="both"/>
        <w:rPr>
          <w:sz w:val="24"/>
          <w:szCs w:val="24"/>
        </w:rPr>
      </w:pPr>
      <w:r w:rsidRPr="00BE535C">
        <w:rPr>
          <w:sz w:val="24"/>
          <w:szCs w:val="24"/>
        </w:rPr>
        <w:t>Local authorities in Wales have developed safeguarding protocols that are aligned with national guidance. These include referral pathways, safeguarding teams, and multi-agency panels. Social workers play a crucial role in safeguarding, with responsibilities including identifying risk, conducting assessments, coordinating interventions, and advocating for the adult’s rights and preferences (National Independent Safeguarding Board Wales, 2022).</w:t>
      </w:r>
    </w:p>
    <w:p w14:paraId="160087DE" w14:textId="77777777" w:rsidR="006E095E" w:rsidRPr="00BE535C" w:rsidRDefault="006E095E" w:rsidP="006E095E">
      <w:pPr>
        <w:spacing w:line="360" w:lineRule="auto"/>
        <w:jc w:val="both"/>
        <w:rPr>
          <w:sz w:val="24"/>
          <w:szCs w:val="24"/>
        </w:rPr>
      </w:pPr>
    </w:p>
    <w:p w14:paraId="2D691003" w14:textId="77777777" w:rsidR="006E095E" w:rsidRDefault="006E095E" w:rsidP="006E095E">
      <w:pPr>
        <w:spacing w:line="360" w:lineRule="auto"/>
        <w:rPr>
          <w:sz w:val="24"/>
          <w:szCs w:val="24"/>
        </w:rPr>
      </w:pPr>
      <w:r w:rsidRPr="00BE535C">
        <w:rPr>
          <w:sz w:val="24"/>
          <w:szCs w:val="24"/>
        </w:rPr>
        <w:t>Adults may be identified as at risk due to factors such as physical or cognitive impairments, substance misuse, mental health conditions, social isolation, or dependency on others for care (Welsh Government, 2014). These vulnerabilities increase the likelihood of exploitation, neglect, or abuse. Indicators of harm include unexplained injuries, sudden changes in behaviours, poor hygiene, financial discrepancies, and withdrawal from social activities. Emotional signs such as fearfulness, anxiety, or depression may also be a sign of abuse (Care Inspectorate Wales, 2023).</w:t>
      </w:r>
    </w:p>
    <w:p w14:paraId="32981E0E" w14:textId="77777777" w:rsidR="006E095E" w:rsidRPr="00BE535C" w:rsidRDefault="006E095E" w:rsidP="006E095E">
      <w:pPr>
        <w:spacing w:line="360" w:lineRule="auto"/>
        <w:rPr>
          <w:sz w:val="24"/>
          <w:szCs w:val="24"/>
        </w:rPr>
      </w:pPr>
    </w:p>
    <w:p w14:paraId="10C5C632" w14:textId="77777777" w:rsidR="006E095E" w:rsidRPr="00BE535C" w:rsidRDefault="006E095E" w:rsidP="006E095E">
      <w:pPr>
        <w:spacing w:line="360" w:lineRule="auto"/>
        <w:rPr>
          <w:sz w:val="24"/>
          <w:szCs w:val="24"/>
        </w:rPr>
      </w:pPr>
      <w:r w:rsidRPr="00BE535C">
        <w:rPr>
          <w:sz w:val="24"/>
          <w:szCs w:val="24"/>
        </w:rPr>
        <w:t>Establishing the preferred outcomes of safeguarding interventions is essential. Adults and their carers must be involved in this to ensure it supports their values, needs, and goals. This promotes dignity, autonomy, and trust in the safeguarding process (National Independent Safeguarding Board Wales, 2022). For carers and families, understanding and addressing their support needs can prevent further harm and encourage resilience.</w:t>
      </w:r>
    </w:p>
    <w:p w14:paraId="0E512E1B" w14:textId="77777777" w:rsidR="006E095E" w:rsidRDefault="006E095E" w:rsidP="006E095E">
      <w:pPr>
        <w:spacing w:line="360" w:lineRule="auto"/>
        <w:rPr>
          <w:sz w:val="24"/>
          <w:szCs w:val="24"/>
        </w:rPr>
      </w:pPr>
    </w:p>
    <w:p w14:paraId="5B626F4A" w14:textId="77777777" w:rsidR="006E095E" w:rsidRPr="00BE535C" w:rsidRDefault="006E095E" w:rsidP="006E095E">
      <w:pPr>
        <w:spacing w:line="360" w:lineRule="auto"/>
        <w:rPr>
          <w:sz w:val="24"/>
          <w:szCs w:val="24"/>
        </w:rPr>
      </w:pPr>
      <w:r w:rsidRPr="00BE535C">
        <w:rPr>
          <w:sz w:val="24"/>
          <w:szCs w:val="24"/>
        </w:rPr>
        <w:t>(Word count – 525)</w:t>
      </w:r>
    </w:p>
    <w:p w14:paraId="063D0C45" w14:textId="77777777" w:rsidR="007D5050" w:rsidRDefault="007D5050"/>
    <w:p w14:paraId="3F2F70F0" w14:textId="77777777" w:rsidR="006E095E" w:rsidRDefault="006E095E"/>
    <w:p w14:paraId="310F6DF6" w14:textId="77777777" w:rsidR="006E095E" w:rsidRDefault="006E095E" w:rsidP="006E095E">
      <w:pPr>
        <w:jc w:val="both"/>
        <w:rPr>
          <w:b/>
          <w:sz w:val="24"/>
          <w:szCs w:val="24"/>
        </w:rPr>
      </w:pPr>
    </w:p>
    <w:p w14:paraId="19E6874A" w14:textId="77777777" w:rsidR="006E095E" w:rsidRDefault="006E095E" w:rsidP="006E095E">
      <w:pPr>
        <w:jc w:val="both"/>
        <w:rPr>
          <w:b/>
          <w:sz w:val="24"/>
          <w:szCs w:val="24"/>
        </w:rPr>
      </w:pPr>
    </w:p>
    <w:p w14:paraId="3D3D66E3" w14:textId="77777777" w:rsidR="006E095E" w:rsidRDefault="006E095E" w:rsidP="006E095E">
      <w:pPr>
        <w:jc w:val="both"/>
        <w:rPr>
          <w:b/>
          <w:sz w:val="24"/>
          <w:szCs w:val="24"/>
        </w:rPr>
      </w:pPr>
    </w:p>
    <w:p w14:paraId="25E51D80" w14:textId="3BE0E1A6" w:rsidR="006E095E" w:rsidRPr="00EB695F" w:rsidRDefault="006E095E" w:rsidP="006E095E">
      <w:pPr>
        <w:jc w:val="both"/>
        <w:rPr>
          <w:b/>
          <w:sz w:val="24"/>
          <w:szCs w:val="24"/>
        </w:rPr>
      </w:pPr>
      <w:r w:rsidRPr="00EB695F">
        <w:rPr>
          <w:b/>
          <w:sz w:val="24"/>
          <w:szCs w:val="24"/>
        </w:rPr>
        <w:lastRenderedPageBreak/>
        <w:t>Question</w:t>
      </w:r>
      <w:r>
        <w:rPr>
          <w:b/>
          <w:sz w:val="24"/>
          <w:szCs w:val="24"/>
        </w:rPr>
        <w:t xml:space="preserve"> b</w:t>
      </w:r>
      <w:r w:rsidRPr="00EB695F">
        <w:rPr>
          <w:b/>
          <w:sz w:val="24"/>
          <w:szCs w:val="24"/>
        </w:rPr>
        <w:t>:</w:t>
      </w:r>
    </w:p>
    <w:p w14:paraId="61A98FD7" w14:textId="77777777" w:rsidR="006E095E" w:rsidRDefault="006E095E" w:rsidP="006E095E">
      <w:pPr>
        <w:spacing w:line="276" w:lineRule="auto"/>
        <w:rPr>
          <w:sz w:val="24"/>
          <w:szCs w:val="24"/>
        </w:rPr>
      </w:pPr>
      <w:r w:rsidRPr="00BE5BAD">
        <w:rPr>
          <w:sz w:val="24"/>
          <w:szCs w:val="24"/>
        </w:rPr>
        <w:t xml:space="preserve">Reflect on the difference between safeguarding in adults’ and children’s work (400 words +/-10%). </w:t>
      </w:r>
    </w:p>
    <w:p w14:paraId="41000ADD" w14:textId="77777777" w:rsidR="006E095E" w:rsidRDefault="006E095E" w:rsidP="006E095E">
      <w:pPr>
        <w:jc w:val="both"/>
        <w:rPr>
          <w:sz w:val="24"/>
          <w:szCs w:val="24"/>
        </w:rPr>
      </w:pPr>
    </w:p>
    <w:p w14:paraId="39AD9F5F" w14:textId="77777777" w:rsidR="006E095E" w:rsidRDefault="006E095E" w:rsidP="006E095E">
      <w:pPr>
        <w:spacing w:line="360" w:lineRule="auto"/>
        <w:rPr>
          <w:sz w:val="24"/>
          <w:szCs w:val="24"/>
        </w:rPr>
      </w:pPr>
      <w:r w:rsidRPr="00BE5BAD">
        <w:rPr>
          <w:sz w:val="24"/>
          <w:szCs w:val="24"/>
        </w:rPr>
        <w:t>Safeguarding adults and children differ significantly due to legal frameworks, developmental needs, and autonomy. The Social Services and Well-being (Wales) Act 2014 (SSWBA) and the Working Together to Safeguard People procedures provide statutory guidance for protecting both children and adults, but approaches vary based on capacity, vulnerability, and rights.</w:t>
      </w:r>
    </w:p>
    <w:p w14:paraId="54C7C63E" w14:textId="77777777" w:rsidR="006E095E" w:rsidRPr="00BE5BAD" w:rsidRDefault="006E095E" w:rsidP="006E095E">
      <w:pPr>
        <w:spacing w:line="360" w:lineRule="auto"/>
        <w:rPr>
          <w:sz w:val="24"/>
          <w:szCs w:val="24"/>
        </w:rPr>
      </w:pPr>
    </w:p>
    <w:p w14:paraId="0F0D2459" w14:textId="77777777" w:rsidR="006E095E" w:rsidRDefault="006E095E" w:rsidP="006E095E">
      <w:pPr>
        <w:spacing w:line="360" w:lineRule="auto"/>
        <w:rPr>
          <w:sz w:val="24"/>
          <w:szCs w:val="24"/>
        </w:rPr>
      </w:pPr>
      <w:r w:rsidRPr="00BE5BAD">
        <w:rPr>
          <w:sz w:val="24"/>
          <w:szCs w:val="24"/>
        </w:rPr>
        <w:t>Safeguarding refers to protecting individuals from abuse, neglect, and exploitation. In Wales, the SSWBA establishes duties for local authorities to promote well-being and protect individuals at risk. The ‘Working Together to Safeguard People’ procedures implement this by detailing responsibilities for practitioners across the different sectors (Welsh Government, 2019). While both adults and children are covered within the statutory guidance, the methods and legal requirements differ.</w:t>
      </w:r>
    </w:p>
    <w:p w14:paraId="06382C6C" w14:textId="77777777" w:rsidR="006E095E" w:rsidRPr="00BE5BAD" w:rsidRDefault="006E095E" w:rsidP="006E095E">
      <w:pPr>
        <w:spacing w:line="360" w:lineRule="auto"/>
        <w:rPr>
          <w:sz w:val="24"/>
          <w:szCs w:val="24"/>
        </w:rPr>
      </w:pPr>
    </w:p>
    <w:p w14:paraId="340CE6A7" w14:textId="77777777" w:rsidR="006E095E" w:rsidRDefault="006E095E" w:rsidP="006E095E">
      <w:pPr>
        <w:spacing w:line="360" w:lineRule="auto"/>
        <w:rPr>
          <w:sz w:val="24"/>
          <w:szCs w:val="24"/>
        </w:rPr>
      </w:pPr>
      <w:r w:rsidRPr="00BE5BAD">
        <w:rPr>
          <w:sz w:val="24"/>
          <w:szCs w:val="24"/>
        </w:rPr>
        <w:t>Children are presumed to lack full capacity and are protected under the Children Act</w:t>
      </w:r>
      <w:r w:rsidRPr="00BE5BAD">
        <w:rPr>
          <w:i/>
          <w:iCs/>
          <w:sz w:val="24"/>
          <w:szCs w:val="24"/>
        </w:rPr>
        <w:t xml:space="preserve"> </w:t>
      </w:r>
      <w:r w:rsidRPr="00BE5BAD">
        <w:rPr>
          <w:sz w:val="24"/>
          <w:szCs w:val="24"/>
        </w:rPr>
        <w:t xml:space="preserve">1989, which prioritises their welfare and requires early intervention when harm is suspected. There is an exception to this, which is known as Gillick competence. This is a legal standard that is used to assess whether a child under the age of 16 can, if deemed to have capacity, make their own decisions (NSPPC, 2024). In any case, agencies must act in the child’s best interests, usually, often without consent, due to their developmental vulnerability (Department for Education, 2023). </w:t>
      </w:r>
    </w:p>
    <w:p w14:paraId="6DF97014" w14:textId="77777777" w:rsidR="006E095E" w:rsidRPr="00BE5BAD" w:rsidRDefault="006E095E" w:rsidP="006E095E">
      <w:pPr>
        <w:spacing w:line="360" w:lineRule="auto"/>
        <w:rPr>
          <w:sz w:val="24"/>
          <w:szCs w:val="24"/>
        </w:rPr>
      </w:pPr>
    </w:p>
    <w:p w14:paraId="154DA02F" w14:textId="77777777" w:rsidR="006E095E" w:rsidRPr="001D78D5" w:rsidRDefault="006E095E" w:rsidP="006E095E">
      <w:pPr>
        <w:spacing w:line="360" w:lineRule="auto"/>
        <w:rPr>
          <w:i/>
          <w:iCs/>
          <w:sz w:val="24"/>
          <w:szCs w:val="24"/>
        </w:rPr>
      </w:pPr>
      <w:r w:rsidRPr="00BE5BAD">
        <w:rPr>
          <w:sz w:val="24"/>
          <w:szCs w:val="24"/>
        </w:rPr>
        <w:t xml:space="preserve">In contrast, adult safeguarding is influenced by the Mental Capacity Act 2005, which presumes the individual has capacity unless proven otherwise. </w:t>
      </w:r>
      <w:r w:rsidRPr="001D78D5">
        <w:rPr>
          <w:color w:val="000000" w:themeColor="text1"/>
          <w:sz w:val="24"/>
          <w:szCs w:val="24"/>
        </w:rPr>
        <w:t xml:space="preserve">Young people over the age of 16 are also included in the Act, however, as they are still a child the Children Act still applies, and if there were concerns the 16 year old lacked capacity or was without Gillick competence a capacity assessment would be </w:t>
      </w:r>
      <w:proofErr w:type="gramStart"/>
      <w:r w:rsidRPr="001D78D5">
        <w:rPr>
          <w:color w:val="000000" w:themeColor="text1"/>
          <w:sz w:val="24"/>
          <w:szCs w:val="24"/>
        </w:rPr>
        <w:t xml:space="preserve">required </w:t>
      </w:r>
      <w:r w:rsidRPr="001D78D5">
        <w:rPr>
          <w:iCs/>
          <w:color w:val="000000" w:themeColor="text1"/>
          <w:sz w:val="24"/>
          <w:szCs w:val="24"/>
        </w:rPr>
        <w:t xml:space="preserve"> (</w:t>
      </w:r>
      <w:proofErr w:type="gramEnd"/>
      <w:r w:rsidRPr="001D78D5">
        <w:rPr>
          <w:iCs/>
          <w:color w:val="000000" w:themeColor="text1"/>
          <w:sz w:val="24"/>
          <w:szCs w:val="24"/>
        </w:rPr>
        <w:t>The Children Act 1989)</w:t>
      </w:r>
      <w:r w:rsidRPr="001D78D5">
        <w:rPr>
          <w:color w:val="000000" w:themeColor="text1"/>
          <w:sz w:val="24"/>
          <w:szCs w:val="24"/>
        </w:rPr>
        <w:t>.</w:t>
      </w:r>
      <w:r>
        <w:rPr>
          <w:sz w:val="24"/>
          <w:szCs w:val="24"/>
        </w:rPr>
        <w:t xml:space="preserve"> </w:t>
      </w:r>
      <w:r w:rsidRPr="00BE5BAD">
        <w:rPr>
          <w:sz w:val="24"/>
          <w:szCs w:val="24"/>
        </w:rPr>
        <w:t xml:space="preserve"> Adults have the right to make decisions, whether they are unwise or not</w:t>
      </w:r>
      <w:r>
        <w:rPr>
          <w:sz w:val="24"/>
          <w:szCs w:val="24"/>
        </w:rPr>
        <w:t xml:space="preserve"> </w:t>
      </w:r>
      <w:r w:rsidRPr="00BE5BAD">
        <w:rPr>
          <w:sz w:val="24"/>
          <w:szCs w:val="24"/>
        </w:rPr>
        <w:t xml:space="preserve">and safeguarding must balance protection with choice. Any intervention requires consent unless the individual is at immediate risk or has been assessed to lack capacity. </w:t>
      </w:r>
    </w:p>
    <w:p w14:paraId="5E06FAB9" w14:textId="77777777" w:rsidR="006E095E" w:rsidRPr="00BE5BAD" w:rsidRDefault="006E095E" w:rsidP="006E095E">
      <w:pPr>
        <w:spacing w:line="360" w:lineRule="auto"/>
        <w:rPr>
          <w:sz w:val="24"/>
          <w:szCs w:val="24"/>
        </w:rPr>
      </w:pPr>
    </w:p>
    <w:p w14:paraId="4CCD6844" w14:textId="77777777" w:rsidR="006E095E" w:rsidRPr="00BE5BAD" w:rsidRDefault="006E095E" w:rsidP="006E095E">
      <w:pPr>
        <w:spacing w:line="360" w:lineRule="auto"/>
        <w:rPr>
          <w:sz w:val="24"/>
          <w:szCs w:val="24"/>
        </w:rPr>
      </w:pPr>
      <w:r w:rsidRPr="00BE5BAD">
        <w:rPr>
          <w:sz w:val="24"/>
          <w:szCs w:val="24"/>
        </w:rPr>
        <w:lastRenderedPageBreak/>
        <w:t>The SSWBA highlights the duty of both the public and professionals to report any concerns that a child may be at risk of abuse or harm to the local authority. Similarly, the NSPCC (2003) supports the perception that safeguarding children is a shared responsibility across society. This is not the same in adult safeguarding. The legislation places the duty solely on the local authority to act when an adult is suspected to be at risk of harm or abuse, in turn, does not give the safeguarding responsibilities to other professionals in the same way it does for children.</w:t>
      </w:r>
    </w:p>
    <w:p w14:paraId="7F25E977" w14:textId="77777777" w:rsidR="006E095E" w:rsidRPr="00BE5BAD" w:rsidRDefault="006E095E" w:rsidP="006E095E">
      <w:pPr>
        <w:spacing w:line="360" w:lineRule="auto"/>
        <w:rPr>
          <w:sz w:val="24"/>
          <w:szCs w:val="24"/>
        </w:rPr>
      </w:pPr>
    </w:p>
    <w:p w14:paraId="6C7A8898" w14:textId="77777777" w:rsidR="006E095E" w:rsidRPr="00BE5BAD" w:rsidRDefault="006E095E" w:rsidP="006E095E">
      <w:pPr>
        <w:spacing w:line="360" w:lineRule="auto"/>
        <w:rPr>
          <w:sz w:val="24"/>
          <w:szCs w:val="24"/>
        </w:rPr>
      </w:pPr>
      <w:r w:rsidRPr="00BE5BAD">
        <w:rPr>
          <w:sz w:val="24"/>
          <w:szCs w:val="24"/>
        </w:rPr>
        <w:t>(Word count – 4</w:t>
      </w:r>
      <w:r>
        <w:rPr>
          <w:sz w:val="24"/>
          <w:szCs w:val="24"/>
        </w:rPr>
        <w:t>15</w:t>
      </w:r>
      <w:r w:rsidRPr="00BE5BAD">
        <w:rPr>
          <w:sz w:val="24"/>
          <w:szCs w:val="24"/>
        </w:rPr>
        <w:t>)</w:t>
      </w:r>
    </w:p>
    <w:p w14:paraId="33D70D8E" w14:textId="77777777" w:rsidR="006E095E" w:rsidRPr="00BE5BAD" w:rsidRDefault="006E095E" w:rsidP="006E095E">
      <w:pPr>
        <w:spacing w:line="360" w:lineRule="auto"/>
        <w:rPr>
          <w:sz w:val="24"/>
          <w:szCs w:val="24"/>
        </w:rPr>
      </w:pPr>
    </w:p>
    <w:p w14:paraId="6C5577E3" w14:textId="77777777" w:rsidR="006E095E" w:rsidRDefault="006E095E"/>
    <w:sectPr w:rsidR="006E09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altName w:val="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095E"/>
    <w:rsid w:val="00645D68"/>
    <w:rsid w:val="006E095E"/>
    <w:rsid w:val="007D5050"/>
    <w:rsid w:val="00802D31"/>
    <w:rsid w:val="00C743F5"/>
    <w:rsid w:val="00D82B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80667"/>
  <w15:chartTrackingRefBased/>
  <w15:docId w15:val="{64EBE218-30E2-427E-8D62-05F4F3475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095E"/>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paragraph" w:styleId="Heading1">
    <w:name w:val="heading 1"/>
    <w:basedOn w:val="Normal"/>
    <w:next w:val="Normal"/>
    <w:link w:val="Heading1Char"/>
    <w:uiPriority w:val="9"/>
    <w:qFormat/>
    <w:rsid w:val="006E095E"/>
    <w:pPr>
      <w:keepNext/>
      <w:keepLines/>
      <w:overflowPunct/>
      <w:autoSpaceDE/>
      <w:autoSpaceDN/>
      <w:adjustRightInd/>
      <w:spacing w:before="360" w:after="80" w:line="259" w:lineRule="auto"/>
      <w:textAlignment w:val="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6E095E"/>
    <w:pPr>
      <w:keepNext/>
      <w:keepLines/>
      <w:overflowPunct/>
      <w:autoSpaceDE/>
      <w:autoSpaceDN/>
      <w:adjustRightInd/>
      <w:spacing w:before="160" w:after="80" w:line="259" w:lineRule="auto"/>
      <w:textAlignment w:val="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6E095E"/>
    <w:pPr>
      <w:keepNext/>
      <w:keepLines/>
      <w:overflowPunct/>
      <w:autoSpaceDE/>
      <w:autoSpaceDN/>
      <w:adjustRightInd/>
      <w:spacing w:before="160" w:after="80" w:line="259" w:lineRule="auto"/>
      <w:textAlignment w:val="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6E095E"/>
    <w:pPr>
      <w:keepNext/>
      <w:keepLines/>
      <w:overflowPunct/>
      <w:autoSpaceDE/>
      <w:autoSpaceDN/>
      <w:adjustRightInd/>
      <w:spacing w:before="80" w:after="40" w:line="259" w:lineRule="auto"/>
      <w:textAlignment w:val="auto"/>
      <w:outlineLvl w:val="3"/>
    </w:pPr>
    <w:rPr>
      <w:rFonts w:asciiTheme="minorHAnsi" w:eastAsiaTheme="majorEastAsia" w:hAnsiTheme="minorHAnsi"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6E095E"/>
    <w:pPr>
      <w:keepNext/>
      <w:keepLines/>
      <w:overflowPunct/>
      <w:autoSpaceDE/>
      <w:autoSpaceDN/>
      <w:adjustRightInd/>
      <w:spacing w:before="80" w:after="40" w:line="259" w:lineRule="auto"/>
      <w:textAlignment w:val="auto"/>
      <w:outlineLvl w:val="4"/>
    </w:pPr>
    <w:rPr>
      <w:rFonts w:asciiTheme="minorHAnsi" w:eastAsiaTheme="majorEastAsia" w:hAnsiTheme="minorHAnsi"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6E095E"/>
    <w:pPr>
      <w:keepNext/>
      <w:keepLines/>
      <w:overflowPunct/>
      <w:autoSpaceDE/>
      <w:autoSpaceDN/>
      <w:adjustRightInd/>
      <w:spacing w:before="40" w:line="259" w:lineRule="auto"/>
      <w:textAlignment w:val="auto"/>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6E095E"/>
    <w:pPr>
      <w:keepNext/>
      <w:keepLines/>
      <w:overflowPunct/>
      <w:autoSpaceDE/>
      <w:autoSpaceDN/>
      <w:adjustRightInd/>
      <w:spacing w:before="40" w:line="259" w:lineRule="auto"/>
      <w:textAlignment w:val="auto"/>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6E095E"/>
    <w:pPr>
      <w:keepNext/>
      <w:keepLines/>
      <w:overflowPunct/>
      <w:autoSpaceDE/>
      <w:autoSpaceDN/>
      <w:adjustRightInd/>
      <w:spacing w:line="259" w:lineRule="auto"/>
      <w:textAlignment w:val="auto"/>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6E095E"/>
    <w:pPr>
      <w:keepNext/>
      <w:keepLines/>
      <w:overflowPunct/>
      <w:autoSpaceDE/>
      <w:autoSpaceDN/>
      <w:adjustRightInd/>
      <w:spacing w:line="259" w:lineRule="auto"/>
      <w:textAlignment w:val="auto"/>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09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09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09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09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09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09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09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09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095E"/>
    <w:rPr>
      <w:rFonts w:eastAsiaTheme="majorEastAsia" w:cstheme="majorBidi"/>
      <w:color w:val="272727" w:themeColor="text1" w:themeTint="D8"/>
    </w:rPr>
  </w:style>
  <w:style w:type="paragraph" w:styleId="Title">
    <w:name w:val="Title"/>
    <w:basedOn w:val="Normal"/>
    <w:next w:val="Normal"/>
    <w:link w:val="TitleChar"/>
    <w:uiPriority w:val="10"/>
    <w:qFormat/>
    <w:rsid w:val="006E095E"/>
    <w:pPr>
      <w:overflowPunct/>
      <w:autoSpaceDE/>
      <w:autoSpaceDN/>
      <w:adjustRightInd/>
      <w:spacing w:after="80"/>
      <w:contextualSpacing/>
      <w:textAlignment w:val="auto"/>
    </w:pPr>
    <w:rPr>
      <w:rFonts w:asciiTheme="majorHAnsi" w:eastAsiaTheme="majorEastAsia" w:hAnsiTheme="majorHAnsi" w:cstheme="majorBidi"/>
      <w:color w:val="auto"/>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6E09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095E"/>
    <w:pPr>
      <w:numPr>
        <w:ilvl w:val="1"/>
      </w:numPr>
      <w:overflowPunct/>
      <w:autoSpaceDE/>
      <w:autoSpaceDN/>
      <w:adjustRightInd/>
      <w:spacing w:after="160" w:line="259" w:lineRule="auto"/>
      <w:textAlignment w:val="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6E09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095E"/>
    <w:pPr>
      <w:overflowPunct/>
      <w:autoSpaceDE/>
      <w:autoSpaceDN/>
      <w:adjustRightInd/>
      <w:spacing w:before="160" w:after="160" w:line="259" w:lineRule="auto"/>
      <w:jc w:val="center"/>
      <w:textAlignment w:val="auto"/>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6E095E"/>
    <w:rPr>
      <w:i/>
      <w:iCs/>
      <w:color w:val="404040" w:themeColor="text1" w:themeTint="BF"/>
    </w:rPr>
  </w:style>
  <w:style w:type="paragraph" w:styleId="ListParagraph">
    <w:name w:val="List Paragraph"/>
    <w:basedOn w:val="Normal"/>
    <w:uiPriority w:val="34"/>
    <w:qFormat/>
    <w:rsid w:val="006E095E"/>
    <w:pPr>
      <w:overflowPunct/>
      <w:autoSpaceDE/>
      <w:autoSpaceDN/>
      <w:adjustRightInd/>
      <w:spacing w:after="160" w:line="259" w:lineRule="auto"/>
      <w:ind w:left="720"/>
      <w:contextualSpacing/>
      <w:textAlignment w:val="auto"/>
    </w:pPr>
    <w:rPr>
      <w:rFonts w:asciiTheme="minorHAnsi" w:eastAsiaTheme="minorHAnsi" w:hAnsiTheme="minorHAnsi" w:cstheme="minorBidi"/>
      <w:color w:val="auto"/>
      <w:kern w:val="2"/>
      <w:sz w:val="22"/>
      <w:szCs w:val="22"/>
      <w:lang w:eastAsia="en-US"/>
      <w14:ligatures w14:val="standardContextual"/>
    </w:rPr>
  </w:style>
  <w:style w:type="character" w:styleId="IntenseEmphasis">
    <w:name w:val="Intense Emphasis"/>
    <w:basedOn w:val="DefaultParagraphFont"/>
    <w:uiPriority w:val="21"/>
    <w:qFormat/>
    <w:rsid w:val="006E095E"/>
    <w:rPr>
      <w:i/>
      <w:iCs/>
      <w:color w:val="0F4761" w:themeColor="accent1" w:themeShade="BF"/>
    </w:rPr>
  </w:style>
  <w:style w:type="paragraph" w:styleId="IntenseQuote">
    <w:name w:val="Intense Quote"/>
    <w:basedOn w:val="Normal"/>
    <w:next w:val="Normal"/>
    <w:link w:val="IntenseQuoteChar"/>
    <w:uiPriority w:val="30"/>
    <w:qFormat/>
    <w:rsid w:val="006E095E"/>
    <w:pPr>
      <w:pBdr>
        <w:top w:val="single" w:sz="4" w:space="10" w:color="0F4761" w:themeColor="accent1" w:themeShade="BF"/>
        <w:bottom w:val="single" w:sz="4" w:space="10" w:color="0F4761" w:themeColor="accent1" w:themeShade="BF"/>
      </w:pBdr>
      <w:overflowPunct/>
      <w:autoSpaceDE/>
      <w:autoSpaceDN/>
      <w:adjustRightInd/>
      <w:spacing w:before="360" w:after="360" w:line="259" w:lineRule="auto"/>
      <w:ind w:left="864" w:right="864"/>
      <w:jc w:val="center"/>
      <w:textAlignment w:val="auto"/>
    </w:pPr>
    <w:rPr>
      <w:rFonts w:asciiTheme="minorHAnsi" w:eastAsia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6E095E"/>
    <w:rPr>
      <w:i/>
      <w:iCs/>
      <w:color w:val="0F4761" w:themeColor="accent1" w:themeShade="BF"/>
    </w:rPr>
  </w:style>
  <w:style w:type="character" w:styleId="IntenseReference">
    <w:name w:val="Intense Reference"/>
    <w:basedOn w:val="DefaultParagraphFont"/>
    <w:uiPriority w:val="32"/>
    <w:qFormat/>
    <w:rsid w:val="006E095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1016</Words>
  <Characters>5792</Characters>
  <Application>Microsoft Office Word</Application>
  <DocSecurity>0</DocSecurity>
  <Lines>48</Lines>
  <Paragraphs>13</Paragraphs>
  <ScaleCrop>false</ScaleCrop>
  <Company/>
  <LinksUpToDate>false</LinksUpToDate>
  <CharactersWithSpaces>6795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Kerry Mckinley</dc:creator>
  <cp:keywords/>
  <dc:description/>
  <cp:lastModifiedBy>Kerry Mckinley</cp:lastModifiedBy>
  <cp:revision>1</cp:revision>
  <dcterms:created xsi:type="dcterms:W3CDTF">2025-10-15T09:18:00Z</dcterms:created>
  <dcterms:modified xsi:type="dcterms:W3CDTF">2025-10-15T09:21:00Z</dcterms:modified>
</cp:coreProperties>
</file>