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02F00" w14:textId="77777777" w:rsidR="00303D10" w:rsidRPr="00F861E3" w:rsidRDefault="00303D10" w:rsidP="00CC621D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b/>
          <w:bCs/>
          <w:kern w:val="0"/>
          <w:sz w:val="22"/>
          <w:szCs w:val="22"/>
        </w:rPr>
      </w:pPr>
    </w:p>
    <w:p w14:paraId="36196E24" w14:textId="77777777" w:rsidR="00303D10" w:rsidRPr="00F861E3" w:rsidRDefault="00303D10" w:rsidP="00303D10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b/>
          <w:bCs/>
          <w:kern w:val="0"/>
          <w:sz w:val="22"/>
          <w:szCs w:val="22"/>
        </w:rPr>
      </w:pPr>
      <w:r w:rsidRPr="00F861E3">
        <w:rPr>
          <w:rFonts w:ascii="Arial" w:hAnsi="Arial" w:cs="Arial"/>
          <w:b/>
          <w:bCs/>
          <w:kern w:val="0"/>
          <w:sz w:val="22"/>
          <w:szCs w:val="22"/>
        </w:rPr>
        <w:t>Technologies in health and social care for older people play a vital role ( for)</w:t>
      </w:r>
    </w:p>
    <w:p w14:paraId="08A31B98" w14:textId="77777777" w:rsidR="00303D10" w:rsidRPr="00F861E3" w:rsidRDefault="00303D10" w:rsidP="00303D10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b/>
          <w:bCs/>
          <w:kern w:val="0"/>
          <w:sz w:val="22"/>
          <w:szCs w:val="22"/>
        </w:rPr>
      </w:pPr>
    </w:p>
    <w:p w14:paraId="49A3F7BB" w14:textId="77777777" w:rsidR="00303D10" w:rsidRPr="00F861E3" w:rsidRDefault="00303D10" w:rsidP="00303D10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b/>
          <w:bCs/>
          <w:kern w:val="0"/>
          <w:sz w:val="22"/>
          <w:szCs w:val="22"/>
        </w:rPr>
      </w:pPr>
      <w:r w:rsidRPr="00F861E3">
        <w:rPr>
          <w:rFonts w:ascii="Arial" w:hAnsi="Arial" w:cs="Arial"/>
          <w:b/>
          <w:bCs/>
          <w:kern w:val="0"/>
          <w:sz w:val="22"/>
          <w:szCs w:val="22"/>
        </w:rPr>
        <w:t>Student name: Warda Ibrahim</w:t>
      </w:r>
    </w:p>
    <w:p w14:paraId="326394B4" w14:textId="77777777" w:rsidR="00303D10" w:rsidRPr="00F861E3" w:rsidRDefault="00303D10" w:rsidP="00303D10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b/>
          <w:bCs/>
          <w:kern w:val="0"/>
          <w:sz w:val="22"/>
          <w:szCs w:val="22"/>
        </w:rPr>
      </w:pPr>
      <w:r w:rsidRPr="00F861E3">
        <w:rPr>
          <w:rFonts w:ascii="Arial" w:hAnsi="Arial" w:cs="Arial"/>
          <w:b/>
          <w:bCs/>
          <w:kern w:val="0"/>
          <w:sz w:val="22"/>
          <w:szCs w:val="22"/>
        </w:rPr>
        <w:t>Student number:2235246</w:t>
      </w:r>
    </w:p>
    <w:p w14:paraId="314C9A14" w14:textId="77777777" w:rsidR="00303D10" w:rsidRPr="00F861E3" w:rsidRDefault="00303D10" w:rsidP="00303D10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b/>
          <w:bCs/>
          <w:kern w:val="0"/>
          <w:sz w:val="22"/>
          <w:szCs w:val="22"/>
        </w:rPr>
      </w:pPr>
      <w:r w:rsidRPr="00F861E3">
        <w:rPr>
          <w:rFonts w:ascii="Arial" w:hAnsi="Arial" w:cs="Arial"/>
          <w:b/>
          <w:bCs/>
          <w:kern w:val="0"/>
          <w:sz w:val="22"/>
          <w:szCs w:val="22"/>
        </w:rPr>
        <w:t xml:space="preserve">Lecturer’s name: Laila </w:t>
      </w:r>
      <w:proofErr w:type="spellStart"/>
      <w:r w:rsidRPr="00F861E3">
        <w:rPr>
          <w:rFonts w:ascii="Arial" w:hAnsi="Arial" w:cs="Arial"/>
          <w:b/>
          <w:bCs/>
          <w:kern w:val="0"/>
          <w:sz w:val="22"/>
          <w:szCs w:val="22"/>
        </w:rPr>
        <w:t>Surani</w:t>
      </w:r>
      <w:proofErr w:type="spellEnd"/>
    </w:p>
    <w:p w14:paraId="62BFBF30" w14:textId="77777777" w:rsidR="00303D10" w:rsidRPr="00F861E3" w:rsidRDefault="00303D10" w:rsidP="00303D10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b/>
          <w:bCs/>
          <w:kern w:val="0"/>
          <w:sz w:val="22"/>
          <w:szCs w:val="22"/>
        </w:rPr>
      </w:pPr>
      <w:r w:rsidRPr="00F861E3">
        <w:rPr>
          <w:rFonts w:ascii="Arial" w:hAnsi="Arial" w:cs="Arial"/>
          <w:b/>
          <w:bCs/>
          <w:kern w:val="0"/>
          <w:sz w:val="22"/>
          <w:szCs w:val="22"/>
        </w:rPr>
        <w:t>Component 2:</w:t>
      </w:r>
    </w:p>
    <w:p w14:paraId="3996484F" w14:textId="7116910A" w:rsidR="00303D10" w:rsidRPr="00F861E3" w:rsidRDefault="00303D10" w:rsidP="00CC621D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b/>
          <w:bCs/>
          <w:kern w:val="0"/>
          <w:sz w:val="22"/>
          <w:szCs w:val="22"/>
        </w:rPr>
      </w:pPr>
      <w:r w:rsidRPr="00F861E3">
        <w:rPr>
          <w:rFonts w:ascii="Arial" w:hAnsi="Arial" w:cs="Arial"/>
          <w:b/>
          <w:bCs/>
          <w:kern w:val="0"/>
          <w:sz w:val="22"/>
          <w:szCs w:val="22"/>
        </w:rPr>
        <w:t>Debate/Discussion</w:t>
      </w:r>
    </w:p>
    <w:p w14:paraId="7D7A2DA8" w14:textId="77777777" w:rsidR="00303D10" w:rsidRPr="00F861E3" w:rsidRDefault="00303D10" w:rsidP="00CC621D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b/>
          <w:bCs/>
          <w:kern w:val="0"/>
          <w:sz w:val="22"/>
          <w:szCs w:val="22"/>
        </w:rPr>
      </w:pPr>
    </w:p>
    <w:p w14:paraId="6E9A5407" w14:textId="77777777" w:rsidR="00303D10" w:rsidRPr="00F861E3" w:rsidRDefault="00303D10" w:rsidP="00CC621D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b/>
          <w:bCs/>
          <w:kern w:val="0"/>
          <w:sz w:val="22"/>
          <w:szCs w:val="22"/>
        </w:rPr>
      </w:pPr>
    </w:p>
    <w:p w14:paraId="73539992" w14:textId="77777777" w:rsidR="00303D10" w:rsidRPr="00F861E3" w:rsidRDefault="00303D10" w:rsidP="00CC621D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b/>
          <w:bCs/>
          <w:kern w:val="0"/>
          <w:sz w:val="22"/>
          <w:szCs w:val="22"/>
        </w:rPr>
      </w:pPr>
    </w:p>
    <w:p w14:paraId="0F5B5EBA" w14:textId="77777777" w:rsidR="00303D10" w:rsidRPr="00F861E3" w:rsidRDefault="00303D10" w:rsidP="00CC621D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b/>
          <w:bCs/>
          <w:kern w:val="0"/>
          <w:sz w:val="22"/>
          <w:szCs w:val="22"/>
        </w:rPr>
      </w:pPr>
    </w:p>
    <w:p w14:paraId="224E03B7" w14:textId="77777777" w:rsidR="00303D10" w:rsidRPr="00F861E3" w:rsidRDefault="00303D10" w:rsidP="00CC621D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b/>
          <w:bCs/>
          <w:kern w:val="0"/>
          <w:sz w:val="22"/>
          <w:szCs w:val="22"/>
        </w:rPr>
      </w:pPr>
    </w:p>
    <w:p w14:paraId="54493E19" w14:textId="3F4DAF61" w:rsidR="005711B7" w:rsidRPr="00F861E3" w:rsidRDefault="006622F5" w:rsidP="00CC621D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  <w:b/>
          <w:bCs/>
          <w:kern w:val="0"/>
          <w:sz w:val="22"/>
          <w:szCs w:val="22"/>
        </w:rPr>
      </w:pPr>
      <w:r w:rsidRPr="00F861E3">
        <w:rPr>
          <w:rFonts w:ascii="Arial" w:hAnsi="Arial" w:cs="Arial"/>
          <w:b/>
          <w:bCs/>
          <w:kern w:val="0"/>
          <w:sz w:val="22"/>
          <w:szCs w:val="22"/>
        </w:rPr>
        <w:t>Reference</w:t>
      </w:r>
      <w:r w:rsidR="00CC621D" w:rsidRPr="00F861E3">
        <w:rPr>
          <w:rFonts w:ascii="Arial" w:hAnsi="Arial" w:cs="Arial"/>
          <w:b/>
          <w:bCs/>
          <w:kern w:val="0"/>
          <w:sz w:val="22"/>
          <w:szCs w:val="22"/>
        </w:rPr>
        <w:t>s</w:t>
      </w:r>
    </w:p>
    <w:p w14:paraId="19EB4DCB" w14:textId="5B347CB7" w:rsidR="00CC621D" w:rsidRPr="00F861E3" w:rsidRDefault="00CC621D" w:rsidP="00CC621D">
      <w:pPr>
        <w:widowControl w:val="0"/>
        <w:autoSpaceDE w:val="0"/>
        <w:autoSpaceDN w:val="0"/>
        <w:adjustRightInd w:val="0"/>
        <w:spacing w:after="240" w:line="360" w:lineRule="auto"/>
        <w:ind w:left="720" w:hanging="720"/>
        <w:jc w:val="both"/>
        <w:rPr>
          <w:rFonts w:ascii="Arial" w:hAnsi="Arial" w:cs="Arial"/>
          <w:kern w:val="0"/>
          <w:sz w:val="22"/>
          <w:szCs w:val="22"/>
        </w:rPr>
      </w:pPr>
      <w:proofErr w:type="spellStart"/>
      <w:r w:rsidRPr="00F861E3">
        <w:rPr>
          <w:rFonts w:ascii="Arial" w:hAnsi="Arial" w:cs="Arial"/>
          <w:kern w:val="0"/>
          <w:sz w:val="22"/>
          <w:szCs w:val="22"/>
        </w:rPr>
        <w:t>Abbaspur-Behbahani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S.,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Monaghesh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E.,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Hajizadeh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A. and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Fehresti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>, S., 2022. Application of mobile health to support the elderly during the COVID-19 outbreak: A systematic review. </w:t>
      </w:r>
      <w:r w:rsidRPr="00F861E3">
        <w:rPr>
          <w:rFonts w:ascii="Arial" w:hAnsi="Arial" w:cs="Arial"/>
          <w:i/>
          <w:iCs/>
          <w:kern w:val="0"/>
          <w:sz w:val="22"/>
          <w:szCs w:val="22"/>
        </w:rPr>
        <w:t>Health Policy and Technology</w:t>
      </w:r>
      <w:r w:rsidRPr="00F861E3">
        <w:rPr>
          <w:rFonts w:ascii="Arial" w:hAnsi="Arial" w:cs="Arial"/>
          <w:kern w:val="0"/>
          <w:sz w:val="22"/>
          <w:szCs w:val="22"/>
        </w:rPr>
        <w:t xml:space="preserve">, 11(1), p.100595. </w:t>
      </w:r>
      <w:hyperlink r:id="rId4" w:history="1">
        <w:r w:rsidRPr="00F861E3">
          <w:rPr>
            <w:rStyle w:val="Hyperlink"/>
            <w:rFonts w:ascii="Arial" w:hAnsi="Arial" w:cs="Arial"/>
            <w:kern w:val="0"/>
            <w:sz w:val="22"/>
            <w:szCs w:val="22"/>
          </w:rPr>
          <w:t>https://doi.org/10.1016/j.hlpt.2022.100595</w:t>
        </w:r>
      </w:hyperlink>
      <w:r w:rsidRPr="00F861E3">
        <w:rPr>
          <w:rFonts w:ascii="Arial" w:hAnsi="Arial" w:cs="Arial"/>
          <w:kern w:val="0"/>
          <w:sz w:val="22"/>
          <w:szCs w:val="22"/>
        </w:rPr>
        <w:t xml:space="preserve">. </w:t>
      </w:r>
    </w:p>
    <w:p w14:paraId="73141632" w14:textId="36F5908C" w:rsidR="00CC621D" w:rsidRPr="00F861E3" w:rsidRDefault="00CC621D" w:rsidP="00CC621D">
      <w:pPr>
        <w:widowControl w:val="0"/>
        <w:autoSpaceDE w:val="0"/>
        <w:autoSpaceDN w:val="0"/>
        <w:adjustRightInd w:val="0"/>
        <w:spacing w:after="240" w:line="360" w:lineRule="auto"/>
        <w:ind w:left="720" w:hanging="720"/>
        <w:jc w:val="both"/>
        <w:rPr>
          <w:rFonts w:ascii="Arial" w:hAnsi="Arial" w:cs="Arial"/>
          <w:kern w:val="0"/>
          <w:sz w:val="22"/>
          <w:szCs w:val="22"/>
        </w:rPr>
      </w:pPr>
      <w:r w:rsidRPr="00F861E3">
        <w:rPr>
          <w:rFonts w:ascii="Arial" w:hAnsi="Arial" w:cs="Arial"/>
          <w:kern w:val="0"/>
          <w:sz w:val="22"/>
          <w:szCs w:val="22"/>
        </w:rPr>
        <w:t xml:space="preserve">Ahmad, N.A.,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Abd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Rauf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M.F.,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Mohd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 Zaid, N.N.,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Zainal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A.,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Tengku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Shahdan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T.S. and Abdul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Razak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>, F.H., 2022. Effectiveness of Instructional Strategies Designed for Older Adults in Learning Digital Technologies: A Systematic Literature Review. </w:t>
      </w:r>
      <w:r w:rsidRPr="00F861E3">
        <w:rPr>
          <w:rFonts w:ascii="Arial" w:hAnsi="Arial" w:cs="Arial"/>
          <w:i/>
          <w:iCs/>
          <w:kern w:val="0"/>
          <w:sz w:val="22"/>
          <w:szCs w:val="22"/>
        </w:rPr>
        <w:t>SN Computer Science</w:t>
      </w:r>
      <w:r w:rsidRPr="00F861E3">
        <w:rPr>
          <w:rFonts w:ascii="Arial" w:hAnsi="Arial" w:cs="Arial"/>
          <w:kern w:val="0"/>
          <w:sz w:val="22"/>
          <w:szCs w:val="22"/>
        </w:rPr>
        <w:t xml:space="preserve">, [online] 3(2). </w:t>
      </w:r>
      <w:hyperlink r:id="rId5" w:history="1">
        <w:r w:rsidRPr="00F861E3">
          <w:rPr>
            <w:rStyle w:val="Hyperlink"/>
            <w:rFonts w:ascii="Arial" w:hAnsi="Arial" w:cs="Arial"/>
            <w:kern w:val="0"/>
            <w:sz w:val="22"/>
            <w:szCs w:val="22"/>
          </w:rPr>
          <w:t>https://doi.org/10.1007/s42979-022-01016-0</w:t>
        </w:r>
      </w:hyperlink>
      <w:r w:rsidRPr="00F861E3">
        <w:rPr>
          <w:rFonts w:ascii="Arial" w:hAnsi="Arial" w:cs="Arial"/>
          <w:kern w:val="0"/>
          <w:sz w:val="22"/>
          <w:szCs w:val="22"/>
        </w:rPr>
        <w:t xml:space="preserve">. </w:t>
      </w:r>
    </w:p>
    <w:p w14:paraId="64A477DE" w14:textId="7BCDFCC7" w:rsidR="00CC621D" w:rsidRPr="00F861E3" w:rsidRDefault="00CC621D" w:rsidP="00CC621D">
      <w:pPr>
        <w:widowControl w:val="0"/>
        <w:autoSpaceDE w:val="0"/>
        <w:autoSpaceDN w:val="0"/>
        <w:adjustRightInd w:val="0"/>
        <w:spacing w:after="240" w:line="360" w:lineRule="auto"/>
        <w:ind w:left="720" w:hanging="720"/>
        <w:jc w:val="both"/>
        <w:rPr>
          <w:rFonts w:ascii="Arial" w:hAnsi="Arial" w:cs="Arial"/>
          <w:kern w:val="0"/>
          <w:sz w:val="22"/>
          <w:szCs w:val="22"/>
        </w:rPr>
      </w:pPr>
      <w:proofErr w:type="spellStart"/>
      <w:r w:rsidRPr="00F861E3">
        <w:rPr>
          <w:rFonts w:ascii="Arial" w:hAnsi="Arial" w:cs="Arial"/>
          <w:kern w:val="0"/>
          <w:sz w:val="22"/>
          <w:szCs w:val="22"/>
        </w:rPr>
        <w:t>Alghamdi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N.S. and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Alghamdi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>, S.M., 2022. The Role of Digital Technology in Curbing COVID-19. </w:t>
      </w:r>
      <w:r w:rsidRPr="00F861E3">
        <w:rPr>
          <w:rFonts w:ascii="Arial" w:hAnsi="Arial" w:cs="Arial"/>
          <w:i/>
          <w:iCs/>
          <w:kern w:val="0"/>
          <w:sz w:val="22"/>
          <w:szCs w:val="22"/>
        </w:rPr>
        <w:t>International Journal of Environmental Research and Public Health</w:t>
      </w:r>
      <w:r w:rsidRPr="00F861E3">
        <w:rPr>
          <w:rFonts w:ascii="Arial" w:hAnsi="Arial" w:cs="Arial"/>
          <w:kern w:val="0"/>
          <w:sz w:val="22"/>
          <w:szCs w:val="22"/>
        </w:rPr>
        <w:t xml:space="preserve">, [online] 19(14). </w:t>
      </w:r>
      <w:hyperlink r:id="rId6" w:history="1">
        <w:r w:rsidRPr="00F861E3">
          <w:rPr>
            <w:rStyle w:val="Hyperlink"/>
            <w:rFonts w:ascii="Arial" w:hAnsi="Arial" w:cs="Arial"/>
            <w:kern w:val="0"/>
            <w:sz w:val="22"/>
            <w:szCs w:val="22"/>
          </w:rPr>
          <w:t>https://doi.org/10.3390/ijerph19148287</w:t>
        </w:r>
      </w:hyperlink>
      <w:r w:rsidRPr="00F861E3">
        <w:rPr>
          <w:rFonts w:ascii="Arial" w:hAnsi="Arial" w:cs="Arial"/>
          <w:kern w:val="0"/>
          <w:sz w:val="22"/>
          <w:szCs w:val="22"/>
        </w:rPr>
        <w:t xml:space="preserve">. </w:t>
      </w:r>
    </w:p>
    <w:p w14:paraId="14977BA8" w14:textId="6F927B65" w:rsidR="00CC621D" w:rsidRPr="00F861E3" w:rsidRDefault="00CC621D" w:rsidP="00CC621D">
      <w:pPr>
        <w:widowControl w:val="0"/>
        <w:autoSpaceDE w:val="0"/>
        <w:autoSpaceDN w:val="0"/>
        <w:adjustRightInd w:val="0"/>
        <w:spacing w:after="240" w:line="360" w:lineRule="auto"/>
        <w:ind w:left="720" w:hanging="720"/>
        <w:jc w:val="both"/>
        <w:rPr>
          <w:rFonts w:ascii="Arial" w:hAnsi="Arial" w:cs="Arial"/>
          <w:kern w:val="0"/>
          <w:sz w:val="22"/>
          <w:szCs w:val="22"/>
        </w:rPr>
      </w:pPr>
      <w:proofErr w:type="spellStart"/>
      <w:r w:rsidRPr="00F861E3">
        <w:rPr>
          <w:rFonts w:ascii="Arial" w:hAnsi="Arial" w:cs="Arial"/>
          <w:kern w:val="0"/>
          <w:sz w:val="22"/>
          <w:szCs w:val="22"/>
        </w:rPr>
        <w:t>Balki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>, E., Hayes, N. and Holland, C., 2022. Effectiveness of Technology Interventions in Addressing Social Isolation, Connectedness, and Loneliness in Older Adults: A Systematic Umbrella Review (Preprint). </w:t>
      </w:r>
      <w:r w:rsidRPr="00F861E3">
        <w:rPr>
          <w:rFonts w:ascii="Arial" w:hAnsi="Arial" w:cs="Arial"/>
          <w:i/>
          <w:iCs/>
          <w:kern w:val="0"/>
          <w:sz w:val="22"/>
          <w:szCs w:val="22"/>
        </w:rPr>
        <w:t>JMIR Aging</w:t>
      </w:r>
      <w:r w:rsidRPr="00F861E3">
        <w:rPr>
          <w:rFonts w:ascii="Arial" w:hAnsi="Arial" w:cs="Arial"/>
          <w:kern w:val="0"/>
          <w:sz w:val="22"/>
          <w:szCs w:val="22"/>
        </w:rPr>
        <w:t xml:space="preserve">, 5(4). </w:t>
      </w:r>
      <w:hyperlink r:id="rId7" w:history="1">
        <w:r w:rsidRPr="00F861E3">
          <w:rPr>
            <w:rStyle w:val="Hyperlink"/>
            <w:rFonts w:ascii="Arial" w:hAnsi="Arial" w:cs="Arial"/>
            <w:kern w:val="0"/>
            <w:sz w:val="22"/>
            <w:szCs w:val="22"/>
          </w:rPr>
          <w:t>https://doi.org/10.2196/40125</w:t>
        </w:r>
      </w:hyperlink>
      <w:r w:rsidRPr="00F861E3">
        <w:rPr>
          <w:rFonts w:ascii="Arial" w:hAnsi="Arial" w:cs="Arial"/>
          <w:kern w:val="0"/>
          <w:sz w:val="22"/>
          <w:szCs w:val="22"/>
        </w:rPr>
        <w:t xml:space="preserve">. </w:t>
      </w:r>
    </w:p>
    <w:p w14:paraId="126FA71D" w14:textId="34B91BF6" w:rsidR="00CC621D" w:rsidRPr="00F861E3" w:rsidRDefault="00CC621D" w:rsidP="00CC621D">
      <w:pPr>
        <w:widowControl w:val="0"/>
        <w:autoSpaceDE w:val="0"/>
        <w:autoSpaceDN w:val="0"/>
        <w:adjustRightInd w:val="0"/>
        <w:spacing w:after="240" w:line="360" w:lineRule="auto"/>
        <w:ind w:left="720" w:hanging="720"/>
        <w:jc w:val="both"/>
        <w:rPr>
          <w:rFonts w:ascii="Arial" w:hAnsi="Arial" w:cs="Arial"/>
          <w:kern w:val="0"/>
          <w:sz w:val="22"/>
          <w:szCs w:val="22"/>
        </w:rPr>
      </w:pPr>
      <w:r w:rsidRPr="00F861E3">
        <w:rPr>
          <w:rFonts w:ascii="Arial" w:hAnsi="Arial" w:cs="Arial"/>
          <w:kern w:val="0"/>
          <w:sz w:val="22"/>
          <w:szCs w:val="22"/>
        </w:rPr>
        <w:t xml:space="preserve">Chu, C.H.,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Nyrup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R., Leslie, K.,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Shi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J., Bianchi, A., Lyn, A.,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McNicholl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M., Khan, S.,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Rahimi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>, S. and Grenier, A., 2022. Digital Ageism: Challenges and Opportunities in Artificial Intelligence for Older Adults. </w:t>
      </w:r>
      <w:r w:rsidRPr="00F861E3">
        <w:rPr>
          <w:rFonts w:ascii="Arial" w:hAnsi="Arial" w:cs="Arial"/>
          <w:i/>
          <w:iCs/>
          <w:kern w:val="0"/>
          <w:sz w:val="22"/>
          <w:szCs w:val="22"/>
        </w:rPr>
        <w:t>The Gerontologist</w:t>
      </w:r>
      <w:r w:rsidRPr="00F861E3">
        <w:rPr>
          <w:rFonts w:ascii="Arial" w:hAnsi="Arial" w:cs="Arial"/>
          <w:kern w:val="0"/>
          <w:sz w:val="22"/>
          <w:szCs w:val="22"/>
        </w:rPr>
        <w:t xml:space="preserve">, [online] 62(7). </w:t>
      </w:r>
      <w:hyperlink r:id="rId8" w:history="1">
        <w:r w:rsidRPr="00F861E3">
          <w:rPr>
            <w:rStyle w:val="Hyperlink"/>
            <w:rFonts w:ascii="Arial" w:hAnsi="Arial" w:cs="Arial"/>
            <w:kern w:val="0"/>
            <w:sz w:val="22"/>
            <w:szCs w:val="22"/>
          </w:rPr>
          <w:t>https://doi.org/10.1093/geront/gnab167</w:t>
        </w:r>
      </w:hyperlink>
      <w:r w:rsidRPr="00F861E3">
        <w:rPr>
          <w:rFonts w:ascii="Arial" w:hAnsi="Arial" w:cs="Arial"/>
          <w:kern w:val="0"/>
          <w:sz w:val="22"/>
          <w:szCs w:val="22"/>
        </w:rPr>
        <w:t xml:space="preserve">. </w:t>
      </w:r>
    </w:p>
    <w:p w14:paraId="606AB729" w14:textId="4DB802BE" w:rsidR="00CC621D" w:rsidRPr="00F861E3" w:rsidRDefault="00CC621D" w:rsidP="00CC621D">
      <w:pPr>
        <w:widowControl w:val="0"/>
        <w:autoSpaceDE w:val="0"/>
        <w:autoSpaceDN w:val="0"/>
        <w:adjustRightInd w:val="0"/>
        <w:spacing w:after="240" w:line="360" w:lineRule="auto"/>
        <w:ind w:left="720" w:hanging="720"/>
        <w:jc w:val="both"/>
        <w:rPr>
          <w:rFonts w:ascii="Arial" w:hAnsi="Arial" w:cs="Arial"/>
          <w:kern w:val="0"/>
          <w:sz w:val="22"/>
          <w:szCs w:val="22"/>
        </w:rPr>
      </w:pPr>
      <w:proofErr w:type="spellStart"/>
      <w:r w:rsidRPr="00F861E3">
        <w:rPr>
          <w:rFonts w:ascii="Arial" w:hAnsi="Arial" w:cs="Arial"/>
          <w:kern w:val="0"/>
          <w:sz w:val="22"/>
          <w:szCs w:val="22"/>
        </w:rPr>
        <w:t>Gianfredi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V.,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Nucci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D.,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Pennisi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F., Maggi, S., Veronese, N. and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Soysal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>, P., 2025. Aging, longevity, and healthy aging: the public health approach. </w:t>
      </w:r>
      <w:r w:rsidRPr="00F861E3">
        <w:rPr>
          <w:rFonts w:ascii="Arial" w:hAnsi="Arial" w:cs="Arial"/>
          <w:i/>
          <w:iCs/>
          <w:kern w:val="0"/>
          <w:sz w:val="22"/>
          <w:szCs w:val="22"/>
        </w:rPr>
        <w:t>Aging Clinical and Experimental Research</w:t>
      </w:r>
      <w:r w:rsidRPr="00F861E3">
        <w:rPr>
          <w:rFonts w:ascii="Arial" w:hAnsi="Arial" w:cs="Arial"/>
          <w:kern w:val="0"/>
          <w:sz w:val="22"/>
          <w:szCs w:val="22"/>
        </w:rPr>
        <w:t xml:space="preserve">, 37(1). </w:t>
      </w:r>
      <w:hyperlink r:id="rId9" w:history="1">
        <w:r w:rsidRPr="00F861E3">
          <w:rPr>
            <w:rStyle w:val="Hyperlink"/>
            <w:rFonts w:ascii="Arial" w:hAnsi="Arial" w:cs="Arial"/>
            <w:kern w:val="0"/>
            <w:sz w:val="22"/>
            <w:szCs w:val="22"/>
          </w:rPr>
          <w:t>https://doi.org/10.1007/s40520-025-03021-8</w:t>
        </w:r>
      </w:hyperlink>
      <w:r w:rsidRPr="00F861E3">
        <w:rPr>
          <w:rFonts w:ascii="Arial" w:hAnsi="Arial" w:cs="Arial"/>
          <w:kern w:val="0"/>
          <w:sz w:val="22"/>
          <w:szCs w:val="22"/>
        </w:rPr>
        <w:t xml:space="preserve">. </w:t>
      </w:r>
    </w:p>
    <w:p w14:paraId="79017F80" w14:textId="0F93E434" w:rsidR="00CC621D" w:rsidRPr="00F861E3" w:rsidRDefault="00CC621D" w:rsidP="00CC621D">
      <w:pPr>
        <w:widowControl w:val="0"/>
        <w:autoSpaceDE w:val="0"/>
        <w:autoSpaceDN w:val="0"/>
        <w:adjustRightInd w:val="0"/>
        <w:spacing w:after="240" w:line="360" w:lineRule="auto"/>
        <w:ind w:left="720" w:hanging="720"/>
        <w:jc w:val="both"/>
        <w:rPr>
          <w:rFonts w:ascii="Arial" w:hAnsi="Arial" w:cs="Arial"/>
          <w:kern w:val="0"/>
          <w:sz w:val="22"/>
          <w:szCs w:val="22"/>
        </w:rPr>
      </w:pPr>
      <w:proofErr w:type="spellStart"/>
      <w:r w:rsidRPr="00F861E3">
        <w:rPr>
          <w:rFonts w:ascii="Arial" w:hAnsi="Arial" w:cs="Arial"/>
          <w:kern w:val="0"/>
          <w:sz w:val="22"/>
          <w:szCs w:val="22"/>
        </w:rPr>
        <w:t>Glasby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>, J., 2026. </w:t>
      </w:r>
      <w:r w:rsidRPr="00F861E3">
        <w:rPr>
          <w:rFonts w:ascii="Arial" w:hAnsi="Arial" w:cs="Arial"/>
          <w:i/>
          <w:iCs/>
          <w:kern w:val="0"/>
          <w:sz w:val="22"/>
          <w:szCs w:val="22"/>
        </w:rPr>
        <w:t>UNDERSTANDING HEALTH AND SOCIAL CARE Second Edition 2</w:t>
      </w:r>
      <w:r w:rsidRPr="00F861E3">
        <w:rPr>
          <w:rFonts w:ascii="Arial" w:hAnsi="Arial" w:cs="Arial"/>
          <w:kern w:val="0"/>
          <w:sz w:val="22"/>
          <w:szCs w:val="22"/>
        </w:rPr>
        <w:t xml:space="preserve">. [online] Available at: </w:t>
      </w:r>
      <w:hyperlink r:id="rId10" w:history="1">
        <w:r w:rsidRPr="00F861E3">
          <w:rPr>
            <w:rStyle w:val="Hyperlink"/>
            <w:rFonts w:ascii="Arial" w:hAnsi="Arial" w:cs="Arial"/>
            <w:kern w:val="0"/>
            <w:sz w:val="22"/>
            <w:szCs w:val="22"/>
          </w:rPr>
          <w:t>https://cmls.org.uk/online/wp-content/uploads/2019/07/Understanding-health-and-social-care.pdf</w:t>
        </w:r>
      </w:hyperlink>
      <w:r w:rsidRPr="00F861E3">
        <w:rPr>
          <w:rFonts w:ascii="Arial" w:hAnsi="Arial" w:cs="Arial"/>
          <w:kern w:val="0"/>
          <w:sz w:val="22"/>
          <w:szCs w:val="22"/>
        </w:rPr>
        <w:t xml:space="preserve"> </w:t>
      </w:r>
    </w:p>
    <w:p w14:paraId="49854903" w14:textId="6E62056B" w:rsidR="00CC621D" w:rsidRPr="00F861E3" w:rsidRDefault="00CC621D" w:rsidP="00CC621D">
      <w:pPr>
        <w:widowControl w:val="0"/>
        <w:autoSpaceDE w:val="0"/>
        <w:autoSpaceDN w:val="0"/>
        <w:adjustRightInd w:val="0"/>
        <w:spacing w:after="240" w:line="360" w:lineRule="auto"/>
        <w:ind w:left="720" w:hanging="720"/>
        <w:jc w:val="both"/>
        <w:rPr>
          <w:rFonts w:ascii="Arial" w:hAnsi="Arial" w:cs="Arial"/>
          <w:kern w:val="0"/>
          <w:sz w:val="22"/>
          <w:szCs w:val="22"/>
        </w:rPr>
      </w:pPr>
      <w:r w:rsidRPr="00F861E3">
        <w:rPr>
          <w:rFonts w:ascii="Arial" w:hAnsi="Arial" w:cs="Arial"/>
          <w:kern w:val="0"/>
          <w:sz w:val="22"/>
          <w:szCs w:val="22"/>
        </w:rPr>
        <w:t xml:space="preserve">Grey, E.,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Baber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F., Corbett, E., Ellis, D.,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Gillison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F. and Barnett, J., 2024. The use of technology to address loneliness and social isolation among older adults: the role of social care </w:t>
      </w:r>
      <w:r w:rsidRPr="00F861E3">
        <w:rPr>
          <w:rFonts w:ascii="Arial" w:hAnsi="Arial" w:cs="Arial"/>
          <w:kern w:val="0"/>
          <w:sz w:val="22"/>
          <w:szCs w:val="22"/>
        </w:rPr>
        <w:lastRenderedPageBreak/>
        <w:t>providers. </w:t>
      </w:r>
      <w:r w:rsidRPr="00F861E3">
        <w:rPr>
          <w:rFonts w:ascii="Arial" w:hAnsi="Arial" w:cs="Arial"/>
          <w:i/>
          <w:iCs/>
          <w:kern w:val="0"/>
          <w:sz w:val="22"/>
          <w:szCs w:val="22"/>
        </w:rPr>
        <w:t>BMC Public Health</w:t>
      </w:r>
      <w:r w:rsidRPr="00F861E3">
        <w:rPr>
          <w:rFonts w:ascii="Arial" w:hAnsi="Arial" w:cs="Arial"/>
          <w:kern w:val="0"/>
          <w:sz w:val="22"/>
          <w:szCs w:val="22"/>
        </w:rPr>
        <w:t xml:space="preserve">, [online] 24(1), p.108. </w:t>
      </w:r>
      <w:hyperlink r:id="rId11" w:history="1">
        <w:r w:rsidRPr="00F861E3">
          <w:rPr>
            <w:rStyle w:val="Hyperlink"/>
            <w:rFonts w:ascii="Arial" w:hAnsi="Arial" w:cs="Arial"/>
            <w:kern w:val="0"/>
            <w:sz w:val="22"/>
            <w:szCs w:val="22"/>
          </w:rPr>
          <w:t>https://doi.org/10.1186/s12889-023-17386-w</w:t>
        </w:r>
      </w:hyperlink>
      <w:r w:rsidRPr="00F861E3">
        <w:rPr>
          <w:rFonts w:ascii="Arial" w:hAnsi="Arial" w:cs="Arial"/>
          <w:kern w:val="0"/>
          <w:sz w:val="22"/>
          <w:szCs w:val="22"/>
        </w:rPr>
        <w:t xml:space="preserve">. </w:t>
      </w:r>
    </w:p>
    <w:p w14:paraId="194EC724" w14:textId="76C6EA67" w:rsidR="00CC621D" w:rsidRPr="00F861E3" w:rsidRDefault="00CC621D" w:rsidP="00CC621D">
      <w:pPr>
        <w:widowControl w:val="0"/>
        <w:autoSpaceDE w:val="0"/>
        <w:autoSpaceDN w:val="0"/>
        <w:adjustRightInd w:val="0"/>
        <w:spacing w:after="240" w:line="360" w:lineRule="auto"/>
        <w:ind w:left="720" w:hanging="720"/>
        <w:jc w:val="both"/>
        <w:rPr>
          <w:rFonts w:ascii="Arial" w:hAnsi="Arial" w:cs="Arial"/>
          <w:kern w:val="0"/>
          <w:sz w:val="22"/>
          <w:szCs w:val="22"/>
        </w:rPr>
      </w:pPr>
      <w:r w:rsidRPr="00F861E3">
        <w:rPr>
          <w:rFonts w:ascii="Arial" w:hAnsi="Arial" w:cs="Arial"/>
          <w:kern w:val="0"/>
          <w:sz w:val="22"/>
          <w:szCs w:val="22"/>
        </w:rPr>
        <w:t xml:space="preserve">Hussain, B., Mirza, M., Baines, R., Burns, L., Stevens, S.,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Asthana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>, S. and Chatterjee, A., 2023. Loneliness and social networks of older adults in rural communities: a narrative synthesis systematic review. </w:t>
      </w:r>
      <w:r w:rsidRPr="00F861E3">
        <w:rPr>
          <w:rFonts w:ascii="Arial" w:hAnsi="Arial" w:cs="Arial"/>
          <w:i/>
          <w:iCs/>
          <w:kern w:val="0"/>
          <w:sz w:val="22"/>
          <w:szCs w:val="22"/>
        </w:rPr>
        <w:t>Frontiers in Public Health</w:t>
      </w:r>
      <w:r w:rsidRPr="00F861E3">
        <w:rPr>
          <w:rFonts w:ascii="Arial" w:hAnsi="Arial" w:cs="Arial"/>
          <w:kern w:val="0"/>
          <w:sz w:val="22"/>
          <w:szCs w:val="22"/>
        </w:rPr>
        <w:t xml:space="preserve">, [online] 11(1113864). </w:t>
      </w:r>
      <w:hyperlink r:id="rId12" w:history="1">
        <w:r w:rsidRPr="00F861E3">
          <w:rPr>
            <w:rStyle w:val="Hyperlink"/>
            <w:rFonts w:ascii="Arial" w:hAnsi="Arial" w:cs="Arial"/>
            <w:kern w:val="0"/>
            <w:sz w:val="22"/>
            <w:szCs w:val="22"/>
          </w:rPr>
          <w:t>https://doi.org/10.3389/fpubh.2023.1113864</w:t>
        </w:r>
      </w:hyperlink>
      <w:r w:rsidRPr="00F861E3">
        <w:rPr>
          <w:rFonts w:ascii="Arial" w:hAnsi="Arial" w:cs="Arial"/>
          <w:kern w:val="0"/>
          <w:sz w:val="22"/>
          <w:szCs w:val="22"/>
        </w:rPr>
        <w:t xml:space="preserve">. </w:t>
      </w:r>
    </w:p>
    <w:p w14:paraId="7E3A7BC1" w14:textId="1E46AA5A" w:rsidR="00CC621D" w:rsidRPr="00F861E3" w:rsidRDefault="00CC621D" w:rsidP="00CC621D">
      <w:pPr>
        <w:widowControl w:val="0"/>
        <w:autoSpaceDE w:val="0"/>
        <w:autoSpaceDN w:val="0"/>
        <w:adjustRightInd w:val="0"/>
        <w:spacing w:after="240" w:line="360" w:lineRule="auto"/>
        <w:ind w:left="720" w:hanging="720"/>
        <w:jc w:val="both"/>
        <w:rPr>
          <w:rFonts w:ascii="Arial" w:hAnsi="Arial" w:cs="Arial"/>
          <w:kern w:val="0"/>
          <w:sz w:val="22"/>
          <w:szCs w:val="22"/>
        </w:rPr>
      </w:pPr>
      <w:r w:rsidRPr="00F861E3">
        <w:rPr>
          <w:rFonts w:ascii="Arial" w:hAnsi="Arial" w:cs="Arial"/>
          <w:kern w:val="0"/>
          <w:sz w:val="22"/>
          <w:szCs w:val="22"/>
        </w:rPr>
        <w:t xml:space="preserve">Kebede, A.S.,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Ozolins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>, L.-L., Holst, H. and Galvin, K., 2022. Digital Engagement of Older Adults: Scoping Review. </w:t>
      </w:r>
      <w:r w:rsidRPr="00F861E3">
        <w:rPr>
          <w:rFonts w:ascii="Arial" w:hAnsi="Arial" w:cs="Arial"/>
          <w:i/>
          <w:iCs/>
          <w:kern w:val="0"/>
          <w:sz w:val="22"/>
          <w:szCs w:val="22"/>
        </w:rPr>
        <w:t>Journal of Medical Internet Research</w:t>
      </w:r>
      <w:r w:rsidRPr="00F861E3">
        <w:rPr>
          <w:rFonts w:ascii="Arial" w:hAnsi="Arial" w:cs="Arial"/>
          <w:kern w:val="0"/>
          <w:sz w:val="22"/>
          <w:szCs w:val="22"/>
        </w:rPr>
        <w:t xml:space="preserve">, 24(12), p.e40192. </w:t>
      </w:r>
      <w:hyperlink r:id="rId13" w:history="1">
        <w:r w:rsidRPr="00F861E3">
          <w:rPr>
            <w:rStyle w:val="Hyperlink"/>
            <w:rFonts w:ascii="Arial" w:hAnsi="Arial" w:cs="Arial"/>
            <w:kern w:val="0"/>
            <w:sz w:val="22"/>
            <w:szCs w:val="22"/>
          </w:rPr>
          <w:t>https://doi.org/10.2196/40192</w:t>
        </w:r>
      </w:hyperlink>
      <w:r w:rsidRPr="00F861E3">
        <w:rPr>
          <w:rFonts w:ascii="Arial" w:hAnsi="Arial" w:cs="Arial"/>
          <w:kern w:val="0"/>
          <w:sz w:val="22"/>
          <w:szCs w:val="22"/>
        </w:rPr>
        <w:t xml:space="preserve">. </w:t>
      </w:r>
    </w:p>
    <w:p w14:paraId="24AA867D" w14:textId="506DCA52" w:rsidR="00CC621D" w:rsidRPr="00F861E3" w:rsidRDefault="00CC621D" w:rsidP="00CC621D">
      <w:pPr>
        <w:widowControl w:val="0"/>
        <w:autoSpaceDE w:val="0"/>
        <w:autoSpaceDN w:val="0"/>
        <w:adjustRightInd w:val="0"/>
        <w:spacing w:after="240" w:line="360" w:lineRule="auto"/>
        <w:ind w:left="720" w:hanging="720"/>
        <w:jc w:val="both"/>
        <w:rPr>
          <w:rFonts w:ascii="Arial" w:hAnsi="Arial" w:cs="Arial"/>
          <w:kern w:val="0"/>
          <w:sz w:val="22"/>
          <w:szCs w:val="22"/>
        </w:rPr>
      </w:pPr>
      <w:r w:rsidRPr="00F861E3">
        <w:rPr>
          <w:rFonts w:ascii="Arial" w:hAnsi="Arial" w:cs="Arial"/>
          <w:kern w:val="0"/>
          <w:sz w:val="22"/>
          <w:szCs w:val="22"/>
        </w:rPr>
        <w:t>O‘G‘Li, A.S.N., 2024. THE IMPORTANCE OF SOCIAL ACTIVITY IN OLD AGE: A KEY FACTOR FOR PSYCHOLOGICAL WELL-BEING. </w:t>
      </w:r>
      <w:r w:rsidRPr="00F861E3">
        <w:rPr>
          <w:rFonts w:ascii="Arial" w:hAnsi="Arial" w:cs="Arial"/>
          <w:i/>
          <w:iCs/>
          <w:kern w:val="0"/>
          <w:sz w:val="22"/>
          <w:szCs w:val="22"/>
        </w:rPr>
        <w:t>Eurasian Journal of Social Sciences, Philosophy and Culture</w:t>
      </w:r>
      <w:r w:rsidRPr="00F861E3">
        <w:rPr>
          <w:rFonts w:ascii="Arial" w:hAnsi="Arial" w:cs="Arial"/>
          <w:kern w:val="0"/>
          <w:sz w:val="22"/>
          <w:szCs w:val="22"/>
        </w:rPr>
        <w:t xml:space="preserve">, [online] 4(10). Available at: </w:t>
      </w:r>
      <w:hyperlink r:id="rId14" w:history="1">
        <w:r w:rsidRPr="00F861E3">
          <w:rPr>
            <w:rStyle w:val="Hyperlink"/>
            <w:rFonts w:ascii="Arial" w:hAnsi="Arial" w:cs="Arial"/>
            <w:kern w:val="0"/>
            <w:sz w:val="22"/>
            <w:szCs w:val="22"/>
          </w:rPr>
          <w:t>https://cyberleninka.ru/article/n/the-importance-of-social-activity-in-old-age-a-key-factor-for-psychological-well-being</w:t>
        </w:r>
      </w:hyperlink>
      <w:r w:rsidRPr="00F861E3">
        <w:rPr>
          <w:rFonts w:ascii="Arial" w:hAnsi="Arial" w:cs="Arial"/>
          <w:kern w:val="0"/>
          <w:sz w:val="22"/>
          <w:szCs w:val="22"/>
        </w:rPr>
        <w:t xml:space="preserve"> </w:t>
      </w:r>
    </w:p>
    <w:p w14:paraId="3CF62820" w14:textId="135C0851" w:rsidR="00CC621D" w:rsidRPr="00F861E3" w:rsidRDefault="00CC621D" w:rsidP="00CC621D">
      <w:pPr>
        <w:widowControl w:val="0"/>
        <w:autoSpaceDE w:val="0"/>
        <w:autoSpaceDN w:val="0"/>
        <w:adjustRightInd w:val="0"/>
        <w:spacing w:after="240" w:line="360" w:lineRule="auto"/>
        <w:ind w:left="720" w:hanging="720"/>
        <w:jc w:val="both"/>
        <w:rPr>
          <w:rFonts w:ascii="Arial" w:hAnsi="Arial" w:cs="Arial"/>
          <w:kern w:val="0"/>
          <w:sz w:val="22"/>
          <w:szCs w:val="22"/>
        </w:rPr>
      </w:pPr>
      <w:proofErr w:type="spellStart"/>
      <w:r w:rsidRPr="00F861E3">
        <w:rPr>
          <w:rFonts w:ascii="Arial" w:hAnsi="Arial" w:cs="Arial"/>
          <w:kern w:val="0"/>
          <w:sz w:val="22"/>
          <w:szCs w:val="22"/>
        </w:rPr>
        <w:t>Paquet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C., Whitehead, J., Shah, R., Adams, A.M., Dooley, D.,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Spreng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R.N.,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Aunio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>, A.-L. and Dubé, L., 2023. Social Prescription Interventions Addressing Social Isolation and Loneliness in Older Adults: Meta-Review Integrating On-the-Ground Resources. </w:t>
      </w:r>
      <w:r w:rsidRPr="00F861E3">
        <w:rPr>
          <w:rFonts w:ascii="Arial" w:hAnsi="Arial" w:cs="Arial"/>
          <w:i/>
          <w:iCs/>
          <w:kern w:val="0"/>
          <w:sz w:val="22"/>
          <w:szCs w:val="22"/>
        </w:rPr>
        <w:t>Journal of Medical Internet Research</w:t>
      </w:r>
      <w:r w:rsidRPr="00F861E3">
        <w:rPr>
          <w:rFonts w:ascii="Arial" w:hAnsi="Arial" w:cs="Arial"/>
          <w:kern w:val="0"/>
          <w:sz w:val="22"/>
          <w:szCs w:val="22"/>
        </w:rPr>
        <w:t xml:space="preserve">, 25(1), p.e40213. </w:t>
      </w:r>
      <w:hyperlink r:id="rId15" w:history="1">
        <w:r w:rsidRPr="00F861E3">
          <w:rPr>
            <w:rStyle w:val="Hyperlink"/>
            <w:rFonts w:ascii="Arial" w:hAnsi="Arial" w:cs="Arial"/>
            <w:kern w:val="0"/>
            <w:sz w:val="22"/>
            <w:szCs w:val="22"/>
          </w:rPr>
          <w:t>https://doi.org/10.2196/40213</w:t>
        </w:r>
      </w:hyperlink>
      <w:r w:rsidRPr="00F861E3">
        <w:rPr>
          <w:rFonts w:ascii="Arial" w:hAnsi="Arial" w:cs="Arial"/>
          <w:kern w:val="0"/>
          <w:sz w:val="22"/>
          <w:szCs w:val="22"/>
        </w:rPr>
        <w:t xml:space="preserve">. </w:t>
      </w:r>
    </w:p>
    <w:p w14:paraId="4A6E2EBD" w14:textId="5AAD28C4" w:rsidR="00CC621D" w:rsidRPr="00F861E3" w:rsidRDefault="00CC621D" w:rsidP="00CC621D">
      <w:pPr>
        <w:widowControl w:val="0"/>
        <w:autoSpaceDE w:val="0"/>
        <w:autoSpaceDN w:val="0"/>
        <w:adjustRightInd w:val="0"/>
        <w:spacing w:after="240" w:line="360" w:lineRule="auto"/>
        <w:ind w:left="720" w:hanging="720"/>
        <w:jc w:val="both"/>
        <w:rPr>
          <w:rFonts w:ascii="Arial" w:hAnsi="Arial" w:cs="Arial"/>
          <w:kern w:val="0"/>
          <w:sz w:val="22"/>
          <w:szCs w:val="22"/>
        </w:rPr>
      </w:pPr>
      <w:r w:rsidRPr="00F861E3">
        <w:rPr>
          <w:rFonts w:ascii="Arial" w:hAnsi="Arial" w:cs="Arial"/>
          <w:kern w:val="0"/>
          <w:sz w:val="22"/>
          <w:szCs w:val="22"/>
        </w:rPr>
        <w:t xml:space="preserve">Reynolds, C.F.,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Jeste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D.V.,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Sachdev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>, P.S. and Blazer, D.G., 2022. Mental health care for older adults: Recent advances and new directions in clinical practice and research. </w:t>
      </w:r>
      <w:r w:rsidRPr="00F861E3">
        <w:rPr>
          <w:rFonts w:ascii="Arial" w:hAnsi="Arial" w:cs="Arial"/>
          <w:i/>
          <w:iCs/>
          <w:kern w:val="0"/>
          <w:sz w:val="22"/>
          <w:szCs w:val="22"/>
        </w:rPr>
        <w:t>World Psychiatry</w:t>
      </w:r>
      <w:r w:rsidRPr="00F861E3">
        <w:rPr>
          <w:rFonts w:ascii="Arial" w:hAnsi="Arial" w:cs="Arial"/>
          <w:kern w:val="0"/>
          <w:sz w:val="22"/>
          <w:szCs w:val="22"/>
        </w:rPr>
        <w:t xml:space="preserve">, 21(3), pp.336–363. </w:t>
      </w:r>
      <w:hyperlink r:id="rId16" w:history="1">
        <w:r w:rsidRPr="00F861E3">
          <w:rPr>
            <w:rStyle w:val="Hyperlink"/>
            <w:rFonts w:ascii="Arial" w:hAnsi="Arial" w:cs="Arial"/>
            <w:kern w:val="0"/>
            <w:sz w:val="22"/>
            <w:szCs w:val="22"/>
          </w:rPr>
          <w:t>https://doi.org/10.1002/wps.20996</w:t>
        </w:r>
      </w:hyperlink>
      <w:r w:rsidRPr="00F861E3">
        <w:rPr>
          <w:rFonts w:ascii="Arial" w:hAnsi="Arial" w:cs="Arial"/>
          <w:kern w:val="0"/>
          <w:sz w:val="22"/>
          <w:szCs w:val="22"/>
        </w:rPr>
        <w:t xml:space="preserve">. </w:t>
      </w:r>
    </w:p>
    <w:p w14:paraId="0003DDB5" w14:textId="33B40E6E" w:rsidR="00CC621D" w:rsidRPr="00F861E3" w:rsidRDefault="00CC621D" w:rsidP="00CC621D">
      <w:pPr>
        <w:widowControl w:val="0"/>
        <w:autoSpaceDE w:val="0"/>
        <w:autoSpaceDN w:val="0"/>
        <w:adjustRightInd w:val="0"/>
        <w:spacing w:after="240" w:line="360" w:lineRule="auto"/>
        <w:ind w:left="720" w:hanging="720"/>
        <w:jc w:val="both"/>
        <w:rPr>
          <w:rFonts w:ascii="Arial" w:hAnsi="Arial" w:cs="Arial"/>
          <w:kern w:val="0"/>
          <w:sz w:val="22"/>
          <w:szCs w:val="22"/>
        </w:rPr>
      </w:pPr>
      <w:proofErr w:type="spellStart"/>
      <w:r w:rsidRPr="00F861E3">
        <w:rPr>
          <w:rFonts w:ascii="Arial" w:hAnsi="Arial" w:cs="Arial"/>
          <w:kern w:val="0"/>
          <w:sz w:val="22"/>
          <w:szCs w:val="22"/>
        </w:rPr>
        <w:t>Sawik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B.,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Tobis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S., Baum, E.,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Suwalska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A.,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Kropińska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S.,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Stachnik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K.,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Pérez-Bernabeu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E.,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Cildoz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M., Agustin, A. and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Wieczorowska-Tobis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>, K., 2023. Robots for elderly care: Review, multi-criteria optimization model and qualitative case study. </w:t>
      </w:r>
      <w:r w:rsidRPr="00F861E3">
        <w:rPr>
          <w:rFonts w:ascii="Arial" w:hAnsi="Arial" w:cs="Arial"/>
          <w:i/>
          <w:iCs/>
          <w:kern w:val="0"/>
          <w:sz w:val="22"/>
          <w:szCs w:val="22"/>
        </w:rPr>
        <w:t>Healthcare</w:t>
      </w:r>
      <w:r w:rsidRPr="00F861E3">
        <w:rPr>
          <w:rFonts w:ascii="Arial" w:hAnsi="Arial" w:cs="Arial"/>
          <w:kern w:val="0"/>
          <w:sz w:val="22"/>
          <w:szCs w:val="22"/>
        </w:rPr>
        <w:t xml:space="preserve">, 11(9), p.1286. </w:t>
      </w:r>
      <w:hyperlink r:id="rId17" w:history="1">
        <w:r w:rsidRPr="00F861E3">
          <w:rPr>
            <w:rStyle w:val="Hyperlink"/>
            <w:rFonts w:ascii="Arial" w:hAnsi="Arial" w:cs="Arial"/>
            <w:kern w:val="0"/>
            <w:sz w:val="22"/>
            <w:szCs w:val="22"/>
          </w:rPr>
          <w:t>https://doi.org/10.3390/healthcare11091286</w:t>
        </w:r>
      </w:hyperlink>
      <w:r w:rsidRPr="00F861E3">
        <w:rPr>
          <w:rFonts w:ascii="Arial" w:hAnsi="Arial" w:cs="Arial"/>
          <w:kern w:val="0"/>
          <w:sz w:val="22"/>
          <w:szCs w:val="22"/>
        </w:rPr>
        <w:t xml:space="preserve">. </w:t>
      </w:r>
    </w:p>
    <w:p w14:paraId="2F5D2273" w14:textId="4F927DBD" w:rsidR="00CC621D" w:rsidRPr="00F861E3" w:rsidRDefault="00CC621D" w:rsidP="00CC621D">
      <w:pPr>
        <w:widowControl w:val="0"/>
        <w:autoSpaceDE w:val="0"/>
        <w:autoSpaceDN w:val="0"/>
        <w:adjustRightInd w:val="0"/>
        <w:spacing w:after="240" w:line="360" w:lineRule="auto"/>
        <w:ind w:left="720" w:hanging="720"/>
        <w:jc w:val="both"/>
        <w:rPr>
          <w:rFonts w:ascii="Arial" w:hAnsi="Arial" w:cs="Arial"/>
          <w:kern w:val="0"/>
          <w:sz w:val="22"/>
          <w:szCs w:val="22"/>
        </w:rPr>
      </w:pPr>
      <w:r w:rsidRPr="00F861E3">
        <w:rPr>
          <w:rFonts w:ascii="Arial" w:hAnsi="Arial" w:cs="Arial"/>
          <w:kern w:val="0"/>
          <w:sz w:val="22"/>
          <w:szCs w:val="22"/>
        </w:rPr>
        <w:t xml:space="preserve">Sen, K.,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Prybutok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G. and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Prybutok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>, V., 2022. The use of digital technology for social wellbeing reduces social isolation in older adults: A systematic review. </w:t>
      </w:r>
      <w:r w:rsidRPr="00F861E3">
        <w:rPr>
          <w:rFonts w:ascii="Arial" w:hAnsi="Arial" w:cs="Arial"/>
          <w:i/>
          <w:iCs/>
          <w:kern w:val="0"/>
          <w:sz w:val="22"/>
          <w:szCs w:val="22"/>
        </w:rPr>
        <w:t>SSM - Population Health</w:t>
      </w:r>
      <w:r w:rsidRPr="00F861E3">
        <w:rPr>
          <w:rFonts w:ascii="Arial" w:hAnsi="Arial" w:cs="Arial"/>
          <w:kern w:val="0"/>
          <w:sz w:val="22"/>
          <w:szCs w:val="22"/>
        </w:rPr>
        <w:t xml:space="preserve">, [online] 17(101020), p.101020. </w:t>
      </w:r>
      <w:hyperlink r:id="rId18" w:history="1">
        <w:r w:rsidRPr="00F861E3">
          <w:rPr>
            <w:rStyle w:val="Hyperlink"/>
            <w:rFonts w:ascii="Arial" w:hAnsi="Arial" w:cs="Arial"/>
            <w:kern w:val="0"/>
            <w:sz w:val="22"/>
            <w:szCs w:val="22"/>
          </w:rPr>
          <w:t>https://doi.org/10.1016/j.ssmph.2021.101020</w:t>
        </w:r>
      </w:hyperlink>
      <w:r w:rsidRPr="00F861E3">
        <w:rPr>
          <w:rFonts w:ascii="Arial" w:hAnsi="Arial" w:cs="Arial"/>
          <w:kern w:val="0"/>
          <w:sz w:val="22"/>
          <w:szCs w:val="22"/>
        </w:rPr>
        <w:t xml:space="preserve">. </w:t>
      </w:r>
    </w:p>
    <w:p w14:paraId="22FF6A60" w14:textId="3A8BC8DB" w:rsidR="00CC621D" w:rsidRPr="00F861E3" w:rsidRDefault="00CC621D" w:rsidP="00CC621D">
      <w:pPr>
        <w:widowControl w:val="0"/>
        <w:autoSpaceDE w:val="0"/>
        <w:autoSpaceDN w:val="0"/>
        <w:adjustRightInd w:val="0"/>
        <w:spacing w:after="240" w:line="360" w:lineRule="auto"/>
        <w:ind w:left="720" w:hanging="720"/>
        <w:jc w:val="both"/>
        <w:rPr>
          <w:rFonts w:ascii="Arial" w:hAnsi="Arial" w:cs="Arial"/>
          <w:kern w:val="0"/>
          <w:sz w:val="22"/>
          <w:szCs w:val="22"/>
        </w:rPr>
      </w:pPr>
      <w:r w:rsidRPr="00F861E3">
        <w:rPr>
          <w:rFonts w:ascii="Arial" w:hAnsi="Arial" w:cs="Arial"/>
          <w:kern w:val="0"/>
          <w:sz w:val="22"/>
          <w:szCs w:val="22"/>
        </w:rPr>
        <w:lastRenderedPageBreak/>
        <w:t xml:space="preserve">Sum, G.,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Lau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L.K., Jabbar, K.A.,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Lun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>, P., George, P.P., Munro, Y.L. and Ding, Y.Y., 2022. The World Health Organization (WHO) Integrated Care for Older People (ICOPE) Framework: A Narrative Review on Its Adoption Worldwide and Lessons Learnt. </w:t>
      </w:r>
      <w:r w:rsidRPr="00F861E3">
        <w:rPr>
          <w:rFonts w:ascii="Arial" w:hAnsi="Arial" w:cs="Arial"/>
          <w:i/>
          <w:iCs/>
          <w:kern w:val="0"/>
          <w:sz w:val="22"/>
          <w:szCs w:val="22"/>
        </w:rPr>
        <w:t>International Journal of Environmental Research and Public Health</w:t>
      </w:r>
      <w:r w:rsidRPr="00F861E3">
        <w:rPr>
          <w:rFonts w:ascii="Arial" w:hAnsi="Arial" w:cs="Arial"/>
          <w:kern w:val="0"/>
          <w:sz w:val="22"/>
          <w:szCs w:val="22"/>
        </w:rPr>
        <w:t xml:space="preserve">, 20(1), p.154. </w:t>
      </w:r>
      <w:hyperlink r:id="rId19" w:history="1">
        <w:r w:rsidRPr="00F861E3">
          <w:rPr>
            <w:rStyle w:val="Hyperlink"/>
            <w:rFonts w:ascii="Arial" w:hAnsi="Arial" w:cs="Arial"/>
            <w:kern w:val="0"/>
            <w:sz w:val="22"/>
            <w:szCs w:val="22"/>
          </w:rPr>
          <w:t>https://doi.org/10.3390/ijerph20010154</w:t>
        </w:r>
      </w:hyperlink>
      <w:r w:rsidRPr="00F861E3">
        <w:rPr>
          <w:rFonts w:ascii="Arial" w:hAnsi="Arial" w:cs="Arial"/>
          <w:kern w:val="0"/>
          <w:sz w:val="22"/>
          <w:szCs w:val="22"/>
        </w:rPr>
        <w:t xml:space="preserve">. </w:t>
      </w:r>
    </w:p>
    <w:p w14:paraId="3BA0A8F3" w14:textId="1725004A" w:rsidR="00CC621D" w:rsidRPr="00F861E3" w:rsidRDefault="00CC621D" w:rsidP="00CC621D">
      <w:pPr>
        <w:widowControl w:val="0"/>
        <w:autoSpaceDE w:val="0"/>
        <w:autoSpaceDN w:val="0"/>
        <w:adjustRightInd w:val="0"/>
        <w:spacing w:after="240" w:line="360" w:lineRule="auto"/>
        <w:ind w:left="720" w:hanging="720"/>
        <w:jc w:val="both"/>
        <w:rPr>
          <w:rFonts w:ascii="Arial" w:hAnsi="Arial" w:cs="Arial"/>
          <w:kern w:val="0"/>
          <w:sz w:val="22"/>
          <w:szCs w:val="22"/>
        </w:rPr>
      </w:pPr>
      <w:r w:rsidRPr="00F861E3">
        <w:rPr>
          <w:rFonts w:ascii="Arial" w:hAnsi="Arial" w:cs="Arial"/>
          <w:kern w:val="0"/>
          <w:sz w:val="22"/>
          <w:szCs w:val="22"/>
        </w:rPr>
        <w:t>Wu, C. and Lim, G.G., 2024. Investigating older adults users’ willingness to adopt wearable devices by integrating the technology acceptance model (UTAUT2) and the Technology Readiness Index theory. </w:t>
      </w:r>
      <w:r w:rsidRPr="00F861E3">
        <w:rPr>
          <w:rFonts w:ascii="Arial" w:hAnsi="Arial" w:cs="Arial"/>
          <w:i/>
          <w:iCs/>
          <w:kern w:val="0"/>
          <w:sz w:val="22"/>
          <w:szCs w:val="22"/>
        </w:rPr>
        <w:t>Frontiers in Public Health</w:t>
      </w:r>
      <w:r w:rsidRPr="00F861E3">
        <w:rPr>
          <w:rFonts w:ascii="Arial" w:hAnsi="Arial" w:cs="Arial"/>
          <w:kern w:val="0"/>
          <w:sz w:val="22"/>
          <w:szCs w:val="22"/>
        </w:rPr>
        <w:t xml:space="preserve">, 12. </w:t>
      </w:r>
      <w:hyperlink r:id="rId20" w:history="1">
        <w:r w:rsidRPr="00F861E3">
          <w:rPr>
            <w:rStyle w:val="Hyperlink"/>
            <w:rFonts w:ascii="Arial" w:hAnsi="Arial" w:cs="Arial"/>
            <w:kern w:val="0"/>
            <w:sz w:val="22"/>
            <w:szCs w:val="22"/>
          </w:rPr>
          <w:t>https://doi.org/10.3389/fpubh.2024.1449594</w:t>
        </w:r>
      </w:hyperlink>
      <w:r w:rsidRPr="00F861E3">
        <w:rPr>
          <w:rFonts w:ascii="Arial" w:hAnsi="Arial" w:cs="Arial"/>
          <w:kern w:val="0"/>
          <w:sz w:val="22"/>
          <w:szCs w:val="22"/>
        </w:rPr>
        <w:t xml:space="preserve">. </w:t>
      </w:r>
    </w:p>
    <w:p w14:paraId="1D7E39B9" w14:textId="02BDEFB1" w:rsidR="00CC621D" w:rsidRPr="00F861E3" w:rsidRDefault="00CC621D" w:rsidP="00CC621D">
      <w:pPr>
        <w:widowControl w:val="0"/>
        <w:autoSpaceDE w:val="0"/>
        <w:autoSpaceDN w:val="0"/>
        <w:adjustRightInd w:val="0"/>
        <w:spacing w:after="240" w:line="360" w:lineRule="auto"/>
        <w:ind w:left="720" w:hanging="720"/>
        <w:jc w:val="both"/>
        <w:rPr>
          <w:rFonts w:ascii="Arial" w:hAnsi="Arial" w:cs="Arial"/>
          <w:kern w:val="0"/>
          <w:sz w:val="22"/>
          <w:szCs w:val="22"/>
        </w:rPr>
      </w:pPr>
      <w:r w:rsidRPr="00F861E3">
        <w:rPr>
          <w:rFonts w:ascii="Arial" w:hAnsi="Arial" w:cs="Arial"/>
          <w:kern w:val="0"/>
          <w:sz w:val="22"/>
          <w:szCs w:val="22"/>
        </w:rPr>
        <w:t xml:space="preserve">Ye, J., He, L. and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Beestrum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M., 2023. Implications for implementation and adoption of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telehealth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 in developing countries: a systematic review of China’s practices and experiences. </w:t>
      </w:r>
      <w:r w:rsidRPr="00F861E3">
        <w:rPr>
          <w:rFonts w:ascii="Arial" w:hAnsi="Arial" w:cs="Arial"/>
          <w:i/>
          <w:iCs/>
          <w:kern w:val="0"/>
          <w:sz w:val="22"/>
          <w:szCs w:val="22"/>
        </w:rPr>
        <w:t>NPJ Digital Medicine</w:t>
      </w:r>
      <w:r w:rsidRPr="00F861E3">
        <w:rPr>
          <w:rFonts w:ascii="Arial" w:hAnsi="Arial" w:cs="Arial"/>
          <w:kern w:val="0"/>
          <w:sz w:val="22"/>
          <w:szCs w:val="22"/>
        </w:rPr>
        <w:t xml:space="preserve">, 6(1), pp.1–14. </w:t>
      </w:r>
      <w:hyperlink r:id="rId21" w:history="1">
        <w:r w:rsidRPr="00F861E3">
          <w:rPr>
            <w:rStyle w:val="Hyperlink"/>
            <w:rFonts w:ascii="Arial" w:hAnsi="Arial" w:cs="Arial"/>
            <w:kern w:val="0"/>
            <w:sz w:val="22"/>
            <w:szCs w:val="22"/>
          </w:rPr>
          <w:t>https://doi.org/10.1038/s41746-023-00908-6</w:t>
        </w:r>
      </w:hyperlink>
      <w:r w:rsidRPr="00F861E3">
        <w:rPr>
          <w:rFonts w:ascii="Arial" w:hAnsi="Arial" w:cs="Arial"/>
          <w:kern w:val="0"/>
          <w:sz w:val="22"/>
          <w:szCs w:val="22"/>
        </w:rPr>
        <w:t xml:space="preserve">. </w:t>
      </w:r>
    </w:p>
    <w:p w14:paraId="0E793C49" w14:textId="3E0F9D50" w:rsidR="00CC621D" w:rsidRPr="00F861E3" w:rsidRDefault="00CC621D" w:rsidP="00CC621D">
      <w:pPr>
        <w:widowControl w:val="0"/>
        <w:autoSpaceDE w:val="0"/>
        <w:autoSpaceDN w:val="0"/>
        <w:adjustRightInd w:val="0"/>
        <w:spacing w:after="240" w:line="360" w:lineRule="auto"/>
        <w:ind w:left="720" w:hanging="720"/>
        <w:jc w:val="both"/>
        <w:rPr>
          <w:rFonts w:ascii="Arial" w:hAnsi="Arial" w:cs="Arial"/>
          <w:kern w:val="0"/>
          <w:sz w:val="22"/>
          <w:szCs w:val="22"/>
        </w:rPr>
      </w:pPr>
      <w:r w:rsidRPr="00F861E3">
        <w:rPr>
          <w:rFonts w:ascii="Arial" w:hAnsi="Arial" w:cs="Arial"/>
          <w:kern w:val="0"/>
          <w:sz w:val="22"/>
          <w:szCs w:val="22"/>
        </w:rPr>
        <w:t>Zhang, M., 2023. Older people’s attitudes towards emerging technologies: A systematic literature review. </w:t>
      </w:r>
      <w:r w:rsidRPr="00F861E3">
        <w:rPr>
          <w:rFonts w:ascii="Arial" w:hAnsi="Arial" w:cs="Arial"/>
          <w:i/>
          <w:iCs/>
          <w:kern w:val="0"/>
          <w:sz w:val="22"/>
          <w:szCs w:val="22"/>
        </w:rPr>
        <w:t>Public Understanding of Science</w:t>
      </w:r>
      <w:r w:rsidRPr="00F861E3">
        <w:rPr>
          <w:rFonts w:ascii="Arial" w:hAnsi="Arial" w:cs="Arial"/>
          <w:kern w:val="0"/>
          <w:sz w:val="22"/>
          <w:szCs w:val="22"/>
        </w:rPr>
        <w:t xml:space="preserve">, 32(8), p.096366252311716-096366252311716. </w:t>
      </w:r>
      <w:hyperlink r:id="rId22" w:history="1">
        <w:r w:rsidRPr="00F861E3">
          <w:rPr>
            <w:rStyle w:val="Hyperlink"/>
            <w:rFonts w:ascii="Arial" w:hAnsi="Arial" w:cs="Arial"/>
            <w:kern w:val="0"/>
            <w:sz w:val="22"/>
            <w:szCs w:val="22"/>
          </w:rPr>
          <w:t>https://doi.org/10.1177/09636625231171677</w:t>
        </w:r>
      </w:hyperlink>
      <w:r w:rsidRPr="00F861E3">
        <w:rPr>
          <w:rFonts w:ascii="Arial" w:hAnsi="Arial" w:cs="Arial"/>
          <w:kern w:val="0"/>
          <w:sz w:val="22"/>
          <w:szCs w:val="22"/>
        </w:rPr>
        <w:t xml:space="preserve">. </w:t>
      </w:r>
    </w:p>
    <w:p w14:paraId="411D83B1" w14:textId="2C28557E" w:rsidR="00FE334F" w:rsidRPr="00F861E3" w:rsidRDefault="00CC621D" w:rsidP="00CC621D">
      <w:pPr>
        <w:widowControl w:val="0"/>
        <w:autoSpaceDE w:val="0"/>
        <w:autoSpaceDN w:val="0"/>
        <w:adjustRightInd w:val="0"/>
        <w:spacing w:after="240" w:line="360" w:lineRule="auto"/>
        <w:ind w:left="720" w:hanging="720"/>
        <w:jc w:val="both"/>
        <w:rPr>
          <w:rFonts w:ascii="Arial" w:hAnsi="Arial" w:cs="Arial"/>
          <w:kern w:val="0"/>
          <w:sz w:val="22"/>
          <w:szCs w:val="22"/>
        </w:rPr>
      </w:pPr>
      <w:r w:rsidRPr="00F861E3">
        <w:rPr>
          <w:rFonts w:ascii="Arial" w:hAnsi="Arial" w:cs="Arial"/>
          <w:kern w:val="0"/>
          <w:sz w:val="22"/>
          <w:szCs w:val="22"/>
        </w:rPr>
        <w:t xml:space="preserve">Zhu, J.,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Shi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K., Yang, C.,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Niu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 xml:space="preserve">, Y., </w:t>
      </w:r>
      <w:proofErr w:type="spellStart"/>
      <w:r w:rsidRPr="00F861E3">
        <w:rPr>
          <w:rFonts w:ascii="Arial" w:hAnsi="Arial" w:cs="Arial"/>
          <w:kern w:val="0"/>
          <w:sz w:val="22"/>
          <w:szCs w:val="22"/>
        </w:rPr>
        <w:t>Zeng</w:t>
      </w:r>
      <w:proofErr w:type="spellEnd"/>
      <w:r w:rsidRPr="00F861E3">
        <w:rPr>
          <w:rFonts w:ascii="Arial" w:hAnsi="Arial" w:cs="Arial"/>
          <w:kern w:val="0"/>
          <w:sz w:val="22"/>
          <w:szCs w:val="22"/>
        </w:rPr>
        <w:t>, Y., Zhang, N., Liu, T. and Chu, C.H., 2021. Ethical Issues of Smart Home</w:t>
      </w:r>
      <w:r w:rsidRPr="00F861E3">
        <w:rPr>
          <w:rFonts w:ascii="Cambria Math" w:hAnsi="Cambria Math" w:cs="Cambria Math"/>
          <w:kern w:val="0"/>
          <w:sz w:val="22"/>
          <w:szCs w:val="22"/>
        </w:rPr>
        <w:t>‐</w:t>
      </w:r>
      <w:r w:rsidRPr="00F861E3">
        <w:rPr>
          <w:rFonts w:ascii="Arial" w:hAnsi="Arial" w:cs="Arial"/>
          <w:kern w:val="0"/>
          <w:sz w:val="22"/>
          <w:szCs w:val="22"/>
        </w:rPr>
        <w:t>based Elderly care: a Scoping Review. </w:t>
      </w:r>
      <w:r w:rsidRPr="00F861E3">
        <w:rPr>
          <w:rFonts w:ascii="Arial" w:hAnsi="Arial" w:cs="Arial"/>
          <w:i/>
          <w:iCs/>
          <w:kern w:val="0"/>
          <w:sz w:val="22"/>
          <w:szCs w:val="22"/>
        </w:rPr>
        <w:t>Journal of Nursing Management</w:t>
      </w:r>
      <w:r w:rsidRPr="00F861E3">
        <w:rPr>
          <w:rFonts w:ascii="Arial" w:hAnsi="Arial" w:cs="Arial"/>
          <w:kern w:val="0"/>
          <w:sz w:val="22"/>
          <w:szCs w:val="22"/>
        </w:rPr>
        <w:t xml:space="preserve">, 30(8). </w:t>
      </w:r>
      <w:hyperlink r:id="rId23" w:history="1">
        <w:r w:rsidRPr="00F861E3">
          <w:rPr>
            <w:rStyle w:val="Hyperlink"/>
            <w:rFonts w:ascii="Arial" w:hAnsi="Arial" w:cs="Arial"/>
            <w:kern w:val="0"/>
            <w:sz w:val="22"/>
            <w:szCs w:val="22"/>
          </w:rPr>
          <w:t>https://doi.org/10.1111/jonm.13521</w:t>
        </w:r>
      </w:hyperlink>
      <w:r w:rsidRPr="00F861E3">
        <w:rPr>
          <w:rFonts w:ascii="Arial" w:hAnsi="Arial" w:cs="Arial"/>
          <w:kern w:val="0"/>
          <w:sz w:val="22"/>
          <w:szCs w:val="22"/>
        </w:rPr>
        <w:t xml:space="preserve">. </w:t>
      </w:r>
    </w:p>
    <w:sectPr w:rsidR="00FE334F" w:rsidRPr="00F861E3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8"/>
  <w:embedSystemFonts/>
  <w:bordersDoNotSurroundHeader/>
  <w:bordersDoNotSurroundFooter/>
  <w:proofState w:spelling="clean"/>
  <w:revisionView w:inkAnnotation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21D"/>
    <w:rsid w:val="00303D10"/>
    <w:rsid w:val="003D671C"/>
    <w:rsid w:val="004E227B"/>
    <w:rsid w:val="005711B7"/>
    <w:rsid w:val="006622F5"/>
    <w:rsid w:val="00B6651B"/>
    <w:rsid w:val="00C47722"/>
    <w:rsid w:val="00CC621D"/>
    <w:rsid w:val="00E613C3"/>
    <w:rsid w:val="00F861E3"/>
    <w:rsid w:val="00FE3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A2D3EF"/>
  <w14:defaultImageDpi w14:val="0"/>
  <w15:docId w15:val="{806DA1E3-1676-41C1-BB6E-3FECF6AE8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C62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62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93/geront/gnab167" TargetMode="External"/><Relationship Id="rId13" Type="http://schemas.openxmlformats.org/officeDocument/2006/relationships/hyperlink" Target="https://doi.org/10.2196/40192" TargetMode="External"/><Relationship Id="rId18" Type="http://schemas.openxmlformats.org/officeDocument/2006/relationships/hyperlink" Target="https://doi.org/10.1016/j.ssmph.2021.10102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oi.org/10.1038/s41746-023-00908-6" TargetMode="External"/><Relationship Id="rId7" Type="http://schemas.openxmlformats.org/officeDocument/2006/relationships/hyperlink" Target="https://doi.org/10.2196/40125" TargetMode="External"/><Relationship Id="rId12" Type="http://schemas.openxmlformats.org/officeDocument/2006/relationships/hyperlink" Target="https://doi.org/10.3389/fpubh.2023.1113864" TargetMode="External"/><Relationship Id="rId17" Type="http://schemas.openxmlformats.org/officeDocument/2006/relationships/hyperlink" Target="https://doi.org/10.3390/healthcare11091286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doi.org/10.1002/wps.20996" TargetMode="External"/><Relationship Id="rId20" Type="http://schemas.openxmlformats.org/officeDocument/2006/relationships/hyperlink" Target="https://doi.org/10.3389/fpubh.2024.1449594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3390/ijerph19148287" TargetMode="External"/><Relationship Id="rId11" Type="http://schemas.openxmlformats.org/officeDocument/2006/relationships/hyperlink" Target="https://doi.org/10.1186/s12889-023-17386-w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doi.org/10.1007/s42979-022-01016-0" TargetMode="External"/><Relationship Id="rId15" Type="http://schemas.openxmlformats.org/officeDocument/2006/relationships/hyperlink" Target="https://doi.org/10.2196/40213" TargetMode="External"/><Relationship Id="rId23" Type="http://schemas.openxmlformats.org/officeDocument/2006/relationships/hyperlink" Target="https://doi.org/10.1111/jonm.13521" TargetMode="External"/><Relationship Id="rId10" Type="http://schemas.openxmlformats.org/officeDocument/2006/relationships/hyperlink" Target="https://cmls.org.uk/online/wp-content/uploads/2019/07/Understanding-health-and-social-care.pdf" TargetMode="External"/><Relationship Id="rId19" Type="http://schemas.openxmlformats.org/officeDocument/2006/relationships/hyperlink" Target="https://doi.org/10.3390/ijerph20010154" TargetMode="External"/><Relationship Id="rId4" Type="http://schemas.openxmlformats.org/officeDocument/2006/relationships/hyperlink" Target="https://doi.org/10.1016/j.hlpt.2022.100595" TargetMode="External"/><Relationship Id="rId9" Type="http://schemas.openxmlformats.org/officeDocument/2006/relationships/hyperlink" Target="https://doi.org/10.1007/s40520-025-03021-8" TargetMode="External"/><Relationship Id="rId14" Type="http://schemas.openxmlformats.org/officeDocument/2006/relationships/hyperlink" Target="https://cyberleninka.ru/article/n/the-importance-of-social-activity-in-old-age-a-key-factor-for-psychological-well-being" TargetMode="External"/><Relationship Id="rId22" Type="http://schemas.openxmlformats.org/officeDocument/2006/relationships/hyperlink" Target="https://doi.org/10.1177/096366252311716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687</Words>
  <Characters>6184</Characters>
  <Application>Microsoft Office Word</Application>
  <DocSecurity>0</DocSecurity>
  <Lines>51</Lines>
  <Paragraphs>13</Paragraphs>
  <ScaleCrop>false</ScaleCrop>
  <Company/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Iqbal</dc:creator>
  <cp:keywords/>
  <dc:description/>
  <cp:lastModifiedBy>warda ibrahim</cp:lastModifiedBy>
  <cp:revision>5</cp:revision>
  <dcterms:created xsi:type="dcterms:W3CDTF">2026-04-09T21:40:00Z</dcterms:created>
  <dcterms:modified xsi:type="dcterms:W3CDTF">2026-04-09T22:05:00Z</dcterms:modified>
</cp:coreProperties>
</file>