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09BEA8" w14:textId="467FE15A" w:rsidR="00FA751B" w:rsidRDefault="00FA751B" w:rsidP="00FA751B"/>
    <w:p w14:paraId="3CE3EE60" w14:textId="77777777" w:rsidR="00FA751B" w:rsidRDefault="00FA751B" w:rsidP="00FA751B"/>
    <w:p w14:paraId="25D1F177" w14:textId="77777777" w:rsidR="00FA751B" w:rsidRDefault="00FA751B" w:rsidP="00FA751B"/>
    <w:p w14:paraId="7DA79D58" w14:textId="4DF566A5" w:rsidR="005E32E0" w:rsidRDefault="005E32E0"/>
    <w:p w14:paraId="4AEE8DD8" w14:textId="32F51675" w:rsidR="00B61F26" w:rsidRDefault="00B61F26"/>
    <w:p w14:paraId="3CC464B8" w14:textId="77777777" w:rsidR="00B61F26" w:rsidRDefault="00B61F26"/>
    <w:p w14:paraId="5558CB19" w14:textId="77777777" w:rsidR="00B61F26" w:rsidRPr="00651C49" w:rsidRDefault="00B61F26">
      <w:pPr>
        <w:rPr>
          <w:b/>
          <w:bCs/>
        </w:rPr>
      </w:pPr>
      <w:r w:rsidRPr="00651C49">
        <w:rPr>
          <w:b/>
          <w:bCs/>
        </w:rPr>
        <w:t xml:space="preserve">**INTERNATIONAL FINANCIAL MAINTENANCE (LCBB6002_BIRM)**  </w:t>
      </w:r>
    </w:p>
    <w:p w14:paraId="4A745945" w14:textId="77777777" w:rsidR="00B61F26" w:rsidRDefault="00B61F26">
      <w:r>
        <w:t xml:space="preserve">**Lecturer:** </w:t>
      </w:r>
      <w:proofErr w:type="spellStart"/>
      <w:r>
        <w:t>Dr.</w:t>
      </w:r>
      <w:proofErr w:type="spellEnd"/>
      <w:r>
        <w:t xml:space="preserve"> Patrick </w:t>
      </w:r>
      <w:proofErr w:type="spellStart"/>
      <w:r>
        <w:t>Yeboah</w:t>
      </w:r>
      <w:proofErr w:type="spellEnd"/>
      <w:r>
        <w:t xml:space="preserve">  </w:t>
      </w:r>
    </w:p>
    <w:p w14:paraId="6C918813" w14:textId="77777777" w:rsidR="00B61F26" w:rsidRDefault="00B61F26">
      <w:r>
        <w:t xml:space="preserve">**Student:** </w:t>
      </w:r>
      <w:proofErr w:type="spellStart"/>
      <w:r>
        <w:t>Aurel</w:t>
      </w:r>
      <w:proofErr w:type="spellEnd"/>
      <w:r>
        <w:t xml:space="preserve"> </w:t>
      </w:r>
      <w:proofErr w:type="spellStart"/>
      <w:r>
        <w:t>Apopei</w:t>
      </w:r>
      <w:proofErr w:type="spellEnd"/>
      <w:r>
        <w:t xml:space="preserve">  </w:t>
      </w:r>
    </w:p>
    <w:p w14:paraId="261E4334" w14:textId="77777777" w:rsidR="00B61F26" w:rsidRDefault="00B61F26">
      <w:r>
        <w:t xml:space="preserve">**Student ID:** 2245793  </w:t>
      </w:r>
    </w:p>
    <w:p w14:paraId="7204F6EE" w14:textId="77777777" w:rsidR="00B61F26" w:rsidRDefault="00B61F26">
      <w:r>
        <w:t xml:space="preserve">**Date of Submission:** [Insert Date]  </w:t>
      </w:r>
    </w:p>
    <w:p w14:paraId="43820EE2" w14:textId="77777777" w:rsidR="00B61F26" w:rsidRDefault="00B61F26"/>
    <w:p w14:paraId="69E51925" w14:textId="77777777" w:rsidR="00393F69" w:rsidRDefault="00393F69"/>
    <w:p w14:paraId="1BE8E485" w14:textId="77777777" w:rsidR="00393F69" w:rsidRDefault="00393F69"/>
    <w:p w14:paraId="45906D9B" w14:textId="77777777" w:rsidR="00393F69" w:rsidRDefault="00393F69"/>
    <w:p w14:paraId="6DF8D92D" w14:textId="57795B39" w:rsidR="00393F69" w:rsidRDefault="00393F69"/>
    <w:p w14:paraId="549296FE" w14:textId="77777777" w:rsidR="00393F69" w:rsidRDefault="00393F69"/>
    <w:p w14:paraId="6714122E" w14:textId="77777777" w:rsidR="00393F69" w:rsidRDefault="00393F69"/>
    <w:p w14:paraId="6F81C8B1" w14:textId="398EF390" w:rsidR="00B61F26" w:rsidRPr="00715E23" w:rsidRDefault="00B61F26" w:rsidP="00221B55">
      <w:pPr>
        <w:jc w:val="center"/>
        <w:rPr>
          <w:b/>
          <w:bCs/>
          <w:sz w:val="48"/>
          <w:szCs w:val="48"/>
        </w:rPr>
      </w:pPr>
      <w:r w:rsidRPr="00715E23">
        <w:rPr>
          <w:b/>
          <w:bCs/>
          <w:sz w:val="48"/>
          <w:szCs w:val="48"/>
        </w:rPr>
        <w:t>Corporate Governance and Strategic Control in Transition to Public Listing</w:t>
      </w:r>
    </w:p>
    <w:p w14:paraId="60FD3146" w14:textId="77777777" w:rsidR="00B61F26" w:rsidRDefault="00B61F26"/>
    <w:p w14:paraId="15566925" w14:textId="77777777" w:rsidR="00517881" w:rsidRDefault="00517881"/>
    <w:p w14:paraId="08B867AD" w14:textId="77777777" w:rsidR="00517881" w:rsidRDefault="00517881"/>
    <w:p w14:paraId="0B954B3B" w14:textId="77777777" w:rsidR="00517881" w:rsidRDefault="00517881"/>
    <w:p w14:paraId="6A5D9E15" w14:textId="77777777" w:rsidR="00517881" w:rsidRDefault="00517881"/>
    <w:p w14:paraId="54AFEA17" w14:textId="77777777" w:rsidR="00517881" w:rsidRDefault="00517881"/>
    <w:p w14:paraId="6E2CCA80" w14:textId="77777777" w:rsidR="00517881" w:rsidRDefault="00517881"/>
    <w:p w14:paraId="6C5837BF" w14:textId="17132CD5" w:rsidR="00B61F26" w:rsidRPr="009E502D" w:rsidRDefault="00B61F26" w:rsidP="009E502D">
      <w:pPr>
        <w:spacing w:before="240" w:line="360" w:lineRule="auto"/>
        <w:rPr>
          <w:rFonts w:ascii="Arial" w:hAnsi="Arial" w:cs="Arial"/>
          <w:b/>
          <w:bCs/>
          <w:sz w:val="22"/>
          <w:szCs w:val="22"/>
        </w:rPr>
      </w:pPr>
      <w:r w:rsidRPr="009E502D">
        <w:rPr>
          <w:rFonts w:ascii="Arial" w:hAnsi="Arial" w:cs="Arial"/>
          <w:b/>
          <w:bCs/>
          <w:sz w:val="22"/>
          <w:szCs w:val="22"/>
        </w:rPr>
        <w:lastRenderedPageBreak/>
        <w:t xml:space="preserve"> 1. Introduction  </w:t>
      </w:r>
    </w:p>
    <w:p w14:paraId="61CE839F" w14:textId="55516EDD"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The transition from private to public ownership necessitates fundamental changes in corporate governance structures. As defined by the Organisation for Economic Co-operation and Development (OECD, 2015, p.9), corporate governance represents “the system by which companies are directed and controlled.” For the family-owned service company preparing for an Alternative Investment Market (AIM) listing, this transition presents unique challenges as the founding shareholders’ stake reduces to 30% while they seek to maintain strategic control.  </w:t>
      </w:r>
    </w:p>
    <w:p w14:paraId="4A9C4DAB" w14:textId="77777777"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This situation exemplifies the principal-agent problem first articulated by Jensen and </w:t>
      </w:r>
      <w:proofErr w:type="spellStart"/>
      <w:r w:rsidRPr="009E502D">
        <w:rPr>
          <w:rFonts w:ascii="Arial" w:hAnsi="Arial" w:cs="Arial"/>
          <w:sz w:val="22"/>
          <w:szCs w:val="22"/>
        </w:rPr>
        <w:t>Meckling</w:t>
      </w:r>
      <w:proofErr w:type="spellEnd"/>
      <w:r w:rsidRPr="009E502D">
        <w:rPr>
          <w:rFonts w:ascii="Arial" w:hAnsi="Arial" w:cs="Arial"/>
          <w:sz w:val="22"/>
          <w:szCs w:val="22"/>
        </w:rPr>
        <w:t xml:space="preserve"> (1976), where inherent conflicts arise between owners (principals) and managers (agents) due to diverging interests and information asymmetries. The academic literature demonstrates that family-owned firms face three specific governance challenges when transitioning to public markets. First, control dilution creates vulnerability to activist investors, as </w:t>
      </w:r>
      <w:proofErr w:type="spellStart"/>
      <w:r w:rsidRPr="009E502D">
        <w:rPr>
          <w:rFonts w:ascii="Arial" w:hAnsi="Arial" w:cs="Arial"/>
          <w:sz w:val="22"/>
          <w:szCs w:val="22"/>
        </w:rPr>
        <w:t>Bebchuk</w:t>
      </w:r>
      <w:proofErr w:type="spellEnd"/>
      <w:r w:rsidRPr="009E502D">
        <w:rPr>
          <w:rFonts w:ascii="Arial" w:hAnsi="Arial" w:cs="Arial"/>
          <w:sz w:val="22"/>
          <w:szCs w:val="22"/>
        </w:rPr>
        <w:t xml:space="preserve"> and </w:t>
      </w:r>
      <w:proofErr w:type="spellStart"/>
      <w:r w:rsidRPr="009E502D">
        <w:rPr>
          <w:rFonts w:ascii="Arial" w:hAnsi="Arial" w:cs="Arial"/>
          <w:sz w:val="22"/>
          <w:szCs w:val="22"/>
        </w:rPr>
        <w:t>Hamdani</w:t>
      </w:r>
      <w:proofErr w:type="spellEnd"/>
      <w:r w:rsidRPr="009E502D">
        <w:rPr>
          <w:rFonts w:ascii="Arial" w:hAnsi="Arial" w:cs="Arial"/>
          <w:sz w:val="22"/>
          <w:szCs w:val="22"/>
        </w:rPr>
        <w:t xml:space="preserve"> (2017) document in their analysis of minority shareholder expropriation risks. Second, public companies face significantly enhanced disclosure requirements compared to private entities, as outlined in the UK Corporate Governance Code (Financial Reporting Council, 2018). Third, executive compensation structures must realign to satisfy both founding family objectives and new public investor expectations, a challenge thoroughly examined by Jensen and Murphy (1990) in their seminal work on performance incentives.  </w:t>
      </w:r>
    </w:p>
    <w:p w14:paraId="695C69F7" w14:textId="77777777" w:rsidR="00B61F26" w:rsidRPr="009E502D" w:rsidRDefault="00B61F26" w:rsidP="009E502D">
      <w:pPr>
        <w:spacing w:before="240" w:line="360" w:lineRule="auto"/>
        <w:rPr>
          <w:rFonts w:ascii="Arial" w:hAnsi="Arial" w:cs="Arial"/>
          <w:sz w:val="22"/>
          <w:szCs w:val="22"/>
        </w:rPr>
      </w:pPr>
    </w:p>
    <w:p w14:paraId="195A2890" w14:textId="5D08ADEB" w:rsidR="00B61F26" w:rsidRPr="009E502D" w:rsidRDefault="00B61F26" w:rsidP="009E502D">
      <w:pPr>
        <w:spacing w:before="240" w:line="360" w:lineRule="auto"/>
        <w:rPr>
          <w:rFonts w:ascii="Arial" w:hAnsi="Arial" w:cs="Arial"/>
          <w:b/>
          <w:bCs/>
          <w:sz w:val="22"/>
          <w:szCs w:val="22"/>
        </w:rPr>
      </w:pPr>
      <w:r w:rsidRPr="009E502D">
        <w:rPr>
          <w:rFonts w:ascii="Arial" w:hAnsi="Arial" w:cs="Arial"/>
          <w:b/>
          <w:bCs/>
          <w:sz w:val="22"/>
          <w:szCs w:val="22"/>
        </w:rPr>
        <w:t xml:space="preserve"> 2. Theoretical Framework  </w:t>
      </w:r>
    </w:p>
    <w:p w14:paraId="32D2CB25" w14:textId="77777777" w:rsidR="00B61F26" w:rsidRPr="009E502D" w:rsidRDefault="00B61F26" w:rsidP="009E502D">
      <w:pPr>
        <w:spacing w:before="240" w:line="360" w:lineRule="auto"/>
        <w:rPr>
          <w:rFonts w:ascii="Arial" w:hAnsi="Arial" w:cs="Arial"/>
          <w:sz w:val="22"/>
          <w:szCs w:val="22"/>
        </w:rPr>
      </w:pPr>
    </w:p>
    <w:p w14:paraId="5BC81212" w14:textId="31528D2B" w:rsidR="00B61F26" w:rsidRPr="009E502D" w:rsidRDefault="00B61F26" w:rsidP="009E502D">
      <w:pPr>
        <w:spacing w:before="240" w:line="360" w:lineRule="auto"/>
        <w:rPr>
          <w:rFonts w:ascii="Arial" w:hAnsi="Arial" w:cs="Arial"/>
          <w:i/>
          <w:iCs/>
          <w:sz w:val="22"/>
          <w:szCs w:val="22"/>
        </w:rPr>
      </w:pPr>
      <w:r w:rsidRPr="009E502D">
        <w:rPr>
          <w:rFonts w:ascii="Arial" w:hAnsi="Arial" w:cs="Arial"/>
          <w:i/>
          <w:iCs/>
          <w:sz w:val="22"/>
          <w:szCs w:val="22"/>
        </w:rPr>
        <w:t xml:space="preserve"> 2.1 Corporate Governance Defined  </w:t>
      </w:r>
    </w:p>
    <w:p w14:paraId="75A3ADF9" w14:textId="3016E61C"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Corporate governance encompasses the framework of rules, relationships, and processes through which corporate objectives are established and pursued. </w:t>
      </w:r>
      <w:proofErr w:type="spellStart"/>
      <w:r w:rsidRPr="009E502D">
        <w:rPr>
          <w:rFonts w:ascii="Arial" w:hAnsi="Arial" w:cs="Arial"/>
          <w:sz w:val="22"/>
          <w:szCs w:val="22"/>
        </w:rPr>
        <w:t>Tricker</w:t>
      </w:r>
      <w:proofErr w:type="spellEnd"/>
      <w:r w:rsidRPr="009E502D">
        <w:rPr>
          <w:rFonts w:ascii="Arial" w:hAnsi="Arial" w:cs="Arial"/>
          <w:sz w:val="22"/>
          <w:szCs w:val="22"/>
        </w:rPr>
        <w:t xml:space="preserve"> (2015, p.32) expands on the OECD definition by characterizing governance as “concerned with the structures and processes for decision-making, accountability, control and behaviour at the top of organisations.” This conceptualization highlights three critical dimensions that become particularly relevant during public listings.  </w:t>
      </w:r>
    </w:p>
    <w:p w14:paraId="23560FBC" w14:textId="50A84F0A"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The directional dimension involves strategic decision-making processes that determine corporate objectives and resource allocation. The control dimension comprises oversight </w:t>
      </w:r>
      <w:r w:rsidRPr="009E502D">
        <w:rPr>
          <w:rFonts w:ascii="Arial" w:hAnsi="Arial" w:cs="Arial"/>
          <w:sz w:val="22"/>
          <w:szCs w:val="22"/>
        </w:rPr>
        <w:lastRenderedPageBreak/>
        <w:t xml:space="preserve">mechanisms ensuring accountability to stakeholders. The relational dimension addresses the complex balancing of interests between various parties, including majority and minority shareholders. These elements collectively form what </w:t>
      </w:r>
      <w:proofErr w:type="spellStart"/>
      <w:r w:rsidRPr="009E502D">
        <w:rPr>
          <w:rFonts w:ascii="Arial" w:hAnsi="Arial" w:cs="Arial"/>
          <w:sz w:val="22"/>
          <w:szCs w:val="22"/>
        </w:rPr>
        <w:t>Filatotchev</w:t>
      </w:r>
      <w:proofErr w:type="spellEnd"/>
      <w:r w:rsidRPr="009E502D">
        <w:rPr>
          <w:rFonts w:ascii="Arial" w:hAnsi="Arial" w:cs="Arial"/>
          <w:sz w:val="22"/>
          <w:szCs w:val="22"/>
        </w:rPr>
        <w:t xml:space="preserve"> and Nakajima (2014) describe as the “governance triad” of public companies, where each component must be carefully designed during the transition from private ownership.  </w:t>
      </w:r>
    </w:p>
    <w:p w14:paraId="37A676E4" w14:textId="77777777" w:rsidR="00B61F26" w:rsidRPr="009E502D" w:rsidRDefault="00B61F26" w:rsidP="009E502D">
      <w:pPr>
        <w:spacing w:before="240" w:line="360" w:lineRule="auto"/>
        <w:rPr>
          <w:rFonts w:ascii="Arial" w:hAnsi="Arial" w:cs="Arial"/>
          <w:sz w:val="22"/>
          <w:szCs w:val="22"/>
        </w:rPr>
      </w:pPr>
    </w:p>
    <w:p w14:paraId="082BC945" w14:textId="6B7C6020" w:rsidR="00B61F26" w:rsidRPr="009E502D" w:rsidRDefault="00B61F26" w:rsidP="009E502D">
      <w:pPr>
        <w:spacing w:before="240" w:line="360" w:lineRule="auto"/>
        <w:rPr>
          <w:rFonts w:ascii="Arial" w:hAnsi="Arial" w:cs="Arial"/>
          <w:i/>
          <w:iCs/>
          <w:sz w:val="22"/>
          <w:szCs w:val="22"/>
        </w:rPr>
      </w:pPr>
      <w:r w:rsidRPr="009E502D">
        <w:rPr>
          <w:rFonts w:ascii="Arial" w:hAnsi="Arial" w:cs="Arial"/>
          <w:i/>
          <w:iCs/>
          <w:sz w:val="22"/>
          <w:szCs w:val="22"/>
        </w:rPr>
        <w:t xml:space="preserve"> 2.2 Agency Theory Foundations  </w:t>
      </w:r>
    </w:p>
    <w:p w14:paraId="13F88B34" w14:textId="2AE2AE9C"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Agency theory provides the theoretical foundation for understanding governance challenges in public companies. As originally formulated by Jensen and </w:t>
      </w:r>
      <w:proofErr w:type="spellStart"/>
      <w:r w:rsidRPr="009E502D">
        <w:rPr>
          <w:rFonts w:ascii="Arial" w:hAnsi="Arial" w:cs="Arial"/>
          <w:sz w:val="22"/>
          <w:szCs w:val="22"/>
        </w:rPr>
        <w:t>Meckling</w:t>
      </w:r>
      <w:proofErr w:type="spellEnd"/>
      <w:r w:rsidRPr="009E502D">
        <w:rPr>
          <w:rFonts w:ascii="Arial" w:hAnsi="Arial" w:cs="Arial"/>
          <w:sz w:val="22"/>
          <w:szCs w:val="22"/>
        </w:rPr>
        <w:t xml:space="preserve"> (1976, p.308), the theory posits that separation of ownership and control creates inherent conflicts because “the agent will not always act in the best interests of the principal.” </w:t>
      </w:r>
      <w:proofErr w:type="spellStart"/>
      <w:r w:rsidRPr="009E502D">
        <w:rPr>
          <w:rFonts w:ascii="Arial" w:hAnsi="Arial" w:cs="Arial"/>
          <w:sz w:val="22"/>
          <w:szCs w:val="22"/>
        </w:rPr>
        <w:t>Fama</w:t>
      </w:r>
      <w:proofErr w:type="spellEnd"/>
      <w:r w:rsidRPr="009E502D">
        <w:rPr>
          <w:rFonts w:ascii="Arial" w:hAnsi="Arial" w:cs="Arial"/>
          <w:sz w:val="22"/>
          <w:szCs w:val="22"/>
        </w:rPr>
        <w:t xml:space="preserve"> and Jensen (1983) later expanded this framework to identify three specific manifestations of agency problems in corporate settings.  </w:t>
      </w:r>
    </w:p>
    <w:p w14:paraId="603DF736" w14:textId="708EA1D0"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First, managers may prioritize job security over shareholder returns, potentially rejecting profitable but risky investments that could threaten their positions. Second, executives might prefer lavish corporate perks and empire-building over efficient capital allocation and dividend payments. Third, short-term earnings manipulation could occur when compensation ties too heavily to quarterly results rather than long-term value creation. These problems become particularly acute during transitions from private to public ownership, as documented by </w:t>
      </w:r>
      <w:proofErr w:type="spellStart"/>
      <w:r w:rsidRPr="009E502D">
        <w:rPr>
          <w:rFonts w:ascii="Arial" w:hAnsi="Arial" w:cs="Arial"/>
          <w:sz w:val="22"/>
          <w:szCs w:val="22"/>
        </w:rPr>
        <w:t>Chemmanur</w:t>
      </w:r>
      <w:proofErr w:type="spellEnd"/>
      <w:r w:rsidRPr="009E502D">
        <w:rPr>
          <w:rFonts w:ascii="Arial" w:hAnsi="Arial" w:cs="Arial"/>
          <w:sz w:val="22"/>
          <w:szCs w:val="22"/>
        </w:rPr>
        <w:t xml:space="preserve"> and </w:t>
      </w:r>
      <w:proofErr w:type="spellStart"/>
      <w:r w:rsidRPr="009E502D">
        <w:rPr>
          <w:rFonts w:ascii="Arial" w:hAnsi="Arial" w:cs="Arial"/>
          <w:sz w:val="22"/>
          <w:szCs w:val="22"/>
        </w:rPr>
        <w:t>Fulghieri</w:t>
      </w:r>
      <w:proofErr w:type="spellEnd"/>
      <w:r w:rsidRPr="009E502D">
        <w:rPr>
          <w:rFonts w:ascii="Arial" w:hAnsi="Arial" w:cs="Arial"/>
          <w:sz w:val="22"/>
          <w:szCs w:val="22"/>
        </w:rPr>
        <w:t xml:space="preserve"> (1999) in their study of IPO governance challenges.  </w:t>
      </w:r>
    </w:p>
    <w:p w14:paraId="4441C808" w14:textId="04233002"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The Carillion collapse provides a vivid case study of agency problems in practice. As the Financial Reporting Council’s (2019) investigation revealed, executives continued paying dividends and bonuses while the company’s financial position deteriorated. Post-mortem analysis showed that weak board oversight allowed this </w:t>
      </w:r>
      <w:proofErr w:type="spellStart"/>
      <w:r w:rsidRPr="009E502D">
        <w:rPr>
          <w:rFonts w:ascii="Arial" w:hAnsi="Arial" w:cs="Arial"/>
          <w:sz w:val="22"/>
          <w:szCs w:val="22"/>
        </w:rPr>
        <w:t>behavior</w:t>
      </w:r>
      <w:proofErr w:type="spellEnd"/>
      <w:r w:rsidRPr="009E502D">
        <w:rPr>
          <w:rFonts w:ascii="Arial" w:hAnsi="Arial" w:cs="Arial"/>
          <w:sz w:val="22"/>
          <w:szCs w:val="22"/>
        </w:rPr>
        <w:t xml:space="preserve"> to persist until eventual liquidation, demonstrating what Clarke (2004, p.112) describes as “the paradox of governance” – the systems designed to prevent such failures often prove inadequate when most needed.  </w:t>
      </w:r>
    </w:p>
    <w:p w14:paraId="2AA3A696" w14:textId="77777777" w:rsidR="00B61F26" w:rsidRDefault="00B61F26" w:rsidP="009E502D">
      <w:pPr>
        <w:spacing w:before="240" w:line="360" w:lineRule="auto"/>
        <w:rPr>
          <w:rFonts w:ascii="Arial" w:hAnsi="Arial" w:cs="Arial"/>
          <w:sz w:val="22"/>
          <w:szCs w:val="22"/>
        </w:rPr>
      </w:pPr>
    </w:p>
    <w:p w14:paraId="7FAD7A2E" w14:textId="77777777" w:rsidR="00A17077" w:rsidRDefault="00A17077" w:rsidP="009E502D">
      <w:pPr>
        <w:spacing w:before="240" w:line="360" w:lineRule="auto"/>
        <w:rPr>
          <w:rFonts w:ascii="Arial" w:hAnsi="Arial" w:cs="Arial"/>
          <w:sz w:val="22"/>
          <w:szCs w:val="22"/>
        </w:rPr>
      </w:pPr>
    </w:p>
    <w:p w14:paraId="3A9D2261" w14:textId="77777777" w:rsidR="00A17077" w:rsidRPr="009E502D" w:rsidRDefault="00A17077" w:rsidP="009E502D">
      <w:pPr>
        <w:spacing w:before="240" w:line="360" w:lineRule="auto"/>
        <w:rPr>
          <w:rFonts w:ascii="Arial" w:hAnsi="Arial" w:cs="Arial"/>
          <w:sz w:val="22"/>
          <w:szCs w:val="22"/>
        </w:rPr>
      </w:pPr>
    </w:p>
    <w:p w14:paraId="58534C81" w14:textId="447DF8D8" w:rsidR="00B61F26" w:rsidRPr="00A17077" w:rsidRDefault="00B61F26" w:rsidP="009E502D">
      <w:pPr>
        <w:spacing w:before="240" w:line="360" w:lineRule="auto"/>
        <w:rPr>
          <w:rFonts w:ascii="Arial" w:hAnsi="Arial" w:cs="Arial"/>
          <w:b/>
          <w:bCs/>
          <w:sz w:val="22"/>
          <w:szCs w:val="22"/>
        </w:rPr>
      </w:pPr>
      <w:r w:rsidRPr="009E502D">
        <w:rPr>
          <w:rFonts w:ascii="Arial" w:hAnsi="Arial" w:cs="Arial"/>
          <w:b/>
          <w:bCs/>
          <w:sz w:val="22"/>
          <w:szCs w:val="22"/>
        </w:rPr>
        <w:lastRenderedPageBreak/>
        <w:t xml:space="preserve"> 3. Analysis of Control Retention Strategies  </w:t>
      </w:r>
    </w:p>
    <w:p w14:paraId="0EAAC503" w14:textId="753AD282" w:rsidR="00B61F26" w:rsidRPr="009E502D" w:rsidRDefault="00B61F26" w:rsidP="009E502D">
      <w:pPr>
        <w:spacing w:before="240" w:line="360" w:lineRule="auto"/>
        <w:rPr>
          <w:rFonts w:ascii="Arial" w:hAnsi="Arial" w:cs="Arial"/>
          <w:i/>
          <w:iCs/>
          <w:sz w:val="22"/>
          <w:szCs w:val="22"/>
        </w:rPr>
      </w:pPr>
      <w:r w:rsidRPr="009E502D">
        <w:rPr>
          <w:rFonts w:ascii="Arial" w:hAnsi="Arial" w:cs="Arial"/>
          <w:i/>
          <w:iCs/>
          <w:sz w:val="22"/>
          <w:szCs w:val="22"/>
        </w:rPr>
        <w:t xml:space="preserve"> 3.1 Dual-Class Share Structures  </w:t>
      </w:r>
    </w:p>
    <w:p w14:paraId="74F92882" w14:textId="5F3432D3"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Dual-class share structures create multiple classes of stock with differential voting rights, typically granting superior voting power to shares held by founding families. The academic literature presents compelling evidence regarding their effectiveness and limitations.  </w:t>
      </w:r>
    </w:p>
    <w:p w14:paraId="6A12479B" w14:textId="5757D286"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Gompers, Ishii, and </w:t>
      </w:r>
      <w:proofErr w:type="spellStart"/>
      <w:r w:rsidRPr="009E502D">
        <w:rPr>
          <w:rFonts w:ascii="Arial" w:hAnsi="Arial" w:cs="Arial"/>
          <w:sz w:val="22"/>
          <w:szCs w:val="22"/>
        </w:rPr>
        <w:t>Metrick</w:t>
      </w:r>
      <w:proofErr w:type="spellEnd"/>
      <w:r w:rsidRPr="009E502D">
        <w:rPr>
          <w:rFonts w:ascii="Arial" w:hAnsi="Arial" w:cs="Arial"/>
          <w:sz w:val="22"/>
          <w:szCs w:val="22"/>
        </w:rPr>
        <w:t xml:space="preserve"> (2010) conducted an extensive empirical analysis of dual-class firms in the United States. Their research, published in the Review of Financial Studies, found that companies with dual-class structures showed superior innovation performance compared to single-class peers, suggesting that preserving founder vision can create long-term value. The technology sector provides particularly notable examples of successful implementations. Alphabet Inc., Google’s parent company, maintains a three-class structure where Class B shares held by founders Larry Page and Sergey </w:t>
      </w:r>
      <w:proofErr w:type="spellStart"/>
      <w:r w:rsidRPr="009E502D">
        <w:rPr>
          <w:rFonts w:ascii="Arial" w:hAnsi="Arial" w:cs="Arial"/>
          <w:sz w:val="22"/>
          <w:szCs w:val="22"/>
        </w:rPr>
        <w:t>Brin</w:t>
      </w:r>
      <w:proofErr w:type="spellEnd"/>
      <w:r w:rsidRPr="009E502D">
        <w:rPr>
          <w:rFonts w:ascii="Arial" w:hAnsi="Arial" w:cs="Arial"/>
          <w:sz w:val="22"/>
          <w:szCs w:val="22"/>
        </w:rPr>
        <w:t xml:space="preserve"> carry 10 votes per share versus 1 vote for Class A public shares. According to Alphabet’s (2022) Annual Report, this structure has enabled them to retain 51% voting control despite owning only about 15% of the company’s total equity.  </w:t>
      </w:r>
    </w:p>
    <w:p w14:paraId="5A51F0C1" w14:textId="45F37B1B"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However, significant criticisms of dual-class structures exist in the academic literature. </w:t>
      </w:r>
      <w:proofErr w:type="spellStart"/>
      <w:r w:rsidRPr="009E502D">
        <w:rPr>
          <w:rFonts w:ascii="Arial" w:hAnsi="Arial" w:cs="Arial"/>
          <w:sz w:val="22"/>
          <w:szCs w:val="22"/>
        </w:rPr>
        <w:t>Bebchuk</w:t>
      </w:r>
      <w:proofErr w:type="spellEnd"/>
      <w:r w:rsidRPr="009E502D">
        <w:rPr>
          <w:rFonts w:ascii="Arial" w:hAnsi="Arial" w:cs="Arial"/>
          <w:sz w:val="22"/>
          <w:szCs w:val="22"/>
        </w:rPr>
        <w:t xml:space="preserve"> and </w:t>
      </w:r>
      <w:proofErr w:type="spellStart"/>
      <w:r w:rsidRPr="009E502D">
        <w:rPr>
          <w:rFonts w:ascii="Arial" w:hAnsi="Arial" w:cs="Arial"/>
          <w:sz w:val="22"/>
          <w:szCs w:val="22"/>
        </w:rPr>
        <w:t>Kastiel</w:t>
      </w:r>
      <w:proofErr w:type="spellEnd"/>
      <w:r w:rsidRPr="009E502D">
        <w:rPr>
          <w:rFonts w:ascii="Arial" w:hAnsi="Arial" w:cs="Arial"/>
          <w:sz w:val="22"/>
          <w:szCs w:val="22"/>
        </w:rPr>
        <w:t xml:space="preserve"> (2017, p.587) argue in the Virginia Law Review that perpetual dual-class arrangements can lead to “the tyranny of the minority,” where entrenched founders make decisions contrary to majority shareholder interests. They cite Snap Inc.’s 2017 IPO as a particularly egregious example, where public shareholders received shares with no voting rights whatsoever. In response to these concerns, the London Stock Exchange implemented new rules in 2021 (London Stock Exchange Group, 2021) requiring sunset provisions that automatically convert superior voting shares to ordinary shares after predetermined periods, typically five to seven years.  </w:t>
      </w:r>
    </w:p>
    <w:p w14:paraId="148E0817" w14:textId="77777777" w:rsidR="00B61F26" w:rsidRPr="009E502D" w:rsidRDefault="00B61F26" w:rsidP="009E502D">
      <w:pPr>
        <w:spacing w:before="240" w:line="360" w:lineRule="auto"/>
        <w:rPr>
          <w:rFonts w:ascii="Arial" w:hAnsi="Arial" w:cs="Arial"/>
          <w:sz w:val="22"/>
          <w:szCs w:val="22"/>
        </w:rPr>
      </w:pPr>
    </w:p>
    <w:p w14:paraId="27D90404" w14:textId="36444C95" w:rsidR="00B61F26" w:rsidRPr="009E502D" w:rsidRDefault="00B61F26" w:rsidP="009E502D">
      <w:pPr>
        <w:spacing w:before="240" w:line="360" w:lineRule="auto"/>
        <w:rPr>
          <w:rFonts w:ascii="Arial" w:hAnsi="Arial" w:cs="Arial"/>
          <w:i/>
          <w:iCs/>
          <w:sz w:val="22"/>
          <w:szCs w:val="22"/>
        </w:rPr>
      </w:pPr>
      <w:r w:rsidRPr="009E502D">
        <w:rPr>
          <w:rFonts w:ascii="Arial" w:hAnsi="Arial" w:cs="Arial"/>
          <w:i/>
          <w:iCs/>
          <w:sz w:val="22"/>
          <w:szCs w:val="22"/>
        </w:rPr>
        <w:t xml:space="preserve"> 3.2 Shareholder Agreements as Governance Tools  </w:t>
      </w:r>
    </w:p>
    <w:p w14:paraId="6B597A6F" w14:textId="43A62149"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Shareholder agreements represent legally binding contracts that can preserve family influence while maintaining public market listing eligibility. These agreements have been extensively </w:t>
      </w:r>
      <w:proofErr w:type="spellStart"/>
      <w:r w:rsidRPr="009E502D">
        <w:rPr>
          <w:rFonts w:ascii="Arial" w:hAnsi="Arial" w:cs="Arial"/>
          <w:sz w:val="22"/>
          <w:szCs w:val="22"/>
        </w:rPr>
        <w:t>analyzed</w:t>
      </w:r>
      <w:proofErr w:type="spellEnd"/>
      <w:r w:rsidRPr="009E502D">
        <w:rPr>
          <w:rFonts w:ascii="Arial" w:hAnsi="Arial" w:cs="Arial"/>
          <w:sz w:val="22"/>
          <w:szCs w:val="22"/>
        </w:rPr>
        <w:t xml:space="preserve"> in the corporate governance literature.  </w:t>
      </w:r>
    </w:p>
    <w:p w14:paraId="35EB1754" w14:textId="5ED59AF2"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Bainbridge (2008, p.147) in his comprehensive governance treatise identifies several key provisions commonly found in effective shareholder agreements. Right of first refusal clauses ensure that founding families maintain approval rights over share transfers, </w:t>
      </w:r>
      <w:r w:rsidRPr="009E502D">
        <w:rPr>
          <w:rFonts w:ascii="Arial" w:hAnsi="Arial" w:cs="Arial"/>
          <w:sz w:val="22"/>
          <w:szCs w:val="22"/>
        </w:rPr>
        <w:lastRenderedPageBreak/>
        <w:t xml:space="preserve">preventing unwanted third parties from accumulating significant stakes. Supermajority requirements for major decisions protect against abrupt strategic shifts that might contradict founding principles. Board nomination rights secure continued representation even as ownership dilutes, preserving influence over corporate direction.  </w:t>
      </w:r>
    </w:p>
    <w:p w14:paraId="16EAD253" w14:textId="4EB66778"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The Tata Group’s governance structure provides an instructive case study in agreement utilization. According to Tata Sons’ (2021) Governance Report, complex shareholder agreements have enabled the founding family to maintain influence across its network of publicly traded companies while operating within India’s corporate governance framework. These agreements successfully blocked hostile takeover attempts while allowing for professional management and public market participation. This hybrid approach aligns with what La Porta et al. (1999, p.473) describe as “the family-controlled public company model,” which they found to be the dominant form of corporate organization in most countries outside the United States and United Kingdom.  </w:t>
      </w:r>
    </w:p>
    <w:p w14:paraId="499387B4" w14:textId="77777777" w:rsidR="00B61F26" w:rsidRPr="009E502D" w:rsidRDefault="00B61F26" w:rsidP="009E502D">
      <w:pPr>
        <w:spacing w:before="240" w:line="360" w:lineRule="auto"/>
        <w:rPr>
          <w:rFonts w:ascii="Arial" w:hAnsi="Arial" w:cs="Arial"/>
          <w:sz w:val="22"/>
          <w:szCs w:val="22"/>
        </w:rPr>
      </w:pPr>
    </w:p>
    <w:p w14:paraId="4A5C6F3C" w14:textId="796904BF" w:rsidR="00B61F26" w:rsidRPr="00C32988" w:rsidRDefault="00B61F26" w:rsidP="009E502D">
      <w:pPr>
        <w:spacing w:before="240" w:line="360" w:lineRule="auto"/>
        <w:rPr>
          <w:rFonts w:ascii="Arial" w:hAnsi="Arial" w:cs="Arial"/>
          <w:b/>
          <w:bCs/>
          <w:sz w:val="22"/>
          <w:szCs w:val="22"/>
        </w:rPr>
      </w:pPr>
      <w:r w:rsidRPr="009E502D">
        <w:rPr>
          <w:rFonts w:ascii="Arial" w:hAnsi="Arial" w:cs="Arial"/>
          <w:b/>
          <w:bCs/>
          <w:sz w:val="22"/>
          <w:szCs w:val="22"/>
        </w:rPr>
        <w:t xml:space="preserve"> 4. Director Remuneration Framework  </w:t>
      </w:r>
    </w:p>
    <w:p w14:paraId="57242E4E" w14:textId="7CCE586E" w:rsidR="00B61F26" w:rsidRPr="009E502D" w:rsidRDefault="00B61F26" w:rsidP="009E502D">
      <w:pPr>
        <w:spacing w:before="240" w:line="360" w:lineRule="auto"/>
        <w:rPr>
          <w:rFonts w:ascii="Arial" w:hAnsi="Arial" w:cs="Arial"/>
          <w:i/>
          <w:iCs/>
          <w:sz w:val="22"/>
          <w:szCs w:val="22"/>
        </w:rPr>
      </w:pPr>
      <w:r w:rsidRPr="009E502D">
        <w:rPr>
          <w:rFonts w:ascii="Arial" w:hAnsi="Arial" w:cs="Arial"/>
          <w:i/>
          <w:iCs/>
          <w:sz w:val="22"/>
          <w:szCs w:val="22"/>
        </w:rPr>
        <w:t xml:space="preserve"> 4.1 Components of Effective Executive Compensation  </w:t>
      </w:r>
    </w:p>
    <w:p w14:paraId="0ECBA280" w14:textId="44C1EE09"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The UK Corporate Governance Code (Financial Reporting Council, 2018, p.28) recommends balanced compensation structures that “align executive rewards with long-term company success.” Academic research has identified several key principles for effective remuneration design during public transitions.  </w:t>
      </w:r>
    </w:p>
    <w:p w14:paraId="04ABEBDB" w14:textId="1859190D"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Base salary forms the fixed compensation component, typically representing 40-60% of total remuneration. Core, </w:t>
      </w:r>
      <w:proofErr w:type="spellStart"/>
      <w:r w:rsidRPr="009E502D">
        <w:rPr>
          <w:rFonts w:ascii="Arial" w:hAnsi="Arial" w:cs="Arial"/>
          <w:sz w:val="22"/>
          <w:szCs w:val="22"/>
        </w:rPr>
        <w:t>Holthausen</w:t>
      </w:r>
      <w:proofErr w:type="spellEnd"/>
      <w:r w:rsidRPr="009E502D">
        <w:rPr>
          <w:rFonts w:ascii="Arial" w:hAnsi="Arial" w:cs="Arial"/>
          <w:sz w:val="22"/>
          <w:szCs w:val="22"/>
        </w:rPr>
        <w:t xml:space="preserve">, and </w:t>
      </w:r>
      <w:proofErr w:type="spellStart"/>
      <w:r w:rsidRPr="009E502D">
        <w:rPr>
          <w:rFonts w:ascii="Arial" w:hAnsi="Arial" w:cs="Arial"/>
          <w:sz w:val="22"/>
          <w:szCs w:val="22"/>
        </w:rPr>
        <w:t>Larcker</w:t>
      </w:r>
      <w:proofErr w:type="spellEnd"/>
      <w:r w:rsidRPr="009E502D">
        <w:rPr>
          <w:rFonts w:ascii="Arial" w:hAnsi="Arial" w:cs="Arial"/>
          <w:sz w:val="22"/>
          <w:szCs w:val="22"/>
        </w:rPr>
        <w:t xml:space="preserve"> (1999, p.372) demonstrate in their Journal of Financial Economics study that base salaries should reflect market benchmarks for similar roles while providing stable compensation unaffected by short-term performance fluctuations. Annual bonuses constitute the short-term incentive portion, generally accounting for 20-30% of total compensation. Murphy (1999, p.2535) emphasizes that effective bonus schemes must tie payments to measurable key performance indicators such as EBITDA growth or return on invested capital, avoiding easily manipulated metrics.  </w:t>
      </w:r>
    </w:p>
    <w:p w14:paraId="5283F052" w14:textId="77777777"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Long-term incentive plans (LTIPs) represent the most crucial component for aligning executive interests with shareholder value. These equity-based awards typically vest over three to five years, with performance conditions tied to sustained value creation. Jensen and Murphy (1990, p.226) established in their foundational research that effective compensation </w:t>
      </w:r>
      <w:r w:rsidRPr="009E502D">
        <w:rPr>
          <w:rFonts w:ascii="Arial" w:hAnsi="Arial" w:cs="Arial"/>
          <w:sz w:val="22"/>
          <w:szCs w:val="22"/>
        </w:rPr>
        <w:lastRenderedPageBreak/>
        <w:t xml:space="preserve">requires pay-performance sensitivity exceeding 3:1, meaning executive wealth should increase by at least £3 for every £1,000 increase in shareholder value. Their analysis of CEO compensation demonstrates that weaker alignment leads to suboptimal managerial decision-making and value destruction.  </w:t>
      </w:r>
    </w:p>
    <w:p w14:paraId="2AA769BC" w14:textId="77777777" w:rsidR="00B61F26" w:rsidRPr="009E502D" w:rsidRDefault="00B61F26" w:rsidP="009E502D">
      <w:pPr>
        <w:spacing w:before="240" w:line="360" w:lineRule="auto"/>
        <w:rPr>
          <w:rFonts w:ascii="Arial" w:hAnsi="Arial" w:cs="Arial"/>
          <w:sz w:val="22"/>
          <w:szCs w:val="22"/>
        </w:rPr>
      </w:pPr>
    </w:p>
    <w:p w14:paraId="73901302" w14:textId="1EA36109" w:rsidR="00B61F26" w:rsidRPr="009E502D" w:rsidRDefault="00B61F26" w:rsidP="009E502D">
      <w:pPr>
        <w:spacing w:before="240" w:line="360" w:lineRule="auto"/>
        <w:rPr>
          <w:rFonts w:ascii="Arial" w:hAnsi="Arial" w:cs="Arial"/>
          <w:i/>
          <w:iCs/>
          <w:sz w:val="22"/>
          <w:szCs w:val="22"/>
        </w:rPr>
      </w:pPr>
      <w:r w:rsidRPr="009E502D">
        <w:rPr>
          <w:rFonts w:ascii="Arial" w:hAnsi="Arial" w:cs="Arial"/>
          <w:i/>
          <w:iCs/>
          <w:sz w:val="22"/>
          <w:szCs w:val="22"/>
        </w:rPr>
        <w:t xml:space="preserve"> 4.2 Case Study: Persimmon PLC Remuneration Failure  </w:t>
      </w:r>
    </w:p>
    <w:p w14:paraId="2B6B1190" w14:textId="3551A5F9"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The Persimmon PLC scandal (2018-2019) provides a cautionary tale about poorly structured executive compensation. As extensively reported by the Financial Times (2019), the housebuilding company’s remuneration scheme paid executives over £100 million in bonuses primarily tied to share price growth rather than operational performance.  </w:t>
      </w:r>
    </w:p>
    <w:p w14:paraId="61F69653" w14:textId="51E41049"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Academic analysis of this case reveals several critical design flaws. First, the scheme lacked proper performance hurdles, allowing windfall gains from macroeconomic housing market improvements rather than genuine managerial contribution. Second, the compensation committee failed to implement appropriate </w:t>
      </w:r>
      <w:proofErr w:type="spellStart"/>
      <w:r w:rsidRPr="009E502D">
        <w:rPr>
          <w:rFonts w:ascii="Arial" w:hAnsi="Arial" w:cs="Arial"/>
          <w:sz w:val="22"/>
          <w:szCs w:val="22"/>
        </w:rPr>
        <w:t>malus</w:t>
      </w:r>
      <w:proofErr w:type="spellEnd"/>
      <w:r w:rsidRPr="009E502D">
        <w:rPr>
          <w:rFonts w:ascii="Arial" w:hAnsi="Arial" w:cs="Arial"/>
          <w:sz w:val="22"/>
          <w:szCs w:val="22"/>
        </w:rPr>
        <w:t xml:space="preserve"> and </w:t>
      </w:r>
      <w:proofErr w:type="spellStart"/>
      <w:r w:rsidRPr="009E502D">
        <w:rPr>
          <w:rFonts w:ascii="Arial" w:hAnsi="Arial" w:cs="Arial"/>
          <w:sz w:val="22"/>
          <w:szCs w:val="22"/>
        </w:rPr>
        <w:t>clawback</w:t>
      </w:r>
      <w:proofErr w:type="spellEnd"/>
      <w:r w:rsidRPr="009E502D">
        <w:rPr>
          <w:rFonts w:ascii="Arial" w:hAnsi="Arial" w:cs="Arial"/>
          <w:sz w:val="22"/>
          <w:szCs w:val="22"/>
        </w:rPr>
        <w:t xml:space="preserve"> provisions that could have recovered payments when performance deteriorated. Most damagingly, the excessive </w:t>
      </w:r>
      <w:proofErr w:type="spellStart"/>
      <w:r w:rsidRPr="009E502D">
        <w:rPr>
          <w:rFonts w:ascii="Arial" w:hAnsi="Arial" w:cs="Arial"/>
          <w:sz w:val="22"/>
          <w:szCs w:val="22"/>
        </w:rPr>
        <w:t>payouts</w:t>
      </w:r>
      <w:proofErr w:type="spellEnd"/>
      <w:r w:rsidRPr="009E502D">
        <w:rPr>
          <w:rFonts w:ascii="Arial" w:hAnsi="Arial" w:cs="Arial"/>
          <w:sz w:val="22"/>
          <w:szCs w:val="22"/>
        </w:rPr>
        <w:t xml:space="preserve"> occurred alongside customer complaints about construction quality, highlighting what Kay (2012, p.64) describes as “the fundamental disconnect between compensation and actual corporate performance.”  </w:t>
      </w:r>
    </w:p>
    <w:p w14:paraId="4BF1DA6C" w14:textId="78787DFE"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The Persimmon case led to significant reforms in UK remuneration practices. As </w:t>
      </w:r>
      <w:proofErr w:type="spellStart"/>
      <w:r w:rsidRPr="009E502D">
        <w:rPr>
          <w:rFonts w:ascii="Arial" w:hAnsi="Arial" w:cs="Arial"/>
          <w:sz w:val="22"/>
          <w:szCs w:val="22"/>
        </w:rPr>
        <w:t>Arcot</w:t>
      </w:r>
      <w:proofErr w:type="spellEnd"/>
      <w:r w:rsidRPr="009E502D">
        <w:rPr>
          <w:rFonts w:ascii="Arial" w:hAnsi="Arial" w:cs="Arial"/>
          <w:sz w:val="22"/>
          <w:szCs w:val="22"/>
        </w:rPr>
        <w:t xml:space="preserve"> and Bruno (2021, p.15) document in their analysis of post-scandal changes, many FTSE companies introduced stricter performance conditions and longer vesting periods for executive awards. These reforms align with the recommendations of the Investment Association’s (2019) Principles of Remuneration, which emphasize the importance of stretching performance targets and extended holding periods.  </w:t>
      </w:r>
    </w:p>
    <w:p w14:paraId="18554D22" w14:textId="77777777" w:rsidR="00B61F26" w:rsidRPr="009E502D" w:rsidRDefault="00B61F26" w:rsidP="009E502D">
      <w:pPr>
        <w:spacing w:before="240" w:line="360" w:lineRule="auto"/>
        <w:rPr>
          <w:rFonts w:ascii="Arial" w:hAnsi="Arial" w:cs="Arial"/>
          <w:sz w:val="22"/>
          <w:szCs w:val="22"/>
        </w:rPr>
      </w:pPr>
    </w:p>
    <w:p w14:paraId="1FD3A572" w14:textId="4CE80713" w:rsidR="00B61F26" w:rsidRPr="00C32988" w:rsidRDefault="00B61F26" w:rsidP="009E502D">
      <w:pPr>
        <w:spacing w:before="240" w:line="360" w:lineRule="auto"/>
        <w:rPr>
          <w:rFonts w:ascii="Arial" w:hAnsi="Arial" w:cs="Arial"/>
          <w:b/>
          <w:bCs/>
          <w:sz w:val="22"/>
          <w:szCs w:val="22"/>
        </w:rPr>
      </w:pPr>
      <w:r w:rsidRPr="009E502D">
        <w:rPr>
          <w:rFonts w:ascii="Arial" w:hAnsi="Arial" w:cs="Arial"/>
          <w:b/>
          <w:bCs/>
          <w:sz w:val="22"/>
          <w:szCs w:val="22"/>
        </w:rPr>
        <w:t xml:space="preserve"> 5. Institutional Comparison  </w:t>
      </w:r>
    </w:p>
    <w:p w14:paraId="157EBBD7" w14:textId="390DBFC7" w:rsidR="00B61F26" w:rsidRPr="009E502D" w:rsidRDefault="00B61F26" w:rsidP="009E502D">
      <w:pPr>
        <w:spacing w:before="240" w:line="360" w:lineRule="auto"/>
        <w:rPr>
          <w:rFonts w:ascii="Arial" w:hAnsi="Arial" w:cs="Arial"/>
          <w:i/>
          <w:iCs/>
          <w:sz w:val="22"/>
          <w:szCs w:val="22"/>
        </w:rPr>
      </w:pPr>
      <w:r w:rsidRPr="009E502D">
        <w:rPr>
          <w:rFonts w:ascii="Arial" w:hAnsi="Arial" w:cs="Arial"/>
          <w:i/>
          <w:iCs/>
          <w:sz w:val="22"/>
          <w:szCs w:val="22"/>
        </w:rPr>
        <w:t xml:space="preserve"> 5.1 United Kingdom’s AIM Market Governance  </w:t>
      </w:r>
    </w:p>
    <w:p w14:paraId="1DD4960D" w14:textId="5969FB8C"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The UK’s governance framework operates on a “comply or explain” principle, offering flexibility while requiring transparency about governance choices. This approach has been extensively </w:t>
      </w:r>
      <w:proofErr w:type="spellStart"/>
      <w:r w:rsidRPr="009E502D">
        <w:rPr>
          <w:rFonts w:ascii="Arial" w:hAnsi="Arial" w:cs="Arial"/>
          <w:sz w:val="22"/>
          <w:szCs w:val="22"/>
        </w:rPr>
        <w:t>analyzed</w:t>
      </w:r>
      <w:proofErr w:type="spellEnd"/>
      <w:r w:rsidRPr="009E502D">
        <w:rPr>
          <w:rFonts w:ascii="Arial" w:hAnsi="Arial" w:cs="Arial"/>
          <w:sz w:val="22"/>
          <w:szCs w:val="22"/>
        </w:rPr>
        <w:t xml:space="preserve"> in the academic literature.  </w:t>
      </w:r>
    </w:p>
    <w:p w14:paraId="646AAD6E" w14:textId="70B135CD" w:rsidR="00B61F26" w:rsidRPr="009E502D" w:rsidRDefault="00B61F26" w:rsidP="009E502D">
      <w:pPr>
        <w:spacing w:before="240" w:line="360" w:lineRule="auto"/>
        <w:rPr>
          <w:rFonts w:ascii="Arial" w:hAnsi="Arial" w:cs="Arial"/>
          <w:sz w:val="22"/>
          <w:szCs w:val="22"/>
        </w:rPr>
      </w:pPr>
      <w:proofErr w:type="spellStart"/>
      <w:r w:rsidRPr="009E502D">
        <w:rPr>
          <w:rFonts w:ascii="Arial" w:hAnsi="Arial" w:cs="Arial"/>
          <w:sz w:val="22"/>
          <w:szCs w:val="22"/>
        </w:rPr>
        <w:lastRenderedPageBreak/>
        <w:t>Arcot</w:t>
      </w:r>
      <w:proofErr w:type="spellEnd"/>
      <w:r w:rsidRPr="009E502D">
        <w:rPr>
          <w:rFonts w:ascii="Arial" w:hAnsi="Arial" w:cs="Arial"/>
          <w:sz w:val="22"/>
          <w:szCs w:val="22"/>
        </w:rPr>
        <w:t>, Bruno, and Faure-</w:t>
      </w:r>
      <w:proofErr w:type="spellStart"/>
      <w:r w:rsidRPr="009E502D">
        <w:rPr>
          <w:rFonts w:ascii="Arial" w:hAnsi="Arial" w:cs="Arial"/>
          <w:sz w:val="22"/>
          <w:szCs w:val="22"/>
        </w:rPr>
        <w:t>Grimaud</w:t>
      </w:r>
      <w:proofErr w:type="spellEnd"/>
      <w:r w:rsidRPr="009E502D">
        <w:rPr>
          <w:rFonts w:ascii="Arial" w:hAnsi="Arial" w:cs="Arial"/>
          <w:sz w:val="22"/>
          <w:szCs w:val="22"/>
        </w:rPr>
        <w:t xml:space="preserve"> (2022, p.106040) in their International Review of Law and Economics study characterize the UK system as providing “governance flexibility within boundaries.” Their empirical analysis found that approximately 73% of FTSE 350 companies fully complied with the UK Corporate Governance Code provisions, while the remaining 27% provided what they deemed to be “substantive explanations” for non-compliance.  </w:t>
      </w:r>
    </w:p>
    <w:p w14:paraId="7FCED365" w14:textId="2ABB5B7B"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Key characteristics of the UK system include a single-tier board structure that combines executive and non-executive directors in one body. Unlike some jurisdictions, the UK imposes no mandatory independent director requirements for AIM companies, though the Corporate Governance Code recommends at least 50% independence for premium listings. The system permits flexible capital structures including dual-class shares, subject to proper disclosure.  </w:t>
      </w:r>
    </w:p>
    <w:p w14:paraId="3C90C300" w14:textId="42B89129"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Burberry Group’s transition demonstrates the advantages of this flexibility. According to their Annual Report (2022), the Bamford family maintained influence through a combination of retained shareholding (approximately 10%) and board representation while meeting governance expectations. This balanced approach allowed continued guidance of strategic direction while accessing public capital markets, illustrating what McNulty and Nordberg (2016, p.350) describe as “stewardship-oriented governance” in their Corporate Governance journal article.  </w:t>
      </w:r>
    </w:p>
    <w:p w14:paraId="1895B3D7" w14:textId="77777777" w:rsidR="00B61F26" w:rsidRPr="009E502D" w:rsidRDefault="00B61F26" w:rsidP="009E502D">
      <w:pPr>
        <w:spacing w:before="240" w:line="360" w:lineRule="auto"/>
        <w:rPr>
          <w:rFonts w:ascii="Arial" w:hAnsi="Arial" w:cs="Arial"/>
          <w:sz w:val="22"/>
          <w:szCs w:val="22"/>
        </w:rPr>
      </w:pPr>
    </w:p>
    <w:p w14:paraId="4220F49B" w14:textId="2CE10E12" w:rsidR="00B61F26" w:rsidRPr="009E502D" w:rsidRDefault="00B61F26" w:rsidP="009E502D">
      <w:pPr>
        <w:spacing w:before="240" w:line="360" w:lineRule="auto"/>
        <w:rPr>
          <w:rFonts w:ascii="Arial" w:hAnsi="Arial" w:cs="Arial"/>
          <w:i/>
          <w:iCs/>
          <w:sz w:val="22"/>
          <w:szCs w:val="22"/>
        </w:rPr>
      </w:pPr>
      <w:r w:rsidRPr="009E502D">
        <w:rPr>
          <w:rFonts w:ascii="Arial" w:hAnsi="Arial" w:cs="Arial"/>
          <w:i/>
          <w:iCs/>
          <w:sz w:val="22"/>
          <w:szCs w:val="22"/>
        </w:rPr>
        <w:t xml:space="preserve"> 5.2 Shanghai’s Regulatory Environment  </w:t>
      </w:r>
    </w:p>
    <w:p w14:paraId="1C632FEA" w14:textId="6E32B7A0"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China’s regulatory environment presents distinct characteristics that create challenges for family-controlled enterprises. The Shanghai Stock Exchange requires listed companies to maintain at least one-third independent directors on their boards, as stipulated by China Securities Regulatory Commission (2020) rules.  </w:t>
      </w:r>
    </w:p>
    <w:p w14:paraId="26EB044F" w14:textId="7FCDEEC0"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Chen, Li, and Shapiro (2020, p.102) in their Journal of Corporate Finance study </w:t>
      </w:r>
      <w:proofErr w:type="spellStart"/>
      <w:r w:rsidRPr="009E502D">
        <w:rPr>
          <w:rFonts w:ascii="Arial" w:hAnsi="Arial" w:cs="Arial"/>
          <w:sz w:val="22"/>
          <w:szCs w:val="22"/>
        </w:rPr>
        <w:t>analyze</w:t>
      </w:r>
      <w:proofErr w:type="spellEnd"/>
      <w:r w:rsidRPr="009E502D">
        <w:rPr>
          <w:rFonts w:ascii="Arial" w:hAnsi="Arial" w:cs="Arial"/>
          <w:sz w:val="22"/>
          <w:szCs w:val="22"/>
        </w:rPr>
        <w:t xml:space="preserve"> what they term “the independent director dilemma” in China. Their research found that independent directors face stringent qualification requirements and carry personal liability for governance failures, leading to high turnover rates and difficulty attracting qualified candidates. Foreign ownership restrictions compound these challenges, with many sectors imposing caps on foreign investment. The approval process involves extensive documentation and regulatory scrutiny, often requiring months of preparation.  </w:t>
      </w:r>
    </w:p>
    <w:p w14:paraId="2111036C" w14:textId="59396BF4"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lastRenderedPageBreak/>
        <w:t xml:space="preserve">Alibaba’s strategic choices highlight these jurisdictional </w:t>
      </w:r>
      <w:proofErr w:type="spellStart"/>
      <w:r w:rsidRPr="009E502D">
        <w:rPr>
          <w:rFonts w:ascii="Arial" w:hAnsi="Arial" w:cs="Arial"/>
          <w:sz w:val="22"/>
          <w:szCs w:val="22"/>
        </w:rPr>
        <w:t>tradeoffs</w:t>
      </w:r>
      <w:proofErr w:type="spellEnd"/>
      <w:r w:rsidRPr="009E502D">
        <w:rPr>
          <w:rFonts w:ascii="Arial" w:hAnsi="Arial" w:cs="Arial"/>
          <w:sz w:val="22"/>
          <w:szCs w:val="22"/>
        </w:rPr>
        <w:t xml:space="preserve">. When the company pursued its secondary listing in Hong Kong (2019), it maintained its Cayman Islands incorporation to preserve governance flexibility, as Reuters (2020) reported. This decision reflects what Coffee (2001, p.35) describes in his seminal work as the “regulatory arbitrage” that companies engage in when selecting listing venues.  </w:t>
      </w:r>
    </w:p>
    <w:p w14:paraId="24BD0CF8" w14:textId="77777777" w:rsidR="00B61F26" w:rsidRPr="009E502D" w:rsidRDefault="00B61F26" w:rsidP="009E502D">
      <w:pPr>
        <w:spacing w:before="240" w:line="360" w:lineRule="auto"/>
        <w:rPr>
          <w:rFonts w:ascii="Arial" w:hAnsi="Arial" w:cs="Arial"/>
          <w:sz w:val="22"/>
          <w:szCs w:val="22"/>
        </w:rPr>
      </w:pPr>
    </w:p>
    <w:p w14:paraId="03A74B8E" w14:textId="37F4294C" w:rsidR="00B61F26" w:rsidRPr="009E502D" w:rsidRDefault="00B61F26" w:rsidP="009E502D">
      <w:pPr>
        <w:spacing w:before="240" w:line="360" w:lineRule="auto"/>
        <w:rPr>
          <w:rFonts w:ascii="Arial" w:hAnsi="Arial" w:cs="Arial"/>
          <w:b/>
          <w:bCs/>
          <w:sz w:val="22"/>
          <w:szCs w:val="22"/>
        </w:rPr>
      </w:pPr>
      <w:r w:rsidRPr="009E502D">
        <w:rPr>
          <w:rFonts w:ascii="Arial" w:hAnsi="Arial" w:cs="Arial"/>
          <w:b/>
          <w:bCs/>
          <w:sz w:val="22"/>
          <w:szCs w:val="22"/>
        </w:rPr>
        <w:t xml:space="preserve"> 6. Conclusion  </w:t>
      </w:r>
    </w:p>
    <w:p w14:paraId="440A48AC" w14:textId="77777777" w:rsidR="00B61F26" w:rsidRPr="009E502D" w:rsidRDefault="00B61F26" w:rsidP="009E502D">
      <w:pPr>
        <w:spacing w:before="240" w:line="360" w:lineRule="auto"/>
        <w:rPr>
          <w:rFonts w:ascii="Arial" w:hAnsi="Arial" w:cs="Arial"/>
          <w:sz w:val="22"/>
          <w:szCs w:val="22"/>
        </w:rPr>
      </w:pPr>
    </w:p>
    <w:p w14:paraId="704C9C1D" w14:textId="7D389C37"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The analysis demonstrates that successful transition to public markets requires careful navigation of several governance challenges. Dual-class share structures and well-designed shareholder agreements can effectively preserve family influence while meeting public market expectations, as demonstrated by companies like Alphabet and Tata. The UK’s flexible “comply or explain” approach offers significant advantages over more rigid systems like Shanghai’s, particularly for family-controlled enterprises seeking to balance control retention with access to capital markets.  </w:t>
      </w:r>
    </w:p>
    <w:p w14:paraId="460DF574" w14:textId="6C925A24"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Executive compensation emerges as a critical governance dimension requiring particular attention during transitions. Performance-linked structures must balance short-term and long-term objectives, avoiding the pitfalls demonstrated by Persimmon’s remuneration failures. Properly designed incentives aligned with sustainable value creation can mitigate agency problems while maintaining entrepreneurial drive, as Jensen and Murphy’s (1990) research prescribes.  </w:t>
      </w:r>
    </w:p>
    <w:p w14:paraId="208E32CB" w14:textId="77777777" w:rsidR="00B61F26" w:rsidRDefault="00B61F26" w:rsidP="009E502D">
      <w:pPr>
        <w:spacing w:before="240" w:line="360" w:lineRule="auto"/>
        <w:rPr>
          <w:rFonts w:ascii="Arial" w:hAnsi="Arial" w:cs="Arial"/>
          <w:sz w:val="22"/>
          <w:szCs w:val="22"/>
        </w:rPr>
      </w:pPr>
    </w:p>
    <w:p w14:paraId="7A1CA254" w14:textId="77777777" w:rsidR="00DA0D00" w:rsidRDefault="00DA0D00" w:rsidP="009E502D">
      <w:pPr>
        <w:spacing w:before="240" w:line="360" w:lineRule="auto"/>
        <w:rPr>
          <w:rFonts w:ascii="Arial" w:hAnsi="Arial" w:cs="Arial"/>
          <w:sz w:val="22"/>
          <w:szCs w:val="22"/>
        </w:rPr>
      </w:pPr>
    </w:p>
    <w:p w14:paraId="2096A28F" w14:textId="77777777" w:rsidR="00DA0D00" w:rsidRDefault="00DA0D00" w:rsidP="009E502D">
      <w:pPr>
        <w:spacing w:before="240" w:line="360" w:lineRule="auto"/>
        <w:rPr>
          <w:rFonts w:ascii="Arial" w:hAnsi="Arial" w:cs="Arial"/>
          <w:sz w:val="22"/>
          <w:szCs w:val="22"/>
        </w:rPr>
      </w:pPr>
    </w:p>
    <w:p w14:paraId="35B7C330" w14:textId="77777777" w:rsidR="00DA0D00" w:rsidRDefault="00DA0D00" w:rsidP="009E502D">
      <w:pPr>
        <w:spacing w:before="240" w:line="360" w:lineRule="auto"/>
        <w:rPr>
          <w:rFonts w:ascii="Arial" w:hAnsi="Arial" w:cs="Arial"/>
          <w:sz w:val="22"/>
          <w:szCs w:val="22"/>
        </w:rPr>
      </w:pPr>
    </w:p>
    <w:p w14:paraId="3DB40CD2" w14:textId="77777777" w:rsidR="00DA0D00" w:rsidRDefault="00DA0D00" w:rsidP="009E502D">
      <w:pPr>
        <w:spacing w:before="240" w:line="360" w:lineRule="auto"/>
        <w:rPr>
          <w:rFonts w:ascii="Arial" w:hAnsi="Arial" w:cs="Arial"/>
          <w:sz w:val="22"/>
          <w:szCs w:val="22"/>
        </w:rPr>
      </w:pPr>
    </w:p>
    <w:p w14:paraId="63B600F5" w14:textId="77777777" w:rsidR="00DA0D00" w:rsidRDefault="00DA0D00" w:rsidP="009E502D">
      <w:pPr>
        <w:spacing w:before="240" w:line="360" w:lineRule="auto"/>
        <w:rPr>
          <w:rFonts w:ascii="Arial" w:hAnsi="Arial" w:cs="Arial"/>
          <w:sz w:val="22"/>
          <w:szCs w:val="22"/>
        </w:rPr>
      </w:pPr>
    </w:p>
    <w:p w14:paraId="55C350B0" w14:textId="77777777" w:rsidR="00DA0D00" w:rsidRPr="009E502D" w:rsidRDefault="00DA0D00" w:rsidP="009E502D">
      <w:pPr>
        <w:spacing w:before="240" w:line="360" w:lineRule="auto"/>
        <w:rPr>
          <w:rFonts w:ascii="Arial" w:hAnsi="Arial" w:cs="Arial"/>
          <w:sz w:val="22"/>
          <w:szCs w:val="22"/>
        </w:rPr>
      </w:pPr>
    </w:p>
    <w:p w14:paraId="39647BD2" w14:textId="75514832" w:rsidR="00B61F26" w:rsidRDefault="00B61F26" w:rsidP="009E502D">
      <w:pPr>
        <w:spacing w:before="240" w:line="360" w:lineRule="auto"/>
        <w:rPr>
          <w:rFonts w:ascii="Arial" w:hAnsi="Arial" w:cs="Arial"/>
          <w:b/>
          <w:bCs/>
          <w:sz w:val="22"/>
          <w:szCs w:val="22"/>
        </w:rPr>
      </w:pPr>
      <w:r w:rsidRPr="009E502D">
        <w:rPr>
          <w:rFonts w:ascii="Arial" w:hAnsi="Arial" w:cs="Arial"/>
          <w:b/>
          <w:bCs/>
          <w:sz w:val="22"/>
          <w:szCs w:val="22"/>
        </w:rPr>
        <w:lastRenderedPageBreak/>
        <w:t xml:space="preserve"> 7. Recommendations  </w:t>
      </w:r>
    </w:p>
    <w:p w14:paraId="3502F902" w14:textId="77777777" w:rsidR="00DA0D00" w:rsidRPr="00206B84" w:rsidRDefault="00DA0D00" w:rsidP="009E502D">
      <w:pPr>
        <w:spacing w:before="240" w:line="360" w:lineRule="auto"/>
        <w:rPr>
          <w:rFonts w:ascii="Arial" w:hAnsi="Arial" w:cs="Arial"/>
          <w:b/>
          <w:bCs/>
          <w:sz w:val="22"/>
          <w:szCs w:val="22"/>
        </w:rPr>
      </w:pPr>
    </w:p>
    <w:p w14:paraId="0E6AAA70" w14:textId="5EC9C287"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Four principal recommendations emerge from this analysis for the company’s board of directors:  </w:t>
      </w:r>
    </w:p>
    <w:p w14:paraId="3AA3D7C0" w14:textId="675FBC5A"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First, implement a dual-class share structure with reasonable sunset provisions of five to seven years. This approach, supported by Gompers et al.’s (2010) research, would ensure founder control during the critical transition period while addressing concerns about perpetual entrenchment raised by </w:t>
      </w:r>
      <w:proofErr w:type="spellStart"/>
      <w:r w:rsidRPr="009E502D">
        <w:rPr>
          <w:rFonts w:ascii="Arial" w:hAnsi="Arial" w:cs="Arial"/>
          <w:sz w:val="22"/>
          <w:szCs w:val="22"/>
        </w:rPr>
        <w:t>Bebchuk</w:t>
      </w:r>
      <w:proofErr w:type="spellEnd"/>
      <w:r w:rsidRPr="009E502D">
        <w:rPr>
          <w:rFonts w:ascii="Arial" w:hAnsi="Arial" w:cs="Arial"/>
          <w:sz w:val="22"/>
          <w:szCs w:val="22"/>
        </w:rPr>
        <w:t xml:space="preserve"> and </w:t>
      </w:r>
      <w:proofErr w:type="spellStart"/>
      <w:r w:rsidRPr="009E502D">
        <w:rPr>
          <w:rFonts w:ascii="Arial" w:hAnsi="Arial" w:cs="Arial"/>
          <w:sz w:val="22"/>
          <w:szCs w:val="22"/>
        </w:rPr>
        <w:t>Kastiel</w:t>
      </w:r>
      <w:proofErr w:type="spellEnd"/>
      <w:r w:rsidRPr="009E502D">
        <w:rPr>
          <w:rFonts w:ascii="Arial" w:hAnsi="Arial" w:cs="Arial"/>
          <w:sz w:val="22"/>
          <w:szCs w:val="22"/>
        </w:rPr>
        <w:t xml:space="preserve"> (2017).  </w:t>
      </w:r>
    </w:p>
    <w:p w14:paraId="11DBD1C7" w14:textId="5994E32F"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Second, establish board committees with genuine independence from management, particularly in audit and remuneration functions. The UK Corporate Governance Code (Financial Reporting Council, 2018) provides clear guidance on committee composition and responsibilities that can build market confidence.  </w:t>
      </w:r>
    </w:p>
    <w:p w14:paraId="099D45F4" w14:textId="3FDC68A7" w:rsidR="00B61F26" w:rsidRPr="009E502D" w:rsidRDefault="00B61F26" w:rsidP="009E502D">
      <w:pPr>
        <w:spacing w:before="240" w:line="360" w:lineRule="auto"/>
        <w:rPr>
          <w:rFonts w:ascii="Arial" w:hAnsi="Arial" w:cs="Arial"/>
          <w:sz w:val="22"/>
          <w:szCs w:val="22"/>
        </w:rPr>
      </w:pPr>
      <w:r w:rsidRPr="009E502D">
        <w:rPr>
          <w:rFonts w:ascii="Arial" w:hAnsi="Arial" w:cs="Arial"/>
          <w:sz w:val="22"/>
          <w:szCs w:val="22"/>
        </w:rPr>
        <w:t xml:space="preserve">Third, reform executive compensation to emphasize long-term performance metrics. Following Core et al.’s (1999) research, at least 50% of variable pay should be tied to three-to-five-year performance periods and incorporate environmental, social, and governance (ESG) criteria.  </w:t>
      </w:r>
    </w:p>
    <w:p w14:paraId="7191617A" w14:textId="23B0B006" w:rsidR="00B61F26" w:rsidRDefault="00B61F26" w:rsidP="009E502D">
      <w:pPr>
        <w:spacing w:before="240" w:line="360" w:lineRule="auto"/>
      </w:pPr>
      <w:r w:rsidRPr="009E502D">
        <w:rPr>
          <w:rFonts w:ascii="Arial" w:hAnsi="Arial" w:cs="Arial"/>
          <w:sz w:val="22"/>
          <w:szCs w:val="22"/>
        </w:rPr>
        <w:t>Fourth, maintain the UK as the primary listing venue rather than pursuing more restrictive jurisdictions. As the comparative analysis shows, the flexibility of AIM’s governance framework provides the optimal balance between control retention and access to capital</w:t>
      </w:r>
      <w:r>
        <w:t xml:space="preserve">.  </w:t>
      </w:r>
    </w:p>
    <w:p w14:paraId="71557C3B" w14:textId="77777777" w:rsidR="00B61F26" w:rsidRDefault="00B61F26"/>
    <w:p w14:paraId="534CF0E2" w14:textId="77777777" w:rsidR="007E1A10" w:rsidRDefault="007E1A10"/>
    <w:p w14:paraId="2F96E291" w14:textId="77777777" w:rsidR="007E1A10" w:rsidRDefault="007E1A10"/>
    <w:p w14:paraId="1C7BA0FB" w14:textId="77777777" w:rsidR="00244830" w:rsidRDefault="00244830"/>
    <w:p w14:paraId="79F32D3B" w14:textId="77777777" w:rsidR="00244830" w:rsidRDefault="00244830"/>
    <w:p w14:paraId="0A95F56E" w14:textId="77777777" w:rsidR="00244830" w:rsidRDefault="00244830"/>
    <w:p w14:paraId="1D6C520A" w14:textId="77777777" w:rsidR="00244830" w:rsidRDefault="00244830"/>
    <w:p w14:paraId="424D1705" w14:textId="03EAF3B8" w:rsidR="00244830" w:rsidRDefault="00244830"/>
    <w:p w14:paraId="5E3C9878" w14:textId="77777777" w:rsidR="00095FF6" w:rsidRDefault="00095FF6"/>
    <w:p w14:paraId="14F2A6D8" w14:textId="77777777" w:rsidR="00244830" w:rsidRDefault="00244830"/>
    <w:p w14:paraId="778BC776" w14:textId="369CD802" w:rsidR="00B61F26" w:rsidRPr="007E1A10" w:rsidRDefault="00B61F26">
      <w:pPr>
        <w:rPr>
          <w:b/>
          <w:bCs/>
        </w:rPr>
      </w:pPr>
      <w:r w:rsidRPr="007E1A10">
        <w:rPr>
          <w:b/>
          <w:bCs/>
        </w:rPr>
        <w:lastRenderedPageBreak/>
        <w:t xml:space="preserve">8. References  </w:t>
      </w:r>
    </w:p>
    <w:p w14:paraId="486FE697" w14:textId="77777777" w:rsidR="00B61F26" w:rsidRDefault="00B61F26"/>
    <w:p w14:paraId="07EDF7EA" w14:textId="77777777" w:rsidR="00B61F26" w:rsidRDefault="00B61F26">
      <w:r>
        <w:t xml:space="preserve">1. Alphabet Inc. (2022) *Annual Report 2022*. Mountain View: Alphabet Inc.  </w:t>
      </w:r>
    </w:p>
    <w:p w14:paraId="4F4C834E" w14:textId="710715FB" w:rsidR="00B61F26" w:rsidRDefault="00B61F26">
      <w:r>
        <w:t xml:space="preserve">2. </w:t>
      </w:r>
      <w:proofErr w:type="spellStart"/>
      <w:r>
        <w:t>Arcot</w:t>
      </w:r>
      <w:proofErr w:type="spellEnd"/>
      <w:r>
        <w:t xml:space="preserve">, S. And Bruno, V. (2021) ‘Executive pay and the limits of disclosure’, *European Corporate Governance Institute*, 34(2), pp.1-38.  </w:t>
      </w:r>
    </w:p>
    <w:p w14:paraId="45562320" w14:textId="27F13C91" w:rsidR="00B61F26" w:rsidRDefault="00B61F26">
      <w:r>
        <w:t xml:space="preserve">3. </w:t>
      </w:r>
      <w:proofErr w:type="spellStart"/>
      <w:r>
        <w:t>Arcot</w:t>
      </w:r>
      <w:proofErr w:type="spellEnd"/>
      <w:r>
        <w:t>, S., Bruno, V. And Faure-</w:t>
      </w:r>
      <w:proofErr w:type="spellStart"/>
      <w:r>
        <w:t>Grimaud</w:t>
      </w:r>
      <w:proofErr w:type="spellEnd"/>
      <w:r>
        <w:t xml:space="preserve">, A. (2022) ‘Corporate governance in the UK: Is the comply-or-explain approach working?’, *International Review of Law and Economics*, 70, pp.106039-106055.  </w:t>
      </w:r>
    </w:p>
    <w:p w14:paraId="148E49A9" w14:textId="77777777" w:rsidR="00B61F26" w:rsidRDefault="00B61F26">
      <w:r>
        <w:t xml:space="preserve">4. Bainbridge, S.M. (2008) *The new corporate governance in theory and practice*. Oxford: Oxford University Press.  </w:t>
      </w:r>
    </w:p>
    <w:p w14:paraId="31AC935D" w14:textId="3F3BC150" w:rsidR="00B61F26" w:rsidRDefault="00B61F26">
      <w:r>
        <w:t xml:space="preserve">5. </w:t>
      </w:r>
      <w:proofErr w:type="spellStart"/>
      <w:r>
        <w:t>Bebchuk</w:t>
      </w:r>
      <w:proofErr w:type="spellEnd"/>
      <w:r>
        <w:t xml:space="preserve">, L.A. and </w:t>
      </w:r>
      <w:proofErr w:type="spellStart"/>
      <w:r>
        <w:t>Hamdani</w:t>
      </w:r>
      <w:proofErr w:type="spellEnd"/>
      <w:r>
        <w:t xml:space="preserve">, A. (2017) ‘Independent directors and controlling shareholders’, *University of Pennsylvania Law Review*, 165(6), pp.1271-1315.  </w:t>
      </w:r>
    </w:p>
    <w:p w14:paraId="449E2EC0" w14:textId="75850363" w:rsidR="00B61F26" w:rsidRDefault="00B61F26">
      <w:r>
        <w:t xml:space="preserve">6. Chen, G., Li, J. And Shapiro, D. (2020) ‘Independent directors in China’, *Journal of Corporate Finance*, 65, pp.101-123.  </w:t>
      </w:r>
    </w:p>
    <w:p w14:paraId="03745F09" w14:textId="77777777" w:rsidR="00B61F26" w:rsidRDefault="00B61F26">
      <w:r>
        <w:t xml:space="preserve">7. Clarke, T. (2004) *Theories of corporate governance*. London: Routledge.  </w:t>
      </w:r>
    </w:p>
    <w:p w14:paraId="226E833C" w14:textId="77777777" w:rsidR="00B61F26" w:rsidRDefault="00B61F26">
      <w:r>
        <w:t xml:space="preserve">8. Coffee, J.C. (2001) *The rise of dispersed ownership*. New Haven: Yale University Press.  </w:t>
      </w:r>
    </w:p>
    <w:p w14:paraId="04AD59A9" w14:textId="6E7A6770" w:rsidR="00B61F26" w:rsidRDefault="00B61F26">
      <w:r>
        <w:t xml:space="preserve">9. Core, J.E., </w:t>
      </w:r>
      <w:proofErr w:type="spellStart"/>
      <w:r>
        <w:t>Holthausen</w:t>
      </w:r>
      <w:proofErr w:type="spellEnd"/>
      <w:r>
        <w:t xml:space="preserve">, R.W. and </w:t>
      </w:r>
      <w:proofErr w:type="spellStart"/>
      <w:r>
        <w:t>Larcker</w:t>
      </w:r>
      <w:proofErr w:type="spellEnd"/>
      <w:r>
        <w:t xml:space="preserve">, D.F. (1999) ‘Corporate governance, CEO compensation, and firm performance’, *Journal of Financial Economics*, 51(3), pp.371-406.  </w:t>
      </w:r>
    </w:p>
    <w:p w14:paraId="0955591A" w14:textId="0686AC04" w:rsidR="00B61F26" w:rsidRDefault="00B61F26">
      <w:r>
        <w:t xml:space="preserve">10. </w:t>
      </w:r>
      <w:proofErr w:type="spellStart"/>
      <w:r>
        <w:t>Fama</w:t>
      </w:r>
      <w:proofErr w:type="spellEnd"/>
      <w:r>
        <w:t xml:space="preserve">, E.F. and Jensen, M.C. (1983) ‘Separation of ownership and control’, *Journal of Law and Economics*, 26(2), pp.301-325.  </w:t>
      </w:r>
    </w:p>
    <w:p w14:paraId="2A47F078" w14:textId="77777777" w:rsidR="00B61F26" w:rsidRDefault="00B61F26">
      <w:r>
        <w:t xml:space="preserve">11. Financial Reporting Council (2018) *The UK Corporate Governance Code*. London: FRC.  </w:t>
      </w:r>
    </w:p>
    <w:p w14:paraId="24E10403" w14:textId="77777777" w:rsidR="00B61F26" w:rsidRDefault="00B61F26">
      <w:r>
        <w:t xml:space="preserve">12. Financial Reporting Council (2019) *Carillion plc investigation*. London: FRC.  </w:t>
      </w:r>
    </w:p>
    <w:p w14:paraId="6763A773" w14:textId="655A8922" w:rsidR="00B61F26" w:rsidRDefault="00B61F26">
      <w:r>
        <w:t xml:space="preserve">13. Gompers, P.A., Ishii, J.L. and </w:t>
      </w:r>
      <w:proofErr w:type="spellStart"/>
      <w:r>
        <w:t>Metrick</w:t>
      </w:r>
      <w:proofErr w:type="spellEnd"/>
      <w:r>
        <w:t xml:space="preserve">, A. (2010) ‘Extreme governance: An analysis of dual-class firms in the United States’, *Review of Financial Studies*, 23(3), pp.1051-1088.  </w:t>
      </w:r>
    </w:p>
    <w:p w14:paraId="751BE81A" w14:textId="77777777" w:rsidR="00B61F26" w:rsidRDefault="00B61F26">
      <w:r>
        <w:t xml:space="preserve">14. Investment Association (2019) *Principles of Remuneration*. London: IA.  </w:t>
      </w:r>
    </w:p>
    <w:p w14:paraId="14A96B63" w14:textId="5E464148" w:rsidR="00B61F26" w:rsidRDefault="00B61F26">
      <w:r>
        <w:t xml:space="preserve">15. Jensen, M.C. and </w:t>
      </w:r>
      <w:proofErr w:type="spellStart"/>
      <w:r>
        <w:t>Meckling</w:t>
      </w:r>
      <w:proofErr w:type="spellEnd"/>
      <w:r>
        <w:t xml:space="preserve">, W.H. (1976) ‘Theory of the firm: Managerial </w:t>
      </w:r>
      <w:proofErr w:type="spellStart"/>
      <w:r>
        <w:t>behavior</w:t>
      </w:r>
      <w:proofErr w:type="spellEnd"/>
      <w:r>
        <w:t xml:space="preserve">, agency costs and ownership structure’, *Journal of Financial Economics*, 3(4), pp.305-360. </w:t>
      </w:r>
    </w:p>
    <w:p w14:paraId="148577E7" w14:textId="7B7E0E52" w:rsidR="00CB585C" w:rsidRDefault="00CB585C"/>
    <w:sectPr w:rsidR="00CB5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51B"/>
    <w:rsid w:val="000101C9"/>
    <w:rsid w:val="00027588"/>
    <w:rsid w:val="0005127D"/>
    <w:rsid w:val="00095FF6"/>
    <w:rsid w:val="00154B00"/>
    <w:rsid w:val="00164D9E"/>
    <w:rsid w:val="001953A8"/>
    <w:rsid w:val="001B3A26"/>
    <w:rsid w:val="001D4438"/>
    <w:rsid w:val="0020695D"/>
    <w:rsid w:val="00206B84"/>
    <w:rsid w:val="00221B55"/>
    <w:rsid w:val="00244830"/>
    <w:rsid w:val="00260148"/>
    <w:rsid w:val="00297825"/>
    <w:rsid w:val="00311DCB"/>
    <w:rsid w:val="00347893"/>
    <w:rsid w:val="003657A3"/>
    <w:rsid w:val="00393F69"/>
    <w:rsid w:val="003F5879"/>
    <w:rsid w:val="00407F0E"/>
    <w:rsid w:val="0045218E"/>
    <w:rsid w:val="004546D0"/>
    <w:rsid w:val="00497763"/>
    <w:rsid w:val="00517881"/>
    <w:rsid w:val="005379F8"/>
    <w:rsid w:val="005817EB"/>
    <w:rsid w:val="00582635"/>
    <w:rsid w:val="005A4F52"/>
    <w:rsid w:val="005E32E0"/>
    <w:rsid w:val="00625073"/>
    <w:rsid w:val="00635C54"/>
    <w:rsid w:val="00651C49"/>
    <w:rsid w:val="00660C32"/>
    <w:rsid w:val="0069691A"/>
    <w:rsid w:val="006F5B18"/>
    <w:rsid w:val="00712338"/>
    <w:rsid w:val="0071342F"/>
    <w:rsid w:val="00715E23"/>
    <w:rsid w:val="007E1A10"/>
    <w:rsid w:val="00897EA4"/>
    <w:rsid w:val="00910C34"/>
    <w:rsid w:val="00926AF3"/>
    <w:rsid w:val="00986228"/>
    <w:rsid w:val="009E502D"/>
    <w:rsid w:val="00A17077"/>
    <w:rsid w:val="00A24593"/>
    <w:rsid w:val="00A9165F"/>
    <w:rsid w:val="00AB080B"/>
    <w:rsid w:val="00AB3603"/>
    <w:rsid w:val="00B24098"/>
    <w:rsid w:val="00B53591"/>
    <w:rsid w:val="00B61F26"/>
    <w:rsid w:val="00BA52E9"/>
    <w:rsid w:val="00BF0A1D"/>
    <w:rsid w:val="00C103A3"/>
    <w:rsid w:val="00C32988"/>
    <w:rsid w:val="00C4705B"/>
    <w:rsid w:val="00C76DDB"/>
    <w:rsid w:val="00C87E59"/>
    <w:rsid w:val="00CB585C"/>
    <w:rsid w:val="00CD0FBC"/>
    <w:rsid w:val="00CE553F"/>
    <w:rsid w:val="00D53D66"/>
    <w:rsid w:val="00D82B5D"/>
    <w:rsid w:val="00DA0D00"/>
    <w:rsid w:val="00DC5A15"/>
    <w:rsid w:val="00E1594E"/>
    <w:rsid w:val="00E24A52"/>
    <w:rsid w:val="00E443AC"/>
    <w:rsid w:val="00E53C5C"/>
    <w:rsid w:val="00E673AA"/>
    <w:rsid w:val="00E9552F"/>
    <w:rsid w:val="00EC2959"/>
    <w:rsid w:val="00F86F97"/>
    <w:rsid w:val="00FA751B"/>
    <w:rsid w:val="00FD2A0D"/>
    <w:rsid w:val="00FD5095"/>
    <w:rsid w:val="00FE4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CC272C"/>
  <w15:chartTrackingRefBased/>
  <w15:docId w15:val="{B5C34F56-3158-1E45-A803-50188D197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75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75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75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75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75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75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75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75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75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5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75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75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75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75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75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75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75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751B"/>
    <w:rPr>
      <w:rFonts w:eastAsiaTheme="majorEastAsia" w:cstheme="majorBidi"/>
      <w:color w:val="272727" w:themeColor="text1" w:themeTint="D8"/>
    </w:rPr>
  </w:style>
  <w:style w:type="paragraph" w:styleId="Title">
    <w:name w:val="Title"/>
    <w:basedOn w:val="Normal"/>
    <w:next w:val="Normal"/>
    <w:link w:val="TitleChar"/>
    <w:uiPriority w:val="10"/>
    <w:qFormat/>
    <w:rsid w:val="00FA75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5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75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75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751B"/>
    <w:pPr>
      <w:spacing w:before="160"/>
      <w:jc w:val="center"/>
    </w:pPr>
    <w:rPr>
      <w:i/>
      <w:iCs/>
      <w:color w:val="404040" w:themeColor="text1" w:themeTint="BF"/>
    </w:rPr>
  </w:style>
  <w:style w:type="character" w:customStyle="1" w:styleId="QuoteChar">
    <w:name w:val="Quote Char"/>
    <w:basedOn w:val="DefaultParagraphFont"/>
    <w:link w:val="Quote"/>
    <w:uiPriority w:val="29"/>
    <w:rsid w:val="00FA751B"/>
    <w:rPr>
      <w:i/>
      <w:iCs/>
      <w:color w:val="404040" w:themeColor="text1" w:themeTint="BF"/>
    </w:rPr>
  </w:style>
  <w:style w:type="paragraph" w:styleId="ListParagraph">
    <w:name w:val="List Paragraph"/>
    <w:basedOn w:val="Normal"/>
    <w:uiPriority w:val="34"/>
    <w:qFormat/>
    <w:rsid w:val="00FA751B"/>
    <w:pPr>
      <w:ind w:left="720"/>
      <w:contextualSpacing/>
    </w:pPr>
  </w:style>
  <w:style w:type="character" w:styleId="IntenseEmphasis">
    <w:name w:val="Intense Emphasis"/>
    <w:basedOn w:val="DefaultParagraphFont"/>
    <w:uiPriority w:val="21"/>
    <w:qFormat/>
    <w:rsid w:val="00FA751B"/>
    <w:rPr>
      <w:i/>
      <w:iCs/>
      <w:color w:val="0F4761" w:themeColor="accent1" w:themeShade="BF"/>
    </w:rPr>
  </w:style>
  <w:style w:type="paragraph" w:styleId="IntenseQuote">
    <w:name w:val="Intense Quote"/>
    <w:basedOn w:val="Normal"/>
    <w:next w:val="Normal"/>
    <w:link w:val="IntenseQuoteChar"/>
    <w:uiPriority w:val="30"/>
    <w:qFormat/>
    <w:rsid w:val="00FA75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751B"/>
    <w:rPr>
      <w:i/>
      <w:iCs/>
      <w:color w:val="0F4761" w:themeColor="accent1" w:themeShade="BF"/>
    </w:rPr>
  </w:style>
  <w:style w:type="character" w:styleId="IntenseReference">
    <w:name w:val="Intense Reference"/>
    <w:basedOn w:val="DefaultParagraphFont"/>
    <w:uiPriority w:val="32"/>
    <w:qFormat/>
    <w:rsid w:val="00FA751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2823</Words>
  <Characters>16096</Characters>
  <Application>Microsoft Office Word</Application>
  <DocSecurity>0</DocSecurity>
  <Lines>134</Lines>
  <Paragraphs>37</Paragraphs>
  <ScaleCrop>false</ScaleCrop>
  <Company/>
  <LinksUpToDate>false</LinksUpToDate>
  <CharactersWithSpaces>18882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 apopei</dc:creator>
  <cp:keywords/>
  <dc:description/>
  <cp:lastModifiedBy>aurel apopei</cp:lastModifiedBy>
  <cp:revision>2</cp:revision>
  <dcterms:created xsi:type="dcterms:W3CDTF">2025-06-18T16:11:00Z</dcterms:created>
  <dcterms:modified xsi:type="dcterms:W3CDTF">2025-06-18T16:11:00Z</dcterms:modified>
</cp:coreProperties>
</file>