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F4671" w14:textId="77777777" w:rsidR="00836A2A" w:rsidRDefault="00836A2A" w:rsidP="00836A2A"/>
    <w:p w14:paraId="42C471B9" w14:textId="4F1AEDB5" w:rsidR="00836A2A" w:rsidRDefault="00836A2A" w:rsidP="00836A2A">
      <w:r>
        <w:t>This extract is an account of the actions of Conon, and Pharnabazus, and their actions in removing the remaining supporters of the Lacedemonians, some turning willingly towards their side others with force. The extract tells of the Lacedaemonians' loss of sovereignty in the sea, and Conon’s subsequent moves in the Mediterranean.</w:t>
      </w:r>
      <w:r w:rsidR="00065EB3">
        <w:rPr>
          <w:rStyle w:val="FootnoteReference"/>
        </w:rPr>
        <w:footnoteReference w:id="1"/>
      </w:r>
    </w:p>
    <w:p w14:paraId="3F08D7E6" w14:textId="571E0E2C" w:rsidR="00836A2A" w:rsidRDefault="00836A2A" w:rsidP="00836A2A">
      <w:r>
        <w:t>It is a very matter of fact, there are few, if any embellishments in this section and it reads more like a list, rather than an active recount of the situation. Three of the sentences start with the word after for example.</w:t>
      </w:r>
      <w:r w:rsidR="00065EB3">
        <w:rPr>
          <w:rStyle w:val="FootnoteReference"/>
        </w:rPr>
        <w:footnoteReference w:id="2"/>
      </w:r>
      <w:r>
        <w:t xml:space="preserve"> While this doesn’t remove from the validity of it as a source it does leave it rather dry. We can assume </w:t>
      </w:r>
      <w:r>
        <w:t>Diodorus</w:t>
      </w:r>
      <w:r>
        <w:t xml:space="preserve"> wanted others to read this work, as each book's contents is outlined in a contents page in each book.</w:t>
      </w:r>
      <w:r w:rsidR="00065EB3">
        <w:rPr>
          <w:rStyle w:val="FootnoteReference"/>
        </w:rPr>
        <w:footnoteReference w:id="3"/>
      </w:r>
      <w:r>
        <w:t xml:space="preserve"> It does not make for easy </w:t>
      </w:r>
      <w:r>
        <w:t>reading and</w:t>
      </w:r>
      <w:r>
        <w:t xml:space="preserve"> is written in quite a </w:t>
      </w:r>
      <w:r>
        <w:t>matter-of-fact</w:t>
      </w:r>
      <w:r>
        <w:t xml:space="preserve"> style. It is a Chronology,</w:t>
      </w:r>
      <w:r w:rsidR="00065EB3">
        <w:rPr>
          <w:rStyle w:val="FootnoteReference"/>
        </w:rPr>
        <w:footnoteReference w:id="4"/>
      </w:r>
      <w:r>
        <w:t xml:space="preserve"> meaning that it is supposed to be </w:t>
      </w:r>
      <w:r>
        <w:t>impartial,</w:t>
      </w:r>
      <w:r>
        <w:t xml:space="preserve"> so people's thoughts are not represented by it, and at first glance it does seem largely unbiased. </w:t>
      </w:r>
    </w:p>
    <w:p w14:paraId="6BF61347" w14:textId="37128A86" w:rsidR="00836A2A" w:rsidRDefault="00836A2A" w:rsidP="00836A2A">
      <w:r>
        <w:t xml:space="preserve">The author of this extract was Diodorus Siculus, a Sicilian scholar and was published in his </w:t>
      </w:r>
      <w:r w:rsidRPr="00D5245F">
        <w:rPr>
          <w:i/>
          <w:iCs/>
        </w:rPr>
        <w:t>Bibliotheca historica</w:t>
      </w:r>
      <w:r>
        <w:t xml:space="preserve"> a universal history.</w:t>
      </w:r>
      <w:r w:rsidR="00065EB3">
        <w:rPr>
          <w:rStyle w:val="FootnoteReference"/>
        </w:rPr>
        <w:footnoteReference w:id="5"/>
      </w:r>
      <w:r>
        <w:t xml:space="preserve"> He wrote a history from the age of mythology, and presumably up to Caesar's Gallic wars, although many of these forty books have been lost.</w:t>
      </w:r>
      <w:r w:rsidR="00065EB3">
        <w:rPr>
          <w:rStyle w:val="FootnoteReference"/>
        </w:rPr>
        <w:footnoteReference w:id="6"/>
      </w:r>
      <w:r>
        <w:t xml:space="preserve"> While not having definite sources and not citing them always, he does cite where parts of his history are from - which sources he has taken them from.</w:t>
      </w:r>
      <w:r w:rsidR="00065EB3">
        <w:rPr>
          <w:rStyle w:val="FootnoteReference"/>
        </w:rPr>
        <w:footnoteReference w:id="7"/>
      </w:r>
      <w:r>
        <w:t xml:space="preserve"> This has led to some interesting modern criticism, that he has just copied from the previous sources rather than writing his own accounts of history,</w:t>
      </w:r>
      <w:r w:rsidR="00065EB3">
        <w:rPr>
          <w:rStyle w:val="FootnoteReference"/>
        </w:rPr>
        <w:footnoteReference w:id="8"/>
      </w:r>
      <w:r>
        <w:t xml:space="preserve"> which does not add nor take away from the use of this source. </w:t>
      </w:r>
    </w:p>
    <w:p w14:paraId="30482A66" w14:textId="5B9EBE0A" w:rsidR="00836A2A" w:rsidRDefault="00836A2A" w:rsidP="00836A2A">
      <w:r>
        <w:t xml:space="preserve">On the topic of sources, according to the online collection of ancient works Perseus Digital Library, </w:t>
      </w:r>
      <w:r w:rsidR="00065EB3">
        <w:rPr>
          <w:rStyle w:val="FootnoteReference"/>
        </w:rPr>
        <w:footnoteReference w:id="9"/>
      </w:r>
      <w:r w:rsidR="00065EB3">
        <w:t xml:space="preserve"> </w:t>
      </w:r>
      <w:r>
        <w:t xml:space="preserve">this recount was most likely taken with information from </w:t>
      </w:r>
      <w:r w:rsidRPr="00836A2A">
        <w:rPr>
          <w:i/>
          <w:iCs/>
        </w:rPr>
        <w:t>Xenophon’s Hellenica</w:t>
      </w:r>
      <w:r>
        <w:t xml:space="preserve"> and </w:t>
      </w:r>
      <w:r w:rsidRPr="00836A2A">
        <w:rPr>
          <w:i/>
          <w:iCs/>
        </w:rPr>
        <w:t>Plutarch’s Agesilaus</w:t>
      </w:r>
      <w:r>
        <w:t xml:space="preserve"> (Although Plutarch was not used as a source for this extract)</w:t>
      </w:r>
      <w:r>
        <w:t xml:space="preserve">. Where this particular instance is recounted with more depth than in </w:t>
      </w:r>
      <w:r>
        <w:t>Diodorus</w:t>
      </w:r>
      <w:r>
        <w:t>’ account,</w:t>
      </w:r>
      <w:r w:rsidR="00065EB3">
        <w:rPr>
          <w:rStyle w:val="FootnoteReference"/>
        </w:rPr>
        <w:footnoteReference w:id="10"/>
      </w:r>
      <w:r>
        <w:t xml:space="preserve"> which means this source is more useful as an overview of these battles and figures and a springboard into this period, rather than an in depth view of the situation. </w:t>
      </w:r>
    </w:p>
    <w:p w14:paraId="5B8F53A9" w14:textId="61C4C285" w:rsidR="00836A2A" w:rsidRDefault="00836A2A" w:rsidP="00836A2A">
      <w:r>
        <w:t>Diodorus</w:t>
      </w:r>
      <w:r>
        <w:t xml:space="preserve"> was alive during the 1st century BCE,</w:t>
      </w:r>
      <w:r w:rsidR="00065EB3">
        <w:rPr>
          <w:rStyle w:val="FootnoteReference"/>
        </w:rPr>
        <w:footnoteReference w:id="11"/>
      </w:r>
      <w:r>
        <w:t xml:space="preserve"> although no exact dates are known, he was writing between 60 and 30 BCE.</w:t>
      </w:r>
      <w:r w:rsidR="00065EB3">
        <w:rPr>
          <w:rStyle w:val="FootnoteReference"/>
        </w:rPr>
        <w:footnoteReference w:id="12"/>
      </w:r>
      <w:r>
        <w:t xml:space="preserve"> The time of the actions happening in the extract was from the year 394 </w:t>
      </w:r>
      <w:r>
        <w:lastRenderedPageBreak/>
        <w:t>BCE,</w:t>
      </w:r>
      <w:r w:rsidR="00065EB3">
        <w:rPr>
          <w:rStyle w:val="FootnoteReference"/>
        </w:rPr>
        <w:footnoteReference w:id="13"/>
      </w:r>
      <w:r>
        <w:t xml:space="preserve"> meaning it was at least 364 years since he was writing, and he is crafting this retelling/chronology from his reading of Primary sources. </w:t>
      </w:r>
    </w:p>
    <w:p w14:paraId="2489549C" w14:textId="77777777" w:rsidR="00836A2A" w:rsidRDefault="00836A2A" w:rsidP="00836A2A"/>
    <w:p w14:paraId="437FB2D2" w14:textId="6E49326C" w:rsidR="00836A2A" w:rsidRDefault="00836A2A" w:rsidP="00836A2A">
      <w:r>
        <w:t>It is possible to see some of Diodorus’ bias in the way he discusses the Laced</w:t>
      </w:r>
      <w:r w:rsidR="00065EB3">
        <w:t>a</w:t>
      </w:r>
      <w:r>
        <w:t>emodians</w:t>
      </w:r>
      <w:r w:rsidR="00065EB3">
        <w:t xml:space="preserve"> </w:t>
      </w:r>
      <w:r>
        <w:t>and responses to them during the war:  ‘Lacedaemonian garrisons and maintained their freedom,’</w:t>
      </w:r>
      <w:r w:rsidR="00065EB3">
        <w:rPr>
          <w:rStyle w:val="FootnoteReference"/>
        </w:rPr>
        <w:footnoteReference w:id="14"/>
      </w:r>
      <w:r>
        <w:t xml:space="preserve"> he writes with a very positive view of the Athenians. This is likely due to </w:t>
      </w:r>
      <w:r w:rsidR="00065EB3">
        <w:t>many of</w:t>
      </w:r>
      <w:r>
        <w:t xml:space="preserve"> his sources being Athenian and not Spartan, as there are very few Spartan sources that have survived or that were perhaps written</w:t>
      </w:r>
      <w:r w:rsidR="000E1136">
        <w:t>.</w:t>
      </w:r>
      <w:r>
        <w:t xml:space="preserve"> However, because this is a Chronology, or at least seems to be attempting that, this impartiality is not incredibly useful. Although it does present something else: it may be an insight into the ideas of the people during the 1st century of this time period, and how their own bias was in the past, such that they came down on the side of the Athenians. </w:t>
      </w:r>
    </w:p>
    <w:p w14:paraId="14FC0D71" w14:textId="77777777" w:rsidR="00836A2A" w:rsidRDefault="00836A2A" w:rsidP="00836A2A"/>
    <w:p w14:paraId="1BFA6C88" w14:textId="76463F78" w:rsidR="00836A2A" w:rsidRDefault="00836A2A" w:rsidP="00836A2A">
      <w:r>
        <w:t>There is one factual ‘inaccuracy’, the referenced alliance made by Conon, was not in fact negotiated by him, and was negotiated by Pharnabazus. At least according to Xenophon's Hellenica.</w:t>
      </w:r>
      <w:r w:rsidR="00065EB3">
        <w:rPr>
          <w:rStyle w:val="FootnoteReference"/>
        </w:rPr>
        <w:footnoteReference w:id="15"/>
      </w:r>
      <w:r>
        <w:t xml:space="preserve"> However, how accurate a source this is can also be brought into question, it is often seen as quite a </w:t>
      </w:r>
      <w:r>
        <w:t>biased</w:t>
      </w:r>
      <w:r>
        <w:t xml:space="preserve"> source and based on personal opinion and has a few notable omissions, such as not considering Persian influence on Greek politico-military history after 386</w:t>
      </w:r>
      <w:r w:rsidR="00065EB3">
        <w:t xml:space="preserve"> </w:t>
      </w:r>
      <w:r>
        <w:t>BCE.</w:t>
      </w:r>
      <w:r w:rsidR="00065EB3">
        <w:rPr>
          <w:rStyle w:val="FootnoteReference"/>
        </w:rPr>
        <w:footnoteReference w:id="16"/>
      </w:r>
      <w:r>
        <w:t xml:space="preserve"> Even so, modern scholars do not see him as someone who makes up the facts of his recount, and is writing about things within his lifetime, and writing about events that he or his friends had been involved in, making him a largely reliable </w:t>
      </w:r>
      <w:r>
        <w:t>first-hand</w:t>
      </w:r>
      <w:r>
        <w:t xml:space="preserve"> account.</w:t>
      </w:r>
      <w:r w:rsidR="00065EB3">
        <w:rPr>
          <w:rStyle w:val="FootnoteReference"/>
        </w:rPr>
        <w:footnoteReference w:id="17"/>
      </w:r>
      <w:r>
        <w:t xml:space="preserve"> In contrast, Dio</w:t>
      </w:r>
      <w:r>
        <w:t>dor</w:t>
      </w:r>
      <w:r>
        <w:t xml:space="preserve">us has included information seen as actively at odds with this, putting his validity into question. </w:t>
      </w:r>
    </w:p>
    <w:p w14:paraId="4C40C2E0" w14:textId="74C4EC14" w:rsidR="00836A2A" w:rsidRDefault="00836A2A" w:rsidP="00836A2A">
      <w:r>
        <w:t>Other parts of Diodorus’ writing have also been criticised for being actively wrong. His Chronology of the years after the years 375 to 371 BCE have been questioned.</w:t>
      </w:r>
      <w:r w:rsidR="00065EB3">
        <w:rPr>
          <w:rStyle w:val="FootnoteReference"/>
        </w:rPr>
        <w:footnoteReference w:id="18"/>
      </w:r>
      <w:r>
        <w:t xml:space="preserve"> While I cannot find any sources questioning this particular passage of Diodorus, and parts of it are brought into question, there is nothing to say that it is not a largely true </w:t>
      </w:r>
      <w:r>
        <w:t>account and</w:t>
      </w:r>
      <w:r>
        <w:t xml:space="preserve"> can be taken as factual.  </w:t>
      </w:r>
    </w:p>
    <w:p w14:paraId="50EA6EF6" w14:textId="53C5110E" w:rsidR="00836A2A" w:rsidRDefault="00836A2A" w:rsidP="00836A2A">
      <w:r>
        <w:t>Therefore, Diodorus’ account of Conon’s actions in 394 BCE and 393 BCE</w:t>
      </w:r>
      <w:r w:rsidR="00065EB3">
        <w:rPr>
          <w:rStyle w:val="FootnoteReference"/>
        </w:rPr>
        <w:footnoteReference w:id="19"/>
      </w:r>
      <w:r>
        <w:t xml:space="preserve"> could be considered a good factual description of events taking place in response to his fleet in the Aegean</w:t>
      </w:r>
      <w:r>
        <w:t>, and his own actions in the area</w:t>
      </w:r>
      <w:r>
        <w:t>. However, it does not provide many details</w:t>
      </w:r>
      <w:r>
        <w:t xml:space="preserve">; there is no mention of tactics, or actively express opinions, his own or from those alive at the time. We are slightly trapped into having to take much of Diodorus at face value, on this subject in particular, as there is a distinct lack of sources which discuss Conon, there are two whole accounts and one fragmented. There isn’t enough historical evidence to say who is right and wrong, and so whether this extract is reliable will remain a mystery unless more evidence appears. </w:t>
      </w:r>
    </w:p>
    <w:p w14:paraId="24A833A3" w14:textId="2E16DFE5" w:rsidR="00836A2A" w:rsidRDefault="00836A2A" w:rsidP="00836A2A"/>
    <w:p w14:paraId="3C6BE738" w14:textId="45B2ED47" w:rsidR="000E1136" w:rsidRDefault="000E1136" w:rsidP="00836A2A">
      <w:r>
        <w:lastRenderedPageBreak/>
        <w:t xml:space="preserve">Bibliography – </w:t>
      </w:r>
    </w:p>
    <w:p w14:paraId="7180F216" w14:textId="7A69C490" w:rsidR="009B0386" w:rsidRDefault="009B0386" w:rsidP="000E1136">
      <w:pPr>
        <w:pStyle w:val="FootnoteText"/>
      </w:pPr>
      <w:r>
        <w:t xml:space="preserve">Hellenica Oxyrhynchia, translated by Paul McKechnie of Macquarie University (Sydney, Australia) in 1988. </w:t>
      </w:r>
      <w:r>
        <w:t xml:space="preserve">[accessed at: </w:t>
      </w:r>
      <w:hyperlink r:id="rId6" w:history="1">
        <w:r w:rsidRPr="00AE0FF0">
          <w:rPr>
            <w:rStyle w:val="Hyperlink"/>
          </w:rPr>
          <w:t>https://topostext.org/work/89</w:t>
        </w:r>
      </w:hyperlink>
      <w:r>
        <w:t xml:space="preserve">] </w:t>
      </w:r>
    </w:p>
    <w:p w14:paraId="0155BA88" w14:textId="4F9A677C" w:rsidR="000E1136" w:rsidRDefault="000E1136" w:rsidP="000E1136">
      <w:pPr>
        <w:pStyle w:val="FootnoteText"/>
      </w:pPr>
      <w:r>
        <w:t>Diodorus Siculus. Diodorus of Sicily in Twelve Volumes with an English Translation by C. H. Oldfather. Vol. 4-8. Cambridge, Mass.: Harvard University Press; London: William Heinemann, Ltd. 1989.</w:t>
      </w:r>
      <w:r>
        <w:t xml:space="preserve"> [accessed at: </w:t>
      </w:r>
      <w:hyperlink r:id="rId7" w:history="1">
        <w:r w:rsidRPr="00AE0FF0">
          <w:rPr>
            <w:rStyle w:val="Hyperlink"/>
          </w:rPr>
          <w:t>https://www.perseus.tufts.edu/hopper/text?doc=Diod.+14.84&amp;fromdoc=Perseus%3Atext%3A1999.01.0084#note1</w:t>
        </w:r>
      </w:hyperlink>
      <w:r>
        <w:t>]</w:t>
      </w:r>
    </w:p>
    <w:p w14:paraId="261788D6" w14:textId="3480A5AA" w:rsidR="000E1136" w:rsidRDefault="000E1136" w:rsidP="000E1136">
      <w:pPr>
        <w:pStyle w:val="FootnoteText"/>
      </w:pPr>
      <w:r>
        <w:t>Xenophon. Xenophon in Seven Volumes, 1 and 2. Carleton L. Brownson. Harvard University Press, Cambridge, MA; William Heinemann, Ltd., London. vol. 1:1918; vol. 2: 1921.</w:t>
      </w:r>
      <w:r>
        <w:t xml:space="preserve"> [accessed at: </w:t>
      </w:r>
      <w:r w:rsidRPr="000E1136">
        <w:t>https://www.perseus.tufts.edu/hopper/text?doc=Xen.%20Hell.%204.8.6&amp;lang=original</w:t>
      </w:r>
      <w:r>
        <w:t>]</w:t>
      </w:r>
    </w:p>
    <w:p w14:paraId="6C6B4372" w14:textId="71445414" w:rsidR="000E1136" w:rsidRDefault="000E1136" w:rsidP="000E1136">
      <w:pPr>
        <w:pStyle w:val="FootnoteText"/>
      </w:pPr>
    </w:p>
    <w:p w14:paraId="545B3EF3" w14:textId="7117756E" w:rsidR="0034625C" w:rsidRPr="0034625C" w:rsidRDefault="0034625C" w:rsidP="009B038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Asmonti, L., </w:t>
      </w:r>
      <w:r>
        <w:rPr>
          <w:rFonts w:ascii="Times New Roman" w:eastAsia="Times New Roman" w:hAnsi="Times New Roman" w:cs="Times New Roman"/>
          <w:i/>
          <w:iCs/>
          <w:sz w:val="20"/>
          <w:szCs w:val="20"/>
          <w:lang w:eastAsia="en-GB"/>
        </w:rPr>
        <w:t>Conon the Athenian: Warfare ad politics in the Aegean, 414-386 B.C.</w:t>
      </w:r>
      <w:r>
        <w:rPr>
          <w:rFonts w:ascii="Times New Roman" w:eastAsia="Times New Roman" w:hAnsi="Times New Roman" w:cs="Times New Roman"/>
          <w:sz w:val="20"/>
          <w:szCs w:val="20"/>
          <w:lang w:eastAsia="en-GB"/>
        </w:rPr>
        <w:t>, Franz Steiner Verlag, Stuttgart, 2015</w:t>
      </w:r>
    </w:p>
    <w:p w14:paraId="655A7202" w14:textId="3BB61BF4" w:rsidR="009B0386" w:rsidRPr="009B0386" w:rsidRDefault="009B0386" w:rsidP="009B0386">
      <w:pPr>
        <w:spacing w:after="0" w:line="240" w:lineRule="auto"/>
        <w:rPr>
          <w:rFonts w:ascii="Times New Roman" w:eastAsia="Times New Roman" w:hAnsi="Times New Roman" w:cs="Times New Roman"/>
          <w:sz w:val="20"/>
          <w:szCs w:val="20"/>
          <w:lang w:eastAsia="en-GB"/>
        </w:rPr>
      </w:pPr>
      <w:r w:rsidRPr="009B0386">
        <w:rPr>
          <w:rFonts w:ascii="Times New Roman" w:eastAsia="Times New Roman" w:hAnsi="Times New Roman" w:cs="Times New Roman"/>
          <w:sz w:val="20"/>
          <w:szCs w:val="20"/>
          <w:lang w:eastAsia="en-GB"/>
        </w:rPr>
        <w:t xml:space="preserve">Gray, V. J. “The Years 375 to 371 Bc: A Case Study in the Reliability of Diodorus Siculus and Xenophon.” </w:t>
      </w:r>
      <w:r w:rsidRPr="009B0386">
        <w:rPr>
          <w:rFonts w:ascii="Times New Roman" w:eastAsia="Times New Roman" w:hAnsi="Times New Roman" w:cs="Times New Roman"/>
          <w:i/>
          <w:iCs/>
          <w:sz w:val="20"/>
          <w:szCs w:val="20"/>
          <w:lang w:eastAsia="en-GB"/>
        </w:rPr>
        <w:t>The Classical Quarterly</w:t>
      </w:r>
      <w:r w:rsidRPr="009B0386">
        <w:rPr>
          <w:rFonts w:ascii="Times New Roman" w:eastAsia="Times New Roman" w:hAnsi="Times New Roman" w:cs="Times New Roman"/>
          <w:sz w:val="20"/>
          <w:szCs w:val="20"/>
          <w:lang w:eastAsia="en-GB"/>
        </w:rPr>
        <w:t>, vol. 30, no. 2, 1980, pp. 306–326., doi:10.1017/S0009838800042269.</w:t>
      </w:r>
    </w:p>
    <w:p w14:paraId="4395735C" w14:textId="528B9330" w:rsidR="009B0386" w:rsidRPr="009B0386" w:rsidRDefault="009B0386" w:rsidP="009B0386">
      <w:pPr>
        <w:spacing w:after="0" w:line="240" w:lineRule="auto"/>
        <w:rPr>
          <w:rFonts w:ascii="Times New Roman" w:eastAsia="Times New Roman" w:hAnsi="Times New Roman" w:cs="Times New Roman"/>
          <w:sz w:val="20"/>
          <w:szCs w:val="20"/>
          <w:lang w:eastAsia="en-GB"/>
        </w:rPr>
      </w:pPr>
      <w:r w:rsidRPr="009B0386">
        <w:rPr>
          <w:rFonts w:ascii="Times New Roman" w:eastAsia="Times New Roman" w:hAnsi="Times New Roman" w:cs="Times New Roman"/>
          <w:sz w:val="20"/>
          <w:szCs w:val="20"/>
          <w:lang w:eastAsia="en-GB"/>
        </w:rPr>
        <w:t xml:space="preserve">Hau, Lisa Irene. “Diodorus Siculus.” </w:t>
      </w:r>
      <w:r w:rsidRPr="009B0386">
        <w:rPr>
          <w:rFonts w:ascii="Times New Roman" w:eastAsia="Times New Roman" w:hAnsi="Times New Roman" w:cs="Times New Roman"/>
          <w:i/>
          <w:iCs/>
          <w:sz w:val="20"/>
          <w:szCs w:val="20"/>
          <w:lang w:eastAsia="en-GB"/>
        </w:rPr>
        <w:t>Moral History from Herodotus to Diodorus Siculus</w:t>
      </w:r>
      <w:r w:rsidRPr="009B0386">
        <w:rPr>
          <w:rFonts w:ascii="Times New Roman" w:eastAsia="Times New Roman" w:hAnsi="Times New Roman" w:cs="Times New Roman"/>
          <w:sz w:val="20"/>
          <w:szCs w:val="20"/>
          <w:lang w:eastAsia="en-GB"/>
        </w:rPr>
        <w:t xml:space="preserve">, Edinburgh University Press, 2016, pp. 73–123. </w:t>
      </w:r>
      <w:r w:rsidRPr="009B0386">
        <w:rPr>
          <w:rFonts w:ascii="Times New Roman" w:eastAsia="Times New Roman" w:hAnsi="Times New Roman" w:cs="Times New Roman"/>
          <w:i/>
          <w:iCs/>
          <w:sz w:val="20"/>
          <w:szCs w:val="20"/>
          <w:lang w:eastAsia="en-GB"/>
        </w:rPr>
        <w:t>JSTOR</w:t>
      </w:r>
      <w:r w:rsidRPr="009B0386">
        <w:rPr>
          <w:rFonts w:ascii="Times New Roman" w:eastAsia="Times New Roman" w:hAnsi="Times New Roman" w:cs="Times New Roman"/>
          <w:sz w:val="20"/>
          <w:szCs w:val="20"/>
          <w:lang w:eastAsia="en-GB"/>
        </w:rPr>
        <w:t>, http://www.jstor.org/stable/10.3366/j.ctt1bh2hwv.6. Accessed 10 Mar. 2023.</w:t>
      </w:r>
    </w:p>
    <w:p w14:paraId="3A71B3DA" w14:textId="5F00FA76" w:rsidR="000E1136" w:rsidRDefault="000E1136" w:rsidP="000E1136">
      <w:pPr>
        <w:pStyle w:val="FootnoteText"/>
      </w:pPr>
      <w:r>
        <w:t>Kelly,</w:t>
      </w:r>
      <w:r>
        <w:t xml:space="preserve"> </w:t>
      </w:r>
      <w:r>
        <w:t>D. H.</w:t>
      </w:r>
      <w:r>
        <w:t>,</w:t>
      </w:r>
      <w:r>
        <w:t xml:space="preserve"> James McDonald, </w:t>
      </w:r>
      <w:r>
        <w:rPr>
          <w:rStyle w:val="Emphasis"/>
        </w:rPr>
        <w:t>Xenophon's 'Hellenika'. A commentary, vol. I: Hell. i.1.1-ii.2.24</w:t>
      </w:r>
      <w:r>
        <w:t xml:space="preserve">. </w:t>
      </w:r>
      <w:r>
        <w:rPr>
          <w:rStyle w:val="Emphasis"/>
        </w:rPr>
        <w:t>Classical and Byzantine Monographs, 97</w:t>
      </w:r>
      <w:r>
        <w:t>. Amsterdam: Hakkert, 2019. 408</w:t>
      </w:r>
    </w:p>
    <w:p w14:paraId="76CCCC66" w14:textId="784D018C" w:rsidR="000E1136" w:rsidRDefault="000E1136" w:rsidP="000E1136">
      <w:pPr>
        <w:spacing w:after="0" w:line="240" w:lineRule="auto"/>
        <w:rPr>
          <w:rFonts w:ascii="Times New Roman" w:eastAsia="Times New Roman" w:hAnsi="Times New Roman" w:cs="Times New Roman"/>
          <w:sz w:val="20"/>
          <w:szCs w:val="20"/>
          <w:lang w:eastAsia="en-GB"/>
        </w:rPr>
      </w:pPr>
      <w:r w:rsidRPr="000E1136">
        <w:rPr>
          <w:rFonts w:ascii="Times New Roman" w:eastAsia="Times New Roman" w:hAnsi="Times New Roman" w:cs="Times New Roman"/>
          <w:sz w:val="20"/>
          <w:szCs w:val="20"/>
          <w:lang w:eastAsia="en-GB"/>
        </w:rPr>
        <w:t xml:space="preserve">Lloyd, Alan B. </w:t>
      </w:r>
      <w:r w:rsidRPr="000E1136">
        <w:rPr>
          <w:rFonts w:ascii="Times New Roman" w:eastAsia="Times New Roman" w:hAnsi="Times New Roman" w:cs="Times New Roman"/>
          <w:i/>
          <w:iCs/>
          <w:sz w:val="20"/>
          <w:szCs w:val="20"/>
          <w:lang w:eastAsia="en-GB"/>
        </w:rPr>
        <w:t>The Journal of Egyptian Archaeology</w:t>
      </w:r>
      <w:r w:rsidRPr="000E1136">
        <w:rPr>
          <w:rFonts w:ascii="Times New Roman" w:eastAsia="Times New Roman" w:hAnsi="Times New Roman" w:cs="Times New Roman"/>
          <w:sz w:val="20"/>
          <w:szCs w:val="20"/>
          <w:lang w:eastAsia="en-GB"/>
        </w:rPr>
        <w:t xml:space="preserve">, vol. 60, 1974, pp. 287–90. </w:t>
      </w:r>
      <w:r w:rsidRPr="000E1136">
        <w:rPr>
          <w:rFonts w:ascii="Times New Roman" w:eastAsia="Times New Roman" w:hAnsi="Times New Roman" w:cs="Times New Roman"/>
          <w:i/>
          <w:iCs/>
          <w:sz w:val="20"/>
          <w:szCs w:val="20"/>
          <w:lang w:eastAsia="en-GB"/>
        </w:rPr>
        <w:t>JSTOR</w:t>
      </w:r>
      <w:r w:rsidRPr="000E1136">
        <w:rPr>
          <w:rFonts w:ascii="Times New Roman" w:eastAsia="Times New Roman" w:hAnsi="Times New Roman" w:cs="Times New Roman"/>
          <w:sz w:val="20"/>
          <w:szCs w:val="20"/>
          <w:lang w:eastAsia="en-GB"/>
        </w:rPr>
        <w:t>, https://doi.org/10.2307/3856225. Accessed 10 Mar. 2023.</w:t>
      </w:r>
    </w:p>
    <w:p w14:paraId="3D415DAF" w14:textId="71418982" w:rsidR="009B0386" w:rsidRDefault="009B0386" w:rsidP="000E1136">
      <w:pPr>
        <w:spacing w:after="0" w:line="240" w:lineRule="auto"/>
        <w:rPr>
          <w:rFonts w:ascii="Times New Roman" w:eastAsia="Times New Roman" w:hAnsi="Times New Roman" w:cs="Times New Roman"/>
          <w:sz w:val="20"/>
          <w:szCs w:val="20"/>
          <w:lang w:eastAsia="en-GB"/>
        </w:rPr>
      </w:pPr>
      <w:r w:rsidRPr="009B0386">
        <w:rPr>
          <w:rFonts w:ascii="Times New Roman" w:eastAsia="Times New Roman" w:hAnsi="Times New Roman" w:cs="Times New Roman"/>
          <w:sz w:val="20"/>
          <w:szCs w:val="20"/>
          <w:lang w:eastAsia="en-GB"/>
        </w:rPr>
        <w:t xml:space="preserve">Pascual, José. “Xenophon and the Chronology of the War on Land from 393 to 386 B.C.” </w:t>
      </w:r>
      <w:r w:rsidRPr="009B0386">
        <w:rPr>
          <w:rFonts w:ascii="Times New Roman" w:eastAsia="Times New Roman" w:hAnsi="Times New Roman" w:cs="Times New Roman"/>
          <w:i/>
          <w:iCs/>
          <w:sz w:val="20"/>
          <w:szCs w:val="20"/>
          <w:lang w:eastAsia="en-GB"/>
        </w:rPr>
        <w:t>The Classical Quarterly</w:t>
      </w:r>
      <w:r w:rsidRPr="009B0386">
        <w:rPr>
          <w:rFonts w:ascii="Times New Roman" w:eastAsia="Times New Roman" w:hAnsi="Times New Roman" w:cs="Times New Roman"/>
          <w:sz w:val="20"/>
          <w:szCs w:val="20"/>
          <w:lang w:eastAsia="en-GB"/>
        </w:rPr>
        <w:t xml:space="preserve">, vol. 59, no. 1, 2009, pp. 75–90. </w:t>
      </w:r>
      <w:r w:rsidRPr="009B0386">
        <w:rPr>
          <w:rFonts w:ascii="Times New Roman" w:eastAsia="Times New Roman" w:hAnsi="Times New Roman" w:cs="Times New Roman"/>
          <w:i/>
          <w:iCs/>
          <w:sz w:val="20"/>
          <w:szCs w:val="20"/>
          <w:lang w:eastAsia="en-GB"/>
        </w:rPr>
        <w:t>JSTOR</w:t>
      </w:r>
      <w:r w:rsidRPr="009B0386">
        <w:rPr>
          <w:rFonts w:ascii="Times New Roman" w:eastAsia="Times New Roman" w:hAnsi="Times New Roman" w:cs="Times New Roman"/>
          <w:sz w:val="20"/>
          <w:szCs w:val="20"/>
          <w:lang w:eastAsia="en-GB"/>
        </w:rPr>
        <w:t xml:space="preserve">, </w:t>
      </w:r>
      <w:hyperlink r:id="rId8" w:history="1">
        <w:r w:rsidR="00C507DC" w:rsidRPr="009B0386">
          <w:rPr>
            <w:rStyle w:val="Hyperlink"/>
            <w:rFonts w:ascii="Times New Roman" w:eastAsia="Times New Roman" w:hAnsi="Times New Roman" w:cs="Times New Roman"/>
            <w:sz w:val="20"/>
            <w:szCs w:val="20"/>
            <w:lang w:eastAsia="en-GB"/>
          </w:rPr>
          <w:t>http://www.jstor.org/stable/20616663. Accessed 10 Mar. 2023</w:t>
        </w:r>
      </w:hyperlink>
      <w:r w:rsidRPr="009B0386">
        <w:rPr>
          <w:rFonts w:ascii="Times New Roman" w:eastAsia="Times New Roman" w:hAnsi="Times New Roman" w:cs="Times New Roman"/>
          <w:sz w:val="20"/>
          <w:szCs w:val="20"/>
          <w:lang w:eastAsia="en-GB"/>
        </w:rPr>
        <w:t>.</w:t>
      </w:r>
    </w:p>
    <w:p w14:paraId="5FA092AB" w14:textId="00836D0C" w:rsidR="00C507DC" w:rsidRPr="00C507DC" w:rsidRDefault="00C507DC" w:rsidP="00C507DC">
      <w:pPr>
        <w:pStyle w:val="FootnoteText"/>
      </w:pPr>
      <w:r>
        <w:t xml:space="preserve">Tuplin, C, J. </w:t>
      </w:r>
      <w:r w:rsidRPr="000E1136">
        <w:rPr>
          <w:i/>
          <w:iCs/>
        </w:rPr>
        <w:t>Xenophon</w:t>
      </w:r>
      <w:r>
        <w:rPr>
          <w:i/>
          <w:iCs/>
        </w:rPr>
        <w:t xml:space="preserve">, </w:t>
      </w:r>
      <w:r>
        <w:t xml:space="preserve"> </w:t>
      </w:r>
      <w:r w:rsidRPr="000E1136">
        <w:t>Encyclopædia Iranica, online edition,</w:t>
      </w:r>
      <w:r>
        <w:t xml:space="preserve">2000, revised 2013, </w:t>
      </w:r>
      <w:r w:rsidRPr="00C507DC">
        <w:t>https://www.iranicaonline.org/articles/xenophon</w:t>
      </w:r>
      <w:r w:rsidRPr="00C507DC">
        <w:t xml:space="preserve"> </w:t>
      </w:r>
      <w:r>
        <w:t xml:space="preserve"> </w:t>
      </w:r>
      <w:r>
        <w:t>(Accessed 9/3/2023)</w:t>
      </w:r>
    </w:p>
    <w:p w14:paraId="1CC687A2" w14:textId="6617E3A2" w:rsidR="00836A2A" w:rsidRDefault="000E1136" w:rsidP="000E1136">
      <w:pPr>
        <w:pStyle w:val="FootnoteText"/>
      </w:pPr>
      <w:r>
        <w:t xml:space="preserve">Britannica, T. Editors of Encyclopaedia. </w:t>
      </w:r>
      <w:r>
        <w:rPr>
          <w:rStyle w:val="Emphasis"/>
        </w:rPr>
        <w:t>Diodorus Siculus</w:t>
      </w:r>
      <w:r>
        <w:t xml:space="preserve">. </w:t>
      </w:r>
      <w:r>
        <w:rPr>
          <w:rStyle w:val="Emphasis"/>
        </w:rPr>
        <w:t>Encyclopedia Britannica</w:t>
      </w:r>
      <w:r>
        <w:t xml:space="preserve">. </w:t>
      </w:r>
      <w:hyperlink r:id="rId9" w:history="1">
        <w:r w:rsidRPr="00AE0FF0">
          <w:rPr>
            <w:rStyle w:val="Hyperlink"/>
          </w:rPr>
          <w:t>https://www.britannica.com/biography/Diodorus-Siculus</w:t>
        </w:r>
      </w:hyperlink>
      <w:r>
        <w:t xml:space="preserve"> (Accessed 9/3/2023)</w:t>
      </w:r>
    </w:p>
    <w:p w14:paraId="3D84BE21" w14:textId="5EB773CE" w:rsidR="009B0386" w:rsidRPr="009B0386" w:rsidRDefault="009B0386" w:rsidP="000E1136">
      <w:pPr>
        <w:pStyle w:val="FootnoteText"/>
      </w:pPr>
      <w:r>
        <w:t xml:space="preserve">Landucci, Franca. </w:t>
      </w:r>
      <w:r>
        <w:rPr>
          <w:i/>
          <w:iCs/>
        </w:rPr>
        <w:t>Diodorus Siculus. Oxford Bibliographies.</w:t>
      </w:r>
      <w:r>
        <w:t xml:space="preserve"> </w:t>
      </w:r>
      <w:hyperlink r:id="rId10" w:history="1">
        <w:r w:rsidRPr="00AE0FF0">
          <w:rPr>
            <w:rStyle w:val="Hyperlink"/>
          </w:rPr>
          <w:t>https://www.oxfordbibliographies.com/display/document/obo-9780195389661/obo-9780195389661-0320.xml</w:t>
        </w:r>
      </w:hyperlink>
      <w:r>
        <w:t xml:space="preserve"> (Accessed 9/3/2023)</w:t>
      </w:r>
    </w:p>
    <w:sectPr w:rsidR="009B0386" w:rsidRPr="009B03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EF944" w14:textId="77777777" w:rsidR="007B01D1" w:rsidRDefault="007B01D1" w:rsidP="00065EB3">
      <w:pPr>
        <w:spacing w:after="0" w:line="240" w:lineRule="auto"/>
      </w:pPr>
      <w:r>
        <w:separator/>
      </w:r>
    </w:p>
  </w:endnote>
  <w:endnote w:type="continuationSeparator" w:id="0">
    <w:p w14:paraId="0D7DCC46" w14:textId="77777777" w:rsidR="007B01D1" w:rsidRDefault="007B01D1" w:rsidP="0006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795BC" w14:textId="77777777" w:rsidR="007B01D1" w:rsidRDefault="007B01D1" w:rsidP="00065EB3">
      <w:pPr>
        <w:spacing w:after="0" w:line="240" w:lineRule="auto"/>
      </w:pPr>
      <w:r>
        <w:separator/>
      </w:r>
    </w:p>
  </w:footnote>
  <w:footnote w:type="continuationSeparator" w:id="0">
    <w:p w14:paraId="62D2CEC4" w14:textId="77777777" w:rsidR="007B01D1" w:rsidRDefault="007B01D1" w:rsidP="00065EB3">
      <w:pPr>
        <w:spacing w:after="0" w:line="240" w:lineRule="auto"/>
      </w:pPr>
      <w:r>
        <w:continuationSeparator/>
      </w:r>
    </w:p>
  </w:footnote>
  <w:footnote w:id="1">
    <w:p w14:paraId="64BC8E4F" w14:textId="795F45AF" w:rsidR="00065EB3" w:rsidRDefault="00065EB3">
      <w:pPr>
        <w:pStyle w:val="FootnoteText"/>
      </w:pPr>
      <w:r>
        <w:rPr>
          <w:rStyle w:val="FootnoteReference"/>
        </w:rPr>
        <w:footnoteRef/>
      </w:r>
      <w:r>
        <w:t xml:space="preserve"> Dio.</w:t>
      </w:r>
      <w:r w:rsidR="00D5245F">
        <w:t xml:space="preserve"> </w:t>
      </w:r>
      <w:r w:rsidR="00D5245F" w:rsidRPr="00D5245F">
        <w:rPr>
          <w:i/>
          <w:iCs/>
        </w:rPr>
        <w:t>Biblio Hist</w:t>
      </w:r>
      <w:r w:rsidR="00D5245F">
        <w:rPr>
          <w:i/>
          <w:iCs/>
        </w:rPr>
        <w:t>.</w:t>
      </w:r>
      <w:r>
        <w:t xml:space="preserve"> 14. 84. 3-5. </w:t>
      </w:r>
    </w:p>
  </w:footnote>
  <w:footnote w:id="2">
    <w:p w14:paraId="50B8E916" w14:textId="3343E145" w:rsidR="00065EB3" w:rsidRPr="00D5245F" w:rsidRDefault="00065EB3">
      <w:pPr>
        <w:pStyle w:val="FootnoteText"/>
      </w:pPr>
      <w:r>
        <w:rPr>
          <w:rStyle w:val="FootnoteReference"/>
        </w:rPr>
        <w:footnoteRef/>
      </w:r>
      <w:r>
        <w:t xml:space="preserve"> </w:t>
      </w:r>
      <w:r w:rsidR="00D5245F">
        <w:t xml:space="preserve">Dio. </w:t>
      </w:r>
      <w:r w:rsidR="00D5245F">
        <w:rPr>
          <w:i/>
          <w:iCs/>
        </w:rPr>
        <w:t xml:space="preserve">Biblio Hist. </w:t>
      </w:r>
      <w:r w:rsidR="00D5245F">
        <w:t xml:space="preserve">14.84. 3-5. </w:t>
      </w:r>
    </w:p>
  </w:footnote>
  <w:footnote w:id="3">
    <w:p w14:paraId="038877D0" w14:textId="6163CA2E" w:rsidR="00065EB3" w:rsidRPr="00D5245F" w:rsidRDefault="00065EB3">
      <w:pPr>
        <w:pStyle w:val="FootnoteText"/>
      </w:pPr>
      <w:r>
        <w:rPr>
          <w:rStyle w:val="FootnoteReference"/>
        </w:rPr>
        <w:footnoteRef/>
      </w:r>
      <w:r>
        <w:t xml:space="preserve"> </w:t>
      </w:r>
      <w:bookmarkStart w:id="0" w:name="_Hlk129300092"/>
      <w:r w:rsidR="00D5245F">
        <w:t xml:space="preserve">Dio. </w:t>
      </w:r>
      <w:r w:rsidR="00D5245F">
        <w:rPr>
          <w:i/>
          <w:iCs/>
        </w:rPr>
        <w:t xml:space="preserve">Biblio Hist. </w:t>
      </w:r>
      <w:r w:rsidR="00D5245F">
        <w:t>14</w:t>
      </w:r>
      <w:bookmarkEnd w:id="0"/>
    </w:p>
  </w:footnote>
  <w:footnote w:id="4">
    <w:p w14:paraId="180F3E5A" w14:textId="2104EA88" w:rsidR="00065EB3" w:rsidRDefault="00065EB3">
      <w:pPr>
        <w:pStyle w:val="FootnoteText"/>
      </w:pPr>
      <w:r>
        <w:rPr>
          <w:rStyle w:val="FootnoteReference"/>
        </w:rPr>
        <w:footnoteRef/>
      </w:r>
      <w:r>
        <w:t xml:space="preserve"> </w:t>
      </w:r>
      <w:r w:rsidR="00D5245F">
        <w:t>Gray (2006) p.1</w:t>
      </w:r>
    </w:p>
  </w:footnote>
  <w:footnote w:id="5">
    <w:p w14:paraId="5D445638" w14:textId="63BA96E1" w:rsidR="00065EB3" w:rsidRDefault="00065EB3">
      <w:pPr>
        <w:pStyle w:val="FootnoteText"/>
      </w:pPr>
      <w:r>
        <w:rPr>
          <w:rStyle w:val="FootnoteReference"/>
        </w:rPr>
        <w:footnoteRef/>
      </w:r>
      <w:r>
        <w:t xml:space="preserve"> </w:t>
      </w:r>
      <w:r w:rsidR="000D5B6E">
        <w:t xml:space="preserve">Britannica, T. Editors of Encyclopaedia. </w:t>
      </w:r>
      <w:r w:rsidR="000D5B6E">
        <w:rPr>
          <w:rStyle w:val="Emphasis"/>
        </w:rPr>
        <w:t>Diodorus Siculus</w:t>
      </w:r>
      <w:r w:rsidR="000D5B6E">
        <w:t xml:space="preserve">. </w:t>
      </w:r>
      <w:r w:rsidR="000D5B6E">
        <w:rPr>
          <w:rStyle w:val="Emphasis"/>
        </w:rPr>
        <w:t>Encyclopedia Britannica</w:t>
      </w:r>
      <w:r w:rsidR="000D5B6E">
        <w:t xml:space="preserve">. </w:t>
      </w:r>
      <w:hyperlink r:id="rId1" w:history="1">
        <w:r w:rsidR="000D5B6E" w:rsidRPr="00AE0FF0">
          <w:rPr>
            <w:rStyle w:val="Hyperlink"/>
          </w:rPr>
          <w:t>https://www.britannica.com/biography/Diodorus-Siculus</w:t>
        </w:r>
      </w:hyperlink>
      <w:r w:rsidR="000D5B6E">
        <w:t xml:space="preserve"> (Accessed 9/3/2023)</w:t>
      </w:r>
    </w:p>
  </w:footnote>
  <w:footnote w:id="6">
    <w:p w14:paraId="5766E0A1" w14:textId="3B73C789" w:rsidR="00065EB3" w:rsidRDefault="00065EB3">
      <w:pPr>
        <w:pStyle w:val="FootnoteText"/>
      </w:pPr>
      <w:r>
        <w:rPr>
          <w:rStyle w:val="FootnoteReference"/>
        </w:rPr>
        <w:footnoteRef/>
      </w:r>
      <w:r>
        <w:t xml:space="preserve"> </w:t>
      </w:r>
      <w:r w:rsidR="000D5B6E">
        <w:t xml:space="preserve">Britannica, T. Editors of Encyclopaedia. </w:t>
      </w:r>
      <w:r w:rsidR="000D5B6E">
        <w:rPr>
          <w:rStyle w:val="Emphasis"/>
        </w:rPr>
        <w:t>Diodorus Siculus</w:t>
      </w:r>
      <w:r w:rsidR="000D5B6E">
        <w:t xml:space="preserve">. </w:t>
      </w:r>
      <w:r w:rsidR="000D5B6E">
        <w:rPr>
          <w:rStyle w:val="Emphasis"/>
        </w:rPr>
        <w:t>Encyclopedia Britannica</w:t>
      </w:r>
      <w:r w:rsidR="000D5B6E">
        <w:t xml:space="preserve">. </w:t>
      </w:r>
      <w:hyperlink r:id="rId2" w:history="1">
        <w:r w:rsidR="000D5B6E" w:rsidRPr="00AE0FF0">
          <w:rPr>
            <w:rStyle w:val="Hyperlink"/>
          </w:rPr>
          <w:t>https://www.britannica.com/biography/Diodorus-Siculus</w:t>
        </w:r>
      </w:hyperlink>
      <w:r w:rsidR="000D5B6E">
        <w:t xml:space="preserve"> (Accessed 9/3/2023)</w:t>
      </w:r>
    </w:p>
  </w:footnote>
  <w:footnote w:id="7">
    <w:p w14:paraId="50366F7B" w14:textId="0EAFE44F" w:rsidR="00065EB3" w:rsidRDefault="00065EB3">
      <w:pPr>
        <w:pStyle w:val="FootnoteText"/>
      </w:pPr>
      <w:r>
        <w:rPr>
          <w:rStyle w:val="FootnoteReference"/>
        </w:rPr>
        <w:footnoteRef/>
      </w:r>
      <w:r>
        <w:t xml:space="preserve"> </w:t>
      </w:r>
      <w:r w:rsidR="00C507DC">
        <w:t xml:space="preserve">Dio. </w:t>
      </w:r>
      <w:r w:rsidR="00C507DC">
        <w:rPr>
          <w:i/>
          <w:iCs/>
        </w:rPr>
        <w:t xml:space="preserve">Biblio Hist. </w:t>
      </w:r>
    </w:p>
  </w:footnote>
  <w:footnote w:id="8">
    <w:p w14:paraId="5EA7E911" w14:textId="2B1C01CB" w:rsidR="00065EB3" w:rsidRDefault="00065EB3">
      <w:pPr>
        <w:pStyle w:val="FootnoteText"/>
      </w:pPr>
      <w:r>
        <w:rPr>
          <w:rStyle w:val="FootnoteReference"/>
        </w:rPr>
        <w:footnoteRef/>
      </w:r>
      <w:r>
        <w:t xml:space="preserve"> </w:t>
      </w:r>
      <w:r w:rsidR="000D5B6E" w:rsidRPr="000D5B6E">
        <w:t>L</w:t>
      </w:r>
      <w:r w:rsidR="000D5B6E">
        <w:t xml:space="preserve">anducci, F. </w:t>
      </w:r>
      <w:r w:rsidR="000D5B6E" w:rsidRPr="000D5B6E">
        <w:rPr>
          <w:i/>
          <w:iCs/>
        </w:rPr>
        <w:t>Diodorus Siculus</w:t>
      </w:r>
      <w:r w:rsidR="000D5B6E">
        <w:rPr>
          <w:i/>
          <w:iCs/>
        </w:rPr>
        <w:t xml:space="preserve">. Oxford Biographies </w:t>
      </w:r>
      <w:hyperlink r:id="rId3" w:history="1">
        <w:r w:rsidR="000D5B6E" w:rsidRPr="000D5B6E">
          <w:rPr>
            <w:rStyle w:val="Hyperlink"/>
          </w:rPr>
          <w:t>https://www.oxfordbibliographies.com/display/document/obo-9780195389661/obo-9780195389661-0320.xml</w:t>
        </w:r>
      </w:hyperlink>
      <w:r w:rsidR="000D5B6E" w:rsidRPr="000D5B6E">
        <w:t xml:space="preserve"> (Accessed 9/3/2023)</w:t>
      </w:r>
    </w:p>
  </w:footnote>
  <w:footnote w:id="9">
    <w:p w14:paraId="7CF01EEF" w14:textId="4A47819C" w:rsidR="00065EB3" w:rsidRDefault="00065EB3">
      <w:pPr>
        <w:pStyle w:val="FootnoteText"/>
      </w:pPr>
      <w:r>
        <w:rPr>
          <w:rStyle w:val="FootnoteReference"/>
        </w:rPr>
        <w:footnoteRef/>
      </w:r>
      <w:r>
        <w:t xml:space="preserve"> </w:t>
      </w:r>
      <w:r w:rsidR="00D03713" w:rsidRPr="00D03713">
        <w:t xml:space="preserve">Perseus Digital Library, Diodorus Siculus,  </w:t>
      </w:r>
      <w:hyperlink r:id="rId4" w:history="1">
        <w:r w:rsidR="00D03713" w:rsidRPr="00AE0FF0">
          <w:rPr>
            <w:rStyle w:val="Hyperlink"/>
          </w:rPr>
          <w:t>https://www.perseus.tufts.edu/hopper/text?doc=Diod.+14.84&amp;fromdoc=Perseus%3Atext%3A1999.01.0084#note1</w:t>
        </w:r>
      </w:hyperlink>
      <w:r w:rsidR="00D03713">
        <w:t xml:space="preserve"> (Accessed 9/3/2023)</w:t>
      </w:r>
    </w:p>
  </w:footnote>
  <w:footnote w:id="10">
    <w:p w14:paraId="361457EB" w14:textId="106B156E" w:rsidR="00065EB3" w:rsidRDefault="00065EB3">
      <w:pPr>
        <w:pStyle w:val="FootnoteText"/>
      </w:pPr>
      <w:r>
        <w:rPr>
          <w:rStyle w:val="FootnoteReference"/>
        </w:rPr>
        <w:footnoteRef/>
      </w:r>
      <w:r>
        <w:t xml:space="preserve"> </w:t>
      </w:r>
      <w:r w:rsidR="00D03713">
        <w:t>Asmonti. (2015)</w:t>
      </w:r>
    </w:p>
  </w:footnote>
  <w:footnote w:id="11">
    <w:p w14:paraId="0278A44B" w14:textId="4ECE5549" w:rsidR="00065EB3" w:rsidRDefault="00065EB3">
      <w:pPr>
        <w:pStyle w:val="FootnoteText"/>
      </w:pPr>
      <w:r>
        <w:rPr>
          <w:rStyle w:val="FootnoteReference"/>
        </w:rPr>
        <w:footnoteRef/>
      </w:r>
      <w:r>
        <w:t xml:space="preserve"> </w:t>
      </w:r>
      <w:r w:rsidR="00D5245F">
        <w:t xml:space="preserve">Britannica, T. Editors of Encyclopaedia. </w:t>
      </w:r>
      <w:r w:rsidR="00D5245F">
        <w:rPr>
          <w:rStyle w:val="Emphasis"/>
        </w:rPr>
        <w:t>Diodorus Siculus</w:t>
      </w:r>
      <w:r w:rsidR="00D5245F">
        <w:t xml:space="preserve">. </w:t>
      </w:r>
      <w:r w:rsidR="00D5245F">
        <w:rPr>
          <w:rStyle w:val="Emphasis"/>
        </w:rPr>
        <w:t>Encyclopedia Britannica</w:t>
      </w:r>
      <w:r w:rsidR="00D5245F">
        <w:t xml:space="preserve">. </w:t>
      </w:r>
      <w:hyperlink r:id="rId5" w:history="1">
        <w:r w:rsidR="00D5245F" w:rsidRPr="00AE0FF0">
          <w:rPr>
            <w:rStyle w:val="Hyperlink"/>
          </w:rPr>
          <w:t>https://www.britannica.com/biography/Diodorus-Siculus</w:t>
        </w:r>
      </w:hyperlink>
      <w:r w:rsidR="00D5245F">
        <w:t xml:space="preserve"> (Accessed 9/3/2023)</w:t>
      </w:r>
    </w:p>
  </w:footnote>
  <w:footnote w:id="12">
    <w:p w14:paraId="363C2BCA" w14:textId="3F219EDC" w:rsidR="00065EB3" w:rsidRDefault="00065EB3">
      <w:pPr>
        <w:pStyle w:val="FootnoteText"/>
      </w:pPr>
      <w:r>
        <w:rPr>
          <w:rStyle w:val="FootnoteReference"/>
        </w:rPr>
        <w:footnoteRef/>
      </w:r>
      <w:r>
        <w:t xml:space="preserve"> </w:t>
      </w:r>
      <w:r w:rsidR="00D03713">
        <w:t xml:space="preserve">Britannica, T. Editors of Encyclopaedia. </w:t>
      </w:r>
      <w:r w:rsidR="00D03713">
        <w:rPr>
          <w:rStyle w:val="Emphasis"/>
        </w:rPr>
        <w:t>Diodorus Siculus</w:t>
      </w:r>
      <w:r w:rsidR="00D03713">
        <w:t xml:space="preserve">. </w:t>
      </w:r>
      <w:r w:rsidR="00D03713">
        <w:rPr>
          <w:rStyle w:val="Emphasis"/>
        </w:rPr>
        <w:t>Encyclopedia Britannica</w:t>
      </w:r>
      <w:r w:rsidR="00D03713">
        <w:t xml:space="preserve">. </w:t>
      </w:r>
      <w:hyperlink r:id="rId6" w:history="1">
        <w:r w:rsidR="00D03713" w:rsidRPr="00AE0FF0">
          <w:rPr>
            <w:rStyle w:val="Hyperlink"/>
          </w:rPr>
          <w:t>https://www.britannica.com/biography/Diodorus-Siculus</w:t>
        </w:r>
      </w:hyperlink>
      <w:r w:rsidR="00D03713">
        <w:t xml:space="preserve"> (Accessed 9/3/2023)</w:t>
      </w:r>
      <w:r w:rsidR="00D03713">
        <w:t xml:space="preserve"> </w:t>
      </w:r>
    </w:p>
  </w:footnote>
  <w:footnote w:id="13">
    <w:p w14:paraId="54675BEE" w14:textId="0214D6AE" w:rsidR="00065EB3" w:rsidRDefault="00065EB3">
      <w:pPr>
        <w:pStyle w:val="FootnoteText"/>
      </w:pPr>
      <w:r>
        <w:rPr>
          <w:rStyle w:val="FootnoteReference"/>
        </w:rPr>
        <w:footnoteRef/>
      </w:r>
      <w:r>
        <w:t xml:space="preserve"> </w:t>
      </w:r>
      <w:r w:rsidR="00D03713" w:rsidRPr="00D03713">
        <w:t>Perseus Digital Library, Diodorus Siculus</w:t>
      </w:r>
      <w:r w:rsidR="00D03713">
        <w:t xml:space="preserve">. 14.84 </w:t>
      </w:r>
      <w:r w:rsidR="00D03713" w:rsidRPr="00D03713">
        <w:t>https://www.perseus.tufts.edu/hopper/text?doc=Diod.+14.84&amp;fromdoc=Perseus%3Atext%3A1999.01.0084#note1</w:t>
      </w:r>
      <w:r w:rsidR="00D03713" w:rsidRPr="00D03713">
        <w:t xml:space="preserve"> </w:t>
      </w:r>
      <w:r w:rsidR="00D03713">
        <w:t xml:space="preserve"> </w:t>
      </w:r>
      <w:r w:rsidR="00D03713">
        <w:t>(Accessed 9/3/2023)</w:t>
      </w:r>
    </w:p>
  </w:footnote>
  <w:footnote w:id="14">
    <w:p w14:paraId="1560D04B" w14:textId="0708E25C" w:rsidR="00065EB3" w:rsidRDefault="00065EB3">
      <w:pPr>
        <w:pStyle w:val="FootnoteText"/>
      </w:pPr>
      <w:r>
        <w:rPr>
          <w:rStyle w:val="FootnoteReference"/>
        </w:rPr>
        <w:footnoteRef/>
      </w:r>
      <w:r>
        <w:t xml:space="preserve"> </w:t>
      </w:r>
      <w:r w:rsidR="00D03713" w:rsidRPr="00D03713">
        <w:t>Dio. Biblio Hist. 14. 84.</w:t>
      </w:r>
      <w:r w:rsidR="00D03713">
        <w:t>4</w:t>
      </w:r>
    </w:p>
  </w:footnote>
  <w:footnote w:id="15">
    <w:p w14:paraId="47C8D781" w14:textId="295447BE" w:rsidR="00065EB3" w:rsidRDefault="00065EB3">
      <w:pPr>
        <w:pStyle w:val="FootnoteText"/>
      </w:pPr>
      <w:r>
        <w:rPr>
          <w:rStyle w:val="FootnoteReference"/>
        </w:rPr>
        <w:footnoteRef/>
      </w:r>
      <w:r>
        <w:t xml:space="preserve"> </w:t>
      </w:r>
      <w:r w:rsidR="00D03713" w:rsidRPr="00D03713">
        <w:t>Xen. Hell. 4.8.6</w:t>
      </w:r>
      <w:r w:rsidR="00D03713">
        <w:t xml:space="preserve"> </w:t>
      </w:r>
    </w:p>
  </w:footnote>
  <w:footnote w:id="16">
    <w:p w14:paraId="1C5113EB" w14:textId="3BB3625E" w:rsidR="00065EB3" w:rsidRDefault="00065EB3">
      <w:pPr>
        <w:pStyle w:val="FootnoteText"/>
      </w:pPr>
      <w:r>
        <w:rPr>
          <w:rStyle w:val="FootnoteReference"/>
        </w:rPr>
        <w:footnoteRef/>
      </w:r>
      <w:r>
        <w:t xml:space="preserve"> </w:t>
      </w:r>
      <w:r w:rsidR="000E1136">
        <w:t xml:space="preserve">Tuplin, C, J. </w:t>
      </w:r>
      <w:r w:rsidR="000E1136" w:rsidRPr="000E1136">
        <w:rPr>
          <w:i/>
          <w:iCs/>
        </w:rPr>
        <w:t>Xenophon</w:t>
      </w:r>
      <w:r w:rsidR="000E1136">
        <w:rPr>
          <w:i/>
          <w:iCs/>
        </w:rPr>
        <w:t xml:space="preserve">, </w:t>
      </w:r>
      <w:r w:rsidR="000E1136">
        <w:t xml:space="preserve"> </w:t>
      </w:r>
      <w:r w:rsidR="000E1136" w:rsidRPr="000E1136">
        <w:t>Encyclopædia Iranica, online edition,</w:t>
      </w:r>
      <w:r w:rsidR="000E1136">
        <w:t>2000, revised 2013, (Accessed 9/3/2023)</w:t>
      </w:r>
    </w:p>
  </w:footnote>
  <w:footnote w:id="17">
    <w:p w14:paraId="1AB8B3CF" w14:textId="1A4EC56F" w:rsidR="00065EB3" w:rsidRDefault="00065EB3">
      <w:pPr>
        <w:pStyle w:val="FootnoteText"/>
      </w:pPr>
      <w:r>
        <w:rPr>
          <w:rStyle w:val="FootnoteReference"/>
        </w:rPr>
        <w:footnoteRef/>
      </w:r>
      <w:r>
        <w:t xml:space="preserve"> </w:t>
      </w:r>
      <w:r w:rsidR="00372D4F" w:rsidRPr="00372D4F">
        <w:t xml:space="preserve">Tuplin, Christopher J.. </w:t>
      </w:r>
      <w:r w:rsidR="00372D4F">
        <w:t>X</w:t>
      </w:r>
      <w:r w:rsidR="00372D4F" w:rsidRPr="00372D4F">
        <w:rPr>
          <w:i/>
          <w:iCs/>
        </w:rPr>
        <w:t>enophon. Encyclopedia Britannica,</w:t>
      </w:r>
      <w:r w:rsidR="00372D4F">
        <w:t xml:space="preserve"> </w:t>
      </w:r>
      <w:r w:rsidR="00372D4F" w:rsidRPr="00372D4F">
        <w:t xml:space="preserve">https://www.britannica.com/biography/Xenophon. </w:t>
      </w:r>
      <w:r w:rsidR="00372D4F">
        <w:t>(</w:t>
      </w:r>
      <w:r w:rsidR="00372D4F" w:rsidRPr="00372D4F">
        <w:t>Accessed 9 March 2023</w:t>
      </w:r>
      <w:r w:rsidR="00372D4F">
        <w:t>)</w:t>
      </w:r>
    </w:p>
  </w:footnote>
  <w:footnote w:id="18">
    <w:p w14:paraId="6967426B" w14:textId="20E4635F" w:rsidR="00065EB3" w:rsidRDefault="00065EB3">
      <w:pPr>
        <w:pStyle w:val="FootnoteText"/>
      </w:pPr>
      <w:r>
        <w:rPr>
          <w:rStyle w:val="FootnoteReference"/>
        </w:rPr>
        <w:footnoteRef/>
      </w:r>
      <w:r>
        <w:t xml:space="preserve"> </w:t>
      </w:r>
      <w:r w:rsidR="00D03713">
        <w:t>Gray (2009)</w:t>
      </w:r>
    </w:p>
  </w:footnote>
  <w:footnote w:id="19">
    <w:p w14:paraId="4A2C185B" w14:textId="071ED564" w:rsidR="00065EB3" w:rsidRDefault="00065EB3">
      <w:pPr>
        <w:pStyle w:val="FootnoteText"/>
      </w:pPr>
      <w:r>
        <w:rPr>
          <w:rStyle w:val="FootnoteReference"/>
        </w:rPr>
        <w:footnoteRef/>
      </w:r>
      <w:r>
        <w:t xml:space="preserve"> </w:t>
      </w:r>
      <w:r w:rsidR="00372D4F">
        <w:t>Asmonti (2017) p157 - 159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2A"/>
    <w:rsid w:val="00065EB3"/>
    <w:rsid w:val="000D5B6E"/>
    <w:rsid w:val="000E1136"/>
    <w:rsid w:val="0034625C"/>
    <w:rsid w:val="00372D4F"/>
    <w:rsid w:val="007B01D1"/>
    <w:rsid w:val="00836A2A"/>
    <w:rsid w:val="009A4D01"/>
    <w:rsid w:val="009B0386"/>
    <w:rsid w:val="00AA43D2"/>
    <w:rsid w:val="00C507DC"/>
    <w:rsid w:val="00D03713"/>
    <w:rsid w:val="00D0638E"/>
    <w:rsid w:val="00D5245F"/>
    <w:rsid w:val="00E4208C"/>
    <w:rsid w:val="00EB4E71"/>
    <w:rsid w:val="00FB6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56135"/>
  <w15:chartTrackingRefBased/>
  <w15:docId w15:val="{B4F7ABBD-A25F-47F8-8016-FD0F0E19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065EB3"/>
  </w:style>
  <w:style w:type="paragraph" w:styleId="FootnoteText">
    <w:name w:val="footnote text"/>
    <w:basedOn w:val="Normal"/>
    <w:link w:val="FootnoteTextChar"/>
    <w:uiPriority w:val="99"/>
    <w:unhideWhenUsed/>
    <w:rsid w:val="00065EB3"/>
    <w:pPr>
      <w:spacing w:after="0" w:line="240" w:lineRule="auto"/>
    </w:pPr>
    <w:rPr>
      <w:sz w:val="20"/>
      <w:szCs w:val="20"/>
    </w:rPr>
  </w:style>
  <w:style w:type="character" w:customStyle="1" w:styleId="FootnoteTextChar">
    <w:name w:val="Footnote Text Char"/>
    <w:basedOn w:val="DefaultParagraphFont"/>
    <w:link w:val="FootnoteText"/>
    <w:uiPriority w:val="99"/>
    <w:rsid w:val="00065EB3"/>
    <w:rPr>
      <w:sz w:val="20"/>
      <w:szCs w:val="20"/>
    </w:rPr>
  </w:style>
  <w:style w:type="character" w:styleId="FootnoteReference">
    <w:name w:val="footnote reference"/>
    <w:basedOn w:val="DefaultParagraphFont"/>
    <w:uiPriority w:val="99"/>
    <w:semiHidden/>
    <w:unhideWhenUsed/>
    <w:rsid w:val="00065EB3"/>
    <w:rPr>
      <w:vertAlign w:val="superscript"/>
    </w:rPr>
  </w:style>
  <w:style w:type="character" w:styleId="Emphasis">
    <w:name w:val="Emphasis"/>
    <w:basedOn w:val="DefaultParagraphFont"/>
    <w:uiPriority w:val="20"/>
    <w:qFormat/>
    <w:rsid w:val="00D5245F"/>
    <w:rPr>
      <w:i/>
      <w:iCs/>
    </w:rPr>
  </w:style>
  <w:style w:type="character" w:styleId="Hyperlink">
    <w:name w:val="Hyperlink"/>
    <w:basedOn w:val="DefaultParagraphFont"/>
    <w:uiPriority w:val="99"/>
    <w:unhideWhenUsed/>
    <w:rsid w:val="00D5245F"/>
    <w:rPr>
      <w:color w:val="0563C1" w:themeColor="hyperlink"/>
      <w:u w:val="single"/>
    </w:rPr>
  </w:style>
  <w:style w:type="character" w:styleId="UnresolvedMention">
    <w:name w:val="Unresolved Mention"/>
    <w:basedOn w:val="DefaultParagraphFont"/>
    <w:uiPriority w:val="99"/>
    <w:semiHidden/>
    <w:unhideWhenUsed/>
    <w:rsid w:val="00D5245F"/>
    <w:rPr>
      <w:color w:val="605E5C"/>
      <w:shd w:val="clear" w:color="auto" w:fill="E1DFDD"/>
    </w:rPr>
  </w:style>
  <w:style w:type="paragraph" w:styleId="Header">
    <w:name w:val="header"/>
    <w:basedOn w:val="Normal"/>
    <w:link w:val="HeaderChar"/>
    <w:uiPriority w:val="99"/>
    <w:unhideWhenUsed/>
    <w:rsid w:val="00D03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713"/>
  </w:style>
  <w:style w:type="paragraph" w:styleId="Footer">
    <w:name w:val="footer"/>
    <w:basedOn w:val="Normal"/>
    <w:link w:val="FooterChar"/>
    <w:uiPriority w:val="99"/>
    <w:unhideWhenUsed/>
    <w:rsid w:val="00D0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37816">
      <w:bodyDiv w:val="1"/>
      <w:marLeft w:val="0"/>
      <w:marRight w:val="0"/>
      <w:marTop w:val="0"/>
      <w:marBottom w:val="0"/>
      <w:divBdr>
        <w:top w:val="none" w:sz="0" w:space="0" w:color="auto"/>
        <w:left w:val="none" w:sz="0" w:space="0" w:color="auto"/>
        <w:bottom w:val="none" w:sz="0" w:space="0" w:color="auto"/>
        <w:right w:val="none" w:sz="0" w:space="0" w:color="auto"/>
      </w:divBdr>
      <w:divsChild>
        <w:div w:id="1033850169">
          <w:marLeft w:val="0"/>
          <w:marRight w:val="0"/>
          <w:marTop w:val="0"/>
          <w:marBottom w:val="0"/>
          <w:divBdr>
            <w:top w:val="none" w:sz="0" w:space="0" w:color="auto"/>
            <w:left w:val="none" w:sz="0" w:space="0" w:color="auto"/>
            <w:bottom w:val="none" w:sz="0" w:space="0" w:color="auto"/>
            <w:right w:val="none" w:sz="0" w:space="0" w:color="auto"/>
          </w:divBdr>
          <w:divsChild>
            <w:div w:id="104598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6114">
      <w:bodyDiv w:val="1"/>
      <w:marLeft w:val="0"/>
      <w:marRight w:val="0"/>
      <w:marTop w:val="0"/>
      <w:marBottom w:val="0"/>
      <w:divBdr>
        <w:top w:val="none" w:sz="0" w:space="0" w:color="auto"/>
        <w:left w:val="none" w:sz="0" w:space="0" w:color="auto"/>
        <w:bottom w:val="none" w:sz="0" w:space="0" w:color="auto"/>
        <w:right w:val="none" w:sz="0" w:space="0" w:color="auto"/>
      </w:divBdr>
      <w:divsChild>
        <w:div w:id="1152329936">
          <w:marLeft w:val="0"/>
          <w:marRight w:val="0"/>
          <w:marTop w:val="0"/>
          <w:marBottom w:val="0"/>
          <w:divBdr>
            <w:top w:val="none" w:sz="0" w:space="0" w:color="auto"/>
            <w:left w:val="none" w:sz="0" w:space="0" w:color="auto"/>
            <w:bottom w:val="none" w:sz="0" w:space="0" w:color="auto"/>
            <w:right w:val="none" w:sz="0" w:space="0" w:color="auto"/>
          </w:divBdr>
          <w:divsChild>
            <w:div w:id="139605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48121">
      <w:bodyDiv w:val="1"/>
      <w:marLeft w:val="0"/>
      <w:marRight w:val="0"/>
      <w:marTop w:val="0"/>
      <w:marBottom w:val="0"/>
      <w:divBdr>
        <w:top w:val="none" w:sz="0" w:space="0" w:color="auto"/>
        <w:left w:val="none" w:sz="0" w:space="0" w:color="auto"/>
        <w:bottom w:val="none" w:sz="0" w:space="0" w:color="auto"/>
        <w:right w:val="none" w:sz="0" w:space="0" w:color="auto"/>
      </w:divBdr>
      <w:divsChild>
        <w:div w:id="1414937090">
          <w:marLeft w:val="0"/>
          <w:marRight w:val="0"/>
          <w:marTop w:val="0"/>
          <w:marBottom w:val="0"/>
          <w:divBdr>
            <w:top w:val="none" w:sz="0" w:space="0" w:color="auto"/>
            <w:left w:val="none" w:sz="0" w:space="0" w:color="auto"/>
            <w:bottom w:val="none" w:sz="0" w:space="0" w:color="auto"/>
            <w:right w:val="none" w:sz="0" w:space="0" w:color="auto"/>
          </w:divBdr>
          <w:divsChild>
            <w:div w:id="173585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2458">
      <w:bodyDiv w:val="1"/>
      <w:marLeft w:val="0"/>
      <w:marRight w:val="0"/>
      <w:marTop w:val="0"/>
      <w:marBottom w:val="0"/>
      <w:divBdr>
        <w:top w:val="none" w:sz="0" w:space="0" w:color="auto"/>
        <w:left w:val="none" w:sz="0" w:space="0" w:color="auto"/>
        <w:bottom w:val="none" w:sz="0" w:space="0" w:color="auto"/>
        <w:right w:val="none" w:sz="0" w:space="0" w:color="auto"/>
      </w:divBdr>
      <w:divsChild>
        <w:div w:id="835924271">
          <w:marLeft w:val="0"/>
          <w:marRight w:val="0"/>
          <w:marTop w:val="0"/>
          <w:marBottom w:val="0"/>
          <w:divBdr>
            <w:top w:val="none" w:sz="0" w:space="0" w:color="auto"/>
            <w:left w:val="none" w:sz="0" w:space="0" w:color="auto"/>
            <w:bottom w:val="none" w:sz="0" w:space="0" w:color="auto"/>
            <w:right w:val="none" w:sz="0" w:space="0" w:color="auto"/>
          </w:divBdr>
          <w:divsChild>
            <w:div w:id="645010621">
              <w:marLeft w:val="0"/>
              <w:marRight w:val="0"/>
              <w:marTop w:val="0"/>
              <w:marBottom w:val="0"/>
              <w:divBdr>
                <w:top w:val="none" w:sz="0" w:space="0" w:color="auto"/>
                <w:left w:val="none" w:sz="0" w:space="0" w:color="auto"/>
                <w:bottom w:val="none" w:sz="0" w:space="0" w:color="auto"/>
                <w:right w:val="none" w:sz="0" w:space="0" w:color="auto"/>
              </w:divBdr>
              <w:divsChild>
                <w:div w:id="160472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0616663.%20Accessed%2010%20Mar.%202023" TargetMode="External"/><Relationship Id="rId3" Type="http://schemas.openxmlformats.org/officeDocument/2006/relationships/webSettings" Target="webSettings.xml"/><Relationship Id="rId7" Type="http://schemas.openxmlformats.org/officeDocument/2006/relationships/hyperlink" Target="https://www.perseus.tufts.edu/hopper/text?doc=Diod.+14.84&amp;fromdoc=Perseus%3Atext%3A1999.01.0084#note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opostext.org/work/89"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oxfordbibliographies.com/display/document/obo-9780195389661/obo-9780195389661-0320.xml" TargetMode="External"/><Relationship Id="rId4" Type="http://schemas.openxmlformats.org/officeDocument/2006/relationships/footnotes" Target="footnotes.xml"/><Relationship Id="rId9" Type="http://schemas.openxmlformats.org/officeDocument/2006/relationships/hyperlink" Target="https://www.britannica.com/biography/Diodorus-Siculu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oxfordbibliographies.com/display/document/obo-9780195389661/obo-9780195389661-0320.xml" TargetMode="External"/><Relationship Id="rId2" Type="http://schemas.openxmlformats.org/officeDocument/2006/relationships/hyperlink" Target="https://www.britannica.com/biography/Diodorus-Siculus" TargetMode="External"/><Relationship Id="rId1" Type="http://schemas.openxmlformats.org/officeDocument/2006/relationships/hyperlink" Target="https://www.britannica.com/biography/Diodorus-Siculus" TargetMode="External"/><Relationship Id="rId6" Type="http://schemas.openxmlformats.org/officeDocument/2006/relationships/hyperlink" Target="https://www.britannica.com/biography/Diodorus-Siculus" TargetMode="External"/><Relationship Id="rId5" Type="http://schemas.openxmlformats.org/officeDocument/2006/relationships/hyperlink" Target="https://www.britannica.com/biography/Diodorus-Siculus" TargetMode="External"/><Relationship Id="rId4" Type="http://schemas.openxmlformats.org/officeDocument/2006/relationships/hyperlink" Target="https://www.perseus.tufts.edu/hopper/text?doc=Diod.+14.84&amp;fromdoc=Perseus%3Atext%3A1999.01.0084#not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Bone (2103272)</dc:creator>
  <cp:keywords/>
  <dc:description/>
  <cp:lastModifiedBy>Rachael Bone (2103272)</cp:lastModifiedBy>
  <cp:revision>7</cp:revision>
  <dcterms:created xsi:type="dcterms:W3CDTF">2023-03-09T23:02:00Z</dcterms:created>
  <dcterms:modified xsi:type="dcterms:W3CDTF">2023-03-10T00:23:00Z</dcterms:modified>
</cp:coreProperties>
</file>