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27244239"/>
        <w:docPartObj>
          <w:docPartGallery w:val="Cover Pages"/>
          <w:docPartUnique/>
        </w:docPartObj>
      </w:sdtPr>
      <w:sdtEndPr>
        <w:rPr>
          <w:rStyle w:val="Hyperlink"/>
          <w:rFonts w:ascii="Arial" w:hAnsi="Arial" w:cs="Arial"/>
          <w:noProof/>
          <w:color w:val="467886" w:themeColor="hyperlink"/>
          <w:u w:val="single"/>
        </w:rPr>
      </w:sdtEndPr>
      <w:sdtContent>
        <w:p w14:paraId="31136F5D" w14:textId="35416874" w:rsidR="00553E76" w:rsidRPr="00733900" w:rsidRDefault="000D0FB8" w:rsidP="00733900">
          <w:pPr>
            <w:spacing w:line="360" w:lineRule="auto"/>
            <w:rPr>
              <w:rFonts w:ascii="Arial" w:hAnsi="Arial" w:cs="Arial"/>
            </w:rPr>
          </w:pPr>
          <w:r>
            <w:rPr>
              <w:rStyle w:val="Hyperlink"/>
              <w:rFonts w:ascii="Arial" w:hAnsi="Arial" w:cs="Arial"/>
              <w:noProof/>
            </w:rPr>
            <w:drawing>
              <wp:anchor distT="0" distB="0" distL="114300" distR="114300" simplePos="0" relativeHeight="251658240" behindDoc="0" locked="0" layoutInCell="1" allowOverlap="1" wp14:anchorId="5FD80099" wp14:editId="4CEE53C3">
                <wp:simplePos x="0" y="0"/>
                <wp:positionH relativeFrom="column">
                  <wp:posOffset>891540</wp:posOffset>
                </wp:positionH>
                <wp:positionV relativeFrom="paragraph">
                  <wp:posOffset>1642110</wp:posOffset>
                </wp:positionV>
                <wp:extent cx="4161790" cy="1497330"/>
                <wp:effectExtent l="152400" t="171450" r="276860" b="350520"/>
                <wp:wrapTopAndBottom/>
                <wp:docPr id="6688074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rotWithShape="1">
                        <a:blip r:embed="rId8">
                          <a:extLst>
                            <a:ext uri="{28A0092B-C50C-407E-A947-70E740481C1C}">
                              <a14:useLocalDpi xmlns:a14="http://schemas.microsoft.com/office/drawing/2010/main" val="0"/>
                            </a:ext>
                          </a:extLst>
                        </a:blip>
                        <a:srcRect t="28987" r="-1373" b="16275"/>
                        <a:stretch/>
                      </pic:blipFill>
                      <pic:spPr bwMode="auto">
                        <a:xfrm>
                          <a:off x="0" y="0"/>
                          <a:ext cx="4161790" cy="1497330"/>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noProof/>
            </w:rPr>
            <w:pict w14:anchorId="2D26C145">
              <v:shapetype id="_x0000_t202" coordsize="21600,21600" o:spt="202" path="m,l,21600r21600,l21600,xe">
                <v:stroke joinstyle="miter"/>
                <v:path gradientshapeok="t" o:connecttype="rect"/>
              </v:shapetype>
              <v:shape id="Text Box 52" o:spid="_x0000_s1043"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4C94D8" w:themeColor="text2" w:themeTint="80"/>
                          <w:sz w:val="24"/>
                          <w:szCs w:val="24"/>
                          <w14:ligatures w14:val="none"/>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6E63F96" w14:textId="023D071F" w:rsidR="00553E76" w:rsidRPr="000D0FB8" w:rsidRDefault="00841A28" w:rsidP="00733900">
                          <w:pPr>
                            <w:pStyle w:val="NoSpacing"/>
                            <w:spacing w:line="360" w:lineRule="auto"/>
                            <w:rPr>
                              <w:rFonts w:ascii="Arial" w:hAnsi="Arial" w:cs="Arial"/>
                              <w:color w:val="4C94D8" w:themeColor="text2" w:themeTint="80"/>
                              <w:sz w:val="24"/>
                              <w:szCs w:val="24"/>
                            </w:rPr>
                          </w:pPr>
                          <w:r w:rsidRPr="000D0FB8">
                            <w:rPr>
                              <w:rFonts w:ascii="Arial" w:hAnsi="Arial" w:cs="Arial"/>
                              <w:color w:val="4C94D8" w:themeColor="text2" w:themeTint="80"/>
                              <w:sz w:val="24"/>
                              <w:szCs w:val="24"/>
                              <w14:ligatures w14:val="none"/>
                            </w:rPr>
                            <w:t>Student Name: Ateeq Rehman                                                        Student ID: 2322964                                                                          Lecturer: Ivan Rodriguez Hernandez</w:t>
                          </w:r>
                        </w:p>
                      </w:sdtContent>
                    </w:sdt>
                    <w:p w14:paraId="7A225F6A" w14:textId="421D5008" w:rsidR="00553E76" w:rsidRDefault="000D0FB8" w:rsidP="00733900">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33900">
                            <w:rPr>
                              <w:color w:val="595959" w:themeColor="text1" w:themeTint="A6"/>
                              <w:sz w:val="18"/>
                              <w:szCs w:val="18"/>
                            </w:rPr>
                            <w:t xml:space="preserve">     </w:t>
                          </w:r>
                        </w:sdtContent>
                      </w:sdt>
                    </w:p>
                  </w:txbxContent>
                </v:textbox>
                <w10:wrap type="square" anchorx="page" anchory="page"/>
              </v:shape>
            </w:pict>
          </w:r>
          <w:r>
            <w:rPr>
              <w:noProof/>
            </w:rPr>
            <w:drawing>
              <wp:inline distT="0" distB="0" distL="0" distR="0" wp14:anchorId="5B6BE692" wp14:editId="258FC307">
                <wp:extent cx="2529840" cy="1149928"/>
                <wp:effectExtent l="0" t="0" r="0" b="0"/>
                <wp:docPr id="438403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69114" cy="1167780"/>
                        </a:xfrm>
                        <a:prstGeom prst="rect">
                          <a:avLst/>
                        </a:prstGeom>
                        <a:noFill/>
                      </pic:spPr>
                    </pic:pic>
                  </a:graphicData>
                </a:graphic>
              </wp:inline>
            </w:drawing>
          </w:r>
        </w:p>
        <w:p w14:paraId="63455BF9" w14:textId="74C14357" w:rsidR="00553E76" w:rsidRPr="00733900" w:rsidRDefault="000D0FB8" w:rsidP="00733900">
          <w:pPr>
            <w:spacing w:line="360" w:lineRule="auto"/>
            <w:jc w:val="center"/>
            <w:rPr>
              <w:rStyle w:val="Hyperlink"/>
              <w:rFonts w:ascii="Arial" w:hAnsi="Arial" w:cs="Arial"/>
              <w:noProof/>
            </w:rPr>
          </w:pPr>
          <w:r>
            <w:rPr>
              <w:rFonts w:ascii="Arial" w:hAnsi="Arial" w:cs="Arial"/>
              <w:noProof/>
            </w:rPr>
            <w:pict w14:anchorId="2E58339F">
              <v:shape id="Text Box 54" o:spid="_x0000_s1041" type="#_x0000_t202" style="position:absolute;left:0;text-align:left;margin-left:13.65pt;margin-top:322.75pt;width:564.1pt;height:167pt;z-index:251659264;visibility:visible;mso-wrap-distance-left:9pt;mso-wrap-distance-top:0;mso-wrap-distance-right:9pt;mso-wrap-distance-bottom:0;mso-position-horizontal-relative:page;mso-position-vertical-relative:page;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style="mso-next-textbox:#Text Box 54" inset="126pt,0,54pt,0">
                  <w:txbxContent>
                    <w:p w14:paraId="4C2D0864" w14:textId="1FC021BB" w:rsidR="00553E76" w:rsidRPr="00623530" w:rsidRDefault="00553E76" w:rsidP="000D0FB8">
                      <w:pPr>
                        <w:pStyle w:val="Quote"/>
                        <w:jc w:val="left"/>
                        <w:rPr>
                          <w:rStyle w:val="Strong"/>
                          <w:rFonts w:ascii="Arial" w:hAnsi="Arial" w:cs="Arial"/>
                          <w:color w:val="4C94D8" w:themeColor="text2" w:themeTint="80"/>
                          <w:sz w:val="60"/>
                          <w:szCs w:val="60"/>
                        </w:rPr>
                      </w:pPr>
                      <w:r w:rsidRPr="00623530">
                        <w:rPr>
                          <w:rStyle w:val="Strong"/>
                          <w:rFonts w:ascii="Arial" w:hAnsi="Arial" w:cs="Arial"/>
                          <w:color w:val="4C94D8" w:themeColor="text2" w:themeTint="80"/>
                          <w:sz w:val="56"/>
                          <w:szCs w:val="56"/>
                        </w:rPr>
                        <w:t>Pestle Analysis of</w:t>
                      </w:r>
                      <w:r w:rsidR="00733900" w:rsidRPr="00623530">
                        <w:rPr>
                          <w:rStyle w:val="Strong"/>
                          <w:rFonts w:ascii="Arial" w:hAnsi="Arial" w:cs="Arial"/>
                          <w:color w:val="4C94D8" w:themeColor="text2" w:themeTint="80"/>
                          <w:sz w:val="56"/>
                          <w:szCs w:val="56"/>
                        </w:rPr>
                        <w:t xml:space="preserve"> </w:t>
                      </w:r>
                      <w:r w:rsidRPr="00623530">
                        <w:rPr>
                          <w:rStyle w:val="Strong"/>
                          <w:rFonts w:ascii="Arial" w:hAnsi="Arial" w:cs="Arial"/>
                          <w:color w:val="4C94D8" w:themeColor="text2" w:themeTint="80"/>
                          <w:sz w:val="56"/>
                          <w:szCs w:val="56"/>
                        </w:rPr>
                        <w:t>Tesco</w:t>
                      </w:r>
                      <w:r w:rsidR="00733900" w:rsidRPr="00623530">
                        <w:rPr>
                          <w:rStyle w:val="Strong"/>
                          <w:rFonts w:ascii="Arial" w:hAnsi="Arial" w:cs="Arial"/>
                          <w:color w:val="4C94D8" w:themeColor="text2" w:themeTint="80"/>
                          <w:sz w:val="60"/>
                          <w:szCs w:val="60"/>
                        </w:rPr>
                        <w:t xml:space="preserve"> </w:t>
                      </w:r>
                      <w:r w:rsidRPr="00623530">
                        <w:rPr>
                          <w:rStyle w:val="Strong"/>
                          <w:rFonts w:ascii="Arial" w:hAnsi="Arial" w:cs="Arial"/>
                          <w:color w:val="4C94D8" w:themeColor="text2" w:themeTint="80"/>
                          <w:sz w:val="60"/>
                          <w:szCs w:val="60"/>
                        </w:rPr>
                        <w:t>plc</w:t>
                      </w:r>
                    </w:p>
                    <w:sdt>
                      <w:sdtPr>
                        <w:rPr>
                          <w:rFonts w:ascii="Arial" w:hAnsi="Arial" w:cs="Arial"/>
                          <w:color w:val="404040" w:themeColor="text1" w:themeTint="BF"/>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6A7CECC" w14:textId="48E00D44" w:rsidR="00553E76" w:rsidRPr="00733900" w:rsidRDefault="00CB115A" w:rsidP="00733900">
                          <w:pPr>
                            <w:rPr>
                              <w:rFonts w:ascii="Arial" w:hAnsi="Arial" w:cs="Arial"/>
                              <w:smallCaps/>
                              <w:color w:val="404040" w:themeColor="text1" w:themeTint="BF"/>
                            </w:rPr>
                          </w:pPr>
                          <w:r w:rsidRPr="00733900">
                            <w:rPr>
                              <w:rFonts w:ascii="Arial" w:hAnsi="Arial" w:cs="Arial"/>
                              <w:color w:val="404040" w:themeColor="text1" w:themeTint="BF"/>
                            </w:rPr>
                            <w:t xml:space="preserve">Module Title: Principles of </w:t>
                          </w:r>
                          <w:r w:rsidR="00BB6E71" w:rsidRPr="00733900">
                            <w:rPr>
                              <w:rFonts w:ascii="Arial" w:hAnsi="Arial" w:cs="Arial"/>
                              <w:color w:val="404040" w:themeColor="text1" w:themeTint="BF"/>
                            </w:rPr>
                            <w:t xml:space="preserve">Marketing </w:t>
                          </w:r>
                          <w:r w:rsidR="00733900">
                            <w:rPr>
                              <w:rFonts w:ascii="Arial" w:hAnsi="Arial" w:cs="Arial"/>
                              <w:color w:val="404040" w:themeColor="text1" w:themeTint="BF"/>
                            </w:rPr>
                            <w:t xml:space="preserve">                                                  </w:t>
                          </w:r>
                          <w:r w:rsidR="00BB6E71" w:rsidRPr="00733900">
                            <w:rPr>
                              <w:rFonts w:ascii="Arial" w:hAnsi="Arial" w:cs="Arial"/>
                              <w:color w:val="404040" w:themeColor="text1" w:themeTint="BF"/>
                            </w:rPr>
                            <w:t xml:space="preserve"> Module</w:t>
                          </w:r>
                          <w:r w:rsidRPr="00733900">
                            <w:rPr>
                              <w:rFonts w:ascii="Arial" w:hAnsi="Arial" w:cs="Arial"/>
                              <w:color w:val="404040" w:themeColor="text1" w:themeTint="BF"/>
                            </w:rPr>
                            <w:t xml:space="preserve"> Code: LCBB5015</w:t>
                          </w:r>
                          <w:r w:rsidR="00BB6E71" w:rsidRPr="00733900">
                            <w:rPr>
                              <w:rFonts w:ascii="Arial" w:hAnsi="Arial" w:cs="Arial"/>
                              <w:color w:val="404040" w:themeColor="text1" w:themeTint="BF"/>
                            </w:rPr>
                            <w:t xml:space="preserve">                    </w:t>
                          </w:r>
                          <w:r w:rsidR="00733900">
                            <w:rPr>
                              <w:rFonts w:ascii="Arial" w:hAnsi="Arial" w:cs="Arial"/>
                              <w:color w:val="404040" w:themeColor="text1" w:themeTint="BF"/>
                            </w:rPr>
                            <w:t xml:space="preserve">                                     </w:t>
                          </w:r>
                          <w:r w:rsidR="00BB6E71" w:rsidRPr="00733900">
                            <w:rPr>
                              <w:rFonts w:ascii="Arial" w:hAnsi="Arial" w:cs="Arial"/>
                              <w:color w:val="404040" w:themeColor="text1" w:themeTint="BF"/>
                            </w:rPr>
                            <w:t xml:space="preserve"> </w:t>
                          </w:r>
                          <w:r w:rsidRPr="00733900">
                            <w:rPr>
                              <w:rFonts w:ascii="Arial" w:hAnsi="Arial" w:cs="Arial"/>
                              <w:color w:val="404040" w:themeColor="text1" w:themeTint="BF"/>
                            </w:rPr>
                            <w:t>Programme: BA (Hons) Business Management</w:t>
                          </w:r>
                          <w:r w:rsidR="00687B2D" w:rsidRPr="00733900">
                            <w:rPr>
                              <w:rFonts w:ascii="Arial" w:hAnsi="Arial" w:cs="Arial"/>
                              <w:color w:val="404040" w:themeColor="text1" w:themeTint="BF"/>
                            </w:rPr>
                            <w:t xml:space="preserve">                      </w:t>
                          </w:r>
                          <w:r w:rsidR="00BB6E71" w:rsidRPr="00733900">
                            <w:rPr>
                              <w:rFonts w:ascii="Arial" w:hAnsi="Arial" w:cs="Arial"/>
                              <w:color w:val="404040" w:themeColor="text1" w:themeTint="BF"/>
                            </w:rPr>
                            <w:t xml:space="preserve">                                </w:t>
                          </w:r>
                          <w:r w:rsidR="00733900" w:rsidRPr="00733900">
                            <w:rPr>
                              <w:rFonts w:ascii="Arial" w:hAnsi="Arial" w:cs="Arial"/>
                              <w:color w:val="404040" w:themeColor="text1" w:themeTint="BF"/>
                            </w:rPr>
                            <w:t xml:space="preserve"> </w:t>
                          </w:r>
                          <w:r w:rsidR="00687B2D" w:rsidRPr="00733900">
                            <w:rPr>
                              <w:rFonts w:ascii="Arial" w:hAnsi="Arial" w:cs="Arial"/>
                              <w:color w:val="404040" w:themeColor="text1" w:themeTint="BF"/>
                            </w:rPr>
                            <w:t xml:space="preserve"> </w:t>
                          </w:r>
                          <w:r w:rsidRPr="00733900">
                            <w:rPr>
                              <w:rFonts w:ascii="Arial" w:hAnsi="Arial" w:cs="Arial"/>
                              <w:color w:val="404040" w:themeColor="text1" w:themeTint="BF"/>
                            </w:rPr>
                            <w:t>Chosen Organisation: Tesco PLC</w:t>
                          </w:r>
                          <w:r w:rsidR="00687B2D" w:rsidRPr="00733900">
                            <w:rPr>
                              <w:rFonts w:ascii="Arial" w:hAnsi="Arial" w:cs="Arial"/>
                              <w:color w:val="404040" w:themeColor="text1" w:themeTint="BF"/>
                            </w:rPr>
                            <w:t xml:space="preserve">           </w:t>
                          </w:r>
                          <w:r w:rsidR="00733900">
                            <w:rPr>
                              <w:rFonts w:ascii="Arial" w:hAnsi="Arial" w:cs="Arial"/>
                              <w:color w:val="404040" w:themeColor="text1" w:themeTint="BF"/>
                            </w:rPr>
                            <w:t xml:space="preserve">                           </w:t>
                          </w:r>
                          <w:r w:rsidR="00687B2D" w:rsidRPr="00733900">
                            <w:rPr>
                              <w:rFonts w:ascii="Arial" w:hAnsi="Arial" w:cs="Arial"/>
                              <w:color w:val="404040" w:themeColor="text1" w:themeTint="BF"/>
                            </w:rPr>
                            <w:t xml:space="preserve"> </w:t>
                          </w:r>
                          <w:r w:rsidR="00733900">
                            <w:rPr>
                              <w:rFonts w:ascii="Arial" w:hAnsi="Arial" w:cs="Arial"/>
                              <w:color w:val="404040" w:themeColor="text1" w:themeTint="BF"/>
                            </w:rPr>
                            <w:t xml:space="preserve">   </w:t>
                          </w:r>
                          <w:r w:rsidR="00687B2D" w:rsidRPr="00733900">
                            <w:rPr>
                              <w:rFonts w:ascii="Arial" w:hAnsi="Arial" w:cs="Arial"/>
                              <w:color w:val="404040" w:themeColor="text1" w:themeTint="BF"/>
                            </w:rPr>
                            <w:t xml:space="preserve"> </w:t>
                          </w:r>
                          <w:r w:rsidR="00733900">
                            <w:rPr>
                              <w:rFonts w:ascii="Arial" w:hAnsi="Arial" w:cs="Arial"/>
                              <w:color w:val="404040" w:themeColor="text1" w:themeTint="BF"/>
                            </w:rPr>
                            <w:t xml:space="preserve">   </w:t>
                          </w:r>
                          <w:r w:rsidR="00687B2D" w:rsidRPr="00733900">
                            <w:rPr>
                              <w:rFonts w:ascii="Arial" w:hAnsi="Arial" w:cs="Arial"/>
                              <w:color w:val="404040" w:themeColor="text1" w:themeTint="BF"/>
                            </w:rPr>
                            <w:t xml:space="preserve"> </w:t>
                          </w:r>
                          <w:r w:rsidRPr="00733900">
                            <w:rPr>
                              <w:rFonts w:ascii="Arial" w:hAnsi="Arial" w:cs="Arial"/>
                              <w:color w:val="404040" w:themeColor="text1" w:themeTint="BF"/>
                            </w:rPr>
                            <w:t>Situational Analysis Model: PESTLE Analysis                                     Submission Date: 2</w:t>
                          </w:r>
                          <w:r w:rsidR="00AB57CF" w:rsidRPr="00733900">
                            <w:rPr>
                              <w:rFonts w:ascii="Arial" w:hAnsi="Arial" w:cs="Arial"/>
                              <w:color w:val="404040" w:themeColor="text1" w:themeTint="BF"/>
                            </w:rPr>
                            <w:t>2</w:t>
                          </w:r>
                          <w:r w:rsidRPr="00733900">
                            <w:rPr>
                              <w:rFonts w:ascii="Arial" w:hAnsi="Arial" w:cs="Arial"/>
                              <w:color w:val="404040" w:themeColor="text1" w:themeTint="BF"/>
                            </w:rPr>
                            <w:t xml:space="preserve"> February 2026</w:t>
                          </w:r>
                        </w:p>
                      </w:sdtContent>
                    </w:sdt>
                  </w:txbxContent>
                </v:textbox>
                <w10:wrap type="square" anchorx="page" anchory="page"/>
              </v:shape>
            </w:pict>
          </w:r>
          <w:r w:rsidR="00553E76" w:rsidRPr="00733900">
            <w:rPr>
              <w:rStyle w:val="Hyperlink"/>
              <w:rFonts w:ascii="Arial" w:hAnsi="Arial" w:cs="Arial"/>
              <w:noProof/>
            </w:rPr>
            <w:br w:type="page"/>
          </w:r>
        </w:p>
      </w:sdtContent>
    </w:sdt>
    <w:sdt>
      <w:sdtPr>
        <w:rPr>
          <w:rFonts w:ascii="Arial" w:eastAsiaTheme="minorHAnsi" w:hAnsi="Arial" w:cs="Arial"/>
          <w:color w:val="auto"/>
          <w:kern w:val="2"/>
          <w:sz w:val="24"/>
          <w:szCs w:val="24"/>
          <w:lang w:eastAsia="en-US"/>
        </w:rPr>
        <w:id w:val="-1676807966"/>
        <w:docPartObj>
          <w:docPartGallery w:val="Table of Contents"/>
          <w:docPartUnique/>
        </w:docPartObj>
      </w:sdtPr>
      <w:sdtEndPr>
        <w:rPr>
          <w:b/>
          <w:bCs/>
        </w:rPr>
      </w:sdtEndPr>
      <w:sdtContent>
        <w:p w14:paraId="782F5BF3" w14:textId="4EEC88B5" w:rsidR="00553E76" w:rsidRPr="00733900" w:rsidRDefault="00553E76" w:rsidP="00733900">
          <w:pPr>
            <w:pStyle w:val="TOCHeading"/>
            <w:spacing w:line="360" w:lineRule="auto"/>
            <w:jc w:val="both"/>
            <w:rPr>
              <w:rFonts w:ascii="Arial" w:hAnsi="Arial" w:cs="Arial"/>
              <w:sz w:val="24"/>
              <w:szCs w:val="24"/>
            </w:rPr>
          </w:pPr>
          <w:r w:rsidRPr="00733900">
            <w:rPr>
              <w:rFonts w:ascii="Arial" w:hAnsi="Arial" w:cs="Arial"/>
              <w:sz w:val="24"/>
              <w:szCs w:val="24"/>
            </w:rPr>
            <w:t>Table of Contents</w:t>
          </w:r>
        </w:p>
        <w:p w14:paraId="38D16149" w14:textId="3E11CB6B" w:rsidR="00553E76" w:rsidRPr="00733900" w:rsidRDefault="00553E76" w:rsidP="00733900">
          <w:pPr>
            <w:pStyle w:val="TOC2"/>
            <w:tabs>
              <w:tab w:val="right" w:leader="dot" w:pos="9016"/>
            </w:tabs>
            <w:spacing w:line="360" w:lineRule="auto"/>
            <w:jc w:val="both"/>
            <w:rPr>
              <w:rFonts w:ascii="Arial" w:eastAsiaTheme="minorEastAsia" w:hAnsi="Arial" w:cs="Arial"/>
              <w:noProof/>
              <w:lang w:eastAsia="en-GB"/>
            </w:rPr>
          </w:pPr>
          <w:r w:rsidRPr="00733900">
            <w:rPr>
              <w:rFonts w:ascii="Arial" w:hAnsi="Arial" w:cs="Arial"/>
            </w:rPr>
            <w:fldChar w:fldCharType="begin"/>
          </w:r>
          <w:r w:rsidRPr="00733900">
            <w:rPr>
              <w:rFonts w:ascii="Arial" w:hAnsi="Arial" w:cs="Arial"/>
            </w:rPr>
            <w:instrText xml:space="preserve"> TOC \o "1-3" \h \z \u </w:instrText>
          </w:r>
          <w:r w:rsidRPr="00733900">
            <w:rPr>
              <w:rFonts w:ascii="Arial" w:hAnsi="Arial" w:cs="Arial"/>
            </w:rPr>
            <w:fldChar w:fldCharType="separate"/>
          </w:r>
          <w:hyperlink w:anchor="_Toc221817357" w:history="1">
            <w:r w:rsidRPr="00733900">
              <w:rPr>
                <w:rStyle w:val="Hyperlink"/>
                <w:rFonts w:ascii="Arial" w:hAnsi="Arial" w:cs="Arial"/>
                <w:b/>
                <w:bCs/>
                <w:noProof/>
              </w:rPr>
              <w:t>Introduction</w:t>
            </w:r>
            <w:r w:rsidRPr="00733900">
              <w:rPr>
                <w:rFonts w:ascii="Arial" w:hAnsi="Arial" w:cs="Arial"/>
                <w:noProof/>
                <w:webHidden/>
              </w:rPr>
              <w:tab/>
            </w:r>
            <w:r w:rsidRPr="00733900">
              <w:rPr>
                <w:rFonts w:ascii="Arial" w:hAnsi="Arial" w:cs="Arial"/>
                <w:noProof/>
                <w:webHidden/>
              </w:rPr>
              <w:fldChar w:fldCharType="begin"/>
            </w:r>
            <w:r w:rsidRPr="00733900">
              <w:rPr>
                <w:rFonts w:ascii="Arial" w:hAnsi="Arial" w:cs="Arial"/>
                <w:noProof/>
                <w:webHidden/>
              </w:rPr>
              <w:instrText xml:space="preserve"> PAGEREF _Toc221817357 \h </w:instrText>
            </w:r>
            <w:r w:rsidRPr="00733900">
              <w:rPr>
                <w:rFonts w:ascii="Arial" w:hAnsi="Arial" w:cs="Arial"/>
                <w:noProof/>
                <w:webHidden/>
              </w:rPr>
            </w:r>
            <w:r w:rsidRPr="00733900">
              <w:rPr>
                <w:rFonts w:ascii="Arial" w:hAnsi="Arial" w:cs="Arial"/>
                <w:noProof/>
                <w:webHidden/>
              </w:rPr>
              <w:fldChar w:fldCharType="separate"/>
            </w:r>
            <w:r w:rsidR="00733900">
              <w:rPr>
                <w:rFonts w:ascii="Arial" w:hAnsi="Arial" w:cs="Arial"/>
                <w:noProof/>
                <w:webHidden/>
              </w:rPr>
              <w:t>2</w:t>
            </w:r>
            <w:r w:rsidRPr="00733900">
              <w:rPr>
                <w:rFonts w:ascii="Arial" w:hAnsi="Arial" w:cs="Arial"/>
                <w:noProof/>
                <w:webHidden/>
              </w:rPr>
              <w:fldChar w:fldCharType="end"/>
            </w:r>
          </w:hyperlink>
        </w:p>
        <w:p w14:paraId="6A7BA0BD" w14:textId="1221BD6E" w:rsidR="00553E76" w:rsidRPr="00733900" w:rsidRDefault="000D0FB8" w:rsidP="00733900">
          <w:pPr>
            <w:pStyle w:val="TOC2"/>
            <w:tabs>
              <w:tab w:val="right" w:leader="dot" w:pos="9016"/>
            </w:tabs>
            <w:spacing w:line="360" w:lineRule="auto"/>
            <w:jc w:val="both"/>
            <w:rPr>
              <w:rFonts w:ascii="Arial" w:eastAsiaTheme="minorEastAsia" w:hAnsi="Arial" w:cs="Arial"/>
              <w:noProof/>
              <w:lang w:eastAsia="en-GB"/>
            </w:rPr>
          </w:pPr>
          <w:hyperlink w:anchor="_Toc221817360" w:history="1">
            <w:r w:rsidR="00553E76" w:rsidRPr="00733900">
              <w:rPr>
                <w:rStyle w:val="Hyperlink"/>
                <w:rFonts w:ascii="Arial" w:hAnsi="Arial" w:cs="Arial"/>
                <w:b/>
                <w:bCs/>
                <w:noProof/>
              </w:rPr>
              <w:t>Situational Analysis – PESTLE Analysis</w:t>
            </w:r>
            <w:r w:rsidR="00553E76" w:rsidRPr="00733900">
              <w:rPr>
                <w:rFonts w:ascii="Arial" w:hAnsi="Arial" w:cs="Arial"/>
                <w:noProof/>
                <w:webHidden/>
              </w:rPr>
              <w:tab/>
            </w:r>
            <w:r w:rsidR="00553E76" w:rsidRPr="00733900">
              <w:rPr>
                <w:rFonts w:ascii="Arial" w:hAnsi="Arial" w:cs="Arial"/>
                <w:noProof/>
                <w:webHidden/>
              </w:rPr>
              <w:fldChar w:fldCharType="begin"/>
            </w:r>
            <w:r w:rsidR="00553E76" w:rsidRPr="00733900">
              <w:rPr>
                <w:rFonts w:ascii="Arial" w:hAnsi="Arial" w:cs="Arial"/>
                <w:noProof/>
                <w:webHidden/>
              </w:rPr>
              <w:instrText xml:space="preserve"> PAGEREF _Toc221817360 \h </w:instrText>
            </w:r>
            <w:r w:rsidR="00553E76" w:rsidRPr="00733900">
              <w:rPr>
                <w:rFonts w:ascii="Arial" w:hAnsi="Arial" w:cs="Arial"/>
                <w:noProof/>
                <w:webHidden/>
              </w:rPr>
            </w:r>
            <w:r w:rsidR="00553E76" w:rsidRPr="00733900">
              <w:rPr>
                <w:rFonts w:ascii="Arial" w:hAnsi="Arial" w:cs="Arial"/>
                <w:noProof/>
                <w:webHidden/>
              </w:rPr>
              <w:fldChar w:fldCharType="separate"/>
            </w:r>
            <w:r w:rsidR="00733900">
              <w:rPr>
                <w:rFonts w:ascii="Arial" w:hAnsi="Arial" w:cs="Arial"/>
                <w:noProof/>
                <w:webHidden/>
              </w:rPr>
              <w:t>2</w:t>
            </w:r>
            <w:r w:rsidR="00553E76" w:rsidRPr="00733900">
              <w:rPr>
                <w:rFonts w:ascii="Arial" w:hAnsi="Arial" w:cs="Arial"/>
                <w:noProof/>
                <w:webHidden/>
              </w:rPr>
              <w:fldChar w:fldCharType="end"/>
            </w:r>
          </w:hyperlink>
        </w:p>
        <w:p w14:paraId="23D2666D" w14:textId="1D0B972D" w:rsidR="00553E76" w:rsidRPr="00733900" w:rsidRDefault="000D0FB8" w:rsidP="00733900">
          <w:pPr>
            <w:pStyle w:val="TOC2"/>
            <w:tabs>
              <w:tab w:val="right" w:leader="dot" w:pos="9016"/>
            </w:tabs>
            <w:spacing w:line="360" w:lineRule="auto"/>
            <w:jc w:val="both"/>
            <w:rPr>
              <w:rFonts w:ascii="Arial" w:eastAsiaTheme="minorEastAsia" w:hAnsi="Arial" w:cs="Arial"/>
              <w:noProof/>
              <w:lang w:eastAsia="en-GB"/>
            </w:rPr>
          </w:pPr>
          <w:hyperlink w:anchor="_Toc221817361" w:history="1">
            <w:r w:rsidR="00553E76" w:rsidRPr="00733900">
              <w:rPr>
                <w:rStyle w:val="Hyperlink"/>
                <w:rFonts w:ascii="Arial" w:hAnsi="Arial" w:cs="Arial"/>
                <w:b/>
                <w:bCs/>
                <w:noProof/>
              </w:rPr>
              <w:t>Political Factors</w:t>
            </w:r>
            <w:r w:rsidR="00553E76" w:rsidRPr="00733900">
              <w:rPr>
                <w:rFonts w:ascii="Arial" w:hAnsi="Arial" w:cs="Arial"/>
                <w:noProof/>
                <w:webHidden/>
              </w:rPr>
              <w:tab/>
            </w:r>
            <w:r w:rsidR="00553E76" w:rsidRPr="00733900">
              <w:rPr>
                <w:rFonts w:ascii="Arial" w:hAnsi="Arial" w:cs="Arial"/>
                <w:noProof/>
                <w:webHidden/>
              </w:rPr>
              <w:fldChar w:fldCharType="begin"/>
            </w:r>
            <w:r w:rsidR="00553E76" w:rsidRPr="00733900">
              <w:rPr>
                <w:rFonts w:ascii="Arial" w:hAnsi="Arial" w:cs="Arial"/>
                <w:noProof/>
                <w:webHidden/>
              </w:rPr>
              <w:instrText xml:space="preserve"> PAGEREF _Toc221817361 \h </w:instrText>
            </w:r>
            <w:r w:rsidR="00553E76" w:rsidRPr="00733900">
              <w:rPr>
                <w:rFonts w:ascii="Arial" w:hAnsi="Arial" w:cs="Arial"/>
                <w:noProof/>
                <w:webHidden/>
              </w:rPr>
            </w:r>
            <w:r w:rsidR="00553E76" w:rsidRPr="00733900">
              <w:rPr>
                <w:rFonts w:ascii="Arial" w:hAnsi="Arial" w:cs="Arial"/>
                <w:noProof/>
                <w:webHidden/>
              </w:rPr>
              <w:fldChar w:fldCharType="separate"/>
            </w:r>
            <w:r w:rsidR="00733900">
              <w:rPr>
                <w:rFonts w:ascii="Arial" w:hAnsi="Arial" w:cs="Arial"/>
                <w:noProof/>
                <w:webHidden/>
              </w:rPr>
              <w:t>2</w:t>
            </w:r>
            <w:r w:rsidR="00553E76" w:rsidRPr="00733900">
              <w:rPr>
                <w:rFonts w:ascii="Arial" w:hAnsi="Arial" w:cs="Arial"/>
                <w:noProof/>
                <w:webHidden/>
              </w:rPr>
              <w:fldChar w:fldCharType="end"/>
            </w:r>
          </w:hyperlink>
        </w:p>
        <w:p w14:paraId="57B12042" w14:textId="4A1E97CB" w:rsidR="00553E76" w:rsidRPr="00733900" w:rsidRDefault="000D0FB8" w:rsidP="00733900">
          <w:pPr>
            <w:pStyle w:val="TOC2"/>
            <w:tabs>
              <w:tab w:val="right" w:leader="dot" w:pos="9016"/>
            </w:tabs>
            <w:spacing w:line="360" w:lineRule="auto"/>
            <w:jc w:val="both"/>
            <w:rPr>
              <w:rFonts w:ascii="Arial" w:eastAsiaTheme="minorEastAsia" w:hAnsi="Arial" w:cs="Arial"/>
              <w:noProof/>
              <w:lang w:eastAsia="en-GB"/>
            </w:rPr>
          </w:pPr>
          <w:hyperlink w:anchor="_Toc221817364" w:history="1">
            <w:r w:rsidR="00553E76" w:rsidRPr="00733900">
              <w:rPr>
                <w:rStyle w:val="Hyperlink"/>
                <w:rFonts w:ascii="Arial" w:hAnsi="Arial" w:cs="Arial"/>
                <w:b/>
                <w:bCs/>
                <w:noProof/>
              </w:rPr>
              <w:t>Economic Factors</w:t>
            </w:r>
            <w:r w:rsidR="00553E76" w:rsidRPr="00733900">
              <w:rPr>
                <w:rFonts w:ascii="Arial" w:hAnsi="Arial" w:cs="Arial"/>
                <w:noProof/>
                <w:webHidden/>
              </w:rPr>
              <w:tab/>
            </w:r>
            <w:r w:rsidR="00553E76" w:rsidRPr="00733900">
              <w:rPr>
                <w:rFonts w:ascii="Arial" w:hAnsi="Arial" w:cs="Arial"/>
                <w:noProof/>
                <w:webHidden/>
              </w:rPr>
              <w:fldChar w:fldCharType="begin"/>
            </w:r>
            <w:r w:rsidR="00553E76" w:rsidRPr="00733900">
              <w:rPr>
                <w:rFonts w:ascii="Arial" w:hAnsi="Arial" w:cs="Arial"/>
                <w:noProof/>
                <w:webHidden/>
              </w:rPr>
              <w:instrText xml:space="preserve"> PAGEREF _Toc221817364 \h </w:instrText>
            </w:r>
            <w:r w:rsidR="00553E76" w:rsidRPr="00733900">
              <w:rPr>
                <w:rFonts w:ascii="Arial" w:hAnsi="Arial" w:cs="Arial"/>
                <w:noProof/>
                <w:webHidden/>
              </w:rPr>
            </w:r>
            <w:r w:rsidR="00553E76" w:rsidRPr="00733900">
              <w:rPr>
                <w:rFonts w:ascii="Arial" w:hAnsi="Arial" w:cs="Arial"/>
                <w:noProof/>
                <w:webHidden/>
              </w:rPr>
              <w:fldChar w:fldCharType="separate"/>
            </w:r>
            <w:r w:rsidR="00733900">
              <w:rPr>
                <w:rFonts w:ascii="Arial" w:hAnsi="Arial" w:cs="Arial"/>
                <w:noProof/>
                <w:webHidden/>
              </w:rPr>
              <w:t>3</w:t>
            </w:r>
            <w:r w:rsidR="00553E76" w:rsidRPr="00733900">
              <w:rPr>
                <w:rFonts w:ascii="Arial" w:hAnsi="Arial" w:cs="Arial"/>
                <w:noProof/>
                <w:webHidden/>
              </w:rPr>
              <w:fldChar w:fldCharType="end"/>
            </w:r>
          </w:hyperlink>
        </w:p>
        <w:p w14:paraId="22103631" w14:textId="58EA771A" w:rsidR="00553E76" w:rsidRPr="00733900" w:rsidRDefault="000D0FB8" w:rsidP="00733900">
          <w:pPr>
            <w:pStyle w:val="TOC2"/>
            <w:tabs>
              <w:tab w:val="right" w:leader="dot" w:pos="9016"/>
            </w:tabs>
            <w:spacing w:line="360" w:lineRule="auto"/>
            <w:jc w:val="both"/>
            <w:rPr>
              <w:rFonts w:ascii="Arial" w:eastAsiaTheme="minorEastAsia" w:hAnsi="Arial" w:cs="Arial"/>
              <w:noProof/>
              <w:lang w:eastAsia="en-GB"/>
            </w:rPr>
          </w:pPr>
          <w:hyperlink w:anchor="_Toc221817367" w:history="1">
            <w:r w:rsidR="00553E76" w:rsidRPr="00733900">
              <w:rPr>
                <w:rStyle w:val="Hyperlink"/>
                <w:rFonts w:ascii="Arial" w:hAnsi="Arial" w:cs="Arial"/>
                <w:b/>
                <w:bCs/>
                <w:noProof/>
              </w:rPr>
              <w:t>Social Factors</w:t>
            </w:r>
            <w:r w:rsidR="00553E76" w:rsidRPr="00733900">
              <w:rPr>
                <w:rFonts w:ascii="Arial" w:hAnsi="Arial" w:cs="Arial"/>
                <w:noProof/>
                <w:webHidden/>
              </w:rPr>
              <w:tab/>
            </w:r>
            <w:r w:rsidR="00553E76" w:rsidRPr="00733900">
              <w:rPr>
                <w:rFonts w:ascii="Arial" w:hAnsi="Arial" w:cs="Arial"/>
                <w:noProof/>
                <w:webHidden/>
              </w:rPr>
              <w:fldChar w:fldCharType="begin"/>
            </w:r>
            <w:r w:rsidR="00553E76" w:rsidRPr="00733900">
              <w:rPr>
                <w:rFonts w:ascii="Arial" w:hAnsi="Arial" w:cs="Arial"/>
                <w:noProof/>
                <w:webHidden/>
              </w:rPr>
              <w:instrText xml:space="preserve"> PAGEREF _Toc221817367 \h </w:instrText>
            </w:r>
            <w:r w:rsidR="00553E76" w:rsidRPr="00733900">
              <w:rPr>
                <w:rFonts w:ascii="Arial" w:hAnsi="Arial" w:cs="Arial"/>
                <w:noProof/>
                <w:webHidden/>
              </w:rPr>
            </w:r>
            <w:r w:rsidR="00553E76" w:rsidRPr="00733900">
              <w:rPr>
                <w:rFonts w:ascii="Arial" w:hAnsi="Arial" w:cs="Arial"/>
                <w:noProof/>
                <w:webHidden/>
              </w:rPr>
              <w:fldChar w:fldCharType="separate"/>
            </w:r>
            <w:r w:rsidR="00733900">
              <w:rPr>
                <w:rFonts w:ascii="Arial" w:hAnsi="Arial" w:cs="Arial"/>
                <w:noProof/>
                <w:webHidden/>
              </w:rPr>
              <w:t>3</w:t>
            </w:r>
            <w:r w:rsidR="00553E76" w:rsidRPr="00733900">
              <w:rPr>
                <w:rFonts w:ascii="Arial" w:hAnsi="Arial" w:cs="Arial"/>
                <w:noProof/>
                <w:webHidden/>
              </w:rPr>
              <w:fldChar w:fldCharType="end"/>
            </w:r>
          </w:hyperlink>
        </w:p>
        <w:p w14:paraId="29CC0BAB" w14:textId="7CFCE975" w:rsidR="00553E76" w:rsidRPr="00733900" w:rsidRDefault="000D0FB8" w:rsidP="00733900">
          <w:pPr>
            <w:pStyle w:val="TOC2"/>
            <w:tabs>
              <w:tab w:val="right" w:leader="dot" w:pos="9016"/>
            </w:tabs>
            <w:spacing w:line="360" w:lineRule="auto"/>
            <w:jc w:val="both"/>
            <w:rPr>
              <w:rFonts w:ascii="Arial" w:eastAsiaTheme="minorEastAsia" w:hAnsi="Arial" w:cs="Arial"/>
              <w:noProof/>
              <w:lang w:eastAsia="en-GB"/>
            </w:rPr>
          </w:pPr>
          <w:hyperlink w:anchor="_Toc221817370" w:history="1">
            <w:r w:rsidR="00553E76" w:rsidRPr="00733900">
              <w:rPr>
                <w:rStyle w:val="Hyperlink"/>
                <w:rFonts w:ascii="Arial" w:hAnsi="Arial" w:cs="Arial"/>
                <w:b/>
                <w:bCs/>
                <w:noProof/>
              </w:rPr>
              <w:t>Technological Factors</w:t>
            </w:r>
            <w:r w:rsidR="00553E76" w:rsidRPr="00733900">
              <w:rPr>
                <w:rFonts w:ascii="Arial" w:hAnsi="Arial" w:cs="Arial"/>
                <w:noProof/>
                <w:webHidden/>
              </w:rPr>
              <w:tab/>
            </w:r>
            <w:r w:rsidR="00553E76" w:rsidRPr="00733900">
              <w:rPr>
                <w:rFonts w:ascii="Arial" w:hAnsi="Arial" w:cs="Arial"/>
                <w:noProof/>
                <w:webHidden/>
              </w:rPr>
              <w:fldChar w:fldCharType="begin"/>
            </w:r>
            <w:r w:rsidR="00553E76" w:rsidRPr="00733900">
              <w:rPr>
                <w:rFonts w:ascii="Arial" w:hAnsi="Arial" w:cs="Arial"/>
                <w:noProof/>
                <w:webHidden/>
              </w:rPr>
              <w:instrText xml:space="preserve"> PAGEREF _Toc221817370 \h </w:instrText>
            </w:r>
            <w:r w:rsidR="00553E76" w:rsidRPr="00733900">
              <w:rPr>
                <w:rFonts w:ascii="Arial" w:hAnsi="Arial" w:cs="Arial"/>
                <w:noProof/>
                <w:webHidden/>
              </w:rPr>
            </w:r>
            <w:r w:rsidR="00553E76" w:rsidRPr="00733900">
              <w:rPr>
                <w:rFonts w:ascii="Arial" w:hAnsi="Arial" w:cs="Arial"/>
                <w:noProof/>
                <w:webHidden/>
              </w:rPr>
              <w:fldChar w:fldCharType="separate"/>
            </w:r>
            <w:r w:rsidR="00733900">
              <w:rPr>
                <w:rFonts w:ascii="Arial" w:hAnsi="Arial" w:cs="Arial"/>
                <w:noProof/>
                <w:webHidden/>
              </w:rPr>
              <w:t>4</w:t>
            </w:r>
            <w:r w:rsidR="00553E76" w:rsidRPr="00733900">
              <w:rPr>
                <w:rFonts w:ascii="Arial" w:hAnsi="Arial" w:cs="Arial"/>
                <w:noProof/>
                <w:webHidden/>
              </w:rPr>
              <w:fldChar w:fldCharType="end"/>
            </w:r>
          </w:hyperlink>
        </w:p>
        <w:p w14:paraId="08B2DE36" w14:textId="24B6C15D" w:rsidR="00553E76" w:rsidRPr="00733900" w:rsidRDefault="000D0FB8" w:rsidP="00733900">
          <w:pPr>
            <w:pStyle w:val="TOC2"/>
            <w:tabs>
              <w:tab w:val="right" w:leader="dot" w:pos="9016"/>
            </w:tabs>
            <w:spacing w:line="360" w:lineRule="auto"/>
            <w:jc w:val="both"/>
            <w:rPr>
              <w:rFonts w:ascii="Arial" w:eastAsiaTheme="minorEastAsia" w:hAnsi="Arial" w:cs="Arial"/>
              <w:noProof/>
              <w:lang w:eastAsia="en-GB"/>
            </w:rPr>
          </w:pPr>
          <w:hyperlink w:anchor="_Toc221817373" w:history="1">
            <w:r w:rsidR="00553E76" w:rsidRPr="00733900">
              <w:rPr>
                <w:rStyle w:val="Hyperlink"/>
                <w:rFonts w:ascii="Arial" w:hAnsi="Arial" w:cs="Arial"/>
                <w:b/>
                <w:bCs/>
                <w:noProof/>
              </w:rPr>
              <w:t>Legal Factors</w:t>
            </w:r>
            <w:r w:rsidR="00553E76" w:rsidRPr="00733900">
              <w:rPr>
                <w:rFonts w:ascii="Arial" w:hAnsi="Arial" w:cs="Arial"/>
                <w:noProof/>
                <w:webHidden/>
              </w:rPr>
              <w:tab/>
            </w:r>
            <w:r w:rsidR="00553E76" w:rsidRPr="00733900">
              <w:rPr>
                <w:rFonts w:ascii="Arial" w:hAnsi="Arial" w:cs="Arial"/>
                <w:noProof/>
                <w:webHidden/>
              </w:rPr>
              <w:fldChar w:fldCharType="begin"/>
            </w:r>
            <w:r w:rsidR="00553E76" w:rsidRPr="00733900">
              <w:rPr>
                <w:rFonts w:ascii="Arial" w:hAnsi="Arial" w:cs="Arial"/>
                <w:noProof/>
                <w:webHidden/>
              </w:rPr>
              <w:instrText xml:space="preserve"> PAGEREF _Toc221817373 \h </w:instrText>
            </w:r>
            <w:r w:rsidR="00553E76" w:rsidRPr="00733900">
              <w:rPr>
                <w:rFonts w:ascii="Arial" w:hAnsi="Arial" w:cs="Arial"/>
                <w:noProof/>
                <w:webHidden/>
              </w:rPr>
            </w:r>
            <w:r w:rsidR="00553E76" w:rsidRPr="00733900">
              <w:rPr>
                <w:rFonts w:ascii="Arial" w:hAnsi="Arial" w:cs="Arial"/>
                <w:noProof/>
                <w:webHidden/>
              </w:rPr>
              <w:fldChar w:fldCharType="separate"/>
            </w:r>
            <w:r w:rsidR="00733900">
              <w:rPr>
                <w:rFonts w:ascii="Arial" w:hAnsi="Arial" w:cs="Arial"/>
                <w:noProof/>
                <w:webHidden/>
              </w:rPr>
              <w:t>4</w:t>
            </w:r>
            <w:r w:rsidR="00553E76" w:rsidRPr="00733900">
              <w:rPr>
                <w:rFonts w:ascii="Arial" w:hAnsi="Arial" w:cs="Arial"/>
                <w:noProof/>
                <w:webHidden/>
              </w:rPr>
              <w:fldChar w:fldCharType="end"/>
            </w:r>
          </w:hyperlink>
        </w:p>
        <w:p w14:paraId="099F5E9F" w14:textId="742A6ADC" w:rsidR="00553E76" w:rsidRPr="00733900" w:rsidRDefault="000D0FB8" w:rsidP="00733900">
          <w:pPr>
            <w:pStyle w:val="TOC2"/>
            <w:tabs>
              <w:tab w:val="right" w:leader="dot" w:pos="9016"/>
            </w:tabs>
            <w:spacing w:line="360" w:lineRule="auto"/>
            <w:jc w:val="both"/>
            <w:rPr>
              <w:rFonts w:ascii="Arial" w:eastAsiaTheme="minorEastAsia" w:hAnsi="Arial" w:cs="Arial"/>
              <w:noProof/>
              <w:lang w:eastAsia="en-GB"/>
            </w:rPr>
          </w:pPr>
          <w:hyperlink w:anchor="_Toc221817376" w:history="1">
            <w:r w:rsidR="00553E76" w:rsidRPr="00733900">
              <w:rPr>
                <w:rStyle w:val="Hyperlink"/>
                <w:rFonts w:ascii="Arial" w:hAnsi="Arial" w:cs="Arial"/>
                <w:b/>
                <w:bCs/>
                <w:noProof/>
              </w:rPr>
              <w:t>Environmental Factors</w:t>
            </w:r>
            <w:r w:rsidR="00553E76" w:rsidRPr="00733900">
              <w:rPr>
                <w:rFonts w:ascii="Arial" w:hAnsi="Arial" w:cs="Arial"/>
                <w:noProof/>
                <w:webHidden/>
              </w:rPr>
              <w:tab/>
            </w:r>
            <w:r w:rsidR="00553E76" w:rsidRPr="00733900">
              <w:rPr>
                <w:rFonts w:ascii="Arial" w:hAnsi="Arial" w:cs="Arial"/>
                <w:noProof/>
                <w:webHidden/>
              </w:rPr>
              <w:fldChar w:fldCharType="begin"/>
            </w:r>
            <w:r w:rsidR="00553E76" w:rsidRPr="00733900">
              <w:rPr>
                <w:rFonts w:ascii="Arial" w:hAnsi="Arial" w:cs="Arial"/>
                <w:noProof/>
                <w:webHidden/>
              </w:rPr>
              <w:instrText xml:space="preserve"> PAGEREF _Toc221817376 \h </w:instrText>
            </w:r>
            <w:r w:rsidR="00553E76" w:rsidRPr="00733900">
              <w:rPr>
                <w:rFonts w:ascii="Arial" w:hAnsi="Arial" w:cs="Arial"/>
                <w:noProof/>
                <w:webHidden/>
              </w:rPr>
            </w:r>
            <w:r w:rsidR="00553E76" w:rsidRPr="00733900">
              <w:rPr>
                <w:rFonts w:ascii="Arial" w:hAnsi="Arial" w:cs="Arial"/>
                <w:noProof/>
                <w:webHidden/>
              </w:rPr>
              <w:fldChar w:fldCharType="separate"/>
            </w:r>
            <w:r w:rsidR="00733900">
              <w:rPr>
                <w:rFonts w:ascii="Arial" w:hAnsi="Arial" w:cs="Arial"/>
                <w:noProof/>
                <w:webHidden/>
              </w:rPr>
              <w:t>5</w:t>
            </w:r>
            <w:r w:rsidR="00553E76" w:rsidRPr="00733900">
              <w:rPr>
                <w:rFonts w:ascii="Arial" w:hAnsi="Arial" w:cs="Arial"/>
                <w:noProof/>
                <w:webHidden/>
              </w:rPr>
              <w:fldChar w:fldCharType="end"/>
            </w:r>
          </w:hyperlink>
        </w:p>
        <w:p w14:paraId="0992732F" w14:textId="32E8AA60" w:rsidR="00553E76" w:rsidRPr="00733900" w:rsidRDefault="000D0FB8" w:rsidP="00733900">
          <w:pPr>
            <w:pStyle w:val="TOC2"/>
            <w:tabs>
              <w:tab w:val="right" w:leader="dot" w:pos="9016"/>
            </w:tabs>
            <w:spacing w:line="360" w:lineRule="auto"/>
            <w:jc w:val="both"/>
            <w:rPr>
              <w:rFonts w:ascii="Arial" w:eastAsiaTheme="minorEastAsia" w:hAnsi="Arial" w:cs="Arial"/>
              <w:noProof/>
              <w:lang w:eastAsia="en-GB"/>
            </w:rPr>
          </w:pPr>
          <w:hyperlink w:anchor="_Toc221817379" w:history="1">
            <w:r w:rsidR="00553E76" w:rsidRPr="00733900">
              <w:rPr>
                <w:rStyle w:val="Hyperlink"/>
                <w:rFonts w:ascii="Arial" w:hAnsi="Arial" w:cs="Arial"/>
                <w:b/>
                <w:bCs/>
                <w:noProof/>
              </w:rPr>
              <w:t>Critical Analysis and Evaluation</w:t>
            </w:r>
            <w:r w:rsidR="00553E76" w:rsidRPr="00733900">
              <w:rPr>
                <w:rFonts w:ascii="Arial" w:hAnsi="Arial" w:cs="Arial"/>
                <w:noProof/>
                <w:webHidden/>
              </w:rPr>
              <w:tab/>
            </w:r>
            <w:r w:rsidR="00553E76" w:rsidRPr="00733900">
              <w:rPr>
                <w:rFonts w:ascii="Arial" w:hAnsi="Arial" w:cs="Arial"/>
                <w:noProof/>
                <w:webHidden/>
              </w:rPr>
              <w:fldChar w:fldCharType="begin"/>
            </w:r>
            <w:r w:rsidR="00553E76" w:rsidRPr="00733900">
              <w:rPr>
                <w:rFonts w:ascii="Arial" w:hAnsi="Arial" w:cs="Arial"/>
                <w:noProof/>
                <w:webHidden/>
              </w:rPr>
              <w:instrText xml:space="preserve"> PAGEREF _Toc221817379 \h </w:instrText>
            </w:r>
            <w:r w:rsidR="00553E76" w:rsidRPr="00733900">
              <w:rPr>
                <w:rFonts w:ascii="Arial" w:hAnsi="Arial" w:cs="Arial"/>
                <w:noProof/>
                <w:webHidden/>
              </w:rPr>
            </w:r>
            <w:r w:rsidR="00553E76" w:rsidRPr="00733900">
              <w:rPr>
                <w:rFonts w:ascii="Arial" w:hAnsi="Arial" w:cs="Arial"/>
                <w:noProof/>
                <w:webHidden/>
              </w:rPr>
              <w:fldChar w:fldCharType="separate"/>
            </w:r>
            <w:r w:rsidR="00733900">
              <w:rPr>
                <w:rFonts w:ascii="Arial" w:hAnsi="Arial" w:cs="Arial"/>
                <w:noProof/>
                <w:webHidden/>
              </w:rPr>
              <w:t>5</w:t>
            </w:r>
            <w:r w:rsidR="00553E76" w:rsidRPr="00733900">
              <w:rPr>
                <w:rFonts w:ascii="Arial" w:hAnsi="Arial" w:cs="Arial"/>
                <w:noProof/>
                <w:webHidden/>
              </w:rPr>
              <w:fldChar w:fldCharType="end"/>
            </w:r>
          </w:hyperlink>
        </w:p>
        <w:p w14:paraId="4DA31393" w14:textId="17868CB3" w:rsidR="00553E76" w:rsidRPr="00733900" w:rsidRDefault="000D0FB8" w:rsidP="00733900">
          <w:pPr>
            <w:pStyle w:val="TOC2"/>
            <w:tabs>
              <w:tab w:val="right" w:leader="dot" w:pos="9016"/>
            </w:tabs>
            <w:spacing w:line="360" w:lineRule="auto"/>
            <w:jc w:val="both"/>
            <w:rPr>
              <w:rFonts w:ascii="Arial" w:eastAsiaTheme="minorEastAsia" w:hAnsi="Arial" w:cs="Arial"/>
              <w:noProof/>
              <w:lang w:eastAsia="en-GB"/>
            </w:rPr>
          </w:pPr>
          <w:hyperlink w:anchor="_Toc221817383" w:history="1">
            <w:r w:rsidR="00553E76" w:rsidRPr="00733900">
              <w:rPr>
                <w:rStyle w:val="Hyperlink"/>
                <w:rFonts w:ascii="Arial" w:hAnsi="Arial" w:cs="Arial"/>
                <w:b/>
                <w:bCs/>
                <w:noProof/>
              </w:rPr>
              <w:t>Recommendations</w:t>
            </w:r>
            <w:r w:rsidR="00553E76" w:rsidRPr="00733900">
              <w:rPr>
                <w:rFonts w:ascii="Arial" w:hAnsi="Arial" w:cs="Arial"/>
                <w:noProof/>
                <w:webHidden/>
              </w:rPr>
              <w:tab/>
            </w:r>
            <w:r w:rsidR="00553E76" w:rsidRPr="00733900">
              <w:rPr>
                <w:rFonts w:ascii="Arial" w:hAnsi="Arial" w:cs="Arial"/>
                <w:noProof/>
                <w:webHidden/>
              </w:rPr>
              <w:fldChar w:fldCharType="begin"/>
            </w:r>
            <w:r w:rsidR="00553E76" w:rsidRPr="00733900">
              <w:rPr>
                <w:rFonts w:ascii="Arial" w:hAnsi="Arial" w:cs="Arial"/>
                <w:noProof/>
                <w:webHidden/>
              </w:rPr>
              <w:instrText xml:space="preserve"> PAGEREF _Toc221817383 \h </w:instrText>
            </w:r>
            <w:r w:rsidR="00553E76" w:rsidRPr="00733900">
              <w:rPr>
                <w:rFonts w:ascii="Arial" w:hAnsi="Arial" w:cs="Arial"/>
                <w:noProof/>
                <w:webHidden/>
              </w:rPr>
            </w:r>
            <w:r w:rsidR="00553E76" w:rsidRPr="00733900">
              <w:rPr>
                <w:rFonts w:ascii="Arial" w:hAnsi="Arial" w:cs="Arial"/>
                <w:noProof/>
                <w:webHidden/>
              </w:rPr>
              <w:fldChar w:fldCharType="separate"/>
            </w:r>
            <w:r w:rsidR="00733900">
              <w:rPr>
                <w:rFonts w:ascii="Arial" w:hAnsi="Arial" w:cs="Arial"/>
                <w:noProof/>
                <w:webHidden/>
              </w:rPr>
              <w:t>6</w:t>
            </w:r>
            <w:r w:rsidR="00553E76" w:rsidRPr="00733900">
              <w:rPr>
                <w:rFonts w:ascii="Arial" w:hAnsi="Arial" w:cs="Arial"/>
                <w:noProof/>
                <w:webHidden/>
              </w:rPr>
              <w:fldChar w:fldCharType="end"/>
            </w:r>
          </w:hyperlink>
        </w:p>
        <w:p w14:paraId="3EF5972B" w14:textId="5C4B5E46" w:rsidR="00553E76" w:rsidRPr="00733900" w:rsidRDefault="000D0FB8" w:rsidP="00733900">
          <w:pPr>
            <w:pStyle w:val="TOC2"/>
            <w:tabs>
              <w:tab w:val="right" w:leader="dot" w:pos="9016"/>
            </w:tabs>
            <w:spacing w:line="360" w:lineRule="auto"/>
            <w:jc w:val="both"/>
            <w:rPr>
              <w:rFonts w:ascii="Arial" w:eastAsiaTheme="minorEastAsia" w:hAnsi="Arial" w:cs="Arial"/>
              <w:noProof/>
              <w:lang w:eastAsia="en-GB"/>
            </w:rPr>
          </w:pPr>
          <w:hyperlink w:anchor="_Toc221817388" w:history="1">
            <w:r w:rsidR="00553E76" w:rsidRPr="00733900">
              <w:rPr>
                <w:rStyle w:val="Hyperlink"/>
                <w:rFonts w:ascii="Arial" w:hAnsi="Arial" w:cs="Arial"/>
                <w:b/>
                <w:bCs/>
                <w:noProof/>
              </w:rPr>
              <w:t>Conclusion</w:t>
            </w:r>
            <w:r w:rsidR="00553E76" w:rsidRPr="00733900">
              <w:rPr>
                <w:rFonts w:ascii="Arial" w:hAnsi="Arial" w:cs="Arial"/>
                <w:noProof/>
                <w:webHidden/>
              </w:rPr>
              <w:tab/>
            </w:r>
            <w:r w:rsidR="00553E76" w:rsidRPr="00733900">
              <w:rPr>
                <w:rFonts w:ascii="Arial" w:hAnsi="Arial" w:cs="Arial"/>
                <w:noProof/>
                <w:webHidden/>
              </w:rPr>
              <w:fldChar w:fldCharType="begin"/>
            </w:r>
            <w:r w:rsidR="00553E76" w:rsidRPr="00733900">
              <w:rPr>
                <w:rFonts w:ascii="Arial" w:hAnsi="Arial" w:cs="Arial"/>
                <w:noProof/>
                <w:webHidden/>
              </w:rPr>
              <w:instrText xml:space="preserve"> PAGEREF _Toc221817388 \h </w:instrText>
            </w:r>
            <w:r w:rsidR="00553E76" w:rsidRPr="00733900">
              <w:rPr>
                <w:rFonts w:ascii="Arial" w:hAnsi="Arial" w:cs="Arial"/>
                <w:noProof/>
                <w:webHidden/>
              </w:rPr>
            </w:r>
            <w:r w:rsidR="00553E76" w:rsidRPr="00733900">
              <w:rPr>
                <w:rFonts w:ascii="Arial" w:hAnsi="Arial" w:cs="Arial"/>
                <w:noProof/>
                <w:webHidden/>
              </w:rPr>
              <w:fldChar w:fldCharType="separate"/>
            </w:r>
            <w:r w:rsidR="00733900">
              <w:rPr>
                <w:rFonts w:ascii="Arial" w:hAnsi="Arial" w:cs="Arial"/>
                <w:noProof/>
                <w:webHidden/>
              </w:rPr>
              <w:t>6</w:t>
            </w:r>
            <w:r w:rsidR="00553E76" w:rsidRPr="00733900">
              <w:rPr>
                <w:rFonts w:ascii="Arial" w:hAnsi="Arial" w:cs="Arial"/>
                <w:noProof/>
                <w:webHidden/>
              </w:rPr>
              <w:fldChar w:fldCharType="end"/>
            </w:r>
          </w:hyperlink>
        </w:p>
        <w:p w14:paraId="03C91A3B" w14:textId="608A9FC1" w:rsidR="00553E76" w:rsidRPr="00733900" w:rsidRDefault="000D0FB8" w:rsidP="00733900">
          <w:pPr>
            <w:pStyle w:val="TOC2"/>
            <w:tabs>
              <w:tab w:val="right" w:leader="dot" w:pos="9016"/>
            </w:tabs>
            <w:spacing w:line="360" w:lineRule="auto"/>
            <w:jc w:val="both"/>
            <w:rPr>
              <w:rFonts w:ascii="Arial" w:eastAsiaTheme="minorEastAsia" w:hAnsi="Arial" w:cs="Arial"/>
              <w:noProof/>
              <w:lang w:eastAsia="en-GB"/>
            </w:rPr>
          </w:pPr>
          <w:hyperlink w:anchor="_Toc221817391" w:history="1">
            <w:r w:rsidR="00553E76" w:rsidRPr="00733900">
              <w:rPr>
                <w:rStyle w:val="Hyperlink"/>
                <w:rFonts w:ascii="Arial" w:eastAsia="Times New Roman" w:hAnsi="Arial" w:cs="Arial"/>
                <w:b/>
                <w:bCs/>
                <w:noProof/>
                <w:kern w:val="0"/>
                <w:lang w:eastAsia="en-GB"/>
                <w14:ligatures w14:val="none"/>
              </w:rPr>
              <w:t>References</w:t>
            </w:r>
            <w:r w:rsidR="00553E76" w:rsidRPr="00733900">
              <w:rPr>
                <w:rFonts w:ascii="Arial" w:hAnsi="Arial" w:cs="Arial"/>
                <w:noProof/>
                <w:webHidden/>
              </w:rPr>
              <w:tab/>
            </w:r>
            <w:r w:rsidR="00733900">
              <w:rPr>
                <w:rFonts w:ascii="Arial" w:hAnsi="Arial" w:cs="Arial"/>
                <w:noProof/>
                <w:webHidden/>
              </w:rPr>
              <w:t>7</w:t>
            </w:r>
          </w:hyperlink>
        </w:p>
        <w:p w14:paraId="4BE77343" w14:textId="3A6C94F6" w:rsidR="00553E76" w:rsidRPr="00733900" w:rsidRDefault="00553E76" w:rsidP="00733900">
          <w:pPr>
            <w:spacing w:line="360" w:lineRule="auto"/>
            <w:jc w:val="both"/>
            <w:rPr>
              <w:rFonts w:ascii="Arial" w:hAnsi="Arial" w:cs="Arial"/>
            </w:rPr>
          </w:pPr>
          <w:r w:rsidRPr="00733900">
            <w:rPr>
              <w:rFonts w:ascii="Arial" w:hAnsi="Arial" w:cs="Arial"/>
              <w:b/>
              <w:bCs/>
            </w:rPr>
            <w:fldChar w:fldCharType="end"/>
          </w:r>
        </w:p>
      </w:sdtContent>
    </w:sdt>
    <w:p w14:paraId="51035808" w14:textId="77777777" w:rsidR="00DB2190" w:rsidRPr="00733900" w:rsidRDefault="00DB2190" w:rsidP="00733900">
      <w:pPr>
        <w:spacing w:before="100" w:beforeAutospacing="1" w:after="100" w:afterAutospacing="1" w:line="360" w:lineRule="auto"/>
        <w:jc w:val="both"/>
        <w:outlineLvl w:val="1"/>
        <w:rPr>
          <w:rFonts w:ascii="Arial" w:hAnsi="Arial" w:cs="Arial"/>
        </w:rPr>
      </w:pPr>
    </w:p>
    <w:p w14:paraId="283F41BB" w14:textId="77777777" w:rsidR="00553E76" w:rsidRPr="00733900" w:rsidRDefault="00553E76" w:rsidP="00733900">
      <w:pPr>
        <w:spacing w:before="100" w:beforeAutospacing="1" w:after="100" w:afterAutospacing="1" w:line="360" w:lineRule="auto"/>
        <w:jc w:val="both"/>
        <w:outlineLvl w:val="1"/>
        <w:rPr>
          <w:rFonts w:ascii="Arial" w:hAnsi="Arial" w:cs="Arial"/>
        </w:rPr>
      </w:pPr>
    </w:p>
    <w:p w14:paraId="52914E75" w14:textId="77777777" w:rsidR="00553E76" w:rsidRPr="00733900" w:rsidRDefault="00553E76" w:rsidP="00733900">
      <w:pPr>
        <w:spacing w:before="100" w:beforeAutospacing="1" w:after="100" w:afterAutospacing="1" w:line="360" w:lineRule="auto"/>
        <w:jc w:val="both"/>
        <w:outlineLvl w:val="1"/>
        <w:rPr>
          <w:rFonts w:ascii="Arial" w:hAnsi="Arial" w:cs="Arial"/>
        </w:rPr>
      </w:pPr>
    </w:p>
    <w:p w14:paraId="5EA52B8F" w14:textId="77777777" w:rsidR="00553E76" w:rsidRPr="00733900" w:rsidRDefault="00553E76" w:rsidP="00733900">
      <w:pPr>
        <w:spacing w:before="100" w:beforeAutospacing="1" w:after="100" w:afterAutospacing="1" w:line="360" w:lineRule="auto"/>
        <w:jc w:val="both"/>
        <w:outlineLvl w:val="1"/>
        <w:rPr>
          <w:rFonts w:ascii="Arial" w:hAnsi="Arial" w:cs="Arial"/>
        </w:rPr>
      </w:pPr>
    </w:p>
    <w:p w14:paraId="6EC932D5" w14:textId="77777777" w:rsidR="00553E76" w:rsidRPr="00733900" w:rsidRDefault="00553E76" w:rsidP="00733900">
      <w:pPr>
        <w:spacing w:before="100" w:beforeAutospacing="1" w:after="100" w:afterAutospacing="1" w:line="360" w:lineRule="auto"/>
        <w:jc w:val="both"/>
        <w:outlineLvl w:val="1"/>
        <w:rPr>
          <w:rFonts w:ascii="Arial" w:hAnsi="Arial" w:cs="Arial"/>
        </w:rPr>
      </w:pPr>
    </w:p>
    <w:p w14:paraId="58669321" w14:textId="77777777" w:rsidR="00553E76" w:rsidRPr="00733900" w:rsidRDefault="00553E76" w:rsidP="00733900">
      <w:pPr>
        <w:spacing w:before="100" w:beforeAutospacing="1" w:after="100" w:afterAutospacing="1" w:line="360" w:lineRule="auto"/>
        <w:jc w:val="both"/>
        <w:outlineLvl w:val="1"/>
        <w:rPr>
          <w:rFonts w:ascii="Arial" w:hAnsi="Arial" w:cs="Arial"/>
        </w:rPr>
      </w:pPr>
    </w:p>
    <w:p w14:paraId="5BCD1608" w14:textId="77777777" w:rsidR="00553E76" w:rsidRPr="00733900" w:rsidRDefault="00553E76" w:rsidP="00733900">
      <w:pPr>
        <w:spacing w:before="100" w:beforeAutospacing="1" w:after="100" w:afterAutospacing="1" w:line="360" w:lineRule="auto"/>
        <w:jc w:val="both"/>
        <w:outlineLvl w:val="1"/>
        <w:rPr>
          <w:rFonts w:ascii="Arial" w:hAnsi="Arial" w:cs="Arial"/>
        </w:rPr>
      </w:pPr>
    </w:p>
    <w:p w14:paraId="2FF944EB" w14:textId="77777777" w:rsidR="00553E76" w:rsidRPr="00733900" w:rsidRDefault="00553E76" w:rsidP="00733900">
      <w:pPr>
        <w:spacing w:before="100" w:beforeAutospacing="1" w:after="100" w:afterAutospacing="1" w:line="360" w:lineRule="auto"/>
        <w:jc w:val="both"/>
        <w:outlineLvl w:val="1"/>
        <w:rPr>
          <w:rFonts w:ascii="Arial" w:hAnsi="Arial" w:cs="Arial"/>
        </w:rPr>
      </w:pPr>
    </w:p>
    <w:p w14:paraId="7D4AC7FB" w14:textId="77777777" w:rsidR="00553E76" w:rsidRPr="00733900" w:rsidRDefault="00553E76" w:rsidP="00733900">
      <w:pPr>
        <w:spacing w:before="100" w:beforeAutospacing="1" w:after="100" w:afterAutospacing="1" w:line="360" w:lineRule="auto"/>
        <w:jc w:val="both"/>
        <w:outlineLvl w:val="1"/>
        <w:rPr>
          <w:rFonts w:ascii="Arial" w:hAnsi="Arial" w:cs="Arial"/>
        </w:rPr>
      </w:pPr>
    </w:p>
    <w:p w14:paraId="564A915E" w14:textId="77777777" w:rsidR="00553E76" w:rsidRPr="00733900" w:rsidRDefault="00553E76" w:rsidP="00733900">
      <w:pPr>
        <w:spacing w:before="100" w:beforeAutospacing="1" w:after="100" w:afterAutospacing="1" w:line="360" w:lineRule="auto"/>
        <w:jc w:val="both"/>
        <w:outlineLvl w:val="1"/>
        <w:rPr>
          <w:rFonts w:ascii="Arial" w:hAnsi="Arial" w:cs="Arial"/>
        </w:rPr>
      </w:pPr>
    </w:p>
    <w:p w14:paraId="1A74B6F3" w14:textId="77777777" w:rsidR="00553E76" w:rsidRPr="00733900" w:rsidRDefault="00553E76" w:rsidP="00733900">
      <w:pPr>
        <w:spacing w:before="100" w:beforeAutospacing="1" w:after="100" w:afterAutospacing="1" w:line="360" w:lineRule="auto"/>
        <w:jc w:val="both"/>
        <w:outlineLvl w:val="1"/>
        <w:rPr>
          <w:rFonts w:ascii="Arial" w:hAnsi="Arial" w:cs="Arial"/>
        </w:rPr>
      </w:pPr>
    </w:p>
    <w:p w14:paraId="0854F9BC" w14:textId="7E382C44" w:rsidR="00DB2190" w:rsidRPr="00733900" w:rsidRDefault="00DB2190" w:rsidP="00733900">
      <w:pPr>
        <w:spacing w:before="100" w:beforeAutospacing="1" w:after="100" w:afterAutospacing="1" w:line="360" w:lineRule="auto"/>
        <w:jc w:val="both"/>
        <w:outlineLvl w:val="1"/>
        <w:rPr>
          <w:rFonts w:ascii="Arial" w:hAnsi="Arial" w:cs="Arial"/>
          <w:b/>
          <w:bCs/>
        </w:rPr>
      </w:pPr>
      <w:bookmarkStart w:id="0" w:name="_Toc221817357"/>
      <w:r w:rsidRPr="00733900">
        <w:rPr>
          <w:rFonts w:ascii="Arial" w:hAnsi="Arial" w:cs="Arial"/>
          <w:b/>
          <w:bCs/>
        </w:rPr>
        <w:t>Introduction</w:t>
      </w:r>
      <w:bookmarkEnd w:id="0"/>
    </w:p>
    <w:p w14:paraId="3EFD5812"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1" w:name="_Toc221817358"/>
      <w:r w:rsidRPr="00733900">
        <w:rPr>
          <w:rFonts w:ascii="Arial" w:hAnsi="Arial" w:cs="Arial"/>
        </w:rPr>
        <w:t>Tesco PLC is one of the largest grocery retailers operating in the United Kingdom, competing in a highly competitive and price-sensitive retail environment. Founded in 1919, Tesco has expanded into a multinational organisation offering a wide range of products and services, including food and groceries, clothing through its F&amp;F brand, electronics, financial services, and online retailing (Tesco PLC, 2024). The company maintains a leading position in the UK supermarket sector, supported by its extensive store network, strong brand equity, and advanced digital capabilities (Statista, 2024).</w:t>
      </w:r>
      <w:bookmarkEnd w:id="1"/>
    </w:p>
    <w:p w14:paraId="18287BEA" w14:textId="45520698" w:rsidR="00DB2190" w:rsidRPr="00733900" w:rsidRDefault="00DB2190" w:rsidP="00733900">
      <w:pPr>
        <w:spacing w:before="100" w:beforeAutospacing="1" w:after="100" w:afterAutospacing="1" w:line="360" w:lineRule="auto"/>
        <w:jc w:val="both"/>
        <w:outlineLvl w:val="1"/>
        <w:rPr>
          <w:rFonts w:ascii="Arial" w:hAnsi="Arial" w:cs="Arial"/>
        </w:rPr>
      </w:pPr>
      <w:bookmarkStart w:id="2" w:name="_Toc221817359"/>
      <w:r w:rsidRPr="00733900">
        <w:rPr>
          <w:rFonts w:ascii="Arial" w:hAnsi="Arial" w:cs="Arial"/>
        </w:rPr>
        <w:t>The purpose of this report is to conduct a situational analysis of Tesco in order to evaluate the key macro-environmental factors influencing its strategic and marketing decision-making. From a marketing management perspective, understanding external environmental forces and their internal implications is essential for developing effective strategies that sustain competitive advantage. A PESTLE analysis has been selected as it provides a structured framework for examining political, economic, social, technological, legal, and environmental factors affecting organisational performance and long-term success (Johnson, Scholes and Whittington, 2020).</w:t>
      </w:r>
      <w:bookmarkEnd w:id="2"/>
    </w:p>
    <w:p w14:paraId="33AA5C64" w14:textId="2ACBE446" w:rsidR="00DB2190" w:rsidRPr="00733900" w:rsidRDefault="00DB2190" w:rsidP="00733900">
      <w:pPr>
        <w:spacing w:before="100" w:beforeAutospacing="1" w:after="100" w:afterAutospacing="1" w:line="360" w:lineRule="auto"/>
        <w:jc w:val="both"/>
        <w:outlineLvl w:val="1"/>
        <w:rPr>
          <w:rFonts w:ascii="Arial" w:hAnsi="Arial" w:cs="Arial"/>
          <w:b/>
          <w:bCs/>
        </w:rPr>
      </w:pPr>
      <w:bookmarkStart w:id="3" w:name="_Toc221817360"/>
      <w:r w:rsidRPr="00733900">
        <w:rPr>
          <w:rFonts w:ascii="Arial" w:hAnsi="Arial" w:cs="Arial"/>
          <w:b/>
          <w:bCs/>
        </w:rPr>
        <w:t>Situational Analysis – PESTLE Analysis</w:t>
      </w:r>
      <w:bookmarkEnd w:id="3"/>
    </w:p>
    <w:p w14:paraId="29A73295" w14:textId="3879377B" w:rsidR="00DB2190" w:rsidRPr="00733900" w:rsidRDefault="00DB2190" w:rsidP="00733900">
      <w:pPr>
        <w:spacing w:before="100" w:beforeAutospacing="1" w:after="100" w:afterAutospacing="1" w:line="360" w:lineRule="auto"/>
        <w:jc w:val="both"/>
        <w:outlineLvl w:val="1"/>
        <w:rPr>
          <w:rFonts w:ascii="Arial" w:hAnsi="Arial" w:cs="Arial"/>
          <w:b/>
          <w:bCs/>
        </w:rPr>
      </w:pPr>
      <w:bookmarkStart w:id="4" w:name="_Toc221817361"/>
      <w:r w:rsidRPr="00733900">
        <w:rPr>
          <w:rFonts w:ascii="Arial" w:hAnsi="Arial" w:cs="Arial"/>
          <w:b/>
          <w:bCs/>
        </w:rPr>
        <w:t>Political Factors</w:t>
      </w:r>
      <w:bookmarkEnd w:id="4"/>
    </w:p>
    <w:p w14:paraId="0E4C5832" w14:textId="1146FE82" w:rsidR="00DB2190" w:rsidRPr="00733900" w:rsidRDefault="00DB2190" w:rsidP="00733900">
      <w:pPr>
        <w:spacing w:before="100" w:beforeAutospacing="1" w:after="100" w:afterAutospacing="1" w:line="360" w:lineRule="auto"/>
        <w:jc w:val="both"/>
        <w:outlineLvl w:val="1"/>
        <w:rPr>
          <w:rFonts w:ascii="Arial" w:hAnsi="Arial" w:cs="Arial"/>
        </w:rPr>
      </w:pPr>
      <w:bookmarkStart w:id="5" w:name="_Toc221817362"/>
      <w:r w:rsidRPr="00733900">
        <w:rPr>
          <w:rFonts w:ascii="Arial" w:hAnsi="Arial" w:cs="Arial"/>
        </w:rPr>
        <w:t>Political factors significantly influence Tesco’s operations due to the highly regulated nature of the UK retail sector. Government policies relating to taxation, employment law, food safety standards, and international trade directly affect operational costs and supply-chain efficiency (Johnson et al., 2020). Following the UK’s withdrawal from the European Union, Tesco has faced increased complexity when sourcing products from EU suppliers, including customs procedures, regulatory divergence, and higher import costs (BBC News, 2024).</w:t>
      </w:r>
      <w:bookmarkEnd w:id="5"/>
    </w:p>
    <w:p w14:paraId="3192F444" w14:textId="2FD30EE3" w:rsidR="00DB2190" w:rsidRPr="00733900" w:rsidRDefault="00DB2190" w:rsidP="00733900">
      <w:pPr>
        <w:spacing w:before="100" w:beforeAutospacing="1" w:after="100" w:afterAutospacing="1" w:line="360" w:lineRule="auto"/>
        <w:jc w:val="both"/>
        <w:outlineLvl w:val="1"/>
        <w:rPr>
          <w:rFonts w:ascii="Arial" w:hAnsi="Arial" w:cs="Arial"/>
        </w:rPr>
      </w:pPr>
      <w:bookmarkStart w:id="6" w:name="_Toc221817363"/>
      <w:r w:rsidRPr="00733900">
        <w:rPr>
          <w:rFonts w:ascii="Arial" w:hAnsi="Arial" w:cs="Arial"/>
        </w:rPr>
        <w:lastRenderedPageBreak/>
        <w:t>From an internal marketing management perspective, these political pressures reduce pricing flexibility and increase cost pressures within Tesco’s supply chain. In response to public and governmental expectations during the cost-of-living crisis, Tesco has introduced price-lock initiatives and expanded value product ranges. These actions influence promotional strategies and reinforce Tesco’s brand positioning as an affordable and socially responsible retailer (Tesco PLC, 2024).</w:t>
      </w:r>
      <w:bookmarkEnd w:id="6"/>
    </w:p>
    <w:p w14:paraId="6DB1A40D" w14:textId="2F001F24" w:rsidR="00DB2190" w:rsidRPr="00733900" w:rsidRDefault="00DB2190" w:rsidP="00733900">
      <w:pPr>
        <w:spacing w:before="100" w:beforeAutospacing="1" w:after="100" w:afterAutospacing="1" w:line="360" w:lineRule="auto"/>
        <w:jc w:val="both"/>
        <w:outlineLvl w:val="1"/>
        <w:rPr>
          <w:rFonts w:ascii="Arial" w:hAnsi="Arial" w:cs="Arial"/>
          <w:b/>
          <w:bCs/>
        </w:rPr>
      </w:pPr>
      <w:bookmarkStart w:id="7" w:name="_Toc221817364"/>
      <w:r w:rsidRPr="00733900">
        <w:rPr>
          <w:rFonts w:ascii="Arial" w:hAnsi="Arial" w:cs="Arial"/>
          <w:b/>
          <w:bCs/>
        </w:rPr>
        <w:t>Economic Factors</w:t>
      </w:r>
      <w:bookmarkEnd w:id="7"/>
    </w:p>
    <w:p w14:paraId="52EF6E46"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8" w:name="_Toc221817365"/>
      <w:r w:rsidRPr="00733900">
        <w:rPr>
          <w:rFonts w:ascii="Arial" w:hAnsi="Arial" w:cs="Arial"/>
        </w:rPr>
        <w:t>Economic conditions play a critical role in shaping consumer purchasing behaviour and retailer profitability. The UK economy has experienced high inflation, rising interest rates, and reduced disposable income, resulting in increased consumer price sensitivity (BBC News, 2024). Consequently, competition within the grocery sector has intensified, placing pressure on retailers to maintain low prices while managing rising costs.</w:t>
      </w:r>
      <w:bookmarkEnd w:id="8"/>
    </w:p>
    <w:p w14:paraId="46664E78"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9" w:name="_Toc221817366"/>
      <w:r w:rsidRPr="00733900">
        <w:rPr>
          <w:rFonts w:ascii="Arial" w:hAnsi="Arial" w:cs="Arial"/>
        </w:rPr>
        <w:t>Internally, these economic pressures affect Tesco’s pricing decisions, profit margins, and promotional strategies. Tesco has responded by expanding its own-label value ranges and increasing the use of Clubcard discounts to retain customers and protect market share (Tesco PLC, 2024). However, rising costs associated with energy, wages, and logistics continue to impact profitability. From a strategic marketing perspective, Tesco must balance affordability with margin protection to achieve sustainable competitive advantage (Porter, 2008; Baines et al., 2019).</w:t>
      </w:r>
      <w:bookmarkEnd w:id="9"/>
    </w:p>
    <w:p w14:paraId="0714C74E" w14:textId="5AD90A56" w:rsidR="00DB2190" w:rsidRPr="00733900" w:rsidRDefault="00DB2190" w:rsidP="00733900">
      <w:pPr>
        <w:spacing w:before="100" w:beforeAutospacing="1" w:after="100" w:afterAutospacing="1" w:line="360" w:lineRule="auto"/>
        <w:jc w:val="both"/>
        <w:outlineLvl w:val="1"/>
        <w:rPr>
          <w:rFonts w:ascii="Arial" w:hAnsi="Arial" w:cs="Arial"/>
          <w:b/>
          <w:bCs/>
        </w:rPr>
      </w:pPr>
      <w:bookmarkStart w:id="10" w:name="_Toc221817367"/>
      <w:r w:rsidRPr="00733900">
        <w:rPr>
          <w:rFonts w:ascii="Arial" w:hAnsi="Arial" w:cs="Arial"/>
          <w:b/>
          <w:bCs/>
        </w:rPr>
        <w:t>Social Factors</w:t>
      </w:r>
      <w:bookmarkEnd w:id="10"/>
    </w:p>
    <w:p w14:paraId="432EA931"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11" w:name="_Toc221817368"/>
      <w:r w:rsidRPr="00733900">
        <w:rPr>
          <w:rFonts w:ascii="Arial" w:hAnsi="Arial" w:cs="Arial"/>
        </w:rPr>
        <w:t>Social trends strongly influence Tesco’s marketing strategies and product offerings. UK consumers are increasingly health-conscious and environmentally aware, driving demand for organic, plant-based, and ethically sourced products (Mintel, 2023). In response, Tesco has expanded healthier product ranges and incorporated ethical messaging into its marketing communications.</w:t>
      </w:r>
      <w:bookmarkEnd w:id="11"/>
    </w:p>
    <w:p w14:paraId="701D9CEE"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12" w:name="_Toc221817369"/>
      <w:r w:rsidRPr="00733900">
        <w:rPr>
          <w:rFonts w:ascii="Arial" w:hAnsi="Arial" w:cs="Arial"/>
        </w:rPr>
        <w:t xml:space="preserve">Lifestyle changes, such as longer working hours and greater reliance on digital services, have accelerated the growth of online grocery shopping and home delivery (Chaffey and Ellis-Chadwick, 2019). Demographic changes, including an ageing </w:t>
      </w:r>
      <w:r w:rsidRPr="00733900">
        <w:rPr>
          <w:rFonts w:ascii="Arial" w:hAnsi="Arial" w:cs="Arial"/>
        </w:rPr>
        <w:lastRenderedPageBreak/>
        <w:t>population, have also increased demand for convenience foods and accessible store formats. Internally, these social factors shape Tesco’s product development, customer experience design, and communication strategies (Dibb et al., 2019; Blythe and Martin, 2019).</w:t>
      </w:r>
      <w:bookmarkEnd w:id="12"/>
    </w:p>
    <w:p w14:paraId="7CBDA69A" w14:textId="11CB99BB" w:rsidR="00DB2190" w:rsidRPr="00733900" w:rsidRDefault="00DB2190" w:rsidP="00733900">
      <w:pPr>
        <w:spacing w:before="100" w:beforeAutospacing="1" w:after="100" w:afterAutospacing="1" w:line="360" w:lineRule="auto"/>
        <w:jc w:val="both"/>
        <w:outlineLvl w:val="1"/>
        <w:rPr>
          <w:rFonts w:ascii="Arial" w:hAnsi="Arial" w:cs="Arial"/>
          <w:b/>
          <w:bCs/>
        </w:rPr>
      </w:pPr>
      <w:bookmarkStart w:id="13" w:name="_Toc221817370"/>
      <w:r w:rsidRPr="00733900">
        <w:rPr>
          <w:rFonts w:ascii="Arial" w:hAnsi="Arial" w:cs="Arial"/>
          <w:b/>
          <w:bCs/>
        </w:rPr>
        <w:t>Technological Factors</w:t>
      </w:r>
      <w:bookmarkEnd w:id="13"/>
    </w:p>
    <w:p w14:paraId="12AD5D95"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14" w:name="_Toc221817371"/>
      <w:r w:rsidRPr="00733900">
        <w:rPr>
          <w:rFonts w:ascii="Arial" w:hAnsi="Arial" w:cs="Arial"/>
        </w:rPr>
        <w:t>Technological advancement is a key source of competitive advantage within the retail industry. Tesco has invested extensively in digital technologies, including self-checkout systems, mobile applications, e-commerce platforms, and data analytics tools (Tesco PLC, 2024). These innovations enhance operational efficiency and improve customer experience.</w:t>
      </w:r>
      <w:bookmarkEnd w:id="14"/>
    </w:p>
    <w:p w14:paraId="1FEBC584"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15" w:name="_Toc221817372"/>
      <w:r w:rsidRPr="00733900">
        <w:rPr>
          <w:rFonts w:ascii="Arial" w:hAnsi="Arial" w:cs="Arial"/>
        </w:rPr>
        <w:t>Tesco’s Clubcard loyalty programme enables the collection and analysis of customer data, supporting personalised promotions and targeted marketing communications (Kotler and Keller, 2016). From an internal marketing management perspective, data analytics strengthen customer relationship management and long-term loyalty. However, increased reliance on digital systems exposes Tesco to cybersecurity and data privacy risks, requiring ongoing investment in data governance (Chaffey and Ellis-Chadwick, 2019; Laudon and Traver, 2021).</w:t>
      </w:r>
      <w:bookmarkEnd w:id="15"/>
    </w:p>
    <w:p w14:paraId="68ED8DC1" w14:textId="40CD6C81" w:rsidR="00DB2190" w:rsidRPr="00733900" w:rsidRDefault="00DB2190" w:rsidP="00733900">
      <w:pPr>
        <w:spacing w:before="100" w:beforeAutospacing="1" w:after="100" w:afterAutospacing="1" w:line="360" w:lineRule="auto"/>
        <w:jc w:val="both"/>
        <w:outlineLvl w:val="1"/>
        <w:rPr>
          <w:rFonts w:ascii="Arial" w:hAnsi="Arial" w:cs="Arial"/>
          <w:b/>
          <w:bCs/>
        </w:rPr>
      </w:pPr>
      <w:bookmarkStart w:id="16" w:name="_Toc221817373"/>
      <w:r w:rsidRPr="00733900">
        <w:rPr>
          <w:rFonts w:ascii="Arial" w:hAnsi="Arial" w:cs="Arial"/>
          <w:b/>
          <w:bCs/>
        </w:rPr>
        <w:t>Legal Factors</w:t>
      </w:r>
      <w:bookmarkEnd w:id="16"/>
    </w:p>
    <w:p w14:paraId="7C64089D"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17" w:name="_Toc221817374"/>
      <w:r w:rsidRPr="00733900">
        <w:rPr>
          <w:rFonts w:ascii="Arial" w:hAnsi="Arial" w:cs="Arial"/>
        </w:rPr>
        <w:t>Tesco operates within a comprehensive legal framework that includes employment legislation, consumer protection laws, food safety regulations, and data protection requirements (Johnson et al., 2020). The General Data Protection Regulation (GDPR) significantly affects how Tesco collects, stores, and uses customer data, particularly through online platforms and loyalty schemes (Kotler and Armstrong, 2020).</w:t>
      </w:r>
      <w:bookmarkEnd w:id="17"/>
    </w:p>
    <w:p w14:paraId="24AB77A2"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18" w:name="_Toc221817375"/>
      <w:r w:rsidRPr="00733900">
        <w:rPr>
          <w:rFonts w:ascii="Arial" w:hAnsi="Arial" w:cs="Arial"/>
        </w:rPr>
        <w:t>Internally, legal compliance requires continuous monitoring and staff training. Failure to comply could result in financial penalties and reputational damage. From a marketing perspective, strong legal compliance supports customer trust and reinforces brand credibility, contributing to long-term relationship building (Hooley and Nicoulaud, 2020).</w:t>
      </w:r>
      <w:bookmarkEnd w:id="18"/>
    </w:p>
    <w:p w14:paraId="1FE32065" w14:textId="60EE4D86" w:rsidR="00DB2190" w:rsidRPr="00733900" w:rsidRDefault="00DB2190" w:rsidP="00733900">
      <w:pPr>
        <w:spacing w:before="100" w:beforeAutospacing="1" w:after="100" w:afterAutospacing="1" w:line="360" w:lineRule="auto"/>
        <w:jc w:val="both"/>
        <w:outlineLvl w:val="1"/>
        <w:rPr>
          <w:rFonts w:ascii="Arial" w:hAnsi="Arial" w:cs="Arial"/>
          <w:b/>
          <w:bCs/>
        </w:rPr>
      </w:pPr>
      <w:bookmarkStart w:id="19" w:name="_Toc221817376"/>
      <w:r w:rsidRPr="00733900">
        <w:rPr>
          <w:rFonts w:ascii="Arial" w:hAnsi="Arial" w:cs="Arial"/>
          <w:b/>
          <w:bCs/>
        </w:rPr>
        <w:lastRenderedPageBreak/>
        <w:t>Environmental Factors</w:t>
      </w:r>
      <w:bookmarkEnd w:id="19"/>
    </w:p>
    <w:p w14:paraId="675E9064"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20" w:name="_Toc221817377"/>
      <w:r w:rsidRPr="00733900">
        <w:rPr>
          <w:rFonts w:ascii="Arial" w:hAnsi="Arial" w:cs="Arial"/>
        </w:rPr>
        <w:t>Environmental sustainability has become an increasingly important concern for governments, consumers, and businesses. Tesco faces growing pressure to reduce plastic packaging, lower carbon emissions, and improve waste management practices (Dawson, 2015). In response, the company has committed to achieving net-zero emissions and reducing food waste across its operations (Tesco PLC, 2024).</w:t>
      </w:r>
      <w:bookmarkEnd w:id="20"/>
    </w:p>
    <w:p w14:paraId="31D63408"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21" w:name="_Toc221817378"/>
      <w:r w:rsidRPr="00733900">
        <w:rPr>
          <w:rFonts w:ascii="Arial" w:hAnsi="Arial" w:cs="Arial"/>
        </w:rPr>
        <w:t>Internally, these commitments influence supplier selection, logistics, and product design, while externally they enhance Tesco’s reputation as a responsible retailer. From a marketing perspective, sustainability initiatives provide opportunities for brand differentiation and alignment with evolving consumer values (Kotler and Keller, 2016; Peattie and Belz, 2010).</w:t>
      </w:r>
      <w:bookmarkEnd w:id="21"/>
    </w:p>
    <w:p w14:paraId="131DC969" w14:textId="10028CE8" w:rsidR="00DB2190" w:rsidRPr="00733900" w:rsidRDefault="00DB2190" w:rsidP="00733900">
      <w:pPr>
        <w:spacing w:before="100" w:beforeAutospacing="1" w:after="100" w:afterAutospacing="1" w:line="360" w:lineRule="auto"/>
        <w:jc w:val="both"/>
        <w:outlineLvl w:val="1"/>
        <w:rPr>
          <w:rFonts w:ascii="Arial" w:hAnsi="Arial" w:cs="Arial"/>
          <w:b/>
          <w:bCs/>
        </w:rPr>
      </w:pPr>
      <w:bookmarkStart w:id="22" w:name="_Toc221817379"/>
      <w:r w:rsidRPr="00733900">
        <w:rPr>
          <w:rFonts w:ascii="Arial" w:hAnsi="Arial" w:cs="Arial"/>
          <w:b/>
          <w:bCs/>
        </w:rPr>
        <w:t>Critical Analysis and Evaluation</w:t>
      </w:r>
      <w:bookmarkEnd w:id="22"/>
    </w:p>
    <w:p w14:paraId="78C487F3"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23" w:name="_Toc221817380"/>
      <w:r w:rsidRPr="00733900">
        <w:rPr>
          <w:rFonts w:ascii="Arial" w:hAnsi="Arial" w:cs="Arial"/>
        </w:rPr>
        <w:t>The PESTLE analysis shows that Tesco operates in a complex macro-environment where external factors directly influence strategic and marketing decision-making. Political and legal pressures increase compliance costs and restrict flexibility, although Tesco’s scale helps mitigate these challenges compared to smaller competitors (Johnson et al., 2020).</w:t>
      </w:r>
      <w:bookmarkEnd w:id="23"/>
    </w:p>
    <w:p w14:paraId="26A07392"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24" w:name="_Toc221817381"/>
      <w:r w:rsidRPr="00733900">
        <w:rPr>
          <w:rFonts w:ascii="Arial" w:hAnsi="Arial" w:cs="Arial"/>
        </w:rPr>
        <w:t>From a marketing manager’s perspective, economic factors currently present the most significant challenge. Inflation and reduced disposable income have heightened price sensitivity, intensifying competition and compressing margins (BBC News, 2024). While value-based pricing and own-label products support customer retention, they create a strategic trade-off between affordability and profitability (Porter, 2008; Baines et al., 2019).</w:t>
      </w:r>
      <w:bookmarkEnd w:id="24"/>
    </w:p>
    <w:p w14:paraId="747E74B0"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25" w:name="_Toc221817382"/>
      <w:r w:rsidRPr="00733900">
        <w:rPr>
          <w:rFonts w:ascii="Arial" w:hAnsi="Arial" w:cs="Arial"/>
        </w:rPr>
        <w:t xml:space="preserve">Social and environmental expectations require Tesco to continually adapt its offerings and communications to maintain relevance and loyalty. In contrast, technological developments provide opportunities to enhance customer engagement through data-driven marketing. Marketing theory suggests that organisations that respond effectively to environmental change are more likely to achieve sustainable </w:t>
      </w:r>
      <w:r w:rsidRPr="00733900">
        <w:rPr>
          <w:rFonts w:ascii="Arial" w:hAnsi="Arial" w:cs="Arial"/>
        </w:rPr>
        <w:lastRenderedPageBreak/>
        <w:t>competitive advantage (Kotler and Armstrong, 2020; Jobber and Ellis-Chadwick, 2020).</w:t>
      </w:r>
      <w:bookmarkEnd w:id="25"/>
    </w:p>
    <w:p w14:paraId="2E81D6EE" w14:textId="779E474B" w:rsidR="00DB2190" w:rsidRPr="00733900" w:rsidRDefault="00DB2190" w:rsidP="00733900">
      <w:pPr>
        <w:spacing w:before="100" w:beforeAutospacing="1" w:after="100" w:afterAutospacing="1" w:line="360" w:lineRule="auto"/>
        <w:jc w:val="both"/>
        <w:outlineLvl w:val="1"/>
        <w:rPr>
          <w:rFonts w:ascii="Arial" w:hAnsi="Arial" w:cs="Arial"/>
          <w:b/>
          <w:bCs/>
        </w:rPr>
      </w:pPr>
      <w:bookmarkStart w:id="26" w:name="_Toc221817383"/>
      <w:r w:rsidRPr="00733900">
        <w:rPr>
          <w:rFonts w:ascii="Arial" w:hAnsi="Arial" w:cs="Arial"/>
          <w:b/>
          <w:bCs/>
        </w:rPr>
        <w:t>Recommendations</w:t>
      </w:r>
      <w:bookmarkEnd w:id="26"/>
    </w:p>
    <w:p w14:paraId="461F290D"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27" w:name="_Toc221817384"/>
      <w:r w:rsidRPr="00733900">
        <w:rPr>
          <w:rFonts w:ascii="Arial" w:hAnsi="Arial" w:cs="Arial"/>
        </w:rPr>
        <w:t>Based on the PESTLE analysis, the following recommendations are proposed:</w:t>
      </w:r>
      <w:bookmarkEnd w:id="27"/>
    </w:p>
    <w:p w14:paraId="3476A13A" w14:textId="77777777" w:rsidR="00DB2190" w:rsidRPr="00733900" w:rsidRDefault="00DB2190" w:rsidP="00733900">
      <w:pPr>
        <w:pStyle w:val="ListParagraph"/>
        <w:numPr>
          <w:ilvl w:val="0"/>
          <w:numId w:val="9"/>
        </w:numPr>
        <w:spacing w:before="100" w:beforeAutospacing="1" w:after="100" w:afterAutospacing="1" w:line="360" w:lineRule="auto"/>
        <w:jc w:val="both"/>
        <w:outlineLvl w:val="1"/>
        <w:rPr>
          <w:rFonts w:ascii="Arial" w:hAnsi="Arial" w:cs="Arial"/>
        </w:rPr>
      </w:pPr>
      <w:bookmarkStart w:id="28" w:name="_Toc221817385"/>
      <w:r w:rsidRPr="00733900">
        <w:rPr>
          <w:rFonts w:ascii="Arial" w:hAnsi="Arial" w:cs="Arial"/>
          <w:b/>
          <w:bCs/>
        </w:rPr>
        <w:t>Expand value-based own-label products</w:t>
      </w:r>
      <w:r w:rsidRPr="00733900">
        <w:rPr>
          <w:rFonts w:ascii="Arial" w:hAnsi="Arial" w:cs="Arial"/>
        </w:rPr>
        <w:t xml:space="preserve"> to respond to continued economic pressure and price sensitivity while maintaining greater margin control (Baines et al., 2019).</w:t>
      </w:r>
      <w:bookmarkEnd w:id="28"/>
    </w:p>
    <w:p w14:paraId="46140F2D" w14:textId="77777777" w:rsidR="00DB2190" w:rsidRPr="00733900" w:rsidRDefault="00DB2190" w:rsidP="00733900">
      <w:pPr>
        <w:pStyle w:val="ListParagraph"/>
        <w:numPr>
          <w:ilvl w:val="0"/>
          <w:numId w:val="9"/>
        </w:numPr>
        <w:spacing w:before="100" w:beforeAutospacing="1" w:after="100" w:afterAutospacing="1" w:line="360" w:lineRule="auto"/>
        <w:jc w:val="both"/>
        <w:outlineLvl w:val="1"/>
        <w:rPr>
          <w:rFonts w:ascii="Arial" w:hAnsi="Arial" w:cs="Arial"/>
        </w:rPr>
      </w:pPr>
      <w:bookmarkStart w:id="29" w:name="_Toc221817386"/>
      <w:r w:rsidRPr="00733900">
        <w:rPr>
          <w:rFonts w:ascii="Arial" w:hAnsi="Arial" w:cs="Arial"/>
          <w:b/>
          <w:bCs/>
        </w:rPr>
        <w:t>Strengthen data security and personalised marketing</w:t>
      </w:r>
      <w:r w:rsidRPr="00733900">
        <w:rPr>
          <w:rFonts w:ascii="Arial" w:hAnsi="Arial" w:cs="Arial"/>
        </w:rPr>
        <w:t xml:space="preserve"> by investing in cybersecurity and further developing Clubcard-based promotions to enhance customer trust and loyalty (Kotler and Keller, 2016; Laudon and Traver, 2021).</w:t>
      </w:r>
      <w:bookmarkEnd w:id="29"/>
    </w:p>
    <w:p w14:paraId="0A971AC6" w14:textId="77777777" w:rsidR="00DB2190" w:rsidRPr="00733900" w:rsidRDefault="00DB2190" w:rsidP="00733900">
      <w:pPr>
        <w:pStyle w:val="ListParagraph"/>
        <w:numPr>
          <w:ilvl w:val="0"/>
          <w:numId w:val="9"/>
        </w:numPr>
        <w:spacing w:before="100" w:beforeAutospacing="1" w:after="100" w:afterAutospacing="1" w:line="360" w:lineRule="auto"/>
        <w:jc w:val="both"/>
        <w:outlineLvl w:val="1"/>
        <w:rPr>
          <w:rFonts w:ascii="Arial" w:hAnsi="Arial" w:cs="Arial"/>
        </w:rPr>
      </w:pPr>
      <w:bookmarkStart w:id="30" w:name="_Toc221817387"/>
      <w:r w:rsidRPr="00733900">
        <w:rPr>
          <w:rFonts w:ascii="Arial" w:hAnsi="Arial" w:cs="Arial"/>
          <w:b/>
          <w:bCs/>
        </w:rPr>
        <w:t>Enhance sustainability-focused marketing communications</w:t>
      </w:r>
      <w:r w:rsidRPr="00733900">
        <w:rPr>
          <w:rFonts w:ascii="Arial" w:hAnsi="Arial" w:cs="Arial"/>
        </w:rPr>
        <w:t xml:space="preserve"> to improve brand differentiation and align with evolving consumer and regulatory expectations (Peattie and Belz, 2010; Tesco PLC, 2024).</w:t>
      </w:r>
      <w:bookmarkEnd w:id="30"/>
    </w:p>
    <w:p w14:paraId="0BB4CED3" w14:textId="000DC729" w:rsidR="00DB2190" w:rsidRPr="00733900" w:rsidRDefault="00DB2190" w:rsidP="00733900">
      <w:pPr>
        <w:spacing w:before="100" w:beforeAutospacing="1" w:after="100" w:afterAutospacing="1" w:line="360" w:lineRule="auto"/>
        <w:jc w:val="both"/>
        <w:outlineLvl w:val="1"/>
        <w:rPr>
          <w:rFonts w:ascii="Arial" w:hAnsi="Arial" w:cs="Arial"/>
          <w:b/>
          <w:bCs/>
        </w:rPr>
      </w:pPr>
      <w:bookmarkStart w:id="31" w:name="_Toc221817388"/>
      <w:r w:rsidRPr="00733900">
        <w:rPr>
          <w:rFonts w:ascii="Arial" w:hAnsi="Arial" w:cs="Arial"/>
          <w:b/>
          <w:bCs/>
        </w:rPr>
        <w:t>Conclusion</w:t>
      </w:r>
      <w:bookmarkEnd w:id="31"/>
    </w:p>
    <w:p w14:paraId="326F1DB7"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32" w:name="_Toc221817389"/>
      <w:r w:rsidRPr="00733900">
        <w:rPr>
          <w:rFonts w:ascii="Arial" w:hAnsi="Arial" w:cs="Arial"/>
        </w:rPr>
        <w:t>This report has applied a PESTLE analysis to examine the macro-environmental factors influencing Tesco’s strategic and marketing decision-making within the UK grocery sector. The analysis highlights that Tesco operates in a challenging environment shaped by political regulation, economic uncertainty, technological advancement, and increasing social, legal, and environmental expectations (Blythe and Martin, 2019; Jobber and Ellis-Chadwick, 2020).</w:t>
      </w:r>
      <w:bookmarkEnd w:id="32"/>
    </w:p>
    <w:p w14:paraId="6BD3BDA2" w14:textId="77777777" w:rsidR="00DB2190" w:rsidRPr="00733900" w:rsidRDefault="00DB2190" w:rsidP="00733900">
      <w:pPr>
        <w:spacing w:before="100" w:beforeAutospacing="1" w:after="100" w:afterAutospacing="1" w:line="360" w:lineRule="auto"/>
        <w:jc w:val="both"/>
        <w:outlineLvl w:val="1"/>
        <w:rPr>
          <w:rFonts w:ascii="Arial" w:hAnsi="Arial" w:cs="Arial"/>
        </w:rPr>
      </w:pPr>
      <w:bookmarkStart w:id="33" w:name="_Toc221817390"/>
      <w:r w:rsidRPr="00733900">
        <w:rPr>
          <w:rFonts w:ascii="Arial" w:hAnsi="Arial" w:cs="Arial"/>
        </w:rPr>
        <w:t>From a marketing management perspective, balancing affordability with investment in digital innovation and sustainability is essential for long-term success. Continued technological investment supports customer experience and data-driven marketing, while strong sustainability and legal compliance protect brand reputation and trust (Kotler and Keller, 2016; Laudon and Traver, 2021). Overall, situational analysis is a vital strategic tool that supports informed decision-making and sustainable competitive advantage (Johnson et al., 2020).</w:t>
      </w:r>
      <w:bookmarkEnd w:id="33"/>
    </w:p>
    <w:p w14:paraId="5BC55410" w14:textId="66F2DF5C" w:rsidR="00BE00A8" w:rsidRPr="00733900" w:rsidRDefault="00BE00A8" w:rsidP="00733900">
      <w:pPr>
        <w:spacing w:before="100" w:beforeAutospacing="1" w:after="100" w:afterAutospacing="1" w:line="360" w:lineRule="auto"/>
        <w:jc w:val="both"/>
        <w:outlineLvl w:val="1"/>
        <w:rPr>
          <w:rFonts w:ascii="Arial" w:eastAsia="Times New Roman" w:hAnsi="Arial" w:cs="Arial"/>
          <w:b/>
          <w:bCs/>
          <w:kern w:val="0"/>
          <w:lang w:eastAsia="en-GB"/>
          <w14:ligatures w14:val="none"/>
        </w:rPr>
      </w:pPr>
      <w:bookmarkStart w:id="34" w:name="_Toc221817391"/>
      <w:r w:rsidRPr="00733900">
        <w:rPr>
          <w:rFonts w:ascii="Arial" w:eastAsia="Times New Roman" w:hAnsi="Arial" w:cs="Arial"/>
          <w:b/>
          <w:bCs/>
          <w:kern w:val="0"/>
          <w:lang w:eastAsia="en-GB"/>
          <w14:ligatures w14:val="none"/>
        </w:rPr>
        <w:t>References</w:t>
      </w:r>
      <w:bookmarkEnd w:id="34"/>
      <w:r w:rsidRPr="00733900">
        <w:rPr>
          <w:rFonts w:ascii="Arial" w:eastAsia="Times New Roman" w:hAnsi="Arial" w:cs="Arial"/>
          <w:b/>
          <w:bCs/>
          <w:kern w:val="0"/>
          <w:lang w:eastAsia="en-GB"/>
          <w14:ligatures w14:val="none"/>
        </w:rPr>
        <w:t xml:space="preserve"> </w:t>
      </w:r>
    </w:p>
    <w:p w14:paraId="10DCC617" w14:textId="6F817ADF"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lastRenderedPageBreak/>
        <w:t xml:space="preserve">Baines, P., Fill, C. and Page, K. (2019) </w:t>
      </w:r>
      <w:r w:rsidRPr="00733900">
        <w:rPr>
          <w:rFonts w:ascii="Arial" w:eastAsia="Times New Roman" w:hAnsi="Arial" w:cs="Arial"/>
          <w:i/>
          <w:iCs/>
          <w:kern w:val="0"/>
          <w:lang w:eastAsia="en-GB"/>
          <w14:ligatures w14:val="none"/>
        </w:rPr>
        <w:t>Marketing</w:t>
      </w:r>
      <w:r w:rsidRPr="00733900">
        <w:rPr>
          <w:rFonts w:ascii="Arial" w:eastAsia="Times New Roman" w:hAnsi="Arial" w:cs="Arial"/>
          <w:kern w:val="0"/>
          <w:lang w:eastAsia="en-GB"/>
          <w14:ligatures w14:val="none"/>
        </w:rPr>
        <w:t>. 5th edn. Oxford: Oxford University Press.</w:t>
      </w:r>
      <w:r w:rsidRPr="00733900">
        <w:rPr>
          <w:rFonts w:ascii="Arial" w:eastAsia="Times New Roman" w:hAnsi="Arial" w:cs="Arial"/>
          <w:kern w:val="0"/>
          <w:lang w:eastAsia="en-GB"/>
          <w14:ligatures w14:val="none"/>
        </w:rPr>
        <w:br/>
        <w:t>Available at: https://global.oup.com/academic/product/marketing</w:t>
      </w:r>
    </w:p>
    <w:p w14:paraId="00A8261E" w14:textId="66D22A74"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t xml:space="preserve">BBC News (2024) </w:t>
      </w:r>
      <w:r w:rsidRPr="00733900">
        <w:rPr>
          <w:rFonts w:ascii="Arial" w:eastAsia="Times New Roman" w:hAnsi="Arial" w:cs="Arial"/>
          <w:i/>
          <w:iCs/>
          <w:kern w:val="0"/>
          <w:lang w:eastAsia="en-GB"/>
          <w14:ligatures w14:val="none"/>
        </w:rPr>
        <w:t>UK retail and inflation analysis</w:t>
      </w:r>
      <w:r w:rsidRPr="00733900">
        <w:rPr>
          <w:rFonts w:ascii="Arial" w:eastAsia="Times New Roman" w:hAnsi="Arial" w:cs="Arial"/>
          <w:kern w:val="0"/>
          <w:lang w:eastAsia="en-GB"/>
          <w14:ligatures w14:val="none"/>
        </w:rPr>
        <w:t>.</w:t>
      </w:r>
      <w:r w:rsidRPr="00733900">
        <w:rPr>
          <w:rFonts w:ascii="Arial" w:eastAsia="Times New Roman" w:hAnsi="Arial" w:cs="Arial"/>
          <w:kern w:val="0"/>
          <w:lang w:eastAsia="en-GB"/>
          <w14:ligatures w14:val="none"/>
        </w:rPr>
        <w:br/>
        <w:t xml:space="preserve">Available at: </w:t>
      </w:r>
      <w:hyperlink r:id="rId10" w:tgtFrame="_new" w:history="1">
        <w:r w:rsidRPr="00733900">
          <w:rPr>
            <w:rFonts w:ascii="Arial" w:eastAsia="Times New Roman" w:hAnsi="Arial" w:cs="Arial"/>
            <w:color w:val="0000FF"/>
            <w:kern w:val="0"/>
            <w:u w:val="single"/>
            <w:lang w:eastAsia="en-GB"/>
            <w14:ligatures w14:val="none"/>
          </w:rPr>
          <w:t>https://www.bbc.co.uk/news/business</w:t>
        </w:r>
      </w:hyperlink>
    </w:p>
    <w:p w14:paraId="4DCB047F" w14:textId="6DE5C927"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t xml:space="preserve">Blythe, J. and Martin, J. (2019) </w:t>
      </w:r>
      <w:r w:rsidRPr="00733900">
        <w:rPr>
          <w:rFonts w:ascii="Arial" w:eastAsia="Times New Roman" w:hAnsi="Arial" w:cs="Arial"/>
          <w:i/>
          <w:iCs/>
          <w:kern w:val="0"/>
          <w:lang w:eastAsia="en-GB"/>
          <w14:ligatures w14:val="none"/>
        </w:rPr>
        <w:t>Essentials of Marketing</w:t>
      </w:r>
      <w:r w:rsidRPr="00733900">
        <w:rPr>
          <w:rFonts w:ascii="Arial" w:eastAsia="Times New Roman" w:hAnsi="Arial" w:cs="Arial"/>
          <w:kern w:val="0"/>
          <w:lang w:eastAsia="en-GB"/>
          <w14:ligatures w14:val="none"/>
        </w:rPr>
        <w:t>. 7th edn. Harlow: Pearson.</w:t>
      </w:r>
      <w:r w:rsidRPr="00733900">
        <w:rPr>
          <w:rFonts w:ascii="Arial" w:eastAsia="Times New Roman" w:hAnsi="Arial" w:cs="Arial"/>
          <w:kern w:val="0"/>
          <w:lang w:eastAsia="en-GB"/>
          <w14:ligatures w14:val="none"/>
        </w:rPr>
        <w:br/>
        <w:t>Available at: https://www.pearson.com/en-gb/subject-catalog</w:t>
      </w:r>
    </w:p>
    <w:p w14:paraId="00784D70" w14:textId="106B35CF"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t xml:space="preserve">Chaffey, D. and Ellis-Chadwick, F. (2019) </w:t>
      </w:r>
      <w:r w:rsidRPr="00733900">
        <w:rPr>
          <w:rFonts w:ascii="Arial" w:eastAsia="Times New Roman" w:hAnsi="Arial" w:cs="Arial"/>
          <w:i/>
          <w:iCs/>
          <w:kern w:val="0"/>
          <w:lang w:eastAsia="en-GB"/>
          <w14:ligatures w14:val="none"/>
        </w:rPr>
        <w:t>Digital Marketing</w:t>
      </w:r>
      <w:r w:rsidRPr="00733900">
        <w:rPr>
          <w:rFonts w:ascii="Arial" w:eastAsia="Times New Roman" w:hAnsi="Arial" w:cs="Arial"/>
          <w:kern w:val="0"/>
          <w:lang w:eastAsia="en-GB"/>
          <w14:ligatures w14:val="none"/>
        </w:rPr>
        <w:t>. Harlow: Pearson.</w:t>
      </w:r>
      <w:r w:rsidRPr="00733900">
        <w:rPr>
          <w:rFonts w:ascii="Arial" w:eastAsia="Times New Roman" w:hAnsi="Arial" w:cs="Arial"/>
          <w:kern w:val="0"/>
          <w:lang w:eastAsia="en-GB"/>
          <w14:ligatures w14:val="none"/>
        </w:rPr>
        <w:br/>
        <w:t>Available at: https://www.pearson.com/en-gb/subject-catalog</w:t>
      </w:r>
    </w:p>
    <w:p w14:paraId="223F83B4" w14:textId="48649C2B"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t xml:space="preserve">Dawson, J. (2015) </w:t>
      </w:r>
      <w:r w:rsidRPr="00733900">
        <w:rPr>
          <w:rFonts w:ascii="Arial" w:eastAsia="Times New Roman" w:hAnsi="Arial" w:cs="Arial"/>
          <w:i/>
          <w:iCs/>
          <w:kern w:val="0"/>
          <w:lang w:eastAsia="en-GB"/>
          <w14:ligatures w14:val="none"/>
        </w:rPr>
        <w:t>The Marketing Environment</w:t>
      </w:r>
      <w:r w:rsidRPr="00733900">
        <w:rPr>
          <w:rFonts w:ascii="Arial" w:eastAsia="Times New Roman" w:hAnsi="Arial" w:cs="Arial"/>
          <w:kern w:val="0"/>
          <w:lang w:eastAsia="en-GB"/>
          <w14:ligatures w14:val="none"/>
        </w:rPr>
        <w:t>. London: Routledge.</w:t>
      </w:r>
      <w:r w:rsidRPr="00733900">
        <w:rPr>
          <w:rFonts w:ascii="Arial" w:eastAsia="Times New Roman" w:hAnsi="Arial" w:cs="Arial"/>
          <w:kern w:val="0"/>
          <w:lang w:eastAsia="en-GB"/>
          <w14:ligatures w14:val="none"/>
        </w:rPr>
        <w:br/>
        <w:t xml:space="preserve">Available at: </w:t>
      </w:r>
      <w:hyperlink r:id="rId11" w:tgtFrame="_new" w:history="1">
        <w:r w:rsidRPr="00733900">
          <w:rPr>
            <w:rFonts w:ascii="Arial" w:eastAsia="Times New Roman" w:hAnsi="Arial" w:cs="Arial"/>
            <w:color w:val="0000FF"/>
            <w:kern w:val="0"/>
            <w:u w:val="single"/>
            <w:lang w:eastAsia="en-GB"/>
            <w14:ligatures w14:val="none"/>
          </w:rPr>
          <w:t>https://www.routledge.com</w:t>
        </w:r>
      </w:hyperlink>
    </w:p>
    <w:p w14:paraId="79AC44D7" w14:textId="1D64F72D"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t xml:space="preserve">Dibb, S., Simkin, L., Pride, W. and Ferrell, O. (2019) </w:t>
      </w:r>
      <w:r w:rsidRPr="00733900">
        <w:rPr>
          <w:rFonts w:ascii="Arial" w:eastAsia="Times New Roman" w:hAnsi="Arial" w:cs="Arial"/>
          <w:i/>
          <w:iCs/>
          <w:kern w:val="0"/>
          <w:lang w:eastAsia="en-GB"/>
          <w14:ligatures w14:val="none"/>
        </w:rPr>
        <w:t>Marketing Concepts and Strategies</w:t>
      </w:r>
      <w:r w:rsidRPr="00733900">
        <w:rPr>
          <w:rFonts w:ascii="Arial" w:eastAsia="Times New Roman" w:hAnsi="Arial" w:cs="Arial"/>
          <w:kern w:val="0"/>
          <w:lang w:eastAsia="en-GB"/>
          <w14:ligatures w14:val="none"/>
        </w:rPr>
        <w:t>. Boston: Cengage Learning.</w:t>
      </w:r>
      <w:r w:rsidRPr="00733900">
        <w:rPr>
          <w:rFonts w:ascii="Arial" w:eastAsia="Times New Roman" w:hAnsi="Arial" w:cs="Arial"/>
          <w:kern w:val="0"/>
          <w:lang w:eastAsia="en-GB"/>
          <w14:ligatures w14:val="none"/>
        </w:rPr>
        <w:br/>
        <w:t xml:space="preserve">Available at: </w:t>
      </w:r>
      <w:hyperlink r:id="rId12" w:tgtFrame="_new" w:history="1">
        <w:r w:rsidRPr="00733900">
          <w:rPr>
            <w:rFonts w:ascii="Arial" w:eastAsia="Times New Roman" w:hAnsi="Arial" w:cs="Arial"/>
            <w:color w:val="0000FF"/>
            <w:kern w:val="0"/>
            <w:u w:val="single"/>
            <w:lang w:eastAsia="en-GB"/>
            <w14:ligatures w14:val="none"/>
          </w:rPr>
          <w:t>https://www.cengage.uk</w:t>
        </w:r>
      </w:hyperlink>
    </w:p>
    <w:p w14:paraId="60D9D724" w14:textId="12A166E6"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t xml:space="preserve">Hooley, G. and Nicoulaud, B. (2020) </w:t>
      </w:r>
      <w:r w:rsidRPr="00733900">
        <w:rPr>
          <w:rFonts w:ascii="Arial" w:eastAsia="Times New Roman" w:hAnsi="Arial" w:cs="Arial"/>
          <w:i/>
          <w:iCs/>
          <w:kern w:val="0"/>
          <w:lang w:eastAsia="en-GB"/>
          <w14:ligatures w14:val="none"/>
        </w:rPr>
        <w:t>Marketing Strategy and Competitive Positioning</w:t>
      </w:r>
      <w:r w:rsidRPr="00733900">
        <w:rPr>
          <w:rFonts w:ascii="Arial" w:eastAsia="Times New Roman" w:hAnsi="Arial" w:cs="Arial"/>
          <w:kern w:val="0"/>
          <w:lang w:eastAsia="en-GB"/>
          <w14:ligatures w14:val="none"/>
        </w:rPr>
        <w:t>. Harlow: Pearson.</w:t>
      </w:r>
      <w:r w:rsidRPr="00733900">
        <w:rPr>
          <w:rFonts w:ascii="Arial" w:eastAsia="Times New Roman" w:hAnsi="Arial" w:cs="Arial"/>
          <w:kern w:val="0"/>
          <w:lang w:eastAsia="en-GB"/>
          <w14:ligatures w14:val="none"/>
        </w:rPr>
        <w:br/>
        <w:t>Available at: https://www.pearson.com/en-gb/subject-catalog</w:t>
      </w:r>
    </w:p>
    <w:p w14:paraId="201F5905" w14:textId="41A42DCC"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t xml:space="preserve">Jobber, D. and Ellis-Chadwick, F. (2020) </w:t>
      </w:r>
      <w:r w:rsidRPr="00733900">
        <w:rPr>
          <w:rFonts w:ascii="Arial" w:eastAsia="Times New Roman" w:hAnsi="Arial" w:cs="Arial"/>
          <w:i/>
          <w:iCs/>
          <w:kern w:val="0"/>
          <w:lang w:eastAsia="en-GB"/>
          <w14:ligatures w14:val="none"/>
        </w:rPr>
        <w:t>Principles and Practice of Marketing</w:t>
      </w:r>
      <w:r w:rsidRPr="00733900">
        <w:rPr>
          <w:rFonts w:ascii="Arial" w:eastAsia="Times New Roman" w:hAnsi="Arial" w:cs="Arial"/>
          <w:kern w:val="0"/>
          <w:lang w:eastAsia="en-GB"/>
          <w14:ligatures w14:val="none"/>
        </w:rPr>
        <w:t>. 9th edn. London: McGraw-Hill Education.</w:t>
      </w:r>
      <w:r w:rsidRPr="00733900">
        <w:rPr>
          <w:rFonts w:ascii="Arial" w:eastAsia="Times New Roman" w:hAnsi="Arial" w:cs="Arial"/>
          <w:kern w:val="0"/>
          <w:lang w:eastAsia="en-GB"/>
          <w14:ligatures w14:val="none"/>
        </w:rPr>
        <w:br/>
        <w:t xml:space="preserve">Available at: </w:t>
      </w:r>
      <w:hyperlink r:id="rId13" w:tgtFrame="_new" w:history="1">
        <w:r w:rsidRPr="00733900">
          <w:rPr>
            <w:rFonts w:ascii="Arial" w:eastAsia="Times New Roman" w:hAnsi="Arial" w:cs="Arial"/>
            <w:color w:val="0000FF"/>
            <w:kern w:val="0"/>
            <w:u w:val="single"/>
            <w:lang w:eastAsia="en-GB"/>
            <w14:ligatures w14:val="none"/>
          </w:rPr>
          <w:t>https://www.mheducation.co.uk</w:t>
        </w:r>
      </w:hyperlink>
    </w:p>
    <w:p w14:paraId="6DA6DF98" w14:textId="47FE7CDB"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t xml:space="preserve">Johnson, G., Scholes, K. and Whittington, R. (2020) </w:t>
      </w:r>
      <w:r w:rsidRPr="00733900">
        <w:rPr>
          <w:rFonts w:ascii="Arial" w:eastAsia="Times New Roman" w:hAnsi="Arial" w:cs="Arial"/>
          <w:i/>
          <w:iCs/>
          <w:kern w:val="0"/>
          <w:lang w:eastAsia="en-GB"/>
          <w14:ligatures w14:val="none"/>
        </w:rPr>
        <w:t>Exploring Strategy</w:t>
      </w:r>
      <w:r w:rsidRPr="00733900">
        <w:rPr>
          <w:rFonts w:ascii="Arial" w:eastAsia="Times New Roman" w:hAnsi="Arial" w:cs="Arial"/>
          <w:kern w:val="0"/>
          <w:lang w:eastAsia="en-GB"/>
          <w14:ligatures w14:val="none"/>
        </w:rPr>
        <w:t>. Harlow: Pearson.</w:t>
      </w:r>
      <w:r w:rsidRPr="00733900">
        <w:rPr>
          <w:rFonts w:ascii="Arial" w:eastAsia="Times New Roman" w:hAnsi="Arial" w:cs="Arial"/>
          <w:kern w:val="0"/>
          <w:lang w:eastAsia="en-GB"/>
          <w14:ligatures w14:val="none"/>
        </w:rPr>
        <w:br/>
        <w:t>Available at: https://www.pearson.com/en-gb/subject-catalog</w:t>
      </w:r>
    </w:p>
    <w:p w14:paraId="35DCAEB3" w14:textId="5EC1C786"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t xml:space="preserve">Kotler, P. and Armstrong, G. (2020) </w:t>
      </w:r>
      <w:r w:rsidRPr="00733900">
        <w:rPr>
          <w:rFonts w:ascii="Arial" w:eastAsia="Times New Roman" w:hAnsi="Arial" w:cs="Arial"/>
          <w:i/>
          <w:iCs/>
          <w:kern w:val="0"/>
          <w:lang w:eastAsia="en-GB"/>
          <w14:ligatures w14:val="none"/>
        </w:rPr>
        <w:t>Principles of Marketing</w:t>
      </w:r>
      <w:r w:rsidRPr="00733900">
        <w:rPr>
          <w:rFonts w:ascii="Arial" w:eastAsia="Times New Roman" w:hAnsi="Arial" w:cs="Arial"/>
          <w:kern w:val="0"/>
          <w:lang w:eastAsia="en-GB"/>
          <w14:ligatures w14:val="none"/>
        </w:rPr>
        <w:t>. 18th edn. Harlow: Pearson.</w:t>
      </w:r>
      <w:r w:rsidRPr="00733900">
        <w:rPr>
          <w:rFonts w:ascii="Arial" w:eastAsia="Times New Roman" w:hAnsi="Arial" w:cs="Arial"/>
          <w:kern w:val="0"/>
          <w:lang w:eastAsia="en-GB"/>
          <w14:ligatures w14:val="none"/>
        </w:rPr>
        <w:br/>
        <w:t>Available at: https://www.pearson.com/en-gb/subject-catalog</w:t>
      </w:r>
    </w:p>
    <w:p w14:paraId="6E26D2D4" w14:textId="2C26E9AA"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t xml:space="preserve">Kotler, P. and Keller, K.L. (2016) </w:t>
      </w:r>
      <w:r w:rsidRPr="00733900">
        <w:rPr>
          <w:rFonts w:ascii="Arial" w:eastAsia="Times New Roman" w:hAnsi="Arial" w:cs="Arial"/>
          <w:i/>
          <w:iCs/>
          <w:kern w:val="0"/>
          <w:lang w:eastAsia="en-GB"/>
          <w14:ligatures w14:val="none"/>
        </w:rPr>
        <w:t>Marketing Management</w:t>
      </w:r>
      <w:r w:rsidRPr="00733900">
        <w:rPr>
          <w:rFonts w:ascii="Arial" w:eastAsia="Times New Roman" w:hAnsi="Arial" w:cs="Arial"/>
          <w:kern w:val="0"/>
          <w:lang w:eastAsia="en-GB"/>
          <w14:ligatures w14:val="none"/>
        </w:rPr>
        <w:t>. 15th edn. Harlow: Pearson.</w:t>
      </w:r>
      <w:r w:rsidRPr="00733900">
        <w:rPr>
          <w:rFonts w:ascii="Arial" w:eastAsia="Times New Roman" w:hAnsi="Arial" w:cs="Arial"/>
          <w:kern w:val="0"/>
          <w:lang w:eastAsia="en-GB"/>
          <w14:ligatures w14:val="none"/>
        </w:rPr>
        <w:br/>
        <w:t xml:space="preserve">Available at: </w:t>
      </w:r>
      <w:hyperlink r:id="rId14" w:tgtFrame="_new" w:history="1">
        <w:r w:rsidRPr="00733900">
          <w:rPr>
            <w:rFonts w:ascii="Arial" w:eastAsia="Times New Roman" w:hAnsi="Arial" w:cs="Arial"/>
            <w:color w:val="0000FF"/>
            <w:kern w:val="0"/>
            <w:u w:val="single"/>
            <w:lang w:eastAsia="en-GB"/>
            <w14:ligatures w14:val="none"/>
          </w:rPr>
          <w:t>https://www.pearson.com</w:t>
        </w:r>
      </w:hyperlink>
    </w:p>
    <w:p w14:paraId="62730BFF" w14:textId="0722AA33"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t xml:space="preserve">Laudon, K.C. and Traver, C.G. (2021) </w:t>
      </w:r>
      <w:r w:rsidRPr="00733900">
        <w:rPr>
          <w:rFonts w:ascii="Arial" w:eastAsia="Times New Roman" w:hAnsi="Arial" w:cs="Arial"/>
          <w:i/>
          <w:iCs/>
          <w:kern w:val="0"/>
          <w:lang w:eastAsia="en-GB"/>
          <w14:ligatures w14:val="none"/>
        </w:rPr>
        <w:t>E-commerce: Business, Technology, Society</w:t>
      </w:r>
      <w:r w:rsidRPr="00733900">
        <w:rPr>
          <w:rFonts w:ascii="Arial" w:eastAsia="Times New Roman" w:hAnsi="Arial" w:cs="Arial"/>
          <w:kern w:val="0"/>
          <w:lang w:eastAsia="en-GB"/>
          <w14:ligatures w14:val="none"/>
        </w:rPr>
        <w:t>. 16th edn. Harlow: Pearson.</w:t>
      </w:r>
      <w:r w:rsidRPr="00733900">
        <w:rPr>
          <w:rFonts w:ascii="Arial" w:eastAsia="Times New Roman" w:hAnsi="Arial" w:cs="Arial"/>
          <w:kern w:val="0"/>
          <w:lang w:eastAsia="en-GB"/>
          <w14:ligatures w14:val="none"/>
        </w:rPr>
        <w:br/>
        <w:t xml:space="preserve">Available at: </w:t>
      </w:r>
      <w:hyperlink r:id="rId15" w:tgtFrame="_new" w:history="1">
        <w:r w:rsidRPr="00733900">
          <w:rPr>
            <w:rFonts w:ascii="Arial" w:eastAsia="Times New Roman" w:hAnsi="Arial" w:cs="Arial"/>
            <w:color w:val="0000FF"/>
            <w:kern w:val="0"/>
            <w:u w:val="single"/>
            <w:lang w:eastAsia="en-GB"/>
            <w14:ligatures w14:val="none"/>
          </w:rPr>
          <w:t>https://www.pearson.com</w:t>
        </w:r>
      </w:hyperlink>
    </w:p>
    <w:p w14:paraId="72A00E93" w14:textId="7891576D"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lastRenderedPageBreak/>
        <w:t xml:space="preserve">Mintel (2023) </w:t>
      </w:r>
      <w:r w:rsidRPr="00733900">
        <w:rPr>
          <w:rFonts w:ascii="Arial" w:eastAsia="Times New Roman" w:hAnsi="Arial" w:cs="Arial"/>
          <w:i/>
          <w:iCs/>
          <w:kern w:val="0"/>
          <w:lang w:eastAsia="en-GB"/>
          <w14:ligatures w14:val="none"/>
        </w:rPr>
        <w:t>UK Grocery Market Report</w:t>
      </w:r>
      <w:r w:rsidRPr="00733900">
        <w:rPr>
          <w:rFonts w:ascii="Arial" w:eastAsia="Times New Roman" w:hAnsi="Arial" w:cs="Arial"/>
          <w:kern w:val="0"/>
          <w:lang w:eastAsia="en-GB"/>
          <w14:ligatures w14:val="none"/>
        </w:rPr>
        <w:t>.</w:t>
      </w:r>
      <w:r w:rsidRPr="00733900">
        <w:rPr>
          <w:rFonts w:ascii="Arial" w:eastAsia="Times New Roman" w:hAnsi="Arial" w:cs="Arial"/>
          <w:kern w:val="0"/>
          <w:lang w:eastAsia="en-GB"/>
          <w14:ligatures w14:val="none"/>
        </w:rPr>
        <w:br/>
        <w:t xml:space="preserve">Available at: </w:t>
      </w:r>
      <w:hyperlink r:id="rId16" w:tgtFrame="_new" w:history="1">
        <w:r w:rsidRPr="00733900">
          <w:rPr>
            <w:rFonts w:ascii="Arial" w:eastAsia="Times New Roman" w:hAnsi="Arial" w:cs="Arial"/>
            <w:color w:val="0000FF"/>
            <w:kern w:val="0"/>
            <w:u w:val="single"/>
            <w:lang w:eastAsia="en-GB"/>
            <w14:ligatures w14:val="none"/>
          </w:rPr>
          <w:t>https://www.mintel.com</w:t>
        </w:r>
      </w:hyperlink>
    </w:p>
    <w:p w14:paraId="015C0E8C" w14:textId="5D55807B"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t xml:space="preserve">Peattie, K. and Belz, F.M. (2010) ‘Sustainability marketing—An innovative conception of marketing’, </w:t>
      </w:r>
      <w:r w:rsidRPr="00733900">
        <w:rPr>
          <w:rFonts w:ascii="Arial" w:eastAsia="Times New Roman" w:hAnsi="Arial" w:cs="Arial"/>
          <w:i/>
          <w:iCs/>
          <w:kern w:val="0"/>
          <w:lang w:eastAsia="en-GB"/>
          <w14:ligatures w14:val="none"/>
        </w:rPr>
        <w:t>Marketing Review</w:t>
      </w:r>
      <w:r w:rsidRPr="00733900">
        <w:rPr>
          <w:rFonts w:ascii="Arial" w:eastAsia="Times New Roman" w:hAnsi="Arial" w:cs="Arial"/>
          <w:kern w:val="0"/>
          <w:lang w:eastAsia="en-GB"/>
          <w14:ligatures w14:val="none"/>
        </w:rPr>
        <w:t>, 10(3), pp. 201–219.</w:t>
      </w:r>
      <w:r w:rsidRPr="00733900">
        <w:rPr>
          <w:rFonts w:ascii="Arial" w:eastAsia="Times New Roman" w:hAnsi="Arial" w:cs="Arial"/>
          <w:kern w:val="0"/>
          <w:lang w:eastAsia="en-GB"/>
          <w14:ligatures w14:val="none"/>
        </w:rPr>
        <w:br/>
        <w:t>Available at: https://doi.org/10.1362/146934710X534316</w:t>
      </w:r>
    </w:p>
    <w:p w14:paraId="43A6CF20" w14:textId="4A2FFB4F"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t xml:space="preserve">Porter, M.E. (2008) </w:t>
      </w:r>
      <w:r w:rsidRPr="00733900">
        <w:rPr>
          <w:rFonts w:ascii="Arial" w:eastAsia="Times New Roman" w:hAnsi="Arial" w:cs="Arial"/>
          <w:i/>
          <w:iCs/>
          <w:kern w:val="0"/>
          <w:lang w:eastAsia="en-GB"/>
          <w14:ligatures w14:val="none"/>
        </w:rPr>
        <w:t>Competitive Strategy</w:t>
      </w:r>
      <w:r w:rsidRPr="00733900">
        <w:rPr>
          <w:rFonts w:ascii="Arial" w:eastAsia="Times New Roman" w:hAnsi="Arial" w:cs="Arial"/>
          <w:kern w:val="0"/>
          <w:lang w:eastAsia="en-GB"/>
          <w14:ligatures w14:val="none"/>
        </w:rPr>
        <w:t>. New York: Free Press.</w:t>
      </w:r>
      <w:r w:rsidRPr="00733900">
        <w:rPr>
          <w:rFonts w:ascii="Arial" w:eastAsia="Times New Roman" w:hAnsi="Arial" w:cs="Arial"/>
          <w:kern w:val="0"/>
          <w:lang w:eastAsia="en-GB"/>
          <w14:ligatures w14:val="none"/>
        </w:rPr>
        <w:br/>
        <w:t xml:space="preserve">Available at: </w:t>
      </w:r>
      <w:hyperlink r:id="rId17" w:tgtFrame="_new" w:history="1">
        <w:r w:rsidRPr="00733900">
          <w:rPr>
            <w:rFonts w:ascii="Arial" w:eastAsia="Times New Roman" w:hAnsi="Arial" w:cs="Arial"/>
            <w:color w:val="0000FF"/>
            <w:kern w:val="0"/>
            <w:u w:val="single"/>
            <w:lang w:eastAsia="en-GB"/>
            <w14:ligatures w14:val="none"/>
          </w:rPr>
          <w:t>https://www.harvardbusiness.org</w:t>
        </w:r>
      </w:hyperlink>
    </w:p>
    <w:p w14:paraId="7164D64A" w14:textId="4FABCE2F"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t xml:space="preserve">Ryan, D. (2016) </w:t>
      </w:r>
      <w:r w:rsidRPr="00733900">
        <w:rPr>
          <w:rFonts w:ascii="Arial" w:eastAsia="Times New Roman" w:hAnsi="Arial" w:cs="Arial"/>
          <w:i/>
          <w:iCs/>
          <w:kern w:val="0"/>
          <w:lang w:eastAsia="en-GB"/>
          <w14:ligatures w14:val="none"/>
        </w:rPr>
        <w:t>Understanding Digital Marketing</w:t>
      </w:r>
      <w:r w:rsidRPr="00733900">
        <w:rPr>
          <w:rFonts w:ascii="Arial" w:eastAsia="Times New Roman" w:hAnsi="Arial" w:cs="Arial"/>
          <w:kern w:val="0"/>
          <w:lang w:eastAsia="en-GB"/>
          <w14:ligatures w14:val="none"/>
        </w:rPr>
        <w:t>. 4th edn. London: Kogan Page.</w:t>
      </w:r>
      <w:r w:rsidRPr="00733900">
        <w:rPr>
          <w:rFonts w:ascii="Arial" w:eastAsia="Times New Roman" w:hAnsi="Arial" w:cs="Arial"/>
          <w:kern w:val="0"/>
          <w:lang w:eastAsia="en-GB"/>
          <w14:ligatures w14:val="none"/>
        </w:rPr>
        <w:br/>
        <w:t xml:space="preserve">Available at: </w:t>
      </w:r>
      <w:hyperlink r:id="rId18" w:tgtFrame="_new" w:history="1">
        <w:r w:rsidRPr="00733900">
          <w:rPr>
            <w:rFonts w:ascii="Arial" w:eastAsia="Times New Roman" w:hAnsi="Arial" w:cs="Arial"/>
            <w:color w:val="0000FF"/>
            <w:kern w:val="0"/>
            <w:u w:val="single"/>
            <w:lang w:eastAsia="en-GB"/>
            <w14:ligatures w14:val="none"/>
          </w:rPr>
          <w:t>https://www.koganpage.com</w:t>
        </w:r>
      </w:hyperlink>
    </w:p>
    <w:p w14:paraId="447DCE1E" w14:textId="35BDB369"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t xml:space="preserve">Statista (2024) </w:t>
      </w:r>
      <w:r w:rsidRPr="00733900">
        <w:rPr>
          <w:rFonts w:ascii="Arial" w:eastAsia="Times New Roman" w:hAnsi="Arial" w:cs="Arial"/>
          <w:i/>
          <w:iCs/>
          <w:kern w:val="0"/>
          <w:lang w:eastAsia="en-GB"/>
          <w14:ligatures w14:val="none"/>
        </w:rPr>
        <w:t>UK supermarket market share</w:t>
      </w:r>
      <w:r w:rsidRPr="00733900">
        <w:rPr>
          <w:rFonts w:ascii="Arial" w:eastAsia="Times New Roman" w:hAnsi="Arial" w:cs="Arial"/>
          <w:kern w:val="0"/>
          <w:lang w:eastAsia="en-GB"/>
          <w14:ligatures w14:val="none"/>
        </w:rPr>
        <w:t>.</w:t>
      </w:r>
      <w:r w:rsidRPr="00733900">
        <w:rPr>
          <w:rFonts w:ascii="Arial" w:eastAsia="Times New Roman" w:hAnsi="Arial" w:cs="Arial"/>
          <w:kern w:val="0"/>
          <w:lang w:eastAsia="en-GB"/>
          <w14:ligatures w14:val="none"/>
        </w:rPr>
        <w:br/>
        <w:t xml:space="preserve">Available at: </w:t>
      </w:r>
      <w:hyperlink r:id="rId19" w:tgtFrame="_new" w:history="1">
        <w:r w:rsidRPr="00733900">
          <w:rPr>
            <w:rFonts w:ascii="Arial" w:eastAsia="Times New Roman" w:hAnsi="Arial" w:cs="Arial"/>
            <w:color w:val="0000FF"/>
            <w:kern w:val="0"/>
            <w:u w:val="single"/>
            <w:lang w:eastAsia="en-GB"/>
            <w14:ligatures w14:val="none"/>
          </w:rPr>
          <w:t>https://www.statista.com</w:t>
        </w:r>
      </w:hyperlink>
    </w:p>
    <w:p w14:paraId="29592AD8" w14:textId="001391D2" w:rsidR="0037013B" w:rsidRPr="00733900" w:rsidRDefault="0037013B" w:rsidP="00733900">
      <w:pPr>
        <w:pStyle w:val="ListParagraph"/>
        <w:numPr>
          <w:ilvl w:val="0"/>
          <w:numId w:val="6"/>
        </w:numPr>
        <w:spacing w:before="100" w:beforeAutospacing="1" w:after="100" w:afterAutospacing="1" w:line="360" w:lineRule="auto"/>
        <w:jc w:val="both"/>
        <w:rPr>
          <w:rFonts w:ascii="Arial" w:eastAsia="Times New Roman" w:hAnsi="Arial" w:cs="Arial"/>
          <w:kern w:val="0"/>
          <w:lang w:eastAsia="en-GB"/>
          <w14:ligatures w14:val="none"/>
        </w:rPr>
      </w:pPr>
      <w:r w:rsidRPr="00733900">
        <w:rPr>
          <w:rFonts w:ascii="Arial" w:eastAsia="Times New Roman" w:hAnsi="Arial" w:cs="Arial"/>
          <w:kern w:val="0"/>
          <w:lang w:eastAsia="en-GB"/>
          <w14:ligatures w14:val="none"/>
        </w:rPr>
        <w:t xml:space="preserve">Tesco PLC (2024) </w:t>
      </w:r>
      <w:r w:rsidRPr="00733900">
        <w:rPr>
          <w:rFonts w:ascii="Arial" w:eastAsia="Times New Roman" w:hAnsi="Arial" w:cs="Arial"/>
          <w:i/>
          <w:iCs/>
          <w:kern w:val="0"/>
          <w:lang w:eastAsia="en-GB"/>
          <w14:ligatures w14:val="none"/>
        </w:rPr>
        <w:t>Annual Report</w:t>
      </w:r>
      <w:r w:rsidRPr="00733900">
        <w:rPr>
          <w:rFonts w:ascii="Arial" w:eastAsia="Times New Roman" w:hAnsi="Arial" w:cs="Arial"/>
          <w:kern w:val="0"/>
          <w:lang w:eastAsia="en-GB"/>
          <w14:ligatures w14:val="none"/>
        </w:rPr>
        <w:t>.</w:t>
      </w:r>
      <w:r w:rsidRPr="00733900">
        <w:rPr>
          <w:rFonts w:ascii="Arial" w:eastAsia="Times New Roman" w:hAnsi="Arial" w:cs="Arial"/>
          <w:kern w:val="0"/>
          <w:lang w:eastAsia="en-GB"/>
          <w14:ligatures w14:val="none"/>
        </w:rPr>
        <w:br/>
        <w:t xml:space="preserve">Available at: </w:t>
      </w:r>
      <w:hyperlink r:id="rId20" w:tgtFrame="_new" w:history="1">
        <w:r w:rsidRPr="00733900">
          <w:rPr>
            <w:rFonts w:ascii="Arial" w:eastAsia="Times New Roman" w:hAnsi="Arial" w:cs="Arial"/>
            <w:color w:val="0000FF"/>
            <w:kern w:val="0"/>
            <w:u w:val="single"/>
            <w:lang w:eastAsia="en-GB"/>
            <w14:ligatures w14:val="none"/>
          </w:rPr>
          <w:t>https://www.tescoplc.com/investors</w:t>
        </w:r>
      </w:hyperlink>
    </w:p>
    <w:p w14:paraId="7656D239" w14:textId="77777777" w:rsidR="00E423D9" w:rsidRPr="00733900" w:rsidRDefault="00E423D9" w:rsidP="00733900">
      <w:pPr>
        <w:spacing w:line="360" w:lineRule="auto"/>
        <w:jc w:val="both"/>
        <w:rPr>
          <w:rFonts w:ascii="Arial" w:hAnsi="Arial" w:cs="Arial"/>
        </w:rPr>
      </w:pPr>
    </w:p>
    <w:sectPr w:rsidR="00E423D9" w:rsidRPr="00733900" w:rsidSect="00181E5C">
      <w:head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E957E7" w14:textId="77777777" w:rsidR="00317C22" w:rsidRDefault="00317C22" w:rsidP="00CE5C22">
      <w:pPr>
        <w:spacing w:after="0" w:line="240" w:lineRule="auto"/>
      </w:pPr>
      <w:r>
        <w:separator/>
      </w:r>
    </w:p>
  </w:endnote>
  <w:endnote w:type="continuationSeparator" w:id="0">
    <w:p w14:paraId="190A619F" w14:textId="77777777" w:rsidR="00317C22" w:rsidRDefault="00317C22" w:rsidP="00CE5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2055AE" w14:textId="77777777" w:rsidR="00317C22" w:rsidRDefault="00317C22" w:rsidP="00CE5C22">
      <w:pPr>
        <w:spacing w:after="0" w:line="240" w:lineRule="auto"/>
      </w:pPr>
      <w:r>
        <w:separator/>
      </w:r>
    </w:p>
  </w:footnote>
  <w:footnote w:type="continuationSeparator" w:id="0">
    <w:p w14:paraId="52352313" w14:textId="77777777" w:rsidR="00317C22" w:rsidRDefault="00317C22" w:rsidP="00CE5C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97662332"/>
      <w:docPartObj>
        <w:docPartGallery w:val="Page Numbers (Top of Page)"/>
        <w:docPartUnique/>
      </w:docPartObj>
    </w:sdtPr>
    <w:sdtEndPr>
      <w:rPr>
        <w:color w:val="7F7F7F" w:themeColor="background1" w:themeShade="7F"/>
        <w:spacing w:val="60"/>
      </w:rPr>
    </w:sdtEndPr>
    <w:sdtContent>
      <w:p w14:paraId="0315882D" w14:textId="2C2F0A79" w:rsidR="00CE5C22" w:rsidRDefault="00CE5C22">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420390D9" w14:textId="77777777" w:rsidR="00CE5C22" w:rsidRDefault="00CE5C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C7207F"/>
    <w:multiLevelType w:val="multilevel"/>
    <w:tmpl w:val="C94860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B95F2F"/>
    <w:multiLevelType w:val="hybridMultilevel"/>
    <w:tmpl w:val="8E502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83912"/>
    <w:multiLevelType w:val="hybridMultilevel"/>
    <w:tmpl w:val="460206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A32F3B"/>
    <w:multiLevelType w:val="multilevel"/>
    <w:tmpl w:val="533C76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AD6F78"/>
    <w:multiLevelType w:val="hybridMultilevel"/>
    <w:tmpl w:val="8D080188"/>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A57A14"/>
    <w:multiLevelType w:val="hybridMultilevel"/>
    <w:tmpl w:val="38D836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760624"/>
    <w:multiLevelType w:val="hybridMultilevel"/>
    <w:tmpl w:val="86C48A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313EBD"/>
    <w:multiLevelType w:val="multilevel"/>
    <w:tmpl w:val="2B3E4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60D1964"/>
    <w:multiLevelType w:val="hybridMultilevel"/>
    <w:tmpl w:val="3416BC0C"/>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E943DF"/>
    <w:multiLevelType w:val="hybridMultilevel"/>
    <w:tmpl w:val="0A8C01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1451341">
    <w:abstractNumId w:val="2"/>
  </w:num>
  <w:num w:numId="2" w16cid:durableId="1052118403">
    <w:abstractNumId w:val="7"/>
  </w:num>
  <w:num w:numId="3" w16cid:durableId="56125138">
    <w:abstractNumId w:val="5"/>
  </w:num>
  <w:num w:numId="4" w16cid:durableId="223223448">
    <w:abstractNumId w:val="6"/>
  </w:num>
  <w:num w:numId="5" w16cid:durableId="196697271">
    <w:abstractNumId w:val="8"/>
  </w:num>
  <w:num w:numId="6" w16cid:durableId="819737445">
    <w:abstractNumId w:val="9"/>
  </w:num>
  <w:num w:numId="7" w16cid:durableId="1867330361">
    <w:abstractNumId w:val="4"/>
  </w:num>
  <w:num w:numId="8" w16cid:durableId="683165240">
    <w:abstractNumId w:val="0"/>
  </w:num>
  <w:num w:numId="9" w16cid:durableId="1576238448">
    <w:abstractNumId w:val="1"/>
  </w:num>
  <w:num w:numId="10" w16cid:durableId="20511095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A0EBB"/>
    <w:rsid w:val="000D0FB8"/>
    <w:rsid w:val="000D10BF"/>
    <w:rsid w:val="00143C9D"/>
    <w:rsid w:val="00181E5C"/>
    <w:rsid w:val="001A18E1"/>
    <w:rsid w:val="001F2F3B"/>
    <w:rsid w:val="00261C9B"/>
    <w:rsid w:val="00262A43"/>
    <w:rsid w:val="00272828"/>
    <w:rsid w:val="002C1432"/>
    <w:rsid w:val="00317C22"/>
    <w:rsid w:val="00367712"/>
    <w:rsid w:val="0037013B"/>
    <w:rsid w:val="00374A82"/>
    <w:rsid w:val="004A0002"/>
    <w:rsid w:val="00515EAB"/>
    <w:rsid w:val="00553E76"/>
    <w:rsid w:val="005C2B9F"/>
    <w:rsid w:val="00622433"/>
    <w:rsid w:val="00623530"/>
    <w:rsid w:val="00674D68"/>
    <w:rsid w:val="00687B2D"/>
    <w:rsid w:val="006D070D"/>
    <w:rsid w:val="00717796"/>
    <w:rsid w:val="00733900"/>
    <w:rsid w:val="0078361B"/>
    <w:rsid w:val="008222CD"/>
    <w:rsid w:val="00841A28"/>
    <w:rsid w:val="008C617E"/>
    <w:rsid w:val="00904AEF"/>
    <w:rsid w:val="00947F8D"/>
    <w:rsid w:val="00984204"/>
    <w:rsid w:val="00985B6F"/>
    <w:rsid w:val="00A00F0A"/>
    <w:rsid w:val="00A37656"/>
    <w:rsid w:val="00AB57CF"/>
    <w:rsid w:val="00B56DAD"/>
    <w:rsid w:val="00BA4844"/>
    <w:rsid w:val="00BA758E"/>
    <w:rsid w:val="00BB6E71"/>
    <w:rsid w:val="00BE00A8"/>
    <w:rsid w:val="00CB115A"/>
    <w:rsid w:val="00CD5CB7"/>
    <w:rsid w:val="00CD5F31"/>
    <w:rsid w:val="00CE5C22"/>
    <w:rsid w:val="00D5204E"/>
    <w:rsid w:val="00D52869"/>
    <w:rsid w:val="00D90204"/>
    <w:rsid w:val="00DB2190"/>
    <w:rsid w:val="00E423D9"/>
    <w:rsid w:val="00EB2984"/>
    <w:rsid w:val="00F26FAA"/>
    <w:rsid w:val="00F608BB"/>
    <w:rsid w:val="00FA0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shapelayout>
  </w:shapeDefaults>
  <w:decimalSymbol w:val="."/>
  <w:listSeparator w:val=","/>
  <w14:docId w14:val="231B6043"/>
  <w15:chartTrackingRefBased/>
  <w15:docId w15:val="{B806BA6B-738E-42E9-A030-10C4C57A9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15A"/>
  </w:style>
  <w:style w:type="paragraph" w:styleId="Heading1">
    <w:name w:val="heading 1"/>
    <w:basedOn w:val="Normal"/>
    <w:next w:val="Normal"/>
    <w:link w:val="Heading1Char"/>
    <w:uiPriority w:val="9"/>
    <w:qFormat/>
    <w:rsid w:val="00FA0E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E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E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0E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E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E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E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E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E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E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E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E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0E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E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E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E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E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EBB"/>
    <w:rPr>
      <w:rFonts w:eastAsiaTheme="majorEastAsia" w:cstheme="majorBidi"/>
      <w:color w:val="272727" w:themeColor="text1" w:themeTint="D8"/>
    </w:rPr>
  </w:style>
  <w:style w:type="paragraph" w:styleId="Title">
    <w:name w:val="Title"/>
    <w:basedOn w:val="Normal"/>
    <w:next w:val="Normal"/>
    <w:link w:val="TitleChar"/>
    <w:uiPriority w:val="10"/>
    <w:qFormat/>
    <w:rsid w:val="00FA0E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E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E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E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EBB"/>
    <w:pPr>
      <w:spacing w:before="160"/>
      <w:jc w:val="center"/>
    </w:pPr>
    <w:rPr>
      <w:i/>
      <w:iCs/>
      <w:color w:val="404040" w:themeColor="text1" w:themeTint="BF"/>
    </w:rPr>
  </w:style>
  <w:style w:type="character" w:customStyle="1" w:styleId="QuoteChar">
    <w:name w:val="Quote Char"/>
    <w:basedOn w:val="DefaultParagraphFont"/>
    <w:link w:val="Quote"/>
    <w:uiPriority w:val="29"/>
    <w:rsid w:val="00FA0EBB"/>
    <w:rPr>
      <w:i/>
      <w:iCs/>
      <w:color w:val="404040" w:themeColor="text1" w:themeTint="BF"/>
    </w:rPr>
  </w:style>
  <w:style w:type="paragraph" w:styleId="ListParagraph">
    <w:name w:val="List Paragraph"/>
    <w:basedOn w:val="Normal"/>
    <w:uiPriority w:val="34"/>
    <w:qFormat/>
    <w:rsid w:val="00FA0EBB"/>
    <w:pPr>
      <w:ind w:left="720"/>
      <w:contextualSpacing/>
    </w:pPr>
  </w:style>
  <w:style w:type="character" w:styleId="IntenseEmphasis">
    <w:name w:val="Intense Emphasis"/>
    <w:basedOn w:val="DefaultParagraphFont"/>
    <w:uiPriority w:val="21"/>
    <w:qFormat/>
    <w:rsid w:val="00FA0EBB"/>
    <w:rPr>
      <w:i/>
      <w:iCs/>
      <w:color w:val="0F4761" w:themeColor="accent1" w:themeShade="BF"/>
    </w:rPr>
  </w:style>
  <w:style w:type="paragraph" w:styleId="IntenseQuote">
    <w:name w:val="Intense Quote"/>
    <w:basedOn w:val="Normal"/>
    <w:next w:val="Normal"/>
    <w:link w:val="IntenseQuoteChar"/>
    <w:uiPriority w:val="30"/>
    <w:qFormat/>
    <w:rsid w:val="00FA0E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EBB"/>
    <w:rPr>
      <w:i/>
      <w:iCs/>
      <w:color w:val="0F4761" w:themeColor="accent1" w:themeShade="BF"/>
    </w:rPr>
  </w:style>
  <w:style w:type="character" w:styleId="IntenseReference">
    <w:name w:val="Intense Reference"/>
    <w:basedOn w:val="DefaultParagraphFont"/>
    <w:uiPriority w:val="32"/>
    <w:qFormat/>
    <w:rsid w:val="00FA0EBB"/>
    <w:rPr>
      <w:b/>
      <w:bCs/>
      <w:smallCaps/>
      <w:color w:val="0F4761" w:themeColor="accent1" w:themeShade="BF"/>
      <w:spacing w:val="5"/>
    </w:rPr>
  </w:style>
  <w:style w:type="paragraph" w:styleId="NormalWeb">
    <w:name w:val="Normal (Web)"/>
    <w:basedOn w:val="Normal"/>
    <w:uiPriority w:val="99"/>
    <w:semiHidden/>
    <w:unhideWhenUsed/>
    <w:rsid w:val="00BE00A8"/>
    <w:pPr>
      <w:spacing w:before="100" w:beforeAutospacing="1" w:after="100" w:afterAutospacing="1" w:line="240" w:lineRule="auto"/>
    </w:pPr>
    <w:rPr>
      <w:rFonts w:ascii="Times New Roman" w:eastAsia="Times New Roman" w:hAnsi="Times New Roman" w:cs="Times New Roman"/>
      <w:kern w:val="0"/>
      <w:lang w:eastAsia="en-GB"/>
    </w:rPr>
  </w:style>
  <w:style w:type="character" w:styleId="Strong">
    <w:name w:val="Strong"/>
    <w:basedOn w:val="DefaultParagraphFont"/>
    <w:uiPriority w:val="22"/>
    <w:qFormat/>
    <w:rsid w:val="00BE00A8"/>
    <w:rPr>
      <w:b/>
      <w:bCs/>
    </w:rPr>
  </w:style>
  <w:style w:type="character" w:styleId="Emphasis">
    <w:name w:val="Emphasis"/>
    <w:basedOn w:val="DefaultParagraphFont"/>
    <w:uiPriority w:val="20"/>
    <w:qFormat/>
    <w:rsid w:val="00BE00A8"/>
    <w:rPr>
      <w:i/>
      <w:iCs/>
    </w:rPr>
  </w:style>
  <w:style w:type="paragraph" w:styleId="Header">
    <w:name w:val="header"/>
    <w:basedOn w:val="Normal"/>
    <w:link w:val="HeaderChar"/>
    <w:uiPriority w:val="99"/>
    <w:unhideWhenUsed/>
    <w:rsid w:val="00CE5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C22"/>
  </w:style>
  <w:style w:type="paragraph" w:styleId="Footer">
    <w:name w:val="footer"/>
    <w:basedOn w:val="Normal"/>
    <w:link w:val="FooterChar"/>
    <w:uiPriority w:val="99"/>
    <w:unhideWhenUsed/>
    <w:rsid w:val="00CE5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C22"/>
  </w:style>
  <w:style w:type="paragraph" w:styleId="NoSpacing">
    <w:name w:val="No Spacing"/>
    <w:link w:val="NoSpacingChar"/>
    <w:uiPriority w:val="1"/>
    <w:qFormat/>
    <w:rsid w:val="00181E5C"/>
    <w:pPr>
      <w:spacing w:after="0" w:line="240" w:lineRule="auto"/>
    </w:pPr>
    <w:rPr>
      <w:rFonts w:eastAsiaTheme="minorEastAsia"/>
      <w:kern w:val="0"/>
      <w:sz w:val="22"/>
      <w:szCs w:val="22"/>
      <w:lang w:eastAsia="en-GB"/>
    </w:rPr>
  </w:style>
  <w:style w:type="character" w:customStyle="1" w:styleId="NoSpacingChar">
    <w:name w:val="No Spacing Char"/>
    <w:basedOn w:val="DefaultParagraphFont"/>
    <w:link w:val="NoSpacing"/>
    <w:uiPriority w:val="1"/>
    <w:rsid w:val="00181E5C"/>
    <w:rPr>
      <w:rFonts w:eastAsiaTheme="minorEastAsia"/>
      <w:kern w:val="0"/>
      <w:sz w:val="22"/>
      <w:szCs w:val="22"/>
      <w:lang w:eastAsia="en-GB"/>
    </w:rPr>
  </w:style>
  <w:style w:type="paragraph" w:styleId="TOCHeading">
    <w:name w:val="TOC Heading"/>
    <w:basedOn w:val="Heading1"/>
    <w:next w:val="Normal"/>
    <w:uiPriority w:val="39"/>
    <w:unhideWhenUsed/>
    <w:qFormat/>
    <w:rsid w:val="00D5204E"/>
    <w:pPr>
      <w:spacing w:before="240" w:after="0" w:line="259" w:lineRule="auto"/>
      <w:outlineLvl w:val="9"/>
    </w:pPr>
    <w:rPr>
      <w:kern w:val="0"/>
      <w:sz w:val="32"/>
      <w:szCs w:val="32"/>
      <w:lang w:eastAsia="en-GB"/>
    </w:rPr>
  </w:style>
  <w:style w:type="paragraph" w:styleId="TOC2">
    <w:name w:val="toc 2"/>
    <w:basedOn w:val="Normal"/>
    <w:next w:val="Normal"/>
    <w:autoRedefine/>
    <w:uiPriority w:val="39"/>
    <w:unhideWhenUsed/>
    <w:rsid w:val="00D5204E"/>
    <w:pPr>
      <w:spacing w:after="100"/>
      <w:ind w:left="240"/>
    </w:pPr>
  </w:style>
  <w:style w:type="character" w:styleId="Hyperlink">
    <w:name w:val="Hyperlink"/>
    <w:basedOn w:val="DefaultParagraphFont"/>
    <w:uiPriority w:val="99"/>
    <w:unhideWhenUsed/>
    <w:rsid w:val="00D5204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2539362">
      <w:bodyDiv w:val="1"/>
      <w:marLeft w:val="0"/>
      <w:marRight w:val="0"/>
      <w:marTop w:val="0"/>
      <w:marBottom w:val="0"/>
      <w:divBdr>
        <w:top w:val="none" w:sz="0" w:space="0" w:color="auto"/>
        <w:left w:val="none" w:sz="0" w:space="0" w:color="auto"/>
        <w:bottom w:val="none" w:sz="0" w:space="0" w:color="auto"/>
        <w:right w:val="none" w:sz="0" w:space="0" w:color="auto"/>
      </w:divBdr>
    </w:div>
    <w:div w:id="419107550">
      <w:bodyDiv w:val="1"/>
      <w:marLeft w:val="0"/>
      <w:marRight w:val="0"/>
      <w:marTop w:val="0"/>
      <w:marBottom w:val="0"/>
      <w:divBdr>
        <w:top w:val="none" w:sz="0" w:space="0" w:color="auto"/>
        <w:left w:val="none" w:sz="0" w:space="0" w:color="auto"/>
        <w:bottom w:val="none" w:sz="0" w:space="0" w:color="auto"/>
        <w:right w:val="none" w:sz="0" w:space="0" w:color="auto"/>
      </w:divBdr>
    </w:div>
    <w:div w:id="449014646">
      <w:bodyDiv w:val="1"/>
      <w:marLeft w:val="0"/>
      <w:marRight w:val="0"/>
      <w:marTop w:val="0"/>
      <w:marBottom w:val="0"/>
      <w:divBdr>
        <w:top w:val="none" w:sz="0" w:space="0" w:color="auto"/>
        <w:left w:val="none" w:sz="0" w:space="0" w:color="auto"/>
        <w:bottom w:val="none" w:sz="0" w:space="0" w:color="auto"/>
        <w:right w:val="none" w:sz="0" w:space="0" w:color="auto"/>
      </w:divBdr>
    </w:div>
    <w:div w:id="518932059">
      <w:bodyDiv w:val="1"/>
      <w:marLeft w:val="0"/>
      <w:marRight w:val="0"/>
      <w:marTop w:val="0"/>
      <w:marBottom w:val="0"/>
      <w:divBdr>
        <w:top w:val="none" w:sz="0" w:space="0" w:color="auto"/>
        <w:left w:val="none" w:sz="0" w:space="0" w:color="auto"/>
        <w:bottom w:val="none" w:sz="0" w:space="0" w:color="auto"/>
        <w:right w:val="none" w:sz="0" w:space="0" w:color="auto"/>
      </w:divBdr>
    </w:div>
    <w:div w:id="922688713">
      <w:bodyDiv w:val="1"/>
      <w:marLeft w:val="0"/>
      <w:marRight w:val="0"/>
      <w:marTop w:val="0"/>
      <w:marBottom w:val="0"/>
      <w:divBdr>
        <w:top w:val="none" w:sz="0" w:space="0" w:color="auto"/>
        <w:left w:val="none" w:sz="0" w:space="0" w:color="auto"/>
        <w:bottom w:val="none" w:sz="0" w:space="0" w:color="auto"/>
        <w:right w:val="none" w:sz="0" w:space="0" w:color="auto"/>
      </w:divBdr>
    </w:div>
    <w:div w:id="1103454586">
      <w:bodyDiv w:val="1"/>
      <w:marLeft w:val="0"/>
      <w:marRight w:val="0"/>
      <w:marTop w:val="0"/>
      <w:marBottom w:val="0"/>
      <w:divBdr>
        <w:top w:val="none" w:sz="0" w:space="0" w:color="auto"/>
        <w:left w:val="none" w:sz="0" w:space="0" w:color="auto"/>
        <w:bottom w:val="none" w:sz="0" w:space="0" w:color="auto"/>
        <w:right w:val="none" w:sz="0" w:space="0" w:color="auto"/>
      </w:divBdr>
    </w:div>
    <w:div w:id="2054226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heducation.co.uk" TargetMode="External"/><Relationship Id="rId18" Type="http://schemas.openxmlformats.org/officeDocument/2006/relationships/hyperlink" Target="https://www.koganpage.com"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cengage.uk" TargetMode="External"/><Relationship Id="rId17" Type="http://schemas.openxmlformats.org/officeDocument/2006/relationships/hyperlink" Target="https://www.harvardbusiness.org" TargetMode="External"/><Relationship Id="rId2" Type="http://schemas.openxmlformats.org/officeDocument/2006/relationships/numbering" Target="numbering.xml"/><Relationship Id="rId16" Type="http://schemas.openxmlformats.org/officeDocument/2006/relationships/hyperlink" Target="https://www.mintel.com" TargetMode="External"/><Relationship Id="rId20" Type="http://schemas.openxmlformats.org/officeDocument/2006/relationships/hyperlink" Target="https://www.tescoplc.com/investo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outledge.com" TargetMode="External"/><Relationship Id="rId5" Type="http://schemas.openxmlformats.org/officeDocument/2006/relationships/webSettings" Target="webSettings.xml"/><Relationship Id="rId15" Type="http://schemas.openxmlformats.org/officeDocument/2006/relationships/hyperlink" Target="https://www.pearson.com" TargetMode="External"/><Relationship Id="rId23" Type="http://schemas.openxmlformats.org/officeDocument/2006/relationships/theme" Target="theme/theme1.xml"/><Relationship Id="rId10" Type="http://schemas.openxmlformats.org/officeDocument/2006/relationships/hyperlink" Target="https://www.bbc.co.uk/news/business" TargetMode="External"/><Relationship Id="rId19" Type="http://schemas.openxmlformats.org/officeDocument/2006/relationships/hyperlink" Target="https://www.statista.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earson.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Module: Principles of Marketing (LCBB5015)                         Programme: BA (Hons) Business Management Chosen Organisation: Tesco PLC Situational Analysis Model: PESTLE Analysis</PublishDate>
  <Abstract>Module Title: Principles of Marketing
Module Code: LCBB5015
Programme: BA (Hons) Business Management
Chosen Organisation: Tesco PLC
Situational Analysis Model: PESTLE Analysis
Student Name: Ateeq Rehman
Student ID: 2322964
Lecturer: Dr Sampath Rodrigo
Internal Verifier: Dr Anupam Manzumdar
Submission Date: 21 February 2026</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2038</Words>
  <Characters>11622</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Pestle Analysis of Tesco plc</dc:title>
  <dc:subject>Module Title: Principles of Marketing                                                    Module Code: LCBB5015                                                          Programme: BA (Hons) Business Management                                                        Chosen Organisation: Tesco PLC                                               Situational Analysis Model: PESTLE Analysis                                     Submission Date: 22 February 2026</dc:subject>
  <dc:creator>Student Name: Ateeq Rehman                                                        Student ID: 2322964                                                                          Lecturer: Ivan Rodriguez Hernandez</dc:creator>
  <cp:keywords/>
  <dc:description/>
  <cp:lastModifiedBy>Ateeq Rehman</cp:lastModifiedBy>
  <cp:revision>36</cp:revision>
  <dcterms:created xsi:type="dcterms:W3CDTF">2026-02-09T17:46:00Z</dcterms:created>
  <dcterms:modified xsi:type="dcterms:W3CDTF">2026-02-16T23:08:00Z</dcterms:modified>
</cp:coreProperties>
</file>