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01D52" w14:textId="3B92B07D" w:rsidR="00AC05DD" w:rsidRPr="00C92D49" w:rsidRDefault="00F31685" w:rsidP="00AC05DD">
      <w:pPr>
        <w:spacing w:after="0" w:line="480" w:lineRule="auto"/>
        <w:jc w:val="center"/>
        <w:rPr>
          <w:rFonts w:ascii="Times New Roman" w:hAnsi="Times New Roman" w:cs="Times New Roman"/>
          <w:szCs w:val="24"/>
          <w:shd w:val="clear" w:color="auto" w:fill="FFFFFF"/>
        </w:rPr>
      </w:pPr>
      <w:r>
        <w:rPr>
          <w:rFonts w:ascii="Times New Roman" w:hAnsi="Times New Roman" w:cs="Times New Roman"/>
          <w:szCs w:val="24"/>
          <w:shd w:val="clear" w:color="auto" w:fill="FFFFFF"/>
        </w:rPr>
        <w:t>Assignment</w:t>
      </w:r>
      <w:r w:rsidR="008D723C">
        <w:rPr>
          <w:rFonts w:ascii="Times New Roman" w:hAnsi="Times New Roman" w:cs="Times New Roman"/>
          <w:szCs w:val="24"/>
          <w:shd w:val="clear" w:color="auto" w:fill="FFFFFF"/>
        </w:rPr>
        <w:t>:</w:t>
      </w:r>
    </w:p>
    <w:p w14:paraId="30117AA7" w14:textId="77777777" w:rsidR="00AC05DD" w:rsidRPr="00C92D49" w:rsidRDefault="00AC05DD" w:rsidP="00AC05DD">
      <w:pPr>
        <w:spacing w:after="0" w:line="480" w:lineRule="auto"/>
        <w:jc w:val="center"/>
        <w:rPr>
          <w:rFonts w:ascii="Times New Roman" w:hAnsi="Times New Roman" w:cs="Times New Roman"/>
          <w:szCs w:val="24"/>
          <w:shd w:val="clear" w:color="auto" w:fill="FFFFFF"/>
        </w:rPr>
      </w:pPr>
    </w:p>
    <w:p w14:paraId="299B246C" w14:textId="77777777" w:rsidR="00AC05DD" w:rsidRPr="00C92D49" w:rsidRDefault="00AC05DD" w:rsidP="00AC05DD">
      <w:pPr>
        <w:spacing w:after="0" w:line="480" w:lineRule="auto"/>
        <w:jc w:val="center"/>
        <w:rPr>
          <w:rFonts w:ascii="Times New Roman" w:hAnsi="Times New Roman" w:cs="Times New Roman"/>
          <w:szCs w:val="24"/>
          <w:shd w:val="clear" w:color="auto" w:fill="FFFFFF"/>
        </w:rPr>
      </w:pPr>
    </w:p>
    <w:p w14:paraId="3FD10F36" w14:textId="77777777" w:rsidR="00AC05DD" w:rsidRPr="00C92D49" w:rsidRDefault="00AC05DD" w:rsidP="00AC05DD">
      <w:pPr>
        <w:spacing w:after="0" w:line="480" w:lineRule="auto"/>
        <w:jc w:val="center"/>
        <w:rPr>
          <w:rFonts w:ascii="Times New Roman" w:hAnsi="Times New Roman" w:cs="Times New Roman"/>
          <w:szCs w:val="24"/>
          <w:shd w:val="clear" w:color="auto" w:fill="FFFFFF"/>
          <w:lang w:val="en-US"/>
        </w:rPr>
      </w:pPr>
      <w:r w:rsidRPr="00C92D49">
        <w:rPr>
          <w:rFonts w:ascii="Times New Roman" w:hAnsi="Times New Roman" w:cs="Times New Roman"/>
          <w:szCs w:val="24"/>
          <w:shd w:val="clear" w:color="auto" w:fill="FFFFFF"/>
          <w:lang w:val="en-US"/>
        </w:rPr>
        <w:t>Reforming Homicide Law in England and Wales: Balancing Tradition and Justic</w:t>
      </w:r>
    </w:p>
    <w:p w14:paraId="52416B80" w14:textId="77777777" w:rsidR="00AC05DD" w:rsidRPr="00C92D49" w:rsidRDefault="00AC05DD" w:rsidP="00AC05DD">
      <w:pPr>
        <w:spacing w:after="0" w:line="480" w:lineRule="auto"/>
        <w:jc w:val="center"/>
        <w:rPr>
          <w:rFonts w:ascii="Times New Roman" w:hAnsi="Times New Roman" w:cs="Times New Roman"/>
          <w:szCs w:val="24"/>
          <w:shd w:val="clear" w:color="auto" w:fill="FFFFFF"/>
          <w:lang w:val="en-US"/>
        </w:rPr>
      </w:pPr>
    </w:p>
    <w:p w14:paraId="32C5E205" w14:textId="77777777" w:rsidR="00AC05DD" w:rsidRPr="00C92D49" w:rsidRDefault="00AC05DD" w:rsidP="00AC05DD">
      <w:pPr>
        <w:spacing w:after="0" w:line="480" w:lineRule="auto"/>
        <w:jc w:val="center"/>
        <w:rPr>
          <w:rFonts w:ascii="Times New Roman" w:hAnsi="Times New Roman" w:cs="Times New Roman"/>
          <w:szCs w:val="24"/>
          <w:shd w:val="clear" w:color="auto" w:fill="FFFFFF"/>
          <w:lang w:val="en-US"/>
        </w:rPr>
      </w:pPr>
    </w:p>
    <w:p w14:paraId="6C7CAF75" w14:textId="77777777" w:rsidR="00AC05DD" w:rsidRPr="00C92D49" w:rsidRDefault="00AC05DD" w:rsidP="00AC05DD">
      <w:pPr>
        <w:spacing w:after="0" w:line="480" w:lineRule="auto"/>
        <w:jc w:val="center"/>
        <w:rPr>
          <w:rFonts w:ascii="Times New Roman" w:hAnsi="Times New Roman" w:cs="Times New Roman"/>
          <w:szCs w:val="24"/>
          <w:shd w:val="clear" w:color="auto" w:fill="FFFFFF"/>
          <w:lang w:val="en-US"/>
        </w:rPr>
      </w:pPr>
    </w:p>
    <w:p w14:paraId="06640CF3" w14:textId="77777777" w:rsidR="00AC05DD" w:rsidRPr="00C92D49" w:rsidRDefault="00AC05DD" w:rsidP="00AC05DD">
      <w:pPr>
        <w:spacing w:after="0" w:line="480" w:lineRule="auto"/>
        <w:jc w:val="center"/>
        <w:rPr>
          <w:rFonts w:ascii="Times New Roman" w:hAnsi="Times New Roman" w:cs="Times New Roman"/>
          <w:szCs w:val="24"/>
          <w:shd w:val="clear" w:color="auto" w:fill="FFFFFF"/>
          <w:lang w:val="en-US"/>
        </w:rPr>
      </w:pPr>
    </w:p>
    <w:p w14:paraId="47517A0D" w14:textId="77777777" w:rsidR="00AC05DD" w:rsidRPr="00C92D49" w:rsidRDefault="00AC05DD" w:rsidP="00AC05DD">
      <w:pPr>
        <w:spacing w:after="0" w:line="480" w:lineRule="auto"/>
        <w:jc w:val="center"/>
        <w:rPr>
          <w:rFonts w:ascii="Times New Roman" w:hAnsi="Times New Roman" w:cs="Times New Roman"/>
          <w:szCs w:val="24"/>
          <w:shd w:val="clear" w:color="auto" w:fill="FFFFFF"/>
          <w:lang w:val="en-US"/>
        </w:rPr>
      </w:pPr>
    </w:p>
    <w:p w14:paraId="1BC43245" w14:textId="77777777" w:rsidR="00AC05DD" w:rsidRPr="00C92D49" w:rsidRDefault="00AC05DD" w:rsidP="00AC05DD">
      <w:pPr>
        <w:spacing w:after="0" w:line="480" w:lineRule="auto"/>
        <w:rPr>
          <w:rFonts w:ascii="Times New Roman" w:hAnsi="Times New Roman" w:cs="Times New Roman"/>
          <w:b/>
          <w:szCs w:val="24"/>
          <w:shd w:val="clear" w:color="auto" w:fill="FFFFFF"/>
          <w:lang w:val="en-US"/>
        </w:rPr>
      </w:pPr>
      <w:r w:rsidRPr="00C92D49">
        <w:rPr>
          <w:rFonts w:ascii="Times New Roman" w:hAnsi="Times New Roman" w:cs="Times New Roman"/>
          <w:b/>
          <w:szCs w:val="24"/>
          <w:shd w:val="clear" w:color="auto" w:fill="FFFFFF"/>
          <w:lang w:val="en-US"/>
        </w:rPr>
        <w:t>Introduction</w:t>
      </w:r>
    </w:p>
    <w:p w14:paraId="50C949F9" w14:textId="77777777" w:rsidR="00AC05DD" w:rsidRPr="00C92D49" w:rsidRDefault="00AC05DD" w:rsidP="00AC05DD">
      <w:pPr>
        <w:spacing w:line="480" w:lineRule="auto"/>
        <w:ind w:firstLine="720"/>
        <w:jc w:val="both"/>
        <w:rPr>
          <w:rFonts w:ascii="Times New Roman" w:hAnsi="Times New Roman" w:cs="Times New Roman"/>
          <w:szCs w:val="24"/>
        </w:rPr>
      </w:pPr>
      <w:r w:rsidRPr="00C92D49">
        <w:rPr>
          <w:rFonts w:ascii="Times New Roman" w:hAnsi="Times New Roman" w:cs="Times New Roman"/>
          <w:szCs w:val="24"/>
        </w:rPr>
        <w:t xml:space="preserve">The development of legal systems involves a delicate tango between the tenets of the past and the needs of the present, as the underlying concepts of justice entwine with the demands of society. This precarious equilibrium is most obviously on display in criminal law, where social, moral, ethical, and philosophical issues are woven into the fabric of legislation and precedents. The law that governs homicide in England and Wales is at the centre of this complex web because it embodies the values and standards of English and Welsh society and has been in place since the Homicide Act was passed in 1957 (Crewe et al., 2020). The complexity and anachronisms that have survived for centuries are laid bare in the 2005 report by the Law Commission, resonating with a loud cry for change and prompting a re-evaluation of an unstable system. Exploring the moral complexities, ethical conundrums, and philosophical foundations of this area of criminal law, this article sets out on a quest to untangle the web of concerns buried in the existing legal system controlling homicide. In delving deep into the heart of these complexities, this will explore the nuances of intent, the dimensions of partial defences, and the contours of manslaughter, as well as critically evaluate the reform </w:t>
      </w:r>
      <w:r w:rsidRPr="00C92D49">
        <w:rPr>
          <w:rFonts w:ascii="Times New Roman" w:hAnsi="Times New Roman" w:cs="Times New Roman"/>
          <w:szCs w:val="24"/>
        </w:rPr>
        <w:lastRenderedPageBreak/>
        <w:t>proposals of the Law Commission, the government's responses, and the fervent voices echoing arguments for and against reform.</w:t>
      </w:r>
    </w:p>
    <w:p w14:paraId="5527A52E" w14:textId="77777777" w:rsidR="00AC05DD" w:rsidRPr="00C92D49" w:rsidRDefault="00AC05DD" w:rsidP="00AC05DD">
      <w:pPr>
        <w:spacing w:line="480" w:lineRule="auto"/>
        <w:ind w:firstLine="720"/>
        <w:jc w:val="both"/>
        <w:rPr>
          <w:rFonts w:ascii="Times New Roman" w:hAnsi="Times New Roman" w:cs="Times New Roman"/>
          <w:szCs w:val="24"/>
        </w:rPr>
      </w:pPr>
      <w:r w:rsidRPr="00C92D49">
        <w:rPr>
          <w:rFonts w:ascii="Times New Roman" w:hAnsi="Times New Roman" w:cs="Times New Roman"/>
          <w:szCs w:val="24"/>
        </w:rPr>
        <w:t xml:space="preserve">The Homicide Act of 1957, which codifies the law regulating homicide, is a testimony to the heritage of long-standing legal concepts. Informed by centuries of jurisprudential debate, it has defined the parameters of justice and provided a framework for deciding instances that go beyond the scope of human experience. According to Mackay </w:t>
      </w:r>
      <w:r>
        <w:rPr>
          <w:rFonts w:ascii="Times New Roman" w:hAnsi="Times New Roman" w:cs="Times New Roman"/>
          <w:szCs w:val="24"/>
        </w:rPr>
        <w:t>e</w:t>
      </w:r>
      <w:r w:rsidRPr="00C92D49">
        <w:rPr>
          <w:rFonts w:ascii="Times New Roman" w:hAnsi="Times New Roman" w:cs="Times New Roman"/>
          <w:szCs w:val="24"/>
        </w:rPr>
        <w:t>t al. (2017), murder and manslaughter are the two primary homicide offences outlined under the Act. Murder is the premeditated and criminal killing of a human being. Intent to harm might be stated or assumed. Intention to murder is expressed malice aforethought. Intent to induce GBH with the knowledge that one's acts increase the danger of death is implied malice aforethought. To commit manslaughter is to unlawfully cause another person's death without premeditation or intent to do so. Reckless killing, negligent homicide, and murder by illegal means are all types of manslaughter (</w:t>
      </w:r>
      <w:proofErr w:type="spellStart"/>
      <w:r w:rsidRPr="00C92D49">
        <w:rPr>
          <w:rFonts w:ascii="Times New Roman" w:hAnsi="Times New Roman" w:cs="Times New Roman"/>
          <w:szCs w:val="24"/>
        </w:rPr>
        <w:t>Valyaev</w:t>
      </w:r>
      <w:proofErr w:type="spellEnd"/>
      <w:r w:rsidRPr="00C92D49">
        <w:rPr>
          <w:rFonts w:ascii="Times New Roman" w:hAnsi="Times New Roman" w:cs="Times New Roman"/>
          <w:szCs w:val="24"/>
        </w:rPr>
        <w:t>, 2016). To murder another person by recklessness is to behave in a manner that you know causes a substantial danger of death, but you do not plan to kill or inflict severe bodily harm. Gross negligence entails killing someone by acting in a way that is so negligent that it falls far below the standard expected of a reasonable person. Manslaughter through illegal conduct happens when a person causes another person's death by an unlawful act that is not inherently hazardous but does create a risk of death.</w:t>
      </w:r>
    </w:p>
    <w:p w14:paraId="6CF8B9BD" w14:textId="77777777" w:rsidR="00AC05DD" w:rsidRPr="00C92D49" w:rsidRDefault="00AC05DD" w:rsidP="00AC05DD">
      <w:pPr>
        <w:spacing w:line="480" w:lineRule="auto"/>
        <w:ind w:firstLine="720"/>
        <w:jc w:val="both"/>
        <w:rPr>
          <w:rFonts w:ascii="Times New Roman" w:hAnsi="Times New Roman" w:cs="Times New Roman"/>
          <w:szCs w:val="24"/>
        </w:rPr>
      </w:pPr>
      <w:r w:rsidRPr="00C92D49">
        <w:rPr>
          <w:rFonts w:ascii="Times New Roman" w:hAnsi="Times New Roman" w:cs="Times New Roman"/>
          <w:szCs w:val="24"/>
        </w:rPr>
        <w:t xml:space="preserve">In this ethical labyrinth, partial defences provide a path for the law to deal with the intricacies of the human mind and will. The sheer notion that a crime as heinous as murder may be mitigated by the nuances of decreased culpability, provocation, or self-defence forces us to evaluate the narrow line between the rights of the accused and the need for justice (Lynes et al., 2021). The existence of these qualified defences inside the law is illustrative of the fact that society recognizes that human behaviour is seldom black and white, but rather a multifaceted artwork inspired by a kaleidoscope of internal and external factors. The moral and ethical </w:t>
      </w:r>
      <w:r w:rsidRPr="00C92D49">
        <w:rPr>
          <w:rFonts w:ascii="Times New Roman" w:hAnsi="Times New Roman" w:cs="Times New Roman"/>
          <w:szCs w:val="24"/>
        </w:rPr>
        <w:lastRenderedPageBreak/>
        <w:t>underpinnings coincide with the legal standards in this situation, just as they do in philosophical considerations of free will and the proneness of human judgment.</w:t>
      </w:r>
    </w:p>
    <w:p w14:paraId="1CFA744F" w14:textId="77777777" w:rsidR="00AC05DD" w:rsidRPr="00C92D49" w:rsidRDefault="00AC05DD" w:rsidP="00AC05DD">
      <w:pPr>
        <w:spacing w:line="480" w:lineRule="auto"/>
        <w:ind w:firstLine="720"/>
        <w:jc w:val="both"/>
        <w:rPr>
          <w:rFonts w:ascii="Times New Roman" w:hAnsi="Times New Roman" w:cs="Times New Roman"/>
          <w:szCs w:val="24"/>
        </w:rPr>
      </w:pPr>
      <w:r w:rsidRPr="00C92D49">
        <w:rPr>
          <w:rFonts w:ascii="Times New Roman" w:hAnsi="Times New Roman" w:cs="Times New Roman"/>
          <w:szCs w:val="24"/>
        </w:rPr>
        <w:t>Partial defences to murder, such as decreased culpability and loss of control, are hotly contested area of the law. These defences have been criticized for their intricacy and the possibility of uneven results, albeit promising a possible decrease in charges. The need for premeditation in murder cases is another point of contention. Opponents of the existing "oblique intent" criterion claim that it may lead to uneven interpretation and weaken the clarity of the law since it evaluates whether the defendant foresees the implications of their acts (Downes et al., 2022</w:t>
      </w:r>
      <w:r>
        <w:rPr>
          <w:rFonts w:ascii="Times New Roman" w:hAnsi="Times New Roman" w:cs="Times New Roman"/>
          <w:szCs w:val="24"/>
          <w:lang w:val="en-US"/>
        </w:rPr>
        <w:t>)</w:t>
      </w:r>
      <w:r w:rsidRPr="00C92D49">
        <w:rPr>
          <w:rFonts w:ascii="Times New Roman" w:hAnsi="Times New Roman" w:cs="Times New Roman"/>
          <w:szCs w:val="24"/>
        </w:rPr>
        <w:t>. Since manslaughter covers both intentional and unintentional killing, circumstances may arise in which responsibility is not properly represented in sentences. In addition, the Law Commission has long been critical of the state of the law surrounding homicide and has issued many studies on the topic. The Law Commission recommended many changes in its most recent report from 2006, including the introduction of a new offence of first-degree murder for the most heinous of murders. A sentence of 30 years minimum and up to life in prison would be imposed for such an offence (Braun, 2019). Making second-degree murder an official crime, which would be less severe than first-degree murder. The lowest sentence for this crime would be 20 years, while the maximum would be life in prison. Limiting the application of the manslaughter charge and reforming the partial defences to murder.</w:t>
      </w:r>
    </w:p>
    <w:p w14:paraId="4F4CBCDC" w14:textId="77777777" w:rsidR="00AC05DD" w:rsidRPr="00C92D49" w:rsidRDefault="00AC05DD" w:rsidP="00AC05DD">
      <w:pPr>
        <w:spacing w:line="480" w:lineRule="auto"/>
        <w:ind w:firstLine="720"/>
        <w:jc w:val="both"/>
        <w:rPr>
          <w:rFonts w:ascii="Times New Roman" w:hAnsi="Times New Roman" w:cs="Times New Roman"/>
          <w:szCs w:val="24"/>
        </w:rPr>
      </w:pPr>
      <w:r w:rsidRPr="00C92D49">
        <w:rPr>
          <w:rFonts w:ascii="Times New Roman" w:hAnsi="Times New Roman" w:cs="Times New Roman"/>
          <w:szCs w:val="24"/>
        </w:rPr>
        <w:t>Some legal scholars have praised the Law Commission's ideas, arguing that they are warranted to update the law of homicide to the twenty-first century. Some have argued that the suggestions are too complicated and would not lead to the desired results, while others have defended them. Other organizations have proposed changes to the homicide law in addition to the Law Commission. The Criminal Law Reform Review Group in 2012, also ha</w:t>
      </w:r>
      <w:r>
        <w:rPr>
          <w:rFonts w:ascii="Times New Roman" w:hAnsi="Times New Roman" w:cs="Times New Roman"/>
          <w:szCs w:val="24"/>
        </w:rPr>
        <w:t>d</w:t>
      </w:r>
      <w:r w:rsidRPr="00C92D49">
        <w:rPr>
          <w:rFonts w:ascii="Times New Roman" w:hAnsi="Times New Roman" w:cs="Times New Roman"/>
          <w:szCs w:val="24"/>
        </w:rPr>
        <w:t xml:space="preserve"> the same suggestions as the Law Commission. Another suggestion from the group was that a new crime of "serious violence" be created, carrying a sentence of life in prison with a mandatory </w:t>
      </w:r>
      <w:r w:rsidRPr="00C92D49">
        <w:rPr>
          <w:rFonts w:ascii="Times New Roman" w:hAnsi="Times New Roman" w:cs="Times New Roman"/>
          <w:szCs w:val="24"/>
        </w:rPr>
        <w:lastRenderedPageBreak/>
        <w:t>minimum of 15 years (</w:t>
      </w:r>
      <w:proofErr w:type="spellStart"/>
      <w:r w:rsidRPr="00C92D49">
        <w:rPr>
          <w:rFonts w:ascii="Times New Roman" w:hAnsi="Times New Roman" w:cs="Times New Roman"/>
          <w:szCs w:val="24"/>
        </w:rPr>
        <w:t>Kesserlring</w:t>
      </w:r>
      <w:proofErr w:type="spellEnd"/>
      <w:r w:rsidRPr="00C92D49">
        <w:rPr>
          <w:rFonts w:ascii="Times New Roman" w:hAnsi="Times New Roman" w:cs="Times New Roman"/>
          <w:szCs w:val="24"/>
        </w:rPr>
        <w:t>, 2016). Some reform suggestions have been approved while others have been turned down by the administration. The adoption of some changes, such as the inclusion of "culpable homicide," demonstrates an understanding of the need for a more unified body of law. Concerns about unforeseen repercussions, the feasibility of execution, and the protection of essential legal principles may explain the rejection of other changes.</w:t>
      </w:r>
    </w:p>
    <w:p w14:paraId="4DF62CAC" w14:textId="77777777" w:rsidR="00AC05DD" w:rsidRPr="00C92D49" w:rsidRDefault="00AC05DD" w:rsidP="00AC05DD">
      <w:pPr>
        <w:spacing w:line="480" w:lineRule="auto"/>
        <w:ind w:firstLine="720"/>
        <w:jc w:val="both"/>
        <w:rPr>
          <w:rFonts w:ascii="Times New Roman" w:hAnsi="Times New Roman" w:cs="Times New Roman"/>
          <w:szCs w:val="24"/>
        </w:rPr>
      </w:pPr>
      <w:r w:rsidRPr="00C92D49">
        <w:rPr>
          <w:rFonts w:ascii="Times New Roman" w:hAnsi="Times New Roman" w:cs="Times New Roman"/>
          <w:szCs w:val="24"/>
        </w:rPr>
        <w:t xml:space="preserve">Furthermore, the government's approval of certain reform ideas shows a readiness to update the law and fix its flaws. Aligning with ethical attitudes that prioritize transparency and justice in legal systems, the adoption of "culpable homicide" might simplify the legal process, minimize complexity, and assure more consistent results. However, protecting vital legal foundations and warding off dangers are good arguments for rejecting certain reform ideas. For example, avoiding a trend toward over-criminalization or excessive leniency may be aided by preserving the idea of purpose, which recognizes the basic importance of intention in criminal responsibility (Roach, 2017). Reform opponents said that the Law Commission's recommendations are complicated and would need substantial revisions to the law. Putting this into action would take a lot of time and money.  Reform would fail to accomplish its aims. The reforms proposed by the Law Commission are meant to standardize and standardize the law of homicide (Robinson et al., 2016). Moreover, reforming the law would make it more difficult to understand and would not accomplish the aims it sets out to accomplish.  In addition, more persons would be convicted of murder under Reform. </w:t>
      </w:r>
    </w:p>
    <w:p w14:paraId="781C99C6" w14:textId="77777777" w:rsidR="00AC05DD" w:rsidRPr="00C92D49" w:rsidRDefault="00AC05DD" w:rsidP="00AC05DD">
      <w:pPr>
        <w:spacing w:line="480" w:lineRule="auto"/>
        <w:ind w:firstLine="720"/>
        <w:jc w:val="both"/>
        <w:rPr>
          <w:rFonts w:ascii="Times New Roman" w:hAnsi="Times New Roman" w:cs="Times New Roman"/>
          <w:szCs w:val="24"/>
        </w:rPr>
      </w:pPr>
      <w:r w:rsidRPr="00C92D49">
        <w:rPr>
          <w:rFonts w:ascii="Times New Roman" w:hAnsi="Times New Roman" w:cs="Times New Roman"/>
          <w:szCs w:val="24"/>
        </w:rPr>
        <w:t xml:space="preserve">Under the reforms proposed by the Law Commission, first-degree murder would be a new crime punished by life in prison with a 30-year mandatory minimum. Compared to the existing minimum for murder, which is 15 years, this is a rather lengthy punishment. The courts would be more inclined to convict defendants of first-degree murder rather than manslaughter, it is suggested, leading to a rise in the number of those convicted of murder. Criminal defendants would be harmed by reform. The defence of provocation would be eliminated under </w:t>
      </w:r>
      <w:r w:rsidRPr="00C92D49">
        <w:rPr>
          <w:rFonts w:ascii="Times New Roman" w:hAnsi="Times New Roman" w:cs="Times New Roman"/>
          <w:szCs w:val="24"/>
        </w:rPr>
        <w:lastRenderedPageBreak/>
        <w:t>the reforms proposed by the Law Commission (</w:t>
      </w:r>
      <w:proofErr w:type="spellStart"/>
      <w:r w:rsidRPr="00C92D49">
        <w:rPr>
          <w:rFonts w:ascii="Times New Roman" w:hAnsi="Times New Roman" w:cs="Times New Roman"/>
          <w:szCs w:val="24"/>
        </w:rPr>
        <w:t>Gunnisob</w:t>
      </w:r>
      <w:proofErr w:type="spellEnd"/>
      <w:r w:rsidRPr="00C92D49">
        <w:rPr>
          <w:rFonts w:ascii="Times New Roman" w:hAnsi="Times New Roman" w:cs="Times New Roman"/>
          <w:szCs w:val="24"/>
        </w:rPr>
        <w:t xml:space="preserve"> et al., 2016). Defendants who murder someone in self-defence because they were provoked by the victim's actions may already use this defence. Removing this defence, it is claimed, would be unjust to defendants who are legitimately provoked by the victim's actions. </w:t>
      </w:r>
    </w:p>
    <w:p w14:paraId="7C443238" w14:textId="77777777" w:rsidR="00AC05DD" w:rsidRPr="00C92D49" w:rsidRDefault="00AC05DD" w:rsidP="00AC05DD">
      <w:pPr>
        <w:spacing w:line="480" w:lineRule="auto"/>
        <w:jc w:val="both"/>
        <w:rPr>
          <w:rFonts w:ascii="Times New Roman" w:hAnsi="Times New Roman" w:cs="Times New Roman"/>
          <w:b/>
          <w:szCs w:val="24"/>
          <w:lang w:val="en-US"/>
        </w:rPr>
      </w:pPr>
      <w:r w:rsidRPr="00C92D49">
        <w:rPr>
          <w:rFonts w:ascii="Times New Roman" w:hAnsi="Times New Roman" w:cs="Times New Roman"/>
          <w:b/>
          <w:szCs w:val="24"/>
          <w:lang w:val="en-US"/>
        </w:rPr>
        <w:t>Conclusion</w:t>
      </w:r>
    </w:p>
    <w:p w14:paraId="5F4780C2" w14:textId="77777777" w:rsidR="00AC05DD" w:rsidRPr="00C92D49" w:rsidRDefault="00AC05DD" w:rsidP="00AC05DD">
      <w:pPr>
        <w:spacing w:line="480" w:lineRule="auto"/>
        <w:ind w:firstLine="720"/>
        <w:jc w:val="both"/>
        <w:rPr>
          <w:rFonts w:ascii="Times New Roman" w:hAnsi="Times New Roman" w:cs="Times New Roman"/>
          <w:szCs w:val="24"/>
        </w:rPr>
      </w:pPr>
      <w:r w:rsidRPr="00C92D49">
        <w:rPr>
          <w:rFonts w:ascii="Times New Roman" w:hAnsi="Times New Roman" w:cs="Times New Roman"/>
          <w:szCs w:val="24"/>
        </w:rPr>
        <w:t xml:space="preserve">Therefore, the Law Commission and other agencies have recognized that the law regulating homicide in England and Wales needs amendments. In terms of partial defences, intent requirements, and the scope of manslaughter, the current legal system, which has been described as a "rickety structure set upon shaky foundations," provides considerable obstacles. It is important to strike a balance between the need for change and the protection of fundamental legal norms, as seen by the government's selective adoption of reform ideas. Ethical principles that place a premium on fairness, transparency, and the improvement of the criminal justice system </w:t>
      </w:r>
      <w:proofErr w:type="gramStart"/>
      <w:r w:rsidRPr="00C92D49">
        <w:rPr>
          <w:rFonts w:ascii="Times New Roman" w:hAnsi="Times New Roman" w:cs="Times New Roman"/>
          <w:szCs w:val="24"/>
        </w:rPr>
        <w:t>as a whole should</w:t>
      </w:r>
      <w:proofErr w:type="gramEnd"/>
      <w:r w:rsidRPr="00C92D49">
        <w:rPr>
          <w:rFonts w:ascii="Times New Roman" w:hAnsi="Times New Roman" w:cs="Times New Roman"/>
          <w:szCs w:val="24"/>
        </w:rPr>
        <w:t xml:space="preserve"> serve as the compass for reform initiatives.</w:t>
      </w:r>
    </w:p>
    <w:p w14:paraId="55237A67" w14:textId="77777777" w:rsidR="00AC05DD" w:rsidRPr="00C92D49" w:rsidRDefault="00AC05DD" w:rsidP="00AC05DD">
      <w:pPr>
        <w:spacing w:line="480" w:lineRule="auto"/>
        <w:ind w:firstLine="720"/>
        <w:jc w:val="both"/>
        <w:rPr>
          <w:rFonts w:ascii="Times New Roman" w:hAnsi="Times New Roman" w:cs="Times New Roman"/>
          <w:b/>
          <w:szCs w:val="24"/>
        </w:rPr>
      </w:pPr>
    </w:p>
    <w:p w14:paraId="4D1B98C9" w14:textId="77777777" w:rsidR="00AC05DD" w:rsidRPr="00C92D49" w:rsidRDefault="00AC05DD" w:rsidP="00AC05DD">
      <w:pPr>
        <w:spacing w:line="480" w:lineRule="auto"/>
        <w:ind w:firstLine="720"/>
        <w:jc w:val="both"/>
        <w:rPr>
          <w:rFonts w:ascii="Times New Roman" w:hAnsi="Times New Roman" w:cs="Times New Roman"/>
          <w:b/>
          <w:szCs w:val="24"/>
        </w:rPr>
      </w:pPr>
    </w:p>
    <w:p w14:paraId="36C128EB" w14:textId="77777777" w:rsidR="00AC05DD" w:rsidRPr="00C92D49" w:rsidRDefault="00AC05DD" w:rsidP="00AC05DD">
      <w:pPr>
        <w:spacing w:line="480" w:lineRule="auto"/>
        <w:ind w:firstLine="720"/>
        <w:jc w:val="both"/>
        <w:rPr>
          <w:rFonts w:ascii="Times New Roman" w:hAnsi="Times New Roman" w:cs="Times New Roman"/>
          <w:b/>
          <w:szCs w:val="24"/>
        </w:rPr>
      </w:pPr>
    </w:p>
    <w:p w14:paraId="2B4B874E" w14:textId="77777777" w:rsidR="00AC05DD" w:rsidRDefault="00AC05DD" w:rsidP="00AC05DD">
      <w:pPr>
        <w:spacing w:line="480" w:lineRule="auto"/>
        <w:ind w:firstLine="720"/>
        <w:jc w:val="both"/>
        <w:rPr>
          <w:rFonts w:ascii="Times New Roman" w:hAnsi="Times New Roman" w:cs="Times New Roman"/>
          <w:b/>
          <w:szCs w:val="24"/>
        </w:rPr>
      </w:pPr>
    </w:p>
    <w:p w14:paraId="0B927D34" w14:textId="77777777" w:rsidR="00AC05DD" w:rsidRDefault="00AC05DD" w:rsidP="00AC05DD">
      <w:pPr>
        <w:spacing w:line="480" w:lineRule="auto"/>
        <w:ind w:firstLine="720"/>
        <w:jc w:val="both"/>
        <w:rPr>
          <w:rFonts w:ascii="Times New Roman" w:hAnsi="Times New Roman" w:cs="Times New Roman"/>
          <w:b/>
          <w:szCs w:val="24"/>
        </w:rPr>
      </w:pPr>
    </w:p>
    <w:p w14:paraId="0DD9DA68" w14:textId="77777777" w:rsidR="00AC05DD" w:rsidRDefault="00AC05DD" w:rsidP="00AC05DD">
      <w:pPr>
        <w:spacing w:line="480" w:lineRule="auto"/>
        <w:ind w:firstLine="720"/>
        <w:jc w:val="both"/>
        <w:rPr>
          <w:rFonts w:ascii="Times New Roman" w:hAnsi="Times New Roman" w:cs="Times New Roman"/>
          <w:b/>
          <w:szCs w:val="24"/>
        </w:rPr>
      </w:pPr>
    </w:p>
    <w:p w14:paraId="799C8931" w14:textId="77777777" w:rsidR="00AC05DD" w:rsidRDefault="00AC05DD" w:rsidP="00AC05DD">
      <w:pPr>
        <w:spacing w:line="480" w:lineRule="auto"/>
        <w:ind w:firstLine="720"/>
        <w:jc w:val="both"/>
        <w:rPr>
          <w:rFonts w:ascii="Times New Roman" w:hAnsi="Times New Roman" w:cs="Times New Roman"/>
          <w:b/>
          <w:szCs w:val="24"/>
        </w:rPr>
      </w:pPr>
    </w:p>
    <w:p w14:paraId="05480C99" w14:textId="77777777" w:rsidR="00AC05DD" w:rsidRDefault="00AC05DD" w:rsidP="00AC05DD">
      <w:pPr>
        <w:spacing w:line="480" w:lineRule="auto"/>
        <w:ind w:firstLine="720"/>
        <w:jc w:val="both"/>
        <w:rPr>
          <w:rFonts w:ascii="Times New Roman" w:hAnsi="Times New Roman" w:cs="Times New Roman"/>
          <w:b/>
          <w:szCs w:val="24"/>
        </w:rPr>
      </w:pPr>
    </w:p>
    <w:p w14:paraId="3817FD5C" w14:textId="77777777" w:rsidR="00AC05DD" w:rsidRDefault="00AC05DD" w:rsidP="00AC05DD">
      <w:pPr>
        <w:spacing w:line="480" w:lineRule="auto"/>
        <w:ind w:firstLine="720"/>
        <w:jc w:val="both"/>
        <w:rPr>
          <w:rFonts w:ascii="Times New Roman" w:hAnsi="Times New Roman" w:cs="Times New Roman"/>
          <w:b/>
          <w:szCs w:val="24"/>
        </w:rPr>
      </w:pPr>
    </w:p>
    <w:p w14:paraId="0B5F799B" w14:textId="77777777" w:rsidR="00AC05DD" w:rsidRDefault="00AC05DD" w:rsidP="00AC05DD">
      <w:pPr>
        <w:spacing w:line="480" w:lineRule="auto"/>
        <w:ind w:firstLine="720"/>
        <w:jc w:val="both"/>
        <w:rPr>
          <w:rFonts w:ascii="Times New Roman" w:hAnsi="Times New Roman" w:cs="Times New Roman"/>
          <w:b/>
          <w:szCs w:val="24"/>
        </w:rPr>
      </w:pPr>
    </w:p>
    <w:p w14:paraId="68C8F836" w14:textId="77777777" w:rsidR="00AC05DD" w:rsidRDefault="00AC05DD" w:rsidP="00AC05DD">
      <w:pPr>
        <w:spacing w:line="480" w:lineRule="auto"/>
        <w:ind w:firstLine="720"/>
        <w:jc w:val="both"/>
        <w:rPr>
          <w:rFonts w:ascii="Times New Roman" w:hAnsi="Times New Roman" w:cs="Times New Roman"/>
          <w:b/>
          <w:szCs w:val="24"/>
        </w:rPr>
      </w:pPr>
    </w:p>
    <w:p w14:paraId="00E725B5" w14:textId="77777777" w:rsidR="00AC05DD" w:rsidRPr="00C92D49" w:rsidRDefault="00AC05DD" w:rsidP="00AC05DD">
      <w:pPr>
        <w:spacing w:line="480" w:lineRule="auto"/>
        <w:ind w:firstLine="720"/>
        <w:jc w:val="both"/>
        <w:rPr>
          <w:rFonts w:ascii="Times New Roman" w:hAnsi="Times New Roman" w:cs="Times New Roman"/>
          <w:b/>
          <w:szCs w:val="24"/>
        </w:rPr>
      </w:pPr>
    </w:p>
    <w:p w14:paraId="3E9E4E6C" w14:textId="77777777" w:rsidR="00AC05DD" w:rsidRDefault="00AC05DD" w:rsidP="00AC05DD">
      <w:pPr>
        <w:spacing w:line="480" w:lineRule="auto"/>
        <w:rPr>
          <w:rFonts w:ascii="Times New Roman" w:hAnsi="Times New Roman" w:cs="Times New Roman"/>
          <w:szCs w:val="24"/>
        </w:rPr>
      </w:pPr>
    </w:p>
    <w:p w14:paraId="5A334B84" w14:textId="77777777" w:rsidR="00AC05DD" w:rsidRDefault="00AC05DD" w:rsidP="00AC05DD">
      <w:pPr>
        <w:spacing w:line="480" w:lineRule="auto"/>
        <w:rPr>
          <w:rFonts w:ascii="Times New Roman" w:hAnsi="Times New Roman" w:cs="Times New Roman"/>
          <w:szCs w:val="24"/>
        </w:rPr>
      </w:pPr>
    </w:p>
    <w:p w14:paraId="7CE4FACA" w14:textId="77777777" w:rsidR="00AC05DD" w:rsidRDefault="00AC05DD" w:rsidP="00AC05DD">
      <w:pPr>
        <w:spacing w:line="480" w:lineRule="auto"/>
        <w:rPr>
          <w:rFonts w:ascii="Times New Roman" w:hAnsi="Times New Roman" w:cs="Times New Roman"/>
          <w:szCs w:val="24"/>
        </w:rPr>
      </w:pPr>
    </w:p>
    <w:p w14:paraId="7776108A" w14:textId="77777777" w:rsidR="00AC05DD" w:rsidRPr="00C92D49" w:rsidRDefault="00AC05DD" w:rsidP="00AC05DD">
      <w:pPr>
        <w:spacing w:line="480" w:lineRule="auto"/>
        <w:rPr>
          <w:rFonts w:ascii="Times New Roman" w:hAnsi="Times New Roman" w:cs="Times New Roman"/>
          <w:szCs w:val="24"/>
        </w:rPr>
      </w:pPr>
    </w:p>
    <w:p w14:paraId="07657366" w14:textId="77777777" w:rsidR="00AC05DD" w:rsidRPr="00C92D49" w:rsidRDefault="00AC05DD" w:rsidP="00AC05DD">
      <w:pPr>
        <w:spacing w:line="480" w:lineRule="auto"/>
        <w:jc w:val="center"/>
        <w:rPr>
          <w:rFonts w:ascii="Times New Roman" w:hAnsi="Times New Roman" w:cs="Times New Roman"/>
          <w:b/>
          <w:szCs w:val="24"/>
        </w:rPr>
      </w:pPr>
      <w:r w:rsidRPr="00C92D49">
        <w:rPr>
          <w:rFonts w:ascii="Times New Roman" w:hAnsi="Times New Roman" w:cs="Times New Roman"/>
          <w:b/>
          <w:szCs w:val="24"/>
        </w:rPr>
        <w:t>References</w:t>
      </w:r>
    </w:p>
    <w:p w14:paraId="5A08CDDF" w14:textId="77777777" w:rsidR="00AC05DD" w:rsidRPr="00C92D49" w:rsidRDefault="00AC05DD" w:rsidP="00AC05DD">
      <w:pPr>
        <w:spacing w:after="0" w:line="480" w:lineRule="auto"/>
        <w:ind w:left="720" w:hanging="720"/>
        <w:rPr>
          <w:rFonts w:ascii="Times New Roman" w:hAnsi="Times New Roman" w:cs="Times New Roman"/>
          <w:szCs w:val="24"/>
          <w:shd w:val="clear" w:color="auto" w:fill="FFFFFF"/>
        </w:rPr>
      </w:pPr>
      <w:r w:rsidRPr="00C92D49">
        <w:rPr>
          <w:rFonts w:ascii="Times New Roman" w:hAnsi="Times New Roman" w:cs="Times New Roman"/>
          <w:szCs w:val="24"/>
          <w:shd w:val="clear" w:color="auto" w:fill="FFFFFF"/>
        </w:rPr>
        <w:t>Braun, K., 2019. </w:t>
      </w:r>
      <w:r w:rsidRPr="00C92D49">
        <w:rPr>
          <w:rFonts w:ascii="Times New Roman" w:hAnsi="Times New Roman" w:cs="Times New Roman"/>
          <w:i/>
          <w:iCs/>
          <w:szCs w:val="24"/>
          <w:shd w:val="clear" w:color="auto" w:fill="FFFFFF"/>
        </w:rPr>
        <w:t>Victim participation rights: Variation across criminal justice systems</w:t>
      </w:r>
      <w:r w:rsidRPr="00C92D49">
        <w:rPr>
          <w:rFonts w:ascii="Times New Roman" w:hAnsi="Times New Roman" w:cs="Times New Roman"/>
          <w:szCs w:val="24"/>
          <w:shd w:val="clear" w:color="auto" w:fill="FFFFFF"/>
        </w:rPr>
        <w:t>. Springer.</w:t>
      </w:r>
    </w:p>
    <w:p w14:paraId="1ECEB83C" w14:textId="77777777" w:rsidR="00AC05DD" w:rsidRPr="00C92D49" w:rsidRDefault="00AC05DD" w:rsidP="00AC05DD">
      <w:pPr>
        <w:spacing w:after="0" w:line="480" w:lineRule="auto"/>
        <w:ind w:left="720" w:hanging="720"/>
        <w:rPr>
          <w:rFonts w:ascii="Times New Roman" w:hAnsi="Times New Roman" w:cs="Times New Roman"/>
          <w:szCs w:val="24"/>
          <w:shd w:val="clear" w:color="auto" w:fill="FFFFFF"/>
        </w:rPr>
      </w:pPr>
      <w:r w:rsidRPr="00C92D49">
        <w:rPr>
          <w:rFonts w:ascii="Times New Roman" w:hAnsi="Times New Roman" w:cs="Times New Roman"/>
          <w:szCs w:val="24"/>
          <w:shd w:val="clear" w:color="auto" w:fill="FFFFFF"/>
        </w:rPr>
        <w:t>Crewe, B., Hulley, S. and Wright, S., 2020. </w:t>
      </w:r>
      <w:r w:rsidRPr="00C92D49">
        <w:rPr>
          <w:rFonts w:ascii="Times New Roman" w:hAnsi="Times New Roman" w:cs="Times New Roman"/>
          <w:i/>
          <w:iCs/>
          <w:szCs w:val="24"/>
          <w:shd w:val="clear" w:color="auto" w:fill="FFFFFF"/>
        </w:rPr>
        <w:t>Life imprisonment from young adulthood</w:t>
      </w:r>
      <w:r w:rsidRPr="00C92D49">
        <w:rPr>
          <w:rFonts w:ascii="Times New Roman" w:hAnsi="Times New Roman" w:cs="Times New Roman"/>
          <w:szCs w:val="24"/>
          <w:shd w:val="clear" w:color="auto" w:fill="FFFFFF"/>
        </w:rPr>
        <w:t>. London: Palgrave Macmillan UK.</w:t>
      </w:r>
    </w:p>
    <w:p w14:paraId="7B7E8F90" w14:textId="77777777" w:rsidR="00AC05DD" w:rsidRPr="00C92D49" w:rsidRDefault="00AC05DD" w:rsidP="00AC05DD">
      <w:pPr>
        <w:spacing w:after="0" w:line="480" w:lineRule="auto"/>
        <w:ind w:left="720" w:hanging="720"/>
        <w:rPr>
          <w:rFonts w:ascii="Times New Roman" w:hAnsi="Times New Roman" w:cs="Times New Roman"/>
          <w:szCs w:val="24"/>
          <w:shd w:val="clear" w:color="auto" w:fill="FFFFFF"/>
        </w:rPr>
      </w:pPr>
      <w:r w:rsidRPr="00C92D49">
        <w:rPr>
          <w:rFonts w:ascii="Times New Roman" w:hAnsi="Times New Roman" w:cs="Times New Roman"/>
          <w:szCs w:val="24"/>
          <w:shd w:val="clear" w:color="auto" w:fill="FFFFFF"/>
        </w:rPr>
        <w:t>Downes, D. and Newburn, T., 2022. </w:t>
      </w:r>
      <w:r w:rsidRPr="00C92D49">
        <w:rPr>
          <w:rFonts w:ascii="Times New Roman" w:hAnsi="Times New Roman" w:cs="Times New Roman"/>
          <w:i/>
          <w:iCs/>
          <w:szCs w:val="24"/>
          <w:shd w:val="clear" w:color="auto" w:fill="FFFFFF"/>
        </w:rPr>
        <w:t>The Official History of Criminal Justice in England and Wales: Volume IV: The Politics of Law and Order</w:t>
      </w:r>
      <w:r w:rsidRPr="00C92D49">
        <w:rPr>
          <w:rFonts w:ascii="Times New Roman" w:hAnsi="Times New Roman" w:cs="Times New Roman"/>
          <w:szCs w:val="24"/>
          <w:shd w:val="clear" w:color="auto" w:fill="FFFFFF"/>
        </w:rPr>
        <w:t>. Taylor &amp; Francis.</w:t>
      </w:r>
    </w:p>
    <w:p w14:paraId="4156893D" w14:textId="77777777" w:rsidR="00AC05DD" w:rsidRPr="00C92D49" w:rsidRDefault="00AC05DD" w:rsidP="00AC05DD">
      <w:pPr>
        <w:spacing w:after="0" w:line="480" w:lineRule="auto"/>
        <w:ind w:left="720" w:hanging="720"/>
        <w:rPr>
          <w:rFonts w:ascii="Times New Roman" w:hAnsi="Times New Roman" w:cs="Times New Roman"/>
          <w:szCs w:val="24"/>
          <w:shd w:val="clear" w:color="auto" w:fill="FFFFFF"/>
        </w:rPr>
      </w:pPr>
      <w:r w:rsidRPr="00C92D49">
        <w:rPr>
          <w:rFonts w:ascii="Times New Roman" w:hAnsi="Times New Roman" w:cs="Times New Roman"/>
          <w:szCs w:val="24"/>
          <w:shd w:val="clear" w:color="auto" w:fill="FFFFFF"/>
        </w:rPr>
        <w:t>Gunnison, E., Bernat, F.P. and Goodstein, L., 2016. </w:t>
      </w:r>
      <w:r w:rsidRPr="00C92D49">
        <w:rPr>
          <w:rFonts w:ascii="Times New Roman" w:hAnsi="Times New Roman" w:cs="Times New Roman"/>
          <w:i/>
          <w:iCs/>
          <w:szCs w:val="24"/>
          <w:shd w:val="clear" w:color="auto" w:fill="FFFFFF"/>
        </w:rPr>
        <w:t>Women, crime, and justice: Balancing the scales</w:t>
      </w:r>
      <w:r w:rsidRPr="00C92D49">
        <w:rPr>
          <w:rFonts w:ascii="Times New Roman" w:hAnsi="Times New Roman" w:cs="Times New Roman"/>
          <w:szCs w:val="24"/>
          <w:shd w:val="clear" w:color="auto" w:fill="FFFFFF"/>
        </w:rPr>
        <w:t>. John Wiley &amp; Sons.</w:t>
      </w:r>
    </w:p>
    <w:p w14:paraId="2FDBC1CD" w14:textId="77777777" w:rsidR="00AC05DD" w:rsidRPr="00C92D49" w:rsidRDefault="00AC05DD" w:rsidP="00AC05DD">
      <w:pPr>
        <w:spacing w:after="0" w:line="480" w:lineRule="auto"/>
        <w:ind w:left="720" w:hanging="720"/>
        <w:rPr>
          <w:rFonts w:ascii="Times New Roman" w:hAnsi="Times New Roman" w:cs="Times New Roman"/>
          <w:szCs w:val="24"/>
          <w:shd w:val="clear" w:color="auto" w:fill="FFFFFF"/>
        </w:rPr>
      </w:pPr>
      <w:r w:rsidRPr="00C92D49">
        <w:rPr>
          <w:rFonts w:ascii="Times New Roman" w:hAnsi="Times New Roman" w:cs="Times New Roman"/>
          <w:szCs w:val="24"/>
          <w:shd w:val="clear" w:color="auto" w:fill="FFFFFF"/>
        </w:rPr>
        <w:t>Kesselring, K.J., 2016. No greater provocation? Adultery and the mitigation of murder in English law. </w:t>
      </w:r>
      <w:r w:rsidRPr="00C92D49">
        <w:rPr>
          <w:rFonts w:ascii="Times New Roman" w:hAnsi="Times New Roman" w:cs="Times New Roman"/>
          <w:i/>
          <w:iCs/>
          <w:szCs w:val="24"/>
          <w:shd w:val="clear" w:color="auto" w:fill="FFFFFF"/>
        </w:rPr>
        <w:t>Law and History Review</w:t>
      </w:r>
      <w:r w:rsidRPr="00C92D49">
        <w:rPr>
          <w:rFonts w:ascii="Times New Roman" w:hAnsi="Times New Roman" w:cs="Times New Roman"/>
          <w:szCs w:val="24"/>
          <w:shd w:val="clear" w:color="auto" w:fill="FFFFFF"/>
        </w:rPr>
        <w:t>, </w:t>
      </w:r>
      <w:r w:rsidRPr="00C92D49">
        <w:rPr>
          <w:rFonts w:ascii="Times New Roman" w:hAnsi="Times New Roman" w:cs="Times New Roman"/>
          <w:i/>
          <w:iCs/>
          <w:szCs w:val="24"/>
          <w:shd w:val="clear" w:color="auto" w:fill="FFFFFF"/>
        </w:rPr>
        <w:t>34</w:t>
      </w:r>
      <w:r w:rsidRPr="00C92D49">
        <w:rPr>
          <w:rFonts w:ascii="Times New Roman" w:hAnsi="Times New Roman" w:cs="Times New Roman"/>
          <w:szCs w:val="24"/>
          <w:shd w:val="clear" w:color="auto" w:fill="FFFFFF"/>
        </w:rPr>
        <w:t>(1), pp.199-225.</w:t>
      </w:r>
    </w:p>
    <w:p w14:paraId="1CA6AABE" w14:textId="77777777" w:rsidR="00AC05DD" w:rsidRPr="00C92D49" w:rsidRDefault="00AC05DD" w:rsidP="00AC05DD">
      <w:pPr>
        <w:spacing w:after="0" w:line="480" w:lineRule="auto"/>
        <w:ind w:left="720" w:hanging="720"/>
        <w:rPr>
          <w:rFonts w:ascii="Times New Roman" w:hAnsi="Times New Roman" w:cs="Times New Roman"/>
          <w:szCs w:val="24"/>
          <w:shd w:val="clear" w:color="auto" w:fill="FFFFFF"/>
        </w:rPr>
      </w:pPr>
      <w:r w:rsidRPr="00C92D49">
        <w:rPr>
          <w:rFonts w:ascii="Times New Roman" w:hAnsi="Times New Roman" w:cs="Times New Roman"/>
          <w:szCs w:val="24"/>
          <w:shd w:val="clear" w:color="auto" w:fill="FFFFFF"/>
        </w:rPr>
        <w:t>Lynes, A., Yardley, E. and Danos, L., 2021. </w:t>
      </w:r>
      <w:r w:rsidRPr="00C92D49">
        <w:rPr>
          <w:rFonts w:ascii="Times New Roman" w:hAnsi="Times New Roman" w:cs="Times New Roman"/>
          <w:i/>
          <w:iCs/>
          <w:szCs w:val="24"/>
          <w:shd w:val="clear" w:color="auto" w:fill="FFFFFF"/>
        </w:rPr>
        <w:t>Making sense of homicide: A student textbook</w:t>
      </w:r>
      <w:r w:rsidRPr="00C92D49">
        <w:rPr>
          <w:rFonts w:ascii="Times New Roman" w:hAnsi="Times New Roman" w:cs="Times New Roman"/>
          <w:szCs w:val="24"/>
          <w:shd w:val="clear" w:color="auto" w:fill="FFFFFF"/>
        </w:rPr>
        <w:t>. Waterside Press.</w:t>
      </w:r>
    </w:p>
    <w:p w14:paraId="40F109A0" w14:textId="77777777" w:rsidR="00AC05DD" w:rsidRPr="00C92D49" w:rsidRDefault="00AC05DD" w:rsidP="00AC05DD">
      <w:pPr>
        <w:spacing w:after="0" w:line="480" w:lineRule="auto"/>
        <w:ind w:left="720" w:hanging="720"/>
        <w:rPr>
          <w:rFonts w:ascii="Times New Roman" w:hAnsi="Times New Roman" w:cs="Times New Roman"/>
          <w:szCs w:val="24"/>
          <w:shd w:val="clear" w:color="auto" w:fill="FFFFFF"/>
        </w:rPr>
      </w:pPr>
      <w:r w:rsidRPr="00C92D49">
        <w:rPr>
          <w:rFonts w:ascii="Times New Roman" w:hAnsi="Times New Roman" w:cs="Times New Roman"/>
          <w:szCs w:val="24"/>
          <w:shd w:val="clear" w:color="auto" w:fill="FFFFFF"/>
        </w:rPr>
        <w:t>Mackay, R. and Mitchell, B.J., 2017. The new diminished responsibility plea in operation-some initial findings.</w:t>
      </w:r>
    </w:p>
    <w:p w14:paraId="7A0B075A" w14:textId="77777777" w:rsidR="00AC05DD" w:rsidRPr="00C92D49" w:rsidRDefault="00AC05DD" w:rsidP="00AC05DD">
      <w:pPr>
        <w:spacing w:after="0" w:line="480" w:lineRule="auto"/>
        <w:ind w:left="720" w:hanging="720"/>
        <w:rPr>
          <w:rFonts w:ascii="Times New Roman" w:hAnsi="Times New Roman" w:cs="Times New Roman"/>
          <w:szCs w:val="24"/>
          <w:shd w:val="clear" w:color="auto" w:fill="FFFFFF"/>
        </w:rPr>
      </w:pPr>
      <w:r w:rsidRPr="00C92D49">
        <w:rPr>
          <w:rFonts w:ascii="Times New Roman" w:hAnsi="Times New Roman" w:cs="Times New Roman"/>
          <w:szCs w:val="24"/>
          <w:shd w:val="clear" w:color="auto" w:fill="FFFFFF"/>
        </w:rPr>
        <w:lastRenderedPageBreak/>
        <w:t>Roach, K., 2017. Reforming and resisting criminal law: Criminal justice and the tragically hip. </w:t>
      </w:r>
      <w:r w:rsidRPr="00C92D49">
        <w:rPr>
          <w:rFonts w:ascii="Times New Roman" w:hAnsi="Times New Roman" w:cs="Times New Roman"/>
          <w:i/>
          <w:iCs/>
          <w:szCs w:val="24"/>
          <w:shd w:val="clear" w:color="auto" w:fill="FFFFFF"/>
        </w:rPr>
        <w:t>Man. LJ</w:t>
      </w:r>
      <w:r w:rsidRPr="00C92D49">
        <w:rPr>
          <w:rFonts w:ascii="Times New Roman" w:hAnsi="Times New Roman" w:cs="Times New Roman"/>
          <w:szCs w:val="24"/>
          <w:shd w:val="clear" w:color="auto" w:fill="FFFFFF"/>
        </w:rPr>
        <w:t>, </w:t>
      </w:r>
      <w:r w:rsidRPr="00C92D49">
        <w:rPr>
          <w:rFonts w:ascii="Times New Roman" w:hAnsi="Times New Roman" w:cs="Times New Roman"/>
          <w:i/>
          <w:iCs/>
          <w:szCs w:val="24"/>
          <w:shd w:val="clear" w:color="auto" w:fill="FFFFFF"/>
        </w:rPr>
        <w:t>40</w:t>
      </w:r>
      <w:r w:rsidRPr="00C92D49">
        <w:rPr>
          <w:rFonts w:ascii="Times New Roman" w:hAnsi="Times New Roman" w:cs="Times New Roman"/>
          <w:szCs w:val="24"/>
          <w:shd w:val="clear" w:color="auto" w:fill="FFFFFF"/>
        </w:rPr>
        <w:t>, p.1.</w:t>
      </w:r>
    </w:p>
    <w:p w14:paraId="14260BCC" w14:textId="77777777" w:rsidR="00AC05DD" w:rsidRPr="00C92D49" w:rsidRDefault="00AC05DD" w:rsidP="00AC05DD">
      <w:pPr>
        <w:spacing w:after="0" w:line="480" w:lineRule="auto"/>
        <w:ind w:left="720" w:hanging="720"/>
        <w:rPr>
          <w:rFonts w:ascii="Times New Roman" w:hAnsi="Times New Roman" w:cs="Times New Roman"/>
          <w:szCs w:val="24"/>
          <w:shd w:val="clear" w:color="auto" w:fill="FFFFFF"/>
        </w:rPr>
      </w:pPr>
      <w:r w:rsidRPr="00C92D49">
        <w:rPr>
          <w:rFonts w:ascii="Times New Roman" w:hAnsi="Times New Roman" w:cs="Times New Roman"/>
          <w:szCs w:val="24"/>
          <w:shd w:val="clear" w:color="auto" w:fill="FFFFFF"/>
        </w:rPr>
        <w:t>Robinson, G., Burke, L. and Millings, M., 2016. Criminal justice identities in transition: The case of devolved probation services in England and Wales. </w:t>
      </w:r>
      <w:r w:rsidRPr="00C92D49">
        <w:rPr>
          <w:rFonts w:ascii="Times New Roman" w:hAnsi="Times New Roman" w:cs="Times New Roman"/>
          <w:i/>
          <w:iCs/>
          <w:szCs w:val="24"/>
          <w:shd w:val="clear" w:color="auto" w:fill="FFFFFF"/>
        </w:rPr>
        <w:t>British journal of criminology</w:t>
      </w:r>
      <w:r w:rsidRPr="00C92D49">
        <w:rPr>
          <w:rFonts w:ascii="Times New Roman" w:hAnsi="Times New Roman" w:cs="Times New Roman"/>
          <w:szCs w:val="24"/>
          <w:shd w:val="clear" w:color="auto" w:fill="FFFFFF"/>
        </w:rPr>
        <w:t>, </w:t>
      </w:r>
      <w:r w:rsidRPr="00C92D49">
        <w:rPr>
          <w:rFonts w:ascii="Times New Roman" w:hAnsi="Times New Roman" w:cs="Times New Roman"/>
          <w:i/>
          <w:iCs/>
          <w:szCs w:val="24"/>
          <w:shd w:val="clear" w:color="auto" w:fill="FFFFFF"/>
        </w:rPr>
        <w:t>56</w:t>
      </w:r>
      <w:r w:rsidRPr="00C92D49">
        <w:rPr>
          <w:rFonts w:ascii="Times New Roman" w:hAnsi="Times New Roman" w:cs="Times New Roman"/>
          <w:szCs w:val="24"/>
          <w:shd w:val="clear" w:color="auto" w:fill="FFFFFF"/>
        </w:rPr>
        <w:t>(1), pp.161-178.</w:t>
      </w:r>
    </w:p>
    <w:p w14:paraId="129F4D94" w14:textId="77777777" w:rsidR="00AC05DD" w:rsidRPr="00C92D49" w:rsidRDefault="00AC05DD" w:rsidP="00AC05DD">
      <w:pPr>
        <w:spacing w:after="0" w:line="480" w:lineRule="auto"/>
        <w:ind w:left="720" w:hanging="720"/>
        <w:rPr>
          <w:rFonts w:ascii="Times New Roman" w:hAnsi="Times New Roman" w:cs="Times New Roman"/>
          <w:szCs w:val="24"/>
          <w:shd w:val="clear" w:color="auto" w:fill="FFFFFF"/>
        </w:rPr>
      </w:pPr>
      <w:proofErr w:type="spellStart"/>
      <w:r w:rsidRPr="00C92D49">
        <w:rPr>
          <w:rFonts w:ascii="Times New Roman" w:hAnsi="Times New Roman" w:cs="Times New Roman"/>
          <w:szCs w:val="24"/>
          <w:shd w:val="clear" w:color="auto" w:fill="FFFFFF"/>
        </w:rPr>
        <w:t>Valyaev</w:t>
      </w:r>
      <w:proofErr w:type="spellEnd"/>
      <w:r w:rsidRPr="00C92D49">
        <w:rPr>
          <w:rFonts w:ascii="Times New Roman" w:hAnsi="Times New Roman" w:cs="Times New Roman"/>
          <w:szCs w:val="24"/>
          <w:shd w:val="clear" w:color="auto" w:fill="FFFFFF"/>
        </w:rPr>
        <w:t>, V., 2016. MURDER AS A CRIMINAL ACT IN THE LEGAL BASES OF THE DIFFERENT COUNTRIES.</w:t>
      </w:r>
    </w:p>
    <w:p w14:paraId="046FF0A6" w14:textId="77777777" w:rsidR="00AC05DD" w:rsidRPr="00C92D49" w:rsidRDefault="00AC05DD" w:rsidP="00AC05DD">
      <w:pPr>
        <w:spacing w:after="0" w:line="480" w:lineRule="auto"/>
        <w:rPr>
          <w:rFonts w:ascii="Times New Roman" w:hAnsi="Times New Roman" w:cs="Times New Roman"/>
          <w:szCs w:val="24"/>
        </w:rPr>
      </w:pPr>
    </w:p>
    <w:p w14:paraId="17B8952E" w14:textId="77777777" w:rsidR="00D53BC8" w:rsidRDefault="00D53BC8"/>
    <w:sectPr w:rsidR="00D53B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5DD"/>
    <w:rsid w:val="00021ED4"/>
    <w:rsid w:val="006146F7"/>
    <w:rsid w:val="008D723C"/>
    <w:rsid w:val="00AC05DD"/>
    <w:rsid w:val="00B20296"/>
    <w:rsid w:val="00D53BC8"/>
    <w:rsid w:val="00E76B9F"/>
    <w:rsid w:val="00F316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4B8A0"/>
  <w15:chartTrackingRefBased/>
  <w15:docId w15:val="{133503C3-F370-4785-846E-B9AE6B155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5DD"/>
    <w:rPr>
      <w:rFonts w:asciiTheme="majorHAnsi" w:hAnsiTheme="majorHAnsi" w:cstheme="majorBidi"/>
      <w:kern w:val="0"/>
      <w:sz w:val="24"/>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1559</Words>
  <Characters>8888</Characters>
  <Application>Microsoft Office Word</Application>
  <DocSecurity>0</DocSecurity>
  <Lines>74</Lines>
  <Paragraphs>20</Paragraphs>
  <ScaleCrop>false</ScaleCrop>
  <Company/>
  <LinksUpToDate>false</LinksUpToDate>
  <CharactersWithSpaces>10427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sohna jagne</dc:creator>
  <cp:keywords/>
  <dc:description/>
  <cp:lastModifiedBy>sohna jagne</cp:lastModifiedBy>
  <cp:revision>3</cp:revision>
  <dcterms:created xsi:type="dcterms:W3CDTF">2023-08-15T22:28:00Z</dcterms:created>
  <dcterms:modified xsi:type="dcterms:W3CDTF">2023-08-15T22:33:00Z</dcterms:modified>
</cp:coreProperties>
</file>