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rPr>
          <w:rFonts w:ascii="Arial" w:cs="Arial" w:hAnsi="Arial" w:eastAsia="Arial"/>
          <w:sz w:val="22"/>
          <w:szCs w:val="22"/>
        </w:rPr>
      </w:pPr>
      <w:r>
        <w:rPr>
          <w:rFonts w:ascii="Arial" w:hAnsi="Arial"/>
          <w:sz w:val="22"/>
          <w:szCs w:val="22"/>
          <w:rtl w:val="0"/>
          <w:lang w:val="en-US"/>
        </w:rPr>
        <w:t xml:space="preserve">IN THE HIGH COURT OF ENGLAND AND WALES </w:t>
      </w:r>
    </w:p>
    <w:p>
      <w:pPr>
        <w:pStyle w:val="Body"/>
        <w:spacing w:line="360" w:lineRule="auto"/>
        <w:rPr>
          <w:rFonts w:ascii="Arial" w:cs="Arial" w:hAnsi="Arial" w:eastAsia="Arial"/>
          <w:sz w:val="22"/>
          <w:szCs w:val="22"/>
        </w:rPr>
      </w:pPr>
      <w:r>
        <w:rPr>
          <w:rFonts w:ascii="Arial" w:hAnsi="Arial"/>
          <w:sz w:val="22"/>
          <w:szCs w:val="22"/>
          <w:rtl w:val="0"/>
          <w:lang w:val="de-DE"/>
        </w:rPr>
        <w:t>(CHANCERY DIVISION)</w:t>
      </w:r>
    </w:p>
    <w:p>
      <w:pPr>
        <w:pStyle w:val="Body"/>
        <w:spacing w:line="360" w:lineRule="auto"/>
        <w:jc w:val="right"/>
        <w:rPr>
          <w:rFonts w:ascii="Arial" w:cs="Arial" w:hAnsi="Arial" w:eastAsia="Arial"/>
          <w:sz w:val="22"/>
          <w:szCs w:val="22"/>
        </w:rPr>
      </w:pPr>
      <w:r>
        <w:rPr>
          <w:rFonts w:ascii="Arial" w:hAnsi="Arial"/>
          <w:sz w:val="22"/>
          <w:szCs w:val="22"/>
          <w:rtl w:val="0"/>
          <w:lang w:val="de-DE"/>
        </w:rPr>
        <w:t>CLAIM NUMBER: 2024/840A3</w:t>
      </w:r>
    </w:p>
    <w:p>
      <w:pPr>
        <w:pStyle w:val="Body"/>
        <w:spacing w:line="360" w:lineRule="auto"/>
        <w:rPr>
          <w:rFonts w:ascii="Arial" w:cs="Arial" w:hAnsi="Arial" w:eastAsia="Arial"/>
          <w:sz w:val="22"/>
          <w:szCs w:val="22"/>
        </w:rPr>
      </w:pPr>
      <w:r>
        <w:rPr>
          <w:rFonts w:ascii="Arial" w:hAnsi="Arial"/>
          <w:sz w:val="22"/>
          <w:szCs w:val="22"/>
          <w:rtl w:val="0"/>
          <w:lang w:val="de-DE"/>
        </w:rPr>
        <w:t>BETWEEN:</w:t>
      </w:r>
    </w:p>
    <w:tbl>
      <w:tblPr>
        <w:tblW w:w="903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418"/>
        <w:gridCol w:w="6237"/>
        <w:gridCol w:w="1380"/>
      </w:tblGrid>
      <w:tr>
        <w:tblPrEx>
          <w:shd w:val="clear" w:color="auto" w:fill="cdd4e9"/>
        </w:tblPrEx>
        <w:trPr>
          <w:trHeight w:val="597" w:hRule="atLeast"/>
        </w:trPr>
        <w:tc>
          <w:tcPr>
            <w:tcW w:type="dxa" w:w="1418"/>
            <w:tcBorders>
              <w:top w:val="nil"/>
              <w:left w:val="nil"/>
              <w:bottom w:val="nil"/>
              <w:right w:val="nil"/>
            </w:tcBorders>
            <w:shd w:val="clear" w:color="auto" w:fill="auto"/>
            <w:tcMar>
              <w:top w:type="dxa" w:w="80"/>
              <w:left w:type="dxa" w:w="80"/>
              <w:bottom w:type="dxa" w:w="80"/>
              <w:right w:type="dxa" w:w="80"/>
            </w:tcMar>
            <w:vAlign w:val="top"/>
          </w:tcPr>
          <w:p/>
        </w:tc>
        <w:tc>
          <w:tcPr>
            <w:tcW w:type="dxa" w:w="6237"/>
            <w:tcBorders>
              <w:top w:val="nil"/>
              <w:left w:val="nil"/>
              <w:bottom w:val="nil"/>
              <w:right w:val="nil"/>
            </w:tcBorders>
            <w:shd w:val="clear" w:color="auto" w:fill="auto"/>
            <w:tcMar>
              <w:top w:type="dxa" w:w="80"/>
              <w:left w:type="dxa" w:w="80"/>
              <w:bottom w:type="dxa" w:w="80"/>
              <w:right w:type="dxa" w:w="80"/>
            </w:tcMar>
            <w:vAlign w:val="top"/>
          </w:tcPr>
          <w:p>
            <w:pPr>
              <w:pStyle w:val="Body"/>
              <w:spacing w:line="360" w:lineRule="auto"/>
              <w:jc w:val="center"/>
            </w:pPr>
            <w:r>
              <w:rPr>
                <w:rFonts w:ascii="Arial" w:hAnsi="Arial"/>
                <w:shd w:val="nil" w:color="auto" w:fill="auto"/>
                <w:rtl w:val="0"/>
                <w:lang w:val="en-US"/>
              </w:rPr>
              <w:t>SARAH MORGAN</w:t>
            </w:r>
          </w:p>
        </w:tc>
        <w:tc>
          <w:tcPr>
            <w:tcW w:type="dxa" w:w="1380"/>
            <w:tcBorders>
              <w:top w:val="nil"/>
              <w:left w:val="nil"/>
              <w:bottom w:val="nil"/>
              <w:right w:val="nil"/>
            </w:tcBorders>
            <w:shd w:val="clear" w:color="auto" w:fill="auto"/>
            <w:tcMar>
              <w:top w:type="dxa" w:w="80"/>
              <w:left w:type="dxa" w:w="80"/>
              <w:bottom w:type="dxa" w:w="80"/>
              <w:right w:type="dxa" w:w="80"/>
            </w:tcMar>
            <w:vAlign w:val="top"/>
          </w:tcPr>
          <w:p>
            <w:pPr>
              <w:pStyle w:val="Body"/>
              <w:spacing w:line="360" w:lineRule="auto"/>
              <w:jc w:val="right"/>
            </w:pPr>
            <w:r>
              <w:rPr>
                <w:rFonts w:ascii="Arial" w:hAnsi="Arial"/>
                <w:u w:val="single"/>
                <w:shd w:val="nil" w:color="auto" w:fill="auto"/>
                <w:rtl w:val="0"/>
                <w:lang w:val="en-US"/>
              </w:rPr>
              <w:t xml:space="preserve">Claimant </w:t>
            </w:r>
          </w:p>
        </w:tc>
      </w:tr>
      <w:tr>
        <w:tblPrEx>
          <w:shd w:val="clear" w:color="auto" w:fill="cdd4e9"/>
        </w:tblPrEx>
        <w:trPr>
          <w:trHeight w:val="597" w:hRule="atLeast"/>
        </w:trPr>
        <w:tc>
          <w:tcPr>
            <w:tcW w:type="dxa" w:w="1418"/>
            <w:tcBorders>
              <w:top w:val="nil"/>
              <w:left w:val="nil"/>
              <w:bottom w:val="nil"/>
              <w:right w:val="nil"/>
            </w:tcBorders>
            <w:shd w:val="clear" w:color="auto" w:fill="auto"/>
            <w:tcMar>
              <w:top w:type="dxa" w:w="80"/>
              <w:left w:type="dxa" w:w="80"/>
              <w:bottom w:type="dxa" w:w="80"/>
              <w:right w:type="dxa" w:w="80"/>
            </w:tcMar>
            <w:vAlign w:val="top"/>
          </w:tcPr>
          <w:p/>
        </w:tc>
        <w:tc>
          <w:tcPr>
            <w:tcW w:type="dxa" w:w="6237"/>
            <w:tcBorders>
              <w:top w:val="nil"/>
              <w:left w:val="nil"/>
              <w:bottom w:val="nil"/>
              <w:right w:val="nil"/>
            </w:tcBorders>
            <w:shd w:val="clear" w:color="auto" w:fill="auto"/>
            <w:tcMar>
              <w:top w:type="dxa" w:w="80"/>
              <w:left w:type="dxa" w:w="80"/>
              <w:bottom w:type="dxa" w:w="80"/>
              <w:right w:type="dxa" w:w="80"/>
            </w:tcMar>
            <w:vAlign w:val="top"/>
          </w:tcPr>
          <w:p>
            <w:pPr>
              <w:pStyle w:val="Body"/>
              <w:spacing w:line="360" w:lineRule="auto"/>
              <w:jc w:val="center"/>
            </w:pPr>
            <w:r>
              <w:rPr>
                <w:rFonts w:ascii="Arial" w:hAnsi="Arial"/>
                <w:shd w:val="nil" w:color="auto" w:fill="auto"/>
                <w:rtl w:val="0"/>
                <w:lang w:val="en-US"/>
              </w:rPr>
              <w:t>-and-</w:t>
            </w:r>
          </w:p>
        </w:tc>
        <w:tc>
          <w:tcPr>
            <w:tcW w:type="dxa" w:w="1380"/>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dd4e9"/>
        </w:tblPrEx>
        <w:trPr>
          <w:trHeight w:val="597" w:hRule="atLeast"/>
        </w:trPr>
        <w:tc>
          <w:tcPr>
            <w:tcW w:type="dxa" w:w="1418"/>
            <w:tcBorders>
              <w:top w:val="nil"/>
              <w:left w:val="nil"/>
              <w:bottom w:val="nil"/>
              <w:right w:val="nil"/>
            </w:tcBorders>
            <w:shd w:val="clear" w:color="auto" w:fill="auto"/>
            <w:tcMar>
              <w:top w:type="dxa" w:w="80"/>
              <w:left w:type="dxa" w:w="80"/>
              <w:bottom w:type="dxa" w:w="80"/>
              <w:right w:type="dxa" w:w="80"/>
            </w:tcMar>
            <w:vAlign w:val="top"/>
          </w:tcPr>
          <w:p/>
        </w:tc>
        <w:tc>
          <w:tcPr>
            <w:tcW w:type="dxa" w:w="6237"/>
            <w:tcBorders>
              <w:top w:val="nil"/>
              <w:left w:val="nil"/>
              <w:bottom w:val="nil"/>
              <w:right w:val="nil"/>
            </w:tcBorders>
            <w:shd w:val="clear" w:color="auto" w:fill="auto"/>
            <w:tcMar>
              <w:top w:type="dxa" w:w="80"/>
              <w:left w:type="dxa" w:w="80"/>
              <w:bottom w:type="dxa" w:w="80"/>
              <w:right w:type="dxa" w:w="80"/>
            </w:tcMar>
            <w:vAlign w:val="top"/>
          </w:tcPr>
          <w:p>
            <w:pPr>
              <w:pStyle w:val="Body"/>
              <w:spacing w:line="360" w:lineRule="auto"/>
              <w:jc w:val="center"/>
            </w:pPr>
            <w:r>
              <w:rPr>
                <w:rFonts w:ascii="Arial" w:hAnsi="Arial"/>
                <w:shd w:val="nil" w:color="auto" w:fill="auto"/>
                <w:rtl w:val="0"/>
                <w:lang w:val="en-US"/>
              </w:rPr>
              <w:t>JENNIFER WILLIAMS</w:t>
            </w:r>
          </w:p>
        </w:tc>
        <w:tc>
          <w:tcPr>
            <w:tcW w:type="dxa" w:w="1380"/>
            <w:tcBorders>
              <w:top w:val="nil"/>
              <w:left w:val="nil"/>
              <w:bottom w:val="nil"/>
              <w:right w:val="nil"/>
            </w:tcBorders>
            <w:shd w:val="clear" w:color="auto" w:fill="auto"/>
            <w:tcMar>
              <w:top w:type="dxa" w:w="80"/>
              <w:left w:type="dxa" w:w="80"/>
              <w:bottom w:type="dxa" w:w="80"/>
              <w:right w:type="dxa" w:w="80"/>
            </w:tcMar>
            <w:vAlign w:val="top"/>
          </w:tcPr>
          <w:p>
            <w:pPr>
              <w:pStyle w:val="Body"/>
              <w:spacing w:line="360" w:lineRule="auto"/>
              <w:jc w:val="right"/>
            </w:pPr>
            <w:r>
              <w:rPr>
                <w:rFonts w:ascii="Arial" w:hAnsi="Arial"/>
                <w:u w:val="single"/>
                <w:shd w:val="nil" w:color="auto" w:fill="auto"/>
                <w:rtl w:val="0"/>
                <w:lang w:val="en-US"/>
              </w:rPr>
              <w:t>Defendant</w:t>
            </w:r>
          </w:p>
        </w:tc>
      </w:tr>
    </w:tbl>
    <w:p>
      <w:pPr>
        <w:pStyle w:val="Body"/>
        <w:widowControl w:val="0"/>
        <w:rPr>
          <w:rFonts w:ascii="Arial" w:cs="Arial" w:hAnsi="Arial" w:eastAsia="Arial"/>
          <w:sz w:val="22"/>
          <w:szCs w:val="22"/>
        </w:rPr>
      </w:pPr>
    </w:p>
    <w:p>
      <w:pPr>
        <w:pStyle w:val="Body"/>
        <w:tabs>
          <w:tab w:val="left" w:pos="2656"/>
        </w:tabs>
        <w:spacing w:line="360" w:lineRule="auto"/>
        <w:rPr>
          <w:rFonts w:ascii="Arial" w:cs="Arial" w:hAnsi="Arial" w:eastAsia="Arial"/>
          <w:b w:val="1"/>
          <w:bCs w:val="1"/>
          <w:sz w:val="22"/>
          <w:szCs w:val="22"/>
        </w:rPr>
      </w:pPr>
      <w:r>
        <w:rPr>
          <w:rFonts w:ascii="Arial" w:cs="Arial" w:hAnsi="Arial" w:eastAsia="Arial"/>
          <w:b w:val="1"/>
          <w:bCs w:val="1"/>
          <w:sz w:val="22"/>
          <w:szCs w:val="22"/>
        </w:rPr>
        <w:tab/>
      </w:r>
    </w:p>
    <w:p>
      <w:pPr>
        <w:pStyle w:val="Body"/>
        <w:pBdr>
          <w:top w:val="single" w:color="000000" w:sz="4" w:space="0" w:shadow="0" w:frame="0"/>
          <w:left w:val="nil"/>
          <w:bottom w:val="nil"/>
          <w:right w:val="nil"/>
        </w:pBdr>
        <w:spacing w:line="360" w:lineRule="auto"/>
        <w:jc w:val="center"/>
        <w:rPr>
          <w:rFonts w:ascii="Arial" w:cs="Arial" w:hAnsi="Arial" w:eastAsia="Arial"/>
          <w:b w:val="1"/>
          <w:bCs w:val="1"/>
          <w:sz w:val="22"/>
          <w:szCs w:val="22"/>
        </w:rPr>
      </w:pPr>
    </w:p>
    <w:p>
      <w:pPr>
        <w:pStyle w:val="Body"/>
        <w:spacing w:line="360" w:lineRule="auto"/>
        <w:jc w:val="center"/>
        <w:rPr>
          <w:rFonts w:ascii="Arial" w:cs="Arial" w:hAnsi="Arial" w:eastAsia="Arial"/>
          <w:b w:val="1"/>
          <w:bCs w:val="1"/>
          <w:sz w:val="22"/>
          <w:szCs w:val="22"/>
        </w:rPr>
      </w:pPr>
      <w:r>
        <w:rPr>
          <w:rFonts w:ascii="Arial" w:hAnsi="Arial"/>
          <w:b w:val="1"/>
          <w:bCs w:val="1"/>
          <w:sz w:val="22"/>
          <w:szCs w:val="22"/>
          <w:rtl w:val="0"/>
          <w:lang w:val="en-US"/>
        </w:rPr>
        <w:t>Skeleton argument on behalf of [</w:t>
      </w:r>
      <w:r>
        <w:rPr>
          <w:rFonts w:ascii="Arial" w:hAnsi="Arial"/>
          <w:b w:val="1"/>
          <w:bCs w:val="1"/>
          <w:sz w:val="22"/>
          <w:szCs w:val="22"/>
          <w:rtl w:val="0"/>
          <w:lang w:val="en-US"/>
        </w:rPr>
        <w:t>Sarah Morgan</w:t>
      </w:r>
      <w:r>
        <w:rPr>
          <w:rFonts w:ascii="Arial" w:hAnsi="Arial"/>
          <w:b w:val="1"/>
          <w:bCs w:val="1"/>
          <w:sz w:val="22"/>
          <w:szCs w:val="22"/>
          <w:rtl w:val="0"/>
          <w:lang w:val="pt-PT"/>
        </w:rPr>
        <w:t>]</w:t>
      </w:r>
    </w:p>
    <w:p>
      <w:pPr>
        <w:pStyle w:val="Body"/>
        <w:pBdr>
          <w:top w:val="nil"/>
          <w:left w:val="nil"/>
          <w:bottom w:val="single" w:color="000000" w:sz="4" w:space="0" w:shadow="0" w:frame="0"/>
          <w:right w:val="nil"/>
        </w:pBdr>
        <w:jc w:val="center"/>
        <w:rPr>
          <w:rFonts w:ascii="Arial" w:cs="Arial" w:hAnsi="Arial" w:eastAsia="Arial"/>
          <w:b w:val="1"/>
          <w:bCs w:val="1"/>
          <w:sz w:val="22"/>
          <w:szCs w:val="22"/>
        </w:rPr>
      </w:pPr>
    </w:p>
    <w:p>
      <w:pPr>
        <w:pStyle w:val="Heading"/>
        <w:numPr>
          <w:ilvl w:val="0"/>
          <w:numId w:val="2"/>
        </w:numPr>
        <w:rPr>
          <w:sz w:val="22"/>
          <w:szCs w:val="22"/>
          <w:lang w:val="fr-FR"/>
        </w:rPr>
      </w:pPr>
      <w:r>
        <w:rPr>
          <w:sz w:val="22"/>
          <w:szCs w:val="22"/>
          <w:rtl w:val="0"/>
          <w:lang w:val="fr-FR"/>
        </w:rPr>
        <w:t>Introduction</w:t>
      </w:r>
    </w:p>
    <w:p>
      <w:pPr>
        <w:pStyle w:val="Body"/>
        <w:rPr>
          <w:rFonts w:ascii="Arial" w:cs="Arial" w:hAnsi="Arial" w:eastAsia="Arial"/>
          <w:outline w:val="0"/>
          <w:color w:val="002060"/>
          <w:sz w:val="22"/>
          <w:szCs w:val="22"/>
          <w:u w:color="002060"/>
          <w14:textFill>
            <w14:solidFill>
              <w14:srgbClr w14:val="002060"/>
            </w14:solidFill>
          </w14:textFill>
        </w:rPr>
      </w:pPr>
      <w:r>
        <w:rPr>
          <w:rFonts w:ascii="Arial" w:hAnsi="Arial"/>
          <w:sz w:val="22"/>
          <w:szCs w:val="22"/>
          <w:u w:color="002060"/>
          <w:rtl w:val="0"/>
          <w:lang w:val="en-US"/>
        </w:rPr>
        <w:t xml:space="preserve">The purpose of this argument is for Ms Morgan to receive a 50% share of the property </w:t>
      </w:r>
      <w:r>
        <w:rPr>
          <w:rFonts w:ascii="Arial" w:hAnsi="Arial" w:hint="default"/>
          <w:sz w:val="22"/>
          <w:szCs w:val="22"/>
          <w:u w:color="002060"/>
          <w:rtl w:val="0"/>
          <w:lang w:val="en-US"/>
        </w:rPr>
        <w:t>“</w:t>
      </w:r>
      <w:r>
        <w:rPr>
          <w:rFonts w:ascii="Arial" w:hAnsi="Arial"/>
          <w:sz w:val="22"/>
          <w:szCs w:val="22"/>
          <w:u w:color="002060"/>
          <w:rtl w:val="0"/>
          <w:lang w:val="en-US"/>
        </w:rPr>
        <w:t>The Gatehouse</w:t>
      </w:r>
      <w:r>
        <w:rPr>
          <w:rFonts w:ascii="Arial" w:hAnsi="Arial" w:hint="default"/>
          <w:sz w:val="22"/>
          <w:szCs w:val="22"/>
          <w:u w:color="002060"/>
          <w:rtl w:val="0"/>
          <w:lang w:val="en-US"/>
        </w:rPr>
        <w:t xml:space="preserve">” </w:t>
      </w:r>
      <w:r>
        <w:rPr>
          <w:rFonts w:ascii="Arial" w:hAnsi="Arial"/>
          <w:sz w:val="22"/>
          <w:szCs w:val="22"/>
          <w:u w:color="002060"/>
          <w:rtl w:val="0"/>
          <w:lang w:val="en-US"/>
        </w:rPr>
        <w:t xml:space="preserve">on the basis of a constructive trust or alternatively on the grounds of a beneficial interest by operation of propriety estoppel.  </w:t>
      </w:r>
    </w:p>
    <w:p>
      <w:pPr>
        <w:pStyle w:val="Heading"/>
        <w:numPr>
          <w:ilvl w:val="0"/>
          <w:numId w:val="2"/>
        </w:numPr>
        <w:rPr>
          <w:sz w:val="22"/>
          <w:szCs w:val="22"/>
          <w:lang w:val="en-US"/>
        </w:rPr>
      </w:pPr>
      <w:r>
        <w:rPr>
          <w:sz w:val="22"/>
          <w:szCs w:val="22"/>
          <w:rtl w:val="0"/>
          <w:lang w:val="en-US"/>
        </w:rPr>
        <w:t>The issues</w:t>
      </w:r>
    </w:p>
    <w:p>
      <w:pPr>
        <w:pStyle w:val="Body"/>
        <w:rPr>
          <w:rFonts w:ascii="Arial" w:cs="Arial" w:hAnsi="Arial" w:eastAsia="Arial"/>
          <w:sz w:val="22"/>
          <w:szCs w:val="22"/>
          <w:u w:color="002060"/>
        </w:rPr>
      </w:pPr>
      <w:r>
        <w:rPr>
          <w:rFonts w:ascii="Arial" w:hAnsi="Arial"/>
          <w:sz w:val="22"/>
          <w:szCs w:val="22"/>
          <w:u w:color="002060"/>
          <w:rtl w:val="0"/>
          <w:lang w:val="en-US"/>
        </w:rPr>
        <w:t xml:space="preserve">The issues in dispute for this claim is a constructive trust being agreed upon between the claimant and defendant on the grounds that the claimant acted to her own detriment on the grounds that a common intention constructive trust was valid between the two parties. The second alternative issue for this dispute is Ms Morgan having a beneficial interest by operation of proprietary estoppel on the basis of promises made to her by the defendant. </w:t>
      </w:r>
    </w:p>
    <w:p>
      <w:pPr>
        <w:pStyle w:val="Body"/>
        <w:rPr>
          <w:rFonts w:ascii="Arial" w:cs="Arial" w:hAnsi="Arial" w:eastAsia="Arial"/>
          <w:outline w:val="0"/>
          <w:color w:val="002060"/>
          <w:sz w:val="22"/>
          <w:szCs w:val="22"/>
          <w:u w:color="002060"/>
          <w14:textFill>
            <w14:solidFill>
              <w14:srgbClr w14:val="002060"/>
            </w14:solidFill>
          </w14:textFill>
        </w:rPr>
      </w:pPr>
    </w:p>
    <w:p>
      <w:pPr>
        <w:pStyle w:val="Heading"/>
        <w:numPr>
          <w:ilvl w:val="0"/>
          <w:numId w:val="2"/>
        </w:numPr>
        <w:rPr>
          <w:sz w:val="22"/>
          <w:szCs w:val="22"/>
          <w:lang w:val="en-US"/>
        </w:rPr>
      </w:pPr>
      <w:r>
        <w:rPr>
          <w:sz w:val="22"/>
          <w:szCs w:val="22"/>
          <w:rtl w:val="0"/>
          <w:lang w:val="en-US"/>
        </w:rPr>
        <w:t>The facts</w:t>
      </w:r>
    </w:p>
    <w:p>
      <w:pPr>
        <w:pStyle w:val="Body"/>
        <w:rPr>
          <w:rFonts w:ascii="Arial" w:cs="Arial" w:hAnsi="Arial" w:eastAsia="Arial"/>
          <w:sz w:val="22"/>
          <w:szCs w:val="22"/>
          <w:u w:color="002060"/>
        </w:rPr>
      </w:pPr>
      <w:r>
        <w:rPr>
          <w:rFonts w:ascii="Arial" w:hAnsi="Arial"/>
          <w:sz w:val="22"/>
          <w:szCs w:val="22"/>
          <w:u w:color="002060"/>
          <w:rtl w:val="0"/>
          <w:lang w:val="en-US"/>
        </w:rPr>
        <w:t xml:space="preserve">The facts of the case present a very clear case for the claimant. Ms Morgan paid </w:t>
      </w:r>
      <w:r>
        <w:rPr>
          <w:rFonts w:ascii="Arial" w:hAnsi="Arial" w:hint="default"/>
          <w:sz w:val="22"/>
          <w:szCs w:val="22"/>
          <w:u w:color="002060"/>
          <w:rtl w:val="0"/>
          <w:lang w:val="en-US"/>
        </w:rPr>
        <w:t>£</w:t>
      </w:r>
      <w:r>
        <w:rPr>
          <w:rFonts w:ascii="Arial" w:hAnsi="Arial"/>
          <w:sz w:val="22"/>
          <w:szCs w:val="22"/>
          <w:u w:color="002060"/>
          <w:rtl w:val="0"/>
          <w:lang w:val="en-US"/>
        </w:rPr>
        <w:t xml:space="preserve">60,000 from her own savings account for the repairs of the property putting her at a detriment on the grounds that she would have a beneficial interest in the property. Ms Morgan was also promised by the defendant that she would always be looked after and nothing would ever happen to her. She also stated to the defendant that the property was as much hers and the defendants and received no other information to disprove her. </w:t>
      </w:r>
    </w:p>
    <w:p>
      <w:pPr>
        <w:pStyle w:val="Heading"/>
        <w:ind w:left="680" w:hanging="680"/>
        <w:rPr>
          <w:sz w:val="22"/>
          <w:szCs w:val="22"/>
        </w:rPr>
      </w:pPr>
      <w:r>
        <w:rPr>
          <w:sz w:val="22"/>
          <w:szCs w:val="22"/>
          <w:rtl w:val="0"/>
          <w:lang w:val="en-US"/>
        </w:rPr>
        <w:t>Claim arising under a constructive trust</w:t>
      </w:r>
    </w:p>
    <w:p>
      <w:pPr>
        <w:pStyle w:val="Heading"/>
        <w:numPr>
          <w:ilvl w:val="0"/>
          <w:numId w:val="3"/>
        </w:numPr>
        <w:rPr>
          <w:sz w:val="22"/>
          <w:szCs w:val="22"/>
          <w:lang w:val="en-US"/>
        </w:rPr>
      </w:pPr>
      <w:r>
        <w:rPr>
          <w:sz w:val="22"/>
          <w:szCs w:val="22"/>
          <w:rtl w:val="0"/>
          <w:lang w:val="en-US"/>
        </w:rPr>
        <w:t xml:space="preserve">The law </w:t>
      </w:r>
    </w:p>
    <w:p>
      <w:pPr>
        <w:pStyle w:val="Body"/>
        <w:rPr>
          <w:rFonts w:ascii="Arial" w:cs="Arial" w:hAnsi="Arial" w:eastAsia="Arial"/>
          <w:outline w:val="0"/>
          <w:color w:val="002060"/>
          <w:sz w:val="22"/>
          <w:szCs w:val="22"/>
          <w:u w:color="002060"/>
          <w14:textFill>
            <w14:solidFill>
              <w14:srgbClr w14:val="002060"/>
            </w14:solidFill>
          </w14:textFill>
        </w:rPr>
      </w:pPr>
      <w:r>
        <w:rPr>
          <w:rFonts w:ascii="Arial" w:hAnsi="Arial"/>
          <w:sz w:val="22"/>
          <w:szCs w:val="22"/>
          <w:u w:color="002060"/>
          <w:rtl w:val="0"/>
          <w:lang w:val="en-US"/>
        </w:rPr>
        <w:t>The claim of a constructive trust is clear in its application in this case as Ms Morgan was put an a detriment when she had to use her own savings to repair the property in which they both resided. The case of Geary v Rankine (2012) demonstrated that there needed to be a clear common intention between the two parties and that pieces of evidence such as having a joint bank account that pays for the property</w:t>
      </w:r>
      <w:r>
        <w:rPr>
          <w:rFonts w:ascii="Arial" w:hAnsi="Arial" w:hint="default"/>
          <w:sz w:val="22"/>
          <w:szCs w:val="22"/>
          <w:u w:color="002060"/>
          <w:rtl w:val="0"/>
          <w:lang w:val="en-US"/>
        </w:rPr>
        <w:t>’</w:t>
      </w:r>
      <w:r>
        <w:rPr>
          <w:rFonts w:ascii="Arial" w:hAnsi="Arial"/>
          <w:sz w:val="22"/>
          <w:szCs w:val="22"/>
          <w:u w:color="002060"/>
          <w:rtl w:val="0"/>
          <w:lang w:val="en-US"/>
        </w:rPr>
        <w:t xml:space="preserve">s bills and other household expenses are crucial in showing a common interest. The Trusts of Land and Appointment of Trustees Act 1996 section 14 is a key piece of legislation that outlines how one party can apply to the court for a determination of their rights tot he property if it is held under only one name. The law in question is not in dispute but its application to the case is the dispute as Ms Morgan satisfies the elements required for the court to grant a common intention constructive trust. </w:t>
      </w:r>
      <w:r>
        <w:rPr>
          <w:rFonts w:ascii="Arial" w:hAnsi="Arial"/>
          <w:outline w:val="0"/>
          <w:color w:val="002060"/>
          <w:sz w:val="22"/>
          <w:szCs w:val="22"/>
          <w:u w:color="002060"/>
          <w:rtl w:val="0"/>
          <w:lang w:val="en-US"/>
          <w14:textFill>
            <w14:solidFill>
              <w14:srgbClr w14:val="002060"/>
            </w14:solidFill>
          </w14:textFill>
        </w:rPr>
        <w:t xml:space="preserve"> </w:t>
      </w:r>
    </w:p>
    <w:p>
      <w:pPr>
        <w:pStyle w:val="Heading"/>
        <w:numPr>
          <w:ilvl w:val="0"/>
          <w:numId w:val="4"/>
        </w:numPr>
        <w:rPr>
          <w:sz w:val="22"/>
          <w:szCs w:val="22"/>
          <w:lang w:val="en-US"/>
        </w:rPr>
      </w:pPr>
      <w:r>
        <w:rPr>
          <w:sz w:val="22"/>
          <w:szCs w:val="22"/>
          <w:rtl w:val="0"/>
          <w:lang w:val="en-US"/>
        </w:rPr>
        <w:t xml:space="preserve">Submissions </w:t>
      </w:r>
    </w:p>
    <w:p>
      <w:pPr>
        <w:pStyle w:val="Body"/>
        <w:rPr>
          <w:rFonts w:ascii="Arial" w:cs="Arial" w:hAnsi="Arial" w:eastAsia="Arial"/>
          <w:sz w:val="22"/>
          <w:szCs w:val="22"/>
          <w:u w:color="002060"/>
        </w:rPr>
      </w:pPr>
      <w:r>
        <w:rPr>
          <w:rFonts w:ascii="Arial" w:hAnsi="Arial"/>
          <w:sz w:val="22"/>
          <w:szCs w:val="22"/>
          <w:u w:color="002060"/>
          <w:rtl w:val="0"/>
          <w:lang w:val="en-US"/>
        </w:rPr>
        <w:t xml:space="preserve">The claim of a common interest constructive trust is supported in this case by the requirements set out by the law. For a constructive trust to be applied then the claimant must have been put at a detriment due to the fact they thought that both parties had the same intention. This is supported by the receipt provided by Ms Morgan showing that she paid </w:t>
      </w:r>
      <w:r>
        <w:rPr>
          <w:rFonts w:ascii="Arial" w:hAnsi="Arial" w:hint="default"/>
          <w:sz w:val="22"/>
          <w:szCs w:val="22"/>
          <w:u w:color="002060"/>
          <w:rtl w:val="0"/>
          <w:lang w:val="en-US"/>
        </w:rPr>
        <w:t>£</w:t>
      </w:r>
      <w:r>
        <w:rPr>
          <w:rFonts w:ascii="Arial" w:hAnsi="Arial"/>
          <w:sz w:val="22"/>
          <w:szCs w:val="22"/>
          <w:u w:color="002060"/>
          <w:rtl w:val="0"/>
          <w:lang w:val="en-US"/>
        </w:rPr>
        <w:t xml:space="preserve">60,000 from her own savings account to make repairs on the property. This piece of evidence is further supported by the text messages exchanged by both parties in which Ms Morgan states that the property is as much her as the defendants and received no other information to disprove her knowledge. The text messages that were exchanged by both parties strengthens the claim of a common intention constructive trust as it is clearly stated by Ms Morgan that she was using her savings as she thought she had a beneficial interest in the property meaning that the money used to pay for the repairs would not have been used if she had no interest in the property. The text messages also show how the defendant lead Ms Morgan to believe that she did have a beneficial interest as it was stated that the property was equally shared between them but the defendant offered no rebuttal to the message as she was gaining the money from Ms Morgan. </w:t>
      </w:r>
    </w:p>
    <w:p>
      <w:pPr>
        <w:pStyle w:val="Body"/>
        <w:rPr>
          <w:rFonts w:ascii="Arial" w:cs="Arial" w:hAnsi="Arial" w:eastAsia="Arial"/>
          <w:sz w:val="22"/>
          <w:szCs w:val="22"/>
          <w:u w:color="002060"/>
        </w:rPr>
      </w:pPr>
    </w:p>
    <w:p>
      <w:pPr>
        <w:pStyle w:val="Body"/>
        <w:rPr>
          <w:rFonts w:ascii="Arial" w:cs="Arial" w:hAnsi="Arial" w:eastAsia="Arial"/>
          <w:sz w:val="22"/>
          <w:szCs w:val="22"/>
          <w:u w:color="002060"/>
        </w:rPr>
      </w:pPr>
      <w:r>
        <w:rPr>
          <w:rFonts w:ascii="Arial" w:hAnsi="Arial"/>
          <w:sz w:val="22"/>
          <w:szCs w:val="22"/>
          <w:u w:color="002060"/>
          <w:rtl w:val="0"/>
          <w:lang w:val="en-US"/>
        </w:rPr>
        <w:t xml:space="preserve">The second piece of evidence that is crucial is that both parties had a joint bank account set up and shared all the household bills and other expenses together through the account. This element is supported by the case of Geary v Rankine (2012) as the courts ruled what was missing to not be able to give grounds for a constructive trust and a joint bank account for household expenses was one of the major factors. </w:t>
      </w:r>
    </w:p>
    <w:p>
      <w:pPr>
        <w:pStyle w:val="Heading"/>
        <w:numPr>
          <w:ilvl w:val="0"/>
          <w:numId w:val="5"/>
        </w:numPr>
        <w:rPr>
          <w:sz w:val="22"/>
          <w:szCs w:val="22"/>
          <w:lang w:val="fr-FR"/>
        </w:rPr>
      </w:pPr>
      <w:r>
        <w:rPr>
          <w:sz w:val="22"/>
          <w:szCs w:val="22"/>
          <w:rtl w:val="0"/>
          <w:lang w:val="fr-FR"/>
        </w:rPr>
        <w:t xml:space="preserve">Conclusions </w:t>
      </w:r>
    </w:p>
    <w:p>
      <w:pPr>
        <w:pStyle w:val="Body"/>
        <w:rPr>
          <w:rFonts w:ascii="Arial" w:cs="Arial" w:hAnsi="Arial" w:eastAsia="Arial"/>
          <w:sz w:val="22"/>
          <w:szCs w:val="22"/>
          <w:u w:color="002060"/>
        </w:rPr>
      </w:pPr>
      <w:r>
        <w:rPr>
          <w:rFonts w:ascii="Arial" w:hAnsi="Arial"/>
          <w:sz w:val="22"/>
          <w:szCs w:val="22"/>
          <w:u w:color="002060"/>
          <w:rtl w:val="0"/>
          <w:lang w:val="en-US"/>
        </w:rPr>
        <w:t xml:space="preserve">To conclude the claim of a common intention constructive trust, the evidence provided demonstrates how Ms Morgan put herself at a detriment to repair the property in which she was led to believe that she had a beneficial interest in by the defendant. </w:t>
      </w:r>
    </w:p>
    <w:p>
      <w:pPr>
        <w:pStyle w:val="Heading"/>
        <w:ind w:left="680" w:hanging="680"/>
        <w:rPr>
          <w:sz w:val="22"/>
          <w:szCs w:val="22"/>
        </w:rPr>
      </w:pPr>
      <w:r>
        <w:rPr>
          <w:sz w:val="22"/>
          <w:szCs w:val="22"/>
          <w:rtl w:val="0"/>
          <w:lang w:val="en-US"/>
        </w:rPr>
        <w:t xml:space="preserve">Claim arising under a proprietary estoppel </w:t>
      </w:r>
    </w:p>
    <w:p>
      <w:pPr>
        <w:pStyle w:val="Heading"/>
        <w:numPr>
          <w:ilvl w:val="0"/>
          <w:numId w:val="2"/>
        </w:numPr>
        <w:rPr>
          <w:sz w:val="22"/>
          <w:szCs w:val="22"/>
          <w:lang w:val="en-US"/>
        </w:rPr>
      </w:pPr>
      <w:r>
        <w:rPr>
          <w:sz w:val="22"/>
          <w:szCs w:val="22"/>
          <w:rtl w:val="0"/>
          <w:lang w:val="en-US"/>
        </w:rPr>
        <w:t xml:space="preserve">The law </w:t>
      </w:r>
    </w:p>
    <w:p>
      <w:pPr>
        <w:pStyle w:val="Body"/>
        <w:rPr>
          <w:rFonts w:ascii="Arial" w:cs="Arial" w:hAnsi="Arial" w:eastAsia="Arial"/>
          <w:outline w:val="0"/>
          <w:color w:val="002060"/>
          <w:sz w:val="22"/>
          <w:szCs w:val="22"/>
          <w:u w:color="002060"/>
          <w14:textFill>
            <w14:solidFill>
              <w14:srgbClr w14:val="002060"/>
            </w14:solidFill>
          </w14:textFill>
        </w:rPr>
      </w:pPr>
      <w:r>
        <w:rPr>
          <w:rFonts w:ascii="Arial" w:hAnsi="Arial"/>
          <w:sz w:val="22"/>
          <w:szCs w:val="22"/>
          <w:u w:color="002060"/>
          <w:rtl w:val="0"/>
          <w:lang w:val="en-US"/>
        </w:rPr>
        <w:t xml:space="preserve">The law for the second claim of propriety estoppel is clear and concise in showing what is needed to satisfy the elements of propriety estoppel. The key ingredients of propriety estoppel arise from the promises and assurances made by the defendant to Ms Morgan which made her rely on those assurances. The case of Thorner v Major (2009) demonstrates the requirements for propriety estoppel to exist when someone relies upon the reassurances that are not followed through with. The case identifies that when someone is relying upon the assurances made by someone else to their detriment then it would be unconscionable for the land owner to not follow through with the assurance. The law of propriety estoppel is also supported by the case of Jennings v Rice (2002) which outlines the outcome when someone is put at a detriment due to the assurances of someone else. The case demonstrates that having responsibilities with regard to the property can lead to having a beneficial interest if it puts you at a detriment.  </w:t>
      </w:r>
    </w:p>
    <w:p>
      <w:pPr>
        <w:pStyle w:val="Heading"/>
        <w:numPr>
          <w:ilvl w:val="0"/>
          <w:numId w:val="2"/>
        </w:numPr>
        <w:rPr>
          <w:sz w:val="22"/>
          <w:szCs w:val="22"/>
          <w:lang w:val="en-US"/>
        </w:rPr>
      </w:pPr>
      <w:r>
        <w:rPr>
          <w:sz w:val="22"/>
          <w:szCs w:val="22"/>
          <w:rtl w:val="0"/>
          <w:lang w:val="en-US"/>
        </w:rPr>
        <w:t xml:space="preserve">Submissions </w:t>
      </w:r>
    </w:p>
    <w:p>
      <w:pPr>
        <w:pStyle w:val="Body"/>
        <w:rPr>
          <w:rFonts w:ascii="Arial" w:cs="Arial" w:hAnsi="Arial" w:eastAsia="Arial"/>
          <w:sz w:val="22"/>
          <w:szCs w:val="22"/>
          <w:u w:color="002060"/>
        </w:rPr>
      </w:pPr>
      <w:r>
        <w:rPr>
          <w:rFonts w:ascii="Arial" w:hAnsi="Arial"/>
          <w:sz w:val="22"/>
          <w:szCs w:val="22"/>
          <w:u w:color="002060"/>
          <w:rtl w:val="0"/>
          <w:lang w:val="en-US"/>
        </w:rPr>
        <w:t xml:space="preserve">The claim for propriety estoppel is found to be supported by the assurances made by the defendant. The first piece of evidence that supports this claim is the exchange of text messages between Ms Morgan and the defendant which took place after their meeting with a solicitor about the split of their assets in the event of a death. The assurances were made by the defendant as she stated </w:t>
      </w:r>
      <w:r>
        <w:rPr>
          <w:rFonts w:ascii="Arial" w:hAnsi="Arial" w:hint="default"/>
          <w:sz w:val="22"/>
          <w:szCs w:val="22"/>
          <w:u w:color="002060"/>
          <w:rtl w:val="0"/>
          <w:lang w:val="en-US"/>
        </w:rPr>
        <w:t>“</w:t>
      </w:r>
      <w:r>
        <w:rPr>
          <w:rFonts w:ascii="Arial" w:hAnsi="Arial"/>
          <w:sz w:val="22"/>
          <w:szCs w:val="22"/>
          <w:u w:color="002060"/>
          <w:rtl w:val="0"/>
          <w:lang w:val="en-US"/>
        </w:rPr>
        <w:t>I</w:t>
      </w:r>
      <w:r>
        <w:rPr>
          <w:rFonts w:ascii="Arial" w:hAnsi="Arial" w:hint="default"/>
          <w:sz w:val="22"/>
          <w:szCs w:val="22"/>
          <w:u w:color="002060"/>
          <w:rtl w:val="0"/>
          <w:lang w:val="en-US"/>
        </w:rPr>
        <w:t>’</w:t>
      </w:r>
      <w:r>
        <w:rPr>
          <w:rFonts w:ascii="Arial" w:hAnsi="Arial"/>
          <w:sz w:val="22"/>
          <w:szCs w:val="22"/>
          <w:u w:color="002060"/>
          <w:rtl w:val="0"/>
          <w:lang w:val="en-US"/>
        </w:rPr>
        <w:t>ll always look after you</w:t>
      </w:r>
      <w:r>
        <w:rPr>
          <w:rFonts w:ascii="Arial" w:hAnsi="Arial" w:hint="default"/>
          <w:sz w:val="22"/>
          <w:szCs w:val="22"/>
          <w:u w:color="002060"/>
          <w:rtl w:val="0"/>
          <w:lang w:val="en-US"/>
        </w:rPr>
        <w:t xml:space="preserve">” </w:t>
      </w:r>
      <w:r>
        <w:rPr>
          <w:rFonts w:ascii="Arial" w:hAnsi="Arial"/>
          <w:sz w:val="22"/>
          <w:szCs w:val="22"/>
          <w:u w:color="002060"/>
          <w:rtl w:val="0"/>
          <w:lang w:val="en-US"/>
        </w:rPr>
        <w:t xml:space="preserve">which demonstrates clearly the assurance made to Ms Morgan that she would not have to worry. This exchange is supported by the case of Jennings v Rice (2002) in which the claimant was awarded a payout on the grounds of propriety estoppel as they kept up their responsibilities around the house on the basis that they were told they would always be looked after. </w:t>
      </w:r>
    </w:p>
    <w:p>
      <w:pPr>
        <w:pStyle w:val="Body"/>
        <w:rPr>
          <w:rFonts w:ascii="Arial" w:cs="Arial" w:hAnsi="Arial" w:eastAsia="Arial"/>
          <w:sz w:val="22"/>
          <w:szCs w:val="22"/>
          <w:u w:color="002060"/>
        </w:rPr>
      </w:pPr>
    </w:p>
    <w:p>
      <w:pPr>
        <w:pStyle w:val="Body"/>
        <w:rPr>
          <w:rFonts w:ascii="Arial" w:cs="Arial" w:hAnsi="Arial" w:eastAsia="Arial"/>
          <w:sz w:val="22"/>
          <w:szCs w:val="22"/>
          <w:u w:color="002060"/>
        </w:rPr>
      </w:pPr>
      <w:r>
        <w:rPr>
          <w:rFonts w:ascii="Arial" w:hAnsi="Arial"/>
          <w:sz w:val="22"/>
          <w:szCs w:val="22"/>
          <w:u w:color="002060"/>
          <w:rtl w:val="0"/>
          <w:lang w:val="en-US"/>
        </w:rPr>
        <w:t xml:space="preserve">The exchange also shows how the defendant states that Ms Morgan has her own savings that she could use if anything was to ever happen which is also contradicted by her later statements when she allows Ms Morgan to use those same savings to make the repairs around the property. The defendant may try to claim that they stated Ms Morgan has her own savings but allowing her to use those savings for the property when it is clearly stated that it is only being done on the basis of them both having an interest in the property shows how Ms Morgan was acting on the assurances made to her which put her at a detriment. </w:t>
      </w:r>
    </w:p>
    <w:p>
      <w:pPr>
        <w:pStyle w:val="Body"/>
        <w:rPr>
          <w:rFonts w:ascii="Arial" w:cs="Arial" w:hAnsi="Arial" w:eastAsia="Arial"/>
          <w:sz w:val="22"/>
          <w:szCs w:val="22"/>
          <w:u w:color="002060"/>
        </w:rPr>
      </w:pPr>
    </w:p>
    <w:p>
      <w:pPr>
        <w:pStyle w:val="Body"/>
        <w:rPr>
          <w:rFonts w:ascii="Arial" w:cs="Arial" w:hAnsi="Arial" w:eastAsia="Arial"/>
          <w:outline w:val="0"/>
          <w:color w:val="002060"/>
          <w:sz w:val="22"/>
          <w:szCs w:val="22"/>
          <w:u w:color="002060"/>
          <w14:textFill>
            <w14:solidFill>
              <w14:srgbClr w14:val="002060"/>
            </w14:solidFill>
          </w14:textFill>
        </w:rPr>
      </w:pPr>
      <w:r>
        <w:rPr>
          <w:rFonts w:ascii="Arial" w:hAnsi="Arial"/>
          <w:sz w:val="22"/>
          <w:szCs w:val="22"/>
          <w:u w:color="002060"/>
          <w:rtl w:val="0"/>
          <w:lang w:val="en-US"/>
        </w:rPr>
        <w:t>The claim that Ms Morgan lived at the property rent free and therefore should not have an interest in the property is one that in invalid due to the case of Thorner v Major (2009) which relates directly to this issue. The courts ruled that even though the claimant lived rent free at the property they were doing so without pay on the basis they would inherit the property which demonstrates Ms Morgan</w:t>
      </w:r>
      <w:r>
        <w:rPr>
          <w:rFonts w:ascii="Arial" w:hAnsi="Arial" w:hint="default"/>
          <w:sz w:val="22"/>
          <w:szCs w:val="22"/>
          <w:u w:color="002060"/>
          <w:rtl w:val="0"/>
          <w:lang w:val="en-US"/>
        </w:rPr>
        <w:t>’</w:t>
      </w:r>
      <w:r>
        <w:rPr>
          <w:rFonts w:ascii="Arial" w:hAnsi="Arial"/>
          <w:sz w:val="22"/>
          <w:szCs w:val="22"/>
          <w:u w:color="002060"/>
          <w:rtl w:val="0"/>
          <w:lang w:val="en-US"/>
        </w:rPr>
        <w:t xml:space="preserve">s intentions as she may have been living rent free but also contributed towards the bills and other household expenses through their joint bank account which would not have been used if Ms Morgan was never going to be able to have an interest in the property. </w:t>
      </w:r>
    </w:p>
    <w:p>
      <w:pPr>
        <w:pStyle w:val="Heading"/>
        <w:numPr>
          <w:ilvl w:val="0"/>
          <w:numId w:val="2"/>
        </w:numPr>
        <w:rPr>
          <w:sz w:val="22"/>
          <w:szCs w:val="22"/>
          <w:lang w:val="fr-FR"/>
        </w:rPr>
      </w:pPr>
      <w:r>
        <w:rPr>
          <w:sz w:val="22"/>
          <w:szCs w:val="22"/>
          <w:rtl w:val="0"/>
          <w:lang w:val="fr-FR"/>
        </w:rPr>
        <w:t xml:space="preserve">Conclusions </w:t>
      </w:r>
    </w:p>
    <w:p>
      <w:pPr>
        <w:pStyle w:val="Body"/>
        <w:rPr>
          <w:rFonts w:ascii="Arial" w:cs="Arial" w:hAnsi="Arial" w:eastAsia="Arial"/>
          <w:sz w:val="22"/>
          <w:szCs w:val="22"/>
          <w:u w:color="002060"/>
        </w:rPr>
      </w:pPr>
      <w:r>
        <w:rPr>
          <w:rFonts w:ascii="Arial" w:hAnsi="Arial"/>
          <w:sz w:val="22"/>
          <w:szCs w:val="22"/>
          <w:u w:color="002060"/>
          <w:rtl w:val="0"/>
          <w:lang w:val="en-US"/>
        </w:rPr>
        <w:t xml:space="preserve">The claim of propriety estoppel is fulfilled through different elements as Ms Morgan acted on the assurances given to her by the defendant which put her at a detriment and would not have been completed if she had the knowledge that she had no interest in the property. </w:t>
      </w:r>
    </w:p>
    <w:p>
      <w:pPr>
        <w:pStyle w:val="Heading"/>
        <w:numPr>
          <w:ilvl w:val="0"/>
          <w:numId w:val="2"/>
        </w:numPr>
        <w:rPr>
          <w:sz w:val="22"/>
          <w:szCs w:val="22"/>
          <w:lang w:val="en-US"/>
        </w:rPr>
      </w:pPr>
      <w:r>
        <w:rPr>
          <w:sz w:val="22"/>
          <w:szCs w:val="22"/>
          <w:rtl w:val="0"/>
          <w:lang w:val="en-US"/>
        </w:rPr>
        <w:t xml:space="preserve">Overall conclusions </w:t>
      </w:r>
    </w:p>
    <w:p>
      <w:pPr>
        <w:pStyle w:val="Body"/>
        <w:rPr>
          <w:rFonts w:ascii="Arial" w:cs="Arial" w:hAnsi="Arial" w:eastAsia="Arial"/>
          <w:outline w:val="0"/>
          <w:color w:val="002060"/>
          <w:sz w:val="22"/>
          <w:szCs w:val="22"/>
          <w:u w:color="002060"/>
          <w14:textFill>
            <w14:solidFill>
              <w14:srgbClr w14:val="002060"/>
            </w14:solidFill>
          </w14:textFill>
        </w:rPr>
      </w:pPr>
      <w:r>
        <w:rPr>
          <w:rFonts w:ascii="Arial" w:hAnsi="Arial"/>
          <w:sz w:val="22"/>
          <w:szCs w:val="22"/>
          <w:u w:color="002060"/>
          <w:rtl w:val="0"/>
          <w:lang w:val="en-US"/>
        </w:rPr>
        <w:t xml:space="preserve">To summarise, the evidence presented for the claimant for both claims demonstrates how Ms Morgan acted with the knowledge that she would have a share of the property and also the detriment she put herself at on the assurances given to her by the defendant. The courts should find grounds to give Ms Morgan a 50% share of the property on the basis of a constructive trust or through propriety estoppel. </w:t>
      </w:r>
    </w:p>
    <w:p>
      <w:pPr>
        <w:pStyle w:val="Body"/>
        <w:spacing w:line="360" w:lineRule="auto"/>
        <w:jc w:val="right"/>
        <w:rPr>
          <w:rFonts w:ascii="Arial" w:cs="Arial" w:hAnsi="Arial" w:eastAsia="Arial"/>
          <w:b w:val="1"/>
          <w:bCs w:val="1"/>
          <w:sz w:val="22"/>
          <w:szCs w:val="22"/>
        </w:rPr>
      </w:pPr>
      <w:r>
        <w:rPr>
          <w:rFonts w:ascii="Arial" w:hAnsi="Arial"/>
          <w:b w:val="1"/>
          <w:bCs w:val="1"/>
          <w:sz w:val="22"/>
          <w:szCs w:val="22"/>
          <w:rtl w:val="0"/>
          <w:lang w:val="en-US"/>
        </w:rPr>
        <w:t>Rowan Dhillon</w:t>
      </w:r>
    </w:p>
    <w:p>
      <w:pPr>
        <w:pStyle w:val="Body"/>
        <w:spacing w:line="360" w:lineRule="auto"/>
        <w:jc w:val="right"/>
        <w:rPr>
          <w:rFonts w:ascii="Arial" w:cs="Arial" w:hAnsi="Arial" w:eastAsia="Arial"/>
          <w:b w:val="1"/>
          <w:bCs w:val="1"/>
          <w:sz w:val="22"/>
          <w:szCs w:val="22"/>
        </w:rPr>
      </w:pPr>
      <w:r>
        <w:rPr>
          <w:rFonts w:ascii="Arial" w:hAnsi="Arial"/>
          <w:b w:val="1"/>
          <w:bCs w:val="1"/>
          <w:sz w:val="22"/>
          <w:szCs w:val="22"/>
          <w:rtl w:val="0"/>
          <w:lang w:val="en-US"/>
        </w:rPr>
        <w:t>Solicitor</w:t>
      </w:r>
    </w:p>
    <w:p>
      <w:pPr>
        <w:pStyle w:val="Body"/>
        <w:spacing w:line="360" w:lineRule="auto"/>
        <w:jc w:val="right"/>
        <w:rPr>
          <w:rFonts w:ascii="Arial" w:cs="Arial" w:hAnsi="Arial" w:eastAsia="Arial"/>
          <w:b w:val="1"/>
          <w:bCs w:val="1"/>
          <w:sz w:val="22"/>
          <w:szCs w:val="22"/>
        </w:rPr>
      </w:pPr>
      <w:r>
        <w:rPr>
          <w:rFonts w:ascii="Arial" w:hAnsi="Arial"/>
          <w:b w:val="1"/>
          <w:bCs w:val="1"/>
          <w:sz w:val="22"/>
          <w:szCs w:val="22"/>
          <w:rtl w:val="0"/>
          <w:lang w:val="en-US"/>
        </w:rPr>
        <w:t>High Courts of England and Wales (Chancery Division)</w:t>
      </w:r>
    </w:p>
    <w:p>
      <w:pPr>
        <w:pStyle w:val="Body"/>
        <w:spacing w:line="360" w:lineRule="auto"/>
        <w:jc w:val="right"/>
        <w:rPr>
          <w:rFonts w:ascii="Arial" w:cs="Arial" w:hAnsi="Arial" w:eastAsia="Arial"/>
          <w:b w:val="1"/>
          <w:bCs w:val="1"/>
          <w:sz w:val="22"/>
          <w:szCs w:val="22"/>
        </w:rPr>
      </w:pPr>
      <w:r>
        <w:rPr>
          <w:rFonts w:ascii="Arial" w:hAnsi="Arial"/>
          <w:b w:val="1"/>
          <w:bCs w:val="1"/>
          <w:sz w:val="22"/>
          <w:szCs w:val="22"/>
          <w:rtl w:val="0"/>
          <w:lang w:val="en-US"/>
        </w:rPr>
        <w:t>06/12/24</w:t>
      </w:r>
    </w:p>
    <w:p>
      <w:pPr>
        <w:pStyle w:val="Body"/>
        <w:spacing w:line="360" w:lineRule="auto"/>
        <w:rPr>
          <w:rFonts w:ascii="Arial" w:cs="Arial" w:hAnsi="Arial" w:eastAsia="Arial"/>
          <w:sz w:val="22"/>
          <w:szCs w:val="22"/>
        </w:rPr>
      </w:pPr>
    </w:p>
    <w:p>
      <w:pPr>
        <w:pStyle w:val="Body"/>
        <w:spacing w:line="360" w:lineRule="auto"/>
        <w:rPr>
          <w:rFonts w:ascii="Arial" w:cs="Arial" w:hAnsi="Arial" w:eastAsia="Arial"/>
          <w:sz w:val="22"/>
          <w:szCs w:val="22"/>
        </w:rPr>
      </w:pPr>
    </w:p>
    <w:p>
      <w:pPr>
        <w:pStyle w:val="Body"/>
        <w:spacing w:line="360" w:lineRule="auto"/>
      </w:pPr>
      <w:r>
        <w:rPr>
          <w:rFonts w:ascii="Arial Unicode MS" w:cs="Arial Unicode MS" w:hAnsi="Arial Unicode MS" w:eastAsia="Arial Unicode MS"/>
          <w:b w:val="0"/>
          <w:bCs w:val="0"/>
          <w:i w:val="0"/>
          <w:iCs w:val="0"/>
          <w:sz w:val="22"/>
          <w:szCs w:val="22"/>
        </w:rPr>
        <w:br w:type="page"/>
      </w:r>
    </w:p>
    <w:p>
      <w:pPr>
        <w:pStyle w:val="Body"/>
        <w:rPr>
          <w:rFonts w:ascii="Arial" w:cs="Arial" w:hAnsi="Arial" w:eastAsia="Arial"/>
          <w:b w:val="1"/>
          <w:bCs w:val="1"/>
          <w:sz w:val="22"/>
          <w:szCs w:val="22"/>
        </w:rPr>
      </w:pPr>
      <w:r>
        <w:rPr>
          <w:rFonts w:ascii="Arial" w:hAnsi="Arial"/>
          <w:b w:val="1"/>
          <w:bCs w:val="1"/>
          <w:sz w:val="22"/>
          <w:szCs w:val="22"/>
          <w:rtl w:val="0"/>
          <w:lang w:val="it-IT"/>
        </w:rPr>
        <w:t>Case note</w:t>
      </w:r>
    </w:p>
    <w:p>
      <w:pPr>
        <w:pStyle w:val="Body"/>
        <w:jc w:val="center"/>
        <w:rPr>
          <w:rFonts w:ascii="Arial" w:cs="Arial" w:hAnsi="Arial" w:eastAsia="Arial"/>
          <w:b w:val="1"/>
          <w:bCs w:val="1"/>
          <w:outline w:val="0"/>
          <w:color w:val="c00000"/>
          <w:sz w:val="22"/>
          <w:szCs w:val="22"/>
          <w:u w:color="c00000"/>
          <w14:textFill>
            <w14:solidFill>
              <w14:srgbClr w14:val="C00000"/>
            </w14:solidFill>
          </w14:textFill>
        </w:rPr>
      </w:pPr>
    </w:p>
    <w:p>
      <w:pPr>
        <w:pStyle w:val="Body"/>
        <w:jc w:val="center"/>
        <w:rPr>
          <w:rFonts w:ascii="Arial" w:cs="Arial" w:hAnsi="Arial" w:eastAsia="Arial"/>
          <w:b w:val="1"/>
          <w:bCs w:val="1"/>
          <w:outline w:val="0"/>
          <w:color w:val="70ad47"/>
          <w:sz w:val="22"/>
          <w:szCs w:val="22"/>
          <w:u w:color="70ad47"/>
          <w14:textFill>
            <w14:solidFill>
              <w14:srgbClr w14:val="70AD47"/>
            </w14:solidFill>
          </w14:textFill>
        </w:rPr>
      </w:pPr>
      <w:r>
        <w:rPr>
          <w:rFonts w:ascii="Arial" w:hAnsi="Arial"/>
          <w:b w:val="1"/>
          <w:bCs w:val="1"/>
          <w:sz w:val="22"/>
          <w:szCs w:val="22"/>
          <w:u w:color="c00000"/>
          <w:rtl w:val="0"/>
          <w:lang w:val="en-US"/>
        </w:rPr>
        <w:t>Jones v Kernott [2010]</w:t>
      </w:r>
    </w:p>
    <w:p>
      <w:pPr>
        <w:pStyle w:val="Body"/>
        <w:jc w:val="center"/>
        <w:rPr>
          <w:rFonts w:ascii="Arial" w:cs="Arial" w:hAnsi="Arial" w:eastAsia="Arial"/>
          <w:b w:val="1"/>
          <w:bCs w:val="1"/>
          <w:outline w:val="0"/>
          <w:color w:val="70ad47"/>
          <w:sz w:val="22"/>
          <w:szCs w:val="22"/>
          <w:u w:color="70ad47"/>
          <w14:textFill>
            <w14:solidFill>
              <w14:srgbClr w14:val="70AD47"/>
            </w14:solidFill>
          </w14:textFill>
        </w:rPr>
      </w:pPr>
      <w:r>
        <w:rPr>
          <w:rFonts w:ascii="Arial" w:hAnsi="Arial"/>
          <w:b w:val="1"/>
          <w:bCs w:val="1"/>
          <w:sz w:val="22"/>
          <w:szCs w:val="22"/>
          <w:u w:color="70ad47"/>
          <w:rtl w:val="0"/>
          <w:lang w:val="en-US"/>
        </w:rPr>
        <w:t>EWCA Civ 578</w:t>
      </w:r>
    </w:p>
    <w:p>
      <w:pPr>
        <w:pStyle w:val="Body"/>
        <w:jc w:val="center"/>
        <w:rPr>
          <w:rFonts w:ascii="Arial" w:cs="Arial" w:hAnsi="Arial" w:eastAsia="Arial"/>
          <w:b w:val="1"/>
          <w:bCs w:val="1"/>
          <w:outline w:val="0"/>
          <w:color w:val="70ad47"/>
          <w:sz w:val="22"/>
          <w:szCs w:val="22"/>
          <w:u w:color="70ad47"/>
          <w14:textFill>
            <w14:solidFill>
              <w14:srgbClr w14:val="70AD47"/>
            </w14:solidFill>
          </w14:textFill>
        </w:rPr>
      </w:pPr>
      <w:r>
        <w:rPr>
          <w:rFonts w:ascii="Arial" w:hAnsi="Arial"/>
          <w:b w:val="1"/>
          <w:bCs w:val="1"/>
          <w:sz w:val="22"/>
          <w:szCs w:val="22"/>
          <w:u w:color="70ad47"/>
          <w:rtl w:val="0"/>
          <w:lang w:val="en-US"/>
        </w:rPr>
        <w:t xml:space="preserve"> Supreme Court</w:t>
      </w:r>
    </w:p>
    <w:p>
      <w:pPr>
        <w:pStyle w:val="Body"/>
        <w:jc w:val="center"/>
        <w:rPr>
          <w:rFonts w:ascii="Arial" w:cs="Arial" w:hAnsi="Arial" w:eastAsia="Arial"/>
          <w:b w:val="1"/>
          <w:bCs w:val="1"/>
          <w:outline w:val="0"/>
          <w:color w:val="70ad47"/>
          <w:sz w:val="22"/>
          <w:szCs w:val="22"/>
          <w:u w:color="70ad47"/>
          <w14:textFill>
            <w14:solidFill>
              <w14:srgbClr w14:val="70AD47"/>
            </w14:solidFill>
          </w14:textFill>
        </w:rPr>
      </w:pPr>
    </w:p>
    <w:p>
      <w:pPr>
        <w:pStyle w:val="Body"/>
        <w:jc w:val="center"/>
        <w:rPr>
          <w:rFonts w:ascii="Arial" w:cs="Arial" w:hAnsi="Arial" w:eastAsia="Arial"/>
          <w:b w:val="1"/>
          <w:bCs w:val="1"/>
          <w:outline w:val="0"/>
          <w:color w:val="002060"/>
          <w:sz w:val="22"/>
          <w:szCs w:val="22"/>
          <w:u w:color="002060"/>
          <w14:textFill>
            <w14:solidFill>
              <w14:srgbClr w14:val="002060"/>
            </w14:solidFill>
          </w14:textFill>
        </w:rPr>
      </w:pPr>
    </w:p>
    <w:p>
      <w:pPr>
        <w:pStyle w:val="Body"/>
        <w:rPr>
          <w:rFonts w:ascii="Arial" w:cs="Arial" w:hAnsi="Arial" w:eastAsia="Arial"/>
          <w:b w:val="1"/>
          <w:bCs w:val="1"/>
          <w:sz w:val="22"/>
          <w:szCs w:val="22"/>
        </w:rPr>
      </w:pPr>
      <w:r>
        <w:rPr>
          <w:rFonts w:ascii="Arial" w:hAnsi="Arial"/>
          <w:b w:val="1"/>
          <w:bCs w:val="1"/>
          <w:sz w:val="22"/>
          <w:szCs w:val="22"/>
          <w:rtl w:val="0"/>
          <w:lang w:val="fr-FR"/>
        </w:rPr>
        <w:t>Parties</w:t>
      </w:r>
    </w:p>
    <w:p>
      <w:pPr>
        <w:pStyle w:val="Body"/>
        <w:rPr>
          <w:rFonts w:ascii="Arial" w:cs="Arial" w:hAnsi="Arial" w:eastAsia="Arial"/>
          <w:outline w:val="0"/>
          <w:color w:val="c00000"/>
          <w:sz w:val="22"/>
          <w:szCs w:val="22"/>
          <w:u w:color="c00000"/>
          <w14:textFill>
            <w14:solidFill>
              <w14:srgbClr w14:val="C00000"/>
            </w14:solidFill>
          </w14:textFill>
        </w:rPr>
      </w:pPr>
    </w:p>
    <w:p>
      <w:pPr>
        <w:pStyle w:val="Body"/>
        <w:rPr>
          <w:rFonts w:ascii="Arial" w:cs="Arial" w:hAnsi="Arial" w:eastAsia="Arial"/>
          <w:sz w:val="22"/>
          <w:szCs w:val="22"/>
          <w:u w:color="c00000"/>
        </w:rPr>
      </w:pPr>
      <w:r>
        <w:rPr>
          <w:rFonts w:ascii="Arial" w:hAnsi="Arial"/>
          <w:sz w:val="22"/>
          <w:szCs w:val="22"/>
          <w:u w:color="c00000"/>
          <w:rtl w:val="0"/>
          <w:lang w:val="en-US"/>
        </w:rPr>
        <w:t>Patrica Jones (Appellant)</w:t>
      </w:r>
    </w:p>
    <w:p>
      <w:pPr>
        <w:pStyle w:val="Body"/>
        <w:rPr>
          <w:rFonts w:ascii="Arial" w:cs="Arial" w:hAnsi="Arial" w:eastAsia="Arial"/>
          <w:outline w:val="0"/>
          <w:color w:val="c00000"/>
          <w:sz w:val="22"/>
          <w:szCs w:val="22"/>
          <w:u w:color="c00000"/>
          <w14:textFill>
            <w14:solidFill>
              <w14:srgbClr w14:val="C00000"/>
            </w14:solidFill>
          </w14:textFill>
        </w:rPr>
      </w:pPr>
      <w:r>
        <w:rPr>
          <w:rFonts w:ascii="Arial" w:hAnsi="Arial"/>
          <w:sz w:val="22"/>
          <w:szCs w:val="22"/>
          <w:u w:color="c00000"/>
          <w:rtl w:val="0"/>
          <w:lang w:val="en-US"/>
        </w:rPr>
        <w:t>Leonard Kernott (Respondent)</w:t>
      </w:r>
    </w:p>
    <w:p>
      <w:pPr>
        <w:pStyle w:val="Body"/>
        <w:rPr>
          <w:rFonts w:ascii="Arial" w:cs="Arial" w:hAnsi="Arial" w:eastAsia="Arial"/>
          <w:b w:val="1"/>
          <w:bCs w:val="1"/>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Procedural History</w:t>
      </w:r>
    </w:p>
    <w:p>
      <w:pPr>
        <w:pStyle w:val="Body"/>
        <w:rPr>
          <w:rFonts w:ascii="Arial" w:cs="Arial" w:hAnsi="Arial" w:eastAsia="Arial"/>
          <w:outline w:val="0"/>
          <w:color w:val="002060"/>
          <w:sz w:val="22"/>
          <w:szCs w:val="22"/>
          <w:u w:color="002060"/>
          <w14:textFill>
            <w14:solidFill>
              <w14:srgbClr w14:val="002060"/>
            </w14:solidFill>
          </w14:textFill>
        </w:rPr>
      </w:pPr>
    </w:p>
    <w:p>
      <w:pPr>
        <w:pStyle w:val="Body"/>
        <w:rPr>
          <w:rFonts w:ascii="Arial" w:cs="Arial" w:hAnsi="Arial" w:eastAsia="Arial"/>
          <w:sz w:val="22"/>
          <w:szCs w:val="22"/>
          <w:u w:color="002060"/>
        </w:rPr>
      </w:pPr>
      <w:r>
        <w:rPr>
          <w:rFonts w:ascii="Arial" w:hAnsi="Arial"/>
          <w:sz w:val="22"/>
          <w:szCs w:val="22"/>
          <w:u w:color="002060"/>
          <w:rtl w:val="0"/>
          <w:lang w:val="en-US"/>
        </w:rPr>
        <w:t>Trial at high court, ruled in favour of claimant</w:t>
      </w:r>
    </w:p>
    <w:p>
      <w:pPr>
        <w:pStyle w:val="Body"/>
        <w:rPr>
          <w:rFonts w:ascii="Arial" w:cs="Arial" w:hAnsi="Arial" w:eastAsia="Arial"/>
          <w:sz w:val="22"/>
          <w:szCs w:val="22"/>
          <w:u w:color="002060"/>
        </w:rPr>
      </w:pPr>
      <w:r>
        <w:rPr>
          <w:rFonts w:ascii="Arial" w:hAnsi="Arial"/>
          <w:sz w:val="22"/>
          <w:szCs w:val="22"/>
          <w:u w:color="002060"/>
          <w:rtl w:val="0"/>
          <w:lang w:val="en-US"/>
        </w:rPr>
        <w:t>Defendant appealed to Court of Appeal. Appeal dismissed.</w:t>
      </w:r>
    </w:p>
    <w:p>
      <w:pPr>
        <w:pStyle w:val="Body"/>
        <w:rPr>
          <w:rFonts w:ascii="Arial" w:cs="Arial" w:hAnsi="Arial" w:eastAsia="Arial"/>
          <w:outline w:val="0"/>
          <w:color w:val="002060"/>
          <w:sz w:val="22"/>
          <w:szCs w:val="22"/>
          <w:u w:color="002060"/>
          <w14:textFill>
            <w14:solidFill>
              <w14:srgbClr w14:val="002060"/>
            </w14:solidFill>
          </w14:textFill>
        </w:rPr>
      </w:pPr>
      <w:r>
        <w:rPr>
          <w:rFonts w:ascii="Arial" w:hAnsi="Arial"/>
          <w:sz w:val="22"/>
          <w:szCs w:val="22"/>
          <w:u w:color="002060"/>
          <w:rtl w:val="0"/>
          <w:lang w:val="en-US"/>
        </w:rPr>
        <w:t xml:space="preserve">Leave granted to appeal to supreme court. </w:t>
      </w:r>
    </w:p>
    <w:p>
      <w:pPr>
        <w:pStyle w:val="Body"/>
        <w:rPr>
          <w:rFonts w:ascii="Arial" w:cs="Arial" w:hAnsi="Arial" w:eastAsia="Arial"/>
          <w:outline w:val="0"/>
          <w:color w:val="002060"/>
          <w:sz w:val="22"/>
          <w:szCs w:val="22"/>
          <w:u w:color="002060"/>
          <w14:textFill>
            <w14:solidFill>
              <w14:srgbClr w14:val="002060"/>
            </w14:solidFill>
          </w14:textFill>
        </w:rPr>
      </w:pPr>
    </w:p>
    <w:p>
      <w:pPr>
        <w:pStyle w:val="Body"/>
        <w:rPr>
          <w:rFonts w:ascii="Arial" w:cs="Arial" w:hAnsi="Arial" w:eastAsia="Arial"/>
          <w:outline w:val="0"/>
          <w:color w:val="002060"/>
          <w:sz w:val="22"/>
          <w:szCs w:val="22"/>
          <w:u w:color="002060"/>
          <w14:textFill>
            <w14:solidFill>
              <w14:srgbClr w14:val="002060"/>
            </w14:solidFill>
          </w14:textFill>
        </w:rPr>
      </w:pPr>
      <w:r>
        <w:rPr>
          <w:rFonts w:ascii="Arial" w:hAnsi="Arial"/>
          <w:b w:val="1"/>
          <w:bCs w:val="1"/>
          <w:sz w:val="22"/>
          <w:szCs w:val="22"/>
          <w:rtl w:val="0"/>
          <w:lang w:val="en-US"/>
        </w:rPr>
        <w:t>Material facts</w:t>
      </w:r>
    </w:p>
    <w:p>
      <w:pPr>
        <w:pStyle w:val="Body"/>
        <w:rPr>
          <w:rFonts w:ascii="Arial" w:cs="Arial" w:hAnsi="Arial" w:eastAsia="Arial"/>
          <w:sz w:val="22"/>
          <w:szCs w:val="22"/>
          <w:u w:color="002060"/>
        </w:rPr>
      </w:pPr>
      <w:r>
        <w:rPr>
          <w:rFonts w:ascii="Arial" w:hAnsi="Arial"/>
          <w:sz w:val="22"/>
          <w:szCs w:val="22"/>
          <w:u w:color="002060"/>
          <w:rtl w:val="0"/>
          <w:lang w:val="en-US"/>
        </w:rPr>
        <w:t xml:space="preserve">Ms Jones and Mr Kernott were an unmarried co-habiting couple who purchased a home with a mortgage in joint names. The couple contributing to the homes expenses for eight years, after which Mr Kernott left and Ms Jones had to finance all the future expenses and remained in the property with their children without Mr Kernott. </w:t>
      </w:r>
    </w:p>
    <w:p>
      <w:pPr>
        <w:pStyle w:val="Body"/>
        <w:rPr>
          <w:rFonts w:ascii="Arial" w:cs="Arial" w:hAnsi="Arial" w:eastAsia="Arial"/>
          <w:outline w:val="0"/>
          <w:color w:val="002060"/>
          <w:sz w:val="22"/>
          <w:szCs w:val="22"/>
          <w:u w:color="002060"/>
          <w14:textFill>
            <w14:solidFill>
              <w14:srgbClr w14:val="002060"/>
            </w14:solidFill>
          </w14:textFill>
        </w:rPr>
      </w:pPr>
    </w:p>
    <w:p>
      <w:pPr>
        <w:pStyle w:val="Body"/>
        <w:rPr>
          <w:rFonts w:ascii="Arial" w:cs="Arial" w:hAnsi="Arial" w:eastAsia="Arial"/>
          <w:outline w:val="0"/>
          <w:color w:val="002060"/>
          <w:sz w:val="22"/>
          <w:szCs w:val="22"/>
          <w:u w:color="002060"/>
          <w14:textFill>
            <w14:solidFill>
              <w14:srgbClr w14:val="002060"/>
            </w14:solidFill>
          </w14:textFill>
        </w:rPr>
      </w:pPr>
      <w:r>
        <w:rPr>
          <w:rFonts w:ascii="Arial" w:hAnsi="Arial"/>
          <w:b w:val="1"/>
          <w:bCs w:val="1"/>
          <w:sz w:val="22"/>
          <w:szCs w:val="22"/>
          <w:rtl w:val="0"/>
          <w:lang w:val="en-US"/>
        </w:rPr>
        <w:t xml:space="preserve">Legal questions for the court </w:t>
      </w:r>
    </w:p>
    <w:p>
      <w:pPr>
        <w:pStyle w:val="Body"/>
        <w:numPr>
          <w:ilvl w:val="0"/>
          <w:numId w:val="7"/>
        </w:numPr>
        <w:rPr>
          <w:rFonts w:ascii="Arial" w:hAnsi="Arial"/>
          <w:sz w:val="22"/>
          <w:szCs w:val="22"/>
          <w:lang w:val="en-US"/>
        </w:rPr>
      </w:pPr>
      <w:r>
        <w:rPr>
          <w:rFonts w:ascii="Arial" w:hAnsi="Arial"/>
          <w:sz w:val="22"/>
          <w:szCs w:val="22"/>
          <w:u w:color="002060"/>
          <w:rtl w:val="0"/>
          <w:lang w:val="en-US"/>
        </w:rPr>
        <w:t xml:space="preserve">What are the beneficial interests of each party for the property in relation to their conduct for the property. </w:t>
      </w:r>
    </w:p>
    <w:p>
      <w:pPr>
        <w:pStyle w:val="Body"/>
        <w:rPr>
          <w:rFonts w:ascii="Arial" w:cs="Arial" w:hAnsi="Arial" w:eastAsia="Arial"/>
          <w:sz w:val="22"/>
          <w:szCs w:val="22"/>
          <w:u w:color="002060"/>
        </w:rPr>
      </w:pPr>
    </w:p>
    <w:p>
      <w:pPr>
        <w:pStyle w:val="Body"/>
        <w:rPr>
          <w:rFonts w:ascii="Arial" w:cs="Arial" w:hAnsi="Arial" w:eastAsia="Arial"/>
          <w:b w:val="1"/>
          <w:bCs w:val="1"/>
          <w:sz w:val="22"/>
          <w:szCs w:val="22"/>
        </w:rPr>
      </w:pPr>
      <w:r>
        <w:rPr>
          <w:rFonts w:ascii="Arial" w:hAnsi="Arial"/>
          <w:b w:val="1"/>
          <w:bCs w:val="1"/>
          <w:sz w:val="22"/>
          <w:szCs w:val="22"/>
          <w:rtl w:val="0"/>
          <w:lang w:val="fr-FR"/>
        </w:rPr>
        <w:t>Appellant arguments</w:t>
      </w:r>
    </w:p>
    <w:p>
      <w:pPr>
        <w:pStyle w:val="Body"/>
        <w:rPr>
          <w:rFonts w:ascii="Arial" w:cs="Arial" w:hAnsi="Arial" w:eastAsia="Arial"/>
          <w:sz w:val="22"/>
          <w:szCs w:val="22"/>
          <w:u w:color="70ad47"/>
        </w:rPr>
      </w:pPr>
    </w:p>
    <w:p>
      <w:pPr>
        <w:pStyle w:val="Body"/>
        <w:rPr>
          <w:rFonts w:ascii="Arial" w:cs="Arial" w:hAnsi="Arial" w:eastAsia="Arial"/>
          <w:sz w:val="22"/>
          <w:szCs w:val="22"/>
          <w:u w:color="70ad47"/>
        </w:rPr>
      </w:pPr>
      <w:r>
        <w:rPr>
          <w:rFonts w:ascii="Arial" w:hAnsi="Arial"/>
          <w:sz w:val="22"/>
          <w:szCs w:val="22"/>
          <w:u w:color="70ad47"/>
          <w:rtl w:val="0"/>
          <w:lang w:val="en-US"/>
        </w:rPr>
        <w:t xml:space="preserve">Ms Jones believed she had a greater beneficial interest in the property on the grounds that she contributed the rest of the financial payments after Mr Kernott left. Ms Jones was left to pay for property after Mr Kernott left which therefore adds to her belief that she should have a greater share of the property.  </w:t>
      </w:r>
    </w:p>
    <w:p>
      <w:pPr>
        <w:pStyle w:val="Heading 2"/>
        <w:ind w:left="680" w:hanging="680"/>
        <w:rPr>
          <w:outline w:val="0"/>
          <w:color w:val="002060"/>
          <w:sz w:val="22"/>
          <w:szCs w:val="22"/>
          <w:u w:color="002060"/>
          <w14:textFill>
            <w14:solidFill>
              <w14:srgbClr w14:val="002060"/>
            </w14:solidFill>
          </w14:textFill>
        </w:rPr>
      </w:pPr>
    </w:p>
    <w:p>
      <w:pPr>
        <w:pStyle w:val="Body"/>
        <w:rPr>
          <w:rFonts w:ascii="Arial" w:cs="Arial" w:hAnsi="Arial" w:eastAsia="Arial"/>
          <w:b w:val="1"/>
          <w:bCs w:val="1"/>
          <w:sz w:val="22"/>
          <w:szCs w:val="22"/>
        </w:rPr>
      </w:pPr>
      <w:r>
        <w:rPr>
          <w:rFonts w:ascii="Arial" w:hAnsi="Arial"/>
          <w:b w:val="1"/>
          <w:bCs w:val="1"/>
          <w:sz w:val="22"/>
          <w:szCs w:val="22"/>
          <w:rtl w:val="0"/>
          <w:lang w:val="pt-PT"/>
        </w:rPr>
        <w:t>Respondent</w:t>
      </w:r>
      <w:r>
        <w:rPr>
          <w:rFonts w:ascii="Arial" w:hAnsi="Arial" w:hint="default"/>
          <w:b w:val="1"/>
          <w:bCs w:val="1"/>
          <w:sz w:val="22"/>
          <w:szCs w:val="22"/>
          <w:rtl w:val="1"/>
        </w:rPr>
        <w:t>’</w:t>
      </w:r>
      <w:r>
        <w:rPr>
          <w:rFonts w:ascii="Arial" w:hAnsi="Arial"/>
          <w:b w:val="1"/>
          <w:bCs w:val="1"/>
          <w:sz w:val="22"/>
          <w:szCs w:val="22"/>
          <w:rtl w:val="0"/>
          <w:lang w:val="en-US"/>
        </w:rPr>
        <w:t>s arguments</w:t>
      </w:r>
    </w:p>
    <w:p>
      <w:pPr>
        <w:pStyle w:val="Body"/>
        <w:rPr>
          <w:rFonts w:ascii="Arial" w:cs="Arial" w:hAnsi="Arial" w:eastAsia="Arial"/>
          <w:sz w:val="22"/>
          <w:szCs w:val="22"/>
          <w:u w:color="002060"/>
        </w:rPr>
      </w:pPr>
      <w:r>
        <w:rPr>
          <w:rFonts w:ascii="Arial" w:hAnsi="Arial"/>
          <w:sz w:val="22"/>
          <w:szCs w:val="22"/>
          <w:u w:color="002060"/>
          <w:rtl w:val="0"/>
          <w:lang w:val="en-US"/>
        </w:rPr>
        <w:t>Mr Kernott believed that he should have an equal share of the property on the basis that they both purchased the home as join tenants and made the purchase in both of their names. Mr Kernott also contributed towards to the property</w:t>
      </w:r>
      <w:r>
        <w:rPr>
          <w:rFonts w:ascii="Arial" w:hAnsi="Arial" w:hint="default"/>
          <w:sz w:val="22"/>
          <w:szCs w:val="22"/>
          <w:u w:color="002060"/>
          <w:rtl w:val="0"/>
          <w:lang w:val="en-US"/>
        </w:rPr>
        <w:t>’</w:t>
      </w:r>
      <w:r>
        <w:rPr>
          <w:rFonts w:ascii="Arial" w:hAnsi="Arial"/>
          <w:sz w:val="22"/>
          <w:szCs w:val="22"/>
          <w:u w:color="002060"/>
          <w:rtl w:val="0"/>
          <w:lang w:val="en-US"/>
        </w:rPr>
        <w:t xml:space="preserve">s finances for eight years. </w:t>
      </w:r>
    </w:p>
    <w:p>
      <w:pPr>
        <w:pStyle w:val="Body"/>
        <w:rPr>
          <w:rFonts w:ascii="Arial" w:cs="Arial" w:hAnsi="Arial" w:eastAsia="Arial"/>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Decision of court</w:t>
      </w:r>
    </w:p>
    <w:p>
      <w:pPr>
        <w:pStyle w:val="Body"/>
        <w:rPr>
          <w:rFonts w:ascii="Arial" w:cs="Arial" w:hAnsi="Arial" w:eastAsia="Arial"/>
          <w:sz w:val="22"/>
          <w:szCs w:val="22"/>
          <w:u w:color="c00000"/>
        </w:rPr>
      </w:pPr>
    </w:p>
    <w:p>
      <w:pPr>
        <w:pStyle w:val="Body"/>
        <w:rPr>
          <w:rFonts w:ascii="Arial" w:cs="Arial" w:hAnsi="Arial" w:eastAsia="Arial"/>
          <w:sz w:val="22"/>
          <w:szCs w:val="22"/>
          <w:u w:color="c00000"/>
        </w:rPr>
      </w:pPr>
      <w:r>
        <w:rPr>
          <w:rFonts w:ascii="Arial" w:hAnsi="Arial"/>
          <w:sz w:val="22"/>
          <w:szCs w:val="22"/>
          <w:u w:color="c00000"/>
          <w:rtl w:val="0"/>
          <w:lang w:val="en-US"/>
        </w:rPr>
        <w:t>Appeal refused</w:t>
      </w:r>
    </w:p>
    <w:p>
      <w:pPr>
        <w:pStyle w:val="Body"/>
        <w:rPr>
          <w:rFonts w:ascii="Arial" w:cs="Arial" w:hAnsi="Arial" w:eastAsia="Arial"/>
          <w:outline w:val="0"/>
          <w:color w:val="002060"/>
          <w:sz w:val="22"/>
          <w:szCs w:val="22"/>
          <w14:textFill>
            <w14:solidFill>
              <w14:srgbClr w14:val="002060"/>
            </w14:solidFill>
          </w14:textFill>
        </w:rPr>
      </w:pPr>
    </w:p>
    <w:p>
      <w:pPr>
        <w:pStyle w:val="Body"/>
        <w:rPr>
          <w:rFonts w:ascii="Arial" w:cs="Arial" w:hAnsi="Arial" w:eastAsia="Arial"/>
          <w:sz w:val="22"/>
          <w:szCs w:val="22"/>
          <w:u w:color="002060"/>
        </w:rPr>
      </w:pPr>
      <w:r>
        <w:rPr>
          <w:rFonts w:ascii="Arial" w:hAnsi="Arial"/>
          <w:b w:val="1"/>
          <w:bCs w:val="1"/>
          <w:sz w:val="22"/>
          <w:szCs w:val="22"/>
          <w:rtl w:val="0"/>
          <w:lang w:val="en-US"/>
        </w:rPr>
        <w:t>Rule of law</w:t>
      </w:r>
    </w:p>
    <w:p>
      <w:pPr>
        <w:pStyle w:val="Body"/>
        <w:rPr>
          <w:rFonts w:ascii="Arial" w:cs="Arial" w:hAnsi="Arial" w:eastAsia="Arial"/>
          <w:outline w:val="0"/>
          <w:color w:val="002060"/>
          <w:sz w:val="22"/>
          <w:szCs w:val="22"/>
          <w:u w:color="002060"/>
          <w14:textFill>
            <w14:solidFill>
              <w14:srgbClr w14:val="002060"/>
            </w14:solidFill>
          </w14:textFill>
        </w:rPr>
      </w:pPr>
      <w:r>
        <w:rPr>
          <w:rFonts w:ascii="Arial" w:hAnsi="Arial"/>
          <w:sz w:val="22"/>
          <w:szCs w:val="22"/>
          <w:u w:color="002060"/>
          <w:rtl w:val="0"/>
          <w:lang w:val="en-US"/>
        </w:rPr>
        <w:t xml:space="preserve">The Court ruled that the contributions made to the property by both parties should have an affect on the beneficial interest that each party gained. Even though the property was purchased in joint by the two parties, the court made the ruling that the share of the property can be decided by the court in relation to how much they gave given into the property. </w:t>
      </w:r>
    </w:p>
    <w:p>
      <w:pPr>
        <w:pStyle w:val="Body"/>
        <w:rPr>
          <w:rFonts w:ascii="Arial" w:cs="Arial" w:hAnsi="Arial" w:eastAsia="Arial"/>
          <w:outline w:val="0"/>
          <w:color w:val="002060"/>
          <w:sz w:val="22"/>
          <w:szCs w:val="22"/>
          <w:u w:color="002060"/>
          <w14:textFill>
            <w14:solidFill>
              <w14:srgbClr w14:val="002060"/>
            </w14:solidFill>
          </w14:textFill>
        </w:rPr>
      </w:pPr>
    </w:p>
    <w:p>
      <w:pPr>
        <w:pStyle w:val="Body"/>
        <w:rPr>
          <w:rFonts w:ascii="Arial" w:cs="Arial" w:hAnsi="Arial" w:eastAsia="Arial"/>
          <w:outline w:val="0"/>
          <w:color w:val="70ad47"/>
          <w:sz w:val="22"/>
          <w:szCs w:val="22"/>
          <w:u w:color="70ad47"/>
          <w14:textFill>
            <w14:solidFill>
              <w14:srgbClr w14:val="70AD47"/>
            </w14:solidFill>
          </w14:textFill>
        </w:rPr>
      </w:pPr>
      <w:r>
        <w:rPr>
          <w:rFonts w:ascii="Arial" w:hAnsi="Arial"/>
          <w:b w:val="1"/>
          <w:bCs w:val="1"/>
          <w:sz w:val="22"/>
          <w:szCs w:val="22"/>
          <w:rtl w:val="0"/>
          <w:lang w:val="en-US"/>
        </w:rPr>
        <w:t>Reasoning</w:t>
      </w:r>
    </w:p>
    <w:p>
      <w:pPr>
        <w:pStyle w:val="Body"/>
        <w:rPr>
          <w:rFonts w:ascii="Arial" w:cs="Arial" w:hAnsi="Arial" w:eastAsia="Arial"/>
          <w:outline w:val="0"/>
          <w:color w:val="70ad47"/>
          <w:sz w:val="22"/>
          <w:szCs w:val="22"/>
          <w:u w:color="70ad47"/>
          <w14:textFill>
            <w14:solidFill>
              <w14:srgbClr w14:val="70AD47"/>
            </w14:solidFill>
          </w14:textFill>
        </w:rPr>
      </w:pPr>
    </w:p>
    <w:p>
      <w:pPr>
        <w:pStyle w:val="Body"/>
        <w:rPr>
          <w:rFonts w:ascii="Arial" w:cs="Arial" w:hAnsi="Arial" w:eastAsia="Arial"/>
          <w:outline w:val="0"/>
          <w:color w:val="70ad47"/>
          <w:sz w:val="22"/>
          <w:szCs w:val="22"/>
          <w:u w:color="70ad47"/>
          <w14:textFill>
            <w14:solidFill>
              <w14:srgbClr w14:val="70AD47"/>
            </w14:solidFill>
          </w14:textFill>
        </w:rPr>
      </w:pPr>
      <w:r>
        <w:rPr>
          <w:rFonts w:ascii="Arial" w:hAnsi="Arial"/>
          <w:sz w:val="22"/>
          <w:szCs w:val="22"/>
          <w:u w:color="70ad47"/>
          <w:rtl w:val="0"/>
          <w:lang w:val="en-US"/>
        </w:rPr>
        <w:t>The court ruled that Ms Jones</w:t>
      </w:r>
      <w:r>
        <w:rPr>
          <w:rFonts w:ascii="Arial" w:hAnsi="Arial" w:hint="default"/>
          <w:sz w:val="22"/>
          <w:szCs w:val="22"/>
          <w:u w:color="70ad47"/>
          <w:rtl w:val="0"/>
          <w:lang w:val="en-US"/>
        </w:rPr>
        <w:t xml:space="preserve">’ </w:t>
      </w:r>
      <w:r>
        <w:rPr>
          <w:rFonts w:ascii="Arial" w:hAnsi="Arial"/>
          <w:sz w:val="22"/>
          <w:szCs w:val="22"/>
          <w:u w:color="70ad47"/>
          <w:rtl w:val="0"/>
          <w:lang w:val="en-US"/>
        </w:rPr>
        <w:t xml:space="preserve">contributions to the property were significant enough to warrant a share of the property that indicated this. The court gave Ms jones a 90% share of the property and gave Mr Kernott 10% based on the contributions of both parties. Even though the home was purchased together and for eight years they both made payments together, Ms Jones was left to pay for it by herself after Mr Kernott left which gave the courts the grounds to award her with a bigger share. </w:t>
      </w:r>
    </w:p>
    <w:p>
      <w:pPr>
        <w:pStyle w:val="Body"/>
        <w:rPr>
          <w:rFonts w:ascii="Arial" w:cs="Arial" w:hAnsi="Arial" w:eastAsia="Arial"/>
        </w:rPr>
      </w:pPr>
    </w:p>
    <w:p>
      <w:pPr>
        <w:pStyle w:val="Body"/>
      </w:pPr>
    </w:p>
    <w:p>
      <w:pPr>
        <w:pStyle w:val="Body"/>
      </w:pPr>
    </w:p>
    <w:p>
      <w:pPr>
        <w:pStyle w:val="Body"/>
      </w:pPr>
      <w:r>
        <w:rPr>
          <w:rStyle w:val="page number"/>
          <w:rFonts w:ascii="Arial Unicode MS" w:cs="Arial Unicode MS" w:hAnsi="Arial Unicode MS" w:eastAsia="Arial Unicode MS"/>
          <w:b w:val="0"/>
          <w:bCs w:val="0"/>
          <w:i w:val="0"/>
          <w:iCs w:val="0"/>
        </w:rPr>
        <w:br w:type="page"/>
      </w:r>
    </w:p>
    <w:p>
      <w:pPr>
        <w:pStyle w:val="Heading"/>
        <w:ind w:left="680" w:hanging="680"/>
      </w:pPr>
      <w:r>
        <w:rPr>
          <w:rStyle w:val="page number"/>
          <w:rtl w:val="0"/>
          <w:lang w:val="fr-FR"/>
        </w:rPr>
        <w:t>References</w:t>
      </w:r>
    </w:p>
    <w:p>
      <w:pPr>
        <w:pStyle w:val="Body"/>
        <w:rPr>
          <w:rFonts w:ascii="Arial" w:cs="Arial" w:hAnsi="Arial" w:eastAsia="Arial"/>
          <w:i w:val="1"/>
          <w:iCs w:val="1"/>
          <w:sz w:val="22"/>
          <w:szCs w:val="22"/>
          <w:u w:color="002060"/>
        </w:rPr>
      </w:pPr>
      <w:r>
        <w:rPr>
          <w:rFonts w:ascii="Arial" w:hAnsi="Arial"/>
          <w:i w:val="1"/>
          <w:iCs w:val="1"/>
          <w:sz w:val="22"/>
          <w:szCs w:val="22"/>
          <w:u w:color="002060"/>
          <w:rtl w:val="0"/>
          <w:lang w:val="en-US"/>
        </w:rPr>
        <w:t xml:space="preserve">The Trusts of Land and Appointment of Trustees Act 1996. </w:t>
      </w:r>
      <w:r>
        <w:rPr>
          <w:rFonts w:ascii="Arial" w:hAnsi="Arial"/>
          <w:i w:val="0"/>
          <w:iCs w:val="0"/>
          <w:sz w:val="22"/>
          <w:szCs w:val="22"/>
          <w:u w:color="002060"/>
          <w:rtl w:val="0"/>
          <w:lang w:val="en-US"/>
        </w:rPr>
        <w:t xml:space="preserve">Available at: </w:t>
      </w:r>
      <w:r>
        <w:rPr>
          <w:rStyle w:val="Hyperlink.0"/>
          <w:rFonts w:ascii="Arial" w:cs="Arial" w:hAnsi="Arial" w:eastAsia="Arial"/>
          <w:i w:val="1"/>
          <w:iCs w:val="1"/>
          <w:sz w:val="22"/>
          <w:szCs w:val="22"/>
        </w:rPr>
        <w:fldChar w:fldCharType="begin" w:fldLock="0"/>
      </w:r>
      <w:r>
        <w:rPr>
          <w:rStyle w:val="Hyperlink.0"/>
          <w:rFonts w:ascii="Arial" w:cs="Arial" w:hAnsi="Arial" w:eastAsia="Arial"/>
          <w:i w:val="1"/>
          <w:iCs w:val="1"/>
          <w:sz w:val="22"/>
          <w:szCs w:val="22"/>
        </w:rPr>
        <w:instrText xml:space="preserve"> HYPERLINK "https://www.legislation.gov.uk/ukpga/1996/47/section/14"</w:instrText>
      </w:r>
      <w:r>
        <w:rPr>
          <w:rStyle w:val="Hyperlink.0"/>
          <w:rFonts w:ascii="Arial" w:cs="Arial" w:hAnsi="Arial" w:eastAsia="Arial"/>
          <w:i w:val="1"/>
          <w:iCs w:val="1"/>
          <w:sz w:val="22"/>
          <w:szCs w:val="22"/>
        </w:rPr>
        <w:fldChar w:fldCharType="separate" w:fldLock="0"/>
      </w:r>
      <w:r>
        <w:rPr>
          <w:rStyle w:val="Hyperlink.0"/>
          <w:rFonts w:ascii="Arial" w:hAnsi="Arial"/>
          <w:i w:val="1"/>
          <w:iCs w:val="1"/>
          <w:sz w:val="22"/>
          <w:szCs w:val="22"/>
          <w:rtl w:val="0"/>
          <w:lang w:val="en-US"/>
        </w:rPr>
        <w:t>https://www.legislation.gov.uk/ukpga/1996/47/section/14</w:t>
      </w:r>
      <w:r>
        <w:rPr>
          <w:rFonts w:ascii="Arial" w:cs="Arial" w:hAnsi="Arial" w:eastAsia="Arial"/>
          <w:i w:val="1"/>
          <w:iCs w:val="1"/>
          <w:sz w:val="22"/>
          <w:szCs w:val="22"/>
        </w:rPr>
        <w:fldChar w:fldCharType="end" w:fldLock="0"/>
      </w:r>
      <w:r>
        <w:rPr>
          <w:rFonts w:ascii="Arial" w:hAnsi="Arial"/>
          <w:i w:val="0"/>
          <w:iCs w:val="0"/>
          <w:sz w:val="22"/>
          <w:szCs w:val="22"/>
          <w:u w:color="002060"/>
          <w:rtl w:val="0"/>
          <w:lang w:val="en-US"/>
        </w:rPr>
        <w:t xml:space="preserve"> (Accessed: 04/12/24)</w:t>
      </w:r>
    </w:p>
    <w:p>
      <w:pPr>
        <w:pStyle w:val="Body"/>
        <w:rPr>
          <w:rFonts w:ascii="Arial" w:cs="Arial" w:hAnsi="Arial" w:eastAsia="Arial"/>
          <w:sz w:val="22"/>
          <w:szCs w:val="22"/>
        </w:rPr>
      </w:pPr>
    </w:p>
    <w:p>
      <w:pPr>
        <w:pStyle w:val="Body"/>
        <w:spacing w:line="360" w:lineRule="auto"/>
        <w:rPr>
          <w:rFonts w:ascii="Arial" w:cs="Arial" w:hAnsi="Arial" w:eastAsia="Arial"/>
          <w:u w:color="70ad47"/>
        </w:rPr>
      </w:pPr>
      <w:r>
        <w:rPr>
          <w:rFonts w:ascii="Arial" w:hAnsi="Arial"/>
          <w:u w:color="70ad47"/>
          <w:rtl w:val="0"/>
          <w:lang w:val="en-US"/>
        </w:rPr>
        <w:t>Geary v Rankine [2012] EWCA Civ 555</w:t>
      </w:r>
    </w:p>
    <w:p>
      <w:pPr>
        <w:pStyle w:val="Body"/>
        <w:spacing w:line="360" w:lineRule="auto"/>
        <w:rPr>
          <w:rFonts w:ascii="Arial" w:cs="Arial" w:hAnsi="Arial" w:eastAsia="Arial"/>
          <w:u w:color="70ad47"/>
        </w:rPr>
      </w:pPr>
      <w:r>
        <w:rPr>
          <w:rFonts w:ascii="Arial" w:hAnsi="Arial"/>
          <w:u w:color="70ad47"/>
          <w:rtl w:val="0"/>
          <w:lang w:val="en-US"/>
        </w:rPr>
        <w:t xml:space="preserve">Jennings v Rice [2002] EWCA Civ 159 </w:t>
      </w:r>
    </w:p>
    <w:p>
      <w:pPr>
        <w:pStyle w:val="Body"/>
        <w:spacing w:line="360" w:lineRule="auto"/>
        <w:rPr>
          <w:rFonts w:ascii="Arial" w:cs="Arial" w:hAnsi="Arial" w:eastAsia="Arial"/>
          <w:u w:color="70ad47"/>
        </w:rPr>
      </w:pPr>
      <w:r>
        <w:rPr>
          <w:rFonts w:ascii="Arial" w:hAnsi="Arial"/>
          <w:u w:color="70ad47"/>
          <w:rtl w:val="0"/>
          <w:lang w:val="en-US"/>
        </w:rPr>
        <w:t xml:space="preserve">Jones v Kernott [2010] EWCA 578 </w:t>
      </w:r>
    </w:p>
    <w:p>
      <w:pPr>
        <w:pStyle w:val="Body"/>
        <w:spacing w:line="360" w:lineRule="auto"/>
        <w:rPr>
          <w:rFonts w:ascii="Arial" w:cs="Arial" w:hAnsi="Arial" w:eastAsia="Arial"/>
          <w:u w:color="70ad47"/>
        </w:rPr>
      </w:pPr>
      <w:r>
        <w:rPr>
          <w:rFonts w:ascii="Arial" w:hAnsi="Arial"/>
          <w:u w:color="70ad47"/>
          <w:rtl w:val="0"/>
          <w:lang w:val="en-US"/>
        </w:rPr>
        <w:t>Thorner v Major [2009] WLR 776</w:t>
      </w:r>
    </w:p>
    <w:p>
      <w:pPr>
        <w:pStyle w:val="Body"/>
        <w:spacing w:line="360" w:lineRule="auto"/>
      </w:pPr>
      <w:r>
        <w:rPr>
          <w:rFonts w:ascii="Arial" w:cs="Arial" w:hAnsi="Arial" w:eastAsia="Arial"/>
          <w:outline w:val="0"/>
          <w:color w:val="70ad47"/>
          <w:u w:color="70ad47"/>
          <w14:textFill>
            <w14:solidFill>
              <w14:srgbClr w14:val="70AD47"/>
            </w14:solidFill>
          </w14:textFill>
        </w:r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Fonts w:ascii="Arial" w:hAnsi="Arial"/>
        <w:rtl w:val="0"/>
      </w:rPr>
      <w:fldChar w:fldCharType="begin" w:fldLock="0"/>
    </w:r>
    <w:r>
      <w:rPr>
        <w:rFonts w:ascii="Arial" w:hAnsi="Arial"/>
        <w:rtl w:val="0"/>
      </w:rPr>
      <w:instrText xml:space="preserve"> PAGE </w:instrText>
    </w:r>
    <w:r>
      <w:rPr>
        <w:rFonts w:ascii="Arial" w:hAnsi="Arial"/>
        <w:rtl w:val="0"/>
      </w:rPr>
      <w:fldChar w:fldCharType="separate" w:fldLock="0"/>
    </w:r>
    <w:r>
      <w:rPr>
        <w:rFonts w:ascii="Arial" w:hAnsi="Arial"/>
        <w:rtl w:val="0"/>
      </w:rPr>
    </w:r>
    <w:r>
      <w:rPr>
        <w:rFonts w:ascii="Arial" w:hAnsi="Arial"/>
        <w:rtl w:val="0"/>
      </w:rPr>
      <w:fldChar w:fldCharType="end" w:fldLock="0"/>
    </w:r>
    <w:r>
      <w:rPr>
        <w:rStyle w:val="page number"/>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680" w:hanging="68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1.%2."/>
      <w:lvlJc w:val="left"/>
      <w:pPr>
        <w:ind w:left="755" w:hanging="75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1.%2.%3."/>
      <w:lvlJc w:val="left"/>
      <w:pPr>
        <w:ind w:left="887" w:hanging="887"/>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1.%2.%3.%4."/>
      <w:lvlJc w:val="left"/>
      <w:pPr>
        <w:ind w:left="1019" w:hanging="1019"/>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1.%2.%3.%4.%5."/>
      <w:lvlJc w:val="left"/>
      <w:pPr>
        <w:ind w:left="1151" w:hanging="1151"/>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1.%2.%3.%4.%5.%6."/>
      <w:lvlJc w:val="left"/>
      <w:pPr>
        <w:ind w:left="1283" w:hanging="128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1.%2.%3.%4.%5.%6.%7."/>
      <w:lvlJc w:val="left"/>
      <w:pPr>
        <w:ind w:left="1415" w:hanging="141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1.%2.%3.%4.%5.%6.%7.%8."/>
      <w:lvlJc w:val="left"/>
      <w:pPr>
        <w:ind w:left="1547" w:hanging="1547"/>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1.%2.%3.%4.%5.%6.%7.%8.%9."/>
      <w:lvlJc w:val="left"/>
      <w:pPr>
        <w:ind w:left="1679" w:hanging="1679"/>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3"/>
  </w:abstractNum>
  <w:abstractNum w:abstractNumId="3">
    <w:multiLevelType w:val="hybridMultilevel"/>
    <w:styleLink w:val="Imported Style 3"/>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50" w:hanging="33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775" w:hanging="27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490" w:hanging="33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10" w:hanging="33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35" w:hanging="27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50" w:hanging="33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370" w:hanging="33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095" w:hanging="27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startOverride w:val="4"/>
    </w:lvlOverride>
  </w:num>
  <w:num w:numId="4">
    <w:abstractNumId w:val="0"/>
    <w:lvlOverride w:ilvl="0">
      <w:startOverride w:val="5"/>
    </w:lvlOverride>
  </w:num>
  <w:num w:numId="5">
    <w:abstractNumId w:val="0"/>
    <w:lvlOverride w:ilvl="0">
      <w:startOverride w:val="6"/>
    </w:lvlOverride>
  </w:num>
  <w:num w:numId="6">
    <w:abstractNumId w:val="3"/>
  </w:num>
  <w:num w:numId="7">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page number">
    <w:name w:val="page numbe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Heading">
    <w:name w:val="Heading"/>
    <w:next w:val="Body"/>
    <w:pPr>
      <w:keepNext w:val="0"/>
      <w:keepLines w:val="0"/>
      <w:pageBreakBefore w:val="0"/>
      <w:widowControl w:val="1"/>
      <w:shd w:val="clear" w:color="auto" w:fill="auto"/>
      <w:suppressAutoHyphens w:val="0"/>
      <w:bidi w:val="0"/>
      <w:spacing w:before="360" w:after="80" w:line="360" w:lineRule="auto"/>
      <w:ind w:left="0" w:right="0" w:firstLine="0"/>
      <w:jc w:val="left"/>
      <w:outlineLvl w:val="0"/>
    </w:pPr>
    <w:rPr>
      <w:rFonts w:ascii="Arial" w:cs="Arial Unicode MS" w:hAnsi="Arial"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fr-FR"/>
      <w14:textOutline>
        <w14:noFill/>
      </w14:textOutline>
      <w14:textFill>
        <w14:solidFill>
          <w14:srgbClr w14:val="000000"/>
        </w14:solidFill>
      </w14:textFill>
    </w:rPr>
  </w:style>
  <w:style w:type="numbering" w:styleId="Imported Style 1">
    <w:name w:val="Imported Style 1"/>
    <w:pPr>
      <w:numPr>
        <w:numId w:val="1"/>
      </w:numPr>
    </w:pPr>
  </w:style>
  <w:style w:type="numbering" w:styleId="Imported Style 3">
    <w:name w:val="Imported Style 3"/>
    <w:pPr>
      <w:numPr>
        <w:numId w:val="6"/>
      </w:numPr>
    </w:pPr>
  </w:style>
  <w:style w:type="paragraph" w:styleId="Heading 2">
    <w:name w:val="Heading 2"/>
    <w:next w:val="Body"/>
    <w:pPr>
      <w:keepNext w:val="1"/>
      <w:keepLines w:val="0"/>
      <w:pageBreakBefore w:val="0"/>
      <w:widowControl w:val="1"/>
      <w:shd w:val="clear" w:color="auto" w:fill="auto"/>
      <w:suppressAutoHyphens w:val="0"/>
      <w:bidi w:val="0"/>
      <w:spacing w:before="160" w:after="80" w:line="360" w:lineRule="auto"/>
      <w:ind w:left="0" w:right="0" w:firstLine="0"/>
      <w:jc w:val="left"/>
      <w:outlineLvl w:val="1"/>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outline w:val="0"/>
      <w:color w:val="0563c1"/>
      <w:u w:val="single" w:color="0563c1"/>
      <w14:textFill>
        <w14:solidFill>
          <w14:srgbClr w14:val="0563C1"/>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