
<file path=[Content_Types].xml><?xml version="1.0" encoding="utf-8"?>
<Types xmlns="http://schemas.openxmlformats.org/package/2006/content-types">
  <Override PartName="/word/numbering.xml" ContentType="application/vnd.openxmlformats-officedocument.wordprocessingml.numbering+xml"/>
  <Override PartName="/word/footer1.xml" ContentType="application/vnd.openxmlformats-officedocument.wordprocessingml.footer+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Default Extension="jpeg" ContentType="image/jpeg"/>
  <Default Extension="xml" ContentType="application/xml"/>
  <Default Extension="png" ContentType="image/png"/>
  <Override PartName="/word/webSettings.xml" ContentType="application/vnd.openxmlformats-officedocument.wordprocessingml.webSettings+xml"/>
  <Override PartName="/word/footer2.xml" ContentType="application/vnd.openxmlformats-officedocument.wordprocessingml.footer+xml"/>
  <Override PartName="/word/endnotes.xml" ContentType="application/vnd.openxmlformats-officedocument.wordprocessingml.endnotes+xml"/>
  <Override PartName="/word/theme/theme1.xml" ContentType="application/vnd.openxmlformats-officedocument.theme+xml"/>
  <Default Extension="rels" ContentType="application/vnd.openxmlformats-package.relationships+xml"/>
  <Override PartName="/word/styles.xml" ContentType="application/vnd.openxmlformats-officedocument.wordprocessingml.styles+xml"/>
  <Override PartName="/docProps/custom.xml" ContentType="application/vnd.openxmlformats-officedocument.custom-properties+xml"/>
  <Override PartName="/word/settings.xml" ContentType="application/vnd.openxmlformats-officedocument.wordprocessingml.settings+xml"/>
  <Override PartName="/word/document.xml" ContentType="application/vnd.openxmlformats-officedocument.wordprocessingml.document.main+xml"/>
  <Override PartName="/word/footnotes.xml" ContentType="application/vnd.openxmlformats-officedocument.wordprocessingml.footnot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mo="http://schemas.microsoft.com/office/mac/office/2008/main"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07E9F" w:rsidRPr="00CC5379" w:rsidRDefault="00607E9F" w:rsidP="00B217BC">
      <w:pPr>
        <w:shd w:val="clear" w:color="auto" w:fill="FFFFFF"/>
        <w:spacing w:line="240" w:lineRule="auto"/>
        <w:jc w:val="left"/>
        <w:rPr>
          <w:b/>
          <w:sz w:val="28"/>
        </w:rPr>
      </w:pPr>
      <w:r w:rsidRPr="00CC5379">
        <w:rPr>
          <w:b/>
          <w:sz w:val="28"/>
        </w:rPr>
        <w:t>Is There Any Significance in The Positioning and Orientation of the Neolithic Structures Around the Ness of Brodgar in Relation to the Landscape, Waterscape, Skyscape and Each Other and Can This Suggest Anything About the Function of These Structures?</w:t>
      </w:r>
    </w:p>
    <w:p w:rsidR="00607E9F" w:rsidRPr="00CC5379" w:rsidRDefault="00607E9F" w:rsidP="008453B6">
      <w:pPr>
        <w:shd w:val="clear" w:color="auto" w:fill="FFFFFF"/>
        <w:spacing w:line="240" w:lineRule="auto"/>
        <w:jc w:val="left"/>
        <w:rPr>
          <w:b/>
          <w:sz w:val="28"/>
        </w:rPr>
      </w:pPr>
    </w:p>
    <w:p w:rsidR="00607E9F" w:rsidRPr="00CC5379" w:rsidRDefault="00607E9F" w:rsidP="008453B6">
      <w:pPr>
        <w:shd w:val="clear" w:color="auto" w:fill="FFFFFF"/>
        <w:spacing w:line="240" w:lineRule="auto"/>
        <w:jc w:val="left"/>
        <w:rPr>
          <w:b/>
          <w:sz w:val="28"/>
        </w:rPr>
      </w:pPr>
    </w:p>
    <w:p w:rsidR="00607E9F" w:rsidRPr="00CC5379" w:rsidRDefault="00607E9F" w:rsidP="008453B6">
      <w:pPr>
        <w:shd w:val="clear" w:color="auto" w:fill="FFFFFF"/>
        <w:spacing w:line="240" w:lineRule="auto"/>
        <w:jc w:val="left"/>
        <w:rPr>
          <w:b/>
          <w:sz w:val="28"/>
        </w:rPr>
      </w:pPr>
    </w:p>
    <w:p w:rsidR="00607E9F" w:rsidRPr="00CC5379" w:rsidRDefault="00607E9F" w:rsidP="00B217BC">
      <w:pPr>
        <w:shd w:val="clear" w:color="auto" w:fill="FFFFFF"/>
        <w:spacing w:line="240" w:lineRule="auto"/>
        <w:jc w:val="center"/>
        <w:rPr>
          <w:b/>
          <w:sz w:val="28"/>
        </w:rPr>
      </w:pPr>
    </w:p>
    <w:p w:rsidR="00607E9F" w:rsidRPr="00CC5379" w:rsidRDefault="00607E9F" w:rsidP="00B217BC">
      <w:pPr>
        <w:shd w:val="clear" w:color="auto" w:fill="FFFFFF"/>
        <w:spacing w:line="240" w:lineRule="auto"/>
        <w:jc w:val="center"/>
        <w:rPr>
          <w:b/>
          <w:sz w:val="28"/>
        </w:rPr>
      </w:pPr>
    </w:p>
    <w:p w:rsidR="00607E9F" w:rsidRPr="00B217BC" w:rsidRDefault="00607E9F" w:rsidP="00B217BC">
      <w:pPr>
        <w:shd w:val="clear" w:color="auto" w:fill="FFFFFF"/>
        <w:spacing w:line="240" w:lineRule="auto"/>
        <w:jc w:val="center"/>
        <w:rPr>
          <w:b/>
          <w:sz w:val="40"/>
        </w:rPr>
      </w:pPr>
      <w:r w:rsidRPr="00B217BC">
        <w:rPr>
          <w:b/>
          <w:sz w:val="40"/>
        </w:rPr>
        <w:t>Lynne Eller</w:t>
      </w:r>
    </w:p>
    <w:p w:rsidR="00607E9F" w:rsidRPr="00B217BC" w:rsidRDefault="00607E9F" w:rsidP="00B217BC">
      <w:pPr>
        <w:shd w:val="clear" w:color="auto" w:fill="FFFFFF"/>
        <w:spacing w:line="240" w:lineRule="auto"/>
        <w:jc w:val="center"/>
        <w:rPr>
          <w:b/>
          <w:sz w:val="40"/>
        </w:rPr>
      </w:pPr>
    </w:p>
    <w:p w:rsidR="00607E9F" w:rsidRPr="00B217BC" w:rsidRDefault="00607E9F" w:rsidP="00B217BC">
      <w:pPr>
        <w:shd w:val="clear" w:color="auto" w:fill="FFFFFF"/>
        <w:spacing w:line="240" w:lineRule="auto"/>
        <w:jc w:val="center"/>
        <w:rPr>
          <w:b/>
          <w:sz w:val="40"/>
        </w:rPr>
      </w:pPr>
    </w:p>
    <w:p w:rsidR="00607E9F" w:rsidRPr="00B217BC" w:rsidRDefault="00607E9F" w:rsidP="00B217BC">
      <w:pPr>
        <w:shd w:val="clear" w:color="auto" w:fill="FFFFFF"/>
        <w:spacing w:line="240" w:lineRule="auto"/>
        <w:jc w:val="center"/>
        <w:rPr>
          <w:b/>
          <w:sz w:val="40"/>
        </w:rPr>
      </w:pPr>
    </w:p>
    <w:p w:rsidR="00607E9F" w:rsidRPr="00B217BC" w:rsidRDefault="00607E9F" w:rsidP="00B217BC">
      <w:pPr>
        <w:shd w:val="clear" w:color="auto" w:fill="FFFFFF"/>
        <w:spacing w:line="240" w:lineRule="auto"/>
        <w:jc w:val="center"/>
        <w:rPr>
          <w:b/>
          <w:sz w:val="40"/>
        </w:rPr>
      </w:pPr>
    </w:p>
    <w:p w:rsidR="00607E9F" w:rsidRPr="00B217BC" w:rsidRDefault="00607E9F" w:rsidP="00B217BC">
      <w:pPr>
        <w:shd w:val="clear" w:color="auto" w:fill="FFFFFF"/>
        <w:spacing w:line="240" w:lineRule="auto"/>
        <w:jc w:val="center"/>
        <w:rPr>
          <w:b/>
          <w:sz w:val="40"/>
        </w:rPr>
      </w:pPr>
      <w:r w:rsidRPr="00B217BC">
        <w:rPr>
          <w:b/>
          <w:sz w:val="40"/>
        </w:rPr>
        <w:t>1804327</w:t>
      </w:r>
    </w:p>
    <w:p w:rsidR="00607E9F" w:rsidRPr="00B217BC" w:rsidRDefault="00607E9F" w:rsidP="00B217BC">
      <w:pPr>
        <w:shd w:val="clear" w:color="auto" w:fill="FFFFFF"/>
        <w:spacing w:line="240" w:lineRule="auto"/>
        <w:jc w:val="center"/>
        <w:rPr>
          <w:b/>
          <w:sz w:val="40"/>
        </w:rPr>
      </w:pPr>
    </w:p>
    <w:p w:rsidR="00607E9F" w:rsidRPr="00B217BC" w:rsidRDefault="00607E9F" w:rsidP="00B217BC">
      <w:pPr>
        <w:shd w:val="clear" w:color="auto" w:fill="FFFFFF"/>
        <w:spacing w:line="240" w:lineRule="auto"/>
        <w:jc w:val="center"/>
        <w:rPr>
          <w:b/>
          <w:sz w:val="40"/>
        </w:rPr>
      </w:pPr>
    </w:p>
    <w:p w:rsidR="00607E9F" w:rsidRPr="00B217BC" w:rsidRDefault="00607E9F" w:rsidP="00B217BC">
      <w:pPr>
        <w:shd w:val="clear" w:color="auto" w:fill="FFFFFF"/>
        <w:spacing w:line="240" w:lineRule="auto"/>
        <w:jc w:val="center"/>
        <w:rPr>
          <w:b/>
          <w:sz w:val="40"/>
        </w:rPr>
      </w:pPr>
    </w:p>
    <w:p w:rsidR="00607E9F" w:rsidRPr="00B217BC" w:rsidRDefault="00607E9F" w:rsidP="00B217BC">
      <w:pPr>
        <w:shd w:val="clear" w:color="auto" w:fill="FFFFFF"/>
        <w:spacing w:line="240" w:lineRule="auto"/>
        <w:jc w:val="center"/>
        <w:rPr>
          <w:b/>
          <w:sz w:val="40"/>
        </w:rPr>
      </w:pPr>
    </w:p>
    <w:p w:rsidR="00607E9F" w:rsidRPr="00B217BC" w:rsidRDefault="00607E9F" w:rsidP="00B217BC">
      <w:pPr>
        <w:shd w:val="clear" w:color="auto" w:fill="FFFFFF"/>
        <w:spacing w:line="240" w:lineRule="auto"/>
        <w:jc w:val="center"/>
        <w:rPr>
          <w:b/>
          <w:sz w:val="40"/>
        </w:rPr>
      </w:pPr>
      <w:r w:rsidRPr="00B217BC">
        <w:rPr>
          <w:b/>
          <w:sz w:val="40"/>
        </w:rPr>
        <w:t>2020</w:t>
      </w:r>
    </w:p>
    <w:p w:rsidR="00607E9F" w:rsidRPr="00CC5379" w:rsidRDefault="00607E9F" w:rsidP="008453B6">
      <w:pPr>
        <w:shd w:val="clear" w:color="auto" w:fill="FFFFFF"/>
        <w:spacing w:line="240" w:lineRule="auto"/>
        <w:jc w:val="left"/>
        <w:rPr>
          <w:b/>
          <w:sz w:val="28"/>
        </w:rPr>
      </w:pPr>
    </w:p>
    <w:p w:rsidR="00607E9F" w:rsidRPr="00CC5379" w:rsidRDefault="00607E9F" w:rsidP="008453B6">
      <w:pPr>
        <w:shd w:val="clear" w:color="auto" w:fill="FFFFFF"/>
        <w:spacing w:line="240" w:lineRule="auto"/>
        <w:jc w:val="left"/>
        <w:rPr>
          <w:b/>
          <w:sz w:val="28"/>
        </w:rPr>
      </w:pPr>
    </w:p>
    <w:p w:rsidR="00607E9F" w:rsidRPr="00CC5379" w:rsidRDefault="00607E9F" w:rsidP="008453B6">
      <w:pPr>
        <w:shd w:val="clear" w:color="auto" w:fill="FFFFFF"/>
        <w:spacing w:line="240" w:lineRule="auto"/>
        <w:jc w:val="left"/>
        <w:rPr>
          <w:b/>
          <w:sz w:val="28"/>
        </w:rPr>
      </w:pPr>
    </w:p>
    <w:p w:rsidR="00607E9F" w:rsidRPr="00CC5379" w:rsidRDefault="00607E9F" w:rsidP="008453B6">
      <w:pPr>
        <w:shd w:val="clear" w:color="auto" w:fill="FFFFFF"/>
        <w:spacing w:line="240" w:lineRule="auto"/>
        <w:jc w:val="left"/>
        <w:rPr>
          <w:b/>
          <w:sz w:val="28"/>
        </w:rPr>
      </w:pPr>
    </w:p>
    <w:p w:rsidR="00607E9F" w:rsidRPr="00CC5379" w:rsidRDefault="00607E9F" w:rsidP="008453B6">
      <w:pPr>
        <w:shd w:val="clear" w:color="auto" w:fill="FFFFFF"/>
        <w:spacing w:line="240" w:lineRule="auto"/>
        <w:jc w:val="left"/>
        <w:rPr>
          <w:b/>
          <w:sz w:val="28"/>
        </w:rPr>
      </w:pPr>
    </w:p>
    <w:p w:rsidR="00607E9F" w:rsidRPr="00CC5379" w:rsidRDefault="00607E9F" w:rsidP="008453B6">
      <w:pPr>
        <w:shd w:val="clear" w:color="auto" w:fill="FFFFFF"/>
        <w:spacing w:line="240" w:lineRule="auto"/>
        <w:jc w:val="left"/>
        <w:rPr>
          <w:b/>
          <w:sz w:val="28"/>
        </w:rPr>
      </w:pPr>
    </w:p>
    <w:p w:rsidR="00607E9F" w:rsidRPr="00CC5379" w:rsidRDefault="00607E9F" w:rsidP="008453B6">
      <w:pPr>
        <w:shd w:val="clear" w:color="auto" w:fill="FFFFFF"/>
        <w:spacing w:line="240" w:lineRule="auto"/>
        <w:jc w:val="left"/>
        <w:rPr>
          <w:b/>
          <w:sz w:val="28"/>
        </w:rPr>
      </w:pPr>
    </w:p>
    <w:p w:rsidR="00607E9F" w:rsidRPr="00CC5379" w:rsidRDefault="00607E9F" w:rsidP="008453B6">
      <w:pPr>
        <w:shd w:val="clear" w:color="auto" w:fill="FFFFFF"/>
        <w:spacing w:line="240" w:lineRule="auto"/>
        <w:jc w:val="left"/>
        <w:rPr>
          <w:b/>
          <w:sz w:val="28"/>
        </w:rPr>
      </w:pPr>
    </w:p>
    <w:p w:rsidR="00607E9F" w:rsidRPr="00CC5379" w:rsidRDefault="00607E9F" w:rsidP="008453B6">
      <w:pPr>
        <w:shd w:val="clear" w:color="auto" w:fill="FFFFFF"/>
        <w:spacing w:line="240" w:lineRule="auto"/>
        <w:jc w:val="left"/>
        <w:rPr>
          <w:b/>
          <w:sz w:val="28"/>
        </w:rPr>
      </w:pPr>
    </w:p>
    <w:p w:rsidR="00607E9F" w:rsidRPr="00CC5379" w:rsidRDefault="00607E9F" w:rsidP="008453B6">
      <w:pPr>
        <w:shd w:val="clear" w:color="auto" w:fill="FFFFFF"/>
        <w:spacing w:line="240" w:lineRule="auto"/>
        <w:jc w:val="left"/>
        <w:rPr>
          <w:b/>
          <w:sz w:val="28"/>
        </w:rPr>
      </w:pPr>
    </w:p>
    <w:p w:rsidR="00607E9F" w:rsidRPr="00CC5379" w:rsidRDefault="00607E9F" w:rsidP="008453B6">
      <w:pPr>
        <w:shd w:val="clear" w:color="auto" w:fill="FFFFFF"/>
        <w:spacing w:line="240" w:lineRule="auto"/>
        <w:jc w:val="left"/>
        <w:rPr>
          <w:b/>
          <w:sz w:val="28"/>
        </w:rPr>
      </w:pPr>
    </w:p>
    <w:p w:rsidR="00607E9F" w:rsidRPr="00CC5379" w:rsidRDefault="00607E9F" w:rsidP="008453B6">
      <w:pPr>
        <w:shd w:val="clear" w:color="auto" w:fill="FFFFFF"/>
        <w:spacing w:line="240" w:lineRule="auto"/>
        <w:jc w:val="left"/>
        <w:rPr>
          <w:b/>
          <w:sz w:val="28"/>
        </w:rPr>
      </w:pPr>
    </w:p>
    <w:p w:rsidR="00607E9F" w:rsidRPr="00CC5379" w:rsidRDefault="00607E9F" w:rsidP="00B217BC">
      <w:pPr>
        <w:shd w:val="clear" w:color="auto" w:fill="FFFFFF"/>
        <w:spacing w:line="240" w:lineRule="auto"/>
        <w:ind w:left="6300" w:firstLine="420"/>
        <w:jc w:val="left"/>
        <w:rPr>
          <w:b/>
          <w:sz w:val="28"/>
        </w:rPr>
      </w:pPr>
      <w:r w:rsidRPr="00980C9C">
        <w:rPr>
          <w:rFonts w:ascii="Arial" w:hAnsi="Arial" w:cs="Arial"/>
          <w:noProof/>
          <w:lang w:val="en-US" w:eastAsia="en-US"/>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i1025" type="#_x0000_t75" alt="TSD_logo2010" style="width:145pt;height:54pt;visibility:visible">
            <v:imagedata r:id="rId7" o:title=""/>
            <v:textbox style="mso-rotate-with-shape:t"/>
          </v:shape>
        </w:pict>
      </w:r>
    </w:p>
    <w:p w:rsidR="00607E9F" w:rsidRPr="00CC5379" w:rsidRDefault="00607E9F" w:rsidP="008453B6">
      <w:pPr>
        <w:shd w:val="clear" w:color="auto" w:fill="FFFFFF"/>
        <w:spacing w:line="240" w:lineRule="auto"/>
        <w:jc w:val="left"/>
        <w:rPr>
          <w:b/>
          <w:sz w:val="28"/>
        </w:rPr>
      </w:pPr>
    </w:p>
    <w:p w:rsidR="00607E9F" w:rsidRPr="00951BBF" w:rsidRDefault="00607E9F" w:rsidP="00B217BC">
      <w:pPr>
        <w:spacing w:after="120"/>
        <w:ind w:left="720"/>
        <w:rPr>
          <w:rFonts w:ascii="Arial" w:hAnsi="Arial" w:cs="Arial"/>
        </w:rPr>
      </w:pPr>
      <w:r w:rsidRPr="00980C9C">
        <w:rPr>
          <w:rFonts w:ascii="Arial" w:hAnsi="Arial" w:cs="Arial"/>
          <w:noProof/>
          <w:lang w:val="en-US" w:eastAsia="en-US"/>
        </w:rPr>
        <w:pict>
          <v:shape id="_x0000_i1026" type="#_x0000_t75" alt="TSD_logo2010" style="width:145pt;height:54pt;visibility:visible">
            <v:imagedata r:id="rId8" o:title=""/>
            <v:textbox style="mso-rotate-with-shape:t"/>
          </v:shape>
        </w:pict>
      </w:r>
    </w:p>
    <w:p w:rsidR="00607E9F" w:rsidRPr="00951BBF" w:rsidRDefault="00607E9F" w:rsidP="00B217BC">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51BBF">
        <w:rPr>
          <w:rFonts w:ascii="Arial" w:hAnsi="Arial" w:cs="Arial"/>
          <w:b/>
        </w:rPr>
        <w:t>Master’s Degrees by Examination and Dissertation</w:t>
      </w:r>
    </w:p>
    <w:p w:rsidR="00607E9F" w:rsidRPr="00951BBF" w:rsidRDefault="00607E9F" w:rsidP="00B217BC">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51BBF">
        <w:rPr>
          <w:rFonts w:ascii="Arial" w:hAnsi="Arial" w:cs="Arial"/>
          <w:b/>
        </w:rPr>
        <w:t>Declaration Form</w:t>
      </w:r>
    </w:p>
    <w:p w:rsidR="00607E9F" w:rsidRPr="00951BBF" w:rsidRDefault="00607E9F" w:rsidP="00B217BC">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1. This work has not previously been accepted in substance for any degree and is not being concurrently submitted in candidature for any degree.</w:t>
      </w:r>
    </w:p>
    <w:p w:rsidR="00607E9F" w:rsidRPr="00951BBF" w:rsidRDefault="00607E9F" w:rsidP="00B217BC">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Name..………Lynne Eller………………………………………………………...</w:t>
      </w:r>
    </w:p>
    <w:p w:rsidR="00607E9F" w:rsidRPr="00951BBF" w:rsidRDefault="00607E9F" w:rsidP="00B217BC">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Date ………20-3-20………</w:t>
      </w:r>
    </w:p>
    <w:p w:rsidR="00607E9F" w:rsidRPr="00951BBF" w:rsidRDefault="00607E9F" w:rsidP="00B217BC">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2. This dissertation is being submitted in partial fulfilment of the requirements for the degree of……M.A. Ancient Religions</w:t>
      </w:r>
    </w:p>
    <w:p w:rsidR="00607E9F" w:rsidRPr="00951BBF" w:rsidRDefault="00607E9F" w:rsidP="00B217BC">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Name……Lynne Eller………………………</w:t>
      </w:r>
    </w:p>
    <w:p w:rsidR="00607E9F" w:rsidRPr="00951BBF" w:rsidRDefault="00607E9F" w:rsidP="00B217BC">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Date  …………20-3-20</w:t>
      </w:r>
    </w:p>
    <w:p w:rsidR="00607E9F" w:rsidRPr="00951BBF" w:rsidRDefault="00607E9F" w:rsidP="00B217BC">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3. This dissertation is the result of my own independent work/investigation, except where otherwise stated.</w:t>
      </w:r>
    </w:p>
    <w:p w:rsidR="00607E9F" w:rsidRPr="00951BBF" w:rsidRDefault="00607E9F" w:rsidP="00B217BC">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Other sources are acknowledged by footnotes giving explicit references. </w:t>
      </w:r>
    </w:p>
    <w:p w:rsidR="00607E9F" w:rsidRPr="00951BBF" w:rsidRDefault="00607E9F" w:rsidP="00B217BC">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A bibliography is appended.</w:t>
      </w:r>
    </w:p>
    <w:p w:rsidR="00607E9F" w:rsidRPr="00951BBF" w:rsidRDefault="00607E9F" w:rsidP="00B217BC">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Name……Lynne Eller……</w:t>
      </w:r>
    </w:p>
    <w:p w:rsidR="00607E9F" w:rsidRPr="00951BBF" w:rsidRDefault="00607E9F" w:rsidP="00B217BC">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Date:  ………20-3-20  </w:t>
      </w:r>
    </w:p>
    <w:p w:rsidR="00607E9F" w:rsidRPr="00951BBF" w:rsidRDefault="00607E9F" w:rsidP="00B217BC">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4. I hereby give consent for my dissertation, if accepted, to be available for photocopying, inter- library loan, and for deposit in the University’s digital repository </w:t>
      </w:r>
    </w:p>
    <w:p w:rsidR="00607E9F" w:rsidRPr="00951BBF" w:rsidRDefault="00607E9F" w:rsidP="00B217BC">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Name………Lynne Eller</w:t>
      </w:r>
    </w:p>
    <w:p w:rsidR="00607E9F" w:rsidRPr="00951BBF" w:rsidRDefault="00607E9F" w:rsidP="00B217BC">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Date…………20-3-20</w:t>
      </w:r>
    </w:p>
    <w:p w:rsidR="00607E9F" w:rsidRPr="00951BBF" w:rsidRDefault="00607E9F" w:rsidP="00B217BC">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b/>
        </w:rPr>
        <w:t>Supervisor’s Declaration</w:t>
      </w:r>
      <w:r w:rsidRPr="00951BBF">
        <w:rPr>
          <w:rFonts w:ascii="Arial" w:hAnsi="Arial" w:cs="Arial"/>
        </w:rPr>
        <w:t>.</w:t>
      </w:r>
    </w:p>
    <w:p w:rsidR="00607E9F" w:rsidRPr="00951BBF" w:rsidRDefault="00607E9F" w:rsidP="00B217BC">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I am satisfied that this work is the result of the student’s own efforts.</w:t>
      </w:r>
    </w:p>
    <w:p w:rsidR="00607E9F" w:rsidRPr="00951BBF" w:rsidRDefault="00607E9F" w:rsidP="00B217BC">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Signed:  …………………………………………………………………………...</w:t>
      </w:r>
    </w:p>
    <w:p w:rsidR="00607E9F" w:rsidRDefault="00607E9F" w:rsidP="00B217BC">
      <w:pPr>
        <w:pBdr>
          <w:top w:val="single" w:sz="4" w:space="1" w:color="auto"/>
          <w:left w:val="single" w:sz="4" w:space="4" w:color="auto"/>
          <w:bottom w:val="single" w:sz="4" w:space="1" w:color="auto"/>
          <w:right w:val="single" w:sz="4" w:space="4" w:color="auto"/>
        </w:pBdr>
        <w:spacing w:after="120"/>
        <w:rPr>
          <w:rFonts w:ascii="Arial" w:hAnsi="Arial" w:cs="Arial"/>
        </w:rPr>
      </w:pPr>
      <w:r>
        <w:rPr>
          <w:rFonts w:ascii="Arial" w:hAnsi="Arial" w:cs="Arial"/>
        </w:rPr>
        <w:t>Date: …………………………………………………………………………..</w:t>
      </w:r>
    </w:p>
    <w:p w:rsidR="00607E9F" w:rsidRPr="00CC5379" w:rsidRDefault="00607E9F" w:rsidP="00B217BC">
      <w:pPr>
        <w:pStyle w:val="Heading3"/>
        <w:spacing w:line="240" w:lineRule="auto"/>
        <w:jc w:val="center"/>
        <w:rPr>
          <w:color w:val="auto"/>
          <w:sz w:val="28"/>
        </w:rPr>
      </w:pPr>
      <w:r w:rsidRPr="00CC5379">
        <w:rPr>
          <w:color w:val="auto"/>
          <w:sz w:val="28"/>
        </w:rPr>
        <w:t>CONTENTS.</w:t>
      </w:r>
    </w:p>
    <w:p w:rsidR="00607E9F" w:rsidRPr="008453B6" w:rsidRDefault="00607E9F" w:rsidP="008453B6">
      <w:pPr>
        <w:shd w:val="clear" w:color="auto" w:fill="FFFFFF"/>
        <w:spacing w:line="240" w:lineRule="auto"/>
        <w:jc w:val="left"/>
        <w:rPr>
          <w:rFonts w:ascii="inherit" w:hAnsi="inherit"/>
          <w:b/>
          <w:lang w:val="en-US" w:eastAsia="en-US"/>
        </w:rPr>
      </w:pPr>
    </w:p>
    <w:p w:rsidR="00607E9F" w:rsidRPr="008453B6" w:rsidRDefault="00607E9F" w:rsidP="008453B6">
      <w:pPr>
        <w:shd w:val="clear" w:color="auto" w:fill="FFFFFF"/>
        <w:spacing w:line="240" w:lineRule="auto"/>
        <w:jc w:val="left"/>
        <w:rPr>
          <w:rFonts w:ascii="inherit" w:hAnsi="inherit"/>
          <w:b/>
          <w:lang w:val="en-US" w:eastAsia="en-US"/>
        </w:rPr>
      </w:pPr>
    </w:p>
    <w:p w:rsidR="00607E9F" w:rsidRPr="008453B6" w:rsidRDefault="00607E9F" w:rsidP="008453B6">
      <w:pPr>
        <w:shd w:val="clear" w:color="auto" w:fill="FFFFFF"/>
        <w:spacing w:line="240" w:lineRule="auto"/>
        <w:jc w:val="left"/>
        <w:rPr>
          <w:rFonts w:ascii="inherit" w:hAnsi="inherit"/>
          <w:b/>
          <w:lang w:val="en-US" w:eastAsia="en-US"/>
        </w:rPr>
      </w:pPr>
      <w:r w:rsidRPr="008453B6">
        <w:rPr>
          <w:rFonts w:ascii="inherit" w:hAnsi="inherit"/>
          <w:b/>
          <w:lang w:val="en-US" w:eastAsia="en-US"/>
        </w:rPr>
        <w:t>Abstract</w:t>
      </w:r>
    </w:p>
    <w:p w:rsidR="00607E9F" w:rsidRPr="00F91DC9" w:rsidRDefault="00607E9F" w:rsidP="008453B6">
      <w:pPr>
        <w:spacing w:line="240" w:lineRule="auto"/>
        <w:rPr>
          <w:rFonts w:ascii="inherit" w:hAnsi="inherit"/>
          <w:lang w:val="en-US" w:eastAsia="en-US"/>
        </w:rPr>
      </w:pPr>
    </w:p>
    <w:p w:rsidR="00607E9F" w:rsidRPr="008453B6" w:rsidRDefault="00607E9F" w:rsidP="008453B6">
      <w:pPr>
        <w:spacing w:line="240" w:lineRule="auto"/>
      </w:pPr>
      <w:r w:rsidRPr="008453B6">
        <w:rPr>
          <w:b/>
          <w:lang w:val="en-US" w:eastAsia="en-US"/>
        </w:rPr>
        <w:t xml:space="preserve">1. Introduction. </w:t>
      </w:r>
      <w:r w:rsidRPr="008453B6">
        <w:rPr>
          <w:b/>
          <w:lang w:val="en-US" w:eastAsia="en-US"/>
        </w:rPr>
        <w:tab/>
      </w:r>
      <w:r w:rsidRPr="008453B6">
        <w:rPr>
          <w:lang w:val="en-US" w:eastAsia="en-US"/>
        </w:rPr>
        <w:tab/>
      </w:r>
      <w:r w:rsidRPr="008453B6">
        <w:rPr>
          <w:lang w:val="en-US" w:eastAsia="en-US"/>
        </w:rPr>
        <w:tab/>
      </w:r>
      <w:r w:rsidRPr="008453B6">
        <w:rPr>
          <w:lang w:val="en-US" w:eastAsia="en-US"/>
        </w:rPr>
        <w:tab/>
      </w:r>
      <w:r w:rsidRPr="008453B6">
        <w:rPr>
          <w:lang w:val="en-US" w:eastAsia="en-US"/>
        </w:rPr>
        <w:tab/>
      </w:r>
      <w:r w:rsidRPr="008453B6">
        <w:rPr>
          <w:lang w:val="en-US" w:eastAsia="en-US"/>
        </w:rPr>
        <w:tab/>
      </w:r>
      <w:r w:rsidRPr="008453B6">
        <w:rPr>
          <w:lang w:val="en-US" w:eastAsia="en-US"/>
        </w:rPr>
        <w:tab/>
        <w:t xml:space="preserve"> </w:t>
      </w:r>
      <w:r w:rsidRPr="00B217BC">
        <w:rPr>
          <w:b/>
          <w:lang w:val="en-US" w:eastAsia="en-US"/>
        </w:rPr>
        <w:t>4</w:t>
      </w:r>
      <w:r w:rsidRPr="008453B6">
        <w:t xml:space="preserve"> </w:t>
      </w:r>
      <w:r w:rsidRPr="008453B6">
        <w:tab/>
      </w:r>
      <w:r w:rsidRPr="008453B6">
        <w:tab/>
      </w:r>
      <w:r w:rsidRPr="008453B6">
        <w:tab/>
      </w:r>
      <w:r w:rsidRPr="008453B6">
        <w:tab/>
      </w:r>
      <w:r w:rsidRPr="008453B6">
        <w:tab/>
      </w:r>
      <w:r w:rsidRPr="008453B6">
        <w:tab/>
      </w:r>
      <w:r w:rsidRPr="008453B6">
        <w:tab/>
      </w:r>
    </w:p>
    <w:p w:rsidR="00607E9F" w:rsidRPr="008453B6" w:rsidRDefault="00607E9F" w:rsidP="008453B6">
      <w:pPr>
        <w:spacing w:line="240" w:lineRule="auto"/>
        <w:rPr>
          <w:b/>
        </w:rPr>
      </w:pPr>
    </w:p>
    <w:p w:rsidR="00607E9F" w:rsidRPr="008453B6" w:rsidRDefault="00607E9F" w:rsidP="008453B6">
      <w:pPr>
        <w:spacing w:line="240" w:lineRule="auto"/>
      </w:pPr>
      <w:r w:rsidRPr="008453B6">
        <w:rPr>
          <w:b/>
        </w:rPr>
        <w:t>2. Literature.</w:t>
      </w:r>
      <w:r w:rsidRPr="008453B6">
        <w:rPr>
          <w:b/>
        </w:rPr>
        <w:tab/>
      </w:r>
      <w:r w:rsidRPr="008453B6">
        <w:tab/>
      </w:r>
      <w:r w:rsidRPr="008453B6">
        <w:tab/>
      </w:r>
      <w:r w:rsidRPr="008453B6">
        <w:tab/>
      </w:r>
      <w:r w:rsidRPr="008453B6">
        <w:tab/>
      </w:r>
      <w:r w:rsidRPr="008453B6">
        <w:tab/>
      </w:r>
      <w:r w:rsidRPr="008453B6">
        <w:tab/>
        <w:t xml:space="preserve"> </w:t>
      </w:r>
      <w:r w:rsidRPr="00B217BC">
        <w:rPr>
          <w:b/>
        </w:rPr>
        <w:t>7</w:t>
      </w:r>
    </w:p>
    <w:p w:rsidR="00607E9F" w:rsidRPr="008453B6" w:rsidRDefault="00607E9F" w:rsidP="008453B6">
      <w:pPr>
        <w:spacing w:line="240" w:lineRule="auto"/>
        <w:ind w:left="360"/>
        <w:jc w:val="left"/>
      </w:pPr>
      <w:r w:rsidRPr="008453B6">
        <w:t>2.1 History.</w:t>
      </w:r>
      <w:r w:rsidRPr="008453B6">
        <w:tab/>
      </w:r>
      <w:r w:rsidRPr="008453B6">
        <w:tab/>
      </w:r>
      <w:r w:rsidRPr="008453B6">
        <w:tab/>
      </w:r>
      <w:r w:rsidRPr="008453B6">
        <w:tab/>
      </w:r>
      <w:r w:rsidRPr="008453B6">
        <w:tab/>
      </w:r>
      <w:r w:rsidRPr="008453B6">
        <w:tab/>
      </w:r>
      <w:r w:rsidRPr="008453B6">
        <w:tab/>
        <w:t xml:space="preserve"> 7</w:t>
      </w:r>
    </w:p>
    <w:p w:rsidR="00607E9F" w:rsidRPr="008453B6" w:rsidRDefault="00607E9F" w:rsidP="008453B6">
      <w:pPr>
        <w:spacing w:line="240" w:lineRule="auto"/>
        <w:ind w:left="360"/>
        <w:jc w:val="left"/>
      </w:pPr>
      <w:r w:rsidRPr="008453B6">
        <w:t xml:space="preserve">2.2 Site Detail.  </w:t>
      </w:r>
      <w:r w:rsidRPr="008453B6">
        <w:tab/>
      </w:r>
      <w:r w:rsidRPr="008453B6">
        <w:tab/>
      </w:r>
      <w:r w:rsidRPr="008453B6">
        <w:tab/>
      </w:r>
      <w:r w:rsidRPr="008453B6">
        <w:tab/>
      </w:r>
      <w:r w:rsidRPr="008453B6">
        <w:tab/>
      </w:r>
      <w:r w:rsidRPr="008453B6">
        <w:tab/>
        <w:t>10</w:t>
      </w:r>
    </w:p>
    <w:p w:rsidR="00607E9F" w:rsidRPr="008453B6" w:rsidRDefault="00607E9F" w:rsidP="008453B6">
      <w:pPr>
        <w:spacing w:line="240" w:lineRule="auto"/>
        <w:ind w:left="360"/>
        <w:jc w:val="left"/>
      </w:pPr>
      <w:r w:rsidRPr="008453B6">
        <w:t xml:space="preserve"> a) The Barnhouse Settlement. </w:t>
      </w:r>
    </w:p>
    <w:p w:rsidR="00607E9F" w:rsidRPr="008453B6" w:rsidRDefault="00607E9F" w:rsidP="008453B6">
      <w:pPr>
        <w:spacing w:line="240" w:lineRule="auto"/>
        <w:ind w:left="360"/>
        <w:jc w:val="left"/>
      </w:pPr>
      <w:r w:rsidRPr="008453B6">
        <w:t xml:space="preserve">  b) The Ness of Brodgar. </w:t>
      </w:r>
    </w:p>
    <w:p w:rsidR="00607E9F" w:rsidRPr="008453B6" w:rsidRDefault="00607E9F" w:rsidP="008453B6">
      <w:pPr>
        <w:spacing w:line="240" w:lineRule="auto"/>
        <w:ind w:left="360"/>
        <w:jc w:val="left"/>
      </w:pPr>
      <w:r w:rsidRPr="008453B6">
        <w:t xml:space="preserve">  c) The Stones of Stenness. </w:t>
      </w:r>
    </w:p>
    <w:p w:rsidR="00607E9F" w:rsidRPr="008453B6" w:rsidRDefault="00607E9F" w:rsidP="008453B6">
      <w:pPr>
        <w:spacing w:line="240" w:lineRule="auto"/>
        <w:ind w:left="360"/>
        <w:jc w:val="left"/>
      </w:pPr>
      <w:r w:rsidRPr="008453B6">
        <w:t xml:space="preserve">  d) The Ring of Brodgar. </w:t>
      </w:r>
    </w:p>
    <w:p w:rsidR="00607E9F" w:rsidRPr="008453B6" w:rsidRDefault="00607E9F" w:rsidP="008453B6">
      <w:pPr>
        <w:spacing w:line="240" w:lineRule="auto"/>
        <w:ind w:left="360"/>
        <w:jc w:val="left"/>
      </w:pPr>
      <w:r w:rsidRPr="008453B6">
        <w:t xml:space="preserve">  e) The Ring of Bookan. </w:t>
      </w:r>
    </w:p>
    <w:p w:rsidR="00607E9F" w:rsidRPr="008453B6" w:rsidRDefault="00607E9F" w:rsidP="008453B6">
      <w:pPr>
        <w:spacing w:line="240" w:lineRule="auto"/>
        <w:ind w:left="360"/>
        <w:jc w:val="left"/>
      </w:pPr>
      <w:r w:rsidRPr="008453B6">
        <w:t xml:space="preserve">  f) Maeshowe Burial Chamber.</w:t>
      </w:r>
    </w:p>
    <w:p w:rsidR="00607E9F" w:rsidRPr="008453B6" w:rsidRDefault="00607E9F" w:rsidP="008453B6">
      <w:pPr>
        <w:spacing w:line="240" w:lineRule="auto"/>
        <w:rPr>
          <w:b/>
        </w:rPr>
      </w:pPr>
    </w:p>
    <w:p w:rsidR="00607E9F" w:rsidRPr="008453B6" w:rsidRDefault="00607E9F" w:rsidP="008453B6">
      <w:pPr>
        <w:spacing w:line="240" w:lineRule="auto"/>
        <w:rPr>
          <w:b/>
        </w:rPr>
      </w:pPr>
      <w:r w:rsidRPr="008453B6">
        <w:rPr>
          <w:b/>
        </w:rPr>
        <w:t>3. Theory.</w:t>
      </w:r>
      <w:r w:rsidRPr="008453B6">
        <w:rPr>
          <w:b/>
        </w:rPr>
        <w:tab/>
      </w:r>
      <w:r w:rsidRPr="008453B6">
        <w:rPr>
          <w:b/>
        </w:rPr>
        <w:tab/>
      </w:r>
      <w:r w:rsidRPr="008453B6">
        <w:rPr>
          <w:b/>
        </w:rPr>
        <w:tab/>
      </w:r>
      <w:r w:rsidRPr="008453B6">
        <w:rPr>
          <w:b/>
        </w:rPr>
        <w:tab/>
      </w:r>
      <w:r w:rsidRPr="008453B6">
        <w:rPr>
          <w:b/>
        </w:rPr>
        <w:tab/>
      </w:r>
      <w:r w:rsidRPr="008453B6">
        <w:rPr>
          <w:b/>
        </w:rPr>
        <w:tab/>
      </w:r>
      <w:r w:rsidRPr="008453B6">
        <w:rPr>
          <w:b/>
        </w:rPr>
        <w:tab/>
      </w:r>
      <w:r w:rsidRPr="008453B6">
        <w:rPr>
          <w:b/>
        </w:rPr>
        <w:tab/>
        <w:t>17</w:t>
      </w:r>
    </w:p>
    <w:p w:rsidR="00607E9F" w:rsidRPr="008453B6" w:rsidRDefault="00607E9F" w:rsidP="008453B6">
      <w:pPr>
        <w:spacing w:line="240" w:lineRule="auto"/>
        <w:ind w:left="360"/>
      </w:pPr>
      <w:r w:rsidRPr="008453B6">
        <w:t>3.1 Landscape.</w:t>
      </w:r>
      <w:r w:rsidRPr="008453B6">
        <w:tab/>
      </w:r>
      <w:r w:rsidRPr="008453B6">
        <w:tab/>
      </w:r>
      <w:r w:rsidRPr="008453B6">
        <w:tab/>
      </w:r>
      <w:r w:rsidRPr="008453B6">
        <w:tab/>
      </w:r>
      <w:r w:rsidRPr="008453B6">
        <w:tab/>
      </w:r>
      <w:r w:rsidRPr="008453B6">
        <w:tab/>
        <w:t>17</w:t>
      </w:r>
    </w:p>
    <w:p w:rsidR="00607E9F" w:rsidRPr="008453B6" w:rsidRDefault="00607E9F" w:rsidP="00B217BC">
      <w:pPr>
        <w:spacing w:line="240" w:lineRule="auto"/>
        <w:ind w:left="360"/>
      </w:pPr>
      <w:r w:rsidRPr="008453B6">
        <w:t>3.2 Waterscape.</w:t>
      </w:r>
      <w:r w:rsidRPr="008453B6">
        <w:tab/>
      </w:r>
      <w:r w:rsidRPr="008453B6">
        <w:tab/>
      </w:r>
      <w:r w:rsidRPr="008453B6">
        <w:tab/>
      </w:r>
      <w:r w:rsidRPr="008453B6">
        <w:tab/>
      </w:r>
      <w:r w:rsidRPr="008453B6">
        <w:tab/>
      </w:r>
      <w:r w:rsidRPr="008453B6">
        <w:tab/>
        <w:t>19</w:t>
      </w:r>
    </w:p>
    <w:p w:rsidR="00607E9F" w:rsidRPr="008453B6" w:rsidRDefault="00607E9F" w:rsidP="008453B6">
      <w:pPr>
        <w:spacing w:line="240" w:lineRule="auto"/>
        <w:ind w:left="360"/>
      </w:pPr>
      <w:r w:rsidRPr="008453B6">
        <w:t>3.3 Skyscape.</w:t>
      </w:r>
      <w:r w:rsidRPr="008453B6">
        <w:tab/>
      </w:r>
      <w:r w:rsidRPr="008453B6">
        <w:tab/>
      </w:r>
      <w:r w:rsidRPr="008453B6">
        <w:tab/>
      </w:r>
      <w:r w:rsidRPr="008453B6">
        <w:tab/>
      </w:r>
      <w:r w:rsidRPr="008453B6">
        <w:tab/>
      </w:r>
      <w:r w:rsidRPr="008453B6">
        <w:tab/>
        <w:t>20</w:t>
      </w:r>
    </w:p>
    <w:p w:rsidR="00607E9F" w:rsidRPr="008453B6" w:rsidRDefault="00607E9F" w:rsidP="008453B6">
      <w:pPr>
        <w:spacing w:line="240" w:lineRule="auto"/>
        <w:rPr>
          <w:b/>
        </w:rPr>
      </w:pPr>
    </w:p>
    <w:p w:rsidR="00607E9F" w:rsidRPr="008453B6" w:rsidRDefault="00607E9F" w:rsidP="008453B6">
      <w:pPr>
        <w:spacing w:line="240" w:lineRule="auto"/>
        <w:rPr>
          <w:b/>
        </w:rPr>
      </w:pPr>
      <w:r w:rsidRPr="008453B6">
        <w:rPr>
          <w:b/>
        </w:rPr>
        <w:t>4. Methodology.</w:t>
      </w:r>
      <w:r w:rsidRPr="008453B6">
        <w:rPr>
          <w:b/>
        </w:rPr>
        <w:tab/>
      </w:r>
      <w:r w:rsidRPr="008453B6">
        <w:rPr>
          <w:b/>
        </w:rPr>
        <w:tab/>
      </w:r>
      <w:r w:rsidRPr="008453B6">
        <w:rPr>
          <w:b/>
        </w:rPr>
        <w:tab/>
      </w:r>
      <w:r w:rsidRPr="008453B6">
        <w:rPr>
          <w:b/>
        </w:rPr>
        <w:tab/>
      </w:r>
      <w:r w:rsidRPr="008453B6">
        <w:rPr>
          <w:b/>
        </w:rPr>
        <w:tab/>
      </w:r>
      <w:r w:rsidRPr="008453B6">
        <w:rPr>
          <w:b/>
        </w:rPr>
        <w:tab/>
      </w:r>
      <w:r w:rsidRPr="008453B6">
        <w:rPr>
          <w:b/>
        </w:rPr>
        <w:tab/>
        <w:t>23</w:t>
      </w:r>
    </w:p>
    <w:p w:rsidR="00607E9F" w:rsidRPr="008453B6" w:rsidRDefault="00607E9F" w:rsidP="008453B6">
      <w:pPr>
        <w:spacing w:line="240" w:lineRule="auto"/>
        <w:rPr>
          <w:b/>
        </w:rPr>
      </w:pPr>
    </w:p>
    <w:p w:rsidR="00607E9F" w:rsidRPr="008453B6" w:rsidRDefault="00607E9F" w:rsidP="008453B6">
      <w:pPr>
        <w:spacing w:line="240" w:lineRule="auto"/>
        <w:rPr>
          <w:b/>
        </w:rPr>
      </w:pPr>
      <w:r w:rsidRPr="008453B6">
        <w:rPr>
          <w:b/>
        </w:rPr>
        <w:t>5. Results.</w:t>
      </w:r>
      <w:r w:rsidRPr="008453B6">
        <w:rPr>
          <w:b/>
        </w:rPr>
        <w:tab/>
      </w:r>
      <w:r w:rsidRPr="008453B6">
        <w:rPr>
          <w:b/>
        </w:rPr>
        <w:tab/>
      </w:r>
      <w:r w:rsidRPr="008453B6">
        <w:rPr>
          <w:b/>
        </w:rPr>
        <w:tab/>
      </w:r>
      <w:r w:rsidRPr="008453B6">
        <w:rPr>
          <w:b/>
        </w:rPr>
        <w:tab/>
      </w:r>
      <w:r w:rsidRPr="008453B6">
        <w:rPr>
          <w:b/>
        </w:rPr>
        <w:tab/>
      </w:r>
      <w:r w:rsidRPr="008453B6">
        <w:rPr>
          <w:b/>
        </w:rPr>
        <w:tab/>
      </w:r>
      <w:r w:rsidRPr="008453B6">
        <w:rPr>
          <w:b/>
        </w:rPr>
        <w:tab/>
      </w:r>
      <w:r w:rsidRPr="008453B6">
        <w:rPr>
          <w:b/>
        </w:rPr>
        <w:tab/>
        <w:t>29</w:t>
      </w:r>
    </w:p>
    <w:p w:rsidR="00607E9F" w:rsidRPr="008453B6" w:rsidRDefault="00607E9F" w:rsidP="008453B6">
      <w:pPr>
        <w:spacing w:line="240" w:lineRule="auto"/>
      </w:pPr>
      <w:r w:rsidRPr="008453B6">
        <w:t xml:space="preserve"> 5.1 Entrances.</w:t>
      </w:r>
      <w:r w:rsidRPr="008453B6">
        <w:tab/>
      </w:r>
      <w:r w:rsidRPr="008453B6">
        <w:tab/>
      </w:r>
      <w:r w:rsidRPr="008453B6">
        <w:tab/>
      </w:r>
      <w:r w:rsidRPr="008453B6">
        <w:tab/>
      </w:r>
      <w:r w:rsidRPr="008453B6">
        <w:tab/>
      </w:r>
      <w:r w:rsidRPr="008453B6">
        <w:tab/>
      </w:r>
      <w:r w:rsidRPr="008453B6">
        <w:tab/>
        <w:t>28</w:t>
      </w:r>
    </w:p>
    <w:p w:rsidR="00607E9F" w:rsidRPr="008453B6" w:rsidRDefault="00607E9F" w:rsidP="008453B6">
      <w:pPr>
        <w:spacing w:line="240" w:lineRule="auto"/>
      </w:pPr>
      <w:r w:rsidRPr="008453B6">
        <w:t xml:space="preserve"> 5.2 Stones of Stenness.</w:t>
      </w:r>
      <w:r w:rsidRPr="008453B6">
        <w:tab/>
      </w:r>
      <w:r w:rsidRPr="008453B6">
        <w:tab/>
      </w:r>
      <w:r w:rsidRPr="008453B6">
        <w:tab/>
      </w:r>
      <w:r w:rsidRPr="008453B6">
        <w:tab/>
      </w:r>
      <w:r w:rsidRPr="008453B6">
        <w:tab/>
        <w:t>31</w:t>
      </w:r>
    </w:p>
    <w:p w:rsidR="00607E9F" w:rsidRPr="008453B6" w:rsidRDefault="00607E9F" w:rsidP="008453B6">
      <w:pPr>
        <w:spacing w:line="240" w:lineRule="auto"/>
      </w:pPr>
      <w:r w:rsidRPr="008453B6">
        <w:t xml:space="preserve"> 5.3 Ring of Brodgar.</w:t>
      </w:r>
      <w:r w:rsidRPr="008453B6">
        <w:tab/>
      </w:r>
      <w:r w:rsidRPr="008453B6">
        <w:tab/>
      </w:r>
      <w:r w:rsidRPr="008453B6">
        <w:tab/>
      </w:r>
      <w:r w:rsidRPr="008453B6">
        <w:tab/>
      </w:r>
      <w:r w:rsidRPr="008453B6">
        <w:tab/>
      </w:r>
      <w:r w:rsidRPr="008453B6">
        <w:tab/>
        <w:t>33</w:t>
      </w:r>
    </w:p>
    <w:p w:rsidR="00607E9F" w:rsidRPr="008453B6" w:rsidRDefault="00607E9F" w:rsidP="008453B6">
      <w:pPr>
        <w:spacing w:line="240" w:lineRule="auto"/>
      </w:pPr>
      <w:r w:rsidRPr="008453B6">
        <w:t xml:space="preserve"> 5.4 Maeshowe.</w:t>
      </w:r>
      <w:r w:rsidRPr="008453B6">
        <w:tab/>
      </w:r>
      <w:r w:rsidRPr="008453B6">
        <w:tab/>
      </w:r>
      <w:r w:rsidRPr="008453B6">
        <w:tab/>
      </w:r>
      <w:r w:rsidRPr="008453B6">
        <w:tab/>
      </w:r>
      <w:r w:rsidRPr="008453B6">
        <w:tab/>
      </w:r>
      <w:r w:rsidRPr="008453B6">
        <w:tab/>
      </w:r>
      <w:r w:rsidRPr="008453B6">
        <w:tab/>
        <w:t>33</w:t>
      </w:r>
    </w:p>
    <w:p w:rsidR="00607E9F" w:rsidRDefault="00607E9F" w:rsidP="008453B6">
      <w:pPr>
        <w:spacing w:line="240" w:lineRule="auto"/>
      </w:pPr>
      <w:r>
        <w:t xml:space="preserve"> 5.5 Uncertainty Calculations.</w:t>
      </w:r>
      <w:r>
        <w:tab/>
      </w:r>
      <w:r>
        <w:tab/>
      </w:r>
      <w:r>
        <w:tab/>
      </w:r>
      <w:r>
        <w:tab/>
        <w:t>34</w:t>
      </w:r>
    </w:p>
    <w:p w:rsidR="00607E9F" w:rsidRDefault="00607E9F" w:rsidP="008453B6">
      <w:pPr>
        <w:spacing w:line="240" w:lineRule="auto"/>
      </w:pPr>
      <w:r>
        <w:t xml:space="preserve"> 5.6 Long Distance Measurements.</w:t>
      </w:r>
      <w:r>
        <w:tab/>
      </w:r>
      <w:r>
        <w:tab/>
      </w:r>
      <w:r>
        <w:tab/>
        <w:t>36</w:t>
      </w:r>
    </w:p>
    <w:p w:rsidR="00607E9F" w:rsidRPr="008453B6" w:rsidRDefault="00607E9F" w:rsidP="008453B6">
      <w:pPr>
        <w:spacing w:line="240" w:lineRule="auto"/>
        <w:rPr>
          <w:b/>
        </w:rPr>
      </w:pPr>
    </w:p>
    <w:p w:rsidR="00607E9F" w:rsidRPr="008453B6" w:rsidRDefault="00607E9F" w:rsidP="008453B6">
      <w:pPr>
        <w:spacing w:line="240" w:lineRule="auto"/>
        <w:rPr>
          <w:b/>
        </w:rPr>
      </w:pPr>
      <w:r w:rsidRPr="008453B6">
        <w:rPr>
          <w:b/>
        </w:rPr>
        <w:t>6. Discussion.</w:t>
      </w:r>
      <w:r w:rsidRPr="008453B6">
        <w:rPr>
          <w:b/>
        </w:rPr>
        <w:tab/>
      </w:r>
      <w:r w:rsidRPr="008453B6">
        <w:rPr>
          <w:b/>
        </w:rPr>
        <w:tab/>
      </w:r>
      <w:r w:rsidRPr="008453B6">
        <w:rPr>
          <w:b/>
        </w:rPr>
        <w:tab/>
      </w:r>
      <w:r w:rsidRPr="008453B6">
        <w:rPr>
          <w:b/>
        </w:rPr>
        <w:tab/>
      </w:r>
      <w:r w:rsidRPr="008453B6">
        <w:rPr>
          <w:b/>
        </w:rPr>
        <w:tab/>
      </w:r>
      <w:r w:rsidRPr="008453B6">
        <w:rPr>
          <w:b/>
        </w:rPr>
        <w:tab/>
      </w:r>
      <w:r w:rsidRPr="008453B6">
        <w:rPr>
          <w:b/>
        </w:rPr>
        <w:tab/>
        <w:t>36</w:t>
      </w:r>
    </w:p>
    <w:p w:rsidR="00607E9F" w:rsidRDefault="00607E9F" w:rsidP="008453B6">
      <w:pPr>
        <w:spacing w:line="240" w:lineRule="auto"/>
      </w:pPr>
      <w:r>
        <w:t xml:space="preserve"> 6.1 Stone Circles.</w:t>
      </w:r>
      <w:r>
        <w:tab/>
      </w:r>
      <w:r>
        <w:tab/>
      </w:r>
      <w:r>
        <w:tab/>
      </w:r>
      <w:r>
        <w:tab/>
      </w:r>
      <w:r>
        <w:tab/>
      </w:r>
      <w:r>
        <w:tab/>
        <w:t>36</w:t>
      </w:r>
    </w:p>
    <w:p w:rsidR="00607E9F" w:rsidRDefault="00607E9F" w:rsidP="008453B6">
      <w:pPr>
        <w:spacing w:line="240" w:lineRule="auto"/>
      </w:pPr>
      <w:r>
        <w:t xml:space="preserve"> 6.2 Maeshowe.</w:t>
      </w:r>
      <w:r>
        <w:tab/>
      </w:r>
      <w:r>
        <w:tab/>
      </w:r>
      <w:r>
        <w:tab/>
      </w:r>
      <w:r>
        <w:tab/>
      </w:r>
      <w:r>
        <w:tab/>
      </w:r>
      <w:r>
        <w:tab/>
      </w:r>
      <w:r>
        <w:tab/>
        <w:t>42</w:t>
      </w:r>
    </w:p>
    <w:p w:rsidR="00607E9F" w:rsidRDefault="00607E9F" w:rsidP="008453B6">
      <w:pPr>
        <w:spacing w:line="240" w:lineRule="auto"/>
      </w:pPr>
      <w:r>
        <w:t xml:space="preserve"> 6.3 Entrances.</w:t>
      </w:r>
      <w:r>
        <w:tab/>
      </w:r>
      <w:r>
        <w:tab/>
      </w:r>
      <w:r>
        <w:tab/>
      </w:r>
      <w:r>
        <w:tab/>
      </w:r>
      <w:r>
        <w:tab/>
      </w:r>
      <w:r>
        <w:tab/>
      </w:r>
      <w:r>
        <w:tab/>
        <w:t>43</w:t>
      </w:r>
    </w:p>
    <w:p w:rsidR="00607E9F" w:rsidRDefault="00607E9F" w:rsidP="008453B6">
      <w:pPr>
        <w:spacing w:line="240" w:lineRule="auto"/>
      </w:pPr>
      <w:r>
        <w:t xml:space="preserve"> 6.4 Northern Landscape.</w:t>
      </w:r>
      <w:r>
        <w:tab/>
      </w:r>
      <w:r>
        <w:tab/>
      </w:r>
      <w:r>
        <w:tab/>
      </w:r>
      <w:r>
        <w:tab/>
      </w:r>
      <w:r>
        <w:tab/>
        <w:t>45</w:t>
      </w:r>
    </w:p>
    <w:p w:rsidR="00607E9F" w:rsidRDefault="00607E9F" w:rsidP="008453B6">
      <w:pPr>
        <w:spacing w:line="240" w:lineRule="auto"/>
      </w:pPr>
      <w:r>
        <w:t xml:space="preserve"> 6.5 Thresholds.</w:t>
      </w:r>
      <w:r>
        <w:tab/>
      </w:r>
      <w:r>
        <w:tab/>
      </w:r>
      <w:r>
        <w:tab/>
      </w:r>
      <w:r>
        <w:tab/>
      </w:r>
      <w:r>
        <w:tab/>
      </w:r>
      <w:r>
        <w:tab/>
      </w:r>
      <w:r>
        <w:tab/>
        <w:t>47</w:t>
      </w:r>
    </w:p>
    <w:p w:rsidR="00607E9F" w:rsidRDefault="00607E9F" w:rsidP="008453B6">
      <w:pPr>
        <w:spacing w:line="240" w:lineRule="auto"/>
      </w:pPr>
      <w:r>
        <w:t xml:space="preserve"> 6.6 Ritual Sites.</w:t>
      </w:r>
      <w:r>
        <w:tab/>
      </w:r>
      <w:r>
        <w:tab/>
      </w:r>
      <w:r>
        <w:tab/>
      </w:r>
      <w:r>
        <w:tab/>
      </w:r>
      <w:r>
        <w:tab/>
      </w:r>
      <w:r>
        <w:tab/>
      </w:r>
      <w:r>
        <w:tab/>
        <w:t>48</w:t>
      </w:r>
    </w:p>
    <w:p w:rsidR="00607E9F" w:rsidRDefault="00607E9F" w:rsidP="008453B6">
      <w:pPr>
        <w:spacing w:line="240" w:lineRule="auto"/>
      </w:pPr>
      <w:r>
        <w:t xml:space="preserve"> 6.7 Death Ritual. </w:t>
      </w:r>
      <w:r>
        <w:tab/>
      </w:r>
      <w:r>
        <w:tab/>
      </w:r>
      <w:r>
        <w:tab/>
      </w:r>
      <w:r>
        <w:tab/>
      </w:r>
      <w:r>
        <w:tab/>
      </w:r>
      <w:r>
        <w:tab/>
        <w:t>50</w:t>
      </w:r>
    </w:p>
    <w:p w:rsidR="00607E9F" w:rsidRPr="008453B6" w:rsidRDefault="00607E9F" w:rsidP="008453B6">
      <w:pPr>
        <w:spacing w:line="240" w:lineRule="auto"/>
        <w:rPr>
          <w:b/>
        </w:rPr>
      </w:pPr>
    </w:p>
    <w:p w:rsidR="00607E9F" w:rsidRPr="008453B6" w:rsidRDefault="00607E9F" w:rsidP="008453B6">
      <w:pPr>
        <w:spacing w:line="240" w:lineRule="auto"/>
        <w:rPr>
          <w:b/>
        </w:rPr>
      </w:pPr>
      <w:r w:rsidRPr="008453B6">
        <w:rPr>
          <w:b/>
        </w:rPr>
        <w:t>7. Conclusion.</w:t>
      </w:r>
      <w:r w:rsidRPr="008453B6">
        <w:rPr>
          <w:b/>
        </w:rPr>
        <w:tab/>
      </w:r>
      <w:r w:rsidRPr="008453B6">
        <w:rPr>
          <w:b/>
        </w:rPr>
        <w:tab/>
      </w:r>
      <w:r w:rsidRPr="008453B6">
        <w:rPr>
          <w:b/>
        </w:rPr>
        <w:tab/>
      </w:r>
      <w:r w:rsidRPr="008453B6">
        <w:rPr>
          <w:b/>
        </w:rPr>
        <w:tab/>
      </w:r>
      <w:r w:rsidRPr="008453B6">
        <w:rPr>
          <w:b/>
        </w:rPr>
        <w:tab/>
      </w:r>
      <w:r w:rsidRPr="008453B6">
        <w:rPr>
          <w:b/>
        </w:rPr>
        <w:tab/>
      </w:r>
      <w:r w:rsidRPr="008453B6">
        <w:rPr>
          <w:b/>
        </w:rPr>
        <w:tab/>
        <w:t>52</w:t>
      </w:r>
    </w:p>
    <w:p w:rsidR="00607E9F" w:rsidRPr="008453B6" w:rsidRDefault="00607E9F" w:rsidP="008453B6">
      <w:pPr>
        <w:spacing w:line="240" w:lineRule="auto"/>
        <w:rPr>
          <w:b/>
        </w:rPr>
      </w:pPr>
    </w:p>
    <w:p w:rsidR="00607E9F" w:rsidRPr="008453B6" w:rsidRDefault="00607E9F" w:rsidP="008453B6">
      <w:pPr>
        <w:spacing w:line="240" w:lineRule="auto"/>
        <w:rPr>
          <w:b/>
        </w:rPr>
      </w:pPr>
      <w:r w:rsidRPr="008453B6">
        <w:rPr>
          <w:b/>
        </w:rPr>
        <w:t>8. Appendix.</w:t>
      </w:r>
      <w:r w:rsidRPr="008453B6">
        <w:rPr>
          <w:b/>
        </w:rPr>
        <w:tab/>
      </w:r>
      <w:r w:rsidRPr="008453B6">
        <w:rPr>
          <w:b/>
        </w:rPr>
        <w:tab/>
      </w:r>
      <w:r w:rsidRPr="008453B6">
        <w:rPr>
          <w:b/>
        </w:rPr>
        <w:tab/>
      </w:r>
      <w:r w:rsidRPr="008453B6">
        <w:rPr>
          <w:b/>
        </w:rPr>
        <w:tab/>
      </w:r>
      <w:r w:rsidRPr="008453B6">
        <w:rPr>
          <w:b/>
        </w:rPr>
        <w:tab/>
      </w:r>
      <w:r w:rsidRPr="008453B6">
        <w:rPr>
          <w:b/>
        </w:rPr>
        <w:tab/>
      </w:r>
      <w:r w:rsidRPr="008453B6">
        <w:rPr>
          <w:b/>
        </w:rPr>
        <w:tab/>
        <w:t>55</w:t>
      </w:r>
    </w:p>
    <w:p w:rsidR="00607E9F" w:rsidRPr="008453B6" w:rsidRDefault="00607E9F" w:rsidP="008453B6">
      <w:pPr>
        <w:spacing w:line="240" w:lineRule="auto"/>
        <w:rPr>
          <w:b/>
        </w:rPr>
      </w:pPr>
    </w:p>
    <w:p w:rsidR="00607E9F" w:rsidRPr="008453B6" w:rsidRDefault="00607E9F" w:rsidP="008453B6">
      <w:pPr>
        <w:spacing w:line="240" w:lineRule="auto"/>
        <w:rPr>
          <w:b/>
        </w:rPr>
      </w:pPr>
      <w:r w:rsidRPr="008453B6">
        <w:rPr>
          <w:b/>
        </w:rPr>
        <w:t>9. References.</w:t>
      </w:r>
      <w:r w:rsidRPr="008453B6">
        <w:rPr>
          <w:b/>
        </w:rPr>
        <w:tab/>
      </w:r>
      <w:r w:rsidRPr="008453B6">
        <w:rPr>
          <w:b/>
        </w:rPr>
        <w:tab/>
      </w:r>
      <w:r w:rsidRPr="008453B6">
        <w:rPr>
          <w:b/>
        </w:rPr>
        <w:tab/>
      </w:r>
      <w:r w:rsidRPr="008453B6">
        <w:rPr>
          <w:b/>
        </w:rPr>
        <w:tab/>
      </w:r>
      <w:r w:rsidRPr="008453B6">
        <w:rPr>
          <w:b/>
        </w:rPr>
        <w:tab/>
      </w:r>
      <w:r w:rsidRPr="008453B6">
        <w:rPr>
          <w:b/>
        </w:rPr>
        <w:tab/>
      </w:r>
      <w:r w:rsidRPr="008453B6">
        <w:rPr>
          <w:b/>
        </w:rPr>
        <w:tab/>
        <w:t>61</w:t>
      </w:r>
    </w:p>
    <w:p w:rsidR="00607E9F" w:rsidRPr="00F91DC9" w:rsidRDefault="00607E9F" w:rsidP="00F91DC9">
      <w:pPr>
        <w:shd w:val="clear" w:color="auto" w:fill="FFFFFF"/>
        <w:spacing w:line="240" w:lineRule="auto"/>
        <w:jc w:val="left"/>
        <w:rPr>
          <w:rFonts w:ascii="inherit" w:hAnsi="inherit"/>
          <w:color w:val="FF0000"/>
          <w:lang w:val="en-US" w:eastAsia="en-US"/>
        </w:rPr>
      </w:pPr>
    </w:p>
    <w:p w:rsidR="00607E9F" w:rsidRPr="00F91DC9" w:rsidRDefault="00607E9F" w:rsidP="00F91DC9">
      <w:pPr>
        <w:shd w:val="clear" w:color="auto" w:fill="FFFFFF"/>
        <w:spacing w:line="240" w:lineRule="auto"/>
        <w:jc w:val="left"/>
        <w:rPr>
          <w:rFonts w:ascii="inherit" w:hAnsi="inherit"/>
          <w:color w:val="FF0000"/>
          <w:lang w:val="en-US" w:eastAsia="en-US"/>
        </w:rPr>
      </w:pPr>
    </w:p>
    <w:p w:rsidR="00607E9F" w:rsidRPr="00CC5379" w:rsidRDefault="00607E9F" w:rsidP="008453B6">
      <w:pPr>
        <w:shd w:val="clear" w:color="auto" w:fill="FFFFFF"/>
        <w:spacing w:line="240" w:lineRule="auto"/>
        <w:jc w:val="left"/>
        <w:rPr>
          <w:b/>
          <w:sz w:val="28"/>
        </w:rPr>
      </w:pPr>
      <w:r w:rsidRPr="00CC5379">
        <w:rPr>
          <w:b/>
          <w:sz w:val="28"/>
        </w:rPr>
        <w:t xml:space="preserve">Is There Any Significance in The Positioning and Orientation of the Neolithic Structures Around the Ness of Brodgar in Relation to the Landscape, Waterscape, Skyscape and Each Other and Can This Suggest Anything About the Function of These Structures? </w:t>
      </w:r>
    </w:p>
    <w:p w:rsidR="00607E9F" w:rsidRPr="00F91DC9" w:rsidRDefault="00607E9F">
      <w:pPr>
        <w:pStyle w:val="CommentText"/>
        <w:rPr>
          <w:color w:val="FF0000"/>
        </w:rPr>
      </w:pPr>
    </w:p>
    <w:p w:rsidR="00607E9F" w:rsidRPr="00CC5379" w:rsidRDefault="00607E9F" w:rsidP="00CC5379">
      <w:pPr>
        <w:pStyle w:val="CommentText"/>
        <w:spacing w:line="240" w:lineRule="auto"/>
        <w:jc w:val="left"/>
        <w:rPr>
          <w:rFonts w:eastAsia="宋体"/>
          <w:i/>
        </w:rPr>
      </w:pPr>
    </w:p>
    <w:p w:rsidR="00607E9F" w:rsidRPr="00CC5379" w:rsidRDefault="00607E9F" w:rsidP="00CC5379">
      <w:pPr>
        <w:pStyle w:val="CommentText"/>
        <w:spacing w:line="240" w:lineRule="auto"/>
        <w:jc w:val="left"/>
        <w:rPr>
          <w:rFonts w:eastAsia="宋体"/>
          <w:i/>
        </w:rPr>
      </w:pPr>
      <w:r w:rsidRPr="00CC5379">
        <w:rPr>
          <w:rFonts w:eastAsia="宋体"/>
          <w:i/>
        </w:rPr>
        <w:t>ABSTRACT</w:t>
      </w:r>
    </w:p>
    <w:p w:rsidR="00607E9F" w:rsidRPr="00CC5379" w:rsidRDefault="00607E9F" w:rsidP="00CC5379">
      <w:pPr>
        <w:pStyle w:val="CommentText"/>
        <w:spacing w:line="240" w:lineRule="auto"/>
        <w:jc w:val="left"/>
        <w:rPr>
          <w:rFonts w:eastAsia="宋体"/>
          <w:i/>
        </w:rPr>
      </w:pPr>
    </w:p>
    <w:p w:rsidR="00607E9F" w:rsidRPr="00CC5379" w:rsidRDefault="00607E9F" w:rsidP="00CC5379">
      <w:pPr>
        <w:pStyle w:val="CommentText"/>
        <w:spacing w:line="240" w:lineRule="auto"/>
        <w:jc w:val="left"/>
        <w:rPr>
          <w:i/>
        </w:rPr>
      </w:pPr>
      <w:r w:rsidRPr="00CC5379">
        <w:rPr>
          <w:rFonts w:eastAsia="宋体"/>
          <w:i/>
        </w:rPr>
        <w:t xml:space="preserve">This dissertation explores whether aspects of the land, water and sky influenced the positioning and orientation choices made within the Neolithic structures around the Ness of Brodgar in Mainland Orkney. A multi-disciplinary approach, including archaeoastonomy practice, archaeological evidence and phenomenological experience, </w:t>
      </w:r>
      <w:r w:rsidRPr="00CC5379">
        <w:rPr>
          <w:rFonts w:ascii="Segoe UI" w:hAnsi="Segoe UI"/>
          <w:i/>
          <w:shd w:val="clear" w:color="auto" w:fill="FFFFFF"/>
        </w:rPr>
        <w:t>brings together different perspectives and knowledge to address this question.</w:t>
      </w:r>
      <w:r w:rsidRPr="00CC5379">
        <w:rPr>
          <w:rFonts w:eastAsia="宋体"/>
          <w:i/>
        </w:rPr>
        <w:t xml:space="preserve"> The potential significance of orientations and landscape aspects are then discussed in relation to what this may reveal regarding the function of the structures examined. The evidence of ritual practice and death transition is discussed in relation to the findings and the symbolic use of the landscape is addressed. The results point to the importance of particular aspects of the land and water and it is argued that aspects of the land and water was emulated and used to emphasise ritual thresholds. It is also argued that the orientations within structures symbolically face important aspects of the sky in relation to the transition of death.</w:t>
      </w:r>
      <w:r w:rsidRPr="00CC5379">
        <w:rPr>
          <w:i/>
        </w:rPr>
        <w:t xml:space="preserve">  </w:t>
      </w:r>
    </w:p>
    <w:p w:rsidR="00607E9F" w:rsidRPr="008453B6" w:rsidRDefault="00607E9F" w:rsidP="008453B6">
      <w:pPr>
        <w:pStyle w:val="Heading3"/>
        <w:jc w:val="center"/>
        <w:rPr>
          <w:color w:val="3366FF"/>
        </w:rPr>
      </w:pPr>
    </w:p>
    <w:p w:rsidR="00607E9F" w:rsidRPr="008453B6" w:rsidRDefault="00607E9F" w:rsidP="008453B6">
      <w:pPr>
        <w:pStyle w:val="Heading3"/>
        <w:jc w:val="center"/>
        <w:rPr>
          <w:color w:val="3366FF"/>
        </w:rPr>
      </w:pPr>
      <w:r w:rsidRPr="008453B6">
        <w:rPr>
          <w:color w:val="3366FF"/>
        </w:rPr>
        <w:t xml:space="preserve">Chapter 1. </w:t>
      </w:r>
    </w:p>
    <w:p w:rsidR="00607E9F" w:rsidRPr="008453B6" w:rsidRDefault="00607E9F" w:rsidP="008453B6">
      <w:pPr>
        <w:pStyle w:val="Heading3"/>
        <w:jc w:val="center"/>
        <w:rPr>
          <w:color w:val="3366FF"/>
          <w:sz w:val="28"/>
        </w:rPr>
      </w:pPr>
      <w:r w:rsidRPr="008453B6">
        <w:rPr>
          <w:color w:val="3366FF"/>
          <w:sz w:val="28"/>
        </w:rPr>
        <w:t>INTRODUCTION.</w:t>
      </w:r>
    </w:p>
    <w:p w:rsidR="00607E9F" w:rsidRPr="00F91DC9" w:rsidRDefault="00607E9F" w:rsidP="00F91DC9">
      <w:pPr>
        <w:pStyle w:val="CommentText"/>
        <w:rPr>
          <w:rFonts w:ascii="Times New Roman Bold" w:hAnsi="Times New Roman Bold"/>
          <w:b/>
        </w:rPr>
      </w:pPr>
    </w:p>
    <w:p w:rsidR="00607E9F" w:rsidRPr="00767A0C" w:rsidRDefault="00607E9F" w:rsidP="005A2072">
      <w:pPr>
        <w:jc w:val="left"/>
      </w:pPr>
      <w:r w:rsidRPr="00767A0C">
        <w:t>The Orkney Islands, situated off the northern tip of Scotland, UK, consist of approximately 70 islands and skerries of which 16 are inhabited. The islands contain a wealth of Neolithic remains and consequently the ‘Heart of Neolithic Orkney’, on the mainland, was granted World Heritage status in 1999. Since the granting of this status the Ness of Brodgar was discovered. The Ness is situated to the west of mainland Orkney on the Brodgar isthmus that, along with the Bridge of Brodgar, connects Brodgar to Stenness as shown in Figure 1. The Lochs of Harray</w:t>
      </w:r>
      <w:bookmarkStart w:id="0" w:name="_GoBack"/>
      <w:bookmarkEnd w:id="0"/>
      <w:r w:rsidRPr="00767A0C">
        <w:t xml:space="preserve"> and Stenness sandwich this bridge of land either side. </w:t>
      </w:r>
    </w:p>
    <w:p w:rsidR="00607E9F" w:rsidRPr="005A2072" w:rsidRDefault="00607E9F" w:rsidP="005A2072">
      <w:pPr>
        <w:jc w:val="left"/>
        <w:rPr>
          <w:i/>
        </w:rPr>
      </w:pPr>
      <w:r>
        <w:pict>
          <v:shape id="_x0000_i1027" type="#_x0000_t75" style="width:413pt;height:415pt">
            <v:imagedata r:id="rId9" o:title=""/>
          </v:shape>
        </w:pict>
      </w:r>
    </w:p>
    <w:p w:rsidR="00607E9F" w:rsidRPr="005A2072" w:rsidRDefault="00607E9F" w:rsidP="005A2072">
      <w:pPr>
        <w:jc w:val="left"/>
        <w:rPr>
          <w:i/>
        </w:rPr>
      </w:pPr>
      <w:r w:rsidRPr="005A2072">
        <w:rPr>
          <w:i/>
        </w:rPr>
        <w:t>Figure 1.  Showing the position of the Ness &amp; the Orkney Islands.</w:t>
      </w:r>
    </w:p>
    <w:p w:rsidR="00607E9F" w:rsidRPr="005A2072" w:rsidRDefault="00607E9F" w:rsidP="005A2072">
      <w:pPr>
        <w:jc w:val="left"/>
        <w:rPr>
          <w:i/>
        </w:rPr>
      </w:pPr>
    </w:p>
    <w:p w:rsidR="00607E9F" w:rsidRPr="00767A0C" w:rsidRDefault="00607E9F" w:rsidP="005A2072">
      <w:pPr>
        <w:jc w:val="left"/>
      </w:pPr>
      <w:r w:rsidRPr="00767A0C">
        <w:t xml:space="preserve">The Neolithic time period, approximately 4000 to 2000 BC in the UK (Children &amp; Nash, 1997, preface), and the two-mile area around the Ness of Brodgar defined the sites to be investigated. The sites included the Ring of Brodgar stone circle, the Stones of Stenness stone circle and henge, the Ring of Bookan henge, the Barnhouse settlement, Maeshowe burial mound and the Ness of Brodgar complex. The Barnhouse settlement and the Stones of Stenness stand to the south of the isthmus, with the Maeshowe burial mound situated to the southeast. The Ring of Brodgar and Ring of Bookan are situated on the northern side. Partial excavations have been conducted at all sites, except the Ring of Bookan, while seasonal excavations continue at the Ness. Some archaeoastronomical research has been completed at Maeshowe and the Stones of Stenness whilst Colin Richards (1996) has discussed monumental construction within this landscape. The Ness of Brodgar landscape forms a natural bowl surrounded by hills. The lack of trees gives an open vista with the Ring of Brodgar at a higher, although not the highest, point. The position of the sites within the landscape, including the Comet, Watchstone, Barnhouse and Brodgar Farm standing stones, are shown in Figure 2. </w:t>
      </w:r>
    </w:p>
    <w:p w:rsidR="00607E9F" w:rsidRPr="00767A0C" w:rsidRDefault="00607E9F" w:rsidP="005A2072">
      <w:pPr>
        <w:jc w:val="left"/>
      </w:pPr>
    </w:p>
    <w:p w:rsidR="00607E9F" w:rsidRPr="00767A0C" w:rsidRDefault="00607E9F" w:rsidP="005A2072">
      <w:pPr>
        <w:jc w:val="left"/>
      </w:pPr>
      <w:r>
        <w:pict>
          <v:shape id="_x0000_i1028" type="#_x0000_t75" style="width:406pt;height:188pt;visibility:visible">
            <v:imagedata r:id="rId10" o:title=""/>
          </v:shape>
        </w:pict>
      </w:r>
    </w:p>
    <w:p w:rsidR="00607E9F" w:rsidRPr="005A2072" w:rsidRDefault="00607E9F" w:rsidP="005A2072">
      <w:pPr>
        <w:jc w:val="left"/>
        <w:rPr>
          <w:i/>
        </w:rPr>
      </w:pPr>
      <w:r w:rsidRPr="005A2072">
        <w:rPr>
          <w:i/>
        </w:rPr>
        <w:t>Figure 2.  The position of sites within the landscape.</w:t>
      </w:r>
    </w:p>
    <w:p w:rsidR="00607E9F" w:rsidRPr="008453B6" w:rsidRDefault="00607E9F" w:rsidP="005A2072">
      <w:pPr>
        <w:jc w:val="left"/>
      </w:pPr>
    </w:p>
    <w:p w:rsidR="00607E9F" w:rsidRPr="00B217BC" w:rsidRDefault="00607E9F" w:rsidP="00B217BC">
      <w:pPr>
        <w:jc w:val="left"/>
      </w:pPr>
      <w:r w:rsidRPr="008453B6">
        <w:t xml:space="preserve">The remit of this project was to explore the positioning and orientations of the structures in relation to the land, water, sky and each other and to then investigate the possible </w:t>
      </w:r>
      <w:r w:rsidRPr="00B217BC">
        <w:t xml:space="preserve">significance of orientation choices made by the builders. While archaeological evidence is available from excavated sites, very little archaeoastronomical work has been done in the area.  Rather than explore an individual site, I wanted to examine a variety of Neolithic sites to give a wider overview and database that allowed comparism.  A multi-disciplinary approach allowed me to draw on phenomenological experience, archaeological and ethnographic evidence, as well as archaeoastronomical methodology. This </w:t>
      </w:r>
      <w:r w:rsidRPr="00B217BC">
        <w:rPr>
          <w:rFonts w:eastAsia="宋体"/>
        </w:rPr>
        <w:t>brought</w:t>
      </w:r>
      <w:r w:rsidRPr="00B217BC">
        <w:rPr>
          <w:shd w:val="clear" w:color="auto" w:fill="FFFFFF"/>
        </w:rPr>
        <w:t xml:space="preserve"> together different perspectives and knowledge bases to address this topic.</w:t>
      </w:r>
      <w:r w:rsidRPr="00B217BC">
        <w:rPr>
          <w:rFonts w:eastAsia="宋体"/>
        </w:rPr>
        <w:t xml:space="preserve"> </w:t>
      </w:r>
    </w:p>
    <w:p w:rsidR="00607E9F" w:rsidRPr="00767A0C" w:rsidRDefault="00607E9F" w:rsidP="005A2072">
      <w:pPr>
        <w:jc w:val="left"/>
      </w:pPr>
      <w:r w:rsidRPr="00B217BC">
        <w:t>Archaeoastronomy theory (Ruggles, 1999) was used to study the sky in relation to the sites and a phenomenological approach (Tilley, 1997) was used in the field. To investigate the possible significance of orientation and positioning choices</w:t>
      </w:r>
      <w:r w:rsidRPr="00767A0C">
        <w:t xml:space="preserve"> I planned to take a series of orientation measurements and look for repetitions or patterns within the results. If there appeared to be significance to orientation and positioning choices, I could then speculate on what this might infer regarding the function of the structures. </w:t>
      </w:r>
    </w:p>
    <w:p w:rsidR="00607E9F" w:rsidRPr="008453B6" w:rsidRDefault="00607E9F" w:rsidP="008453B6">
      <w:pPr>
        <w:pStyle w:val="Heading2"/>
        <w:jc w:val="center"/>
        <w:rPr>
          <w:rFonts w:ascii="Times New Roman" w:hAnsi="Times New Roman"/>
          <w:color w:val="3366FF"/>
          <w:sz w:val="24"/>
        </w:rPr>
      </w:pPr>
      <w:r w:rsidRPr="008453B6">
        <w:rPr>
          <w:rFonts w:ascii="Times New Roman" w:hAnsi="Times New Roman"/>
          <w:color w:val="3366FF"/>
          <w:sz w:val="24"/>
        </w:rPr>
        <w:t xml:space="preserve">Chapter 2. </w:t>
      </w:r>
    </w:p>
    <w:p w:rsidR="00607E9F" w:rsidRPr="008453B6" w:rsidRDefault="00607E9F" w:rsidP="008453B6">
      <w:pPr>
        <w:pStyle w:val="Heading2"/>
        <w:jc w:val="center"/>
        <w:rPr>
          <w:rFonts w:ascii="Times New Roman" w:hAnsi="Times New Roman"/>
          <w:color w:val="3366FF"/>
          <w:sz w:val="28"/>
        </w:rPr>
      </w:pPr>
      <w:r w:rsidRPr="008453B6">
        <w:rPr>
          <w:rFonts w:ascii="Times New Roman" w:hAnsi="Times New Roman"/>
          <w:color w:val="3366FF"/>
          <w:sz w:val="28"/>
        </w:rPr>
        <w:t>LITERERATURE.</w:t>
      </w:r>
    </w:p>
    <w:p w:rsidR="00607E9F" w:rsidRPr="008453B6" w:rsidRDefault="00607E9F" w:rsidP="005A2072">
      <w:pPr>
        <w:pStyle w:val="Heading3"/>
        <w:jc w:val="left"/>
        <w:rPr>
          <w:color w:val="3366FF"/>
        </w:rPr>
      </w:pPr>
      <w:r w:rsidRPr="008453B6">
        <w:rPr>
          <w:color w:val="3366FF"/>
        </w:rPr>
        <w:t>2.1 HISTORICAL.</w:t>
      </w:r>
    </w:p>
    <w:p w:rsidR="00607E9F" w:rsidRPr="00767A0C" w:rsidRDefault="00607E9F" w:rsidP="005A2072">
      <w:pPr>
        <w:jc w:val="left"/>
      </w:pPr>
      <w:r w:rsidRPr="008453B6">
        <w:t>The people of the Neolithic left a substantial array of structures on the Islands of Orkney including farmsteads, larger settlements, chambered cairns, passage tombs, stone circles and henges. Whilst some evidence points to hunter-gatherer activity during the Mesolithic (Wickham-Jones, Dawson and Bates, 2009), the Orkney vole was introduced in the later 4th millennium BC; presumably accompanying new settlers and their cargo (Card et al., 2017). By at least 3500 BC the Islands</w:t>
      </w:r>
      <w:r w:rsidRPr="00767A0C">
        <w:t xml:space="preserve"> were supporting a permanent, food-producing human population (Ritchie, 1985). Preceding climatic change had caused an increase in wind speeds, salt-spray and sand blow resulting in the gradual replacement of the birch-hazel, tall herbs and ferns towards a more open landscape. Pollen analysis from around Maeshowe showed that by around 2600 BC the landscape was a virtually treeless, mixed agricultural area, with a bias towards the pastoral, much like it is in the present day but with slightly higher temperatures (Davidson and Jones, 1985). The Orkney Islands had little vegetation but offered Neolithic farmers land suitable for mixed farming. Although lacking in wood, the islands provided plenty of stone, pebbles, chert and cobbles for building and making tools that included axes, scrapers, mace-heads, knives and grindstones. An abundance of easily accessible clay was available for pottery. As larger wild animals did not exist on the Islands, the settlers were reliant on the cattle, sheep, pigs and possibly red deer they brought with them (Ritchie, 1985). As Clarke and Sharples (1985) pointed out, the survival evidence of animal husbandry is stronger than cereal production but some agricultural practice is evidenced by the discovery of plough marks at the Links of Noltland settlement and some carbonised grain found at Skara Brae. Fish remains at Quanterness chambered tomb indicate both sea and lochs were exploited for shellfish and fish (Davidson and Jones, 1985), whilst the lochs and sea could also be used for transport. </w:t>
      </w:r>
    </w:p>
    <w:p w:rsidR="00607E9F" w:rsidRPr="00767A0C" w:rsidRDefault="00607E9F" w:rsidP="005A2072">
      <w:pPr>
        <w:jc w:val="left"/>
      </w:pPr>
    </w:p>
    <w:p w:rsidR="00607E9F" w:rsidRPr="00767A0C" w:rsidRDefault="00607E9F" w:rsidP="005A2072">
      <w:pPr>
        <w:jc w:val="left"/>
      </w:pPr>
      <w:r w:rsidRPr="00767A0C">
        <w:t xml:space="preserve">The earliest remains of Neolithic stone structures are small settlements such as the two-structured farmstead at the Knap of Howar on Papa Westray (Ritchie, 1985) and the Braes of Ha’breck on Wyre (Lee and Thomas, 2012). During the fourth-millennium BC the settlement trend moved from farmsteads towards larger village settlements, such as Skara Brae and the Barnhouse settlement on Mainland Orkney. Nine of the ten houses at Skara Brae are similar in design and furniture. The square rooms with rounded corners contain a hearth, dresser and sidewall beds. These rooms are linked by passages cut into the midden (Clarke and Sharples, 1985). The tenth structure is not connected by the passages but stands apart. </w:t>
      </w:r>
      <w:r w:rsidRPr="00B217BC">
        <w:t>Twelve of the thirteen structures at the Barnhouse have a circular design but also have a central hearth, dresser and side beds.</w:t>
      </w:r>
      <w:r w:rsidRPr="00767A0C">
        <w:t xml:space="preserve"> The Barnhouse houses are centred around what appears to have been an open communal space (Richards et al., 2016). As at Skara Brae, one structure stands apart from the rest. Both designs suggest these villages would have formed a small tight-knit community, communally organised but retaining some privacy evidenced by the separate entrances to each house. </w:t>
      </w:r>
    </w:p>
    <w:p w:rsidR="00607E9F" w:rsidRPr="00767A0C" w:rsidRDefault="00607E9F" w:rsidP="005A2072">
      <w:pPr>
        <w:jc w:val="left"/>
      </w:pPr>
    </w:p>
    <w:p w:rsidR="00607E9F" w:rsidRPr="00767A0C" w:rsidRDefault="00607E9F" w:rsidP="005A2072">
      <w:pPr>
        <w:jc w:val="left"/>
      </w:pPr>
      <w:r w:rsidRPr="00767A0C">
        <w:t xml:space="preserve">The chronology of Neolithic activity in the Orkney Islands was re-investigated in a study of Grooved Ware sites, particularly between 3300 and 2300 BC. (Bayliss, Marshall, Richards and Whittle, 2017). This study analysed radiocarbon and luminescence dates, previously modelled in a Bayesian framework. They found a “picture of extensive and overlapping activities, concurrences and discontinuities occurring at different sites throughout Orkney during the fourth and third millennia cal BC” (Bayliss et al, 2017, p.1182). Instead of timber houses leading to stone constructions, their results suggested the first timber houses (3560 to 3360 BC), overlapped with stone house constructions (3490 to 3300 BC). Also, whilst cairns had been thought to pre-date the innovation of Maeshowe type passage tombs, both designs were found to be initially constructed around 3500 BC. </w:t>
      </w:r>
      <w:r w:rsidRPr="008453B6">
        <w:t xml:space="preserve">Grooved Ware, characterised by its flat base and incised and applied decoration (Card et al., </w:t>
      </w:r>
      <w:hyperlink r:id="rId11" w:anchor="ref012" w:history="1">
        <w:r w:rsidRPr="008453B6">
          <w:rPr>
            <w:rStyle w:val="Hyperlink"/>
            <w:color w:val="auto"/>
          </w:rPr>
          <w:t>2017</w:t>
        </w:r>
      </w:hyperlink>
      <w:r w:rsidRPr="008453B6">
        <w:t>) had been found in various forms of house architecture at different sites, particularly during 3200 to 3000 BC. This pottery style had been considered a later development to the round-based ‘Unstan’ pottery used in the early timber settlements. However</w:t>
      </w:r>
      <w:r w:rsidRPr="00767A0C">
        <w:t xml:space="preserve">, the dating results showed that Grooved Ware overlapped the Unstan, rather than replaced it. The chronology results of Bayliss et al. (2017) also showed that between late 3200 and 2900 BC the trend towards larger village settlements not only continued but also accelerated to be followed by a lull in the majority of settlements by around 2800 BC. During 2700 to 2600 BC these settlements were then re-occupied and seemed to recover their early levels until suddenly declining once more until their final abandonment in 2400 BC. However, the area around the Ness of Brodgar did not follow this pattern. When the general decline had occurred elsewhere, the activity in the area around the Ness of Brodgar had experienced the opposite and increased. The construction in this area began with the Barnhouse settlement and the Ness of Brodgar structures. This was followed by the construction of monumental structures including the Stones of Stenness around 3000 BC. Maeshowe passage tomb was built approximately 2700 BC and the Ring of Brodgar some time later. The evidence also showed that, when the other settlements </w:t>
      </w:r>
      <w:r w:rsidRPr="00B217BC">
        <w:t>in Orkney recovered after a period of decline and were re-occupied, the Ness area does not show a similar recovery (Bayliss et al., 2017). Instead, the former activity around the Ness was followed by extensive middening, culminating in a period of large-scale feasting around</w:t>
      </w:r>
      <w:r w:rsidRPr="008453B6">
        <w:t xml:space="preserve"> the remains of structure 10 at the Ness (Card et al., </w:t>
      </w:r>
      <w:hyperlink r:id="rId12" w:anchor="ref012" w:history="1">
        <w:r w:rsidRPr="008453B6">
          <w:rPr>
            <w:rStyle w:val="Hyperlink"/>
            <w:color w:val="auto"/>
          </w:rPr>
          <w:t>2017</w:t>
        </w:r>
      </w:hyperlink>
      <w:r w:rsidRPr="008453B6">
        <w:t>). Colin</w:t>
      </w:r>
      <w:r w:rsidRPr="00767A0C">
        <w:t xml:space="preserve"> Renfrew (1979) proposed that a development towards a hierarchical structure was responsible for these rapid changes. This would also have provided an authoritative structure to organise the labour for these monumental constructions. However, the huge constructions at Gobekli Tepe in Turkey were built by hunter-gatherer societies (Dietrich et al., 2012) so this may not be the case. Bayliss et al. (2017) suggested that the rapid changes experienced throughout the Islands resulted from local political tensions and social concerns. They also suggested that the developments of passage graves and Grooved Ware were part of local social strategies of differentiation. The constant changes in house design and the founding of new settlements, such as the Barnhouse, in areas previously little occupied, were interpreted in the same light. They argued that such local identities might have been partly constituted through far reaching contacts and relationships. The existence of contact with other areas is evidenced by materials found such as flint from Scotland, pitchstone from Arran and passage grave decorative motifs from eastern Ireland (Card and Thomas, 2012). Card et al. (2017) considered this type of contact probably intensified in the Late Neolithic due to the range of places from which materials present in Orkney originated. However, the sparse presence of Beaker pottery in the Islands could suggest a lapsing of such connections and networks. This, along with the decline of Late Neolithic settlements, suggests the communities of Neolithic Orkney had moved elsewhere. </w:t>
      </w:r>
    </w:p>
    <w:p w:rsidR="00607E9F" w:rsidRPr="00767A0C" w:rsidRDefault="00607E9F" w:rsidP="005A2072">
      <w:pPr>
        <w:jc w:val="left"/>
      </w:pPr>
    </w:p>
    <w:p w:rsidR="00607E9F" w:rsidRPr="00F91DC9" w:rsidRDefault="00607E9F" w:rsidP="005A2072">
      <w:pPr>
        <w:pStyle w:val="Heading2"/>
        <w:jc w:val="left"/>
        <w:rPr>
          <w:color w:val="FF0000"/>
        </w:rPr>
      </w:pPr>
      <w:r w:rsidRPr="008453B6">
        <w:rPr>
          <w:color w:val="3366FF"/>
        </w:rPr>
        <w:t>2.2 SITE DETAIL.</w:t>
      </w:r>
      <w:r w:rsidRPr="00767A0C">
        <w:t xml:space="preserve"> </w:t>
      </w:r>
    </w:p>
    <w:p w:rsidR="00607E9F" w:rsidRPr="008453B6" w:rsidRDefault="00607E9F" w:rsidP="005A2072">
      <w:pPr>
        <w:pStyle w:val="Heading3"/>
        <w:jc w:val="left"/>
        <w:rPr>
          <w:color w:val="3366FF"/>
        </w:rPr>
      </w:pPr>
      <w:r w:rsidRPr="008453B6">
        <w:rPr>
          <w:color w:val="3366FF"/>
        </w:rPr>
        <w:t>a) The Barnhouse Settlement.</w:t>
      </w:r>
    </w:p>
    <w:p w:rsidR="00607E9F" w:rsidRPr="00767A0C" w:rsidRDefault="00607E9F" w:rsidP="005A2072">
      <w:pPr>
        <w:jc w:val="left"/>
      </w:pPr>
      <w:r w:rsidRPr="00767A0C">
        <w:t>Dating analysis of Grooved Ware pottery</w:t>
      </w:r>
      <w:r w:rsidRPr="00B217BC">
        <w:t xml:space="preserve"> finds</w:t>
      </w:r>
      <w:r w:rsidRPr="00B217BC">
        <w:rPr>
          <w:color w:val="0000FF"/>
        </w:rPr>
        <w:t xml:space="preserve"> </w:t>
      </w:r>
      <w:r w:rsidRPr="00767A0C">
        <w:t xml:space="preserve">(Bayliss et al., 2017) showed that the Barnhouse settlement is the oldest site considered in this project. Its construction was followed by, and overlapped with, the construction of the Ness and the Stones of Stenness where activity continued after the Barnhouse was abandoned. The Ring of Brodgar was probably built towards the end of the life of the Ness. All this took place within approximately 1000 years. However as the Barnhouse was built on previously unoccupied land and as the earlier levels at the Ness have yet to be excavated, future excavation may reveal that the Ness is the older of the two sites. </w:t>
      </w:r>
    </w:p>
    <w:p w:rsidR="00607E9F" w:rsidRPr="00767A0C" w:rsidRDefault="00607E9F" w:rsidP="005A2072">
      <w:pPr>
        <w:jc w:val="left"/>
      </w:pPr>
      <w:r>
        <w:pict>
          <v:shape id="Picture 3" o:spid="_x0000_i1029" type="#_x0000_t75" style="width:400pt;height:214pt;visibility:visible">
            <v:imagedata r:id="rId13" o:title=""/>
          </v:shape>
        </w:pict>
      </w:r>
    </w:p>
    <w:p w:rsidR="00607E9F" w:rsidRPr="005A2072" w:rsidRDefault="00607E9F" w:rsidP="005A2072">
      <w:pPr>
        <w:jc w:val="left"/>
        <w:rPr>
          <w:i/>
        </w:rPr>
      </w:pPr>
      <w:r w:rsidRPr="005A2072">
        <w:rPr>
          <w:i/>
        </w:rPr>
        <w:t>Figure 3.  The Barnhouse settlement. Houses 8 and 2.</w:t>
      </w:r>
    </w:p>
    <w:p w:rsidR="00607E9F" w:rsidRPr="00767A0C" w:rsidRDefault="00607E9F" w:rsidP="005A2072">
      <w:pPr>
        <w:jc w:val="left"/>
      </w:pPr>
      <w:r w:rsidRPr="00767A0C">
        <w:t xml:space="preserve">The Barnhouse settlement, shown in Figure 3, was built next to the Loch of Harray around 3100 BC. Excavation found thousands of grooved ware pottery sherds, mace-heads and pieces of Arran pitchfork (Colin Richards et al., 2016). Whereas earlier Neolithic houses and stalled cairns show a linear ordering of space, the Barnhouse houses are circular with a central hearth, rear 'dresser' and side 'bed' boxes. House 2 is significantly different from the other houses. Built to the southwest, partially overlying earlier houses and twice the size, it displays a superior quality of masonry and construction (Richards, 1996). Like the Ness structures, House 2 also has piered architecture. This house contained remains of manufacturing but also the depositing of fine objects such as mace-heads and axes. A slab-covered cist was found with remains of bone that may be either human or animal. The even larger House 8 replaced House 2. The new architecture of this building is similar in design to the later period of construction at Skara Brae with its square shape, rounded corners and stone furniture projecting from the inner wall-face (Childe, 1950). The building has a 3m outer wall, surrounded by a clay platform that is enclosed by a 1.3m thick outer wall. Colin Richards (1993) considers the design as one of restriction and exclusion with the surrounding wall and small side entrance restricting visual access. Although both Houses 2 and 8 have hearths, internal stone furniture along with finds and refuse consistent with domestic use, their size suggests these buildings held prominent roles within the settlement (Richards et al., 2016). </w:t>
      </w:r>
    </w:p>
    <w:p w:rsidR="00607E9F" w:rsidRPr="008453B6" w:rsidRDefault="00607E9F" w:rsidP="005A2072">
      <w:pPr>
        <w:pStyle w:val="Heading3"/>
        <w:jc w:val="left"/>
        <w:rPr>
          <w:color w:val="3366FF"/>
        </w:rPr>
      </w:pPr>
      <w:r w:rsidRPr="008453B6">
        <w:rPr>
          <w:color w:val="3366FF"/>
        </w:rPr>
        <w:t>b) The Ness of Brodgar.</w:t>
      </w:r>
    </w:p>
    <w:p w:rsidR="00607E9F" w:rsidRPr="00767A0C" w:rsidRDefault="00607E9F" w:rsidP="005A2072">
      <w:pPr>
        <w:jc w:val="left"/>
      </w:pPr>
      <w:r w:rsidRPr="00767A0C">
        <w:t>At the Ness of Brodgar (see Figure 7), a series of oval buildings and enclosure walls, have been dated to approximately 3200 BC (Card et al., 2017). A 4m wide wall with a large external ditch formed the northern limit of the site. This wall runs across the isthmus before curving round parallel to the loch shores either side. The southern limit of the main structures is deﬁned by a 2m wide by 1.7m high wall. These walls would have marked and emphasised the importance of the site (Card and Thomas, 2012). The construction of Structures 1,8,12 and 14 followed the initial constructions along with the extension of the northern boundary wall width to 6m. Around 2900 BC some of the piered structures were re-modelled and Structure 10 was built, and then re-built after collapsing (Card et al., 2017). During the lifespan of the re-modelled Structure 10 many of the other structures were backfilled with the hearth of Structure 10 last used around 2500 BC. The structures revealed at the Ness of Brodgar are considered “by their scale and…architectural finesse … to be outside the norm for the domestic sphere” (Card et al, 2017, p.4). Whilst only 10% of the site has been excavated so far, the artefacts and decorated stone found along with the exceptional architecture, diversity of structures, size and spatial complexity, are considered to emphasise its special character (Card et al, 2017). Card considers the buildings show features of both funerary and domestic structures but go beyond the norm of either in terms of elaboration and scale. An unprecedented number of decorated stones, included painted stone, have also been recovered from the site (Card and Thomas, 2012). Walling revealed between, under or incorporated into, the buildings currently under excavation evidences earlier activity. These earlier walls used orthostats to define internal space in a similar way to stalled tombs and early Neolithic houses. In later phases, the use of opposing piers created recesses as seen in Structures 1, 8, 12, 14 and 21. The construction and primary use of these buildings probably occurred over a relatively restricted period of time with all consequently experiencing phases of re-use and re-modelling (Card et al., 2017). A new side entrance was added in Structure 1 and Structure 12 had a new entrance added while two of its earlier entrances were blocked off. Structure 14 also had its entrances re-modelled. These piered buildings can be seen as exaggerated or elongated versions of the type of Neolithic houses seen</w:t>
      </w:r>
      <w:r w:rsidRPr="00B217BC">
        <w:rPr>
          <w:color w:val="0000FF"/>
        </w:rPr>
        <w:t xml:space="preserve"> </w:t>
      </w:r>
      <w:r w:rsidRPr="00767A0C">
        <w:t>in the early phase of Skara Brae (Clarke and Sharples, 1985). Card et al., (2017) considered the similar design and the layout, all running roughly north to south, suggest Structures 1, 8 and 12 were used for a similar purpose. Structure 1’s south entrance leads to a paved area and a standing stone that could represent a central axis mundi. The special nature of these buildings is also suggested by the variety of unusual artefacts that have been uncovered. In Structure 8 axes, mace-heads, a cetacean tooth and a polished shale object were found (Card &amp; Thomas, 2012). Structure 10 depicts another change in architectural design. This huge structure, partially covering the collapsed remains of Structure 8, measures 20m by 19m and has 5m thick walls. Like House 8, at the Barnhouse settlement, Structure 10 seems to be both the biggest and last construction and, also like House 8, has a square shape and rounded corners (Card et al., 2017); a building style reflected in later house styles such as House 1 at Skara Brae (Clarke and Sharples, 1985). The special nature of Structure 10 is also reﬂected in its decorated stones. The dresser incorporates naturally coloured red and yellow sandstones; some with areas of pick dressing (Card and Thomas, 2012). After collapsing from subsidence, a significant quantity of pottery was deliberately deposited before its rebuild into a cruciform plan with a paved surround. Before the final use of Structure 10, an upturned cattle skull was placed in the central hearth, beside an elaborately pecked stone, and the surrounding pathway covered with the bones of at least 400 cattle (Card and Thomas, 2012). It was then back-filled with midden and rubble. This evidence of an enormous amount of feasting appears to be the penultimate activity before the placing of a red deer, some time later. There are two interpretations for the chronology of activity at the Ness. The first model interprets the use of the site as a continual period of activity. The second model considers there was a break between the use of the piered structures and the last use of Structure 10’s hearth; perhaps the only activity in an otherwise abandoned site. As the construction of House 8 at the Barnhouse (Richards et al., 2016) was earlier than that of Structure 10 at the Ness, Nick Card et al., (2017) considered whether the builders of Structure 10 might have wanted to create a more impressive version of House 8 or whether they were separate communities. Another option suggested is that they were separate communities who “became part of a wider complex in which, on grounds of scale, Barnhouse could be seen as some kind of satellite to the Ness” (Card et al., 2017, p.21).</w:t>
      </w:r>
    </w:p>
    <w:p w:rsidR="00607E9F" w:rsidRPr="008453B6" w:rsidRDefault="00607E9F" w:rsidP="005A2072">
      <w:pPr>
        <w:pStyle w:val="Heading3"/>
        <w:jc w:val="left"/>
        <w:rPr>
          <w:color w:val="3366FF"/>
        </w:rPr>
      </w:pPr>
      <w:r w:rsidRPr="008453B6">
        <w:rPr>
          <w:color w:val="3366FF"/>
        </w:rPr>
        <w:t>c) The Stones of Stenness.</w:t>
      </w:r>
    </w:p>
    <w:p w:rsidR="00607E9F" w:rsidRPr="00767A0C" w:rsidRDefault="00607E9F" w:rsidP="005A2072">
      <w:pPr>
        <w:jc w:val="left"/>
      </w:pPr>
      <w:r>
        <w:pict>
          <v:shape id="Picture 4" o:spid="_x0000_i1030" type="#_x0000_t75" style="width:281pt;height:149pt;visibility:visible">
            <v:imagedata r:id="rId14" o:title=""/>
          </v:shape>
        </w:pict>
      </w:r>
    </w:p>
    <w:p w:rsidR="00607E9F" w:rsidRPr="005A2072" w:rsidRDefault="00607E9F" w:rsidP="005A2072">
      <w:pPr>
        <w:jc w:val="left"/>
        <w:rPr>
          <w:i/>
        </w:rPr>
      </w:pPr>
      <w:r w:rsidRPr="005A2072">
        <w:rPr>
          <w:i/>
        </w:rPr>
        <w:t>Figure 4.  The Stones of Stenness.</w:t>
      </w:r>
    </w:p>
    <w:p w:rsidR="00607E9F" w:rsidRPr="00767A0C" w:rsidRDefault="00607E9F" w:rsidP="005A2072">
      <w:pPr>
        <w:jc w:val="left"/>
      </w:pPr>
    </w:p>
    <w:p w:rsidR="00607E9F" w:rsidRPr="00767A0C" w:rsidRDefault="00607E9F" w:rsidP="005A2072">
      <w:pPr>
        <w:jc w:val="left"/>
      </w:pPr>
      <w:r w:rsidRPr="00767A0C">
        <w:t>The Stones of Stenness, in Figure 4, are situated 200m from the Barnhouse settlement. The stone circle is 30m in diameter and surrounded by a 44m bank and ditch with a north facing entrance. The henge construction alone has been evaluated as 50,000 labour hours (Ritchie, 1975). The grooved ware dating indicated this site was in use by around 3000 BC (Bayliss et al., 2017</w:t>
      </w:r>
      <w:r w:rsidRPr="00B217BC">
        <w:t>) whilst the radiocarbon dates from the central feature and organic layer in the ditch suggested a period early in the third millennium BC (Ritchie, 1975). Excavations by Graham Ritchie (1975) revealed cremated bones, pottery sherds and charcoal remains in the central hearth. Whilst only four stones remain standing, three ‘stumps’ have been removed</w:t>
      </w:r>
      <w:r w:rsidRPr="00767A0C">
        <w:t xml:space="preserve"> and their positions marked. The other marked positions show where original holes with packing stones were found and an 11th position indicates where just a hole was found. The 12th position is just a hollow that may, or may not indicate a place for a stone setting. A rough pathway of stone slabs was excavated following a line from the central hearth towards the entrance. This path led to two adjacent standing stone sockets (consequently backfilled) and the slight remains of a later addition; possibly a small timber structure. Ritchie (1975) considered alternative positions concerning the circle’s three inner stones. Currently positioned as two uprights with the third on the ground, they had been arranged in 1907 as a ‘dolmen’ with the addition of a 4th stone. From consulting old drawings of the site, he envisaged the original setting as two uprights on one side and the third on the other or, alternatively, the third might have been set leaning against the pair of uprights to form a more 'cove-like' feature. Part of the ditch was cut into rock and, within the ditch, organic remains of animal bone and wood were found. The bones included dog or wolf, ox and sheep dating 2356 BC+-65. These remains represent mandibles and extremities of limbs; the debris of more usable sections of bones or more succulent joints. There were also scattered deposits of burnt animal bone. Ritchie (1975) considered that the comparable dates of the central feature and main ditch section suggest the circle and ditch belong to a single concept of construction and use. The evidence of water plants, such as pondweed, in the ditch showed the presence of water at one time.</w:t>
      </w:r>
    </w:p>
    <w:p w:rsidR="00607E9F" w:rsidRPr="00767A0C" w:rsidRDefault="00607E9F" w:rsidP="005A2072">
      <w:pPr>
        <w:jc w:val="left"/>
      </w:pPr>
    </w:p>
    <w:p w:rsidR="00607E9F" w:rsidRPr="008453B6" w:rsidRDefault="00607E9F" w:rsidP="005A2072">
      <w:pPr>
        <w:jc w:val="left"/>
        <w:rPr>
          <w:b/>
          <w:color w:val="3366FF"/>
        </w:rPr>
      </w:pPr>
      <w:r w:rsidRPr="008453B6">
        <w:rPr>
          <w:b/>
          <w:color w:val="3366FF"/>
        </w:rPr>
        <w:t>d) The Ring of Brodgar.</w:t>
      </w:r>
    </w:p>
    <w:p w:rsidR="00607E9F" w:rsidRPr="00767A0C" w:rsidRDefault="00607E9F" w:rsidP="005A2072">
      <w:pPr>
        <w:jc w:val="left"/>
      </w:pPr>
    </w:p>
    <w:p w:rsidR="00607E9F" w:rsidRPr="00767A0C" w:rsidRDefault="00607E9F" w:rsidP="005A2072">
      <w:pPr>
        <w:jc w:val="left"/>
      </w:pPr>
      <w:r>
        <w:pict>
          <v:shape id="Picture 5" o:spid="_x0000_i1031" type="#_x0000_t75" alt="brodgar pic" style="width:391pt;height:298pt;visibility:visible">
            <v:imagedata r:id="rId15" o:title=""/>
          </v:shape>
        </w:pict>
      </w:r>
    </w:p>
    <w:p w:rsidR="00607E9F" w:rsidRPr="005A2072" w:rsidRDefault="00607E9F" w:rsidP="005A2072">
      <w:pPr>
        <w:jc w:val="left"/>
        <w:rPr>
          <w:i/>
        </w:rPr>
      </w:pPr>
      <w:r w:rsidRPr="005A2072">
        <w:rPr>
          <w:i/>
        </w:rPr>
        <w:t>Figure 5.  The Ring of Brodgar and the Brodgar isthmus.</w:t>
      </w:r>
    </w:p>
    <w:p w:rsidR="00607E9F" w:rsidRPr="00767A0C" w:rsidRDefault="00607E9F" w:rsidP="005A2072">
      <w:pPr>
        <w:jc w:val="left"/>
      </w:pPr>
    </w:p>
    <w:p w:rsidR="00607E9F" w:rsidRPr="00767A0C" w:rsidRDefault="00607E9F" w:rsidP="005A2072">
      <w:pPr>
        <w:jc w:val="left"/>
      </w:pPr>
      <w:r w:rsidRPr="00767A0C">
        <w:t xml:space="preserve">The Ring of Brodgar, shown in Figure 5, is much bigger that the Stones of Stenness with a diameter of 104.7m. It is also surrounded by a rock-cut ditch measuring 10m across and up to 3.4m deep (Ritchie, 1985). Colin Renfrew (1979) suggested that 80,000 labour hours would have been required for the ditch alone. Colin Richards (2013, Chapter 4) considered that a reasonable estimate for the date of the digging of the ditch to be around 2600–2400 BC. Its high position gives extensive views down to the Ness, the Barnhouse settlement, the Stones of Stenness and Maeshowe. The circle is made up of 21 standing stones, 2 fallen stones and 10 positions of stumps or sockets with packing stones. The circle has two opposing entrances. The northern entrance is 3m wide and narrows to just over a meter at the southern entrance, limiting entry or exit to a single file (Richards, 2013, chapter 4). Richards also noted that the placing of stones closer together nearer the entrances and the broader-faced monoliths adjacent to the two causeways enhanced the entrances. At the Stones of Stenness, the stones are more evenly positioned but shallower that suggested to Richards a lack of concern with longevity. At least seven different strata of sandstone, obtained from differing sources, have been identified along with variations in colour texture and shape. Richards (2013) argued that this suggested a composite nature to the construction. He also proposed that these variations would have been clear to people entering and viewing and perhaps reflected that different sections of the circle were the prerogative of particular social groups. He considered that envisioning a completed stone circle is improbable if the erections of the stones are interpreted as separate undertakings. Richards (2013) considered the huge ditch was also dug in segments. As at the Stones of Stenness ditch, stone debris had fallen into the ditch from the interior (Ritchie, 1985). Richards (2013, Chapter 4) suggested this might indicate the original presence of an internal platform. </w:t>
      </w:r>
    </w:p>
    <w:p w:rsidR="00607E9F" w:rsidRPr="008453B6" w:rsidRDefault="00607E9F" w:rsidP="005A2072">
      <w:pPr>
        <w:pStyle w:val="Heading3"/>
        <w:jc w:val="left"/>
        <w:rPr>
          <w:color w:val="3366FF"/>
        </w:rPr>
      </w:pPr>
      <w:r w:rsidRPr="008453B6">
        <w:rPr>
          <w:color w:val="3366FF"/>
        </w:rPr>
        <w:t>e) The Ring of Bookan.</w:t>
      </w:r>
    </w:p>
    <w:p w:rsidR="00607E9F" w:rsidRPr="00767A0C" w:rsidRDefault="00607E9F" w:rsidP="005A2072">
      <w:pPr>
        <w:jc w:val="left"/>
      </w:pPr>
      <w:r w:rsidRPr="00767A0C">
        <w:t>The Ring of Bookan mound, north of the Ring of Brodgar, is approximately 44.5m by 38m surrounded by a 13.5m wide by 2m deep ditch. No trace of a causeway or bank can be seen but may have been destroyed, over time by ploughing (Ritchie, 1985). The un-excavated mound, as seen in Figure 6, has stones of various sizes on its top. Ritchie (1985) considers the structure could be a tomb similar to Maeshowe but thinks it more likely to be a henge with stones or a cairn.</w:t>
      </w:r>
    </w:p>
    <w:p w:rsidR="00607E9F" w:rsidRPr="00767A0C" w:rsidRDefault="00607E9F" w:rsidP="005A2072">
      <w:pPr>
        <w:jc w:val="left"/>
      </w:pPr>
      <w:r>
        <w:pict>
          <v:shape id="Picture 6" o:spid="_x0000_i1032" type="#_x0000_t75" alt="maes howe" style="width:324pt;height:3in;visibility:visible">
            <v:imagedata r:id="rId16" o:title=""/>
          </v:shape>
        </w:pict>
      </w:r>
    </w:p>
    <w:p w:rsidR="00607E9F" w:rsidRPr="00767A0C" w:rsidRDefault="00607E9F" w:rsidP="005A2072">
      <w:pPr>
        <w:jc w:val="left"/>
      </w:pPr>
    </w:p>
    <w:p w:rsidR="00607E9F" w:rsidRPr="005A2072" w:rsidRDefault="00607E9F" w:rsidP="005A2072">
      <w:pPr>
        <w:jc w:val="left"/>
        <w:rPr>
          <w:i/>
        </w:rPr>
      </w:pPr>
      <w:r w:rsidRPr="005A2072">
        <w:rPr>
          <w:i/>
        </w:rPr>
        <w:t>Figure 6.  Maeshowe passage tomb.</w:t>
      </w:r>
    </w:p>
    <w:p w:rsidR="00607E9F" w:rsidRPr="008453B6" w:rsidRDefault="00607E9F" w:rsidP="005A2072">
      <w:pPr>
        <w:pStyle w:val="Heading3"/>
        <w:jc w:val="left"/>
        <w:rPr>
          <w:color w:val="3366FF"/>
        </w:rPr>
      </w:pPr>
      <w:r w:rsidRPr="008453B6">
        <w:rPr>
          <w:color w:val="3366FF"/>
        </w:rPr>
        <w:t>f) Maeshowe.</w:t>
      </w:r>
    </w:p>
    <w:p w:rsidR="00607E9F" w:rsidRPr="00767A0C" w:rsidRDefault="00607E9F" w:rsidP="00B217BC">
      <w:pPr>
        <w:jc w:val="left"/>
      </w:pPr>
      <w:r w:rsidRPr="00767A0C">
        <w:t xml:space="preserve">The Maeshowe passage tomb, shown in Figure 6, was described by Colin Richards as “one of the most sophisticated in northwest Europe” (1996, p.196). Its 7m high mound is 25m in diameter with a passageway leading to a chamber approximately 4.5m square with 3 side cells. The mound is surrounded by a low bank and ditch but does not have a causeway, perhaps emphasising a more separated space. Richards (1996) considered the construction of Maeshowe overlapped with the establishment of the Barnhouse settlement. He noted that the chamber’s four corner stones face four corner buttresses, creating recesses as in house 2. </w:t>
      </w:r>
      <w:r w:rsidRPr="00B217BC">
        <w:t>These recesses, with three side cells and the entrance passage, form a cruciform organisation of space.</w:t>
      </w:r>
      <w:r w:rsidRPr="00767A0C">
        <w:t xml:space="preserve"> However, during more recent works the remains of an earlier structure beneath was found. A stone paved pathway covering a stone drain was uncovered outside the passage entrance while, on the platform behind the tomb, a socket with stone packing was found (MacKie, 1997). Richards (1996) has suggested the four stones in the main chamber and the four large slabs used in the passageway wall could have been part of a dismantled stone circle, originally situated on the platform.</w:t>
      </w:r>
    </w:p>
    <w:p w:rsidR="00607E9F" w:rsidRPr="00767A0C" w:rsidRDefault="00607E9F" w:rsidP="00B217BC">
      <w:pPr>
        <w:jc w:val="left"/>
      </w:pPr>
    </w:p>
    <w:p w:rsidR="00607E9F" w:rsidRPr="00767A0C" w:rsidRDefault="00607E9F" w:rsidP="00B217BC">
      <w:pPr>
        <w:jc w:val="left"/>
      </w:pPr>
    </w:p>
    <w:p w:rsidR="00607E9F" w:rsidRPr="008453B6" w:rsidRDefault="00607E9F" w:rsidP="00B217BC">
      <w:pPr>
        <w:jc w:val="center"/>
        <w:rPr>
          <w:color w:val="3366FF"/>
        </w:rPr>
      </w:pPr>
    </w:p>
    <w:p w:rsidR="00607E9F" w:rsidRPr="008453B6" w:rsidRDefault="00607E9F" w:rsidP="00B217BC">
      <w:pPr>
        <w:jc w:val="center"/>
        <w:rPr>
          <w:color w:val="3366FF"/>
        </w:rPr>
      </w:pPr>
    </w:p>
    <w:p w:rsidR="00607E9F" w:rsidRPr="008453B6" w:rsidRDefault="00607E9F" w:rsidP="00B217BC">
      <w:pPr>
        <w:jc w:val="center"/>
        <w:rPr>
          <w:color w:val="3366FF"/>
        </w:rPr>
      </w:pPr>
      <w:r w:rsidRPr="008453B6">
        <w:rPr>
          <w:color w:val="3366FF"/>
        </w:rPr>
        <w:t>Chapter 3.</w:t>
      </w:r>
    </w:p>
    <w:p w:rsidR="00607E9F" w:rsidRPr="008453B6" w:rsidRDefault="00607E9F" w:rsidP="008453B6">
      <w:pPr>
        <w:pStyle w:val="Heading2"/>
        <w:jc w:val="center"/>
        <w:rPr>
          <w:rFonts w:ascii="Times New Roman" w:hAnsi="Times New Roman"/>
          <w:color w:val="3366FF"/>
          <w:sz w:val="28"/>
        </w:rPr>
      </w:pPr>
      <w:r w:rsidRPr="008453B6">
        <w:rPr>
          <w:rFonts w:ascii="Times New Roman" w:hAnsi="Times New Roman"/>
          <w:color w:val="3366FF"/>
          <w:sz w:val="28"/>
        </w:rPr>
        <w:t>THEORY.</w:t>
      </w:r>
    </w:p>
    <w:p w:rsidR="00607E9F" w:rsidRPr="008453B6" w:rsidRDefault="00607E9F" w:rsidP="005A2072">
      <w:pPr>
        <w:pStyle w:val="Heading3"/>
        <w:jc w:val="left"/>
        <w:rPr>
          <w:color w:val="3366FF"/>
        </w:rPr>
      </w:pPr>
      <w:r w:rsidRPr="008453B6">
        <w:rPr>
          <w:color w:val="3366FF"/>
        </w:rPr>
        <w:t>3.1 LAND.</w:t>
      </w:r>
    </w:p>
    <w:p w:rsidR="00607E9F" w:rsidRPr="00767A0C" w:rsidRDefault="00607E9F" w:rsidP="005A2072">
      <w:pPr>
        <w:jc w:val="left"/>
      </w:pPr>
      <w:r w:rsidRPr="00B217BC">
        <w:t>Nick Campion (2015, p.8) said “landscapes do not exist without skyscapes” but to investigate skyscapes the landscape also needs to be considered. We cannot</w:t>
      </w:r>
      <w:r w:rsidRPr="00767A0C">
        <w:t xml:space="preserve"> know how people of the ancient past viewed their environment; whether they separated the land, sky and water or viewed them as one. If they viewed aspects of their environment separately this have been different from the classifications of more modern cultures. For example, the sky and water could be viewed as one because water falls from the sky and reflects the colour of the sky. Timothy Darvill described landscape as a “time-dependent, spatially referenced, socially constituted … perspective of the world that is held in common by individuals and groups which is applied in a variety of ways to the domain in which they find themselves” (1999, p.108). By physically altering a landscape the culture could thereby turn it into a “dimension of tangible material culture” (Darvill, 2015, p.141). Areas containing primarily ritual structures and witnessing primarily ritual activity have become termed ‘sacred’ or ‘ritual’ landscapes; where the environment is altered and structured according to a culture’s cosmological beliefs. Clive Ruggles (1999, p.120) said such landscapes may have been an important way of reinforcing people’s understanding of the world and their own place within </w:t>
      </w:r>
      <w:r w:rsidRPr="00B217BC">
        <w:t>it. Just as cosmological beliefs may have influenced changes made to the natural landscape, they could have been influenced and inspired by that same landscape. Christopher Tilley (1997) suggested that cosmological belief is embedded in the natural environment and, through</w:t>
      </w:r>
      <w:r w:rsidRPr="00767A0C">
        <w:t xml:space="preserve"> the categorisation of space and time, particular natural places are recognised and images of landscape and order are created. Different cultures select and give importance to different aspects of their </w:t>
      </w:r>
      <w:r w:rsidRPr="00B217BC">
        <w:t>environment such as a particular mountain, animal or river. A desert culture may attach particular importance to guiding stars. Concepts of time and season considered important, such as agricultural markers, could also be</w:t>
      </w:r>
      <w:r w:rsidRPr="00767A0C">
        <w:t xml:space="preserve"> incorporated. As the Egyptians incorporated the flooding of the Nile into their cosmology, other cultures may mark the coming of the rains or migrating animals. J. McKim Malville (2008) stressed that landscapes are alive and that some cultures may not separate the animate and inanimate in the way a modern society might. For example, he points out that the huacas rocks in Andean worldview were conceived as living beings (2015, preface). Constructions may re-create part of the environment or be influenced by them in an ongoing process that would have changed over time in a weaving and interacting of the natural, human interpretation and activity. </w:t>
      </w:r>
    </w:p>
    <w:p w:rsidR="00607E9F" w:rsidRPr="00767A0C" w:rsidRDefault="00607E9F" w:rsidP="005A2072">
      <w:pPr>
        <w:jc w:val="left"/>
      </w:pPr>
    </w:p>
    <w:p w:rsidR="00607E9F" w:rsidRPr="00B217BC" w:rsidRDefault="00607E9F" w:rsidP="005A2072">
      <w:pPr>
        <w:jc w:val="left"/>
      </w:pPr>
      <w:r w:rsidRPr="00767A0C">
        <w:t xml:space="preserve">Ruggles (1999, p.130) referred to the Late Neolithic as a time that culminated in attempts to alter and manipulate ways places could be encountered and that during this period, Orkney witnessed an increased separation of ritual space. This setting of places apart was viewed by Mircea Eliad (1959) as a separation of space and time into the sacred and the profane. However, not all cultures may classify their activity in this way. Julian Thomas (2000) noted that access to monuments was increasingly restrained over time, both in the approach towards them and in movement within. Although this could suggest a restriction of access to a section of the community, such techniques may have been used simply to emphasise the importance of the space and the significance of entering. Colin Richards (1996) considered the ritual landscape around the Ness was created using the visual imagery of the natural environment, such as the resemblance of Maeshowe to the natural knolls in the surrounding landscape. Interestingly the back filling of structures at the Ness (Card et al., 2017) would have resulted in the same duplication of landscape mounds. Richards also argued that the materials used in Maeshowe’s construction deliberately replicated the stone, clay and grass of the earth. In this interpretation the design of Maeshowe enabled the placing of the dead in a visible structure above ground but also ensured they were encased in materials that replicated being beneath the ground. Richards considered this design, combined with the orientation towards the Winter Solstice, commemorated both the yearly cycle and a celebration of the dead. In this way Maeshowe marked a specific place and a specific time within the Neolithic landscape. Richards also noted the Orcadian landscape, of land surrounded by water and encircled by hills, appears to be duplicated in the positioning and architecture of the stone circles at Stenness and Brodgar. He considered the stones represented the surrounding hills and the enclosing water-filled ditches represented the lochs. In this interpretation the structures could also have been referencing the island environment. Maeshowe would also have been encircled by water and Richards suggests that crossing the water may also have acted as a symbolic passage that also may have embodied an aspect of purification and separation. Richards argued that concepts of order are also based on cosmology, structure, daily practices and perceptions of space and time. Therefore, as the landscape is transformed, so too are social practices. In this way the ritual landscapes of the late Neolithic formalised the social landscapes of daily life. When cosmologies are viewed as both drawing from and explaining the natural and cultural world, Richards said it could be seen how categories of meaning and representation are </w:t>
      </w:r>
      <w:r w:rsidRPr="00B217BC">
        <w:t>continually shifting in different social situations. The landscape around the Ness was continually transformed over hundreds of years. Such change and transformation can be seen in the structures at the Ness that were subject to re-modelling and replacement (Card et al., 2017). Tim Ingold (2016) describes the threads and traces left by human activity. The interweaving of the environment, cosmology and culture can be seen to develop and change over the many years of human activity around the Ness.</w:t>
      </w:r>
    </w:p>
    <w:p w:rsidR="00607E9F" w:rsidRPr="008453B6" w:rsidRDefault="00607E9F" w:rsidP="005A2072">
      <w:pPr>
        <w:pStyle w:val="Heading3"/>
        <w:jc w:val="left"/>
        <w:rPr>
          <w:color w:val="3366FF"/>
        </w:rPr>
      </w:pPr>
      <w:r w:rsidRPr="008453B6">
        <w:rPr>
          <w:color w:val="3366FF"/>
        </w:rPr>
        <w:t>3.2 WATER.</w:t>
      </w:r>
    </w:p>
    <w:p w:rsidR="00607E9F" w:rsidRPr="00767A0C" w:rsidRDefault="00607E9F" w:rsidP="005A2072">
      <w:pPr>
        <w:jc w:val="left"/>
      </w:pPr>
      <w:r w:rsidRPr="00767A0C">
        <w:t xml:space="preserve">Fowler and Cummings (2003) argued that the association between water and stone can be found throughout the Neolithic world and it represented a metaphorical connection in sites associated with transformation, particularly in places associated with the transformation of the body after death. For example, they argued that the view of the sea was a consideration in the positioning of megalithic chambered tombs along the Irish sea coast, whereas inland tombs were often positioned near rivers and springs. They noted that Cursus monuments were often placed parallel to a watercourse and that cup and ring rock art may have been intended to interact with rainwater. Another aspect to consider may be the potential power of fast flowing water to move stone or change the shape of stone through erosion. Children and Nash (1997, p.25) also noted that chambered tombs in southwest Wales were often orientated towards the sea and furthermore suggested the position of rivers influenced the orientation of monuments. Tim Phillips (2004) said that although island people coexist and interact with the sea on a day-to-day basis, the sea is often considered as a 'backdrop' to land-based activities. He argued that, for island people, the sea would have added an extra dimension to the way the world was understood and perceived. He considered that restricting enquiry to land-based models narrowed the view of past activities that could skew the perspective. He stressed the importance of the sea in Orkney and pointed out that despite a GIS study (Woodman, 2000) showing the many coastal monuments over-looked large areas of seascape, most Orkney studies have taken a land-based approach. Although Schulting and Richards (2006) demonstrated a shift from a marine-based diet to a terrestrial-based diet in many coastal regions of northwest Europe at the Mesolithic-Neolithic transition, Fowler and Cummings (2003) referred to the large number of shells found at sites and speculated that a distinction may have been made between the creatures of the shore and the sea. Such observations regarding the importance of water can also be applied to the Orkney lochs. These huge bodies of water are an integral part of the environment and must surely have been an important aspect of Neolithic life. Philips also suggested that people might have used the water to travel both between and within the islands. Travelling across the lochs, that visually dominate the area around the Ness, may have been an easier option than walking around them. </w:t>
      </w:r>
    </w:p>
    <w:p w:rsidR="00607E9F" w:rsidRPr="008453B6" w:rsidRDefault="00607E9F" w:rsidP="005A2072">
      <w:pPr>
        <w:pStyle w:val="Heading3"/>
        <w:jc w:val="left"/>
        <w:rPr>
          <w:color w:val="3366FF"/>
        </w:rPr>
      </w:pPr>
      <w:r w:rsidRPr="008453B6">
        <w:rPr>
          <w:color w:val="3366FF"/>
        </w:rPr>
        <w:t>3.3 SKY.</w:t>
      </w:r>
    </w:p>
    <w:p w:rsidR="00607E9F" w:rsidRPr="00B217BC" w:rsidRDefault="00607E9F" w:rsidP="005A2072">
      <w:pPr>
        <w:jc w:val="left"/>
        <w:rPr>
          <w:color w:val="FF0000"/>
        </w:rPr>
      </w:pPr>
      <w:r w:rsidRPr="00767A0C">
        <w:t xml:space="preserve">Clive Ruggles described archaeoastronomy as being concerned with “every conceivable form of data that might provide insights into thoughts and practices relating to astronomy in the past” (2011, p.1). However, the word ‘astronomy’ has scientific connotations implying the onlooker observes the sky to discover rather than interacts with and experiences the sky. Different cultures can attach importance to different aspects of the sky and engage with the sky in different ways. For example, different cultures see different constellations and create different myths around them. Therefore I have chosen to use, instead, the more inclusive and less loaded term ‘skyscape’. The word ‘skyscape’, recommended by Fabio Silva, reflects a sky to be engaged with rather than studied. It was through such engagement with the sky that people could have turned a “natural phenomena … into a cultural skyscape” (Silva, 2015, p.2). Gordon Childe dismissed the importance of the night sky to prehistoric people in Britain saying, “It is fantastic to imagine that the ill-clad inhabitants…should shiver night-long in rain and gale, peering through the driving mists to note eclipses and planetary movements in our oft-veiled skies” (1969, chapter 4). Perhaps this misses the likelihood that a rare clear night sky may have been attributed with even more importance and wonder. As Nick Campion said, “there is no human society that does not somehow, in some way, relate its fears, concerns, hopes, and wishes to the sky” (2012, p.1). Although perceptions of the sky are specific to a particular culture, the sky, unlike land, could not be touched or altered. Timothy Darvill said, that unlike the land, skyscapes are “metaphysically appropriated through projection whereby intangible material culture is mapped onto the heavens” (2015, p.141). The skyscape was seen and interpreted in many ways and following this, those interpretations could be transposed into a cultures symbology and used in different ways. Orientations towards a particular aspect of the sky can be incorporated into structures, could therefore reflect important relationships with that culture’s cosmology. For example, the new design of Egyptian structures at Amarna reflected the elevated status of the sun god Aten, Christian churches face east and Muslims pray towards Mecca. The oldest structure known to be orientated skywards is Nabta Playa in the Sahara Desert around 5000 BC (McKim Malville, 2008, p.3). However, the aim of creating orientations towards the skyscape were not, as Malville points out, to discover the patterns of the sun, moon or stars, but to embody those patterns, already known in broad outline, into religious architecture. Until more recent times the sky has remained unaltered. This combined with its regular movement means it is possible to accurately envisage how the sky would have looked to peoples in the past. Archaeoastronomist Alexander Thom (1966) used a mathematical approach to his work that “took minimal advantage of outside consultation and collaboration with professionals who study indigenous cultures and their remains” (Aveni, 2008, p.15). Ruggles and Barclay (2000) considered Thom’s interpretations as an ethnocentric, scientific imposition on ancient cultures. Ruggles stressed the need for methodical rigour when conducting archaeoastronomy research, to avoid emphasising data that confirmed a preconceived set of ideas, and said that Thom's claims for high-precision astronomical alignments have not been substantiated and largely dismissed. For example, Barnatt &amp; Herring (1986) found over 100 circles that could be described by complex geometry but could also be set out by eye while Angell (1976) pointed out that being able to describe a shape by complex geometry did not mean it was laid out using geometry. Nevertheless, clear orientation trends towards the skyscape have been identified within Neolithic structures (Ruggles, 1999, p.90). A strong preference has been found for an easterly direction of many tombs within the UK as well as a south-south-west preference among the Clava Cairns and recumbent stone circles of northeast Scotland. Ruggles also said a west and southwest interest is apparent among axial stone circles and wedge tombs of southern-west Ireland. The commonality in the above examples is the avoidance of the north, where the sun or moon did not appear, and the favouring of orientation towards the part of the horizon where celestial objects rise (Ruggles, 1999, p.130). Audrey Burl’s study of 65 long barrows on Salisbury Plain also found an avoidance of the north (Ruggles, 1999, p.126). This suggested to Burl, the importance of a general orientation towards the rising sun or moon, though not necessarily the actual point of rising. Ruggles thought that such skyscape alignments should be considered in terms of a cultures ritual and ideology and they may “reflect the part played by celestial symbolism in whatever rites accompanied death and burial” (1999, p.87). As low-precision astronomical alignments were repeatedly found amongst henges, stone and timber rings, Ruggles (1999, p.131) considered that the skyscape was part of ceremonial tradition and practice in the Late Neolithic, in certain places at certain times with orientation trends seen within “local groups of broadly contemporary monuments” (p.142). Such local groupings were noted by </w:t>
      </w:r>
      <w:r w:rsidRPr="00B217BC">
        <w:t>Burl (1983, p.26) illustrating the orientation of tombs within the UK.</w:t>
      </w:r>
      <w:r w:rsidRPr="00B217BC">
        <w:rPr>
          <w:color w:val="FF0000"/>
        </w:rPr>
        <w:t xml:space="preserve"> </w:t>
      </w:r>
    </w:p>
    <w:p w:rsidR="00607E9F" w:rsidRPr="00767A0C" w:rsidRDefault="00607E9F" w:rsidP="005A2072">
      <w:pPr>
        <w:jc w:val="left"/>
      </w:pPr>
    </w:p>
    <w:p w:rsidR="00607E9F" w:rsidRPr="00767A0C" w:rsidRDefault="00607E9F" w:rsidP="005A2072">
      <w:pPr>
        <w:jc w:val="left"/>
      </w:pPr>
      <w:r w:rsidRPr="00767A0C">
        <w:t xml:space="preserve">Andrea Boyer (2016) studied tomb orientation on the Orkney Island of Rousay and also found an avoidance of orientation towards north in Maeshowe type Cairns and Orkney-Cromarty Cairns. At Maeshowe the alignment of the passage and chamber with the setting sun at the winter solstice is a much-publicised event (Maeshowe Chambered Cairn, n.d.). A similar alignment, although in this case to the sunrise, has also been found at Newgrange in Ireland (Ruggles, 1999, p.12). However, Victor Reijs (2012) discovered that the setting sunlight entering Maeshowe’s passage and chamber was not restricted to the winter solstice but could be seen for 30 days prior and 30 days following. Using the date of 2800 BC, Reijs calculated the sun would shine on the back wall of the chamber for only a few minutes on the actual solstice but increased to 25 minutes in the days moving away from the solstice. He also observed that the ‘reappearance’ of the sun behind Ward Hill shone rays onto the back of the chambers for 22 - 23 days prior and following the winter solstice. Ruggles &amp; Barclay (2000) however pointed out that the lack of precision regarding the solstice suggested that the orientation of that tomb was designed without great precision of alignment in mind. Colin Richards (1996) suggested the two periods of illumination within Maeshowe symbolised the 'death' of the old year and 'rebirth' of the new allowing a rite of passage involving union with the ancestors. Gail Higginbottom et al. (2015) argued that the study of the visible objects in the sky, played a primary role in the location of the megalithic monuments of Scotland and that specific astronomical bodies were some of the most essential and consistent visible environmental markers required for deciding where to place a monument. They claimed that “through innovative statistics and software we show that visible astronomical-landscape variables found at Bronze Age sites on the inner isles and mainland of western Scotland were actually first established in stone nearly two millennia earlier” (2016, p. 249). They also said they had found greater evidence for an interest in orientating monuments towards the skyscape in western Scotland than Ruggles had. However, the extensive landscape horizon patterns found contain many variables and generalisations and they also did not visit the sites studied. Studying the Stones of Stenness for celestial targets, they said their probability analyses suggested a strong likelihood of Stenness being designed with astronomical consideration. However, Ruggles (1999, chapter 8) stressed that studies have failed to show an overall orientation pattern but, rather, various regional patterns of continuity and change. He considered that where a variety of local groups of similar monuments in Britain and Ireland show striking consistencies in orientation, it suggested that celestial referents were used in the broadest sense to determine direction. Whilst many of these are directed towards parts of the horizon roughly demarcated by the cardinal directions or the 'solstitial directions', in specific cases he considers there appears to be a strong relationship to the moon (Ruggles 1999, p.166). Ruggles &amp; Saunders (1993) considered there was no doubt that architectural alignments with celestial bodies and events are potentially of considerable importance within ways in which the location and form of monuments served to express meaningful cosmological relationships and the ways in which such relationships were exploited. As Nick Campion said (2015, p.9) “land, sky and people exist in a system of integrated, inter-dependent and interlocking mutual relationships.” Colin Richards (1996) said, features of the land and skyscape were all part of organising the landscape according to the principles of a cosmology that did not separate people, land and sky into different categories but in which they were bound together. </w:t>
      </w:r>
    </w:p>
    <w:p w:rsidR="00607E9F" w:rsidRPr="00767A0C" w:rsidRDefault="00607E9F" w:rsidP="005A2072">
      <w:pPr>
        <w:jc w:val="left"/>
      </w:pPr>
    </w:p>
    <w:p w:rsidR="00607E9F" w:rsidRPr="008453B6" w:rsidRDefault="00607E9F" w:rsidP="008453B6">
      <w:pPr>
        <w:pStyle w:val="Heading2"/>
        <w:jc w:val="center"/>
        <w:rPr>
          <w:color w:val="3366FF"/>
        </w:rPr>
      </w:pPr>
      <w:r w:rsidRPr="008453B6">
        <w:rPr>
          <w:color w:val="3366FF"/>
        </w:rPr>
        <w:t>Chapter 4.</w:t>
      </w:r>
    </w:p>
    <w:p w:rsidR="00607E9F" w:rsidRPr="008453B6" w:rsidRDefault="00607E9F" w:rsidP="008453B6">
      <w:pPr>
        <w:pStyle w:val="Heading2"/>
        <w:jc w:val="center"/>
        <w:rPr>
          <w:color w:val="3366FF"/>
          <w:sz w:val="28"/>
        </w:rPr>
      </w:pPr>
      <w:r w:rsidRPr="008453B6">
        <w:rPr>
          <w:color w:val="3366FF"/>
          <w:sz w:val="28"/>
        </w:rPr>
        <w:t xml:space="preserve"> METHODOLOGY.</w:t>
      </w:r>
    </w:p>
    <w:p w:rsidR="00607E9F" w:rsidRPr="00767A0C" w:rsidRDefault="00607E9F" w:rsidP="005A2072">
      <w:pPr>
        <w:jc w:val="left"/>
      </w:pPr>
      <w:r w:rsidRPr="00767A0C">
        <w:t xml:space="preserve">To enable the investigation into possible orientations towards the declinations of celestial objects the measurements taken included altitude and azimuths. Clive Ruggles (1999, p.164) recommends “the measurement and the presentation of azimuths, altitudes and declinations from locations defined to an appropriate precision.” Therefore, at each site, latitude and longitude readings were taken via an </w:t>
      </w:r>
      <w:r w:rsidRPr="00B217BC">
        <w:t>iphone 5S with a GPS</w:t>
      </w:r>
      <w:r w:rsidRPr="00767A0C">
        <w:t xml:space="preserve"> Status application (GPS Status, 2016). Azimuth measurements were taken with a Suunto optical sighting compass (KB-14/360R) with an accuracy of half a degree. Altitudes were measured using a Suunto Opti clinometer, (PM-5/PC 66) accurate within a degree. The horizon around the Ness was relatively close so I did not need to divide the horizon up into distances as recommended by Ruggles for long distance readings (1999, p.94). Photographs were taken of the structures, landscape views and water aspects for reference. I checked for local magnetic anomalies by walking in a straight line to ensure the azimuth reading remained the same, then turned around to check the opposite azimuth measurement was accurate by adding / subtracting 180°. This confirmed the compass was not being affected by magnetic anomalies. </w:t>
      </w:r>
    </w:p>
    <w:p w:rsidR="00607E9F" w:rsidRPr="00767A0C" w:rsidRDefault="00607E9F" w:rsidP="005A2072">
      <w:pPr>
        <w:jc w:val="left"/>
      </w:pPr>
    </w:p>
    <w:p w:rsidR="00607E9F" w:rsidRPr="00767A0C" w:rsidRDefault="00607E9F" w:rsidP="005A2072">
      <w:pPr>
        <w:jc w:val="left"/>
      </w:pPr>
      <w:r w:rsidRPr="00767A0C">
        <w:t xml:space="preserve">To explore the potential significance of orientations within and between these sites required looking at orientations suggested by the layout of the sites and then investigating possible targets within the land, water or sky. Clive Ruggles (1999, p.90) recommends using context-free statistical and probability testing to ascertain the likelihood of intentional orientations. This was not possible with such a small number of varied sites. I therefore adopted an alternative approach and measured apparently significant orientations and looked for patterns and repetitions within the results. I considered that the best way to attempt to keep a fresh, open mind was to spend time walking around and between sites. I wanted to experience the environment and note what appeared significant. I was also able to note land and water features and any significant aspects of the horizon. This phenomenological approach, recommended by Christopher Tilley (1994), had the additional benefit of potentially giving insight into how Neolithic people may have moved around and between the sites. Although it is impossible to understand the mindset of a culture from 5000 years ago, I wanted to approach this study with as open a mind as possible when looking at the sites and the surrounding environment. I attempted to be mindful of my cultural, modern-western attitudes and assumptions. All sites had entrances and most had hearths so it seemed a reasonable approach to measure orientations incorporating these two elements of construction. The entrances also incorporated how people would have progressed through, entered or exited a site or building, while the hearth would have been one of the focal points of activity. I only explored possible orientation targets after the fieldwork was completed. I wanted to avoid preconceived ideas or assumptions around orientation targets that may have led to selecting ”evidence that tends to support a particular theory while ignoring other evidence that does not” (Ruggles, 1999, p.164). As Ruggles (1999, p.89) points out, targets from a structure’s general orientation can include ancestor sites or other special places, territorial or other markers, procession routes as well as natural features of the land, water and skyscape. Pragmatic considerations such as the lie of the land and wind direction could also have been important orientation considerations in the positioning of a structure. I therefore did not narrow down my methodology to only exploring the skyscape or specific alignments within the skyscape, an approach adopted by Gail Higginbottom investigating the Stones of Stenness (2016). I did not want to limit the investigation and risk missing potential targets. </w:t>
      </w:r>
    </w:p>
    <w:p w:rsidR="00607E9F" w:rsidRPr="00767A0C" w:rsidRDefault="00607E9F" w:rsidP="005A2072">
      <w:pPr>
        <w:jc w:val="left"/>
      </w:pPr>
    </w:p>
    <w:p w:rsidR="00607E9F" w:rsidRPr="00767A0C" w:rsidRDefault="00607E9F" w:rsidP="005A2072">
      <w:pPr>
        <w:jc w:val="left"/>
      </w:pPr>
      <w:r w:rsidRPr="00767A0C">
        <w:t>Fabio Silva (2019) discussed the importance of incorporating uncertainty calculations into one’s azimuth measurements to give more precise declinations.</w:t>
      </w:r>
      <w:r>
        <w:t xml:space="preserve"> </w:t>
      </w:r>
      <w:r w:rsidRPr="00767A0C">
        <w:t>When measuring the azimuth from one point to another, the measurement is subject to uncertainties. My compass is accurate to 0.5° but an addition to this there is uncertainty regarding my position, uncertainty in the distance to the target and uncertainty in the position of the target as shown in Figure 7.</w:t>
      </w:r>
    </w:p>
    <w:p w:rsidR="00607E9F" w:rsidRPr="00767A0C" w:rsidRDefault="00607E9F" w:rsidP="005A2072">
      <w:pPr>
        <w:jc w:val="left"/>
      </w:pPr>
    </w:p>
    <w:p w:rsidR="00607E9F" w:rsidRPr="00767A0C" w:rsidRDefault="00607E9F" w:rsidP="005A2072">
      <w:pPr>
        <w:jc w:val="left"/>
      </w:pPr>
      <w:r>
        <w:pict>
          <v:shape id="Picture 9" o:spid="_x0000_i1033" type="#_x0000_t75" alt="RANGE DIAGRAM" style="width:430pt;height:242pt;visibility:visible">
            <v:imagedata r:id="rId17" o:title=""/>
          </v:shape>
        </w:pict>
      </w:r>
    </w:p>
    <w:p w:rsidR="00607E9F" w:rsidRPr="008453B6" w:rsidRDefault="00607E9F" w:rsidP="005A2072">
      <w:pPr>
        <w:jc w:val="left"/>
        <w:rPr>
          <w:i/>
        </w:rPr>
      </w:pPr>
      <w:r w:rsidRPr="008453B6">
        <w:rPr>
          <w:i/>
        </w:rPr>
        <w:t>Figure 7.  Plan showing potential uncertainty error ranges.</w:t>
      </w:r>
    </w:p>
    <w:p w:rsidR="00607E9F" w:rsidRPr="00767A0C" w:rsidRDefault="00607E9F" w:rsidP="005A2072">
      <w:pPr>
        <w:jc w:val="left"/>
      </w:pPr>
    </w:p>
    <w:p w:rsidR="00607E9F" w:rsidRPr="00767A0C" w:rsidRDefault="00607E9F" w:rsidP="005A2072">
      <w:pPr>
        <w:jc w:val="left"/>
      </w:pPr>
      <w:r w:rsidRPr="00767A0C">
        <w:t>Uncertainty calculations were therefore made for all azimuth measurements and converted to angular uncertainties by using the following trigonometry formula (see Appendix for calculations).</w:t>
      </w:r>
    </w:p>
    <w:p w:rsidR="00607E9F" w:rsidRPr="00767A0C" w:rsidRDefault="00607E9F" w:rsidP="005A2072">
      <w:pPr>
        <w:jc w:val="left"/>
      </w:pPr>
      <w:r>
        <w:pict>
          <v:shape id="Picture 7" o:spid="_x0000_i1034" type="#_x0000_t75" style="width:3in;height:37pt;visibility:visible">
            <v:imagedata r:id="rId18" o:title=""/>
          </v:shape>
        </w:pict>
      </w:r>
    </w:p>
    <w:p w:rsidR="00607E9F" w:rsidRPr="00767A0C" w:rsidRDefault="00607E9F" w:rsidP="005A2072">
      <w:pPr>
        <w:jc w:val="left"/>
      </w:pPr>
      <w:r w:rsidRPr="00767A0C">
        <w:t xml:space="preserve">At the Ness of Brodgar and Barnhouse settlement (see Figures 7 &amp; 3) I positioned myself centrally inside each entrance by measuring the entrance widths. I then aligned my compass with the centre of a person standing outside the trench facing me. This was not very precise and some entrances were not facing the trench edge. I therefore moved slightly further inside the structure using the hearth or wall to align myself to the entrance. I then used the length of my position from the entrance for the range in the uncertainty calculations. I allowed 5% of my position width, minus my own width, for the near-width uncertainty. I used 50% of the entrance width for the far-width uncertainty. At the Stones of Stenness (see Figure 9) I stood in the middle of the central hearth and measured towards each stone or original stone position. I also wanted to include the width of the stones, in the uncertainty calculations, to allow for possible alignments to the stone edges. I measured the entrance width, marked the central point and measured from the hearth towards the marker. For the uncertainty calculations I used the circle radius as my range, and allowed 30cm for range uncertainty from myself to the stone. I allowed 30cm for the near-width uncertainty of standing in the 2m sq hearth. I used 50% of the stone width for far-width uncertainty and 1.4m for where only stone positions were marked. Graham Ritchie (1975) envisaged the original position of the inner ground stone as upright; opposite the two other inner stones. I therefore also measured from the hearth to the left of the two inner stones, towards the entrance marker. </w:t>
      </w:r>
    </w:p>
    <w:p w:rsidR="00607E9F" w:rsidRPr="00767A0C" w:rsidRDefault="00607E9F" w:rsidP="005A2072">
      <w:pPr>
        <w:jc w:val="left"/>
      </w:pPr>
    </w:p>
    <w:p w:rsidR="00607E9F" w:rsidRPr="00767A0C" w:rsidRDefault="00607E9F" w:rsidP="005A2072">
      <w:pPr>
        <w:jc w:val="left"/>
      </w:pPr>
      <w:r w:rsidRPr="00767A0C">
        <w:t>At the Ring of Brodgar (see Figure 10) I was unable to access the centre of the circle and had to take azimuth measurements from the outside of the surrounding ditch. I measured the azimuths from the centre of each stone towards the centre of the ring. I measured the width of the two entrances and placed a marker in the centre of each. There was an addition cause of uncertainty at this site from measuring outside of the circle. For the range I used the circle radius plus the stone thickness. The range uncertainty was 0 as the far error covered this. For near-width uncertainty I allowed 5% of the stone width, as I was aiming towards the centre of a stone 10m away. I allowed 10% of radius for the far-width uncertainty of aiming towards centre. I then needed to add half the stone width for far-width uncertainty. For the entrance azimuth I stood in the centre of the southern, narrower entrance and measured towards the centre of the opposite, northern entrance. Whilst the north to south direction could also be considered, the older, single north facing entrance at the Stone of Stenness suggested a northerly progression. At Maeshowe I followed the methodology recommended by Fabio Silva (2015). This involved taking two diagonal measurements from the back of the chamber towards the entrance edges. This gave a wider ‘window of visibility’ from the entrance, encompassing the maximum extent of the horizon. Due to the curved passageway, the diagonal measurements could not be taken from the back chamber corners but were taken to the furthest point towards them (see Figure 11). I then incorporated the entrance uncertainty calculations. To plot lines and measure angles between sites and between standing stones I used Google Earth (Google Earth Pro, 2017). Lopes and Nogueira (2011) found the error in Google Earth to be 0.44% for line measurements. The date, azimuth, altitude, latitude and longitude were then entered onto a spreadsheet and uploaded to the SkyscapeR (Silva, 2017) computer application that calculated the declination figures. The application also automatically calculated the Magnetic Declination and adjusted the azimuths accordingly, as recommended by Ruggles (1999, p.165). The latitude and longitude measurements were also entered into the HeyWhatsThat website (Heywhatsthat.com, 2010) to create an area-view ID reference number. This enabled me to view the various horizon altitudes from different directions. The ID reference was also entered into SkyscapeR, along with declination figures and historical dates, to investigate the positions and movement of the sun, moon and stars at a specific time period and specific declination. For possible skyscape significance I not only looked at the horizon for possible rising and setting points of the stars, sun and moon but also looked at the general skyscape for any, possibly significant, skyscape aspect such as patterns in star formations. The Stellerium computer software (Stellarium, 2020) enabled viewing the sky around the approximate time of a sites construction and use. The imputing of location and historical dates gave access to the skyscape view in any direction.</w:t>
      </w:r>
    </w:p>
    <w:p w:rsidR="00607E9F" w:rsidRPr="008453B6" w:rsidRDefault="00607E9F" w:rsidP="005A2072">
      <w:pPr>
        <w:jc w:val="left"/>
        <w:rPr>
          <w:color w:val="3366FF"/>
        </w:rPr>
      </w:pPr>
    </w:p>
    <w:p w:rsidR="00607E9F" w:rsidRPr="008453B6" w:rsidRDefault="00607E9F" w:rsidP="008453B6">
      <w:pPr>
        <w:jc w:val="center"/>
        <w:rPr>
          <w:b/>
          <w:color w:val="3366FF"/>
        </w:rPr>
      </w:pPr>
      <w:r w:rsidRPr="008453B6">
        <w:rPr>
          <w:b/>
          <w:color w:val="3366FF"/>
        </w:rPr>
        <w:t xml:space="preserve">Chapter 5. </w:t>
      </w:r>
    </w:p>
    <w:p w:rsidR="00607E9F" w:rsidRPr="008453B6" w:rsidRDefault="00607E9F" w:rsidP="008453B6">
      <w:pPr>
        <w:jc w:val="center"/>
        <w:rPr>
          <w:b/>
          <w:color w:val="3366FF"/>
          <w:sz w:val="28"/>
        </w:rPr>
      </w:pPr>
    </w:p>
    <w:p w:rsidR="00607E9F" w:rsidRPr="008453B6" w:rsidRDefault="00607E9F" w:rsidP="008453B6">
      <w:pPr>
        <w:jc w:val="center"/>
        <w:rPr>
          <w:b/>
          <w:color w:val="3366FF"/>
          <w:sz w:val="28"/>
        </w:rPr>
      </w:pPr>
      <w:r w:rsidRPr="008453B6">
        <w:rPr>
          <w:b/>
          <w:color w:val="3366FF"/>
          <w:sz w:val="28"/>
        </w:rPr>
        <w:t>RESULTS.</w:t>
      </w:r>
    </w:p>
    <w:p w:rsidR="00607E9F" w:rsidRPr="00767A0C" w:rsidRDefault="00607E9F" w:rsidP="005A2072">
      <w:pPr>
        <w:jc w:val="left"/>
      </w:pPr>
    </w:p>
    <w:p w:rsidR="00607E9F" w:rsidRPr="00767A0C" w:rsidRDefault="00607E9F" w:rsidP="005A2072">
      <w:pPr>
        <w:jc w:val="left"/>
      </w:pPr>
      <w:r w:rsidRPr="00767A0C">
        <w:t xml:space="preserve">From walking around the landscape the overriding impression was of the huge sky, views of water and the almost constant presence of wind at various strengths. The sky was constantly moving as the wind blew the clouds across the sky, often at great speed. The waters of the lochs reflected the moving clouds. The fairly static natural surface of the waters was also affected by the wind direction, as were the water plants. The sound and feel of the wind was an almost constant presence. The change in the sound of the wind was very noticeable as I moved whilst the regular rains were blown according to the wind direction and strength. The Orkney mainland is obviously surrounded by seawater while the lochs of Harray and Stenness almost surround the Ness, flanking it either side. The ditches surrounding the Ring of Brodgar and the Stones of Stenness would once have been filled with water, perhaps duplicating of the natural landscape. The use of water to accentuate structural thresholds appeared significant. Entering the stone circles would have involved crossing a watery ditch while crossing the land Bridge of Brodgar towards the Ness involves crossing the body of water formed by the lochs either side. If the lochs are seen as one body of water, the Ness isthmus can also be viewed as a bridge from the Stones of Stenness towards the Ring of Brodgar. </w:t>
      </w:r>
    </w:p>
    <w:p w:rsidR="00607E9F" w:rsidRPr="00767A0C" w:rsidRDefault="00607E9F" w:rsidP="005A2072">
      <w:pPr>
        <w:jc w:val="left"/>
      </w:pPr>
    </w:p>
    <w:p w:rsidR="00607E9F" w:rsidRPr="008453B6" w:rsidRDefault="00607E9F" w:rsidP="005A2072">
      <w:pPr>
        <w:pStyle w:val="Heading3"/>
        <w:jc w:val="left"/>
        <w:rPr>
          <w:color w:val="3366FF"/>
        </w:rPr>
      </w:pPr>
    </w:p>
    <w:p w:rsidR="00607E9F" w:rsidRPr="008453B6" w:rsidRDefault="00607E9F" w:rsidP="005A2072">
      <w:pPr>
        <w:pStyle w:val="Heading3"/>
        <w:jc w:val="left"/>
        <w:rPr>
          <w:color w:val="3366FF"/>
        </w:rPr>
      </w:pPr>
    </w:p>
    <w:p w:rsidR="00607E9F" w:rsidRPr="008453B6" w:rsidRDefault="00607E9F" w:rsidP="005A2072">
      <w:pPr>
        <w:pStyle w:val="Heading3"/>
        <w:jc w:val="left"/>
        <w:rPr>
          <w:color w:val="3366FF"/>
        </w:rPr>
      </w:pPr>
    </w:p>
    <w:p w:rsidR="00607E9F" w:rsidRPr="008453B6" w:rsidRDefault="00607E9F" w:rsidP="005A2072">
      <w:pPr>
        <w:pStyle w:val="Heading3"/>
        <w:jc w:val="left"/>
        <w:rPr>
          <w:color w:val="3366FF"/>
        </w:rPr>
      </w:pPr>
    </w:p>
    <w:p w:rsidR="00607E9F" w:rsidRPr="008453B6" w:rsidRDefault="00607E9F" w:rsidP="005A2072">
      <w:pPr>
        <w:pStyle w:val="Heading3"/>
        <w:jc w:val="left"/>
        <w:rPr>
          <w:color w:val="3366FF"/>
        </w:rPr>
      </w:pPr>
      <w:r w:rsidRPr="008453B6">
        <w:rPr>
          <w:color w:val="3366FF"/>
        </w:rPr>
        <w:t>5.1 ENTRANCES.</w:t>
      </w:r>
    </w:p>
    <w:p w:rsidR="00607E9F" w:rsidRPr="00767A0C" w:rsidRDefault="00607E9F" w:rsidP="005A2072">
      <w:pPr>
        <w:jc w:val="left"/>
      </w:pPr>
      <w:r w:rsidRPr="00767A0C">
        <w:t xml:space="preserve">Figure 8 shows the azimuth and altitude measurements taken from the structure entrances at the Ness. </w:t>
      </w:r>
    </w:p>
    <w:p w:rsidR="00607E9F" w:rsidRPr="00767A0C" w:rsidRDefault="00607E9F" w:rsidP="005A2072">
      <w:pPr>
        <w:jc w:val="left"/>
      </w:pPr>
      <w:r>
        <w:pict>
          <v:shape id="Picture 8" o:spid="_x0000_i1035" type="#_x0000_t75" style="width:430pt;height:430pt;visibility:visible">
            <v:imagedata r:id="rId19" o:title=""/>
          </v:shape>
        </w:pict>
      </w:r>
    </w:p>
    <w:p w:rsidR="00607E9F" w:rsidRPr="005A2072" w:rsidRDefault="00607E9F" w:rsidP="00B217BC">
      <w:pPr>
        <w:spacing w:line="240" w:lineRule="auto"/>
        <w:jc w:val="left"/>
        <w:rPr>
          <w:i/>
        </w:rPr>
      </w:pPr>
      <w:r w:rsidRPr="005A2072">
        <w:rPr>
          <w:i/>
        </w:rPr>
        <w:t>Figure 8.  Azimuth and altitude measurements taken from the structure entrances at the Ness with arrows showing the direction measured.</w:t>
      </w:r>
    </w:p>
    <w:p w:rsidR="00607E9F" w:rsidRPr="00767A0C" w:rsidRDefault="00607E9F" w:rsidP="005A2072">
      <w:pPr>
        <w:jc w:val="left"/>
      </w:pPr>
    </w:p>
    <w:p w:rsidR="00607E9F" w:rsidRPr="00767A0C" w:rsidRDefault="00607E9F" w:rsidP="005A2072">
      <w:pPr>
        <w:jc w:val="left"/>
      </w:pPr>
      <w:r w:rsidRPr="00767A0C">
        <w:t xml:space="preserve">At the Barnhouse settlement the earlier, non-domestic House 2 has one entrance facing 136° with an altitude of 2°. The later and larger non-domestic House 8 has two entrances. The outer entrance faces 87° with an altitude of 1.5° while the inner entrance faces 336° with an altitude of 1°. </w:t>
      </w:r>
    </w:p>
    <w:p w:rsidR="00607E9F" w:rsidRPr="00767A0C" w:rsidRDefault="00607E9F" w:rsidP="005A2072">
      <w:pPr>
        <w:jc w:val="left"/>
      </w:pPr>
    </w:p>
    <w:p w:rsidR="00607E9F" w:rsidRPr="00767A0C" w:rsidRDefault="00607E9F" w:rsidP="005A2072">
      <w:pPr>
        <w:jc w:val="left"/>
      </w:pPr>
    </w:p>
    <w:p w:rsidR="00607E9F" w:rsidRPr="00767A0C" w:rsidRDefault="00607E9F" w:rsidP="005A2072">
      <w:pPr>
        <w:jc w:val="left"/>
      </w:pPr>
    </w:p>
    <w:p w:rsidR="00607E9F" w:rsidRPr="00767A0C" w:rsidRDefault="00607E9F" w:rsidP="005A2072">
      <w:pPr>
        <w:jc w:val="left"/>
      </w:pPr>
    </w:p>
    <w:p w:rsidR="00607E9F" w:rsidRPr="00767A0C" w:rsidRDefault="00607E9F" w:rsidP="005A2072">
      <w:pPr>
        <w:jc w:val="left"/>
      </w:pPr>
    </w:p>
    <w:p w:rsidR="00607E9F" w:rsidRPr="00767A0C" w:rsidRDefault="00607E9F" w:rsidP="005A2072">
      <w:pPr>
        <w:jc w:val="left"/>
      </w:pPr>
    </w:p>
    <w:p w:rsidR="00607E9F" w:rsidRPr="00767A0C" w:rsidRDefault="00607E9F" w:rsidP="005A2072">
      <w:pPr>
        <w:jc w:val="left"/>
      </w:pPr>
      <w:r w:rsidRPr="00767A0C">
        <w:t xml:space="preserve">The orientations of all entrances are shown in Figure 9. </w:t>
      </w:r>
    </w:p>
    <w:p w:rsidR="00607E9F" w:rsidRPr="00767A0C" w:rsidRDefault="00607E9F" w:rsidP="005A2072">
      <w:pPr>
        <w:jc w:val="left"/>
      </w:pPr>
    </w:p>
    <w:p w:rsidR="00607E9F" w:rsidRPr="00767A0C" w:rsidRDefault="00607E9F" w:rsidP="005A2072">
      <w:pPr>
        <w:jc w:val="left"/>
      </w:pPr>
    </w:p>
    <w:p w:rsidR="00607E9F" w:rsidRPr="00767A0C" w:rsidRDefault="00607E9F" w:rsidP="005A2072">
      <w:pPr>
        <w:jc w:val="left"/>
      </w:pPr>
      <w:r>
        <w:pict>
          <v:shape id="Picture 10" o:spid="_x0000_i1036" type="#_x0000_t75" style="width:419pt;height:352pt;visibility:visible">
            <v:imagedata r:id="rId20" o:title=""/>
          </v:shape>
        </w:pict>
      </w:r>
    </w:p>
    <w:p w:rsidR="00607E9F" w:rsidRPr="005A2072" w:rsidRDefault="00607E9F" w:rsidP="005A2072">
      <w:pPr>
        <w:jc w:val="left"/>
        <w:rPr>
          <w:i/>
        </w:rPr>
      </w:pPr>
      <w:r w:rsidRPr="005A2072">
        <w:rPr>
          <w:i/>
        </w:rPr>
        <w:t>Figure 9.  The azimuth results from the entrance positions indicated by X.</w:t>
      </w:r>
    </w:p>
    <w:p w:rsidR="00607E9F" w:rsidRPr="00767A0C" w:rsidRDefault="00607E9F" w:rsidP="005A2072">
      <w:pPr>
        <w:jc w:val="left"/>
      </w:pPr>
    </w:p>
    <w:p w:rsidR="00607E9F" w:rsidRPr="008453B6" w:rsidRDefault="00607E9F" w:rsidP="005A2072">
      <w:pPr>
        <w:jc w:val="left"/>
        <w:rPr>
          <w:b/>
          <w:color w:val="3366FF"/>
        </w:rPr>
      </w:pPr>
    </w:p>
    <w:p w:rsidR="00607E9F" w:rsidRPr="008453B6" w:rsidRDefault="00607E9F" w:rsidP="005A2072">
      <w:pPr>
        <w:jc w:val="left"/>
        <w:rPr>
          <w:b/>
          <w:color w:val="3366FF"/>
        </w:rPr>
      </w:pPr>
    </w:p>
    <w:p w:rsidR="00607E9F" w:rsidRPr="008453B6" w:rsidRDefault="00607E9F" w:rsidP="005A2072">
      <w:pPr>
        <w:jc w:val="left"/>
        <w:rPr>
          <w:b/>
          <w:color w:val="3366FF"/>
        </w:rPr>
      </w:pPr>
    </w:p>
    <w:p w:rsidR="00607E9F" w:rsidRPr="008453B6" w:rsidRDefault="00607E9F" w:rsidP="005A2072">
      <w:pPr>
        <w:jc w:val="left"/>
        <w:rPr>
          <w:b/>
          <w:color w:val="3366FF"/>
        </w:rPr>
      </w:pPr>
    </w:p>
    <w:p w:rsidR="00607E9F" w:rsidRPr="008453B6" w:rsidRDefault="00607E9F" w:rsidP="005A2072">
      <w:pPr>
        <w:jc w:val="left"/>
        <w:rPr>
          <w:b/>
          <w:color w:val="3366FF"/>
        </w:rPr>
      </w:pPr>
    </w:p>
    <w:p w:rsidR="00607E9F" w:rsidRPr="008453B6" w:rsidRDefault="00607E9F" w:rsidP="005A2072">
      <w:pPr>
        <w:jc w:val="left"/>
        <w:rPr>
          <w:b/>
          <w:color w:val="3366FF"/>
        </w:rPr>
      </w:pPr>
    </w:p>
    <w:p w:rsidR="00607E9F" w:rsidRPr="008453B6" w:rsidRDefault="00607E9F" w:rsidP="005A2072">
      <w:pPr>
        <w:jc w:val="left"/>
        <w:rPr>
          <w:b/>
          <w:color w:val="3366FF"/>
        </w:rPr>
      </w:pPr>
    </w:p>
    <w:p w:rsidR="00607E9F" w:rsidRPr="008453B6" w:rsidRDefault="00607E9F" w:rsidP="005A2072">
      <w:pPr>
        <w:jc w:val="left"/>
        <w:rPr>
          <w:b/>
          <w:color w:val="3366FF"/>
        </w:rPr>
      </w:pPr>
    </w:p>
    <w:p w:rsidR="00607E9F" w:rsidRPr="008453B6" w:rsidRDefault="00607E9F" w:rsidP="005A2072">
      <w:pPr>
        <w:jc w:val="left"/>
        <w:rPr>
          <w:b/>
          <w:color w:val="3366FF"/>
        </w:rPr>
      </w:pPr>
    </w:p>
    <w:p w:rsidR="00607E9F" w:rsidRPr="008453B6" w:rsidRDefault="00607E9F" w:rsidP="005A2072">
      <w:pPr>
        <w:jc w:val="left"/>
        <w:rPr>
          <w:b/>
          <w:color w:val="3366FF"/>
        </w:rPr>
      </w:pPr>
    </w:p>
    <w:p w:rsidR="00607E9F" w:rsidRPr="008453B6" w:rsidRDefault="00607E9F" w:rsidP="005A2072">
      <w:pPr>
        <w:jc w:val="left"/>
        <w:rPr>
          <w:b/>
          <w:color w:val="3366FF"/>
        </w:rPr>
      </w:pPr>
    </w:p>
    <w:p w:rsidR="00607E9F" w:rsidRPr="008453B6" w:rsidRDefault="00607E9F" w:rsidP="005A2072">
      <w:pPr>
        <w:jc w:val="left"/>
        <w:rPr>
          <w:b/>
          <w:color w:val="3366FF"/>
        </w:rPr>
      </w:pPr>
    </w:p>
    <w:p w:rsidR="00607E9F" w:rsidRPr="008453B6" w:rsidRDefault="00607E9F" w:rsidP="005A2072">
      <w:pPr>
        <w:jc w:val="left"/>
        <w:rPr>
          <w:b/>
          <w:color w:val="3366FF"/>
        </w:rPr>
      </w:pPr>
      <w:r w:rsidRPr="008453B6">
        <w:rPr>
          <w:b/>
          <w:color w:val="3366FF"/>
        </w:rPr>
        <w:t>5.2 STONES of STENNESS.</w:t>
      </w:r>
    </w:p>
    <w:p w:rsidR="00607E9F" w:rsidRPr="00767A0C" w:rsidRDefault="00607E9F" w:rsidP="005A2072">
      <w:pPr>
        <w:jc w:val="left"/>
      </w:pPr>
      <w:r w:rsidRPr="00767A0C">
        <w:t>The azimuth and altitude results from the Stones of Stenness are shown in Figure 10.</w:t>
      </w:r>
    </w:p>
    <w:p w:rsidR="00607E9F" w:rsidRPr="00767A0C" w:rsidRDefault="00607E9F" w:rsidP="005A2072">
      <w:pPr>
        <w:jc w:val="left"/>
      </w:pPr>
      <w:r>
        <w:pict>
          <v:shape id="Picture 11" o:spid="_x0000_i1037" type="#_x0000_t75" style="width:428pt;height:406pt;visibility:visible">
            <v:imagedata r:id="rId21" o:title=""/>
          </v:shape>
        </w:pict>
      </w:r>
    </w:p>
    <w:p w:rsidR="00607E9F" w:rsidRPr="005A2072" w:rsidRDefault="00607E9F" w:rsidP="005A2072">
      <w:pPr>
        <w:jc w:val="left"/>
        <w:rPr>
          <w:i/>
        </w:rPr>
      </w:pPr>
      <w:r w:rsidRPr="005A2072">
        <w:rPr>
          <w:i/>
        </w:rPr>
        <w:t>Figure 10.  The altitude and azimuth measurements taken at the Stones of Stenness. The arrows show the direction of measurements.</w:t>
      </w:r>
    </w:p>
    <w:p w:rsidR="00607E9F" w:rsidRPr="00767A0C" w:rsidRDefault="00607E9F" w:rsidP="005A2072">
      <w:pPr>
        <w:jc w:val="left"/>
      </w:pPr>
    </w:p>
    <w:p w:rsidR="00607E9F" w:rsidRPr="00767A0C" w:rsidRDefault="00607E9F" w:rsidP="005A2072">
      <w:pPr>
        <w:jc w:val="left"/>
      </w:pPr>
      <w:r w:rsidRPr="00767A0C">
        <w:t>I was curious to see how often orientations and alignments were likely to be found from a circle shape. I therefore asked three people to create an imaginary standing stone circle by placing 11 marks on a circumference. I used the same circle and stone size measurements as at the Stones of Stenness and applied the same uncertainty calculations. I would then be able to compare the results analysis between the 4 circles when looking for possible orientation and alignment targets. The azimuths of the three imaginary circles, compared with the Stones of Stenness, are shown in Table 1.</w:t>
      </w:r>
    </w:p>
    <w:p w:rsidR="00607E9F" w:rsidRPr="00767A0C" w:rsidRDefault="00607E9F" w:rsidP="005A2072">
      <w:pPr>
        <w:jc w:val="left"/>
      </w:pPr>
    </w:p>
    <w:p w:rsidR="00607E9F" w:rsidRPr="00767A0C" w:rsidRDefault="00607E9F" w:rsidP="005A2072">
      <w:pPr>
        <w:jc w:val="left"/>
      </w:pPr>
    </w:p>
    <w:p w:rsidR="00607E9F" w:rsidRPr="00767A0C" w:rsidRDefault="00607E9F" w:rsidP="005A2072">
      <w:pPr>
        <w:jc w:val="left"/>
      </w:pPr>
    </w:p>
    <w:p w:rsidR="00607E9F" w:rsidRPr="00767A0C" w:rsidRDefault="00607E9F" w:rsidP="005A2072">
      <w:pPr>
        <w:jc w:val="left"/>
      </w:pPr>
      <w:r w:rsidRPr="00767A0C">
        <w:t>The  Imaginary Circle Azimuths and the Stones of Stenness.</w:t>
      </w:r>
    </w:p>
    <w:p w:rsidR="00607E9F" w:rsidRPr="00767A0C" w:rsidRDefault="00607E9F" w:rsidP="005A2072">
      <w:pPr>
        <w:jc w:val="left"/>
      </w:pPr>
      <w:r w:rsidRPr="00767A0C">
        <w:t xml:space="preserve"> </w:t>
      </w:r>
    </w:p>
    <w:tbl>
      <w:tblPr>
        <w:tblW w:w="908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tblPr>
      <w:tblGrid>
        <w:gridCol w:w="1028"/>
        <w:gridCol w:w="2193"/>
        <w:gridCol w:w="1891"/>
        <w:gridCol w:w="1899"/>
        <w:gridCol w:w="2070"/>
      </w:tblGrid>
      <w:tr w:rsidR="00607E9F" w:rsidRPr="00767A0C">
        <w:tc>
          <w:tcPr>
            <w:tcW w:w="1028" w:type="dxa"/>
          </w:tcPr>
          <w:p w:rsidR="00607E9F" w:rsidRPr="00B217BC" w:rsidRDefault="00607E9F" w:rsidP="005A2072">
            <w:pPr>
              <w:jc w:val="left"/>
            </w:pPr>
            <w:r w:rsidRPr="00B217BC">
              <w:t>Stone</w:t>
            </w:r>
          </w:p>
        </w:tc>
        <w:tc>
          <w:tcPr>
            <w:tcW w:w="2193" w:type="dxa"/>
          </w:tcPr>
          <w:p w:rsidR="00607E9F" w:rsidRPr="00B217BC" w:rsidRDefault="00607E9F" w:rsidP="005A2072">
            <w:pPr>
              <w:jc w:val="left"/>
            </w:pPr>
            <w:r w:rsidRPr="00B217BC">
              <w:t>Created circle 1</w:t>
            </w:r>
          </w:p>
        </w:tc>
        <w:tc>
          <w:tcPr>
            <w:tcW w:w="1891" w:type="dxa"/>
          </w:tcPr>
          <w:p w:rsidR="00607E9F" w:rsidRPr="00B217BC" w:rsidRDefault="00607E9F" w:rsidP="005A2072">
            <w:pPr>
              <w:jc w:val="left"/>
            </w:pPr>
            <w:r w:rsidRPr="00B217BC">
              <w:t>Created circle 2</w:t>
            </w:r>
          </w:p>
        </w:tc>
        <w:tc>
          <w:tcPr>
            <w:tcW w:w="1899" w:type="dxa"/>
          </w:tcPr>
          <w:p w:rsidR="00607E9F" w:rsidRPr="00B217BC" w:rsidRDefault="00607E9F" w:rsidP="005A2072">
            <w:pPr>
              <w:jc w:val="left"/>
            </w:pPr>
            <w:r w:rsidRPr="00B217BC">
              <w:t>Created circle 3</w:t>
            </w:r>
          </w:p>
        </w:tc>
        <w:tc>
          <w:tcPr>
            <w:tcW w:w="2070" w:type="dxa"/>
          </w:tcPr>
          <w:p w:rsidR="00607E9F" w:rsidRPr="00B217BC" w:rsidRDefault="00607E9F" w:rsidP="005A2072">
            <w:pPr>
              <w:jc w:val="left"/>
            </w:pPr>
            <w:r w:rsidRPr="00B217BC">
              <w:t>Stones of Stenness</w:t>
            </w:r>
          </w:p>
        </w:tc>
      </w:tr>
      <w:tr w:rsidR="00607E9F" w:rsidRPr="00767A0C">
        <w:tc>
          <w:tcPr>
            <w:tcW w:w="1028" w:type="dxa"/>
          </w:tcPr>
          <w:p w:rsidR="00607E9F" w:rsidRPr="00767A0C" w:rsidRDefault="00607E9F" w:rsidP="005A2072">
            <w:pPr>
              <w:jc w:val="left"/>
            </w:pPr>
            <w:r w:rsidRPr="00767A0C">
              <w:t>1</w:t>
            </w:r>
          </w:p>
        </w:tc>
        <w:tc>
          <w:tcPr>
            <w:tcW w:w="2193" w:type="dxa"/>
          </w:tcPr>
          <w:p w:rsidR="00607E9F" w:rsidRPr="00767A0C" w:rsidRDefault="00607E9F" w:rsidP="005A2072">
            <w:pPr>
              <w:jc w:val="left"/>
            </w:pPr>
            <w:r w:rsidRPr="00767A0C">
              <w:t>144</w:t>
            </w:r>
          </w:p>
        </w:tc>
        <w:tc>
          <w:tcPr>
            <w:tcW w:w="1891" w:type="dxa"/>
          </w:tcPr>
          <w:p w:rsidR="00607E9F" w:rsidRPr="00767A0C" w:rsidRDefault="00607E9F" w:rsidP="005A2072">
            <w:pPr>
              <w:jc w:val="left"/>
            </w:pPr>
            <w:r w:rsidRPr="00767A0C">
              <w:t>164</w:t>
            </w:r>
          </w:p>
        </w:tc>
        <w:tc>
          <w:tcPr>
            <w:tcW w:w="1899" w:type="dxa"/>
          </w:tcPr>
          <w:p w:rsidR="00607E9F" w:rsidRPr="00767A0C" w:rsidRDefault="00607E9F" w:rsidP="005A2072">
            <w:pPr>
              <w:jc w:val="left"/>
            </w:pPr>
            <w:r w:rsidRPr="00767A0C">
              <w:t>148</w:t>
            </w:r>
          </w:p>
        </w:tc>
        <w:tc>
          <w:tcPr>
            <w:tcW w:w="2070" w:type="dxa"/>
          </w:tcPr>
          <w:p w:rsidR="00607E9F" w:rsidRPr="00767A0C" w:rsidRDefault="00607E9F" w:rsidP="005A2072">
            <w:pPr>
              <w:jc w:val="left"/>
            </w:pPr>
            <w:r w:rsidRPr="00767A0C">
              <w:t>164</w:t>
            </w:r>
          </w:p>
        </w:tc>
      </w:tr>
      <w:tr w:rsidR="00607E9F" w:rsidRPr="00767A0C">
        <w:tc>
          <w:tcPr>
            <w:tcW w:w="1028" w:type="dxa"/>
          </w:tcPr>
          <w:p w:rsidR="00607E9F" w:rsidRPr="00767A0C" w:rsidRDefault="00607E9F" w:rsidP="005A2072">
            <w:pPr>
              <w:jc w:val="left"/>
            </w:pPr>
            <w:r w:rsidRPr="00767A0C">
              <w:t>2</w:t>
            </w:r>
          </w:p>
        </w:tc>
        <w:tc>
          <w:tcPr>
            <w:tcW w:w="2193" w:type="dxa"/>
          </w:tcPr>
          <w:p w:rsidR="00607E9F" w:rsidRPr="00767A0C" w:rsidRDefault="00607E9F" w:rsidP="005A2072">
            <w:pPr>
              <w:jc w:val="left"/>
            </w:pPr>
            <w:r w:rsidRPr="00767A0C">
              <w:t>191</w:t>
            </w:r>
          </w:p>
        </w:tc>
        <w:tc>
          <w:tcPr>
            <w:tcW w:w="1891" w:type="dxa"/>
          </w:tcPr>
          <w:p w:rsidR="00607E9F" w:rsidRPr="00767A0C" w:rsidRDefault="00607E9F" w:rsidP="005A2072">
            <w:pPr>
              <w:jc w:val="left"/>
            </w:pPr>
            <w:r w:rsidRPr="00767A0C">
              <w:t>172</w:t>
            </w:r>
          </w:p>
        </w:tc>
        <w:tc>
          <w:tcPr>
            <w:tcW w:w="1899" w:type="dxa"/>
          </w:tcPr>
          <w:p w:rsidR="00607E9F" w:rsidRPr="00767A0C" w:rsidRDefault="00607E9F" w:rsidP="005A2072">
            <w:pPr>
              <w:jc w:val="left"/>
            </w:pPr>
            <w:r w:rsidRPr="00767A0C">
              <w:t>173</w:t>
            </w:r>
          </w:p>
        </w:tc>
        <w:tc>
          <w:tcPr>
            <w:tcW w:w="2070" w:type="dxa"/>
          </w:tcPr>
          <w:p w:rsidR="00607E9F" w:rsidRPr="00767A0C" w:rsidRDefault="00607E9F" w:rsidP="005A2072">
            <w:pPr>
              <w:jc w:val="left"/>
            </w:pPr>
            <w:r w:rsidRPr="00767A0C">
              <w:t>190</w:t>
            </w:r>
          </w:p>
        </w:tc>
      </w:tr>
      <w:tr w:rsidR="00607E9F" w:rsidRPr="00767A0C">
        <w:tc>
          <w:tcPr>
            <w:tcW w:w="1028" w:type="dxa"/>
          </w:tcPr>
          <w:p w:rsidR="00607E9F" w:rsidRPr="00767A0C" w:rsidRDefault="00607E9F" w:rsidP="005A2072">
            <w:pPr>
              <w:jc w:val="left"/>
            </w:pPr>
            <w:r w:rsidRPr="00767A0C">
              <w:t>3</w:t>
            </w:r>
          </w:p>
        </w:tc>
        <w:tc>
          <w:tcPr>
            <w:tcW w:w="2193" w:type="dxa"/>
          </w:tcPr>
          <w:p w:rsidR="00607E9F" w:rsidRPr="00767A0C" w:rsidRDefault="00607E9F" w:rsidP="005A2072">
            <w:pPr>
              <w:jc w:val="left"/>
            </w:pPr>
            <w:r w:rsidRPr="00767A0C">
              <w:t>221</w:t>
            </w:r>
          </w:p>
        </w:tc>
        <w:tc>
          <w:tcPr>
            <w:tcW w:w="1891" w:type="dxa"/>
          </w:tcPr>
          <w:p w:rsidR="00607E9F" w:rsidRPr="00767A0C" w:rsidRDefault="00607E9F" w:rsidP="005A2072">
            <w:pPr>
              <w:jc w:val="left"/>
            </w:pPr>
            <w:r w:rsidRPr="00767A0C">
              <w:t>215</w:t>
            </w:r>
          </w:p>
        </w:tc>
        <w:tc>
          <w:tcPr>
            <w:tcW w:w="1899" w:type="dxa"/>
          </w:tcPr>
          <w:p w:rsidR="00607E9F" w:rsidRPr="00767A0C" w:rsidRDefault="00607E9F" w:rsidP="005A2072">
            <w:pPr>
              <w:jc w:val="left"/>
            </w:pPr>
            <w:r w:rsidRPr="00767A0C">
              <w:t>218</w:t>
            </w:r>
          </w:p>
        </w:tc>
        <w:tc>
          <w:tcPr>
            <w:tcW w:w="2070" w:type="dxa"/>
          </w:tcPr>
          <w:p w:rsidR="00607E9F" w:rsidRPr="00767A0C" w:rsidRDefault="00607E9F" w:rsidP="005A2072">
            <w:pPr>
              <w:jc w:val="left"/>
            </w:pPr>
            <w:r w:rsidRPr="00767A0C">
              <w:t>220</w:t>
            </w:r>
          </w:p>
        </w:tc>
      </w:tr>
      <w:tr w:rsidR="00607E9F" w:rsidRPr="00767A0C">
        <w:tc>
          <w:tcPr>
            <w:tcW w:w="1028" w:type="dxa"/>
          </w:tcPr>
          <w:p w:rsidR="00607E9F" w:rsidRPr="00767A0C" w:rsidRDefault="00607E9F" w:rsidP="005A2072">
            <w:pPr>
              <w:jc w:val="left"/>
            </w:pPr>
            <w:r w:rsidRPr="00767A0C">
              <w:t>4</w:t>
            </w:r>
          </w:p>
        </w:tc>
        <w:tc>
          <w:tcPr>
            <w:tcW w:w="2193" w:type="dxa"/>
          </w:tcPr>
          <w:p w:rsidR="00607E9F" w:rsidRPr="00767A0C" w:rsidRDefault="00607E9F" w:rsidP="005A2072">
            <w:pPr>
              <w:jc w:val="left"/>
            </w:pPr>
            <w:r w:rsidRPr="00767A0C">
              <w:t>272</w:t>
            </w:r>
          </w:p>
        </w:tc>
        <w:tc>
          <w:tcPr>
            <w:tcW w:w="1891" w:type="dxa"/>
          </w:tcPr>
          <w:p w:rsidR="00607E9F" w:rsidRPr="00767A0C" w:rsidRDefault="00607E9F" w:rsidP="005A2072">
            <w:pPr>
              <w:jc w:val="left"/>
            </w:pPr>
            <w:r w:rsidRPr="00767A0C">
              <w:t>257</w:t>
            </w:r>
          </w:p>
        </w:tc>
        <w:tc>
          <w:tcPr>
            <w:tcW w:w="1899" w:type="dxa"/>
          </w:tcPr>
          <w:p w:rsidR="00607E9F" w:rsidRPr="00767A0C" w:rsidRDefault="00607E9F" w:rsidP="005A2072">
            <w:pPr>
              <w:jc w:val="left"/>
            </w:pPr>
            <w:r w:rsidRPr="00767A0C">
              <w:t>236</w:t>
            </w:r>
          </w:p>
        </w:tc>
        <w:tc>
          <w:tcPr>
            <w:tcW w:w="2070" w:type="dxa"/>
          </w:tcPr>
          <w:p w:rsidR="00607E9F" w:rsidRPr="00767A0C" w:rsidRDefault="00607E9F" w:rsidP="005A2072">
            <w:pPr>
              <w:jc w:val="left"/>
            </w:pPr>
            <w:r w:rsidRPr="00767A0C">
              <w:t>225</w:t>
            </w:r>
          </w:p>
        </w:tc>
      </w:tr>
      <w:tr w:rsidR="00607E9F" w:rsidRPr="00767A0C">
        <w:tc>
          <w:tcPr>
            <w:tcW w:w="1028" w:type="dxa"/>
          </w:tcPr>
          <w:p w:rsidR="00607E9F" w:rsidRPr="00767A0C" w:rsidRDefault="00607E9F" w:rsidP="005A2072">
            <w:pPr>
              <w:jc w:val="left"/>
            </w:pPr>
            <w:r w:rsidRPr="00767A0C">
              <w:t>5</w:t>
            </w:r>
          </w:p>
        </w:tc>
        <w:tc>
          <w:tcPr>
            <w:tcW w:w="2193" w:type="dxa"/>
          </w:tcPr>
          <w:p w:rsidR="00607E9F" w:rsidRPr="00767A0C" w:rsidRDefault="00607E9F" w:rsidP="005A2072">
            <w:pPr>
              <w:jc w:val="left"/>
            </w:pPr>
            <w:r w:rsidRPr="00767A0C">
              <w:t>287</w:t>
            </w:r>
          </w:p>
        </w:tc>
        <w:tc>
          <w:tcPr>
            <w:tcW w:w="1891" w:type="dxa"/>
          </w:tcPr>
          <w:p w:rsidR="00607E9F" w:rsidRPr="00767A0C" w:rsidRDefault="00607E9F" w:rsidP="005A2072">
            <w:pPr>
              <w:jc w:val="left"/>
            </w:pPr>
            <w:r w:rsidRPr="00767A0C">
              <w:t>271</w:t>
            </w:r>
          </w:p>
        </w:tc>
        <w:tc>
          <w:tcPr>
            <w:tcW w:w="1899" w:type="dxa"/>
          </w:tcPr>
          <w:p w:rsidR="00607E9F" w:rsidRPr="00767A0C" w:rsidRDefault="00607E9F" w:rsidP="005A2072">
            <w:pPr>
              <w:jc w:val="left"/>
            </w:pPr>
            <w:r w:rsidRPr="00767A0C">
              <w:t>250</w:t>
            </w:r>
          </w:p>
        </w:tc>
        <w:tc>
          <w:tcPr>
            <w:tcW w:w="2070" w:type="dxa"/>
          </w:tcPr>
          <w:p w:rsidR="00607E9F" w:rsidRPr="00767A0C" w:rsidRDefault="00607E9F" w:rsidP="005A2072">
            <w:pPr>
              <w:jc w:val="left"/>
            </w:pPr>
            <w:r w:rsidRPr="00767A0C">
              <w:t>285</w:t>
            </w:r>
          </w:p>
        </w:tc>
      </w:tr>
      <w:tr w:rsidR="00607E9F" w:rsidRPr="00767A0C">
        <w:tc>
          <w:tcPr>
            <w:tcW w:w="1028" w:type="dxa"/>
          </w:tcPr>
          <w:p w:rsidR="00607E9F" w:rsidRPr="00767A0C" w:rsidRDefault="00607E9F" w:rsidP="005A2072">
            <w:pPr>
              <w:jc w:val="left"/>
            </w:pPr>
            <w:r w:rsidRPr="00767A0C">
              <w:t>6</w:t>
            </w:r>
          </w:p>
        </w:tc>
        <w:tc>
          <w:tcPr>
            <w:tcW w:w="2193" w:type="dxa"/>
          </w:tcPr>
          <w:p w:rsidR="00607E9F" w:rsidRPr="00767A0C" w:rsidRDefault="00607E9F" w:rsidP="005A2072">
            <w:pPr>
              <w:jc w:val="left"/>
            </w:pPr>
            <w:r w:rsidRPr="00767A0C">
              <w:t>298</w:t>
            </w:r>
          </w:p>
        </w:tc>
        <w:tc>
          <w:tcPr>
            <w:tcW w:w="1891" w:type="dxa"/>
          </w:tcPr>
          <w:p w:rsidR="00607E9F" w:rsidRPr="00767A0C" w:rsidRDefault="00607E9F" w:rsidP="005A2072">
            <w:pPr>
              <w:jc w:val="left"/>
            </w:pPr>
            <w:r w:rsidRPr="00767A0C">
              <w:t>314</w:t>
            </w:r>
          </w:p>
        </w:tc>
        <w:tc>
          <w:tcPr>
            <w:tcW w:w="1899" w:type="dxa"/>
          </w:tcPr>
          <w:p w:rsidR="00607E9F" w:rsidRPr="00767A0C" w:rsidRDefault="00607E9F" w:rsidP="005A2072">
            <w:pPr>
              <w:jc w:val="left"/>
            </w:pPr>
            <w:r w:rsidRPr="00767A0C">
              <w:t>280</w:t>
            </w:r>
          </w:p>
        </w:tc>
        <w:tc>
          <w:tcPr>
            <w:tcW w:w="2070" w:type="dxa"/>
          </w:tcPr>
          <w:p w:rsidR="00607E9F" w:rsidRPr="00767A0C" w:rsidRDefault="00607E9F" w:rsidP="005A2072">
            <w:pPr>
              <w:jc w:val="left"/>
            </w:pPr>
            <w:r w:rsidRPr="00767A0C">
              <w:t>310</w:t>
            </w:r>
          </w:p>
        </w:tc>
      </w:tr>
      <w:tr w:rsidR="00607E9F" w:rsidRPr="00767A0C">
        <w:tc>
          <w:tcPr>
            <w:tcW w:w="1028" w:type="dxa"/>
          </w:tcPr>
          <w:p w:rsidR="00607E9F" w:rsidRPr="00767A0C" w:rsidRDefault="00607E9F" w:rsidP="005A2072">
            <w:pPr>
              <w:jc w:val="left"/>
            </w:pPr>
            <w:r w:rsidRPr="00767A0C">
              <w:t>7</w:t>
            </w:r>
          </w:p>
        </w:tc>
        <w:tc>
          <w:tcPr>
            <w:tcW w:w="2193" w:type="dxa"/>
          </w:tcPr>
          <w:p w:rsidR="00607E9F" w:rsidRPr="00767A0C" w:rsidRDefault="00607E9F" w:rsidP="005A2072">
            <w:pPr>
              <w:jc w:val="left"/>
            </w:pPr>
            <w:r w:rsidRPr="00767A0C">
              <w:t>356</w:t>
            </w:r>
          </w:p>
        </w:tc>
        <w:tc>
          <w:tcPr>
            <w:tcW w:w="1891" w:type="dxa"/>
          </w:tcPr>
          <w:p w:rsidR="00607E9F" w:rsidRPr="00767A0C" w:rsidRDefault="00607E9F" w:rsidP="005A2072">
            <w:pPr>
              <w:jc w:val="left"/>
            </w:pPr>
            <w:r w:rsidRPr="00767A0C">
              <w:t>356</w:t>
            </w:r>
          </w:p>
        </w:tc>
        <w:tc>
          <w:tcPr>
            <w:tcW w:w="1899" w:type="dxa"/>
          </w:tcPr>
          <w:p w:rsidR="00607E9F" w:rsidRPr="00767A0C" w:rsidRDefault="00607E9F" w:rsidP="005A2072">
            <w:pPr>
              <w:jc w:val="left"/>
            </w:pPr>
            <w:r w:rsidRPr="00767A0C">
              <w:t>330</w:t>
            </w:r>
          </w:p>
        </w:tc>
        <w:tc>
          <w:tcPr>
            <w:tcW w:w="2070" w:type="dxa"/>
          </w:tcPr>
          <w:p w:rsidR="00607E9F" w:rsidRPr="00767A0C" w:rsidRDefault="00607E9F" w:rsidP="005A2072">
            <w:pPr>
              <w:jc w:val="left"/>
            </w:pPr>
            <w:r w:rsidRPr="00767A0C">
              <w:t>331</w:t>
            </w:r>
          </w:p>
        </w:tc>
      </w:tr>
      <w:tr w:rsidR="00607E9F" w:rsidRPr="00767A0C">
        <w:tc>
          <w:tcPr>
            <w:tcW w:w="1028" w:type="dxa"/>
          </w:tcPr>
          <w:p w:rsidR="00607E9F" w:rsidRPr="00767A0C" w:rsidRDefault="00607E9F" w:rsidP="005A2072">
            <w:pPr>
              <w:jc w:val="left"/>
            </w:pPr>
            <w:r w:rsidRPr="00767A0C">
              <w:t>8</w:t>
            </w:r>
          </w:p>
        </w:tc>
        <w:tc>
          <w:tcPr>
            <w:tcW w:w="2193" w:type="dxa"/>
          </w:tcPr>
          <w:p w:rsidR="00607E9F" w:rsidRPr="00767A0C" w:rsidRDefault="00607E9F" w:rsidP="005A2072">
            <w:pPr>
              <w:jc w:val="left"/>
            </w:pPr>
            <w:r w:rsidRPr="00767A0C">
              <w:t>13</w:t>
            </w:r>
          </w:p>
        </w:tc>
        <w:tc>
          <w:tcPr>
            <w:tcW w:w="1891" w:type="dxa"/>
          </w:tcPr>
          <w:p w:rsidR="00607E9F" w:rsidRPr="00767A0C" w:rsidRDefault="00607E9F" w:rsidP="005A2072">
            <w:pPr>
              <w:jc w:val="left"/>
            </w:pPr>
            <w:r w:rsidRPr="00767A0C">
              <w:t>20</w:t>
            </w:r>
          </w:p>
        </w:tc>
        <w:tc>
          <w:tcPr>
            <w:tcW w:w="1899" w:type="dxa"/>
          </w:tcPr>
          <w:p w:rsidR="00607E9F" w:rsidRPr="00767A0C" w:rsidRDefault="00607E9F" w:rsidP="005A2072">
            <w:pPr>
              <w:jc w:val="left"/>
            </w:pPr>
            <w:r w:rsidRPr="00767A0C">
              <w:t>15</w:t>
            </w:r>
          </w:p>
        </w:tc>
        <w:tc>
          <w:tcPr>
            <w:tcW w:w="2070" w:type="dxa"/>
          </w:tcPr>
          <w:p w:rsidR="00607E9F" w:rsidRPr="00767A0C" w:rsidRDefault="00607E9F" w:rsidP="005A2072">
            <w:pPr>
              <w:jc w:val="left"/>
            </w:pPr>
            <w:r w:rsidRPr="00767A0C">
              <w:t>10</w:t>
            </w:r>
          </w:p>
        </w:tc>
      </w:tr>
      <w:tr w:rsidR="00607E9F" w:rsidRPr="00767A0C">
        <w:tc>
          <w:tcPr>
            <w:tcW w:w="1028" w:type="dxa"/>
          </w:tcPr>
          <w:p w:rsidR="00607E9F" w:rsidRPr="00767A0C" w:rsidRDefault="00607E9F" w:rsidP="005A2072">
            <w:pPr>
              <w:jc w:val="left"/>
            </w:pPr>
            <w:r w:rsidRPr="00767A0C">
              <w:t>9</w:t>
            </w:r>
          </w:p>
        </w:tc>
        <w:tc>
          <w:tcPr>
            <w:tcW w:w="2193" w:type="dxa"/>
          </w:tcPr>
          <w:p w:rsidR="00607E9F" w:rsidRPr="00767A0C" w:rsidRDefault="00607E9F" w:rsidP="005A2072">
            <w:pPr>
              <w:jc w:val="left"/>
            </w:pPr>
            <w:r w:rsidRPr="00767A0C">
              <w:t>42</w:t>
            </w:r>
          </w:p>
        </w:tc>
        <w:tc>
          <w:tcPr>
            <w:tcW w:w="1891" w:type="dxa"/>
          </w:tcPr>
          <w:p w:rsidR="00607E9F" w:rsidRPr="00767A0C" w:rsidRDefault="00607E9F" w:rsidP="005A2072">
            <w:pPr>
              <w:jc w:val="left"/>
            </w:pPr>
            <w:r w:rsidRPr="00767A0C">
              <w:t>47</w:t>
            </w:r>
          </w:p>
        </w:tc>
        <w:tc>
          <w:tcPr>
            <w:tcW w:w="1899" w:type="dxa"/>
          </w:tcPr>
          <w:p w:rsidR="00607E9F" w:rsidRPr="00767A0C" w:rsidRDefault="00607E9F" w:rsidP="005A2072">
            <w:pPr>
              <w:jc w:val="left"/>
            </w:pPr>
            <w:r w:rsidRPr="00767A0C">
              <w:t>49</w:t>
            </w:r>
          </w:p>
        </w:tc>
        <w:tc>
          <w:tcPr>
            <w:tcW w:w="2070" w:type="dxa"/>
          </w:tcPr>
          <w:p w:rsidR="00607E9F" w:rsidRPr="00767A0C" w:rsidRDefault="00607E9F" w:rsidP="005A2072">
            <w:pPr>
              <w:jc w:val="left"/>
            </w:pPr>
            <w:r w:rsidRPr="00767A0C">
              <w:t>40</w:t>
            </w:r>
          </w:p>
        </w:tc>
      </w:tr>
      <w:tr w:rsidR="00607E9F" w:rsidRPr="00767A0C">
        <w:tc>
          <w:tcPr>
            <w:tcW w:w="1028" w:type="dxa"/>
          </w:tcPr>
          <w:p w:rsidR="00607E9F" w:rsidRPr="00767A0C" w:rsidRDefault="00607E9F" w:rsidP="005A2072">
            <w:pPr>
              <w:jc w:val="left"/>
            </w:pPr>
            <w:r w:rsidRPr="00767A0C">
              <w:t>10</w:t>
            </w:r>
          </w:p>
        </w:tc>
        <w:tc>
          <w:tcPr>
            <w:tcW w:w="2193" w:type="dxa"/>
          </w:tcPr>
          <w:p w:rsidR="00607E9F" w:rsidRPr="00767A0C" w:rsidRDefault="00607E9F" w:rsidP="005A2072">
            <w:pPr>
              <w:jc w:val="left"/>
            </w:pPr>
            <w:r w:rsidRPr="00767A0C">
              <w:t>63</w:t>
            </w:r>
          </w:p>
        </w:tc>
        <w:tc>
          <w:tcPr>
            <w:tcW w:w="1891" w:type="dxa"/>
          </w:tcPr>
          <w:p w:rsidR="00607E9F" w:rsidRPr="00767A0C" w:rsidRDefault="00607E9F" w:rsidP="005A2072">
            <w:pPr>
              <w:jc w:val="left"/>
            </w:pPr>
            <w:r w:rsidRPr="00767A0C">
              <w:t>75</w:t>
            </w:r>
          </w:p>
        </w:tc>
        <w:tc>
          <w:tcPr>
            <w:tcW w:w="1899" w:type="dxa"/>
          </w:tcPr>
          <w:p w:rsidR="00607E9F" w:rsidRPr="00767A0C" w:rsidRDefault="00607E9F" w:rsidP="005A2072">
            <w:pPr>
              <w:jc w:val="left"/>
            </w:pPr>
            <w:r w:rsidRPr="00767A0C">
              <w:t>84</w:t>
            </w:r>
          </w:p>
        </w:tc>
        <w:tc>
          <w:tcPr>
            <w:tcW w:w="2070" w:type="dxa"/>
          </w:tcPr>
          <w:p w:rsidR="00607E9F" w:rsidRPr="00767A0C" w:rsidRDefault="00607E9F" w:rsidP="005A2072">
            <w:pPr>
              <w:jc w:val="left"/>
            </w:pPr>
            <w:r w:rsidRPr="00767A0C">
              <w:t>80</w:t>
            </w:r>
          </w:p>
        </w:tc>
      </w:tr>
      <w:tr w:rsidR="00607E9F" w:rsidRPr="00767A0C">
        <w:tc>
          <w:tcPr>
            <w:tcW w:w="1028" w:type="dxa"/>
          </w:tcPr>
          <w:p w:rsidR="00607E9F" w:rsidRPr="00767A0C" w:rsidRDefault="00607E9F" w:rsidP="005A2072">
            <w:pPr>
              <w:jc w:val="left"/>
            </w:pPr>
            <w:r w:rsidRPr="00767A0C">
              <w:t>11</w:t>
            </w:r>
          </w:p>
        </w:tc>
        <w:tc>
          <w:tcPr>
            <w:tcW w:w="2193" w:type="dxa"/>
          </w:tcPr>
          <w:p w:rsidR="00607E9F" w:rsidRPr="00767A0C" w:rsidRDefault="00607E9F" w:rsidP="005A2072">
            <w:pPr>
              <w:jc w:val="left"/>
            </w:pPr>
            <w:r w:rsidRPr="00767A0C">
              <w:t>102</w:t>
            </w:r>
          </w:p>
        </w:tc>
        <w:tc>
          <w:tcPr>
            <w:tcW w:w="1891" w:type="dxa"/>
          </w:tcPr>
          <w:p w:rsidR="00607E9F" w:rsidRPr="00767A0C" w:rsidRDefault="00607E9F" w:rsidP="005A2072">
            <w:pPr>
              <w:jc w:val="left"/>
            </w:pPr>
            <w:r w:rsidRPr="00767A0C">
              <w:t>107</w:t>
            </w:r>
          </w:p>
        </w:tc>
        <w:tc>
          <w:tcPr>
            <w:tcW w:w="1899" w:type="dxa"/>
          </w:tcPr>
          <w:p w:rsidR="00607E9F" w:rsidRPr="00767A0C" w:rsidRDefault="00607E9F" w:rsidP="005A2072">
            <w:pPr>
              <w:jc w:val="left"/>
            </w:pPr>
            <w:r w:rsidRPr="00767A0C">
              <w:t>115</w:t>
            </w:r>
          </w:p>
        </w:tc>
        <w:tc>
          <w:tcPr>
            <w:tcW w:w="2070" w:type="dxa"/>
          </w:tcPr>
          <w:p w:rsidR="00607E9F" w:rsidRPr="00767A0C" w:rsidRDefault="00607E9F" w:rsidP="005A2072">
            <w:pPr>
              <w:jc w:val="left"/>
            </w:pPr>
            <w:r w:rsidRPr="00767A0C">
              <w:t>106</w:t>
            </w:r>
          </w:p>
        </w:tc>
      </w:tr>
    </w:tbl>
    <w:p w:rsidR="00607E9F" w:rsidRPr="005A2072" w:rsidRDefault="00607E9F" w:rsidP="005A2072">
      <w:pPr>
        <w:jc w:val="left"/>
        <w:rPr>
          <w:i/>
        </w:rPr>
      </w:pPr>
      <w:r w:rsidRPr="005A2072">
        <w:rPr>
          <w:i/>
        </w:rPr>
        <w:t>Table 1.  The azimuths from the centre towards each ston ecomparing 3 imaginary circles with The Stones of Stenness.</w:t>
      </w:r>
    </w:p>
    <w:p w:rsidR="00607E9F" w:rsidRPr="00767A0C" w:rsidRDefault="00607E9F" w:rsidP="005A2072">
      <w:pPr>
        <w:jc w:val="left"/>
      </w:pPr>
      <w:r w:rsidRPr="00767A0C">
        <w:t xml:space="preserve"> </w:t>
      </w:r>
    </w:p>
    <w:p w:rsidR="00607E9F" w:rsidRPr="008453B6" w:rsidRDefault="00607E9F" w:rsidP="005A2072">
      <w:pPr>
        <w:jc w:val="left"/>
        <w:rPr>
          <w:b/>
          <w:color w:val="3366FF"/>
        </w:rPr>
      </w:pPr>
    </w:p>
    <w:p w:rsidR="00607E9F" w:rsidRPr="008453B6" w:rsidRDefault="00607E9F" w:rsidP="005A2072">
      <w:pPr>
        <w:jc w:val="left"/>
        <w:rPr>
          <w:b/>
          <w:color w:val="3366FF"/>
        </w:rPr>
      </w:pPr>
    </w:p>
    <w:p w:rsidR="00607E9F" w:rsidRPr="008453B6" w:rsidRDefault="00607E9F" w:rsidP="005A2072">
      <w:pPr>
        <w:jc w:val="left"/>
        <w:rPr>
          <w:b/>
          <w:color w:val="3366FF"/>
        </w:rPr>
      </w:pPr>
    </w:p>
    <w:p w:rsidR="00607E9F" w:rsidRPr="008453B6" w:rsidRDefault="00607E9F" w:rsidP="005A2072">
      <w:pPr>
        <w:jc w:val="left"/>
        <w:rPr>
          <w:b/>
          <w:color w:val="3366FF"/>
        </w:rPr>
      </w:pPr>
    </w:p>
    <w:p w:rsidR="00607E9F" w:rsidRPr="008453B6" w:rsidRDefault="00607E9F" w:rsidP="005A2072">
      <w:pPr>
        <w:jc w:val="left"/>
        <w:rPr>
          <w:b/>
          <w:color w:val="3366FF"/>
        </w:rPr>
      </w:pPr>
    </w:p>
    <w:p w:rsidR="00607E9F" w:rsidRPr="008453B6" w:rsidRDefault="00607E9F" w:rsidP="005A2072">
      <w:pPr>
        <w:jc w:val="left"/>
        <w:rPr>
          <w:b/>
          <w:color w:val="3366FF"/>
        </w:rPr>
      </w:pPr>
    </w:p>
    <w:p w:rsidR="00607E9F" w:rsidRPr="008453B6" w:rsidRDefault="00607E9F" w:rsidP="005A2072">
      <w:pPr>
        <w:jc w:val="left"/>
        <w:rPr>
          <w:b/>
          <w:color w:val="3366FF"/>
        </w:rPr>
      </w:pPr>
    </w:p>
    <w:p w:rsidR="00607E9F" w:rsidRPr="008453B6" w:rsidRDefault="00607E9F" w:rsidP="005A2072">
      <w:pPr>
        <w:jc w:val="left"/>
        <w:rPr>
          <w:b/>
          <w:color w:val="3366FF"/>
        </w:rPr>
      </w:pPr>
    </w:p>
    <w:p w:rsidR="00607E9F" w:rsidRPr="008453B6" w:rsidRDefault="00607E9F" w:rsidP="005A2072">
      <w:pPr>
        <w:jc w:val="left"/>
        <w:rPr>
          <w:b/>
          <w:color w:val="3366FF"/>
        </w:rPr>
      </w:pPr>
    </w:p>
    <w:p w:rsidR="00607E9F" w:rsidRPr="008453B6" w:rsidRDefault="00607E9F" w:rsidP="005A2072">
      <w:pPr>
        <w:jc w:val="left"/>
        <w:rPr>
          <w:b/>
          <w:color w:val="3366FF"/>
        </w:rPr>
      </w:pPr>
    </w:p>
    <w:p w:rsidR="00607E9F" w:rsidRPr="008453B6" w:rsidRDefault="00607E9F" w:rsidP="005A2072">
      <w:pPr>
        <w:jc w:val="left"/>
        <w:rPr>
          <w:b/>
          <w:color w:val="3366FF"/>
        </w:rPr>
      </w:pPr>
    </w:p>
    <w:p w:rsidR="00607E9F" w:rsidRPr="008453B6" w:rsidRDefault="00607E9F" w:rsidP="005A2072">
      <w:pPr>
        <w:jc w:val="left"/>
        <w:rPr>
          <w:b/>
          <w:color w:val="3366FF"/>
        </w:rPr>
      </w:pPr>
    </w:p>
    <w:p w:rsidR="00607E9F" w:rsidRPr="008453B6" w:rsidRDefault="00607E9F" w:rsidP="005A2072">
      <w:pPr>
        <w:jc w:val="left"/>
        <w:rPr>
          <w:b/>
          <w:color w:val="3366FF"/>
        </w:rPr>
      </w:pPr>
    </w:p>
    <w:p w:rsidR="00607E9F" w:rsidRPr="008453B6" w:rsidRDefault="00607E9F" w:rsidP="005A2072">
      <w:pPr>
        <w:jc w:val="left"/>
        <w:rPr>
          <w:b/>
          <w:color w:val="3366FF"/>
        </w:rPr>
      </w:pPr>
    </w:p>
    <w:p w:rsidR="00607E9F" w:rsidRPr="008453B6" w:rsidRDefault="00607E9F" w:rsidP="005A2072">
      <w:pPr>
        <w:jc w:val="left"/>
        <w:rPr>
          <w:b/>
          <w:color w:val="3366FF"/>
        </w:rPr>
      </w:pPr>
      <w:r w:rsidRPr="008453B6">
        <w:rPr>
          <w:b/>
          <w:color w:val="3366FF"/>
        </w:rPr>
        <w:t>5.3 RING of BRODGAR.</w:t>
      </w:r>
    </w:p>
    <w:p w:rsidR="00607E9F" w:rsidRPr="00767A0C" w:rsidRDefault="00607E9F" w:rsidP="005A2072">
      <w:pPr>
        <w:jc w:val="left"/>
      </w:pPr>
    </w:p>
    <w:p w:rsidR="00607E9F" w:rsidRPr="00767A0C" w:rsidRDefault="00607E9F" w:rsidP="005A2072">
      <w:pPr>
        <w:jc w:val="left"/>
      </w:pPr>
      <w:r w:rsidRPr="00767A0C">
        <w:t>The azimuth and altitudes at the Ring of Brodgar are shown in Figure 11.</w:t>
      </w:r>
    </w:p>
    <w:p w:rsidR="00607E9F" w:rsidRPr="00767A0C" w:rsidRDefault="00607E9F" w:rsidP="005A2072">
      <w:pPr>
        <w:jc w:val="left"/>
      </w:pPr>
    </w:p>
    <w:p w:rsidR="00607E9F" w:rsidRPr="00767A0C" w:rsidRDefault="00607E9F" w:rsidP="005A2072">
      <w:pPr>
        <w:jc w:val="left"/>
      </w:pPr>
    </w:p>
    <w:p w:rsidR="00607E9F" w:rsidRPr="00767A0C" w:rsidRDefault="00607E9F" w:rsidP="005A2072">
      <w:pPr>
        <w:jc w:val="left"/>
      </w:pPr>
      <w:r>
        <w:pict>
          <v:shape id="Picture 12" o:spid="_x0000_i1038" type="#_x0000_t75" style="width:430pt;height:350pt;visibility:visible">
            <v:imagedata r:id="rId22" o:title=""/>
          </v:shape>
        </w:pict>
      </w:r>
    </w:p>
    <w:p w:rsidR="00607E9F" w:rsidRPr="00767A0C" w:rsidRDefault="00607E9F" w:rsidP="005A2072">
      <w:pPr>
        <w:jc w:val="left"/>
      </w:pPr>
    </w:p>
    <w:p w:rsidR="00607E9F" w:rsidRPr="005A2072" w:rsidRDefault="00607E9F" w:rsidP="005A2072">
      <w:pPr>
        <w:jc w:val="left"/>
        <w:rPr>
          <w:i/>
        </w:rPr>
      </w:pPr>
      <w:r w:rsidRPr="005A2072">
        <w:rPr>
          <w:i/>
        </w:rPr>
        <w:t>Figure 11.  The azimuth and altitude measurements at the Ring of Brodgar with arrows showing the direction of measurements.</w:t>
      </w:r>
    </w:p>
    <w:p w:rsidR="00607E9F" w:rsidRPr="00767A0C" w:rsidRDefault="00607E9F" w:rsidP="005A2072">
      <w:pPr>
        <w:jc w:val="left"/>
      </w:pPr>
    </w:p>
    <w:p w:rsidR="00607E9F" w:rsidRPr="008453B6" w:rsidRDefault="00607E9F" w:rsidP="005A2072">
      <w:pPr>
        <w:jc w:val="left"/>
        <w:rPr>
          <w:b/>
          <w:color w:val="3366FF"/>
        </w:rPr>
      </w:pPr>
      <w:r w:rsidRPr="008453B6">
        <w:rPr>
          <w:b/>
          <w:color w:val="3366FF"/>
        </w:rPr>
        <w:t>5.4 MAESHOWE.</w:t>
      </w:r>
    </w:p>
    <w:p w:rsidR="00607E9F" w:rsidRPr="00B217BC" w:rsidRDefault="00607E9F" w:rsidP="005A2072">
      <w:pPr>
        <w:jc w:val="left"/>
      </w:pPr>
      <w:r w:rsidRPr="00767A0C">
        <w:t xml:space="preserve">The measurement results from Maeshowe are shown in Figure 12. </w:t>
      </w:r>
      <w:r w:rsidRPr="00B217BC">
        <w:t xml:space="preserve">The diagonal measurements taken from the entrance edges to forecourt edges are not included due to the uncertainty of the forecourt reconstruction. </w:t>
      </w:r>
    </w:p>
    <w:p w:rsidR="00607E9F" w:rsidRPr="00B217BC" w:rsidRDefault="00607E9F" w:rsidP="005A2072">
      <w:pPr>
        <w:jc w:val="left"/>
      </w:pPr>
    </w:p>
    <w:p w:rsidR="00607E9F" w:rsidRPr="00767A0C" w:rsidRDefault="00607E9F" w:rsidP="005A2072">
      <w:pPr>
        <w:jc w:val="left"/>
      </w:pPr>
      <w:r w:rsidRPr="00B217BC">
        <w:pict>
          <v:shape id="Picture 13" o:spid="_x0000_i1039" type="#_x0000_t75" alt="MAESHOWE28 at 13.15.54" style="width:430pt;height:203pt;visibility:visible">
            <v:imagedata r:id="rId23" o:title=""/>
          </v:shape>
        </w:pict>
      </w:r>
      <w:r>
        <w:t xml:space="preserve"> </w:t>
      </w:r>
      <w:r w:rsidRPr="005A2072">
        <w:rPr>
          <w:i/>
        </w:rPr>
        <w:t>Figure 12. The measurements from Maeshowe.</w:t>
      </w:r>
    </w:p>
    <w:p w:rsidR="00607E9F" w:rsidRPr="00767A0C" w:rsidRDefault="00607E9F" w:rsidP="005A2072">
      <w:pPr>
        <w:jc w:val="left"/>
      </w:pPr>
    </w:p>
    <w:p w:rsidR="00607E9F" w:rsidRPr="00767A0C" w:rsidRDefault="00607E9F" w:rsidP="005A2072">
      <w:pPr>
        <w:jc w:val="left"/>
      </w:pPr>
    </w:p>
    <w:p w:rsidR="00607E9F" w:rsidRPr="008453B6" w:rsidRDefault="00607E9F" w:rsidP="005A2072">
      <w:pPr>
        <w:jc w:val="left"/>
        <w:rPr>
          <w:b/>
          <w:color w:val="3366FF"/>
        </w:rPr>
      </w:pPr>
      <w:r w:rsidRPr="008453B6">
        <w:rPr>
          <w:b/>
          <w:color w:val="3366FF"/>
        </w:rPr>
        <w:t>5.5 UNCERTAINTY CALCULATIONS.</w:t>
      </w:r>
    </w:p>
    <w:p w:rsidR="00607E9F" w:rsidRPr="008453B6" w:rsidRDefault="00607E9F" w:rsidP="005A2072">
      <w:pPr>
        <w:jc w:val="left"/>
      </w:pPr>
      <w:r w:rsidRPr="00767A0C">
        <w:t xml:space="preserve">The higher and lower azimuth </w:t>
      </w:r>
      <w:r w:rsidRPr="00B217BC">
        <w:t xml:space="preserve">boundaries, after calculating </w:t>
      </w:r>
      <w:r w:rsidRPr="00767A0C">
        <w:t xml:space="preserve"> the uncertainty, are shown in Table 2 for the Stones of Stenness,</w:t>
      </w:r>
      <w:r w:rsidRPr="008453B6">
        <w:t xml:space="preserve"> in Table 3 at the Ness, Table 4 at the Barnhouse and Table 5 at the Ring of Brodgar.</w:t>
      </w:r>
    </w:p>
    <w:p w:rsidR="00607E9F" w:rsidRPr="00767A0C" w:rsidRDefault="00607E9F" w:rsidP="005A2072">
      <w:pPr>
        <w:jc w:val="left"/>
      </w:pPr>
    </w:p>
    <w:p w:rsidR="00607E9F" w:rsidRPr="00767A0C" w:rsidRDefault="00607E9F" w:rsidP="005A2072">
      <w:pPr>
        <w:jc w:val="left"/>
      </w:pPr>
      <w:r w:rsidRPr="00767A0C">
        <w:t>Stones of Stenness.</w:t>
      </w:r>
    </w:p>
    <w:tbl>
      <w:tblPr>
        <w:tblW w:w="7874" w:type="dxa"/>
        <w:tblLayout w:type="fixed"/>
        <w:tblCellMar>
          <w:left w:w="0" w:type="dxa"/>
          <w:right w:w="0" w:type="dxa"/>
        </w:tblCellMar>
        <w:tblLook w:val="00A0"/>
      </w:tblPr>
      <w:tblGrid>
        <w:gridCol w:w="1390"/>
        <w:gridCol w:w="926"/>
        <w:gridCol w:w="926"/>
        <w:gridCol w:w="926"/>
        <w:gridCol w:w="926"/>
        <w:gridCol w:w="926"/>
        <w:gridCol w:w="927"/>
        <w:gridCol w:w="927"/>
      </w:tblGrid>
      <w:tr w:rsidR="00607E9F" w:rsidRPr="00767A0C">
        <w:trPr>
          <w:trHeight w:val="290"/>
        </w:trPr>
        <w:tc>
          <w:tcPr>
            <w:tcW w:w="1390" w:type="dxa"/>
            <w:tcBorders>
              <w:top w:val="single" w:sz="4" w:space="0" w:color="auto"/>
              <w:left w:val="single" w:sz="4" w:space="0" w:color="auto"/>
              <w:bottom w:val="single" w:sz="6" w:space="0" w:color="auto"/>
              <w:right w:val="single" w:sz="6" w:space="0" w:color="auto"/>
            </w:tcBorders>
            <w:noWrap/>
            <w:tcMar>
              <w:top w:w="10" w:type="dxa"/>
              <w:left w:w="10" w:type="dxa"/>
              <w:right w:w="10" w:type="dxa"/>
            </w:tcMar>
            <w:vAlign w:val="bottom"/>
          </w:tcPr>
          <w:p w:rsidR="00607E9F" w:rsidRPr="00767A0C" w:rsidRDefault="00607E9F" w:rsidP="005A2072">
            <w:pPr>
              <w:jc w:val="left"/>
            </w:pPr>
            <w:r w:rsidRPr="00767A0C">
              <w:t>Stone 1</w:t>
            </w:r>
          </w:p>
        </w:tc>
        <w:tc>
          <w:tcPr>
            <w:tcW w:w="926" w:type="dxa"/>
            <w:tcBorders>
              <w:top w:val="single" w:sz="4" w:space="0" w:color="auto"/>
              <w:left w:val="single" w:sz="6" w:space="0" w:color="auto"/>
              <w:bottom w:val="single" w:sz="6" w:space="0" w:color="auto"/>
              <w:right w:val="single" w:sz="6" w:space="0" w:color="auto"/>
            </w:tcBorders>
            <w:noWrap/>
            <w:tcMar>
              <w:top w:w="10" w:type="dxa"/>
              <w:left w:w="10" w:type="dxa"/>
              <w:right w:w="10" w:type="dxa"/>
            </w:tcMar>
            <w:vAlign w:val="bottom"/>
          </w:tcPr>
          <w:p w:rsidR="00607E9F" w:rsidRPr="00767A0C" w:rsidRDefault="00607E9F" w:rsidP="005A2072">
            <w:pPr>
              <w:jc w:val="left"/>
            </w:pPr>
            <w:r w:rsidRPr="00767A0C">
              <w:t>Stone 2</w:t>
            </w:r>
          </w:p>
        </w:tc>
        <w:tc>
          <w:tcPr>
            <w:tcW w:w="926" w:type="dxa"/>
            <w:tcBorders>
              <w:top w:val="single" w:sz="4" w:space="0" w:color="auto"/>
              <w:left w:val="single" w:sz="6" w:space="0" w:color="auto"/>
              <w:bottom w:val="single" w:sz="6" w:space="0" w:color="auto"/>
              <w:right w:val="single" w:sz="6" w:space="0" w:color="auto"/>
            </w:tcBorders>
            <w:noWrap/>
            <w:tcMar>
              <w:top w:w="10" w:type="dxa"/>
              <w:left w:w="10" w:type="dxa"/>
              <w:right w:w="10" w:type="dxa"/>
            </w:tcMar>
            <w:vAlign w:val="bottom"/>
          </w:tcPr>
          <w:p w:rsidR="00607E9F" w:rsidRPr="00767A0C" w:rsidRDefault="00607E9F" w:rsidP="005A2072">
            <w:pPr>
              <w:jc w:val="left"/>
            </w:pPr>
            <w:r w:rsidRPr="00767A0C">
              <w:t>Stone 3</w:t>
            </w:r>
          </w:p>
        </w:tc>
        <w:tc>
          <w:tcPr>
            <w:tcW w:w="926" w:type="dxa"/>
            <w:tcBorders>
              <w:top w:val="single" w:sz="4" w:space="0" w:color="auto"/>
              <w:left w:val="single" w:sz="6" w:space="0" w:color="auto"/>
              <w:bottom w:val="single" w:sz="6" w:space="0" w:color="auto"/>
              <w:right w:val="single" w:sz="6" w:space="0" w:color="auto"/>
            </w:tcBorders>
            <w:noWrap/>
            <w:tcMar>
              <w:top w:w="10" w:type="dxa"/>
              <w:left w:w="10" w:type="dxa"/>
              <w:right w:w="10" w:type="dxa"/>
            </w:tcMar>
            <w:vAlign w:val="bottom"/>
          </w:tcPr>
          <w:p w:rsidR="00607E9F" w:rsidRPr="00767A0C" w:rsidRDefault="00607E9F" w:rsidP="005A2072">
            <w:pPr>
              <w:jc w:val="left"/>
            </w:pPr>
            <w:r w:rsidRPr="00767A0C">
              <w:t>Stone 4</w:t>
            </w:r>
          </w:p>
        </w:tc>
        <w:tc>
          <w:tcPr>
            <w:tcW w:w="926" w:type="dxa"/>
            <w:tcBorders>
              <w:top w:val="single" w:sz="4" w:space="0" w:color="auto"/>
              <w:left w:val="single" w:sz="6" w:space="0" w:color="auto"/>
              <w:bottom w:val="single" w:sz="6" w:space="0" w:color="auto"/>
              <w:right w:val="single" w:sz="6" w:space="0" w:color="auto"/>
            </w:tcBorders>
            <w:noWrap/>
            <w:tcMar>
              <w:top w:w="10" w:type="dxa"/>
              <w:left w:w="10" w:type="dxa"/>
              <w:right w:w="10" w:type="dxa"/>
            </w:tcMar>
            <w:vAlign w:val="bottom"/>
          </w:tcPr>
          <w:p w:rsidR="00607E9F" w:rsidRPr="00767A0C" w:rsidRDefault="00607E9F" w:rsidP="005A2072">
            <w:pPr>
              <w:jc w:val="left"/>
            </w:pPr>
            <w:r w:rsidRPr="00767A0C">
              <w:t>Stone 5</w:t>
            </w:r>
          </w:p>
        </w:tc>
        <w:tc>
          <w:tcPr>
            <w:tcW w:w="926" w:type="dxa"/>
            <w:tcBorders>
              <w:top w:val="single" w:sz="4" w:space="0" w:color="auto"/>
              <w:left w:val="single" w:sz="6" w:space="0" w:color="auto"/>
              <w:bottom w:val="single" w:sz="6" w:space="0" w:color="auto"/>
              <w:right w:val="single" w:sz="4" w:space="0" w:color="auto"/>
            </w:tcBorders>
            <w:noWrap/>
            <w:tcMar>
              <w:top w:w="10" w:type="dxa"/>
              <w:left w:w="10" w:type="dxa"/>
              <w:right w:w="10" w:type="dxa"/>
            </w:tcMar>
            <w:vAlign w:val="bottom"/>
          </w:tcPr>
          <w:p w:rsidR="00607E9F" w:rsidRPr="00767A0C" w:rsidRDefault="00607E9F" w:rsidP="005A2072">
            <w:pPr>
              <w:jc w:val="left"/>
            </w:pPr>
            <w:r w:rsidRPr="00767A0C">
              <w:t>Stone 6</w:t>
            </w:r>
          </w:p>
        </w:tc>
        <w:tc>
          <w:tcPr>
            <w:tcW w:w="927" w:type="dxa"/>
            <w:tcBorders>
              <w:top w:val="nil"/>
              <w:left w:val="single" w:sz="4" w:space="0" w:color="auto"/>
              <w:bottom w:val="nil"/>
              <w:right w:val="nil"/>
            </w:tcBorders>
            <w:noWrap/>
            <w:tcMar>
              <w:top w:w="10" w:type="dxa"/>
              <w:left w:w="10" w:type="dxa"/>
              <w:right w:w="10" w:type="dxa"/>
            </w:tcMar>
            <w:vAlign w:val="center"/>
          </w:tcPr>
          <w:p w:rsidR="00607E9F" w:rsidRPr="00767A0C" w:rsidRDefault="00607E9F" w:rsidP="005A2072">
            <w:pPr>
              <w:jc w:val="left"/>
            </w:pPr>
          </w:p>
        </w:tc>
        <w:tc>
          <w:tcPr>
            <w:tcW w:w="927" w:type="dxa"/>
            <w:tcBorders>
              <w:top w:val="nil"/>
              <w:left w:val="nil"/>
              <w:bottom w:val="nil"/>
              <w:right w:val="nil"/>
            </w:tcBorders>
            <w:noWrap/>
            <w:tcMar>
              <w:top w:w="10" w:type="dxa"/>
              <w:left w:w="10" w:type="dxa"/>
              <w:right w:w="10" w:type="dxa"/>
            </w:tcMar>
            <w:vAlign w:val="center"/>
          </w:tcPr>
          <w:p w:rsidR="00607E9F" w:rsidRPr="00767A0C" w:rsidRDefault="00607E9F" w:rsidP="005A2072">
            <w:pPr>
              <w:jc w:val="left"/>
            </w:pPr>
          </w:p>
        </w:tc>
      </w:tr>
      <w:tr w:rsidR="00607E9F" w:rsidRPr="00767A0C">
        <w:trPr>
          <w:trHeight w:val="290"/>
        </w:trPr>
        <w:tc>
          <w:tcPr>
            <w:tcW w:w="1390" w:type="dxa"/>
            <w:tcBorders>
              <w:top w:val="single" w:sz="6" w:space="0" w:color="auto"/>
              <w:left w:val="single" w:sz="4" w:space="0" w:color="auto"/>
              <w:bottom w:val="single" w:sz="6" w:space="0" w:color="auto"/>
              <w:right w:val="single" w:sz="6" w:space="0" w:color="auto"/>
            </w:tcBorders>
            <w:noWrap/>
            <w:tcMar>
              <w:top w:w="10" w:type="dxa"/>
              <w:left w:w="10" w:type="dxa"/>
              <w:right w:w="10" w:type="dxa"/>
            </w:tcMar>
            <w:vAlign w:val="bottom"/>
          </w:tcPr>
          <w:p w:rsidR="00607E9F" w:rsidRPr="00767A0C" w:rsidRDefault="00607E9F" w:rsidP="00CC5379">
            <w:pPr>
              <w:jc w:val="left"/>
            </w:pPr>
            <w:r w:rsidRPr="00767A0C">
              <w:t xml:space="preserve"> 159.61 </w:t>
            </w:r>
          </w:p>
        </w:tc>
        <w:tc>
          <w:tcPr>
            <w:tcW w:w="926" w:type="dxa"/>
            <w:tcBorders>
              <w:top w:val="single" w:sz="6" w:space="0" w:color="auto"/>
              <w:left w:val="single" w:sz="6" w:space="0" w:color="auto"/>
              <w:bottom w:val="single" w:sz="6" w:space="0" w:color="auto"/>
              <w:right w:val="single" w:sz="6" w:space="0" w:color="auto"/>
            </w:tcBorders>
            <w:noWrap/>
            <w:tcMar>
              <w:top w:w="10" w:type="dxa"/>
              <w:left w:w="10" w:type="dxa"/>
              <w:right w:w="10" w:type="dxa"/>
            </w:tcMar>
            <w:vAlign w:val="bottom"/>
          </w:tcPr>
          <w:p w:rsidR="00607E9F" w:rsidRPr="00767A0C" w:rsidRDefault="00607E9F" w:rsidP="00CC5379">
            <w:pPr>
              <w:jc w:val="left"/>
            </w:pPr>
            <w:r w:rsidRPr="00767A0C">
              <w:t xml:space="preserve"> 185.61 </w:t>
            </w:r>
          </w:p>
        </w:tc>
        <w:tc>
          <w:tcPr>
            <w:tcW w:w="926" w:type="dxa"/>
            <w:tcBorders>
              <w:top w:val="single" w:sz="6" w:space="0" w:color="auto"/>
              <w:left w:val="single" w:sz="6" w:space="0" w:color="auto"/>
              <w:bottom w:val="single" w:sz="6" w:space="0" w:color="auto"/>
              <w:right w:val="single" w:sz="6" w:space="0" w:color="auto"/>
            </w:tcBorders>
            <w:noWrap/>
            <w:tcMar>
              <w:top w:w="10" w:type="dxa"/>
              <w:left w:w="10" w:type="dxa"/>
              <w:right w:w="10" w:type="dxa"/>
            </w:tcMar>
            <w:vAlign w:val="bottom"/>
          </w:tcPr>
          <w:p w:rsidR="00607E9F" w:rsidRPr="00767A0C" w:rsidRDefault="00607E9F" w:rsidP="00CC5379">
            <w:pPr>
              <w:jc w:val="left"/>
            </w:pPr>
            <w:r w:rsidRPr="00767A0C">
              <w:t xml:space="preserve"> 215.71 </w:t>
            </w:r>
          </w:p>
        </w:tc>
        <w:tc>
          <w:tcPr>
            <w:tcW w:w="926" w:type="dxa"/>
            <w:tcBorders>
              <w:top w:val="single" w:sz="6" w:space="0" w:color="auto"/>
              <w:left w:val="single" w:sz="6" w:space="0" w:color="auto"/>
              <w:bottom w:val="single" w:sz="6" w:space="0" w:color="auto"/>
              <w:right w:val="single" w:sz="6" w:space="0" w:color="auto"/>
            </w:tcBorders>
            <w:noWrap/>
            <w:tcMar>
              <w:top w:w="10" w:type="dxa"/>
              <w:left w:w="10" w:type="dxa"/>
              <w:right w:w="10" w:type="dxa"/>
            </w:tcMar>
            <w:vAlign w:val="bottom"/>
          </w:tcPr>
          <w:p w:rsidR="00607E9F" w:rsidRPr="00767A0C" w:rsidRDefault="00607E9F" w:rsidP="00CC5379">
            <w:pPr>
              <w:jc w:val="left"/>
            </w:pPr>
            <w:r w:rsidRPr="00767A0C">
              <w:t xml:space="preserve"> 221.77 </w:t>
            </w:r>
          </w:p>
        </w:tc>
        <w:tc>
          <w:tcPr>
            <w:tcW w:w="926" w:type="dxa"/>
            <w:tcBorders>
              <w:top w:val="single" w:sz="6" w:space="0" w:color="auto"/>
              <w:left w:val="single" w:sz="6" w:space="0" w:color="auto"/>
              <w:bottom w:val="single" w:sz="6" w:space="0" w:color="auto"/>
              <w:right w:val="single" w:sz="6" w:space="0" w:color="auto"/>
            </w:tcBorders>
            <w:noWrap/>
            <w:tcMar>
              <w:top w:w="10" w:type="dxa"/>
              <w:left w:w="10" w:type="dxa"/>
              <w:right w:w="10" w:type="dxa"/>
            </w:tcMar>
            <w:vAlign w:val="bottom"/>
          </w:tcPr>
          <w:p w:rsidR="00607E9F" w:rsidRPr="00767A0C" w:rsidRDefault="00607E9F" w:rsidP="00CC5379">
            <w:pPr>
              <w:jc w:val="left"/>
            </w:pPr>
            <w:r w:rsidRPr="00767A0C">
              <w:t xml:space="preserve"> 280.32 </w:t>
            </w:r>
          </w:p>
        </w:tc>
        <w:tc>
          <w:tcPr>
            <w:tcW w:w="926" w:type="dxa"/>
            <w:tcBorders>
              <w:top w:val="single" w:sz="6" w:space="0" w:color="auto"/>
              <w:left w:val="single" w:sz="6" w:space="0" w:color="auto"/>
              <w:bottom w:val="single" w:sz="6" w:space="0" w:color="auto"/>
              <w:right w:val="single" w:sz="4" w:space="0" w:color="auto"/>
            </w:tcBorders>
            <w:noWrap/>
            <w:tcMar>
              <w:top w:w="10" w:type="dxa"/>
              <w:left w:w="10" w:type="dxa"/>
              <w:right w:w="10" w:type="dxa"/>
            </w:tcMar>
            <w:vAlign w:val="bottom"/>
          </w:tcPr>
          <w:p w:rsidR="00607E9F" w:rsidRPr="00767A0C" w:rsidRDefault="00607E9F" w:rsidP="00CC5379">
            <w:pPr>
              <w:jc w:val="left"/>
            </w:pPr>
            <w:r w:rsidRPr="00767A0C">
              <w:t xml:space="preserve"> 305.61 </w:t>
            </w:r>
          </w:p>
        </w:tc>
        <w:tc>
          <w:tcPr>
            <w:tcW w:w="927" w:type="dxa"/>
            <w:tcBorders>
              <w:top w:val="nil"/>
              <w:left w:val="single" w:sz="4" w:space="0" w:color="auto"/>
              <w:bottom w:val="nil"/>
              <w:right w:val="nil"/>
            </w:tcBorders>
            <w:noWrap/>
            <w:tcMar>
              <w:top w:w="10" w:type="dxa"/>
              <w:left w:w="10" w:type="dxa"/>
              <w:right w:w="10" w:type="dxa"/>
            </w:tcMar>
            <w:vAlign w:val="center"/>
          </w:tcPr>
          <w:p w:rsidR="00607E9F" w:rsidRPr="00767A0C" w:rsidRDefault="00607E9F" w:rsidP="005A2072">
            <w:pPr>
              <w:jc w:val="left"/>
            </w:pPr>
          </w:p>
        </w:tc>
        <w:tc>
          <w:tcPr>
            <w:tcW w:w="927" w:type="dxa"/>
            <w:tcBorders>
              <w:top w:val="nil"/>
              <w:left w:val="nil"/>
              <w:bottom w:val="nil"/>
              <w:right w:val="nil"/>
            </w:tcBorders>
            <w:noWrap/>
            <w:tcMar>
              <w:top w:w="10" w:type="dxa"/>
              <w:left w:w="10" w:type="dxa"/>
              <w:right w:w="10" w:type="dxa"/>
            </w:tcMar>
            <w:vAlign w:val="center"/>
          </w:tcPr>
          <w:p w:rsidR="00607E9F" w:rsidRPr="00767A0C" w:rsidRDefault="00607E9F" w:rsidP="005A2072">
            <w:pPr>
              <w:jc w:val="left"/>
            </w:pPr>
          </w:p>
        </w:tc>
      </w:tr>
      <w:tr w:rsidR="00607E9F" w:rsidRPr="00767A0C">
        <w:trPr>
          <w:trHeight w:val="290"/>
        </w:trPr>
        <w:tc>
          <w:tcPr>
            <w:tcW w:w="1390" w:type="dxa"/>
            <w:tcBorders>
              <w:top w:val="single" w:sz="6" w:space="0" w:color="auto"/>
              <w:left w:val="single" w:sz="4" w:space="0" w:color="auto"/>
              <w:bottom w:val="single" w:sz="6" w:space="0" w:color="auto"/>
              <w:right w:val="single" w:sz="6" w:space="0" w:color="auto"/>
            </w:tcBorders>
            <w:noWrap/>
            <w:tcMar>
              <w:top w:w="10" w:type="dxa"/>
              <w:left w:w="10" w:type="dxa"/>
              <w:right w:w="10" w:type="dxa"/>
            </w:tcMar>
            <w:vAlign w:val="center"/>
          </w:tcPr>
          <w:p w:rsidR="00607E9F" w:rsidRPr="00767A0C" w:rsidRDefault="00607E9F" w:rsidP="00CC5379">
            <w:pPr>
              <w:jc w:val="left"/>
            </w:pPr>
            <w:r w:rsidRPr="00767A0C">
              <w:t xml:space="preserve"> 168.39</w:t>
            </w:r>
          </w:p>
        </w:tc>
        <w:tc>
          <w:tcPr>
            <w:tcW w:w="926" w:type="dxa"/>
            <w:tcBorders>
              <w:top w:val="single" w:sz="6" w:space="0" w:color="auto"/>
              <w:left w:val="single" w:sz="6" w:space="0" w:color="auto"/>
              <w:bottom w:val="single" w:sz="6" w:space="0" w:color="auto"/>
              <w:right w:val="single" w:sz="6" w:space="0" w:color="auto"/>
            </w:tcBorders>
            <w:noWrap/>
            <w:tcMar>
              <w:top w:w="10" w:type="dxa"/>
              <w:left w:w="10" w:type="dxa"/>
              <w:right w:w="10" w:type="dxa"/>
            </w:tcMar>
            <w:vAlign w:val="center"/>
          </w:tcPr>
          <w:p w:rsidR="00607E9F" w:rsidRPr="00767A0C" w:rsidRDefault="00607E9F" w:rsidP="00CC5379">
            <w:pPr>
              <w:jc w:val="left"/>
            </w:pPr>
            <w:r w:rsidRPr="00767A0C">
              <w:t xml:space="preserve"> 194.39</w:t>
            </w:r>
          </w:p>
        </w:tc>
        <w:tc>
          <w:tcPr>
            <w:tcW w:w="926" w:type="dxa"/>
            <w:tcBorders>
              <w:top w:val="single" w:sz="6" w:space="0" w:color="auto"/>
              <w:left w:val="single" w:sz="6" w:space="0" w:color="auto"/>
              <w:bottom w:val="single" w:sz="6" w:space="0" w:color="auto"/>
              <w:right w:val="single" w:sz="6" w:space="0" w:color="auto"/>
            </w:tcBorders>
            <w:noWrap/>
            <w:tcMar>
              <w:top w:w="10" w:type="dxa"/>
              <w:left w:w="10" w:type="dxa"/>
              <w:right w:w="10" w:type="dxa"/>
            </w:tcMar>
            <w:vAlign w:val="center"/>
          </w:tcPr>
          <w:p w:rsidR="00607E9F" w:rsidRPr="00767A0C" w:rsidRDefault="00607E9F" w:rsidP="00CC5379">
            <w:pPr>
              <w:jc w:val="left"/>
            </w:pPr>
            <w:r w:rsidRPr="00767A0C">
              <w:t xml:space="preserve"> 224.29</w:t>
            </w:r>
          </w:p>
        </w:tc>
        <w:tc>
          <w:tcPr>
            <w:tcW w:w="926" w:type="dxa"/>
            <w:tcBorders>
              <w:top w:val="single" w:sz="6" w:space="0" w:color="auto"/>
              <w:left w:val="single" w:sz="6" w:space="0" w:color="auto"/>
              <w:bottom w:val="single" w:sz="6" w:space="0" w:color="auto"/>
              <w:right w:val="single" w:sz="6" w:space="0" w:color="auto"/>
            </w:tcBorders>
            <w:noWrap/>
            <w:tcMar>
              <w:top w:w="10" w:type="dxa"/>
              <w:left w:w="10" w:type="dxa"/>
              <w:right w:w="10" w:type="dxa"/>
            </w:tcMar>
            <w:vAlign w:val="center"/>
          </w:tcPr>
          <w:p w:rsidR="00607E9F" w:rsidRPr="00767A0C" w:rsidRDefault="00607E9F" w:rsidP="00CC5379">
            <w:pPr>
              <w:jc w:val="left"/>
            </w:pPr>
            <w:r w:rsidRPr="00767A0C">
              <w:t xml:space="preserve"> 228.23</w:t>
            </w:r>
          </w:p>
        </w:tc>
        <w:tc>
          <w:tcPr>
            <w:tcW w:w="926" w:type="dxa"/>
            <w:tcBorders>
              <w:top w:val="single" w:sz="6" w:space="0" w:color="auto"/>
              <w:left w:val="single" w:sz="6" w:space="0" w:color="auto"/>
              <w:bottom w:val="single" w:sz="6" w:space="0" w:color="auto"/>
              <w:right w:val="single" w:sz="6" w:space="0" w:color="auto"/>
            </w:tcBorders>
            <w:noWrap/>
            <w:tcMar>
              <w:top w:w="10" w:type="dxa"/>
              <w:left w:w="10" w:type="dxa"/>
              <w:right w:w="10" w:type="dxa"/>
            </w:tcMar>
            <w:vAlign w:val="center"/>
          </w:tcPr>
          <w:p w:rsidR="00607E9F" w:rsidRPr="00767A0C" w:rsidRDefault="00607E9F" w:rsidP="00CC5379">
            <w:pPr>
              <w:jc w:val="left"/>
            </w:pPr>
            <w:r w:rsidRPr="00767A0C">
              <w:t xml:space="preserve"> 289.68</w:t>
            </w:r>
          </w:p>
        </w:tc>
        <w:tc>
          <w:tcPr>
            <w:tcW w:w="926" w:type="dxa"/>
            <w:tcBorders>
              <w:top w:val="single" w:sz="6" w:space="0" w:color="auto"/>
              <w:left w:val="single" w:sz="6" w:space="0" w:color="auto"/>
              <w:bottom w:val="single" w:sz="6" w:space="0" w:color="auto"/>
              <w:right w:val="single" w:sz="4" w:space="0" w:color="auto"/>
            </w:tcBorders>
            <w:noWrap/>
            <w:tcMar>
              <w:top w:w="10" w:type="dxa"/>
              <w:left w:w="10" w:type="dxa"/>
              <w:right w:w="10" w:type="dxa"/>
            </w:tcMar>
            <w:vAlign w:val="center"/>
          </w:tcPr>
          <w:p w:rsidR="00607E9F" w:rsidRPr="00767A0C" w:rsidRDefault="00607E9F" w:rsidP="00CC5379">
            <w:pPr>
              <w:jc w:val="left"/>
            </w:pPr>
            <w:r w:rsidRPr="00767A0C">
              <w:t xml:space="preserve"> 314.39</w:t>
            </w:r>
          </w:p>
        </w:tc>
        <w:tc>
          <w:tcPr>
            <w:tcW w:w="927" w:type="dxa"/>
            <w:tcBorders>
              <w:top w:val="nil"/>
              <w:left w:val="single" w:sz="4" w:space="0" w:color="auto"/>
              <w:bottom w:val="nil"/>
              <w:right w:val="nil"/>
            </w:tcBorders>
            <w:noWrap/>
            <w:tcMar>
              <w:top w:w="10" w:type="dxa"/>
              <w:left w:w="10" w:type="dxa"/>
              <w:right w:w="10" w:type="dxa"/>
            </w:tcMar>
            <w:vAlign w:val="center"/>
          </w:tcPr>
          <w:p w:rsidR="00607E9F" w:rsidRPr="00767A0C" w:rsidRDefault="00607E9F" w:rsidP="005A2072">
            <w:pPr>
              <w:jc w:val="left"/>
            </w:pPr>
          </w:p>
        </w:tc>
        <w:tc>
          <w:tcPr>
            <w:tcW w:w="927" w:type="dxa"/>
            <w:tcBorders>
              <w:top w:val="nil"/>
              <w:left w:val="nil"/>
              <w:bottom w:val="nil"/>
              <w:right w:val="nil"/>
            </w:tcBorders>
            <w:noWrap/>
            <w:tcMar>
              <w:top w:w="10" w:type="dxa"/>
              <w:left w:w="10" w:type="dxa"/>
              <w:right w:w="10" w:type="dxa"/>
            </w:tcMar>
            <w:vAlign w:val="center"/>
          </w:tcPr>
          <w:p w:rsidR="00607E9F" w:rsidRPr="00767A0C" w:rsidRDefault="00607E9F" w:rsidP="005A2072">
            <w:pPr>
              <w:jc w:val="left"/>
            </w:pPr>
          </w:p>
        </w:tc>
      </w:tr>
      <w:tr w:rsidR="00607E9F" w:rsidRPr="00767A0C">
        <w:trPr>
          <w:trHeight w:val="290"/>
        </w:trPr>
        <w:tc>
          <w:tcPr>
            <w:tcW w:w="1390" w:type="dxa"/>
            <w:tcBorders>
              <w:top w:val="single" w:sz="6" w:space="0" w:color="auto"/>
              <w:left w:val="single" w:sz="4" w:space="0" w:color="auto"/>
              <w:bottom w:val="single" w:sz="6" w:space="0" w:color="auto"/>
              <w:right w:val="single" w:sz="6" w:space="0" w:color="auto"/>
            </w:tcBorders>
            <w:noWrap/>
            <w:tcMar>
              <w:top w:w="10" w:type="dxa"/>
              <w:left w:w="10" w:type="dxa"/>
              <w:right w:w="10" w:type="dxa"/>
            </w:tcMar>
            <w:vAlign w:val="center"/>
          </w:tcPr>
          <w:p w:rsidR="00607E9F" w:rsidRPr="00767A0C" w:rsidRDefault="00607E9F" w:rsidP="00CC5379">
            <w:pPr>
              <w:jc w:val="left"/>
            </w:pPr>
          </w:p>
        </w:tc>
        <w:tc>
          <w:tcPr>
            <w:tcW w:w="926" w:type="dxa"/>
            <w:tcBorders>
              <w:top w:val="single" w:sz="6" w:space="0" w:color="auto"/>
              <w:left w:val="single" w:sz="6" w:space="0" w:color="auto"/>
              <w:bottom w:val="single" w:sz="6" w:space="0" w:color="auto"/>
              <w:right w:val="single" w:sz="6" w:space="0" w:color="auto"/>
            </w:tcBorders>
            <w:noWrap/>
            <w:tcMar>
              <w:top w:w="10" w:type="dxa"/>
              <w:left w:w="10" w:type="dxa"/>
              <w:right w:w="10" w:type="dxa"/>
            </w:tcMar>
            <w:vAlign w:val="center"/>
          </w:tcPr>
          <w:p w:rsidR="00607E9F" w:rsidRPr="00767A0C" w:rsidRDefault="00607E9F" w:rsidP="00CC5379">
            <w:pPr>
              <w:jc w:val="left"/>
            </w:pPr>
          </w:p>
        </w:tc>
        <w:tc>
          <w:tcPr>
            <w:tcW w:w="926" w:type="dxa"/>
            <w:tcBorders>
              <w:top w:val="single" w:sz="6" w:space="0" w:color="auto"/>
              <w:left w:val="single" w:sz="6" w:space="0" w:color="auto"/>
              <w:bottom w:val="single" w:sz="6" w:space="0" w:color="auto"/>
              <w:right w:val="single" w:sz="6" w:space="0" w:color="auto"/>
            </w:tcBorders>
            <w:noWrap/>
            <w:tcMar>
              <w:top w:w="10" w:type="dxa"/>
              <w:left w:w="10" w:type="dxa"/>
              <w:right w:w="10" w:type="dxa"/>
            </w:tcMar>
            <w:vAlign w:val="center"/>
          </w:tcPr>
          <w:p w:rsidR="00607E9F" w:rsidRPr="00767A0C" w:rsidRDefault="00607E9F" w:rsidP="00CC5379">
            <w:pPr>
              <w:jc w:val="left"/>
            </w:pPr>
          </w:p>
        </w:tc>
        <w:tc>
          <w:tcPr>
            <w:tcW w:w="926" w:type="dxa"/>
            <w:tcBorders>
              <w:top w:val="single" w:sz="6" w:space="0" w:color="auto"/>
              <w:left w:val="single" w:sz="6" w:space="0" w:color="auto"/>
              <w:bottom w:val="single" w:sz="6" w:space="0" w:color="auto"/>
              <w:right w:val="single" w:sz="6" w:space="0" w:color="auto"/>
            </w:tcBorders>
            <w:noWrap/>
            <w:tcMar>
              <w:top w:w="10" w:type="dxa"/>
              <w:left w:w="10" w:type="dxa"/>
              <w:right w:w="10" w:type="dxa"/>
            </w:tcMar>
            <w:vAlign w:val="center"/>
          </w:tcPr>
          <w:p w:rsidR="00607E9F" w:rsidRPr="00767A0C" w:rsidRDefault="00607E9F" w:rsidP="00CC5379">
            <w:pPr>
              <w:jc w:val="left"/>
            </w:pPr>
          </w:p>
        </w:tc>
        <w:tc>
          <w:tcPr>
            <w:tcW w:w="926" w:type="dxa"/>
            <w:tcBorders>
              <w:top w:val="single" w:sz="6" w:space="0" w:color="auto"/>
              <w:left w:val="single" w:sz="6" w:space="0" w:color="auto"/>
              <w:bottom w:val="single" w:sz="6" w:space="0" w:color="auto"/>
              <w:right w:val="single" w:sz="6" w:space="0" w:color="auto"/>
            </w:tcBorders>
            <w:noWrap/>
            <w:tcMar>
              <w:top w:w="10" w:type="dxa"/>
              <w:left w:w="10" w:type="dxa"/>
              <w:right w:w="10" w:type="dxa"/>
            </w:tcMar>
            <w:vAlign w:val="center"/>
          </w:tcPr>
          <w:p w:rsidR="00607E9F" w:rsidRPr="00767A0C" w:rsidRDefault="00607E9F" w:rsidP="00CC5379">
            <w:pPr>
              <w:jc w:val="left"/>
            </w:pPr>
          </w:p>
        </w:tc>
        <w:tc>
          <w:tcPr>
            <w:tcW w:w="926" w:type="dxa"/>
            <w:tcBorders>
              <w:top w:val="single" w:sz="6" w:space="0" w:color="auto"/>
              <w:left w:val="single" w:sz="6" w:space="0" w:color="auto"/>
              <w:bottom w:val="single" w:sz="6" w:space="0" w:color="auto"/>
              <w:right w:val="single" w:sz="4" w:space="0" w:color="auto"/>
            </w:tcBorders>
            <w:noWrap/>
            <w:tcMar>
              <w:top w:w="10" w:type="dxa"/>
              <w:left w:w="10" w:type="dxa"/>
              <w:right w:w="10" w:type="dxa"/>
            </w:tcMar>
            <w:vAlign w:val="center"/>
          </w:tcPr>
          <w:p w:rsidR="00607E9F" w:rsidRPr="00767A0C" w:rsidRDefault="00607E9F" w:rsidP="00CC5379">
            <w:pPr>
              <w:jc w:val="left"/>
            </w:pPr>
          </w:p>
        </w:tc>
        <w:tc>
          <w:tcPr>
            <w:tcW w:w="927" w:type="dxa"/>
            <w:tcBorders>
              <w:top w:val="nil"/>
              <w:left w:val="single" w:sz="4" w:space="0" w:color="auto"/>
              <w:bottom w:val="nil"/>
              <w:right w:val="nil"/>
            </w:tcBorders>
            <w:noWrap/>
            <w:tcMar>
              <w:top w:w="10" w:type="dxa"/>
              <w:left w:w="10" w:type="dxa"/>
              <w:right w:w="10" w:type="dxa"/>
            </w:tcMar>
            <w:vAlign w:val="center"/>
          </w:tcPr>
          <w:p w:rsidR="00607E9F" w:rsidRPr="00767A0C" w:rsidRDefault="00607E9F" w:rsidP="005A2072">
            <w:pPr>
              <w:jc w:val="left"/>
            </w:pPr>
          </w:p>
        </w:tc>
        <w:tc>
          <w:tcPr>
            <w:tcW w:w="927" w:type="dxa"/>
            <w:tcBorders>
              <w:top w:val="nil"/>
              <w:left w:val="nil"/>
              <w:bottom w:val="nil"/>
              <w:right w:val="nil"/>
            </w:tcBorders>
            <w:noWrap/>
            <w:tcMar>
              <w:top w:w="10" w:type="dxa"/>
              <w:left w:w="10" w:type="dxa"/>
              <w:right w:w="10" w:type="dxa"/>
            </w:tcMar>
            <w:vAlign w:val="center"/>
          </w:tcPr>
          <w:p w:rsidR="00607E9F" w:rsidRPr="00767A0C" w:rsidRDefault="00607E9F" w:rsidP="005A2072">
            <w:pPr>
              <w:jc w:val="left"/>
            </w:pPr>
          </w:p>
        </w:tc>
      </w:tr>
      <w:tr w:rsidR="00607E9F" w:rsidRPr="00767A0C">
        <w:trPr>
          <w:trHeight w:val="290"/>
        </w:trPr>
        <w:tc>
          <w:tcPr>
            <w:tcW w:w="1390" w:type="dxa"/>
            <w:tcBorders>
              <w:top w:val="single" w:sz="6" w:space="0" w:color="auto"/>
              <w:left w:val="single" w:sz="4" w:space="0" w:color="auto"/>
              <w:bottom w:val="single" w:sz="6" w:space="0" w:color="auto"/>
              <w:right w:val="single" w:sz="6" w:space="0" w:color="auto"/>
            </w:tcBorders>
            <w:noWrap/>
            <w:tcMar>
              <w:top w:w="10" w:type="dxa"/>
              <w:left w:w="10" w:type="dxa"/>
              <w:right w:w="10" w:type="dxa"/>
            </w:tcMar>
            <w:vAlign w:val="bottom"/>
          </w:tcPr>
          <w:p w:rsidR="00607E9F" w:rsidRPr="00767A0C" w:rsidRDefault="00607E9F" w:rsidP="00CC5379">
            <w:pPr>
              <w:jc w:val="left"/>
            </w:pPr>
            <w:r w:rsidRPr="00767A0C">
              <w:t>Stone 7</w:t>
            </w:r>
          </w:p>
        </w:tc>
        <w:tc>
          <w:tcPr>
            <w:tcW w:w="926" w:type="dxa"/>
            <w:tcBorders>
              <w:top w:val="single" w:sz="6" w:space="0" w:color="auto"/>
              <w:left w:val="single" w:sz="6" w:space="0" w:color="auto"/>
              <w:bottom w:val="single" w:sz="6" w:space="0" w:color="auto"/>
              <w:right w:val="single" w:sz="6" w:space="0" w:color="auto"/>
            </w:tcBorders>
            <w:noWrap/>
            <w:tcMar>
              <w:top w:w="10" w:type="dxa"/>
              <w:left w:w="10" w:type="dxa"/>
              <w:right w:w="10" w:type="dxa"/>
            </w:tcMar>
            <w:vAlign w:val="bottom"/>
          </w:tcPr>
          <w:p w:rsidR="00607E9F" w:rsidRPr="00767A0C" w:rsidRDefault="00607E9F" w:rsidP="00CC5379">
            <w:pPr>
              <w:jc w:val="left"/>
            </w:pPr>
            <w:r w:rsidRPr="00767A0C">
              <w:t>Stone 8</w:t>
            </w:r>
          </w:p>
        </w:tc>
        <w:tc>
          <w:tcPr>
            <w:tcW w:w="926" w:type="dxa"/>
            <w:tcBorders>
              <w:top w:val="single" w:sz="6" w:space="0" w:color="auto"/>
              <w:left w:val="single" w:sz="6" w:space="0" w:color="auto"/>
              <w:bottom w:val="single" w:sz="6" w:space="0" w:color="auto"/>
              <w:right w:val="single" w:sz="6" w:space="0" w:color="auto"/>
            </w:tcBorders>
            <w:noWrap/>
            <w:tcMar>
              <w:top w:w="10" w:type="dxa"/>
              <w:left w:w="10" w:type="dxa"/>
              <w:right w:w="10" w:type="dxa"/>
            </w:tcMar>
            <w:vAlign w:val="bottom"/>
          </w:tcPr>
          <w:p w:rsidR="00607E9F" w:rsidRPr="00767A0C" w:rsidRDefault="00607E9F" w:rsidP="00CC5379">
            <w:pPr>
              <w:jc w:val="left"/>
            </w:pPr>
            <w:r w:rsidRPr="00767A0C">
              <w:t>Stone 9</w:t>
            </w:r>
          </w:p>
        </w:tc>
        <w:tc>
          <w:tcPr>
            <w:tcW w:w="926" w:type="dxa"/>
            <w:tcBorders>
              <w:top w:val="single" w:sz="6" w:space="0" w:color="auto"/>
              <w:left w:val="single" w:sz="6" w:space="0" w:color="auto"/>
              <w:bottom w:val="single" w:sz="6" w:space="0" w:color="auto"/>
              <w:right w:val="single" w:sz="6" w:space="0" w:color="auto"/>
            </w:tcBorders>
            <w:noWrap/>
            <w:tcMar>
              <w:top w:w="10" w:type="dxa"/>
              <w:left w:w="10" w:type="dxa"/>
              <w:right w:w="10" w:type="dxa"/>
            </w:tcMar>
            <w:vAlign w:val="bottom"/>
          </w:tcPr>
          <w:p w:rsidR="00607E9F" w:rsidRPr="00767A0C" w:rsidRDefault="00607E9F" w:rsidP="00CC5379">
            <w:pPr>
              <w:jc w:val="left"/>
            </w:pPr>
            <w:r w:rsidRPr="00767A0C">
              <w:t>Stone 10</w:t>
            </w:r>
          </w:p>
        </w:tc>
        <w:tc>
          <w:tcPr>
            <w:tcW w:w="926" w:type="dxa"/>
            <w:tcBorders>
              <w:top w:val="single" w:sz="6" w:space="0" w:color="auto"/>
              <w:left w:val="single" w:sz="6" w:space="0" w:color="auto"/>
              <w:bottom w:val="single" w:sz="6" w:space="0" w:color="auto"/>
              <w:right w:val="single" w:sz="6" w:space="0" w:color="auto"/>
            </w:tcBorders>
            <w:noWrap/>
            <w:tcMar>
              <w:top w:w="10" w:type="dxa"/>
              <w:left w:w="10" w:type="dxa"/>
              <w:right w:w="10" w:type="dxa"/>
            </w:tcMar>
            <w:vAlign w:val="bottom"/>
          </w:tcPr>
          <w:p w:rsidR="00607E9F" w:rsidRPr="00767A0C" w:rsidRDefault="00607E9F" w:rsidP="00CC5379">
            <w:pPr>
              <w:jc w:val="left"/>
            </w:pPr>
            <w:r w:rsidRPr="00767A0C">
              <w:t>Stone 11</w:t>
            </w:r>
          </w:p>
        </w:tc>
        <w:tc>
          <w:tcPr>
            <w:tcW w:w="926" w:type="dxa"/>
            <w:tcBorders>
              <w:top w:val="single" w:sz="6" w:space="0" w:color="auto"/>
              <w:left w:val="single" w:sz="6" w:space="0" w:color="auto"/>
              <w:bottom w:val="single" w:sz="6" w:space="0" w:color="auto"/>
              <w:right w:val="single" w:sz="4" w:space="0" w:color="auto"/>
            </w:tcBorders>
            <w:noWrap/>
            <w:tcMar>
              <w:top w:w="10" w:type="dxa"/>
              <w:left w:w="10" w:type="dxa"/>
              <w:right w:w="10" w:type="dxa"/>
            </w:tcMar>
            <w:vAlign w:val="center"/>
          </w:tcPr>
          <w:p w:rsidR="00607E9F" w:rsidRPr="00767A0C" w:rsidRDefault="00607E9F" w:rsidP="00CC5379">
            <w:pPr>
              <w:jc w:val="left"/>
            </w:pPr>
            <w:r w:rsidRPr="00767A0C">
              <w:t>Entrance</w:t>
            </w:r>
          </w:p>
        </w:tc>
        <w:tc>
          <w:tcPr>
            <w:tcW w:w="927" w:type="dxa"/>
            <w:tcBorders>
              <w:top w:val="nil"/>
              <w:left w:val="single" w:sz="4" w:space="0" w:color="auto"/>
              <w:bottom w:val="nil"/>
              <w:right w:val="nil"/>
            </w:tcBorders>
            <w:noWrap/>
            <w:tcMar>
              <w:top w:w="10" w:type="dxa"/>
              <w:left w:w="10" w:type="dxa"/>
              <w:right w:w="10" w:type="dxa"/>
            </w:tcMar>
            <w:vAlign w:val="center"/>
          </w:tcPr>
          <w:p w:rsidR="00607E9F" w:rsidRPr="00767A0C" w:rsidRDefault="00607E9F" w:rsidP="005A2072">
            <w:pPr>
              <w:jc w:val="left"/>
            </w:pPr>
          </w:p>
        </w:tc>
        <w:tc>
          <w:tcPr>
            <w:tcW w:w="927" w:type="dxa"/>
            <w:tcBorders>
              <w:top w:val="nil"/>
              <w:left w:val="nil"/>
              <w:bottom w:val="nil"/>
              <w:right w:val="nil"/>
            </w:tcBorders>
            <w:noWrap/>
            <w:tcMar>
              <w:top w:w="10" w:type="dxa"/>
              <w:left w:w="10" w:type="dxa"/>
              <w:right w:w="10" w:type="dxa"/>
            </w:tcMar>
            <w:vAlign w:val="center"/>
          </w:tcPr>
          <w:p w:rsidR="00607E9F" w:rsidRPr="00767A0C" w:rsidRDefault="00607E9F" w:rsidP="005A2072">
            <w:pPr>
              <w:jc w:val="left"/>
            </w:pPr>
          </w:p>
        </w:tc>
      </w:tr>
      <w:tr w:rsidR="00607E9F" w:rsidRPr="00767A0C">
        <w:trPr>
          <w:trHeight w:val="290"/>
        </w:trPr>
        <w:tc>
          <w:tcPr>
            <w:tcW w:w="1390" w:type="dxa"/>
            <w:tcBorders>
              <w:top w:val="single" w:sz="6" w:space="0" w:color="auto"/>
              <w:left w:val="single" w:sz="4" w:space="0" w:color="auto"/>
              <w:bottom w:val="single" w:sz="6" w:space="0" w:color="auto"/>
              <w:right w:val="single" w:sz="6" w:space="0" w:color="auto"/>
            </w:tcBorders>
            <w:noWrap/>
            <w:tcMar>
              <w:top w:w="10" w:type="dxa"/>
              <w:left w:w="10" w:type="dxa"/>
              <w:right w:w="10" w:type="dxa"/>
            </w:tcMar>
            <w:vAlign w:val="bottom"/>
          </w:tcPr>
          <w:p w:rsidR="00607E9F" w:rsidRPr="00767A0C" w:rsidRDefault="00607E9F" w:rsidP="00CC5379">
            <w:pPr>
              <w:jc w:val="left"/>
            </w:pPr>
            <w:r w:rsidRPr="00767A0C">
              <w:t xml:space="preserve"> 326.61 </w:t>
            </w:r>
          </w:p>
        </w:tc>
        <w:tc>
          <w:tcPr>
            <w:tcW w:w="926" w:type="dxa"/>
            <w:tcBorders>
              <w:top w:val="single" w:sz="6" w:space="0" w:color="auto"/>
              <w:left w:val="single" w:sz="6" w:space="0" w:color="auto"/>
              <w:bottom w:val="single" w:sz="6" w:space="0" w:color="auto"/>
              <w:right w:val="single" w:sz="6" w:space="0" w:color="auto"/>
            </w:tcBorders>
            <w:noWrap/>
            <w:tcMar>
              <w:top w:w="10" w:type="dxa"/>
              <w:left w:w="10" w:type="dxa"/>
              <w:right w:w="10" w:type="dxa"/>
            </w:tcMar>
            <w:vAlign w:val="bottom"/>
          </w:tcPr>
          <w:p w:rsidR="00607E9F" w:rsidRPr="00767A0C" w:rsidRDefault="00607E9F" w:rsidP="00CC5379">
            <w:pPr>
              <w:jc w:val="left"/>
            </w:pPr>
            <w:r w:rsidRPr="00767A0C">
              <w:t xml:space="preserve"> 5.61 </w:t>
            </w:r>
          </w:p>
        </w:tc>
        <w:tc>
          <w:tcPr>
            <w:tcW w:w="926" w:type="dxa"/>
            <w:tcBorders>
              <w:top w:val="single" w:sz="6" w:space="0" w:color="auto"/>
              <w:left w:val="single" w:sz="6" w:space="0" w:color="auto"/>
              <w:bottom w:val="single" w:sz="6" w:space="0" w:color="auto"/>
              <w:right w:val="single" w:sz="6" w:space="0" w:color="auto"/>
            </w:tcBorders>
            <w:noWrap/>
            <w:tcMar>
              <w:top w:w="10" w:type="dxa"/>
              <w:left w:w="10" w:type="dxa"/>
              <w:right w:w="10" w:type="dxa"/>
            </w:tcMar>
            <w:vAlign w:val="bottom"/>
          </w:tcPr>
          <w:p w:rsidR="00607E9F" w:rsidRPr="00767A0C" w:rsidRDefault="00607E9F" w:rsidP="00CC5379">
            <w:pPr>
              <w:jc w:val="left"/>
            </w:pPr>
            <w:r w:rsidRPr="00767A0C">
              <w:t xml:space="preserve"> 35.61 </w:t>
            </w:r>
          </w:p>
        </w:tc>
        <w:tc>
          <w:tcPr>
            <w:tcW w:w="926" w:type="dxa"/>
            <w:tcBorders>
              <w:top w:val="single" w:sz="6" w:space="0" w:color="auto"/>
              <w:left w:val="single" w:sz="6" w:space="0" w:color="auto"/>
              <w:bottom w:val="single" w:sz="6" w:space="0" w:color="auto"/>
              <w:right w:val="single" w:sz="6" w:space="0" w:color="auto"/>
            </w:tcBorders>
            <w:noWrap/>
            <w:tcMar>
              <w:top w:w="10" w:type="dxa"/>
              <w:left w:w="10" w:type="dxa"/>
              <w:right w:w="10" w:type="dxa"/>
            </w:tcMar>
            <w:vAlign w:val="bottom"/>
          </w:tcPr>
          <w:p w:rsidR="00607E9F" w:rsidRPr="00767A0C" w:rsidRDefault="00607E9F" w:rsidP="00CC5379">
            <w:pPr>
              <w:jc w:val="left"/>
            </w:pPr>
            <w:r w:rsidRPr="00767A0C">
              <w:t xml:space="preserve"> 75.61 </w:t>
            </w:r>
          </w:p>
        </w:tc>
        <w:tc>
          <w:tcPr>
            <w:tcW w:w="926" w:type="dxa"/>
            <w:tcBorders>
              <w:top w:val="single" w:sz="6" w:space="0" w:color="auto"/>
              <w:left w:val="single" w:sz="6" w:space="0" w:color="auto"/>
              <w:bottom w:val="single" w:sz="6" w:space="0" w:color="auto"/>
              <w:right w:val="single" w:sz="6" w:space="0" w:color="auto"/>
            </w:tcBorders>
            <w:noWrap/>
            <w:tcMar>
              <w:top w:w="10" w:type="dxa"/>
              <w:left w:w="10" w:type="dxa"/>
              <w:right w:w="10" w:type="dxa"/>
            </w:tcMar>
            <w:vAlign w:val="bottom"/>
          </w:tcPr>
          <w:p w:rsidR="00607E9F" w:rsidRPr="00767A0C" w:rsidRDefault="00607E9F" w:rsidP="00CC5379">
            <w:pPr>
              <w:jc w:val="left"/>
            </w:pPr>
            <w:r w:rsidRPr="00767A0C">
              <w:t xml:space="preserve"> 101.61 </w:t>
            </w:r>
          </w:p>
        </w:tc>
        <w:tc>
          <w:tcPr>
            <w:tcW w:w="926" w:type="dxa"/>
            <w:tcBorders>
              <w:top w:val="single" w:sz="6" w:space="0" w:color="auto"/>
              <w:left w:val="single" w:sz="6" w:space="0" w:color="auto"/>
              <w:bottom w:val="single" w:sz="6" w:space="0" w:color="auto"/>
              <w:right w:val="single" w:sz="4" w:space="0" w:color="auto"/>
            </w:tcBorders>
            <w:noWrap/>
            <w:tcMar>
              <w:top w:w="10" w:type="dxa"/>
              <w:left w:w="10" w:type="dxa"/>
              <w:right w:w="10" w:type="dxa"/>
            </w:tcMar>
            <w:vAlign w:val="center"/>
          </w:tcPr>
          <w:p w:rsidR="00607E9F" w:rsidRPr="00767A0C" w:rsidRDefault="00607E9F" w:rsidP="00CC5379">
            <w:pPr>
              <w:jc w:val="left"/>
            </w:pPr>
            <w:r w:rsidRPr="00767A0C">
              <w:t xml:space="preserve"> 357.78</w:t>
            </w:r>
          </w:p>
        </w:tc>
        <w:tc>
          <w:tcPr>
            <w:tcW w:w="927" w:type="dxa"/>
            <w:tcBorders>
              <w:top w:val="nil"/>
              <w:left w:val="single" w:sz="4" w:space="0" w:color="auto"/>
              <w:bottom w:val="nil"/>
              <w:right w:val="nil"/>
            </w:tcBorders>
            <w:noWrap/>
            <w:tcMar>
              <w:top w:w="10" w:type="dxa"/>
              <w:left w:w="10" w:type="dxa"/>
              <w:right w:w="10" w:type="dxa"/>
            </w:tcMar>
            <w:vAlign w:val="center"/>
          </w:tcPr>
          <w:p w:rsidR="00607E9F" w:rsidRPr="00767A0C" w:rsidRDefault="00607E9F" w:rsidP="005A2072">
            <w:pPr>
              <w:jc w:val="left"/>
            </w:pPr>
          </w:p>
        </w:tc>
        <w:tc>
          <w:tcPr>
            <w:tcW w:w="927" w:type="dxa"/>
            <w:tcBorders>
              <w:top w:val="nil"/>
              <w:left w:val="nil"/>
              <w:bottom w:val="nil"/>
              <w:right w:val="nil"/>
            </w:tcBorders>
            <w:noWrap/>
            <w:tcMar>
              <w:top w:w="10" w:type="dxa"/>
              <w:left w:w="10" w:type="dxa"/>
              <w:right w:w="10" w:type="dxa"/>
            </w:tcMar>
            <w:vAlign w:val="center"/>
          </w:tcPr>
          <w:p w:rsidR="00607E9F" w:rsidRPr="00767A0C" w:rsidRDefault="00607E9F" w:rsidP="005A2072">
            <w:pPr>
              <w:jc w:val="left"/>
            </w:pPr>
          </w:p>
        </w:tc>
      </w:tr>
      <w:tr w:rsidR="00607E9F" w:rsidRPr="00767A0C">
        <w:trPr>
          <w:trHeight w:val="290"/>
        </w:trPr>
        <w:tc>
          <w:tcPr>
            <w:tcW w:w="1390" w:type="dxa"/>
            <w:tcBorders>
              <w:top w:val="single" w:sz="6" w:space="0" w:color="auto"/>
              <w:left w:val="single" w:sz="4" w:space="0" w:color="auto"/>
              <w:bottom w:val="single" w:sz="4" w:space="0" w:color="auto"/>
              <w:right w:val="single" w:sz="6" w:space="0" w:color="auto"/>
            </w:tcBorders>
            <w:noWrap/>
            <w:tcMar>
              <w:top w:w="10" w:type="dxa"/>
              <w:left w:w="10" w:type="dxa"/>
              <w:right w:w="10" w:type="dxa"/>
            </w:tcMar>
            <w:vAlign w:val="center"/>
          </w:tcPr>
          <w:p w:rsidR="00607E9F" w:rsidRPr="00767A0C" w:rsidRDefault="00607E9F" w:rsidP="00CC5379">
            <w:pPr>
              <w:jc w:val="left"/>
            </w:pPr>
            <w:r w:rsidRPr="00767A0C">
              <w:t xml:space="preserve"> 335.39</w:t>
            </w:r>
          </w:p>
        </w:tc>
        <w:tc>
          <w:tcPr>
            <w:tcW w:w="926" w:type="dxa"/>
            <w:tcBorders>
              <w:top w:val="single" w:sz="6" w:space="0" w:color="auto"/>
              <w:left w:val="single" w:sz="6" w:space="0" w:color="auto"/>
              <w:bottom w:val="single" w:sz="4" w:space="0" w:color="auto"/>
              <w:right w:val="single" w:sz="6" w:space="0" w:color="auto"/>
            </w:tcBorders>
            <w:noWrap/>
            <w:tcMar>
              <w:top w:w="10" w:type="dxa"/>
              <w:left w:w="10" w:type="dxa"/>
              <w:right w:w="10" w:type="dxa"/>
            </w:tcMar>
            <w:vAlign w:val="center"/>
          </w:tcPr>
          <w:p w:rsidR="00607E9F" w:rsidRPr="00767A0C" w:rsidRDefault="00607E9F" w:rsidP="00CC5379">
            <w:pPr>
              <w:jc w:val="left"/>
            </w:pPr>
            <w:r w:rsidRPr="00767A0C">
              <w:t>14.39</w:t>
            </w:r>
          </w:p>
        </w:tc>
        <w:tc>
          <w:tcPr>
            <w:tcW w:w="926" w:type="dxa"/>
            <w:tcBorders>
              <w:top w:val="single" w:sz="6" w:space="0" w:color="auto"/>
              <w:left w:val="single" w:sz="6" w:space="0" w:color="auto"/>
              <w:bottom w:val="single" w:sz="4" w:space="0" w:color="auto"/>
              <w:right w:val="single" w:sz="6" w:space="0" w:color="auto"/>
            </w:tcBorders>
            <w:noWrap/>
            <w:tcMar>
              <w:top w:w="10" w:type="dxa"/>
              <w:left w:w="10" w:type="dxa"/>
              <w:right w:w="10" w:type="dxa"/>
            </w:tcMar>
            <w:vAlign w:val="center"/>
          </w:tcPr>
          <w:p w:rsidR="00607E9F" w:rsidRPr="00767A0C" w:rsidRDefault="00607E9F" w:rsidP="00CC5379">
            <w:pPr>
              <w:jc w:val="left"/>
            </w:pPr>
            <w:r w:rsidRPr="00767A0C">
              <w:t xml:space="preserve"> 44.39</w:t>
            </w:r>
          </w:p>
        </w:tc>
        <w:tc>
          <w:tcPr>
            <w:tcW w:w="926" w:type="dxa"/>
            <w:tcBorders>
              <w:top w:val="single" w:sz="6" w:space="0" w:color="auto"/>
              <w:left w:val="single" w:sz="6" w:space="0" w:color="auto"/>
              <w:bottom w:val="single" w:sz="4" w:space="0" w:color="auto"/>
              <w:right w:val="single" w:sz="6" w:space="0" w:color="auto"/>
            </w:tcBorders>
            <w:noWrap/>
            <w:tcMar>
              <w:top w:w="10" w:type="dxa"/>
              <w:left w:w="10" w:type="dxa"/>
              <w:right w:w="10" w:type="dxa"/>
            </w:tcMar>
            <w:vAlign w:val="center"/>
          </w:tcPr>
          <w:p w:rsidR="00607E9F" w:rsidRPr="00767A0C" w:rsidRDefault="00607E9F" w:rsidP="00CC5379">
            <w:pPr>
              <w:jc w:val="left"/>
            </w:pPr>
            <w:r w:rsidRPr="00767A0C">
              <w:t xml:space="preserve"> 84.39</w:t>
            </w:r>
          </w:p>
        </w:tc>
        <w:tc>
          <w:tcPr>
            <w:tcW w:w="926" w:type="dxa"/>
            <w:tcBorders>
              <w:top w:val="single" w:sz="6" w:space="0" w:color="auto"/>
              <w:left w:val="single" w:sz="6" w:space="0" w:color="auto"/>
              <w:bottom w:val="single" w:sz="4" w:space="0" w:color="auto"/>
              <w:right w:val="single" w:sz="6" w:space="0" w:color="auto"/>
            </w:tcBorders>
            <w:noWrap/>
            <w:tcMar>
              <w:top w:w="10" w:type="dxa"/>
              <w:left w:w="10" w:type="dxa"/>
              <w:right w:w="10" w:type="dxa"/>
            </w:tcMar>
            <w:vAlign w:val="center"/>
          </w:tcPr>
          <w:p w:rsidR="00607E9F" w:rsidRPr="00767A0C" w:rsidRDefault="00607E9F" w:rsidP="00CC5379">
            <w:pPr>
              <w:jc w:val="left"/>
            </w:pPr>
            <w:r w:rsidRPr="00767A0C">
              <w:t xml:space="preserve"> 110.39</w:t>
            </w:r>
          </w:p>
        </w:tc>
        <w:tc>
          <w:tcPr>
            <w:tcW w:w="926" w:type="dxa"/>
            <w:tcBorders>
              <w:top w:val="single" w:sz="6" w:space="0" w:color="auto"/>
              <w:left w:val="single" w:sz="6" w:space="0" w:color="auto"/>
              <w:bottom w:val="single" w:sz="4" w:space="0" w:color="auto"/>
              <w:right w:val="single" w:sz="4" w:space="0" w:color="auto"/>
            </w:tcBorders>
            <w:noWrap/>
            <w:tcMar>
              <w:top w:w="10" w:type="dxa"/>
              <w:left w:w="10" w:type="dxa"/>
              <w:right w:w="10" w:type="dxa"/>
            </w:tcMar>
            <w:vAlign w:val="center"/>
          </w:tcPr>
          <w:p w:rsidR="00607E9F" w:rsidRPr="00767A0C" w:rsidRDefault="00607E9F" w:rsidP="00CC5379">
            <w:pPr>
              <w:jc w:val="left"/>
            </w:pPr>
            <w:r w:rsidRPr="00767A0C">
              <w:t xml:space="preserve"> 362.22</w:t>
            </w:r>
          </w:p>
        </w:tc>
        <w:tc>
          <w:tcPr>
            <w:tcW w:w="927" w:type="dxa"/>
            <w:tcBorders>
              <w:top w:val="nil"/>
              <w:left w:val="single" w:sz="4" w:space="0" w:color="auto"/>
              <w:bottom w:val="nil"/>
              <w:right w:val="nil"/>
            </w:tcBorders>
            <w:noWrap/>
            <w:tcMar>
              <w:top w:w="10" w:type="dxa"/>
              <w:left w:w="10" w:type="dxa"/>
              <w:right w:w="10" w:type="dxa"/>
            </w:tcMar>
            <w:vAlign w:val="center"/>
          </w:tcPr>
          <w:p w:rsidR="00607E9F" w:rsidRPr="00767A0C" w:rsidRDefault="00607E9F" w:rsidP="005A2072">
            <w:pPr>
              <w:jc w:val="left"/>
            </w:pPr>
          </w:p>
        </w:tc>
        <w:tc>
          <w:tcPr>
            <w:tcW w:w="927" w:type="dxa"/>
            <w:tcBorders>
              <w:top w:val="nil"/>
              <w:left w:val="nil"/>
              <w:bottom w:val="nil"/>
              <w:right w:val="nil"/>
            </w:tcBorders>
            <w:noWrap/>
            <w:tcMar>
              <w:top w:w="10" w:type="dxa"/>
              <w:left w:w="10" w:type="dxa"/>
              <w:right w:w="10" w:type="dxa"/>
            </w:tcMar>
            <w:vAlign w:val="center"/>
          </w:tcPr>
          <w:p w:rsidR="00607E9F" w:rsidRPr="00767A0C" w:rsidRDefault="00607E9F" w:rsidP="005A2072">
            <w:pPr>
              <w:jc w:val="left"/>
            </w:pPr>
          </w:p>
        </w:tc>
      </w:tr>
    </w:tbl>
    <w:p w:rsidR="00607E9F" w:rsidRPr="008453B6" w:rsidRDefault="00607E9F" w:rsidP="00CC5379">
      <w:pPr>
        <w:spacing w:line="240" w:lineRule="auto"/>
        <w:jc w:val="left"/>
        <w:rPr>
          <w:i/>
        </w:rPr>
      </w:pPr>
      <w:r w:rsidRPr="008453B6">
        <w:rPr>
          <w:i/>
        </w:rPr>
        <w:t>Table 2. Azimuth uncertainty boundaries at the Stones of Stenness.</w:t>
      </w:r>
    </w:p>
    <w:p w:rsidR="00607E9F" w:rsidRPr="008453B6" w:rsidRDefault="00607E9F" w:rsidP="00CC5379">
      <w:pPr>
        <w:spacing w:line="240" w:lineRule="auto"/>
        <w:jc w:val="left"/>
        <w:rPr>
          <w:i/>
        </w:rPr>
      </w:pPr>
    </w:p>
    <w:p w:rsidR="00607E9F" w:rsidRPr="00767A0C" w:rsidRDefault="00607E9F" w:rsidP="00CC5379">
      <w:pPr>
        <w:spacing w:line="240" w:lineRule="auto"/>
        <w:jc w:val="left"/>
      </w:pPr>
    </w:p>
    <w:p w:rsidR="00607E9F" w:rsidRPr="00767A0C" w:rsidRDefault="00607E9F" w:rsidP="00CC5379">
      <w:pPr>
        <w:spacing w:line="240" w:lineRule="auto"/>
        <w:jc w:val="left"/>
      </w:pPr>
    </w:p>
    <w:p w:rsidR="00607E9F" w:rsidRPr="00767A0C" w:rsidRDefault="00607E9F" w:rsidP="00CC5379">
      <w:pPr>
        <w:spacing w:line="240" w:lineRule="auto"/>
        <w:jc w:val="left"/>
      </w:pPr>
    </w:p>
    <w:p w:rsidR="00607E9F" w:rsidRPr="00767A0C" w:rsidRDefault="00607E9F" w:rsidP="00CC5379">
      <w:pPr>
        <w:spacing w:line="240" w:lineRule="auto"/>
        <w:jc w:val="left"/>
      </w:pPr>
    </w:p>
    <w:p w:rsidR="00607E9F" w:rsidRPr="00767A0C" w:rsidRDefault="00607E9F" w:rsidP="00CC5379">
      <w:pPr>
        <w:spacing w:line="240" w:lineRule="auto"/>
        <w:jc w:val="left"/>
      </w:pPr>
    </w:p>
    <w:p w:rsidR="00607E9F" w:rsidRPr="00767A0C" w:rsidRDefault="00607E9F" w:rsidP="00CC5379">
      <w:pPr>
        <w:spacing w:line="240" w:lineRule="auto"/>
        <w:jc w:val="left"/>
      </w:pPr>
    </w:p>
    <w:p w:rsidR="00607E9F" w:rsidRPr="00767A0C" w:rsidRDefault="00607E9F" w:rsidP="00CC5379">
      <w:pPr>
        <w:spacing w:line="240" w:lineRule="auto"/>
        <w:jc w:val="left"/>
      </w:pPr>
    </w:p>
    <w:p w:rsidR="00607E9F" w:rsidRPr="00767A0C" w:rsidRDefault="00607E9F" w:rsidP="00CC5379">
      <w:pPr>
        <w:spacing w:line="240" w:lineRule="auto"/>
        <w:jc w:val="left"/>
      </w:pPr>
    </w:p>
    <w:p w:rsidR="00607E9F" w:rsidRPr="00767A0C" w:rsidRDefault="00607E9F" w:rsidP="00CC5379">
      <w:pPr>
        <w:spacing w:line="240" w:lineRule="auto"/>
        <w:jc w:val="left"/>
      </w:pPr>
    </w:p>
    <w:p w:rsidR="00607E9F" w:rsidRPr="00767A0C" w:rsidRDefault="00607E9F" w:rsidP="00CC5379">
      <w:pPr>
        <w:spacing w:line="240" w:lineRule="auto"/>
        <w:jc w:val="left"/>
      </w:pPr>
      <w:r w:rsidRPr="00767A0C">
        <w:t>The Ness.</w:t>
      </w:r>
    </w:p>
    <w:p w:rsidR="00607E9F" w:rsidRPr="00767A0C" w:rsidRDefault="00607E9F" w:rsidP="00CC5379">
      <w:pPr>
        <w:spacing w:line="240" w:lineRule="auto"/>
        <w:jc w:val="left"/>
      </w:pPr>
    </w:p>
    <w:tbl>
      <w:tblPr>
        <w:tblW w:w="7874" w:type="dxa"/>
        <w:tblLayout w:type="fixed"/>
        <w:tblCellMar>
          <w:left w:w="0" w:type="dxa"/>
          <w:right w:w="0" w:type="dxa"/>
        </w:tblCellMar>
        <w:tblLook w:val="00A0"/>
      </w:tblPr>
      <w:tblGrid>
        <w:gridCol w:w="1390"/>
        <w:gridCol w:w="926"/>
        <w:gridCol w:w="955"/>
        <w:gridCol w:w="897"/>
        <w:gridCol w:w="926"/>
        <w:gridCol w:w="926"/>
        <w:gridCol w:w="927"/>
        <w:gridCol w:w="927"/>
      </w:tblGrid>
      <w:tr w:rsidR="00607E9F" w:rsidRPr="00767A0C">
        <w:trPr>
          <w:trHeight w:val="290"/>
        </w:trPr>
        <w:tc>
          <w:tcPr>
            <w:tcW w:w="1390" w:type="dxa"/>
            <w:tcBorders>
              <w:top w:val="single" w:sz="4" w:space="0" w:color="auto"/>
              <w:left w:val="single" w:sz="4" w:space="0" w:color="auto"/>
              <w:bottom w:val="single" w:sz="6" w:space="0" w:color="auto"/>
              <w:right w:val="single" w:sz="6" w:space="0" w:color="auto"/>
            </w:tcBorders>
            <w:noWrap/>
            <w:tcMar>
              <w:top w:w="10" w:type="dxa"/>
              <w:left w:w="10" w:type="dxa"/>
              <w:right w:w="10" w:type="dxa"/>
            </w:tcMar>
            <w:vAlign w:val="bottom"/>
          </w:tcPr>
          <w:p w:rsidR="00607E9F" w:rsidRPr="00767A0C" w:rsidRDefault="00607E9F" w:rsidP="005A2072">
            <w:pPr>
              <w:jc w:val="left"/>
            </w:pPr>
            <w:r w:rsidRPr="00767A0C">
              <w:t>1</w:t>
            </w:r>
          </w:p>
        </w:tc>
        <w:tc>
          <w:tcPr>
            <w:tcW w:w="926" w:type="dxa"/>
            <w:tcBorders>
              <w:top w:val="single" w:sz="4" w:space="0" w:color="auto"/>
              <w:left w:val="single" w:sz="6" w:space="0" w:color="auto"/>
              <w:bottom w:val="single" w:sz="6" w:space="0" w:color="auto"/>
              <w:right w:val="single" w:sz="6" w:space="0" w:color="auto"/>
            </w:tcBorders>
            <w:noWrap/>
            <w:tcMar>
              <w:top w:w="10" w:type="dxa"/>
              <w:left w:w="10" w:type="dxa"/>
              <w:right w:w="10" w:type="dxa"/>
            </w:tcMar>
            <w:vAlign w:val="bottom"/>
          </w:tcPr>
          <w:p w:rsidR="00607E9F" w:rsidRPr="00767A0C" w:rsidRDefault="00607E9F" w:rsidP="005A2072">
            <w:pPr>
              <w:jc w:val="left"/>
            </w:pPr>
            <w:r w:rsidRPr="00767A0C">
              <w:t>1</w:t>
            </w:r>
          </w:p>
        </w:tc>
        <w:tc>
          <w:tcPr>
            <w:tcW w:w="955" w:type="dxa"/>
            <w:tcBorders>
              <w:top w:val="single" w:sz="4" w:space="0" w:color="auto"/>
              <w:left w:val="single" w:sz="6" w:space="0" w:color="auto"/>
              <w:bottom w:val="single" w:sz="6" w:space="0" w:color="auto"/>
              <w:right w:val="single" w:sz="6" w:space="0" w:color="auto"/>
            </w:tcBorders>
            <w:noWrap/>
            <w:tcMar>
              <w:top w:w="10" w:type="dxa"/>
              <w:left w:w="10" w:type="dxa"/>
              <w:right w:w="10" w:type="dxa"/>
            </w:tcMar>
            <w:vAlign w:val="bottom"/>
          </w:tcPr>
          <w:p w:rsidR="00607E9F" w:rsidRPr="00767A0C" w:rsidRDefault="00607E9F" w:rsidP="005A2072">
            <w:pPr>
              <w:jc w:val="left"/>
            </w:pPr>
            <w:r w:rsidRPr="00767A0C">
              <w:t>1</w:t>
            </w:r>
          </w:p>
        </w:tc>
        <w:tc>
          <w:tcPr>
            <w:tcW w:w="897" w:type="dxa"/>
            <w:tcBorders>
              <w:top w:val="single" w:sz="4" w:space="0" w:color="auto"/>
              <w:left w:val="single" w:sz="6" w:space="0" w:color="auto"/>
              <w:bottom w:val="single" w:sz="6" w:space="0" w:color="auto"/>
              <w:right w:val="single" w:sz="6" w:space="0" w:color="auto"/>
            </w:tcBorders>
            <w:noWrap/>
            <w:tcMar>
              <w:top w:w="10" w:type="dxa"/>
              <w:left w:w="10" w:type="dxa"/>
              <w:right w:w="10" w:type="dxa"/>
            </w:tcMar>
            <w:vAlign w:val="bottom"/>
          </w:tcPr>
          <w:p w:rsidR="00607E9F" w:rsidRPr="00767A0C" w:rsidRDefault="00607E9F" w:rsidP="005A2072">
            <w:pPr>
              <w:jc w:val="left"/>
            </w:pPr>
            <w:r w:rsidRPr="00767A0C">
              <w:t>8</w:t>
            </w:r>
          </w:p>
        </w:tc>
        <w:tc>
          <w:tcPr>
            <w:tcW w:w="926" w:type="dxa"/>
            <w:tcBorders>
              <w:top w:val="single" w:sz="4" w:space="0" w:color="auto"/>
              <w:left w:val="single" w:sz="6" w:space="0" w:color="auto"/>
              <w:bottom w:val="single" w:sz="6" w:space="0" w:color="auto"/>
              <w:right w:val="single" w:sz="6" w:space="0" w:color="auto"/>
            </w:tcBorders>
            <w:noWrap/>
            <w:tcMar>
              <w:top w:w="10" w:type="dxa"/>
              <w:left w:w="10" w:type="dxa"/>
              <w:right w:w="10" w:type="dxa"/>
            </w:tcMar>
            <w:vAlign w:val="bottom"/>
          </w:tcPr>
          <w:p w:rsidR="00607E9F" w:rsidRPr="00767A0C" w:rsidRDefault="00607E9F" w:rsidP="005A2072">
            <w:pPr>
              <w:jc w:val="left"/>
            </w:pPr>
            <w:r w:rsidRPr="00767A0C">
              <w:t>10</w:t>
            </w:r>
          </w:p>
        </w:tc>
        <w:tc>
          <w:tcPr>
            <w:tcW w:w="926" w:type="dxa"/>
            <w:tcBorders>
              <w:top w:val="single" w:sz="4" w:space="0" w:color="auto"/>
              <w:left w:val="single" w:sz="6" w:space="0" w:color="auto"/>
              <w:bottom w:val="single" w:sz="6" w:space="0" w:color="auto"/>
              <w:right w:val="single" w:sz="6" w:space="0" w:color="auto"/>
            </w:tcBorders>
            <w:noWrap/>
            <w:tcMar>
              <w:top w:w="10" w:type="dxa"/>
              <w:left w:w="10" w:type="dxa"/>
              <w:right w:w="10" w:type="dxa"/>
            </w:tcMar>
            <w:vAlign w:val="bottom"/>
          </w:tcPr>
          <w:p w:rsidR="00607E9F" w:rsidRPr="00767A0C" w:rsidRDefault="00607E9F" w:rsidP="005A2072">
            <w:pPr>
              <w:jc w:val="left"/>
            </w:pPr>
            <w:r w:rsidRPr="00767A0C">
              <w:t>12</w:t>
            </w:r>
          </w:p>
        </w:tc>
        <w:tc>
          <w:tcPr>
            <w:tcW w:w="927" w:type="dxa"/>
            <w:tcBorders>
              <w:top w:val="single" w:sz="4" w:space="0" w:color="auto"/>
              <w:left w:val="single" w:sz="6" w:space="0" w:color="auto"/>
              <w:bottom w:val="single" w:sz="6" w:space="0" w:color="auto"/>
              <w:right w:val="single" w:sz="6" w:space="0" w:color="auto"/>
            </w:tcBorders>
            <w:noWrap/>
            <w:tcMar>
              <w:top w:w="10" w:type="dxa"/>
              <w:left w:w="10" w:type="dxa"/>
              <w:right w:w="10" w:type="dxa"/>
            </w:tcMar>
            <w:vAlign w:val="bottom"/>
          </w:tcPr>
          <w:p w:rsidR="00607E9F" w:rsidRPr="00767A0C" w:rsidRDefault="00607E9F" w:rsidP="005A2072">
            <w:pPr>
              <w:jc w:val="left"/>
            </w:pPr>
            <w:r w:rsidRPr="00767A0C">
              <w:t>12</w:t>
            </w:r>
          </w:p>
        </w:tc>
        <w:tc>
          <w:tcPr>
            <w:tcW w:w="927" w:type="dxa"/>
            <w:tcBorders>
              <w:top w:val="single" w:sz="4" w:space="0" w:color="auto"/>
              <w:left w:val="single" w:sz="6" w:space="0" w:color="auto"/>
              <w:bottom w:val="single" w:sz="6" w:space="0" w:color="auto"/>
              <w:right w:val="single" w:sz="6" w:space="0" w:color="auto"/>
            </w:tcBorders>
            <w:noWrap/>
            <w:tcMar>
              <w:top w:w="10" w:type="dxa"/>
              <w:left w:w="10" w:type="dxa"/>
              <w:right w:w="10" w:type="dxa"/>
            </w:tcMar>
            <w:vAlign w:val="bottom"/>
          </w:tcPr>
          <w:p w:rsidR="00607E9F" w:rsidRPr="00767A0C" w:rsidRDefault="00607E9F" w:rsidP="005A2072">
            <w:pPr>
              <w:jc w:val="left"/>
            </w:pPr>
            <w:r w:rsidRPr="00767A0C">
              <w:t>12</w:t>
            </w:r>
          </w:p>
        </w:tc>
      </w:tr>
      <w:tr w:rsidR="00607E9F" w:rsidRPr="00767A0C">
        <w:trPr>
          <w:trHeight w:val="290"/>
        </w:trPr>
        <w:tc>
          <w:tcPr>
            <w:tcW w:w="1390" w:type="dxa"/>
            <w:tcBorders>
              <w:top w:val="single" w:sz="6" w:space="0" w:color="auto"/>
              <w:left w:val="single" w:sz="4" w:space="0" w:color="auto"/>
              <w:bottom w:val="single" w:sz="6" w:space="0" w:color="auto"/>
              <w:right w:val="single" w:sz="6" w:space="0" w:color="auto"/>
            </w:tcBorders>
            <w:noWrap/>
            <w:tcMar>
              <w:top w:w="10" w:type="dxa"/>
              <w:left w:w="10" w:type="dxa"/>
              <w:right w:w="10" w:type="dxa"/>
            </w:tcMar>
            <w:vAlign w:val="bottom"/>
          </w:tcPr>
          <w:p w:rsidR="00607E9F" w:rsidRPr="00767A0C" w:rsidRDefault="00607E9F" w:rsidP="005A2072">
            <w:pPr>
              <w:jc w:val="left"/>
            </w:pPr>
            <w:r w:rsidRPr="00767A0C">
              <w:t>345.61</w:t>
            </w:r>
          </w:p>
        </w:tc>
        <w:tc>
          <w:tcPr>
            <w:tcW w:w="926" w:type="dxa"/>
            <w:tcBorders>
              <w:top w:val="single" w:sz="6" w:space="0" w:color="auto"/>
              <w:left w:val="single" w:sz="6" w:space="0" w:color="auto"/>
              <w:bottom w:val="single" w:sz="6" w:space="0" w:color="auto"/>
              <w:right w:val="single" w:sz="6" w:space="0" w:color="auto"/>
            </w:tcBorders>
            <w:noWrap/>
            <w:tcMar>
              <w:top w:w="10" w:type="dxa"/>
              <w:left w:w="10" w:type="dxa"/>
              <w:right w:w="10" w:type="dxa"/>
            </w:tcMar>
            <w:vAlign w:val="center"/>
          </w:tcPr>
          <w:p w:rsidR="00607E9F" w:rsidRPr="00767A0C" w:rsidRDefault="00607E9F" w:rsidP="005A2072">
            <w:pPr>
              <w:jc w:val="left"/>
            </w:pPr>
            <w:r w:rsidRPr="00767A0C">
              <w:t>76.61</w:t>
            </w:r>
          </w:p>
        </w:tc>
        <w:tc>
          <w:tcPr>
            <w:tcW w:w="955" w:type="dxa"/>
            <w:tcBorders>
              <w:top w:val="single" w:sz="6" w:space="0" w:color="auto"/>
              <w:left w:val="single" w:sz="6" w:space="0" w:color="auto"/>
              <w:bottom w:val="single" w:sz="6" w:space="0" w:color="auto"/>
              <w:right w:val="single" w:sz="6" w:space="0" w:color="auto"/>
            </w:tcBorders>
            <w:noWrap/>
            <w:tcMar>
              <w:top w:w="10" w:type="dxa"/>
              <w:left w:w="10" w:type="dxa"/>
              <w:right w:w="10" w:type="dxa"/>
            </w:tcMar>
            <w:vAlign w:val="center"/>
          </w:tcPr>
          <w:p w:rsidR="00607E9F" w:rsidRPr="00767A0C" w:rsidRDefault="00607E9F" w:rsidP="005A2072">
            <w:pPr>
              <w:jc w:val="left"/>
            </w:pPr>
            <w:r w:rsidRPr="00767A0C">
              <w:t>350.22</w:t>
            </w:r>
          </w:p>
        </w:tc>
        <w:tc>
          <w:tcPr>
            <w:tcW w:w="897" w:type="dxa"/>
            <w:tcBorders>
              <w:top w:val="single" w:sz="6" w:space="0" w:color="auto"/>
              <w:left w:val="single" w:sz="6" w:space="0" w:color="auto"/>
              <w:bottom w:val="single" w:sz="6" w:space="0" w:color="auto"/>
              <w:right w:val="single" w:sz="6" w:space="0" w:color="auto"/>
            </w:tcBorders>
            <w:noWrap/>
            <w:tcMar>
              <w:top w:w="10" w:type="dxa"/>
              <w:left w:w="10" w:type="dxa"/>
              <w:right w:w="10" w:type="dxa"/>
            </w:tcMar>
            <w:vAlign w:val="center"/>
          </w:tcPr>
          <w:p w:rsidR="00607E9F" w:rsidRPr="00767A0C" w:rsidRDefault="00607E9F" w:rsidP="005A2072">
            <w:pPr>
              <w:jc w:val="left"/>
            </w:pPr>
            <w:r w:rsidRPr="00767A0C">
              <w:t>9.54</w:t>
            </w:r>
          </w:p>
        </w:tc>
        <w:tc>
          <w:tcPr>
            <w:tcW w:w="926" w:type="dxa"/>
            <w:tcBorders>
              <w:top w:val="single" w:sz="6" w:space="0" w:color="auto"/>
              <w:left w:val="single" w:sz="6" w:space="0" w:color="auto"/>
              <w:bottom w:val="single" w:sz="6" w:space="0" w:color="auto"/>
              <w:right w:val="single" w:sz="6" w:space="0" w:color="auto"/>
            </w:tcBorders>
            <w:noWrap/>
            <w:tcMar>
              <w:top w:w="10" w:type="dxa"/>
              <w:left w:w="10" w:type="dxa"/>
              <w:right w:w="10" w:type="dxa"/>
            </w:tcMar>
            <w:vAlign w:val="center"/>
          </w:tcPr>
          <w:p w:rsidR="00607E9F" w:rsidRPr="00767A0C" w:rsidRDefault="00607E9F" w:rsidP="005A2072">
            <w:pPr>
              <w:jc w:val="left"/>
            </w:pPr>
            <w:r w:rsidRPr="00767A0C">
              <w:t>71.75</w:t>
            </w:r>
          </w:p>
        </w:tc>
        <w:tc>
          <w:tcPr>
            <w:tcW w:w="926" w:type="dxa"/>
            <w:tcBorders>
              <w:top w:val="single" w:sz="6" w:space="0" w:color="auto"/>
              <w:left w:val="single" w:sz="6" w:space="0" w:color="auto"/>
              <w:bottom w:val="single" w:sz="6" w:space="0" w:color="auto"/>
              <w:right w:val="single" w:sz="6" w:space="0" w:color="auto"/>
            </w:tcBorders>
            <w:noWrap/>
            <w:tcMar>
              <w:top w:w="10" w:type="dxa"/>
              <w:left w:w="10" w:type="dxa"/>
              <w:right w:w="10" w:type="dxa"/>
            </w:tcMar>
            <w:vAlign w:val="center"/>
          </w:tcPr>
          <w:p w:rsidR="00607E9F" w:rsidRPr="00767A0C" w:rsidRDefault="00607E9F" w:rsidP="005A2072">
            <w:pPr>
              <w:jc w:val="left"/>
            </w:pPr>
            <w:r w:rsidRPr="00767A0C">
              <w:t>8.22</w:t>
            </w:r>
          </w:p>
        </w:tc>
        <w:tc>
          <w:tcPr>
            <w:tcW w:w="927" w:type="dxa"/>
            <w:tcBorders>
              <w:top w:val="single" w:sz="6" w:space="0" w:color="auto"/>
              <w:left w:val="single" w:sz="6" w:space="0" w:color="auto"/>
              <w:bottom w:val="single" w:sz="6" w:space="0" w:color="auto"/>
              <w:right w:val="single" w:sz="6" w:space="0" w:color="auto"/>
            </w:tcBorders>
            <w:noWrap/>
            <w:tcMar>
              <w:top w:w="10" w:type="dxa"/>
              <w:left w:w="10" w:type="dxa"/>
              <w:right w:w="10" w:type="dxa"/>
            </w:tcMar>
            <w:vAlign w:val="center"/>
          </w:tcPr>
          <w:p w:rsidR="00607E9F" w:rsidRPr="00767A0C" w:rsidRDefault="00607E9F" w:rsidP="005A2072">
            <w:pPr>
              <w:jc w:val="left"/>
            </w:pPr>
            <w:r w:rsidRPr="00767A0C">
              <w:t>104.22</w:t>
            </w:r>
          </w:p>
        </w:tc>
        <w:tc>
          <w:tcPr>
            <w:tcW w:w="927" w:type="dxa"/>
            <w:tcBorders>
              <w:top w:val="single" w:sz="6" w:space="0" w:color="auto"/>
              <w:left w:val="single" w:sz="6" w:space="0" w:color="auto"/>
              <w:bottom w:val="single" w:sz="6" w:space="0" w:color="auto"/>
              <w:right w:val="single" w:sz="6" w:space="0" w:color="auto"/>
            </w:tcBorders>
            <w:noWrap/>
            <w:tcMar>
              <w:top w:w="10" w:type="dxa"/>
              <w:left w:w="10" w:type="dxa"/>
              <w:right w:w="10" w:type="dxa"/>
            </w:tcMar>
            <w:vAlign w:val="center"/>
          </w:tcPr>
          <w:p w:rsidR="00607E9F" w:rsidRPr="00767A0C" w:rsidRDefault="00607E9F" w:rsidP="005A2072">
            <w:pPr>
              <w:jc w:val="left"/>
            </w:pPr>
            <w:r w:rsidRPr="00767A0C">
              <w:t>179.02</w:t>
            </w:r>
          </w:p>
        </w:tc>
      </w:tr>
      <w:tr w:rsidR="00607E9F" w:rsidRPr="00767A0C">
        <w:trPr>
          <w:trHeight w:val="290"/>
        </w:trPr>
        <w:tc>
          <w:tcPr>
            <w:tcW w:w="1390" w:type="dxa"/>
            <w:tcBorders>
              <w:top w:val="single" w:sz="6" w:space="0" w:color="auto"/>
              <w:left w:val="single" w:sz="4" w:space="0" w:color="auto"/>
              <w:bottom w:val="single" w:sz="4" w:space="0" w:color="auto"/>
              <w:right w:val="single" w:sz="6" w:space="0" w:color="auto"/>
            </w:tcBorders>
            <w:noWrap/>
            <w:tcMar>
              <w:top w:w="10" w:type="dxa"/>
              <w:left w:w="10" w:type="dxa"/>
              <w:right w:w="10" w:type="dxa"/>
            </w:tcMar>
            <w:vAlign w:val="center"/>
          </w:tcPr>
          <w:p w:rsidR="00607E9F" w:rsidRPr="00767A0C" w:rsidRDefault="00607E9F" w:rsidP="005A2072">
            <w:pPr>
              <w:jc w:val="left"/>
            </w:pPr>
            <w:r w:rsidRPr="00767A0C">
              <w:t>362.39</w:t>
            </w:r>
          </w:p>
        </w:tc>
        <w:tc>
          <w:tcPr>
            <w:tcW w:w="926" w:type="dxa"/>
            <w:tcBorders>
              <w:top w:val="single" w:sz="6" w:space="0" w:color="auto"/>
              <w:left w:val="single" w:sz="6" w:space="0" w:color="auto"/>
              <w:bottom w:val="single" w:sz="4" w:space="0" w:color="auto"/>
              <w:right w:val="single" w:sz="6" w:space="0" w:color="auto"/>
            </w:tcBorders>
            <w:noWrap/>
            <w:tcMar>
              <w:top w:w="10" w:type="dxa"/>
              <w:left w:w="10" w:type="dxa"/>
              <w:right w:w="10" w:type="dxa"/>
            </w:tcMar>
            <w:vAlign w:val="center"/>
          </w:tcPr>
          <w:p w:rsidR="00607E9F" w:rsidRPr="00767A0C" w:rsidRDefault="00607E9F" w:rsidP="005A2072">
            <w:pPr>
              <w:jc w:val="left"/>
            </w:pPr>
            <w:r w:rsidRPr="00767A0C">
              <w:t>93.39</w:t>
            </w:r>
          </w:p>
        </w:tc>
        <w:tc>
          <w:tcPr>
            <w:tcW w:w="955" w:type="dxa"/>
            <w:tcBorders>
              <w:top w:val="single" w:sz="6" w:space="0" w:color="auto"/>
              <w:left w:val="single" w:sz="6" w:space="0" w:color="auto"/>
              <w:bottom w:val="single" w:sz="4" w:space="0" w:color="auto"/>
              <w:right w:val="single" w:sz="6" w:space="0" w:color="auto"/>
            </w:tcBorders>
            <w:noWrap/>
            <w:tcMar>
              <w:top w:w="10" w:type="dxa"/>
              <w:left w:w="10" w:type="dxa"/>
              <w:right w:w="10" w:type="dxa"/>
            </w:tcMar>
            <w:vAlign w:val="center"/>
          </w:tcPr>
          <w:p w:rsidR="00607E9F" w:rsidRPr="00767A0C" w:rsidRDefault="00607E9F" w:rsidP="005A2072">
            <w:pPr>
              <w:jc w:val="left"/>
            </w:pPr>
            <w:r w:rsidRPr="00767A0C">
              <w:t>361.78</w:t>
            </w:r>
          </w:p>
        </w:tc>
        <w:tc>
          <w:tcPr>
            <w:tcW w:w="897" w:type="dxa"/>
            <w:tcBorders>
              <w:top w:val="single" w:sz="6" w:space="0" w:color="auto"/>
              <w:left w:val="single" w:sz="6" w:space="0" w:color="auto"/>
              <w:bottom w:val="single" w:sz="4" w:space="0" w:color="auto"/>
              <w:right w:val="single" w:sz="6" w:space="0" w:color="auto"/>
            </w:tcBorders>
            <w:noWrap/>
            <w:tcMar>
              <w:top w:w="10" w:type="dxa"/>
              <w:left w:w="10" w:type="dxa"/>
              <w:right w:w="10" w:type="dxa"/>
            </w:tcMar>
            <w:vAlign w:val="center"/>
          </w:tcPr>
          <w:p w:rsidR="00607E9F" w:rsidRPr="00767A0C" w:rsidRDefault="00607E9F" w:rsidP="005A2072">
            <w:pPr>
              <w:jc w:val="left"/>
            </w:pPr>
            <w:r w:rsidRPr="00767A0C">
              <w:t>18.46</w:t>
            </w:r>
          </w:p>
        </w:tc>
        <w:tc>
          <w:tcPr>
            <w:tcW w:w="926" w:type="dxa"/>
            <w:tcBorders>
              <w:top w:val="single" w:sz="6" w:space="0" w:color="auto"/>
              <w:left w:val="single" w:sz="6" w:space="0" w:color="auto"/>
              <w:bottom w:val="single" w:sz="4" w:space="0" w:color="auto"/>
              <w:right w:val="single" w:sz="6" w:space="0" w:color="auto"/>
            </w:tcBorders>
            <w:noWrap/>
            <w:tcMar>
              <w:top w:w="10" w:type="dxa"/>
              <w:left w:w="10" w:type="dxa"/>
              <w:right w:w="10" w:type="dxa"/>
            </w:tcMar>
            <w:vAlign w:val="center"/>
          </w:tcPr>
          <w:p w:rsidR="00607E9F" w:rsidRPr="00767A0C" w:rsidRDefault="00607E9F" w:rsidP="005A2072">
            <w:pPr>
              <w:jc w:val="left"/>
            </w:pPr>
            <w:r w:rsidRPr="00767A0C">
              <w:t>112.25</w:t>
            </w:r>
          </w:p>
        </w:tc>
        <w:tc>
          <w:tcPr>
            <w:tcW w:w="926" w:type="dxa"/>
            <w:tcBorders>
              <w:top w:val="single" w:sz="6" w:space="0" w:color="auto"/>
              <w:left w:val="single" w:sz="6" w:space="0" w:color="auto"/>
              <w:bottom w:val="single" w:sz="4" w:space="0" w:color="auto"/>
              <w:right w:val="single" w:sz="6" w:space="0" w:color="auto"/>
            </w:tcBorders>
            <w:noWrap/>
            <w:tcMar>
              <w:top w:w="10" w:type="dxa"/>
              <w:left w:w="10" w:type="dxa"/>
              <w:right w:w="10" w:type="dxa"/>
            </w:tcMar>
            <w:vAlign w:val="center"/>
          </w:tcPr>
          <w:p w:rsidR="00607E9F" w:rsidRPr="00767A0C" w:rsidRDefault="00607E9F" w:rsidP="005A2072">
            <w:pPr>
              <w:jc w:val="left"/>
            </w:pPr>
            <w:r w:rsidRPr="00767A0C">
              <w:t>19.78</w:t>
            </w:r>
          </w:p>
        </w:tc>
        <w:tc>
          <w:tcPr>
            <w:tcW w:w="927" w:type="dxa"/>
            <w:tcBorders>
              <w:top w:val="single" w:sz="6" w:space="0" w:color="auto"/>
              <w:left w:val="single" w:sz="6" w:space="0" w:color="auto"/>
              <w:bottom w:val="single" w:sz="4" w:space="0" w:color="auto"/>
              <w:right w:val="single" w:sz="6" w:space="0" w:color="auto"/>
            </w:tcBorders>
            <w:noWrap/>
            <w:tcMar>
              <w:top w:w="10" w:type="dxa"/>
              <w:left w:w="10" w:type="dxa"/>
              <w:right w:w="10" w:type="dxa"/>
            </w:tcMar>
            <w:vAlign w:val="center"/>
          </w:tcPr>
          <w:p w:rsidR="00607E9F" w:rsidRPr="00767A0C" w:rsidRDefault="00607E9F" w:rsidP="005A2072">
            <w:pPr>
              <w:jc w:val="left"/>
            </w:pPr>
            <w:r w:rsidRPr="00767A0C">
              <w:t>115.78</w:t>
            </w:r>
          </w:p>
        </w:tc>
        <w:tc>
          <w:tcPr>
            <w:tcW w:w="927" w:type="dxa"/>
            <w:tcBorders>
              <w:top w:val="single" w:sz="6" w:space="0" w:color="auto"/>
              <w:left w:val="single" w:sz="6" w:space="0" w:color="auto"/>
              <w:bottom w:val="single" w:sz="4" w:space="0" w:color="auto"/>
              <w:right w:val="single" w:sz="6" w:space="0" w:color="auto"/>
            </w:tcBorders>
            <w:noWrap/>
            <w:tcMar>
              <w:top w:w="10" w:type="dxa"/>
              <w:left w:w="10" w:type="dxa"/>
              <w:right w:w="10" w:type="dxa"/>
            </w:tcMar>
            <w:vAlign w:val="center"/>
          </w:tcPr>
          <w:p w:rsidR="00607E9F" w:rsidRPr="00767A0C" w:rsidRDefault="00607E9F" w:rsidP="005A2072">
            <w:pPr>
              <w:jc w:val="left"/>
            </w:pPr>
            <w:r w:rsidRPr="00767A0C">
              <w:t>210.98</w:t>
            </w:r>
          </w:p>
        </w:tc>
      </w:tr>
      <w:tr w:rsidR="00607E9F" w:rsidRPr="00767A0C">
        <w:trPr>
          <w:trHeight w:val="290"/>
        </w:trPr>
        <w:tc>
          <w:tcPr>
            <w:tcW w:w="1390" w:type="dxa"/>
            <w:tcBorders>
              <w:top w:val="single" w:sz="6" w:space="0" w:color="auto"/>
              <w:left w:val="single" w:sz="4" w:space="0" w:color="auto"/>
              <w:bottom w:val="single" w:sz="6" w:space="0" w:color="auto"/>
              <w:right w:val="single" w:sz="6" w:space="0" w:color="auto"/>
            </w:tcBorders>
            <w:noWrap/>
            <w:tcMar>
              <w:top w:w="10" w:type="dxa"/>
              <w:left w:w="10" w:type="dxa"/>
              <w:right w:w="10" w:type="dxa"/>
            </w:tcMar>
            <w:vAlign w:val="bottom"/>
          </w:tcPr>
          <w:p w:rsidR="00607E9F" w:rsidRPr="00767A0C" w:rsidRDefault="00607E9F" w:rsidP="005A2072">
            <w:pPr>
              <w:jc w:val="left"/>
            </w:pPr>
            <w:r w:rsidRPr="00767A0C">
              <w:t>14</w:t>
            </w:r>
          </w:p>
        </w:tc>
        <w:tc>
          <w:tcPr>
            <w:tcW w:w="926" w:type="dxa"/>
            <w:tcBorders>
              <w:top w:val="single" w:sz="6" w:space="0" w:color="auto"/>
              <w:left w:val="single" w:sz="6" w:space="0" w:color="auto"/>
              <w:bottom w:val="single" w:sz="6" w:space="0" w:color="auto"/>
              <w:right w:val="single" w:sz="6" w:space="0" w:color="auto"/>
            </w:tcBorders>
            <w:noWrap/>
            <w:tcMar>
              <w:top w:w="10" w:type="dxa"/>
              <w:left w:w="10" w:type="dxa"/>
              <w:right w:w="10" w:type="dxa"/>
            </w:tcMar>
            <w:vAlign w:val="bottom"/>
          </w:tcPr>
          <w:p w:rsidR="00607E9F" w:rsidRPr="00767A0C" w:rsidRDefault="00607E9F" w:rsidP="005A2072">
            <w:pPr>
              <w:jc w:val="left"/>
            </w:pPr>
            <w:r w:rsidRPr="00767A0C">
              <w:t>14</w:t>
            </w:r>
          </w:p>
        </w:tc>
        <w:tc>
          <w:tcPr>
            <w:tcW w:w="955" w:type="dxa"/>
            <w:tcBorders>
              <w:top w:val="single" w:sz="6" w:space="0" w:color="auto"/>
              <w:left w:val="single" w:sz="6" w:space="0" w:color="auto"/>
              <w:bottom w:val="single" w:sz="6" w:space="0" w:color="auto"/>
              <w:right w:val="single" w:sz="4" w:space="0" w:color="auto"/>
            </w:tcBorders>
            <w:noWrap/>
            <w:tcMar>
              <w:top w:w="10" w:type="dxa"/>
              <w:left w:w="10" w:type="dxa"/>
              <w:right w:w="10" w:type="dxa"/>
            </w:tcMar>
            <w:vAlign w:val="bottom"/>
          </w:tcPr>
          <w:p w:rsidR="00607E9F" w:rsidRPr="00767A0C" w:rsidRDefault="00607E9F" w:rsidP="005A2072">
            <w:pPr>
              <w:jc w:val="left"/>
            </w:pPr>
            <w:r w:rsidRPr="00767A0C">
              <w:t>14</w:t>
            </w:r>
          </w:p>
        </w:tc>
        <w:tc>
          <w:tcPr>
            <w:tcW w:w="897" w:type="dxa"/>
            <w:tcBorders>
              <w:top w:val="nil"/>
              <w:left w:val="single" w:sz="4" w:space="0" w:color="auto"/>
              <w:bottom w:val="nil"/>
              <w:right w:val="nil"/>
            </w:tcBorders>
            <w:noWrap/>
            <w:tcMar>
              <w:top w:w="10" w:type="dxa"/>
              <w:left w:w="10" w:type="dxa"/>
              <w:right w:w="10" w:type="dxa"/>
            </w:tcMar>
            <w:vAlign w:val="center"/>
          </w:tcPr>
          <w:p w:rsidR="00607E9F" w:rsidRPr="00767A0C" w:rsidRDefault="00607E9F" w:rsidP="005A2072">
            <w:pPr>
              <w:jc w:val="left"/>
            </w:pPr>
          </w:p>
        </w:tc>
        <w:tc>
          <w:tcPr>
            <w:tcW w:w="926" w:type="dxa"/>
            <w:tcBorders>
              <w:top w:val="nil"/>
              <w:left w:val="nil"/>
              <w:bottom w:val="nil"/>
              <w:right w:val="nil"/>
            </w:tcBorders>
            <w:noWrap/>
            <w:tcMar>
              <w:top w:w="10" w:type="dxa"/>
              <w:left w:w="10" w:type="dxa"/>
              <w:right w:w="10" w:type="dxa"/>
            </w:tcMar>
            <w:vAlign w:val="center"/>
          </w:tcPr>
          <w:p w:rsidR="00607E9F" w:rsidRPr="00767A0C" w:rsidRDefault="00607E9F" w:rsidP="005A2072">
            <w:pPr>
              <w:jc w:val="left"/>
            </w:pPr>
          </w:p>
        </w:tc>
        <w:tc>
          <w:tcPr>
            <w:tcW w:w="926" w:type="dxa"/>
            <w:tcBorders>
              <w:top w:val="nil"/>
              <w:left w:val="nil"/>
              <w:bottom w:val="nil"/>
              <w:right w:val="nil"/>
            </w:tcBorders>
            <w:noWrap/>
            <w:tcMar>
              <w:top w:w="10" w:type="dxa"/>
              <w:left w:w="10" w:type="dxa"/>
              <w:right w:w="10" w:type="dxa"/>
            </w:tcMar>
            <w:vAlign w:val="center"/>
          </w:tcPr>
          <w:p w:rsidR="00607E9F" w:rsidRPr="00767A0C" w:rsidRDefault="00607E9F" w:rsidP="005A2072">
            <w:pPr>
              <w:jc w:val="left"/>
            </w:pPr>
          </w:p>
        </w:tc>
        <w:tc>
          <w:tcPr>
            <w:tcW w:w="927" w:type="dxa"/>
            <w:tcBorders>
              <w:top w:val="nil"/>
              <w:left w:val="nil"/>
              <w:bottom w:val="nil"/>
              <w:right w:val="nil"/>
            </w:tcBorders>
            <w:noWrap/>
            <w:tcMar>
              <w:top w:w="10" w:type="dxa"/>
              <w:left w:w="10" w:type="dxa"/>
              <w:right w:w="10" w:type="dxa"/>
            </w:tcMar>
            <w:vAlign w:val="center"/>
          </w:tcPr>
          <w:p w:rsidR="00607E9F" w:rsidRPr="00767A0C" w:rsidRDefault="00607E9F" w:rsidP="005A2072">
            <w:pPr>
              <w:jc w:val="left"/>
            </w:pPr>
          </w:p>
        </w:tc>
        <w:tc>
          <w:tcPr>
            <w:tcW w:w="927" w:type="dxa"/>
            <w:tcBorders>
              <w:top w:val="nil"/>
              <w:left w:val="nil"/>
              <w:bottom w:val="nil"/>
              <w:right w:val="nil"/>
            </w:tcBorders>
            <w:noWrap/>
            <w:tcMar>
              <w:top w:w="10" w:type="dxa"/>
              <w:left w:w="10" w:type="dxa"/>
              <w:right w:w="10" w:type="dxa"/>
            </w:tcMar>
            <w:vAlign w:val="center"/>
          </w:tcPr>
          <w:p w:rsidR="00607E9F" w:rsidRPr="00767A0C" w:rsidRDefault="00607E9F" w:rsidP="005A2072">
            <w:pPr>
              <w:jc w:val="left"/>
            </w:pPr>
          </w:p>
        </w:tc>
      </w:tr>
      <w:tr w:rsidR="00607E9F" w:rsidRPr="00767A0C">
        <w:trPr>
          <w:trHeight w:val="290"/>
        </w:trPr>
        <w:tc>
          <w:tcPr>
            <w:tcW w:w="1390" w:type="dxa"/>
            <w:tcBorders>
              <w:top w:val="single" w:sz="6" w:space="0" w:color="auto"/>
              <w:left w:val="single" w:sz="4" w:space="0" w:color="auto"/>
              <w:bottom w:val="single" w:sz="6" w:space="0" w:color="auto"/>
              <w:right w:val="single" w:sz="6" w:space="0" w:color="auto"/>
            </w:tcBorders>
            <w:noWrap/>
            <w:tcMar>
              <w:top w:w="10" w:type="dxa"/>
              <w:left w:w="10" w:type="dxa"/>
              <w:right w:w="10" w:type="dxa"/>
            </w:tcMar>
            <w:vAlign w:val="center"/>
          </w:tcPr>
          <w:p w:rsidR="00607E9F" w:rsidRPr="00767A0C" w:rsidRDefault="00607E9F" w:rsidP="005A2072">
            <w:pPr>
              <w:jc w:val="left"/>
            </w:pPr>
            <w:r w:rsidRPr="00767A0C">
              <w:t>57.22</w:t>
            </w:r>
          </w:p>
        </w:tc>
        <w:tc>
          <w:tcPr>
            <w:tcW w:w="926" w:type="dxa"/>
            <w:tcBorders>
              <w:top w:val="single" w:sz="6" w:space="0" w:color="auto"/>
              <w:left w:val="single" w:sz="6" w:space="0" w:color="auto"/>
              <w:bottom w:val="single" w:sz="6" w:space="0" w:color="auto"/>
              <w:right w:val="single" w:sz="6" w:space="0" w:color="auto"/>
            </w:tcBorders>
            <w:noWrap/>
            <w:tcMar>
              <w:top w:w="10" w:type="dxa"/>
              <w:left w:w="10" w:type="dxa"/>
              <w:right w:w="10" w:type="dxa"/>
            </w:tcMar>
            <w:vAlign w:val="center"/>
          </w:tcPr>
          <w:p w:rsidR="00607E9F" w:rsidRPr="00767A0C" w:rsidRDefault="00607E9F" w:rsidP="005A2072">
            <w:pPr>
              <w:jc w:val="left"/>
            </w:pPr>
            <w:r w:rsidRPr="00767A0C">
              <w:t>153.61</w:t>
            </w:r>
          </w:p>
        </w:tc>
        <w:tc>
          <w:tcPr>
            <w:tcW w:w="955" w:type="dxa"/>
            <w:tcBorders>
              <w:top w:val="single" w:sz="6" w:space="0" w:color="auto"/>
              <w:left w:val="single" w:sz="6" w:space="0" w:color="auto"/>
              <w:bottom w:val="single" w:sz="6" w:space="0" w:color="auto"/>
              <w:right w:val="single" w:sz="4" w:space="0" w:color="auto"/>
            </w:tcBorders>
            <w:noWrap/>
            <w:tcMar>
              <w:top w:w="10" w:type="dxa"/>
              <w:left w:w="10" w:type="dxa"/>
              <w:right w:w="10" w:type="dxa"/>
            </w:tcMar>
            <w:vAlign w:val="center"/>
          </w:tcPr>
          <w:p w:rsidR="00607E9F" w:rsidRPr="00767A0C" w:rsidRDefault="00607E9F" w:rsidP="005A2072">
            <w:pPr>
              <w:jc w:val="left"/>
            </w:pPr>
            <w:r w:rsidRPr="00767A0C">
              <w:t>153.61</w:t>
            </w:r>
          </w:p>
        </w:tc>
        <w:tc>
          <w:tcPr>
            <w:tcW w:w="897" w:type="dxa"/>
            <w:tcBorders>
              <w:top w:val="nil"/>
              <w:left w:val="single" w:sz="4" w:space="0" w:color="auto"/>
              <w:bottom w:val="nil"/>
              <w:right w:val="nil"/>
            </w:tcBorders>
            <w:noWrap/>
            <w:tcMar>
              <w:top w:w="10" w:type="dxa"/>
              <w:left w:w="10" w:type="dxa"/>
              <w:right w:w="10" w:type="dxa"/>
            </w:tcMar>
            <w:vAlign w:val="center"/>
          </w:tcPr>
          <w:p w:rsidR="00607E9F" w:rsidRPr="00767A0C" w:rsidRDefault="00607E9F" w:rsidP="005A2072">
            <w:pPr>
              <w:jc w:val="left"/>
            </w:pPr>
          </w:p>
        </w:tc>
        <w:tc>
          <w:tcPr>
            <w:tcW w:w="926" w:type="dxa"/>
            <w:tcBorders>
              <w:top w:val="nil"/>
              <w:left w:val="nil"/>
              <w:bottom w:val="nil"/>
              <w:right w:val="nil"/>
            </w:tcBorders>
            <w:noWrap/>
            <w:tcMar>
              <w:top w:w="10" w:type="dxa"/>
              <w:left w:w="10" w:type="dxa"/>
              <w:right w:w="10" w:type="dxa"/>
            </w:tcMar>
            <w:vAlign w:val="center"/>
          </w:tcPr>
          <w:p w:rsidR="00607E9F" w:rsidRPr="00767A0C" w:rsidRDefault="00607E9F" w:rsidP="005A2072">
            <w:pPr>
              <w:jc w:val="left"/>
            </w:pPr>
          </w:p>
        </w:tc>
        <w:tc>
          <w:tcPr>
            <w:tcW w:w="926" w:type="dxa"/>
            <w:tcBorders>
              <w:top w:val="nil"/>
              <w:left w:val="nil"/>
              <w:bottom w:val="nil"/>
              <w:right w:val="nil"/>
            </w:tcBorders>
            <w:noWrap/>
            <w:tcMar>
              <w:top w:w="10" w:type="dxa"/>
              <w:left w:w="10" w:type="dxa"/>
              <w:right w:w="10" w:type="dxa"/>
            </w:tcMar>
            <w:vAlign w:val="center"/>
          </w:tcPr>
          <w:p w:rsidR="00607E9F" w:rsidRPr="00767A0C" w:rsidRDefault="00607E9F" w:rsidP="005A2072">
            <w:pPr>
              <w:jc w:val="left"/>
            </w:pPr>
          </w:p>
        </w:tc>
        <w:tc>
          <w:tcPr>
            <w:tcW w:w="927" w:type="dxa"/>
            <w:tcBorders>
              <w:top w:val="nil"/>
              <w:left w:val="nil"/>
              <w:bottom w:val="nil"/>
              <w:right w:val="nil"/>
            </w:tcBorders>
            <w:noWrap/>
            <w:tcMar>
              <w:top w:w="10" w:type="dxa"/>
              <w:left w:w="10" w:type="dxa"/>
              <w:right w:w="10" w:type="dxa"/>
            </w:tcMar>
            <w:vAlign w:val="center"/>
          </w:tcPr>
          <w:p w:rsidR="00607E9F" w:rsidRPr="00767A0C" w:rsidRDefault="00607E9F" w:rsidP="005A2072">
            <w:pPr>
              <w:jc w:val="left"/>
            </w:pPr>
          </w:p>
        </w:tc>
        <w:tc>
          <w:tcPr>
            <w:tcW w:w="927" w:type="dxa"/>
            <w:tcBorders>
              <w:top w:val="nil"/>
              <w:left w:val="nil"/>
              <w:bottom w:val="nil"/>
              <w:right w:val="nil"/>
            </w:tcBorders>
            <w:noWrap/>
            <w:tcMar>
              <w:top w:w="10" w:type="dxa"/>
              <w:left w:w="10" w:type="dxa"/>
              <w:right w:w="10" w:type="dxa"/>
            </w:tcMar>
            <w:vAlign w:val="center"/>
          </w:tcPr>
          <w:p w:rsidR="00607E9F" w:rsidRPr="00767A0C" w:rsidRDefault="00607E9F" w:rsidP="005A2072">
            <w:pPr>
              <w:jc w:val="left"/>
            </w:pPr>
          </w:p>
        </w:tc>
      </w:tr>
      <w:tr w:rsidR="00607E9F" w:rsidRPr="00767A0C">
        <w:trPr>
          <w:trHeight w:val="290"/>
        </w:trPr>
        <w:tc>
          <w:tcPr>
            <w:tcW w:w="1390" w:type="dxa"/>
            <w:tcBorders>
              <w:top w:val="single" w:sz="6" w:space="0" w:color="auto"/>
              <w:left w:val="single" w:sz="4" w:space="0" w:color="auto"/>
              <w:bottom w:val="single" w:sz="4" w:space="0" w:color="auto"/>
              <w:right w:val="single" w:sz="6" w:space="0" w:color="auto"/>
            </w:tcBorders>
            <w:noWrap/>
            <w:tcMar>
              <w:top w:w="10" w:type="dxa"/>
              <w:left w:w="10" w:type="dxa"/>
              <w:right w:w="10" w:type="dxa"/>
            </w:tcMar>
            <w:vAlign w:val="center"/>
          </w:tcPr>
          <w:p w:rsidR="00607E9F" w:rsidRPr="00767A0C" w:rsidRDefault="00607E9F" w:rsidP="005A2072">
            <w:pPr>
              <w:jc w:val="left"/>
            </w:pPr>
            <w:r w:rsidRPr="00767A0C">
              <w:t>68.78</w:t>
            </w:r>
          </w:p>
        </w:tc>
        <w:tc>
          <w:tcPr>
            <w:tcW w:w="926" w:type="dxa"/>
            <w:tcBorders>
              <w:top w:val="single" w:sz="6" w:space="0" w:color="auto"/>
              <w:left w:val="single" w:sz="6" w:space="0" w:color="auto"/>
              <w:bottom w:val="single" w:sz="4" w:space="0" w:color="auto"/>
              <w:right w:val="single" w:sz="6" w:space="0" w:color="auto"/>
            </w:tcBorders>
            <w:noWrap/>
            <w:tcMar>
              <w:top w:w="10" w:type="dxa"/>
              <w:left w:w="10" w:type="dxa"/>
              <w:right w:w="10" w:type="dxa"/>
            </w:tcMar>
            <w:vAlign w:val="center"/>
          </w:tcPr>
          <w:p w:rsidR="00607E9F" w:rsidRPr="00767A0C" w:rsidRDefault="00607E9F" w:rsidP="005A2072">
            <w:pPr>
              <w:jc w:val="left"/>
            </w:pPr>
            <w:r w:rsidRPr="00767A0C">
              <w:t>170.39</w:t>
            </w:r>
          </w:p>
        </w:tc>
        <w:tc>
          <w:tcPr>
            <w:tcW w:w="955" w:type="dxa"/>
            <w:tcBorders>
              <w:top w:val="single" w:sz="6" w:space="0" w:color="auto"/>
              <w:left w:val="single" w:sz="6" w:space="0" w:color="auto"/>
              <w:bottom w:val="single" w:sz="4" w:space="0" w:color="auto"/>
              <w:right w:val="single" w:sz="4" w:space="0" w:color="auto"/>
            </w:tcBorders>
            <w:noWrap/>
            <w:tcMar>
              <w:top w:w="10" w:type="dxa"/>
              <w:left w:w="10" w:type="dxa"/>
              <w:right w:w="10" w:type="dxa"/>
            </w:tcMar>
            <w:vAlign w:val="center"/>
          </w:tcPr>
          <w:p w:rsidR="00607E9F" w:rsidRPr="00767A0C" w:rsidRDefault="00607E9F" w:rsidP="005A2072">
            <w:pPr>
              <w:jc w:val="left"/>
            </w:pPr>
            <w:r w:rsidRPr="00767A0C">
              <w:t>170.39</w:t>
            </w:r>
          </w:p>
        </w:tc>
        <w:tc>
          <w:tcPr>
            <w:tcW w:w="897" w:type="dxa"/>
            <w:tcBorders>
              <w:top w:val="nil"/>
              <w:left w:val="single" w:sz="4" w:space="0" w:color="auto"/>
              <w:bottom w:val="nil"/>
              <w:right w:val="nil"/>
            </w:tcBorders>
            <w:noWrap/>
            <w:tcMar>
              <w:top w:w="10" w:type="dxa"/>
              <w:left w:w="10" w:type="dxa"/>
              <w:right w:w="10" w:type="dxa"/>
            </w:tcMar>
            <w:vAlign w:val="center"/>
          </w:tcPr>
          <w:p w:rsidR="00607E9F" w:rsidRPr="00767A0C" w:rsidRDefault="00607E9F" w:rsidP="005A2072">
            <w:pPr>
              <w:jc w:val="left"/>
            </w:pPr>
          </w:p>
        </w:tc>
        <w:tc>
          <w:tcPr>
            <w:tcW w:w="926" w:type="dxa"/>
            <w:tcBorders>
              <w:top w:val="nil"/>
              <w:left w:val="nil"/>
              <w:bottom w:val="nil"/>
              <w:right w:val="nil"/>
            </w:tcBorders>
            <w:noWrap/>
            <w:tcMar>
              <w:top w:w="10" w:type="dxa"/>
              <w:left w:w="10" w:type="dxa"/>
              <w:right w:w="10" w:type="dxa"/>
            </w:tcMar>
            <w:vAlign w:val="center"/>
          </w:tcPr>
          <w:p w:rsidR="00607E9F" w:rsidRPr="00767A0C" w:rsidRDefault="00607E9F" w:rsidP="005A2072">
            <w:pPr>
              <w:jc w:val="left"/>
            </w:pPr>
          </w:p>
        </w:tc>
        <w:tc>
          <w:tcPr>
            <w:tcW w:w="926" w:type="dxa"/>
            <w:tcBorders>
              <w:top w:val="nil"/>
              <w:left w:val="nil"/>
              <w:bottom w:val="nil"/>
              <w:right w:val="nil"/>
            </w:tcBorders>
            <w:noWrap/>
            <w:tcMar>
              <w:top w:w="10" w:type="dxa"/>
              <w:left w:w="10" w:type="dxa"/>
              <w:right w:w="10" w:type="dxa"/>
            </w:tcMar>
            <w:vAlign w:val="center"/>
          </w:tcPr>
          <w:p w:rsidR="00607E9F" w:rsidRPr="00767A0C" w:rsidRDefault="00607E9F" w:rsidP="005A2072">
            <w:pPr>
              <w:jc w:val="left"/>
            </w:pPr>
          </w:p>
        </w:tc>
        <w:tc>
          <w:tcPr>
            <w:tcW w:w="927" w:type="dxa"/>
            <w:tcBorders>
              <w:top w:val="nil"/>
              <w:left w:val="nil"/>
              <w:bottom w:val="nil"/>
              <w:right w:val="nil"/>
            </w:tcBorders>
            <w:noWrap/>
            <w:tcMar>
              <w:top w:w="10" w:type="dxa"/>
              <w:left w:w="10" w:type="dxa"/>
              <w:right w:w="10" w:type="dxa"/>
            </w:tcMar>
            <w:vAlign w:val="center"/>
          </w:tcPr>
          <w:p w:rsidR="00607E9F" w:rsidRPr="00767A0C" w:rsidRDefault="00607E9F" w:rsidP="005A2072">
            <w:pPr>
              <w:jc w:val="left"/>
            </w:pPr>
          </w:p>
        </w:tc>
        <w:tc>
          <w:tcPr>
            <w:tcW w:w="927" w:type="dxa"/>
            <w:tcBorders>
              <w:top w:val="nil"/>
              <w:left w:val="nil"/>
              <w:bottom w:val="nil"/>
              <w:right w:val="nil"/>
            </w:tcBorders>
            <w:noWrap/>
            <w:tcMar>
              <w:top w:w="10" w:type="dxa"/>
              <w:left w:w="10" w:type="dxa"/>
              <w:right w:w="10" w:type="dxa"/>
            </w:tcMar>
            <w:vAlign w:val="center"/>
          </w:tcPr>
          <w:p w:rsidR="00607E9F" w:rsidRPr="00767A0C" w:rsidRDefault="00607E9F" w:rsidP="005A2072">
            <w:pPr>
              <w:jc w:val="left"/>
            </w:pPr>
          </w:p>
        </w:tc>
      </w:tr>
    </w:tbl>
    <w:p w:rsidR="00607E9F" w:rsidRPr="008453B6" w:rsidRDefault="00607E9F" w:rsidP="00CC5379">
      <w:pPr>
        <w:spacing w:line="240" w:lineRule="auto"/>
        <w:jc w:val="left"/>
        <w:rPr>
          <w:i/>
        </w:rPr>
      </w:pPr>
      <w:r w:rsidRPr="008453B6">
        <w:rPr>
          <w:i/>
        </w:rPr>
        <w:t>Table 3. Azimuth uncertainty boundaries at the Ness.</w:t>
      </w:r>
    </w:p>
    <w:p w:rsidR="00607E9F" w:rsidRPr="00767A0C" w:rsidRDefault="00607E9F" w:rsidP="00CC5379">
      <w:pPr>
        <w:spacing w:line="240" w:lineRule="auto"/>
        <w:jc w:val="left"/>
      </w:pPr>
    </w:p>
    <w:p w:rsidR="00607E9F" w:rsidRPr="008453B6" w:rsidRDefault="00607E9F" w:rsidP="00CC5379">
      <w:pPr>
        <w:spacing w:line="240" w:lineRule="auto"/>
        <w:jc w:val="left"/>
        <w:rPr>
          <w:i/>
        </w:rPr>
      </w:pPr>
      <w:r w:rsidRPr="00767A0C">
        <w:t>Barnhouse</w:t>
      </w:r>
    </w:p>
    <w:p w:rsidR="00607E9F" w:rsidRPr="008453B6" w:rsidRDefault="00607E9F" w:rsidP="00CC5379">
      <w:pPr>
        <w:spacing w:line="240" w:lineRule="auto"/>
        <w:jc w:val="left"/>
        <w:rPr>
          <w:i/>
        </w:rPr>
      </w:pPr>
    </w:p>
    <w:tbl>
      <w:tblPr>
        <w:tblW w:w="3271" w:type="dxa"/>
        <w:tblLayout w:type="fixed"/>
        <w:tblCellMar>
          <w:left w:w="0" w:type="dxa"/>
          <w:right w:w="0" w:type="dxa"/>
        </w:tblCellMar>
        <w:tblLook w:val="00A0"/>
      </w:tblPr>
      <w:tblGrid>
        <w:gridCol w:w="1390"/>
        <w:gridCol w:w="926"/>
        <w:gridCol w:w="955"/>
      </w:tblGrid>
      <w:tr w:rsidR="00607E9F" w:rsidRPr="00767A0C">
        <w:trPr>
          <w:trHeight w:val="290"/>
        </w:trPr>
        <w:tc>
          <w:tcPr>
            <w:tcW w:w="1390" w:type="dxa"/>
            <w:tcBorders>
              <w:top w:val="single" w:sz="4" w:space="0" w:color="auto"/>
              <w:left w:val="single" w:sz="4" w:space="0" w:color="auto"/>
              <w:bottom w:val="single" w:sz="6" w:space="0" w:color="auto"/>
              <w:right w:val="single" w:sz="6" w:space="0" w:color="auto"/>
            </w:tcBorders>
            <w:noWrap/>
            <w:tcMar>
              <w:top w:w="10" w:type="dxa"/>
              <w:left w:w="10" w:type="dxa"/>
              <w:right w:w="10" w:type="dxa"/>
            </w:tcMar>
            <w:vAlign w:val="bottom"/>
          </w:tcPr>
          <w:p w:rsidR="00607E9F" w:rsidRPr="00767A0C" w:rsidRDefault="00607E9F" w:rsidP="005A2072">
            <w:pPr>
              <w:jc w:val="left"/>
            </w:pPr>
            <w:r w:rsidRPr="00767A0C">
              <w:t>House 2</w:t>
            </w:r>
          </w:p>
        </w:tc>
        <w:tc>
          <w:tcPr>
            <w:tcW w:w="926" w:type="dxa"/>
            <w:tcBorders>
              <w:top w:val="single" w:sz="4" w:space="0" w:color="auto"/>
              <w:left w:val="single" w:sz="6" w:space="0" w:color="auto"/>
              <w:bottom w:val="single" w:sz="6" w:space="0" w:color="auto"/>
              <w:right w:val="single" w:sz="6" w:space="0" w:color="auto"/>
            </w:tcBorders>
            <w:noWrap/>
            <w:tcMar>
              <w:top w:w="10" w:type="dxa"/>
              <w:left w:w="10" w:type="dxa"/>
              <w:right w:w="10" w:type="dxa"/>
            </w:tcMar>
            <w:vAlign w:val="bottom"/>
          </w:tcPr>
          <w:p w:rsidR="00607E9F" w:rsidRPr="00767A0C" w:rsidRDefault="00607E9F" w:rsidP="005A2072">
            <w:pPr>
              <w:jc w:val="left"/>
            </w:pPr>
            <w:r w:rsidRPr="00767A0C">
              <w:t>House 8</w:t>
            </w:r>
          </w:p>
        </w:tc>
        <w:tc>
          <w:tcPr>
            <w:tcW w:w="955" w:type="dxa"/>
            <w:tcBorders>
              <w:top w:val="single" w:sz="4" w:space="0" w:color="auto"/>
              <w:left w:val="single" w:sz="6" w:space="0" w:color="auto"/>
              <w:bottom w:val="single" w:sz="6" w:space="0" w:color="auto"/>
              <w:right w:val="single" w:sz="6" w:space="0" w:color="auto"/>
            </w:tcBorders>
            <w:noWrap/>
            <w:tcMar>
              <w:top w:w="10" w:type="dxa"/>
              <w:left w:w="10" w:type="dxa"/>
              <w:right w:w="10" w:type="dxa"/>
            </w:tcMar>
            <w:vAlign w:val="bottom"/>
          </w:tcPr>
          <w:p w:rsidR="00607E9F" w:rsidRPr="00767A0C" w:rsidRDefault="00607E9F" w:rsidP="005A2072">
            <w:pPr>
              <w:jc w:val="left"/>
            </w:pPr>
            <w:r w:rsidRPr="00767A0C">
              <w:t>House 8</w:t>
            </w:r>
          </w:p>
        </w:tc>
      </w:tr>
      <w:tr w:rsidR="00607E9F" w:rsidRPr="00767A0C">
        <w:trPr>
          <w:trHeight w:val="290"/>
        </w:trPr>
        <w:tc>
          <w:tcPr>
            <w:tcW w:w="1390" w:type="dxa"/>
            <w:tcBorders>
              <w:top w:val="single" w:sz="6" w:space="0" w:color="auto"/>
              <w:left w:val="single" w:sz="4" w:space="0" w:color="auto"/>
              <w:bottom w:val="single" w:sz="6" w:space="0" w:color="auto"/>
              <w:right w:val="single" w:sz="6" w:space="0" w:color="auto"/>
            </w:tcBorders>
            <w:noWrap/>
            <w:tcMar>
              <w:top w:w="10" w:type="dxa"/>
              <w:left w:w="10" w:type="dxa"/>
              <w:right w:w="10" w:type="dxa"/>
            </w:tcMar>
            <w:vAlign w:val="center"/>
          </w:tcPr>
          <w:p w:rsidR="00607E9F" w:rsidRPr="00767A0C" w:rsidRDefault="00607E9F" w:rsidP="005A2072">
            <w:pPr>
              <w:jc w:val="left"/>
            </w:pPr>
            <w:r w:rsidRPr="00767A0C">
              <w:t>127.61</w:t>
            </w:r>
          </w:p>
        </w:tc>
        <w:tc>
          <w:tcPr>
            <w:tcW w:w="926" w:type="dxa"/>
            <w:tcBorders>
              <w:top w:val="single" w:sz="6" w:space="0" w:color="auto"/>
              <w:left w:val="single" w:sz="6" w:space="0" w:color="auto"/>
              <w:bottom w:val="single" w:sz="6" w:space="0" w:color="auto"/>
              <w:right w:val="single" w:sz="6" w:space="0" w:color="auto"/>
            </w:tcBorders>
            <w:noWrap/>
            <w:tcMar>
              <w:top w:w="10" w:type="dxa"/>
              <w:left w:w="10" w:type="dxa"/>
              <w:right w:w="10" w:type="dxa"/>
            </w:tcMar>
            <w:vAlign w:val="center"/>
          </w:tcPr>
          <w:p w:rsidR="00607E9F" w:rsidRPr="00767A0C" w:rsidRDefault="00607E9F" w:rsidP="005A2072">
            <w:pPr>
              <w:jc w:val="left"/>
            </w:pPr>
            <w:r w:rsidRPr="00767A0C">
              <w:t>333.22</w:t>
            </w:r>
          </w:p>
        </w:tc>
        <w:tc>
          <w:tcPr>
            <w:tcW w:w="955" w:type="dxa"/>
            <w:tcBorders>
              <w:top w:val="single" w:sz="6" w:space="0" w:color="auto"/>
              <w:left w:val="single" w:sz="6" w:space="0" w:color="auto"/>
              <w:bottom w:val="single" w:sz="6" w:space="0" w:color="auto"/>
              <w:right w:val="single" w:sz="6" w:space="0" w:color="auto"/>
            </w:tcBorders>
            <w:noWrap/>
            <w:tcMar>
              <w:top w:w="10" w:type="dxa"/>
              <w:left w:w="10" w:type="dxa"/>
              <w:right w:w="10" w:type="dxa"/>
            </w:tcMar>
            <w:vAlign w:val="center"/>
          </w:tcPr>
          <w:p w:rsidR="00607E9F" w:rsidRPr="00767A0C" w:rsidRDefault="00607E9F" w:rsidP="005A2072">
            <w:pPr>
              <w:jc w:val="left"/>
            </w:pPr>
            <w:r w:rsidRPr="00767A0C">
              <w:t>71.02</w:t>
            </w:r>
          </w:p>
        </w:tc>
      </w:tr>
      <w:tr w:rsidR="00607E9F" w:rsidRPr="00767A0C">
        <w:trPr>
          <w:trHeight w:val="290"/>
        </w:trPr>
        <w:tc>
          <w:tcPr>
            <w:tcW w:w="1390" w:type="dxa"/>
            <w:tcBorders>
              <w:top w:val="single" w:sz="6" w:space="0" w:color="auto"/>
              <w:left w:val="single" w:sz="4" w:space="0" w:color="auto"/>
              <w:bottom w:val="single" w:sz="4" w:space="0" w:color="auto"/>
              <w:right w:val="single" w:sz="6" w:space="0" w:color="auto"/>
            </w:tcBorders>
            <w:noWrap/>
            <w:tcMar>
              <w:top w:w="10" w:type="dxa"/>
              <w:left w:w="10" w:type="dxa"/>
              <w:right w:w="10" w:type="dxa"/>
            </w:tcMar>
            <w:vAlign w:val="center"/>
          </w:tcPr>
          <w:p w:rsidR="00607E9F" w:rsidRPr="00767A0C" w:rsidRDefault="00607E9F" w:rsidP="005A2072">
            <w:pPr>
              <w:jc w:val="left"/>
            </w:pPr>
            <w:r w:rsidRPr="00767A0C">
              <w:t>144.39</w:t>
            </w:r>
          </w:p>
        </w:tc>
        <w:tc>
          <w:tcPr>
            <w:tcW w:w="926" w:type="dxa"/>
            <w:tcBorders>
              <w:top w:val="single" w:sz="6" w:space="0" w:color="auto"/>
              <w:left w:val="single" w:sz="6" w:space="0" w:color="auto"/>
              <w:bottom w:val="single" w:sz="4" w:space="0" w:color="auto"/>
              <w:right w:val="single" w:sz="6" w:space="0" w:color="auto"/>
            </w:tcBorders>
            <w:noWrap/>
            <w:tcMar>
              <w:top w:w="10" w:type="dxa"/>
              <w:left w:w="10" w:type="dxa"/>
              <w:right w:w="10" w:type="dxa"/>
            </w:tcMar>
            <w:vAlign w:val="center"/>
          </w:tcPr>
          <w:p w:rsidR="00607E9F" w:rsidRPr="00767A0C" w:rsidRDefault="00607E9F" w:rsidP="005A2072">
            <w:pPr>
              <w:jc w:val="left"/>
            </w:pPr>
            <w:r w:rsidRPr="00767A0C">
              <w:t>346.78</w:t>
            </w:r>
          </w:p>
        </w:tc>
        <w:tc>
          <w:tcPr>
            <w:tcW w:w="955" w:type="dxa"/>
            <w:tcBorders>
              <w:top w:val="single" w:sz="6" w:space="0" w:color="auto"/>
              <w:left w:val="single" w:sz="6" w:space="0" w:color="auto"/>
              <w:bottom w:val="single" w:sz="4" w:space="0" w:color="auto"/>
              <w:right w:val="single" w:sz="6" w:space="0" w:color="auto"/>
            </w:tcBorders>
            <w:noWrap/>
            <w:tcMar>
              <w:top w:w="10" w:type="dxa"/>
              <w:left w:w="10" w:type="dxa"/>
              <w:right w:w="10" w:type="dxa"/>
            </w:tcMar>
            <w:vAlign w:val="center"/>
          </w:tcPr>
          <w:p w:rsidR="00607E9F" w:rsidRPr="00767A0C" w:rsidRDefault="00607E9F" w:rsidP="005A2072">
            <w:pPr>
              <w:jc w:val="left"/>
            </w:pPr>
            <w:r w:rsidRPr="00767A0C">
              <w:t>102.98</w:t>
            </w:r>
          </w:p>
        </w:tc>
      </w:tr>
    </w:tbl>
    <w:p w:rsidR="00607E9F" w:rsidRDefault="00607E9F">
      <w:pPr>
        <w:jc w:val="left"/>
      </w:pPr>
      <w:r w:rsidRPr="008453B6">
        <w:rPr>
          <w:i/>
        </w:rPr>
        <w:t>Table 4. Azimuth uncertainty boundaries at the Barnhouse.</w:t>
      </w:r>
    </w:p>
    <w:tbl>
      <w:tblPr>
        <w:tblW w:w="7874" w:type="dxa"/>
        <w:tblLayout w:type="fixed"/>
        <w:tblCellMar>
          <w:left w:w="0" w:type="dxa"/>
          <w:right w:w="0" w:type="dxa"/>
        </w:tblCellMar>
        <w:tblLook w:val="00A0"/>
      </w:tblPr>
      <w:tblGrid>
        <w:gridCol w:w="1390"/>
        <w:gridCol w:w="926"/>
        <w:gridCol w:w="955"/>
        <w:gridCol w:w="897"/>
        <w:gridCol w:w="926"/>
        <w:gridCol w:w="926"/>
        <w:gridCol w:w="927"/>
        <w:gridCol w:w="927"/>
      </w:tblGrid>
      <w:tr w:rsidR="00607E9F" w:rsidRPr="00767A0C">
        <w:trPr>
          <w:trHeight w:val="290"/>
        </w:trPr>
        <w:tc>
          <w:tcPr>
            <w:tcW w:w="1390" w:type="dxa"/>
            <w:tcBorders>
              <w:top w:val="nil"/>
              <w:left w:val="nil"/>
              <w:bottom w:val="nil"/>
              <w:right w:val="nil"/>
            </w:tcBorders>
            <w:noWrap/>
            <w:tcMar>
              <w:top w:w="10" w:type="dxa"/>
              <w:left w:w="10" w:type="dxa"/>
              <w:right w:w="10" w:type="dxa"/>
            </w:tcMar>
            <w:vAlign w:val="center"/>
          </w:tcPr>
          <w:p w:rsidR="00607E9F" w:rsidRPr="00767A0C" w:rsidRDefault="00607E9F" w:rsidP="00B217BC">
            <w:pPr>
              <w:spacing w:line="240" w:lineRule="auto"/>
              <w:jc w:val="left"/>
            </w:pPr>
          </w:p>
        </w:tc>
        <w:tc>
          <w:tcPr>
            <w:tcW w:w="926" w:type="dxa"/>
            <w:tcBorders>
              <w:top w:val="nil"/>
              <w:left w:val="nil"/>
              <w:bottom w:val="nil"/>
              <w:right w:val="nil"/>
            </w:tcBorders>
            <w:noWrap/>
            <w:tcMar>
              <w:top w:w="10" w:type="dxa"/>
              <w:left w:w="10" w:type="dxa"/>
              <w:right w:w="10" w:type="dxa"/>
            </w:tcMar>
            <w:vAlign w:val="center"/>
          </w:tcPr>
          <w:p w:rsidR="00607E9F" w:rsidRPr="00767A0C" w:rsidRDefault="00607E9F" w:rsidP="005A2072">
            <w:pPr>
              <w:jc w:val="left"/>
            </w:pPr>
          </w:p>
        </w:tc>
        <w:tc>
          <w:tcPr>
            <w:tcW w:w="955" w:type="dxa"/>
            <w:tcBorders>
              <w:top w:val="nil"/>
              <w:left w:val="nil"/>
              <w:bottom w:val="nil"/>
              <w:right w:val="nil"/>
            </w:tcBorders>
            <w:noWrap/>
            <w:tcMar>
              <w:top w:w="10" w:type="dxa"/>
              <w:left w:w="10" w:type="dxa"/>
              <w:right w:w="10" w:type="dxa"/>
            </w:tcMar>
            <w:vAlign w:val="center"/>
          </w:tcPr>
          <w:p w:rsidR="00607E9F" w:rsidRPr="00767A0C" w:rsidRDefault="00607E9F" w:rsidP="005A2072">
            <w:pPr>
              <w:jc w:val="left"/>
            </w:pPr>
          </w:p>
        </w:tc>
        <w:tc>
          <w:tcPr>
            <w:tcW w:w="897" w:type="dxa"/>
            <w:tcBorders>
              <w:top w:val="nil"/>
              <w:left w:val="nil"/>
              <w:bottom w:val="nil"/>
              <w:right w:val="nil"/>
            </w:tcBorders>
            <w:noWrap/>
            <w:tcMar>
              <w:top w:w="10" w:type="dxa"/>
              <w:left w:w="10" w:type="dxa"/>
              <w:right w:w="10" w:type="dxa"/>
            </w:tcMar>
            <w:vAlign w:val="center"/>
          </w:tcPr>
          <w:p w:rsidR="00607E9F" w:rsidRPr="00767A0C" w:rsidRDefault="00607E9F" w:rsidP="005A2072">
            <w:pPr>
              <w:jc w:val="left"/>
            </w:pPr>
          </w:p>
        </w:tc>
        <w:tc>
          <w:tcPr>
            <w:tcW w:w="926" w:type="dxa"/>
            <w:tcBorders>
              <w:top w:val="nil"/>
              <w:left w:val="nil"/>
              <w:bottom w:val="nil"/>
              <w:right w:val="nil"/>
            </w:tcBorders>
            <w:noWrap/>
            <w:tcMar>
              <w:top w:w="10" w:type="dxa"/>
              <w:left w:w="10" w:type="dxa"/>
              <w:right w:w="10" w:type="dxa"/>
            </w:tcMar>
            <w:vAlign w:val="center"/>
          </w:tcPr>
          <w:p w:rsidR="00607E9F" w:rsidRPr="00767A0C" w:rsidRDefault="00607E9F" w:rsidP="005A2072">
            <w:pPr>
              <w:jc w:val="left"/>
            </w:pPr>
          </w:p>
        </w:tc>
        <w:tc>
          <w:tcPr>
            <w:tcW w:w="926" w:type="dxa"/>
            <w:tcBorders>
              <w:top w:val="nil"/>
              <w:left w:val="nil"/>
              <w:bottom w:val="nil"/>
              <w:right w:val="nil"/>
            </w:tcBorders>
            <w:noWrap/>
            <w:tcMar>
              <w:top w:w="10" w:type="dxa"/>
              <w:left w:w="10" w:type="dxa"/>
              <w:right w:w="10" w:type="dxa"/>
            </w:tcMar>
            <w:vAlign w:val="center"/>
          </w:tcPr>
          <w:p w:rsidR="00607E9F" w:rsidRPr="00767A0C" w:rsidRDefault="00607E9F" w:rsidP="005A2072">
            <w:pPr>
              <w:jc w:val="left"/>
            </w:pPr>
          </w:p>
        </w:tc>
        <w:tc>
          <w:tcPr>
            <w:tcW w:w="927" w:type="dxa"/>
            <w:tcBorders>
              <w:top w:val="nil"/>
              <w:left w:val="nil"/>
              <w:bottom w:val="nil"/>
              <w:right w:val="nil"/>
            </w:tcBorders>
            <w:noWrap/>
            <w:tcMar>
              <w:top w:w="10" w:type="dxa"/>
              <w:left w:w="10" w:type="dxa"/>
              <w:right w:w="10" w:type="dxa"/>
            </w:tcMar>
            <w:vAlign w:val="center"/>
          </w:tcPr>
          <w:p w:rsidR="00607E9F" w:rsidRPr="00767A0C" w:rsidRDefault="00607E9F" w:rsidP="005A2072">
            <w:pPr>
              <w:jc w:val="left"/>
            </w:pPr>
          </w:p>
        </w:tc>
        <w:tc>
          <w:tcPr>
            <w:tcW w:w="927" w:type="dxa"/>
            <w:tcBorders>
              <w:top w:val="nil"/>
              <w:left w:val="nil"/>
              <w:bottom w:val="nil"/>
              <w:right w:val="nil"/>
            </w:tcBorders>
            <w:noWrap/>
            <w:tcMar>
              <w:top w:w="10" w:type="dxa"/>
              <w:left w:w="10" w:type="dxa"/>
              <w:right w:w="10" w:type="dxa"/>
            </w:tcMar>
            <w:vAlign w:val="center"/>
          </w:tcPr>
          <w:p w:rsidR="00607E9F" w:rsidRPr="00767A0C" w:rsidRDefault="00607E9F" w:rsidP="005A2072">
            <w:pPr>
              <w:jc w:val="left"/>
            </w:pPr>
          </w:p>
        </w:tc>
      </w:tr>
      <w:tr w:rsidR="00607E9F" w:rsidRPr="00767A0C">
        <w:trPr>
          <w:trHeight w:val="290"/>
        </w:trPr>
        <w:tc>
          <w:tcPr>
            <w:tcW w:w="7874" w:type="dxa"/>
            <w:gridSpan w:val="8"/>
            <w:tcBorders>
              <w:top w:val="nil"/>
              <w:left w:val="nil"/>
              <w:bottom w:val="single" w:sz="4" w:space="0" w:color="auto"/>
              <w:right w:val="nil"/>
            </w:tcBorders>
            <w:noWrap/>
            <w:tcMar>
              <w:top w:w="10" w:type="dxa"/>
              <w:left w:w="10" w:type="dxa"/>
              <w:right w:w="10" w:type="dxa"/>
            </w:tcMar>
            <w:vAlign w:val="center"/>
          </w:tcPr>
          <w:p w:rsidR="00607E9F" w:rsidRPr="00767A0C" w:rsidRDefault="00607E9F" w:rsidP="005A2072">
            <w:pPr>
              <w:jc w:val="left"/>
            </w:pPr>
            <w:r w:rsidRPr="00767A0C">
              <w:t>Ring of Brodgar</w:t>
            </w:r>
          </w:p>
        </w:tc>
      </w:tr>
      <w:tr w:rsidR="00607E9F" w:rsidRPr="00767A0C">
        <w:trPr>
          <w:trHeight w:val="290"/>
        </w:trPr>
        <w:tc>
          <w:tcPr>
            <w:tcW w:w="1390" w:type="dxa"/>
            <w:tcBorders>
              <w:top w:val="single" w:sz="4" w:space="0" w:color="auto"/>
              <w:left w:val="single" w:sz="4" w:space="0" w:color="auto"/>
              <w:bottom w:val="single" w:sz="4" w:space="0" w:color="auto"/>
              <w:right w:val="single" w:sz="4" w:space="0" w:color="auto"/>
            </w:tcBorders>
            <w:noWrap/>
            <w:tcMar>
              <w:top w:w="10" w:type="dxa"/>
              <w:left w:w="10" w:type="dxa"/>
              <w:right w:w="10" w:type="dxa"/>
            </w:tcMar>
            <w:vAlign w:val="center"/>
          </w:tcPr>
          <w:p w:rsidR="00607E9F" w:rsidRPr="00767A0C" w:rsidRDefault="00607E9F" w:rsidP="005A2072">
            <w:pPr>
              <w:jc w:val="left"/>
            </w:pPr>
            <w:r w:rsidRPr="00767A0C">
              <w:t>Stone 1</w:t>
            </w:r>
          </w:p>
        </w:tc>
        <w:tc>
          <w:tcPr>
            <w:tcW w:w="926" w:type="dxa"/>
            <w:tcBorders>
              <w:top w:val="single" w:sz="4" w:space="0" w:color="auto"/>
              <w:left w:val="single" w:sz="4" w:space="0" w:color="auto"/>
              <w:bottom w:val="single" w:sz="4" w:space="0" w:color="auto"/>
              <w:right w:val="single" w:sz="4" w:space="0" w:color="auto"/>
            </w:tcBorders>
            <w:noWrap/>
            <w:tcMar>
              <w:top w:w="10" w:type="dxa"/>
              <w:left w:w="10" w:type="dxa"/>
              <w:right w:w="10" w:type="dxa"/>
            </w:tcMar>
            <w:vAlign w:val="center"/>
          </w:tcPr>
          <w:p w:rsidR="00607E9F" w:rsidRPr="00767A0C" w:rsidRDefault="00607E9F" w:rsidP="005A2072">
            <w:pPr>
              <w:jc w:val="left"/>
            </w:pPr>
            <w:r w:rsidRPr="00767A0C">
              <w:t>Stone 2</w:t>
            </w:r>
          </w:p>
        </w:tc>
        <w:tc>
          <w:tcPr>
            <w:tcW w:w="955" w:type="dxa"/>
            <w:tcBorders>
              <w:top w:val="single" w:sz="4" w:space="0" w:color="auto"/>
              <w:left w:val="single" w:sz="4" w:space="0" w:color="auto"/>
              <w:bottom w:val="single" w:sz="4" w:space="0" w:color="auto"/>
              <w:right w:val="single" w:sz="4" w:space="0" w:color="auto"/>
            </w:tcBorders>
            <w:noWrap/>
            <w:tcMar>
              <w:top w:w="10" w:type="dxa"/>
              <w:left w:w="10" w:type="dxa"/>
              <w:right w:w="10" w:type="dxa"/>
            </w:tcMar>
            <w:vAlign w:val="center"/>
          </w:tcPr>
          <w:p w:rsidR="00607E9F" w:rsidRPr="00767A0C" w:rsidRDefault="00607E9F" w:rsidP="005A2072">
            <w:pPr>
              <w:jc w:val="left"/>
            </w:pPr>
            <w:r w:rsidRPr="00767A0C">
              <w:t>Stone 5</w:t>
            </w:r>
          </w:p>
        </w:tc>
        <w:tc>
          <w:tcPr>
            <w:tcW w:w="897" w:type="dxa"/>
            <w:tcBorders>
              <w:top w:val="single" w:sz="4" w:space="0" w:color="auto"/>
              <w:left w:val="single" w:sz="4" w:space="0" w:color="auto"/>
              <w:bottom w:val="single" w:sz="4" w:space="0" w:color="auto"/>
              <w:right w:val="single" w:sz="4" w:space="0" w:color="auto"/>
            </w:tcBorders>
            <w:noWrap/>
            <w:tcMar>
              <w:top w:w="10" w:type="dxa"/>
              <w:left w:w="10" w:type="dxa"/>
              <w:right w:w="10" w:type="dxa"/>
            </w:tcMar>
            <w:vAlign w:val="center"/>
          </w:tcPr>
          <w:p w:rsidR="00607E9F" w:rsidRPr="00767A0C" w:rsidRDefault="00607E9F" w:rsidP="005A2072">
            <w:pPr>
              <w:jc w:val="left"/>
            </w:pPr>
            <w:r w:rsidRPr="00767A0C">
              <w:t>Stone 6</w:t>
            </w:r>
          </w:p>
        </w:tc>
        <w:tc>
          <w:tcPr>
            <w:tcW w:w="926" w:type="dxa"/>
            <w:tcBorders>
              <w:top w:val="single" w:sz="4" w:space="0" w:color="auto"/>
              <w:left w:val="single" w:sz="4" w:space="0" w:color="auto"/>
              <w:bottom w:val="single" w:sz="4" w:space="0" w:color="auto"/>
              <w:right w:val="single" w:sz="4" w:space="0" w:color="auto"/>
            </w:tcBorders>
            <w:noWrap/>
            <w:tcMar>
              <w:top w:w="10" w:type="dxa"/>
              <w:left w:w="10" w:type="dxa"/>
              <w:right w:w="10" w:type="dxa"/>
            </w:tcMar>
            <w:vAlign w:val="center"/>
          </w:tcPr>
          <w:p w:rsidR="00607E9F" w:rsidRPr="00767A0C" w:rsidRDefault="00607E9F" w:rsidP="005A2072">
            <w:pPr>
              <w:jc w:val="left"/>
            </w:pPr>
            <w:r w:rsidRPr="00767A0C">
              <w:t>Stone 7</w:t>
            </w:r>
          </w:p>
        </w:tc>
        <w:tc>
          <w:tcPr>
            <w:tcW w:w="926" w:type="dxa"/>
            <w:tcBorders>
              <w:top w:val="single" w:sz="4" w:space="0" w:color="auto"/>
              <w:left w:val="single" w:sz="4" w:space="0" w:color="auto"/>
              <w:bottom w:val="single" w:sz="4" w:space="0" w:color="auto"/>
              <w:right w:val="single" w:sz="4" w:space="0" w:color="auto"/>
            </w:tcBorders>
            <w:noWrap/>
            <w:tcMar>
              <w:top w:w="10" w:type="dxa"/>
              <w:left w:w="10" w:type="dxa"/>
              <w:right w:w="10" w:type="dxa"/>
            </w:tcMar>
            <w:vAlign w:val="center"/>
          </w:tcPr>
          <w:p w:rsidR="00607E9F" w:rsidRPr="00767A0C" w:rsidRDefault="00607E9F" w:rsidP="005A2072">
            <w:pPr>
              <w:jc w:val="left"/>
            </w:pPr>
            <w:r w:rsidRPr="00767A0C">
              <w:t>Stone 8</w:t>
            </w:r>
          </w:p>
        </w:tc>
        <w:tc>
          <w:tcPr>
            <w:tcW w:w="927" w:type="dxa"/>
            <w:tcBorders>
              <w:top w:val="single" w:sz="4" w:space="0" w:color="auto"/>
              <w:left w:val="single" w:sz="4" w:space="0" w:color="auto"/>
              <w:bottom w:val="single" w:sz="4" w:space="0" w:color="auto"/>
              <w:right w:val="single" w:sz="4" w:space="0" w:color="auto"/>
            </w:tcBorders>
            <w:noWrap/>
            <w:tcMar>
              <w:top w:w="10" w:type="dxa"/>
              <w:left w:w="10" w:type="dxa"/>
              <w:right w:w="10" w:type="dxa"/>
            </w:tcMar>
            <w:vAlign w:val="center"/>
          </w:tcPr>
          <w:p w:rsidR="00607E9F" w:rsidRPr="00767A0C" w:rsidRDefault="00607E9F" w:rsidP="005A2072">
            <w:pPr>
              <w:jc w:val="left"/>
            </w:pPr>
            <w:r w:rsidRPr="00767A0C">
              <w:t>Stone 9</w:t>
            </w:r>
          </w:p>
        </w:tc>
        <w:tc>
          <w:tcPr>
            <w:tcW w:w="927" w:type="dxa"/>
            <w:tcBorders>
              <w:top w:val="single" w:sz="4" w:space="0" w:color="auto"/>
              <w:left w:val="single" w:sz="4" w:space="0" w:color="auto"/>
              <w:bottom w:val="single" w:sz="4" w:space="0" w:color="auto"/>
              <w:right w:val="single" w:sz="4" w:space="0" w:color="auto"/>
            </w:tcBorders>
            <w:noWrap/>
            <w:tcMar>
              <w:top w:w="10" w:type="dxa"/>
              <w:left w:w="10" w:type="dxa"/>
              <w:right w:w="10" w:type="dxa"/>
            </w:tcMar>
            <w:vAlign w:val="center"/>
          </w:tcPr>
          <w:p w:rsidR="00607E9F" w:rsidRPr="00767A0C" w:rsidRDefault="00607E9F" w:rsidP="005A2072">
            <w:pPr>
              <w:jc w:val="left"/>
            </w:pPr>
            <w:r w:rsidRPr="00767A0C">
              <w:t>Stone 10</w:t>
            </w:r>
          </w:p>
        </w:tc>
      </w:tr>
      <w:tr w:rsidR="00607E9F" w:rsidRPr="00767A0C">
        <w:trPr>
          <w:trHeight w:val="290"/>
        </w:trPr>
        <w:tc>
          <w:tcPr>
            <w:tcW w:w="1390" w:type="dxa"/>
            <w:tcBorders>
              <w:top w:val="single" w:sz="4" w:space="0" w:color="auto"/>
              <w:left w:val="single" w:sz="4" w:space="0" w:color="auto"/>
              <w:bottom w:val="single" w:sz="4" w:space="0" w:color="auto"/>
              <w:right w:val="single" w:sz="4" w:space="0" w:color="auto"/>
            </w:tcBorders>
            <w:noWrap/>
            <w:tcMar>
              <w:top w:w="10" w:type="dxa"/>
              <w:left w:w="10" w:type="dxa"/>
              <w:right w:w="10" w:type="dxa"/>
            </w:tcMar>
            <w:vAlign w:val="center"/>
          </w:tcPr>
          <w:p w:rsidR="00607E9F" w:rsidRPr="00767A0C" w:rsidRDefault="00607E9F" w:rsidP="005A2072">
            <w:pPr>
              <w:jc w:val="left"/>
            </w:pPr>
            <w:r w:rsidRPr="00767A0C">
              <w:t>147.63</w:t>
            </w:r>
          </w:p>
        </w:tc>
        <w:tc>
          <w:tcPr>
            <w:tcW w:w="926" w:type="dxa"/>
            <w:tcBorders>
              <w:top w:val="single" w:sz="4" w:space="0" w:color="auto"/>
              <w:left w:val="single" w:sz="4" w:space="0" w:color="auto"/>
              <w:bottom w:val="single" w:sz="4" w:space="0" w:color="auto"/>
              <w:right w:val="single" w:sz="4" w:space="0" w:color="auto"/>
            </w:tcBorders>
            <w:noWrap/>
            <w:tcMar>
              <w:top w:w="10" w:type="dxa"/>
              <w:left w:w="10" w:type="dxa"/>
              <w:right w:w="10" w:type="dxa"/>
            </w:tcMar>
            <w:vAlign w:val="center"/>
          </w:tcPr>
          <w:p w:rsidR="00607E9F" w:rsidRPr="00767A0C" w:rsidRDefault="00607E9F" w:rsidP="005A2072">
            <w:pPr>
              <w:jc w:val="left"/>
            </w:pPr>
            <w:r w:rsidRPr="00767A0C">
              <w:t>162.08</w:t>
            </w:r>
          </w:p>
        </w:tc>
        <w:tc>
          <w:tcPr>
            <w:tcW w:w="955" w:type="dxa"/>
            <w:tcBorders>
              <w:top w:val="single" w:sz="4" w:space="0" w:color="auto"/>
              <w:left w:val="single" w:sz="4" w:space="0" w:color="auto"/>
              <w:bottom w:val="single" w:sz="4" w:space="0" w:color="auto"/>
              <w:right w:val="single" w:sz="4" w:space="0" w:color="auto"/>
            </w:tcBorders>
            <w:noWrap/>
            <w:tcMar>
              <w:top w:w="10" w:type="dxa"/>
              <w:left w:w="10" w:type="dxa"/>
              <w:right w:w="10" w:type="dxa"/>
            </w:tcMar>
            <w:vAlign w:val="center"/>
          </w:tcPr>
          <w:p w:rsidR="00607E9F" w:rsidRPr="00767A0C" w:rsidRDefault="00607E9F" w:rsidP="005A2072">
            <w:pPr>
              <w:jc w:val="left"/>
            </w:pPr>
            <w:r w:rsidRPr="00767A0C">
              <w:t>220.36</w:t>
            </w:r>
          </w:p>
        </w:tc>
        <w:tc>
          <w:tcPr>
            <w:tcW w:w="897" w:type="dxa"/>
            <w:tcBorders>
              <w:top w:val="single" w:sz="4" w:space="0" w:color="auto"/>
              <w:left w:val="single" w:sz="4" w:space="0" w:color="auto"/>
              <w:bottom w:val="single" w:sz="4" w:space="0" w:color="auto"/>
              <w:right w:val="single" w:sz="4" w:space="0" w:color="auto"/>
            </w:tcBorders>
            <w:noWrap/>
            <w:tcMar>
              <w:top w:w="10" w:type="dxa"/>
              <w:left w:w="10" w:type="dxa"/>
              <w:right w:w="10" w:type="dxa"/>
            </w:tcMar>
            <w:vAlign w:val="center"/>
          </w:tcPr>
          <w:p w:rsidR="00607E9F" w:rsidRPr="00767A0C" w:rsidRDefault="00607E9F" w:rsidP="005A2072">
            <w:pPr>
              <w:jc w:val="left"/>
            </w:pPr>
            <w:r w:rsidRPr="00767A0C">
              <w:t>224.81</w:t>
            </w:r>
          </w:p>
        </w:tc>
        <w:tc>
          <w:tcPr>
            <w:tcW w:w="926" w:type="dxa"/>
            <w:tcBorders>
              <w:top w:val="single" w:sz="4" w:space="0" w:color="auto"/>
              <w:left w:val="single" w:sz="4" w:space="0" w:color="auto"/>
              <w:bottom w:val="single" w:sz="4" w:space="0" w:color="auto"/>
              <w:right w:val="single" w:sz="4" w:space="0" w:color="auto"/>
            </w:tcBorders>
            <w:noWrap/>
            <w:tcMar>
              <w:top w:w="10" w:type="dxa"/>
              <w:left w:w="10" w:type="dxa"/>
              <w:right w:w="10" w:type="dxa"/>
            </w:tcMar>
            <w:vAlign w:val="center"/>
          </w:tcPr>
          <w:p w:rsidR="00607E9F" w:rsidRPr="00767A0C" w:rsidRDefault="00607E9F" w:rsidP="005A2072">
            <w:pPr>
              <w:jc w:val="left"/>
            </w:pPr>
            <w:r w:rsidRPr="00767A0C">
              <w:t>248.48</w:t>
            </w:r>
          </w:p>
        </w:tc>
        <w:tc>
          <w:tcPr>
            <w:tcW w:w="926" w:type="dxa"/>
            <w:tcBorders>
              <w:top w:val="single" w:sz="4" w:space="0" w:color="auto"/>
              <w:left w:val="single" w:sz="4" w:space="0" w:color="auto"/>
              <w:bottom w:val="single" w:sz="4" w:space="0" w:color="auto"/>
              <w:right w:val="single" w:sz="4" w:space="0" w:color="auto"/>
            </w:tcBorders>
            <w:noWrap/>
            <w:tcMar>
              <w:top w:w="10" w:type="dxa"/>
              <w:left w:w="10" w:type="dxa"/>
              <w:right w:w="10" w:type="dxa"/>
            </w:tcMar>
            <w:vAlign w:val="center"/>
          </w:tcPr>
          <w:p w:rsidR="00607E9F" w:rsidRPr="00767A0C" w:rsidRDefault="00607E9F" w:rsidP="005A2072">
            <w:pPr>
              <w:jc w:val="left"/>
            </w:pPr>
            <w:r w:rsidRPr="00767A0C">
              <w:t>228.15</w:t>
            </w:r>
          </w:p>
        </w:tc>
        <w:tc>
          <w:tcPr>
            <w:tcW w:w="927" w:type="dxa"/>
            <w:tcBorders>
              <w:top w:val="single" w:sz="4" w:space="0" w:color="auto"/>
              <w:left w:val="single" w:sz="4" w:space="0" w:color="auto"/>
              <w:bottom w:val="single" w:sz="4" w:space="0" w:color="auto"/>
              <w:right w:val="single" w:sz="4" w:space="0" w:color="auto"/>
            </w:tcBorders>
            <w:noWrap/>
            <w:tcMar>
              <w:top w:w="10" w:type="dxa"/>
              <w:left w:w="10" w:type="dxa"/>
              <w:right w:w="10" w:type="dxa"/>
            </w:tcMar>
            <w:vAlign w:val="center"/>
          </w:tcPr>
          <w:p w:rsidR="00607E9F" w:rsidRPr="00767A0C" w:rsidRDefault="00607E9F" w:rsidP="005A2072">
            <w:pPr>
              <w:jc w:val="left"/>
            </w:pPr>
            <w:r w:rsidRPr="00767A0C">
              <w:t>264.54</w:t>
            </w:r>
          </w:p>
        </w:tc>
        <w:tc>
          <w:tcPr>
            <w:tcW w:w="927" w:type="dxa"/>
            <w:tcBorders>
              <w:top w:val="single" w:sz="4" w:space="0" w:color="auto"/>
              <w:left w:val="single" w:sz="4" w:space="0" w:color="auto"/>
              <w:bottom w:val="single" w:sz="4" w:space="0" w:color="auto"/>
              <w:right w:val="single" w:sz="4" w:space="0" w:color="auto"/>
            </w:tcBorders>
            <w:noWrap/>
            <w:tcMar>
              <w:top w:w="10" w:type="dxa"/>
              <w:left w:w="10" w:type="dxa"/>
              <w:right w:w="10" w:type="dxa"/>
            </w:tcMar>
            <w:vAlign w:val="center"/>
          </w:tcPr>
          <w:p w:rsidR="00607E9F" w:rsidRPr="00767A0C" w:rsidRDefault="00607E9F" w:rsidP="005A2072">
            <w:pPr>
              <w:jc w:val="left"/>
            </w:pPr>
            <w:r w:rsidRPr="00767A0C">
              <w:t>269.77</w:t>
            </w:r>
          </w:p>
        </w:tc>
      </w:tr>
      <w:tr w:rsidR="00607E9F" w:rsidRPr="00767A0C">
        <w:trPr>
          <w:trHeight w:val="290"/>
        </w:trPr>
        <w:tc>
          <w:tcPr>
            <w:tcW w:w="1390" w:type="dxa"/>
            <w:tcBorders>
              <w:top w:val="single" w:sz="4" w:space="0" w:color="auto"/>
              <w:left w:val="single" w:sz="4" w:space="0" w:color="auto"/>
              <w:bottom w:val="single" w:sz="4" w:space="0" w:color="auto"/>
              <w:right w:val="single" w:sz="4" w:space="0" w:color="auto"/>
            </w:tcBorders>
            <w:noWrap/>
            <w:tcMar>
              <w:top w:w="10" w:type="dxa"/>
              <w:left w:w="10" w:type="dxa"/>
              <w:right w:w="10" w:type="dxa"/>
            </w:tcMar>
            <w:vAlign w:val="center"/>
          </w:tcPr>
          <w:p w:rsidR="00607E9F" w:rsidRPr="00767A0C" w:rsidRDefault="00607E9F" w:rsidP="005A2072">
            <w:pPr>
              <w:jc w:val="left"/>
            </w:pPr>
            <w:r w:rsidRPr="00767A0C">
              <w:t>162.37</w:t>
            </w:r>
          </w:p>
        </w:tc>
        <w:tc>
          <w:tcPr>
            <w:tcW w:w="926" w:type="dxa"/>
            <w:tcBorders>
              <w:top w:val="single" w:sz="4" w:space="0" w:color="auto"/>
              <w:left w:val="single" w:sz="4" w:space="0" w:color="auto"/>
              <w:bottom w:val="single" w:sz="4" w:space="0" w:color="auto"/>
              <w:right w:val="single" w:sz="4" w:space="0" w:color="auto"/>
            </w:tcBorders>
            <w:noWrap/>
            <w:tcMar>
              <w:top w:w="10" w:type="dxa"/>
              <w:left w:w="10" w:type="dxa"/>
              <w:right w:w="10" w:type="dxa"/>
            </w:tcMar>
            <w:vAlign w:val="center"/>
          </w:tcPr>
          <w:p w:rsidR="00607E9F" w:rsidRPr="00767A0C" w:rsidRDefault="00607E9F" w:rsidP="005A2072">
            <w:pPr>
              <w:jc w:val="left"/>
            </w:pPr>
            <w:r w:rsidRPr="00767A0C">
              <w:t>177.92</w:t>
            </w:r>
          </w:p>
        </w:tc>
        <w:tc>
          <w:tcPr>
            <w:tcW w:w="955" w:type="dxa"/>
            <w:tcBorders>
              <w:top w:val="single" w:sz="4" w:space="0" w:color="auto"/>
              <w:left w:val="single" w:sz="4" w:space="0" w:color="auto"/>
              <w:bottom w:val="single" w:sz="4" w:space="0" w:color="auto"/>
              <w:right w:val="single" w:sz="4" w:space="0" w:color="auto"/>
            </w:tcBorders>
            <w:noWrap/>
            <w:tcMar>
              <w:top w:w="10" w:type="dxa"/>
              <w:left w:w="10" w:type="dxa"/>
              <w:right w:w="10" w:type="dxa"/>
            </w:tcMar>
            <w:vAlign w:val="center"/>
          </w:tcPr>
          <w:p w:rsidR="00607E9F" w:rsidRPr="00767A0C" w:rsidRDefault="00607E9F" w:rsidP="005A2072">
            <w:pPr>
              <w:jc w:val="left"/>
            </w:pPr>
            <w:r w:rsidRPr="00767A0C">
              <w:t>234.64</w:t>
            </w:r>
          </w:p>
        </w:tc>
        <w:tc>
          <w:tcPr>
            <w:tcW w:w="897" w:type="dxa"/>
            <w:tcBorders>
              <w:top w:val="single" w:sz="4" w:space="0" w:color="auto"/>
              <w:left w:val="single" w:sz="4" w:space="0" w:color="auto"/>
              <w:bottom w:val="single" w:sz="4" w:space="0" w:color="auto"/>
              <w:right w:val="single" w:sz="4" w:space="0" w:color="auto"/>
            </w:tcBorders>
            <w:noWrap/>
            <w:tcMar>
              <w:top w:w="10" w:type="dxa"/>
              <w:left w:w="10" w:type="dxa"/>
              <w:right w:w="10" w:type="dxa"/>
            </w:tcMar>
            <w:vAlign w:val="center"/>
          </w:tcPr>
          <w:p w:rsidR="00607E9F" w:rsidRPr="00767A0C" w:rsidRDefault="00607E9F" w:rsidP="005A2072">
            <w:pPr>
              <w:jc w:val="left"/>
            </w:pPr>
            <w:r w:rsidRPr="00767A0C">
              <w:t>239.19</w:t>
            </w:r>
          </w:p>
        </w:tc>
        <w:tc>
          <w:tcPr>
            <w:tcW w:w="926" w:type="dxa"/>
            <w:tcBorders>
              <w:top w:val="single" w:sz="4" w:space="0" w:color="auto"/>
              <w:left w:val="single" w:sz="4" w:space="0" w:color="auto"/>
              <w:bottom w:val="single" w:sz="4" w:space="0" w:color="auto"/>
              <w:right w:val="single" w:sz="4" w:space="0" w:color="auto"/>
            </w:tcBorders>
            <w:noWrap/>
            <w:tcMar>
              <w:top w:w="10" w:type="dxa"/>
              <w:left w:w="10" w:type="dxa"/>
              <w:right w:w="10" w:type="dxa"/>
            </w:tcMar>
            <w:vAlign w:val="center"/>
          </w:tcPr>
          <w:p w:rsidR="00607E9F" w:rsidRPr="00767A0C" w:rsidRDefault="00607E9F" w:rsidP="005A2072">
            <w:pPr>
              <w:jc w:val="left"/>
            </w:pPr>
            <w:r w:rsidRPr="00767A0C">
              <w:t>263.52</w:t>
            </w:r>
          </w:p>
        </w:tc>
        <w:tc>
          <w:tcPr>
            <w:tcW w:w="926" w:type="dxa"/>
            <w:tcBorders>
              <w:top w:val="single" w:sz="4" w:space="0" w:color="auto"/>
              <w:left w:val="single" w:sz="4" w:space="0" w:color="auto"/>
              <w:bottom w:val="single" w:sz="4" w:space="0" w:color="auto"/>
              <w:right w:val="single" w:sz="4" w:space="0" w:color="auto"/>
            </w:tcBorders>
            <w:noWrap/>
            <w:tcMar>
              <w:top w:w="10" w:type="dxa"/>
              <w:left w:w="10" w:type="dxa"/>
              <w:right w:w="10" w:type="dxa"/>
            </w:tcMar>
            <w:vAlign w:val="center"/>
          </w:tcPr>
          <w:p w:rsidR="00607E9F" w:rsidRPr="00767A0C" w:rsidRDefault="00607E9F" w:rsidP="005A2072">
            <w:pPr>
              <w:jc w:val="left"/>
            </w:pPr>
            <w:r w:rsidRPr="00767A0C">
              <w:t>243.85</w:t>
            </w:r>
          </w:p>
        </w:tc>
        <w:tc>
          <w:tcPr>
            <w:tcW w:w="927" w:type="dxa"/>
            <w:tcBorders>
              <w:top w:val="single" w:sz="4" w:space="0" w:color="auto"/>
              <w:left w:val="single" w:sz="4" w:space="0" w:color="auto"/>
              <w:bottom w:val="single" w:sz="4" w:space="0" w:color="auto"/>
              <w:right w:val="single" w:sz="4" w:space="0" w:color="auto"/>
            </w:tcBorders>
            <w:noWrap/>
            <w:tcMar>
              <w:top w:w="10" w:type="dxa"/>
              <w:left w:w="10" w:type="dxa"/>
              <w:right w:w="10" w:type="dxa"/>
            </w:tcMar>
            <w:vAlign w:val="center"/>
          </w:tcPr>
          <w:p w:rsidR="00607E9F" w:rsidRPr="00767A0C" w:rsidRDefault="00607E9F" w:rsidP="005A2072">
            <w:pPr>
              <w:jc w:val="left"/>
            </w:pPr>
            <w:r w:rsidRPr="00767A0C">
              <w:t>279.46</w:t>
            </w:r>
          </w:p>
        </w:tc>
        <w:tc>
          <w:tcPr>
            <w:tcW w:w="927" w:type="dxa"/>
            <w:tcBorders>
              <w:top w:val="single" w:sz="4" w:space="0" w:color="auto"/>
              <w:left w:val="single" w:sz="4" w:space="0" w:color="auto"/>
              <w:bottom w:val="single" w:sz="4" w:space="0" w:color="auto"/>
              <w:right w:val="single" w:sz="4" w:space="0" w:color="auto"/>
            </w:tcBorders>
            <w:noWrap/>
            <w:tcMar>
              <w:top w:w="10" w:type="dxa"/>
              <w:left w:w="10" w:type="dxa"/>
              <w:right w:w="10" w:type="dxa"/>
            </w:tcMar>
            <w:vAlign w:val="center"/>
          </w:tcPr>
          <w:p w:rsidR="00607E9F" w:rsidRPr="00767A0C" w:rsidRDefault="00607E9F" w:rsidP="005A2072">
            <w:pPr>
              <w:jc w:val="left"/>
            </w:pPr>
            <w:r w:rsidRPr="00767A0C">
              <w:t>284.23</w:t>
            </w:r>
          </w:p>
        </w:tc>
      </w:tr>
      <w:tr w:rsidR="00607E9F" w:rsidRPr="00767A0C">
        <w:trPr>
          <w:trHeight w:val="290"/>
        </w:trPr>
        <w:tc>
          <w:tcPr>
            <w:tcW w:w="1390" w:type="dxa"/>
            <w:tcBorders>
              <w:top w:val="single" w:sz="4" w:space="0" w:color="auto"/>
              <w:left w:val="single" w:sz="4" w:space="0" w:color="auto"/>
              <w:bottom w:val="single" w:sz="4" w:space="0" w:color="auto"/>
              <w:right w:val="single" w:sz="4" w:space="0" w:color="auto"/>
            </w:tcBorders>
            <w:noWrap/>
            <w:tcMar>
              <w:top w:w="10" w:type="dxa"/>
              <w:left w:w="10" w:type="dxa"/>
              <w:right w:w="10" w:type="dxa"/>
            </w:tcMar>
            <w:vAlign w:val="center"/>
          </w:tcPr>
          <w:p w:rsidR="00607E9F" w:rsidRPr="00767A0C" w:rsidRDefault="00607E9F" w:rsidP="005A2072">
            <w:pPr>
              <w:jc w:val="left"/>
            </w:pPr>
          </w:p>
        </w:tc>
        <w:tc>
          <w:tcPr>
            <w:tcW w:w="926" w:type="dxa"/>
            <w:tcBorders>
              <w:top w:val="single" w:sz="4" w:space="0" w:color="auto"/>
              <w:left w:val="single" w:sz="4" w:space="0" w:color="auto"/>
              <w:bottom w:val="single" w:sz="4" w:space="0" w:color="auto"/>
              <w:right w:val="single" w:sz="4" w:space="0" w:color="auto"/>
            </w:tcBorders>
            <w:noWrap/>
            <w:tcMar>
              <w:top w:w="10" w:type="dxa"/>
              <w:left w:w="10" w:type="dxa"/>
              <w:right w:w="10" w:type="dxa"/>
            </w:tcMar>
            <w:vAlign w:val="center"/>
          </w:tcPr>
          <w:p w:rsidR="00607E9F" w:rsidRPr="00767A0C" w:rsidRDefault="00607E9F" w:rsidP="005A2072">
            <w:pPr>
              <w:jc w:val="left"/>
            </w:pPr>
          </w:p>
        </w:tc>
        <w:tc>
          <w:tcPr>
            <w:tcW w:w="955" w:type="dxa"/>
            <w:tcBorders>
              <w:top w:val="single" w:sz="4" w:space="0" w:color="auto"/>
              <w:left w:val="single" w:sz="4" w:space="0" w:color="auto"/>
              <w:bottom w:val="single" w:sz="4" w:space="0" w:color="auto"/>
              <w:right w:val="single" w:sz="4" w:space="0" w:color="auto"/>
            </w:tcBorders>
            <w:noWrap/>
            <w:tcMar>
              <w:top w:w="10" w:type="dxa"/>
              <w:left w:w="10" w:type="dxa"/>
              <w:right w:w="10" w:type="dxa"/>
            </w:tcMar>
            <w:vAlign w:val="center"/>
          </w:tcPr>
          <w:p w:rsidR="00607E9F" w:rsidRPr="00767A0C" w:rsidRDefault="00607E9F" w:rsidP="005A2072">
            <w:pPr>
              <w:jc w:val="left"/>
            </w:pPr>
          </w:p>
        </w:tc>
        <w:tc>
          <w:tcPr>
            <w:tcW w:w="897" w:type="dxa"/>
            <w:tcBorders>
              <w:top w:val="single" w:sz="4" w:space="0" w:color="auto"/>
              <w:left w:val="single" w:sz="4" w:space="0" w:color="auto"/>
              <w:bottom w:val="single" w:sz="4" w:space="0" w:color="auto"/>
              <w:right w:val="single" w:sz="4" w:space="0" w:color="auto"/>
            </w:tcBorders>
            <w:noWrap/>
            <w:tcMar>
              <w:top w:w="10" w:type="dxa"/>
              <w:left w:w="10" w:type="dxa"/>
              <w:right w:w="10" w:type="dxa"/>
            </w:tcMar>
            <w:vAlign w:val="center"/>
          </w:tcPr>
          <w:p w:rsidR="00607E9F" w:rsidRPr="00767A0C" w:rsidRDefault="00607E9F" w:rsidP="005A2072">
            <w:pPr>
              <w:jc w:val="left"/>
            </w:pPr>
          </w:p>
        </w:tc>
        <w:tc>
          <w:tcPr>
            <w:tcW w:w="926" w:type="dxa"/>
            <w:tcBorders>
              <w:top w:val="single" w:sz="4" w:space="0" w:color="auto"/>
              <w:left w:val="single" w:sz="4" w:space="0" w:color="auto"/>
              <w:bottom w:val="single" w:sz="4" w:space="0" w:color="auto"/>
              <w:right w:val="single" w:sz="4" w:space="0" w:color="auto"/>
            </w:tcBorders>
            <w:noWrap/>
            <w:tcMar>
              <w:top w:w="10" w:type="dxa"/>
              <w:left w:w="10" w:type="dxa"/>
              <w:right w:w="10" w:type="dxa"/>
            </w:tcMar>
            <w:vAlign w:val="center"/>
          </w:tcPr>
          <w:p w:rsidR="00607E9F" w:rsidRPr="00767A0C" w:rsidRDefault="00607E9F" w:rsidP="005A2072">
            <w:pPr>
              <w:jc w:val="left"/>
            </w:pPr>
          </w:p>
        </w:tc>
        <w:tc>
          <w:tcPr>
            <w:tcW w:w="926" w:type="dxa"/>
            <w:tcBorders>
              <w:top w:val="single" w:sz="4" w:space="0" w:color="auto"/>
              <w:left w:val="single" w:sz="4" w:space="0" w:color="auto"/>
              <w:bottom w:val="single" w:sz="4" w:space="0" w:color="auto"/>
              <w:right w:val="single" w:sz="4" w:space="0" w:color="auto"/>
            </w:tcBorders>
            <w:noWrap/>
            <w:tcMar>
              <w:top w:w="10" w:type="dxa"/>
              <w:left w:w="10" w:type="dxa"/>
              <w:right w:w="10" w:type="dxa"/>
            </w:tcMar>
            <w:vAlign w:val="center"/>
          </w:tcPr>
          <w:p w:rsidR="00607E9F" w:rsidRPr="00767A0C" w:rsidRDefault="00607E9F" w:rsidP="005A2072">
            <w:pPr>
              <w:jc w:val="left"/>
            </w:pPr>
          </w:p>
        </w:tc>
        <w:tc>
          <w:tcPr>
            <w:tcW w:w="927" w:type="dxa"/>
            <w:tcBorders>
              <w:top w:val="single" w:sz="4" w:space="0" w:color="auto"/>
              <w:left w:val="single" w:sz="4" w:space="0" w:color="auto"/>
              <w:bottom w:val="single" w:sz="4" w:space="0" w:color="auto"/>
              <w:right w:val="single" w:sz="4" w:space="0" w:color="auto"/>
            </w:tcBorders>
            <w:noWrap/>
            <w:tcMar>
              <w:top w:w="10" w:type="dxa"/>
              <w:left w:w="10" w:type="dxa"/>
              <w:right w:w="10" w:type="dxa"/>
            </w:tcMar>
            <w:vAlign w:val="center"/>
          </w:tcPr>
          <w:p w:rsidR="00607E9F" w:rsidRPr="00767A0C" w:rsidRDefault="00607E9F" w:rsidP="005A2072">
            <w:pPr>
              <w:jc w:val="left"/>
            </w:pPr>
          </w:p>
        </w:tc>
        <w:tc>
          <w:tcPr>
            <w:tcW w:w="927" w:type="dxa"/>
            <w:tcBorders>
              <w:top w:val="single" w:sz="4" w:space="0" w:color="auto"/>
              <w:left w:val="single" w:sz="4" w:space="0" w:color="auto"/>
              <w:bottom w:val="single" w:sz="4" w:space="0" w:color="auto"/>
              <w:right w:val="single" w:sz="4" w:space="0" w:color="auto"/>
            </w:tcBorders>
            <w:noWrap/>
            <w:tcMar>
              <w:top w:w="10" w:type="dxa"/>
              <w:left w:w="10" w:type="dxa"/>
              <w:right w:w="10" w:type="dxa"/>
            </w:tcMar>
            <w:vAlign w:val="center"/>
          </w:tcPr>
          <w:p w:rsidR="00607E9F" w:rsidRPr="00767A0C" w:rsidRDefault="00607E9F" w:rsidP="005A2072">
            <w:pPr>
              <w:jc w:val="left"/>
            </w:pPr>
          </w:p>
        </w:tc>
      </w:tr>
      <w:tr w:rsidR="00607E9F" w:rsidRPr="00767A0C">
        <w:trPr>
          <w:trHeight w:val="290"/>
        </w:trPr>
        <w:tc>
          <w:tcPr>
            <w:tcW w:w="1390" w:type="dxa"/>
            <w:tcBorders>
              <w:top w:val="single" w:sz="4" w:space="0" w:color="auto"/>
              <w:left w:val="single" w:sz="4" w:space="0" w:color="auto"/>
              <w:bottom w:val="single" w:sz="4" w:space="0" w:color="auto"/>
              <w:right w:val="single" w:sz="4" w:space="0" w:color="auto"/>
            </w:tcBorders>
            <w:noWrap/>
            <w:tcMar>
              <w:top w:w="10" w:type="dxa"/>
              <w:left w:w="10" w:type="dxa"/>
              <w:right w:w="10" w:type="dxa"/>
            </w:tcMar>
            <w:vAlign w:val="center"/>
          </w:tcPr>
          <w:p w:rsidR="00607E9F" w:rsidRPr="00767A0C" w:rsidRDefault="00607E9F" w:rsidP="005A2072">
            <w:pPr>
              <w:jc w:val="left"/>
            </w:pPr>
            <w:r w:rsidRPr="00767A0C">
              <w:t>Stone 11</w:t>
            </w:r>
          </w:p>
        </w:tc>
        <w:tc>
          <w:tcPr>
            <w:tcW w:w="926" w:type="dxa"/>
            <w:tcBorders>
              <w:top w:val="single" w:sz="4" w:space="0" w:color="auto"/>
              <w:left w:val="single" w:sz="4" w:space="0" w:color="auto"/>
              <w:bottom w:val="single" w:sz="4" w:space="0" w:color="auto"/>
              <w:right w:val="single" w:sz="4" w:space="0" w:color="auto"/>
            </w:tcBorders>
            <w:noWrap/>
            <w:tcMar>
              <w:top w:w="10" w:type="dxa"/>
              <w:left w:w="10" w:type="dxa"/>
              <w:right w:w="10" w:type="dxa"/>
            </w:tcMar>
            <w:vAlign w:val="center"/>
          </w:tcPr>
          <w:p w:rsidR="00607E9F" w:rsidRPr="00767A0C" w:rsidRDefault="00607E9F" w:rsidP="005A2072">
            <w:pPr>
              <w:jc w:val="left"/>
            </w:pPr>
            <w:r w:rsidRPr="00767A0C">
              <w:t>Stone 12</w:t>
            </w:r>
          </w:p>
        </w:tc>
        <w:tc>
          <w:tcPr>
            <w:tcW w:w="955" w:type="dxa"/>
            <w:tcBorders>
              <w:top w:val="single" w:sz="4" w:space="0" w:color="auto"/>
              <w:left w:val="single" w:sz="4" w:space="0" w:color="auto"/>
              <w:bottom w:val="single" w:sz="4" w:space="0" w:color="auto"/>
              <w:right w:val="single" w:sz="4" w:space="0" w:color="auto"/>
            </w:tcBorders>
            <w:noWrap/>
            <w:tcMar>
              <w:top w:w="10" w:type="dxa"/>
              <w:left w:w="10" w:type="dxa"/>
              <w:right w:w="10" w:type="dxa"/>
            </w:tcMar>
            <w:vAlign w:val="center"/>
          </w:tcPr>
          <w:p w:rsidR="00607E9F" w:rsidRPr="00767A0C" w:rsidRDefault="00607E9F" w:rsidP="005A2072">
            <w:pPr>
              <w:jc w:val="left"/>
            </w:pPr>
            <w:r w:rsidRPr="00767A0C">
              <w:t>Stone 13</w:t>
            </w:r>
          </w:p>
        </w:tc>
        <w:tc>
          <w:tcPr>
            <w:tcW w:w="897" w:type="dxa"/>
            <w:tcBorders>
              <w:top w:val="single" w:sz="4" w:space="0" w:color="auto"/>
              <w:left w:val="single" w:sz="4" w:space="0" w:color="auto"/>
              <w:bottom w:val="single" w:sz="4" w:space="0" w:color="auto"/>
              <w:right w:val="single" w:sz="4" w:space="0" w:color="auto"/>
            </w:tcBorders>
            <w:noWrap/>
            <w:tcMar>
              <w:top w:w="10" w:type="dxa"/>
              <w:left w:w="10" w:type="dxa"/>
              <w:right w:w="10" w:type="dxa"/>
            </w:tcMar>
            <w:vAlign w:val="center"/>
          </w:tcPr>
          <w:p w:rsidR="00607E9F" w:rsidRPr="00767A0C" w:rsidRDefault="00607E9F" w:rsidP="005A2072">
            <w:pPr>
              <w:jc w:val="left"/>
            </w:pPr>
            <w:r w:rsidRPr="00767A0C">
              <w:t>Stone 14</w:t>
            </w:r>
          </w:p>
        </w:tc>
        <w:tc>
          <w:tcPr>
            <w:tcW w:w="926" w:type="dxa"/>
            <w:tcBorders>
              <w:top w:val="single" w:sz="4" w:space="0" w:color="auto"/>
              <w:left w:val="single" w:sz="4" w:space="0" w:color="auto"/>
              <w:bottom w:val="single" w:sz="4" w:space="0" w:color="auto"/>
              <w:right w:val="single" w:sz="4" w:space="0" w:color="auto"/>
            </w:tcBorders>
            <w:noWrap/>
            <w:tcMar>
              <w:top w:w="10" w:type="dxa"/>
              <w:left w:w="10" w:type="dxa"/>
              <w:right w:w="10" w:type="dxa"/>
            </w:tcMar>
            <w:vAlign w:val="center"/>
          </w:tcPr>
          <w:p w:rsidR="00607E9F" w:rsidRPr="00767A0C" w:rsidRDefault="00607E9F" w:rsidP="005A2072">
            <w:pPr>
              <w:jc w:val="left"/>
            </w:pPr>
            <w:r w:rsidRPr="00767A0C">
              <w:t>Stone 15</w:t>
            </w:r>
          </w:p>
        </w:tc>
        <w:tc>
          <w:tcPr>
            <w:tcW w:w="926" w:type="dxa"/>
            <w:tcBorders>
              <w:top w:val="single" w:sz="4" w:space="0" w:color="auto"/>
              <w:left w:val="single" w:sz="4" w:space="0" w:color="auto"/>
              <w:bottom w:val="single" w:sz="4" w:space="0" w:color="auto"/>
              <w:right w:val="single" w:sz="4" w:space="0" w:color="auto"/>
            </w:tcBorders>
            <w:noWrap/>
            <w:tcMar>
              <w:top w:w="10" w:type="dxa"/>
              <w:left w:w="10" w:type="dxa"/>
              <w:right w:w="10" w:type="dxa"/>
            </w:tcMar>
            <w:vAlign w:val="center"/>
          </w:tcPr>
          <w:p w:rsidR="00607E9F" w:rsidRPr="00767A0C" w:rsidRDefault="00607E9F" w:rsidP="005A2072">
            <w:pPr>
              <w:jc w:val="left"/>
            </w:pPr>
            <w:r w:rsidRPr="00767A0C">
              <w:t>Stone 16</w:t>
            </w:r>
          </w:p>
        </w:tc>
        <w:tc>
          <w:tcPr>
            <w:tcW w:w="927" w:type="dxa"/>
            <w:tcBorders>
              <w:top w:val="single" w:sz="4" w:space="0" w:color="auto"/>
              <w:left w:val="single" w:sz="4" w:space="0" w:color="auto"/>
              <w:bottom w:val="single" w:sz="4" w:space="0" w:color="auto"/>
              <w:right w:val="single" w:sz="4" w:space="0" w:color="auto"/>
            </w:tcBorders>
            <w:noWrap/>
            <w:tcMar>
              <w:top w:w="10" w:type="dxa"/>
              <w:left w:w="10" w:type="dxa"/>
              <w:right w:w="10" w:type="dxa"/>
            </w:tcMar>
            <w:vAlign w:val="center"/>
          </w:tcPr>
          <w:p w:rsidR="00607E9F" w:rsidRPr="00767A0C" w:rsidRDefault="00607E9F" w:rsidP="005A2072">
            <w:pPr>
              <w:jc w:val="left"/>
            </w:pPr>
            <w:r w:rsidRPr="00767A0C">
              <w:t>Stone17</w:t>
            </w:r>
          </w:p>
        </w:tc>
        <w:tc>
          <w:tcPr>
            <w:tcW w:w="927" w:type="dxa"/>
            <w:tcBorders>
              <w:top w:val="single" w:sz="4" w:space="0" w:color="auto"/>
              <w:left w:val="single" w:sz="4" w:space="0" w:color="auto"/>
              <w:bottom w:val="single" w:sz="4" w:space="0" w:color="auto"/>
              <w:right w:val="single" w:sz="4" w:space="0" w:color="auto"/>
            </w:tcBorders>
            <w:noWrap/>
            <w:tcMar>
              <w:top w:w="10" w:type="dxa"/>
              <w:left w:w="10" w:type="dxa"/>
              <w:right w:w="10" w:type="dxa"/>
            </w:tcMar>
            <w:vAlign w:val="center"/>
          </w:tcPr>
          <w:p w:rsidR="00607E9F" w:rsidRPr="00767A0C" w:rsidRDefault="00607E9F" w:rsidP="005A2072">
            <w:pPr>
              <w:jc w:val="left"/>
            </w:pPr>
            <w:r w:rsidRPr="00767A0C">
              <w:t>Stone 18</w:t>
            </w:r>
          </w:p>
        </w:tc>
      </w:tr>
      <w:tr w:rsidR="00607E9F" w:rsidRPr="00767A0C">
        <w:trPr>
          <w:trHeight w:val="290"/>
        </w:trPr>
        <w:tc>
          <w:tcPr>
            <w:tcW w:w="1390" w:type="dxa"/>
            <w:tcBorders>
              <w:top w:val="single" w:sz="4" w:space="0" w:color="auto"/>
              <w:left w:val="single" w:sz="4" w:space="0" w:color="auto"/>
              <w:bottom w:val="single" w:sz="4" w:space="0" w:color="auto"/>
              <w:right w:val="single" w:sz="4" w:space="0" w:color="auto"/>
            </w:tcBorders>
            <w:noWrap/>
            <w:tcMar>
              <w:top w:w="10" w:type="dxa"/>
              <w:left w:w="10" w:type="dxa"/>
              <w:right w:w="10" w:type="dxa"/>
            </w:tcMar>
            <w:vAlign w:val="center"/>
          </w:tcPr>
          <w:p w:rsidR="00607E9F" w:rsidRPr="00767A0C" w:rsidRDefault="00607E9F" w:rsidP="005A2072">
            <w:pPr>
              <w:jc w:val="left"/>
            </w:pPr>
            <w:r w:rsidRPr="00767A0C">
              <w:t>290.94</w:t>
            </w:r>
          </w:p>
        </w:tc>
        <w:tc>
          <w:tcPr>
            <w:tcW w:w="926" w:type="dxa"/>
            <w:tcBorders>
              <w:top w:val="single" w:sz="4" w:space="0" w:color="auto"/>
              <w:left w:val="single" w:sz="4" w:space="0" w:color="auto"/>
              <w:bottom w:val="single" w:sz="4" w:space="0" w:color="auto"/>
              <w:right w:val="single" w:sz="4" w:space="0" w:color="auto"/>
            </w:tcBorders>
            <w:noWrap/>
            <w:tcMar>
              <w:top w:w="10" w:type="dxa"/>
              <w:left w:w="10" w:type="dxa"/>
              <w:right w:w="10" w:type="dxa"/>
            </w:tcMar>
            <w:vAlign w:val="center"/>
          </w:tcPr>
          <w:p w:rsidR="00607E9F" w:rsidRPr="00767A0C" w:rsidRDefault="00607E9F" w:rsidP="005A2072">
            <w:pPr>
              <w:jc w:val="left"/>
            </w:pPr>
            <w:r w:rsidRPr="00767A0C">
              <w:t>292.21</w:t>
            </w:r>
          </w:p>
        </w:tc>
        <w:tc>
          <w:tcPr>
            <w:tcW w:w="955" w:type="dxa"/>
            <w:tcBorders>
              <w:top w:val="single" w:sz="4" w:space="0" w:color="auto"/>
              <w:left w:val="single" w:sz="4" w:space="0" w:color="auto"/>
              <w:bottom w:val="single" w:sz="4" w:space="0" w:color="auto"/>
              <w:right w:val="single" w:sz="4" w:space="0" w:color="auto"/>
            </w:tcBorders>
            <w:noWrap/>
            <w:tcMar>
              <w:top w:w="10" w:type="dxa"/>
              <w:left w:w="10" w:type="dxa"/>
              <w:right w:w="10" w:type="dxa"/>
            </w:tcMar>
            <w:vAlign w:val="center"/>
          </w:tcPr>
          <w:p w:rsidR="00607E9F" w:rsidRPr="00767A0C" w:rsidRDefault="00607E9F" w:rsidP="005A2072">
            <w:pPr>
              <w:jc w:val="left"/>
            </w:pPr>
            <w:r w:rsidRPr="00767A0C">
              <w:t>325.64</w:t>
            </w:r>
          </w:p>
        </w:tc>
        <w:tc>
          <w:tcPr>
            <w:tcW w:w="897" w:type="dxa"/>
            <w:tcBorders>
              <w:top w:val="single" w:sz="4" w:space="0" w:color="auto"/>
              <w:left w:val="single" w:sz="4" w:space="0" w:color="auto"/>
              <w:bottom w:val="single" w:sz="4" w:space="0" w:color="auto"/>
              <w:right w:val="single" w:sz="4" w:space="0" w:color="auto"/>
            </w:tcBorders>
            <w:noWrap/>
            <w:tcMar>
              <w:top w:w="10" w:type="dxa"/>
              <w:left w:w="10" w:type="dxa"/>
              <w:right w:w="10" w:type="dxa"/>
            </w:tcMar>
            <w:vAlign w:val="center"/>
          </w:tcPr>
          <w:p w:rsidR="00607E9F" w:rsidRPr="00767A0C" w:rsidRDefault="00607E9F" w:rsidP="005A2072">
            <w:pPr>
              <w:jc w:val="left"/>
            </w:pPr>
            <w:r w:rsidRPr="00767A0C">
              <w:t>341.79</w:t>
            </w:r>
          </w:p>
        </w:tc>
        <w:tc>
          <w:tcPr>
            <w:tcW w:w="926" w:type="dxa"/>
            <w:tcBorders>
              <w:top w:val="single" w:sz="4" w:space="0" w:color="auto"/>
              <w:left w:val="single" w:sz="4" w:space="0" w:color="auto"/>
              <w:bottom w:val="single" w:sz="4" w:space="0" w:color="auto"/>
              <w:right w:val="single" w:sz="4" w:space="0" w:color="auto"/>
            </w:tcBorders>
            <w:noWrap/>
            <w:tcMar>
              <w:top w:w="10" w:type="dxa"/>
              <w:left w:w="10" w:type="dxa"/>
              <w:right w:w="10" w:type="dxa"/>
            </w:tcMar>
            <w:vAlign w:val="center"/>
          </w:tcPr>
          <w:p w:rsidR="00607E9F" w:rsidRPr="00767A0C" w:rsidRDefault="00607E9F" w:rsidP="005A2072">
            <w:pPr>
              <w:jc w:val="left"/>
            </w:pPr>
            <w:r w:rsidRPr="00767A0C">
              <w:t>348.53</w:t>
            </w:r>
          </w:p>
        </w:tc>
        <w:tc>
          <w:tcPr>
            <w:tcW w:w="926" w:type="dxa"/>
            <w:tcBorders>
              <w:top w:val="single" w:sz="4" w:space="0" w:color="auto"/>
              <w:left w:val="single" w:sz="4" w:space="0" w:color="auto"/>
              <w:bottom w:val="single" w:sz="4" w:space="0" w:color="auto"/>
              <w:right w:val="single" w:sz="4" w:space="0" w:color="auto"/>
            </w:tcBorders>
            <w:noWrap/>
            <w:tcMar>
              <w:top w:w="10" w:type="dxa"/>
              <w:left w:w="10" w:type="dxa"/>
              <w:right w:w="10" w:type="dxa"/>
            </w:tcMar>
            <w:vAlign w:val="center"/>
          </w:tcPr>
          <w:p w:rsidR="00607E9F" w:rsidRPr="00767A0C" w:rsidRDefault="00607E9F" w:rsidP="005A2072">
            <w:pPr>
              <w:jc w:val="left"/>
            </w:pPr>
            <w:r w:rsidRPr="00767A0C">
              <w:t>353.36</w:t>
            </w:r>
          </w:p>
        </w:tc>
        <w:tc>
          <w:tcPr>
            <w:tcW w:w="927" w:type="dxa"/>
            <w:tcBorders>
              <w:top w:val="single" w:sz="4" w:space="0" w:color="auto"/>
              <w:left w:val="single" w:sz="4" w:space="0" w:color="auto"/>
              <w:bottom w:val="single" w:sz="4" w:space="0" w:color="auto"/>
              <w:right w:val="single" w:sz="4" w:space="0" w:color="auto"/>
            </w:tcBorders>
            <w:noWrap/>
            <w:tcMar>
              <w:top w:w="10" w:type="dxa"/>
              <w:left w:w="10" w:type="dxa"/>
              <w:right w:w="10" w:type="dxa"/>
            </w:tcMar>
            <w:vAlign w:val="center"/>
          </w:tcPr>
          <w:p w:rsidR="00607E9F" w:rsidRPr="00767A0C" w:rsidRDefault="00607E9F" w:rsidP="005A2072">
            <w:pPr>
              <w:jc w:val="left"/>
            </w:pPr>
            <w:r w:rsidRPr="00767A0C">
              <w:t>358.95</w:t>
            </w:r>
          </w:p>
        </w:tc>
        <w:tc>
          <w:tcPr>
            <w:tcW w:w="927" w:type="dxa"/>
            <w:tcBorders>
              <w:top w:val="single" w:sz="4" w:space="0" w:color="auto"/>
              <w:left w:val="single" w:sz="4" w:space="0" w:color="auto"/>
              <w:bottom w:val="single" w:sz="4" w:space="0" w:color="auto"/>
              <w:right w:val="single" w:sz="4" w:space="0" w:color="auto"/>
            </w:tcBorders>
            <w:noWrap/>
            <w:tcMar>
              <w:top w:w="10" w:type="dxa"/>
              <w:left w:w="10" w:type="dxa"/>
              <w:right w:w="10" w:type="dxa"/>
            </w:tcMar>
            <w:vAlign w:val="center"/>
          </w:tcPr>
          <w:p w:rsidR="00607E9F" w:rsidRPr="00767A0C" w:rsidRDefault="00607E9F" w:rsidP="005A2072">
            <w:pPr>
              <w:jc w:val="left"/>
            </w:pPr>
            <w:r w:rsidRPr="00767A0C">
              <w:t>13.68</w:t>
            </w:r>
          </w:p>
        </w:tc>
      </w:tr>
      <w:tr w:rsidR="00607E9F" w:rsidRPr="00767A0C">
        <w:trPr>
          <w:trHeight w:val="290"/>
        </w:trPr>
        <w:tc>
          <w:tcPr>
            <w:tcW w:w="1390" w:type="dxa"/>
            <w:tcBorders>
              <w:top w:val="single" w:sz="4" w:space="0" w:color="auto"/>
              <w:left w:val="single" w:sz="4" w:space="0" w:color="auto"/>
              <w:bottom w:val="single" w:sz="4" w:space="0" w:color="auto"/>
              <w:right w:val="single" w:sz="4" w:space="0" w:color="auto"/>
            </w:tcBorders>
            <w:noWrap/>
            <w:tcMar>
              <w:top w:w="10" w:type="dxa"/>
              <w:left w:w="10" w:type="dxa"/>
              <w:right w:w="10" w:type="dxa"/>
            </w:tcMar>
            <w:vAlign w:val="center"/>
          </w:tcPr>
          <w:p w:rsidR="00607E9F" w:rsidRPr="00767A0C" w:rsidRDefault="00607E9F" w:rsidP="005A2072">
            <w:pPr>
              <w:jc w:val="left"/>
            </w:pPr>
            <w:r w:rsidRPr="00767A0C">
              <w:t>305.06</w:t>
            </w:r>
          </w:p>
        </w:tc>
        <w:tc>
          <w:tcPr>
            <w:tcW w:w="926" w:type="dxa"/>
            <w:tcBorders>
              <w:top w:val="single" w:sz="4" w:space="0" w:color="auto"/>
              <w:left w:val="single" w:sz="4" w:space="0" w:color="auto"/>
              <w:bottom w:val="single" w:sz="4" w:space="0" w:color="auto"/>
              <w:right w:val="single" w:sz="4" w:space="0" w:color="auto"/>
            </w:tcBorders>
            <w:noWrap/>
            <w:tcMar>
              <w:top w:w="10" w:type="dxa"/>
              <w:left w:w="10" w:type="dxa"/>
              <w:right w:w="10" w:type="dxa"/>
            </w:tcMar>
            <w:vAlign w:val="center"/>
          </w:tcPr>
          <w:p w:rsidR="00607E9F" w:rsidRPr="00767A0C" w:rsidRDefault="00607E9F" w:rsidP="005A2072">
            <w:pPr>
              <w:jc w:val="left"/>
            </w:pPr>
            <w:r w:rsidRPr="00767A0C">
              <w:t>307.79</w:t>
            </w:r>
          </w:p>
        </w:tc>
        <w:tc>
          <w:tcPr>
            <w:tcW w:w="955" w:type="dxa"/>
            <w:tcBorders>
              <w:top w:val="single" w:sz="4" w:space="0" w:color="auto"/>
              <w:left w:val="single" w:sz="4" w:space="0" w:color="auto"/>
              <w:bottom w:val="single" w:sz="4" w:space="0" w:color="auto"/>
              <w:right w:val="single" w:sz="4" w:space="0" w:color="auto"/>
            </w:tcBorders>
            <w:noWrap/>
            <w:tcMar>
              <w:top w:w="10" w:type="dxa"/>
              <w:left w:w="10" w:type="dxa"/>
              <w:right w:w="10" w:type="dxa"/>
            </w:tcMar>
            <w:vAlign w:val="center"/>
          </w:tcPr>
          <w:p w:rsidR="00607E9F" w:rsidRPr="00767A0C" w:rsidRDefault="00607E9F" w:rsidP="005A2072">
            <w:pPr>
              <w:jc w:val="left"/>
            </w:pPr>
            <w:r w:rsidRPr="00767A0C">
              <w:t>342.36</w:t>
            </w:r>
          </w:p>
        </w:tc>
        <w:tc>
          <w:tcPr>
            <w:tcW w:w="897" w:type="dxa"/>
            <w:tcBorders>
              <w:top w:val="single" w:sz="4" w:space="0" w:color="auto"/>
              <w:left w:val="single" w:sz="4" w:space="0" w:color="auto"/>
              <w:bottom w:val="single" w:sz="4" w:space="0" w:color="auto"/>
              <w:right w:val="single" w:sz="4" w:space="0" w:color="auto"/>
            </w:tcBorders>
            <w:noWrap/>
            <w:tcMar>
              <w:top w:w="10" w:type="dxa"/>
              <w:left w:w="10" w:type="dxa"/>
              <w:right w:w="10" w:type="dxa"/>
            </w:tcMar>
            <w:vAlign w:val="center"/>
          </w:tcPr>
          <w:p w:rsidR="00607E9F" w:rsidRPr="00767A0C" w:rsidRDefault="00607E9F" w:rsidP="005A2072">
            <w:pPr>
              <w:jc w:val="left"/>
            </w:pPr>
            <w:r w:rsidRPr="00767A0C">
              <w:t>356.21</w:t>
            </w:r>
          </w:p>
        </w:tc>
        <w:tc>
          <w:tcPr>
            <w:tcW w:w="926" w:type="dxa"/>
            <w:tcBorders>
              <w:top w:val="single" w:sz="4" w:space="0" w:color="auto"/>
              <w:left w:val="single" w:sz="4" w:space="0" w:color="auto"/>
              <w:bottom w:val="single" w:sz="4" w:space="0" w:color="auto"/>
              <w:right w:val="single" w:sz="4" w:space="0" w:color="auto"/>
            </w:tcBorders>
            <w:noWrap/>
            <w:tcMar>
              <w:top w:w="10" w:type="dxa"/>
              <w:left w:w="10" w:type="dxa"/>
              <w:right w:w="10" w:type="dxa"/>
            </w:tcMar>
            <w:vAlign w:val="center"/>
          </w:tcPr>
          <w:p w:rsidR="00607E9F" w:rsidRPr="00767A0C" w:rsidRDefault="00607E9F" w:rsidP="005A2072">
            <w:pPr>
              <w:jc w:val="left"/>
            </w:pPr>
            <w:r w:rsidRPr="00767A0C">
              <w:t>363.47</w:t>
            </w:r>
          </w:p>
        </w:tc>
        <w:tc>
          <w:tcPr>
            <w:tcW w:w="926" w:type="dxa"/>
            <w:tcBorders>
              <w:top w:val="single" w:sz="4" w:space="0" w:color="auto"/>
              <w:left w:val="single" w:sz="4" w:space="0" w:color="auto"/>
              <w:bottom w:val="single" w:sz="4" w:space="0" w:color="auto"/>
              <w:right w:val="single" w:sz="4" w:space="0" w:color="auto"/>
            </w:tcBorders>
            <w:noWrap/>
            <w:tcMar>
              <w:top w:w="10" w:type="dxa"/>
              <w:left w:w="10" w:type="dxa"/>
              <w:right w:w="10" w:type="dxa"/>
            </w:tcMar>
            <w:vAlign w:val="center"/>
          </w:tcPr>
          <w:p w:rsidR="00607E9F" w:rsidRPr="00767A0C" w:rsidRDefault="00607E9F" w:rsidP="005A2072">
            <w:pPr>
              <w:jc w:val="left"/>
            </w:pPr>
            <w:r w:rsidRPr="00767A0C">
              <w:t>9.64</w:t>
            </w:r>
          </w:p>
        </w:tc>
        <w:tc>
          <w:tcPr>
            <w:tcW w:w="927" w:type="dxa"/>
            <w:tcBorders>
              <w:top w:val="single" w:sz="4" w:space="0" w:color="auto"/>
              <w:left w:val="single" w:sz="4" w:space="0" w:color="auto"/>
              <w:bottom w:val="single" w:sz="4" w:space="0" w:color="auto"/>
              <w:right w:val="single" w:sz="4" w:space="0" w:color="auto"/>
            </w:tcBorders>
            <w:noWrap/>
            <w:tcMar>
              <w:top w:w="10" w:type="dxa"/>
              <w:left w:w="10" w:type="dxa"/>
              <w:right w:w="10" w:type="dxa"/>
            </w:tcMar>
            <w:vAlign w:val="center"/>
          </w:tcPr>
          <w:p w:rsidR="00607E9F" w:rsidRPr="00767A0C" w:rsidRDefault="00607E9F" w:rsidP="005A2072">
            <w:pPr>
              <w:jc w:val="left"/>
            </w:pPr>
            <w:r w:rsidRPr="00767A0C">
              <w:t>14.05</w:t>
            </w:r>
          </w:p>
        </w:tc>
        <w:tc>
          <w:tcPr>
            <w:tcW w:w="927" w:type="dxa"/>
            <w:tcBorders>
              <w:top w:val="single" w:sz="4" w:space="0" w:color="auto"/>
              <w:left w:val="single" w:sz="4" w:space="0" w:color="auto"/>
              <w:bottom w:val="single" w:sz="4" w:space="0" w:color="auto"/>
              <w:right w:val="single" w:sz="4" w:space="0" w:color="auto"/>
            </w:tcBorders>
            <w:noWrap/>
            <w:tcMar>
              <w:top w:w="10" w:type="dxa"/>
              <w:left w:w="10" w:type="dxa"/>
              <w:right w:w="10" w:type="dxa"/>
            </w:tcMar>
            <w:vAlign w:val="center"/>
          </w:tcPr>
          <w:p w:rsidR="00607E9F" w:rsidRPr="00767A0C" w:rsidRDefault="00607E9F" w:rsidP="005A2072">
            <w:pPr>
              <w:jc w:val="left"/>
            </w:pPr>
            <w:r w:rsidRPr="00767A0C">
              <w:t>28.32</w:t>
            </w:r>
          </w:p>
        </w:tc>
      </w:tr>
      <w:tr w:rsidR="00607E9F" w:rsidRPr="00767A0C">
        <w:trPr>
          <w:trHeight w:val="290"/>
        </w:trPr>
        <w:tc>
          <w:tcPr>
            <w:tcW w:w="1390" w:type="dxa"/>
            <w:tcBorders>
              <w:top w:val="single" w:sz="4" w:space="0" w:color="auto"/>
              <w:left w:val="single" w:sz="4" w:space="0" w:color="auto"/>
              <w:bottom w:val="single" w:sz="4" w:space="0" w:color="auto"/>
              <w:right w:val="single" w:sz="4" w:space="0" w:color="auto"/>
            </w:tcBorders>
            <w:noWrap/>
            <w:tcMar>
              <w:top w:w="10" w:type="dxa"/>
              <w:left w:w="10" w:type="dxa"/>
              <w:right w:w="10" w:type="dxa"/>
            </w:tcMar>
            <w:vAlign w:val="center"/>
          </w:tcPr>
          <w:p w:rsidR="00607E9F" w:rsidRPr="00767A0C" w:rsidRDefault="00607E9F" w:rsidP="005A2072">
            <w:pPr>
              <w:jc w:val="left"/>
            </w:pPr>
          </w:p>
        </w:tc>
        <w:tc>
          <w:tcPr>
            <w:tcW w:w="926" w:type="dxa"/>
            <w:tcBorders>
              <w:top w:val="single" w:sz="4" w:space="0" w:color="auto"/>
              <w:left w:val="single" w:sz="4" w:space="0" w:color="auto"/>
              <w:bottom w:val="single" w:sz="4" w:space="0" w:color="auto"/>
              <w:right w:val="single" w:sz="4" w:space="0" w:color="auto"/>
            </w:tcBorders>
            <w:noWrap/>
            <w:tcMar>
              <w:top w:w="10" w:type="dxa"/>
              <w:left w:w="10" w:type="dxa"/>
              <w:right w:w="10" w:type="dxa"/>
            </w:tcMar>
            <w:vAlign w:val="center"/>
          </w:tcPr>
          <w:p w:rsidR="00607E9F" w:rsidRPr="00767A0C" w:rsidRDefault="00607E9F" w:rsidP="005A2072">
            <w:pPr>
              <w:jc w:val="left"/>
            </w:pPr>
          </w:p>
        </w:tc>
        <w:tc>
          <w:tcPr>
            <w:tcW w:w="955" w:type="dxa"/>
            <w:tcBorders>
              <w:top w:val="single" w:sz="4" w:space="0" w:color="auto"/>
              <w:left w:val="single" w:sz="4" w:space="0" w:color="auto"/>
              <w:bottom w:val="single" w:sz="4" w:space="0" w:color="auto"/>
              <w:right w:val="single" w:sz="4" w:space="0" w:color="auto"/>
            </w:tcBorders>
            <w:noWrap/>
            <w:tcMar>
              <w:top w:w="10" w:type="dxa"/>
              <w:left w:w="10" w:type="dxa"/>
              <w:right w:w="10" w:type="dxa"/>
            </w:tcMar>
            <w:vAlign w:val="center"/>
          </w:tcPr>
          <w:p w:rsidR="00607E9F" w:rsidRPr="00767A0C" w:rsidRDefault="00607E9F" w:rsidP="005A2072">
            <w:pPr>
              <w:jc w:val="left"/>
            </w:pPr>
          </w:p>
        </w:tc>
        <w:tc>
          <w:tcPr>
            <w:tcW w:w="897" w:type="dxa"/>
            <w:tcBorders>
              <w:top w:val="single" w:sz="4" w:space="0" w:color="auto"/>
              <w:left w:val="single" w:sz="4" w:space="0" w:color="auto"/>
              <w:bottom w:val="single" w:sz="4" w:space="0" w:color="auto"/>
              <w:right w:val="single" w:sz="4" w:space="0" w:color="auto"/>
            </w:tcBorders>
            <w:noWrap/>
            <w:tcMar>
              <w:top w:w="10" w:type="dxa"/>
              <w:left w:w="10" w:type="dxa"/>
              <w:right w:w="10" w:type="dxa"/>
            </w:tcMar>
            <w:vAlign w:val="center"/>
          </w:tcPr>
          <w:p w:rsidR="00607E9F" w:rsidRPr="00767A0C" w:rsidRDefault="00607E9F" w:rsidP="005A2072">
            <w:pPr>
              <w:jc w:val="left"/>
            </w:pPr>
          </w:p>
        </w:tc>
        <w:tc>
          <w:tcPr>
            <w:tcW w:w="926" w:type="dxa"/>
            <w:tcBorders>
              <w:top w:val="single" w:sz="4" w:space="0" w:color="auto"/>
              <w:left w:val="single" w:sz="4" w:space="0" w:color="auto"/>
              <w:bottom w:val="single" w:sz="4" w:space="0" w:color="auto"/>
              <w:right w:val="single" w:sz="4" w:space="0" w:color="auto"/>
            </w:tcBorders>
            <w:noWrap/>
            <w:tcMar>
              <w:top w:w="10" w:type="dxa"/>
              <w:left w:w="10" w:type="dxa"/>
              <w:right w:w="10" w:type="dxa"/>
            </w:tcMar>
            <w:vAlign w:val="center"/>
          </w:tcPr>
          <w:p w:rsidR="00607E9F" w:rsidRPr="00767A0C" w:rsidRDefault="00607E9F" w:rsidP="005A2072">
            <w:pPr>
              <w:jc w:val="left"/>
            </w:pPr>
          </w:p>
        </w:tc>
        <w:tc>
          <w:tcPr>
            <w:tcW w:w="926" w:type="dxa"/>
            <w:tcBorders>
              <w:top w:val="single" w:sz="4" w:space="0" w:color="auto"/>
              <w:left w:val="single" w:sz="4" w:space="0" w:color="auto"/>
              <w:bottom w:val="single" w:sz="4" w:space="0" w:color="auto"/>
              <w:right w:val="single" w:sz="4" w:space="0" w:color="auto"/>
            </w:tcBorders>
            <w:noWrap/>
            <w:tcMar>
              <w:top w:w="10" w:type="dxa"/>
              <w:left w:w="10" w:type="dxa"/>
              <w:right w:w="10" w:type="dxa"/>
            </w:tcMar>
            <w:vAlign w:val="center"/>
          </w:tcPr>
          <w:p w:rsidR="00607E9F" w:rsidRPr="00767A0C" w:rsidRDefault="00607E9F" w:rsidP="005A2072">
            <w:pPr>
              <w:jc w:val="left"/>
            </w:pPr>
          </w:p>
        </w:tc>
        <w:tc>
          <w:tcPr>
            <w:tcW w:w="927" w:type="dxa"/>
            <w:tcBorders>
              <w:top w:val="single" w:sz="4" w:space="0" w:color="auto"/>
              <w:left w:val="single" w:sz="4" w:space="0" w:color="auto"/>
              <w:bottom w:val="single" w:sz="4" w:space="0" w:color="auto"/>
              <w:right w:val="single" w:sz="4" w:space="0" w:color="auto"/>
            </w:tcBorders>
            <w:noWrap/>
            <w:tcMar>
              <w:top w:w="10" w:type="dxa"/>
              <w:left w:w="10" w:type="dxa"/>
              <w:right w:w="10" w:type="dxa"/>
            </w:tcMar>
            <w:vAlign w:val="center"/>
          </w:tcPr>
          <w:p w:rsidR="00607E9F" w:rsidRPr="00767A0C" w:rsidRDefault="00607E9F" w:rsidP="005A2072">
            <w:pPr>
              <w:jc w:val="left"/>
            </w:pPr>
          </w:p>
        </w:tc>
        <w:tc>
          <w:tcPr>
            <w:tcW w:w="927" w:type="dxa"/>
            <w:tcBorders>
              <w:top w:val="single" w:sz="4" w:space="0" w:color="auto"/>
              <w:left w:val="single" w:sz="4" w:space="0" w:color="auto"/>
              <w:bottom w:val="single" w:sz="4" w:space="0" w:color="auto"/>
              <w:right w:val="single" w:sz="4" w:space="0" w:color="auto"/>
            </w:tcBorders>
            <w:noWrap/>
            <w:tcMar>
              <w:top w:w="10" w:type="dxa"/>
              <w:left w:w="10" w:type="dxa"/>
              <w:right w:w="10" w:type="dxa"/>
            </w:tcMar>
            <w:vAlign w:val="center"/>
          </w:tcPr>
          <w:p w:rsidR="00607E9F" w:rsidRPr="00767A0C" w:rsidRDefault="00607E9F" w:rsidP="005A2072">
            <w:pPr>
              <w:jc w:val="left"/>
            </w:pPr>
          </w:p>
        </w:tc>
      </w:tr>
      <w:tr w:rsidR="00607E9F" w:rsidRPr="00767A0C">
        <w:trPr>
          <w:trHeight w:val="290"/>
        </w:trPr>
        <w:tc>
          <w:tcPr>
            <w:tcW w:w="1390" w:type="dxa"/>
            <w:tcBorders>
              <w:top w:val="single" w:sz="4" w:space="0" w:color="auto"/>
              <w:left w:val="single" w:sz="4" w:space="0" w:color="auto"/>
              <w:bottom w:val="single" w:sz="4" w:space="0" w:color="auto"/>
              <w:right w:val="single" w:sz="4" w:space="0" w:color="auto"/>
            </w:tcBorders>
            <w:noWrap/>
            <w:tcMar>
              <w:top w:w="10" w:type="dxa"/>
              <w:left w:w="10" w:type="dxa"/>
              <w:right w:w="10" w:type="dxa"/>
            </w:tcMar>
            <w:vAlign w:val="center"/>
          </w:tcPr>
          <w:p w:rsidR="00607E9F" w:rsidRPr="00767A0C" w:rsidRDefault="00607E9F" w:rsidP="005A2072">
            <w:pPr>
              <w:jc w:val="left"/>
            </w:pPr>
            <w:r w:rsidRPr="00767A0C">
              <w:t>Stone 19</w:t>
            </w:r>
          </w:p>
        </w:tc>
        <w:tc>
          <w:tcPr>
            <w:tcW w:w="926" w:type="dxa"/>
            <w:tcBorders>
              <w:top w:val="single" w:sz="4" w:space="0" w:color="auto"/>
              <w:left w:val="single" w:sz="4" w:space="0" w:color="auto"/>
              <w:bottom w:val="single" w:sz="4" w:space="0" w:color="auto"/>
              <w:right w:val="single" w:sz="4" w:space="0" w:color="auto"/>
            </w:tcBorders>
            <w:noWrap/>
            <w:tcMar>
              <w:top w:w="10" w:type="dxa"/>
              <w:left w:w="10" w:type="dxa"/>
              <w:right w:w="10" w:type="dxa"/>
            </w:tcMar>
            <w:vAlign w:val="center"/>
          </w:tcPr>
          <w:p w:rsidR="00607E9F" w:rsidRPr="00767A0C" w:rsidRDefault="00607E9F" w:rsidP="005A2072">
            <w:pPr>
              <w:jc w:val="left"/>
            </w:pPr>
            <w:r w:rsidRPr="00767A0C">
              <w:t>Stone 20</w:t>
            </w:r>
          </w:p>
        </w:tc>
        <w:tc>
          <w:tcPr>
            <w:tcW w:w="955" w:type="dxa"/>
            <w:tcBorders>
              <w:top w:val="single" w:sz="4" w:space="0" w:color="auto"/>
              <w:left w:val="single" w:sz="4" w:space="0" w:color="auto"/>
              <w:bottom w:val="single" w:sz="4" w:space="0" w:color="auto"/>
              <w:right w:val="single" w:sz="4" w:space="0" w:color="auto"/>
            </w:tcBorders>
            <w:noWrap/>
            <w:tcMar>
              <w:top w:w="10" w:type="dxa"/>
              <w:left w:w="10" w:type="dxa"/>
              <w:right w:w="10" w:type="dxa"/>
            </w:tcMar>
            <w:vAlign w:val="center"/>
          </w:tcPr>
          <w:p w:rsidR="00607E9F" w:rsidRPr="00767A0C" w:rsidRDefault="00607E9F" w:rsidP="005A2072">
            <w:pPr>
              <w:jc w:val="left"/>
            </w:pPr>
            <w:r w:rsidRPr="00767A0C">
              <w:t>Stone 21</w:t>
            </w:r>
          </w:p>
        </w:tc>
        <w:tc>
          <w:tcPr>
            <w:tcW w:w="897" w:type="dxa"/>
            <w:tcBorders>
              <w:top w:val="single" w:sz="4" w:space="0" w:color="auto"/>
              <w:left w:val="single" w:sz="4" w:space="0" w:color="auto"/>
              <w:bottom w:val="single" w:sz="4" w:space="0" w:color="auto"/>
              <w:right w:val="single" w:sz="4" w:space="0" w:color="auto"/>
            </w:tcBorders>
            <w:noWrap/>
            <w:tcMar>
              <w:top w:w="10" w:type="dxa"/>
              <w:left w:w="10" w:type="dxa"/>
              <w:right w:w="10" w:type="dxa"/>
            </w:tcMar>
            <w:vAlign w:val="center"/>
          </w:tcPr>
          <w:p w:rsidR="00607E9F" w:rsidRPr="00767A0C" w:rsidRDefault="00607E9F" w:rsidP="005A2072">
            <w:pPr>
              <w:jc w:val="left"/>
            </w:pPr>
            <w:r w:rsidRPr="00767A0C">
              <w:t>Stone 22</w:t>
            </w:r>
          </w:p>
        </w:tc>
        <w:tc>
          <w:tcPr>
            <w:tcW w:w="926" w:type="dxa"/>
            <w:tcBorders>
              <w:top w:val="single" w:sz="4" w:space="0" w:color="auto"/>
              <w:left w:val="single" w:sz="4" w:space="0" w:color="auto"/>
              <w:bottom w:val="single" w:sz="4" w:space="0" w:color="auto"/>
              <w:right w:val="single" w:sz="4" w:space="0" w:color="auto"/>
            </w:tcBorders>
            <w:noWrap/>
            <w:tcMar>
              <w:top w:w="10" w:type="dxa"/>
              <w:left w:w="10" w:type="dxa"/>
              <w:right w:w="10" w:type="dxa"/>
            </w:tcMar>
            <w:vAlign w:val="center"/>
          </w:tcPr>
          <w:p w:rsidR="00607E9F" w:rsidRPr="00767A0C" w:rsidRDefault="00607E9F" w:rsidP="005A2072">
            <w:pPr>
              <w:jc w:val="left"/>
            </w:pPr>
            <w:r w:rsidRPr="00767A0C">
              <w:t>Stone 23</w:t>
            </w:r>
          </w:p>
        </w:tc>
        <w:tc>
          <w:tcPr>
            <w:tcW w:w="926" w:type="dxa"/>
            <w:tcBorders>
              <w:top w:val="single" w:sz="4" w:space="0" w:color="auto"/>
              <w:left w:val="single" w:sz="4" w:space="0" w:color="auto"/>
              <w:bottom w:val="single" w:sz="4" w:space="0" w:color="auto"/>
              <w:right w:val="single" w:sz="4" w:space="0" w:color="auto"/>
            </w:tcBorders>
            <w:noWrap/>
            <w:tcMar>
              <w:top w:w="10" w:type="dxa"/>
              <w:left w:w="10" w:type="dxa"/>
              <w:right w:w="10" w:type="dxa"/>
            </w:tcMar>
            <w:vAlign w:val="center"/>
          </w:tcPr>
          <w:p w:rsidR="00607E9F" w:rsidRPr="00767A0C" w:rsidRDefault="00607E9F" w:rsidP="005A2072">
            <w:pPr>
              <w:jc w:val="left"/>
            </w:pPr>
            <w:r w:rsidRPr="00767A0C">
              <w:t>Stone 25</w:t>
            </w:r>
          </w:p>
        </w:tc>
        <w:tc>
          <w:tcPr>
            <w:tcW w:w="927" w:type="dxa"/>
            <w:tcBorders>
              <w:top w:val="single" w:sz="4" w:space="0" w:color="auto"/>
              <w:left w:val="single" w:sz="4" w:space="0" w:color="auto"/>
              <w:bottom w:val="single" w:sz="4" w:space="0" w:color="auto"/>
              <w:right w:val="single" w:sz="4" w:space="0" w:color="auto"/>
            </w:tcBorders>
            <w:noWrap/>
            <w:tcMar>
              <w:top w:w="10" w:type="dxa"/>
              <w:left w:w="10" w:type="dxa"/>
              <w:right w:w="10" w:type="dxa"/>
            </w:tcMar>
            <w:vAlign w:val="center"/>
          </w:tcPr>
          <w:p w:rsidR="00607E9F" w:rsidRPr="00767A0C" w:rsidRDefault="00607E9F" w:rsidP="005A2072">
            <w:pPr>
              <w:jc w:val="left"/>
            </w:pPr>
            <w:r w:rsidRPr="00767A0C">
              <w:t>Stone 26</w:t>
            </w:r>
          </w:p>
        </w:tc>
        <w:tc>
          <w:tcPr>
            <w:tcW w:w="927" w:type="dxa"/>
            <w:tcBorders>
              <w:top w:val="single" w:sz="4" w:space="0" w:color="auto"/>
              <w:left w:val="single" w:sz="4" w:space="0" w:color="auto"/>
              <w:bottom w:val="single" w:sz="4" w:space="0" w:color="auto"/>
              <w:right w:val="single" w:sz="4" w:space="0" w:color="auto"/>
            </w:tcBorders>
            <w:noWrap/>
            <w:tcMar>
              <w:top w:w="10" w:type="dxa"/>
              <w:left w:w="10" w:type="dxa"/>
              <w:right w:w="10" w:type="dxa"/>
            </w:tcMar>
            <w:vAlign w:val="center"/>
          </w:tcPr>
          <w:p w:rsidR="00607E9F" w:rsidRPr="00767A0C" w:rsidRDefault="00607E9F" w:rsidP="005A2072">
            <w:pPr>
              <w:jc w:val="left"/>
            </w:pPr>
            <w:r w:rsidRPr="00767A0C">
              <w:t>Stone 27</w:t>
            </w:r>
          </w:p>
        </w:tc>
      </w:tr>
      <w:tr w:rsidR="00607E9F" w:rsidRPr="00767A0C">
        <w:trPr>
          <w:trHeight w:val="290"/>
        </w:trPr>
        <w:tc>
          <w:tcPr>
            <w:tcW w:w="1390" w:type="dxa"/>
            <w:tcBorders>
              <w:top w:val="single" w:sz="4" w:space="0" w:color="auto"/>
              <w:left w:val="single" w:sz="4" w:space="0" w:color="auto"/>
              <w:bottom w:val="single" w:sz="4" w:space="0" w:color="auto"/>
              <w:right w:val="single" w:sz="4" w:space="0" w:color="auto"/>
            </w:tcBorders>
            <w:noWrap/>
            <w:tcMar>
              <w:top w:w="10" w:type="dxa"/>
              <w:left w:w="10" w:type="dxa"/>
              <w:right w:w="10" w:type="dxa"/>
            </w:tcMar>
            <w:vAlign w:val="center"/>
          </w:tcPr>
          <w:p w:rsidR="00607E9F" w:rsidRPr="00767A0C" w:rsidRDefault="00607E9F" w:rsidP="005A2072">
            <w:pPr>
              <w:jc w:val="left"/>
            </w:pPr>
            <w:r w:rsidRPr="00767A0C">
              <w:t>31.52</w:t>
            </w:r>
          </w:p>
        </w:tc>
        <w:tc>
          <w:tcPr>
            <w:tcW w:w="926" w:type="dxa"/>
            <w:tcBorders>
              <w:top w:val="single" w:sz="4" w:space="0" w:color="auto"/>
              <w:left w:val="single" w:sz="4" w:space="0" w:color="auto"/>
              <w:bottom w:val="single" w:sz="4" w:space="0" w:color="auto"/>
              <w:right w:val="single" w:sz="4" w:space="0" w:color="auto"/>
            </w:tcBorders>
            <w:noWrap/>
            <w:tcMar>
              <w:top w:w="10" w:type="dxa"/>
              <w:left w:w="10" w:type="dxa"/>
              <w:right w:w="10" w:type="dxa"/>
            </w:tcMar>
            <w:vAlign w:val="center"/>
          </w:tcPr>
          <w:p w:rsidR="00607E9F" w:rsidRPr="00767A0C" w:rsidRDefault="00607E9F" w:rsidP="005A2072">
            <w:pPr>
              <w:jc w:val="left"/>
            </w:pPr>
            <w:r w:rsidRPr="00767A0C">
              <w:t>39.11</w:t>
            </w:r>
          </w:p>
        </w:tc>
        <w:tc>
          <w:tcPr>
            <w:tcW w:w="955" w:type="dxa"/>
            <w:tcBorders>
              <w:top w:val="single" w:sz="4" w:space="0" w:color="auto"/>
              <w:left w:val="single" w:sz="4" w:space="0" w:color="auto"/>
              <w:bottom w:val="single" w:sz="4" w:space="0" w:color="auto"/>
              <w:right w:val="single" w:sz="4" w:space="0" w:color="auto"/>
            </w:tcBorders>
            <w:noWrap/>
            <w:tcMar>
              <w:top w:w="10" w:type="dxa"/>
              <w:left w:w="10" w:type="dxa"/>
              <w:right w:w="10" w:type="dxa"/>
            </w:tcMar>
            <w:vAlign w:val="center"/>
          </w:tcPr>
          <w:p w:rsidR="00607E9F" w:rsidRPr="00767A0C" w:rsidRDefault="00607E9F" w:rsidP="005A2072">
            <w:pPr>
              <w:jc w:val="left"/>
            </w:pPr>
            <w:r w:rsidRPr="00767A0C">
              <w:t>45.68</w:t>
            </w:r>
          </w:p>
        </w:tc>
        <w:tc>
          <w:tcPr>
            <w:tcW w:w="897" w:type="dxa"/>
            <w:tcBorders>
              <w:top w:val="single" w:sz="4" w:space="0" w:color="auto"/>
              <w:left w:val="single" w:sz="4" w:space="0" w:color="auto"/>
              <w:bottom w:val="single" w:sz="4" w:space="0" w:color="auto"/>
              <w:right w:val="single" w:sz="4" w:space="0" w:color="auto"/>
            </w:tcBorders>
            <w:noWrap/>
            <w:tcMar>
              <w:top w:w="10" w:type="dxa"/>
              <w:left w:w="10" w:type="dxa"/>
              <w:right w:w="10" w:type="dxa"/>
            </w:tcMar>
            <w:vAlign w:val="center"/>
          </w:tcPr>
          <w:p w:rsidR="00607E9F" w:rsidRPr="00767A0C" w:rsidRDefault="00607E9F" w:rsidP="005A2072">
            <w:pPr>
              <w:jc w:val="left"/>
            </w:pPr>
            <w:r w:rsidRPr="00767A0C">
              <w:t>52.42</w:t>
            </w:r>
          </w:p>
        </w:tc>
        <w:tc>
          <w:tcPr>
            <w:tcW w:w="926" w:type="dxa"/>
            <w:tcBorders>
              <w:top w:val="single" w:sz="4" w:space="0" w:color="auto"/>
              <w:left w:val="single" w:sz="4" w:space="0" w:color="auto"/>
              <w:bottom w:val="single" w:sz="4" w:space="0" w:color="auto"/>
              <w:right w:val="single" w:sz="4" w:space="0" w:color="auto"/>
            </w:tcBorders>
            <w:noWrap/>
            <w:tcMar>
              <w:top w:w="10" w:type="dxa"/>
              <w:left w:w="10" w:type="dxa"/>
              <w:right w:w="10" w:type="dxa"/>
            </w:tcMar>
            <w:vAlign w:val="center"/>
          </w:tcPr>
          <w:p w:rsidR="00607E9F" w:rsidRPr="00767A0C" w:rsidRDefault="00607E9F" w:rsidP="005A2072">
            <w:pPr>
              <w:jc w:val="left"/>
            </w:pPr>
            <w:r w:rsidRPr="00767A0C">
              <w:t>57</w:t>
            </w:r>
          </w:p>
        </w:tc>
        <w:tc>
          <w:tcPr>
            <w:tcW w:w="926" w:type="dxa"/>
            <w:tcBorders>
              <w:top w:val="single" w:sz="4" w:space="0" w:color="auto"/>
              <w:left w:val="single" w:sz="4" w:space="0" w:color="auto"/>
              <w:bottom w:val="single" w:sz="4" w:space="0" w:color="auto"/>
              <w:right w:val="single" w:sz="4" w:space="0" w:color="auto"/>
            </w:tcBorders>
            <w:noWrap/>
            <w:tcMar>
              <w:top w:w="10" w:type="dxa"/>
              <w:left w:w="10" w:type="dxa"/>
              <w:right w:w="10" w:type="dxa"/>
            </w:tcMar>
            <w:vAlign w:val="center"/>
          </w:tcPr>
          <w:p w:rsidR="00607E9F" w:rsidRPr="00767A0C" w:rsidRDefault="00607E9F" w:rsidP="005A2072">
            <w:pPr>
              <w:jc w:val="left"/>
            </w:pPr>
            <w:r w:rsidRPr="00767A0C">
              <w:t>87.62</w:t>
            </w:r>
          </w:p>
        </w:tc>
        <w:tc>
          <w:tcPr>
            <w:tcW w:w="927" w:type="dxa"/>
            <w:tcBorders>
              <w:top w:val="single" w:sz="4" w:space="0" w:color="auto"/>
              <w:left w:val="single" w:sz="4" w:space="0" w:color="auto"/>
              <w:bottom w:val="single" w:sz="4" w:space="0" w:color="auto"/>
              <w:right w:val="single" w:sz="4" w:space="0" w:color="auto"/>
            </w:tcBorders>
            <w:noWrap/>
            <w:tcMar>
              <w:top w:w="10" w:type="dxa"/>
              <w:left w:w="10" w:type="dxa"/>
              <w:right w:w="10" w:type="dxa"/>
            </w:tcMar>
            <w:vAlign w:val="center"/>
          </w:tcPr>
          <w:p w:rsidR="00607E9F" w:rsidRPr="00767A0C" w:rsidRDefault="00607E9F" w:rsidP="005A2072">
            <w:pPr>
              <w:jc w:val="left"/>
            </w:pPr>
            <w:r w:rsidRPr="00767A0C">
              <w:t>93.08</w:t>
            </w:r>
          </w:p>
        </w:tc>
        <w:tc>
          <w:tcPr>
            <w:tcW w:w="927" w:type="dxa"/>
            <w:tcBorders>
              <w:top w:val="single" w:sz="4" w:space="0" w:color="auto"/>
              <w:left w:val="single" w:sz="4" w:space="0" w:color="auto"/>
              <w:bottom w:val="single" w:sz="4" w:space="0" w:color="auto"/>
              <w:right w:val="single" w:sz="4" w:space="0" w:color="auto"/>
            </w:tcBorders>
            <w:noWrap/>
            <w:tcMar>
              <w:top w:w="10" w:type="dxa"/>
              <w:left w:w="10" w:type="dxa"/>
              <w:right w:w="10" w:type="dxa"/>
            </w:tcMar>
            <w:vAlign w:val="center"/>
          </w:tcPr>
          <w:p w:rsidR="00607E9F" w:rsidRPr="00767A0C" w:rsidRDefault="00607E9F" w:rsidP="005A2072">
            <w:pPr>
              <w:jc w:val="left"/>
            </w:pPr>
            <w:r w:rsidRPr="00767A0C">
              <w:t>110.02</w:t>
            </w:r>
          </w:p>
        </w:tc>
      </w:tr>
      <w:tr w:rsidR="00607E9F" w:rsidRPr="00767A0C">
        <w:trPr>
          <w:trHeight w:val="290"/>
        </w:trPr>
        <w:tc>
          <w:tcPr>
            <w:tcW w:w="1390" w:type="dxa"/>
            <w:tcBorders>
              <w:top w:val="single" w:sz="4" w:space="0" w:color="auto"/>
              <w:left w:val="single" w:sz="4" w:space="0" w:color="auto"/>
              <w:bottom w:val="single" w:sz="4" w:space="0" w:color="auto"/>
              <w:right w:val="single" w:sz="4" w:space="0" w:color="auto"/>
            </w:tcBorders>
            <w:noWrap/>
            <w:tcMar>
              <w:top w:w="10" w:type="dxa"/>
              <w:left w:w="10" w:type="dxa"/>
              <w:right w:w="10" w:type="dxa"/>
            </w:tcMar>
            <w:vAlign w:val="center"/>
          </w:tcPr>
          <w:p w:rsidR="00607E9F" w:rsidRPr="00767A0C" w:rsidRDefault="00607E9F" w:rsidP="005A2072">
            <w:pPr>
              <w:jc w:val="left"/>
            </w:pPr>
            <w:r w:rsidRPr="00767A0C">
              <w:t>46.48</w:t>
            </w:r>
          </w:p>
        </w:tc>
        <w:tc>
          <w:tcPr>
            <w:tcW w:w="926" w:type="dxa"/>
            <w:tcBorders>
              <w:top w:val="single" w:sz="4" w:space="0" w:color="auto"/>
              <w:left w:val="single" w:sz="4" w:space="0" w:color="auto"/>
              <w:bottom w:val="single" w:sz="4" w:space="0" w:color="auto"/>
              <w:right w:val="single" w:sz="4" w:space="0" w:color="auto"/>
            </w:tcBorders>
            <w:noWrap/>
            <w:tcMar>
              <w:top w:w="10" w:type="dxa"/>
              <w:left w:w="10" w:type="dxa"/>
              <w:right w:w="10" w:type="dxa"/>
            </w:tcMar>
            <w:vAlign w:val="center"/>
          </w:tcPr>
          <w:p w:rsidR="00607E9F" w:rsidRPr="00767A0C" w:rsidRDefault="00607E9F" w:rsidP="005A2072">
            <w:pPr>
              <w:jc w:val="left"/>
            </w:pPr>
            <w:r w:rsidRPr="00767A0C">
              <w:t>52.89</w:t>
            </w:r>
          </w:p>
        </w:tc>
        <w:tc>
          <w:tcPr>
            <w:tcW w:w="955" w:type="dxa"/>
            <w:tcBorders>
              <w:top w:val="single" w:sz="4" w:space="0" w:color="auto"/>
              <w:left w:val="single" w:sz="4" w:space="0" w:color="auto"/>
              <w:bottom w:val="single" w:sz="4" w:space="0" w:color="auto"/>
              <w:right w:val="single" w:sz="4" w:space="0" w:color="auto"/>
            </w:tcBorders>
            <w:noWrap/>
            <w:tcMar>
              <w:top w:w="10" w:type="dxa"/>
              <w:left w:w="10" w:type="dxa"/>
              <w:right w:w="10" w:type="dxa"/>
            </w:tcMar>
            <w:vAlign w:val="center"/>
          </w:tcPr>
          <w:p w:rsidR="00607E9F" w:rsidRPr="00767A0C" w:rsidRDefault="00607E9F" w:rsidP="005A2072">
            <w:pPr>
              <w:jc w:val="left"/>
            </w:pPr>
            <w:r w:rsidRPr="00767A0C">
              <w:t>60.32</w:t>
            </w:r>
          </w:p>
        </w:tc>
        <w:tc>
          <w:tcPr>
            <w:tcW w:w="897" w:type="dxa"/>
            <w:tcBorders>
              <w:top w:val="single" w:sz="4" w:space="0" w:color="auto"/>
              <w:left w:val="single" w:sz="4" w:space="0" w:color="auto"/>
              <w:bottom w:val="single" w:sz="4" w:space="0" w:color="auto"/>
              <w:right w:val="single" w:sz="4" w:space="0" w:color="auto"/>
            </w:tcBorders>
            <w:noWrap/>
            <w:tcMar>
              <w:top w:w="10" w:type="dxa"/>
              <w:left w:w="10" w:type="dxa"/>
              <w:right w:w="10" w:type="dxa"/>
            </w:tcMar>
            <w:vAlign w:val="center"/>
          </w:tcPr>
          <w:p w:rsidR="00607E9F" w:rsidRPr="00767A0C" w:rsidRDefault="00607E9F" w:rsidP="005A2072">
            <w:pPr>
              <w:jc w:val="left"/>
            </w:pPr>
            <w:r w:rsidRPr="00767A0C">
              <w:t>67.58</w:t>
            </w:r>
          </w:p>
        </w:tc>
        <w:tc>
          <w:tcPr>
            <w:tcW w:w="926" w:type="dxa"/>
            <w:tcBorders>
              <w:top w:val="single" w:sz="4" w:space="0" w:color="auto"/>
              <w:left w:val="single" w:sz="4" w:space="0" w:color="auto"/>
              <w:bottom w:val="single" w:sz="4" w:space="0" w:color="auto"/>
              <w:right w:val="single" w:sz="4" w:space="0" w:color="auto"/>
            </w:tcBorders>
            <w:noWrap/>
            <w:tcMar>
              <w:top w:w="10" w:type="dxa"/>
              <w:left w:w="10" w:type="dxa"/>
              <w:right w:w="10" w:type="dxa"/>
            </w:tcMar>
            <w:vAlign w:val="center"/>
          </w:tcPr>
          <w:p w:rsidR="00607E9F" w:rsidRPr="00767A0C" w:rsidRDefault="00607E9F" w:rsidP="005A2072">
            <w:pPr>
              <w:jc w:val="left"/>
            </w:pPr>
            <w:r w:rsidRPr="00767A0C">
              <w:t>73</w:t>
            </w:r>
          </w:p>
        </w:tc>
        <w:tc>
          <w:tcPr>
            <w:tcW w:w="926" w:type="dxa"/>
            <w:tcBorders>
              <w:top w:val="single" w:sz="4" w:space="0" w:color="auto"/>
              <w:left w:val="single" w:sz="4" w:space="0" w:color="auto"/>
              <w:bottom w:val="single" w:sz="4" w:space="0" w:color="auto"/>
              <w:right w:val="single" w:sz="4" w:space="0" w:color="auto"/>
            </w:tcBorders>
            <w:noWrap/>
            <w:tcMar>
              <w:top w:w="10" w:type="dxa"/>
              <w:left w:w="10" w:type="dxa"/>
              <w:right w:w="10" w:type="dxa"/>
            </w:tcMar>
            <w:vAlign w:val="center"/>
          </w:tcPr>
          <w:p w:rsidR="00607E9F" w:rsidRPr="00767A0C" w:rsidRDefault="00607E9F" w:rsidP="005A2072">
            <w:pPr>
              <w:jc w:val="left"/>
            </w:pPr>
            <w:r w:rsidRPr="00767A0C">
              <w:t>102.38</w:t>
            </w:r>
          </w:p>
        </w:tc>
        <w:tc>
          <w:tcPr>
            <w:tcW w:w="927" w:type="dxa"/>
            <w:tcBorders>
              <w:top w:val="single" w:sz="4" w:space="0" w:color="auto"/>
              <w:left w:val="single" w:sz="4" w:space="0" w:color="auto"/>
              <w:bottom w:val="single" w:sz="4" w:space="0" w:color="auto"/>
              <w:right w:val="single" w:sz="4" w:space="0" w:color="auto"/>
            </w:tcBorders>
            <w:noWrap/>
            <w:tcMar>
              <w:top w:w="10" w:type="dxa"/>
              <w:left w:w="10" w:type="dxa"/>
              <w:right w:w="10" w:type="dxa"/>
            </w:tcMar>
            <w:vAlign w:val="center"/>
          </w:tcPr>
          <w:p w:rsidR="00607E9F" w:rsidRPr="00767A0C" w:rsidRDefault="00607E9F" w:rsidP="005A2072">
            <w:pPr>
              <w:jc w:val="left"/>
            </w:pPr>
            <w:r w:rsidRPr="00767A0C">
              <w:t>108.92</w:t>
            </w:r>
          </w:p>
        </w:tc>
        <w:tc>
          <w:tcPr>
            <w:tcW w:w="927" w:type="dxa"/>
            <w:tcBorders>
              <w:top w:val="single" w:sz="4" w:space="0" w:color="auto"/>
              <w:left w:val="single" w:sz="4" w:space="0" w:color="auto"/>
              <w:bottom w:val="single" w:sz="4" w:space="0" w:color="auto"/>
              <w:right w:val="single" w:sz="4" w:space="0" w:color="auto"/>
            </w:tcBorders>
            <w:noWrap/>
            <w:tcMar>
              <w:top w:w="10" w:type="dxa"/>
              <w:left w:w="10" w:type="dxa"/>
              <w:right w:w="10" w:type="dxa"/>
            </w:tcMar>
            <w:vAlign w:val="center"/>
          </w:tcPr>
          <w:p w:rsidR="00607E9F" w:rsidRPr="00767A0C" w:rsidRDefault="00607E9F" w:rsidP="005A2072">
            <w:pPr>
              <w:jc w:val="left"/>
            </w:pPr>
            <w:r w:rsidRPr="00767A0C">
              <w:t>125.98</w:t>
            </w:r>
          </w:p>
        </w:tc>
      </w:tr>
    </w:tbl>
    <w:p w:rsidR="00607E9F" w:rsidRPr="008453B6" w:rsidRDefault="00607E9F" w:rsidP="005A2072">
      <w:pPr>
        <w:jc w:val="left"/>
        <w:rPr>
          <w:i/>
        </w:rPr>
      </w:pPr>
    </w:p>
    <w:p w:rsidR="00607E9F" w:rsidRPr="005A2072" w:rsidRDefault="00607E9F" w:rsidP="005A2072">
      <w:pPr>
        <w:jc w:val="left"/>
        <w:rPr>
          <w:i/>
        </w:rPr>
      </w:pPr>
      <w:r w:rsidRPr="008453B6">
        <w:rPr>
          <w:i/>
        </w:rPr>
        <w:t>Table 5. Azimuth uncertainty boundaries at the Ring of Brodgar.</w:t>
      </w:r>
      <w:r w:rsidRPr="005A2072">
        <w:rPr>
          <w:i/>
        </w:rPr>
        <w:t xml:space="preserve"> </w:t>
      </w:r>
    </w:p>
    <w:p w:rsidR="00607E9F" w:rsidRPr="00767A0C" w:rsidRDefault="00607E9F" w:rsidP="005A2072">
      <w:pPr>
        <w:jc w:val="left"/>
      </w:pPr>
    </w:p>
    <w:p w:rsidR="00607E9F" w:rsidRPr="008453B6" w:rsidRDefault="00607E9F" w:rsidP="005A2072">
      <w:pPr>
        <w:jc w:val="left"/>
        <w:rPr>
          <w:b/>
          <w:color w:val="3366FF"/>
        </w:rPr>
      </w:pPr>
    </w:p>
    <w:p w:rsidR="00607E9F" w:rsidRPr="008453B6" w:rsidRDefault="00607E9F" w:rsidP="005A2072">
      <w:pPr>
        <w:jc w:val="left"/>
        <w:rPr>
          <w:b/>
          <w:color w:val="3366FF"/>
        </w:rPr>
      </w:pPr>
    </w:p>
    <w:p w:rsidR="00607E9F" w:rsidRPr="008453B6" w:rsidRDefault="00607E9F" w:rsidP="005A2072">
      <w:pPr>
        <w:jc w:val="left"/>
        <w:rPr>
          <w:b/>
          <w:color w:val="3366FF"/>
        </w:rPr>
      </w:pPr>
      <w:r w:rsidRPr="008453B6">
        <w:rPr>
          <w:b/>
          <w:color w:val="3366FF"/>
        </w:rPr>
        <w:t>5.6 LONG DISTANCE RESULTS.</w:t>
      </w:r>
    </w:p>
    <w:p w:rsidR="00607E9F" w:rsidRPr="00767A0C" w:rsidRDefault="00607E9F" w:rsidP="005A2072">
      <w:pPr>
        <w:jc w:val="left"/>
      </w:pPr>
      <w:r w:rsidRPr="00767A0C">
        <w:t>The Ring of Brodgar’s centre to the centre of the Ring of Bookan follows an azimuth of 312° while the Stones of Stenness to the Ring of Brodgar is 300°. Whilst the azimuth of any two points can be measured, two alignments were found within the positions of the standing stones (See Figure 13). One alignment, at approximately 300°, goes from the Barnstone to the position of the Odin stone (Canmore.org.uk, n.d.) to the Watchstone and the Comet stone. The other, at approximately 305° goes from the Barnstone to the two Brodgar Farm stones, the north entrance of the Ness wall and the Comet stone.</w:t>
      </w:r>
    </w:p>
    <w:p w:rsidR="00607E9F" w:rsidRPr="00767A0C" w:rsidRDefault="00607E9F" w:rsidP="005A2072">
      <w:pPr>
        <w:jc w:val="left"/>
      </w:pPr>
      <w:r>
        <w:pict>
          <v:shape id="_x0000_i1040" type="#_x0000_t75" style="width:413pt;height:266pt;visibility:visible">
            <v:imagedata r:id="rId24" o:title=""/>
          </v:shape>
        </w:pict>
      </w:r>
    </w:p>
    <w:p w:rsidR="00607E9F" w:rsidRPr="005A2072" w:rsidRDefault="00607E9F" w:rsidP="005A2072">
      <w:pPr>
        <w:jc w:val="left"/>
        <w:rPr>
          <w:i/>
        </w:rPr>
      </w:pPr>
      <w:r w:rsidRPr="005A2072">
        <w:rPr>
          <w:i/>
        </w:rPr>
        <w:t>Figure 13.  The standing stone alignments.</w:t>
      </w:r>
    </w:p>
    <w:p w:rsidR="00607E9F" w:rsidRPr="00767A0C" w:rsidRDefault="00607E9F" w:rsidP="005A2072">
      <w:pPr>
        <w:jc w:val="left"/>
      </w:pPr>
    </w:p>
    <w:p w:rsidR="00607E9F" w:rsidRPr="00767A0C" w:rsidRDefault="00607E9F" w:rsidP="005A2072">
      <w:pPr>
        <w:jc w:val="left"/>
      </w:pPr>
    </w:p>
    <w:p w:rsidR="00607E9F" w:rsidRPr="008453B6" w:rsidRDefault="00607E9F" w:rsidP="008453B6">
      <w:pPr>
        <w:pStyle w:val="Heading2"/>
        <w:jc w:val="center"/>
        <w:rPr>
          <w:color w:val="3366FF"/>
        </w:rPr>
      </w:pPr>
      <w:r w:rsidRPr="008453B6">
        <w:rPr>
          <w:color w:val="3366FF"/>
        </w:rPr>
        <w:t>Chapter 6.</w:t>
      </w:r>
    </w:p>
    <w:p w:rsidR="00607E9F" w:rsidRPr="008453B6" w:rsidRDefault="00607E9F" w:rsidP="008453B6">
      <w:pPr>
        <w:pStyle w:val="Heading2"/>
        <w:jc w:val="center"/>
        <w:rPr>
          <w:color w:val="3366FF"/>
          <w:sz w:val="28"/>
        </w:rPr>
      </w:pPr>
      <w:r w:rsidRPr="008453B6">
        <w:rPr>
          <w:color w:val="3366FF"/>
          <w:sz w:val="28"/>
        </w:rPr>
        <w:t xml:space="preserve"> DISCUSSION.</w:t>
      </w:r>
    </w:p>
    <w:p w:rsidR="00607E9F" w:rsidRPr="00767A0C" w:rsidRDefault="00607E9F" w:rsidP="005A2072">
      <w:pPr>
        <w:jc w:val="left"/>
      </w:pPr>
    </w:p>
    <w:p w:rsidR="00607E9F" w:rsidRPr="008453B6" w:rsidRDefault="00607E9F" w:rsidP="005A2072">
      <w:pPr>
        <w:pStyle w:val="Heading3"/>
        <w:jc w:val="left"/>
        <w:rPr>
          <w:color w:val="3366FF"/>
        </w:rPr>
      </w:pPr>
      <w:r w:rsidRPr="008453B6">
        <w:rPr>
          <w:color w:val="3366FF"/>
        </w:rPr>
        <w:t>6.1 STONE CIRCLES.</w:t>
      </w:r>
    </w:p>
    <w:p w:rsidR="00607E9F" w:rsidRPr="00767A0C" w:rsidRDefault="00607E9F" w:rsidP="005A2072">
      <w:pPr>
        <w:jc w:val="left"/>
      </w:pPr>
      <w:r w:rsidRPr="00767A0C">
        <w:t xml:space="preserve">My measurements from the Stones of Stenness concurred with Gail Higginbottom and Clay (2016) but our interpretations of these results differed as they attached significance to alignments that I considered were probably coincidental. They also included stone 12 in their calculations but there is considerable doubt as to whether a stone existed in this position. The discussion around the possible position of a twelfth stone appears to have been influenced by the assumption that there would have been an even number of stones forming the circle, without significant gaps. The only evidence for stone 12 is a very slight hollow that may well be natural (Ritchie, 1975). No socket exists so I did not include this position. Unlike Higginbottom and Clay, I also considered orientations towards full moons and the rising and settings of stars. Euan MacKie (1997) said an alignment should contain a long line of sight from the artificial structure to a significant point on the horizon and preferably have a direction indicator incorporated into the structure. A distinctive stone within a stone circle could be such an indicator. Although a stone orientated towards a celestial aspect on a significant point of the horizon would be more suggestive of a deliberate alignment, I did not want to make the assumption that the people of the Neolithic would have considered this precision necessary therefore I also considered general orientation. </w:t>
      </w:r>
    </w:p>
    <w:p w:rsidR="00607E9F" w:rsidRPr="00767A0C" w:rsidRDefault="00607E9F" w:rsidP="005A2072">
      <w:pPr>
        <w:jc w:val="left"/>
      </w:pPr>
    </w:p>
    <w:p w:rsidR="00607E9F" w:rsidRPr="00767A0C" w:rsidRDefault="00607E9F" w:rsidP="005A2072">
      <w:pPr>
        <w:jc w:val="left"/>
      </w:pPr>
      <w:r w:rsidRPr="00767A0C">
        <w:t>Higginbottom and Clay had concluded from their research that “the builders engineered very particular horizon views” (2016, p.256). Working with computer software, rather than visiting the site, they described the horizon around Stenness as having notches, high ranges, and significant peaks. This perhaps exaggerates any suggested horizon alignments as, to the naked eye, the horizon consists of gently undulating hills. For example, a horizon notch alluded to can barely be seen from the site. The significance of a rising out “of a northern slope of the high ranges in the NE and set into the high points in the NW” (2016, p.256) may be distinctive using horizon software but in the field they are not as apparent as the text suggests. Therefore the significance attached to such alignments is less convincing. The most distinctive part of the horizon, to the naked eye, are two hills in the southwest.</w:t>
      </w:r>
    </w:p>
    <w:p w:rsidR="00607E9F" w:rsidRPr="00767A0C" w:rsidRDefault="00607E9F" w:rsidP="005A2072">
      <w:pPr>
        <w:jc w:val="left"/>
      </w:pPr>
      <w:r>
        <w:pict>
          <v:shape id="Picture 15" o:spid="_x0000_i1041" type="#_x0000_t75" alt="skyline hwt" style="width:406pt;height:93pt;visibility:visible">
            <v:imagedata r:id="rId25" o:title=""/>
          </v:shape>
        </w:pict>
      </w:r>
    </w:p>
    <w:p w:rsidR="00607E9F" w:rsidRPr="00767A0C" w:rsidRDefault="00607E9F" w:rsidP="005A2072">
      <w:pPr>
        <w:jc w:val="left"/>
      </w:pPr>
      <w:r>
        <w:pict>
          <v:shape id="Picture 16" o:spid="_x0000_i1042" type="#_x0000_t75" alt="horizon" style="width:413pt;height:54pt;visibility:visible">
            <v:imagedata r:id="rId26" o:title=""/>
          </v:shape>
        </w:pict>
      </w:r>
    </w:p>
    <w:p w:rsidR="00607E9F" w:rsidRPr="005A2072" w:rsidRDefault="00607E9F" w:rsidP="005A2072">
      <w:pPr>
        <w:jc w:val="left"/>
        <w:rPr>
          <w:i/>
        </w:rPr>
      </w:pPr>
      <w:r w:rsidRPr="005A2072">
        <w:rPr>
          <w:i/>
        </w:rPr>
        <w:t>Figure 14.  Stones of Stenness northern horizon comparing exaggerated software with the real horizon.</w:t>
      </w:r>
    </w:p>
    <w:p w:rsidR="00607E9F" w:rsidRPr="00767A0C" w:rsidRDefault="00607E9F" w:rsidP="005A2072">
      <w:pPr>
        <w:jc w:val="left"/>
      </w:pPr>
    </w:p>
    <w:p w:rsidR="00607E9F" w:rsidRPr="00767A0C" w:rsidRDefault="00607E9F" w:rsidP="005A2072">
      <w:pPr>
        <w:jc w:val="left"/>
      </w:pPr>
      <w:r w:rsidRPr="00767A0C">
        <w:t>The results of my measurements are shown in Table 6. The second column</w:t>
      </w:r>
      <w:r>
        <w:t xml:space="preserve"> </w:t>
      </w:r>
      <w:r w:rsidRPr="00767A0C">
        <w:t>shows the orientations towards aspects concerning the sun and moon while column three shows the orientations towards the rising or setting of stars.</w:t>
      </w:r>
    </w:p>
    <w:p w:rsidR="00607E9F" w:rsidRPr="00767A0C" w:rsidRDefault="00607E9F" w:rsidP="005A2072">
      <w:pPr>
        <w:jc w:val="left"/>
      </w:pPr>
    </w:p>
    <w:p w:rsidR="00607E9F" w:rsidRPr="00767A0C" w:rsidRDefault="00607E9F" w:rsidP="005A2072">
      <w:pPr>
        <w:jc w:val="left"/>
      </w:pPr>
      <w:r w:rsidRPr="00767A0C">
        <w:t>Stones of Stenness at 3100 to 3000 BC</w:t>
      </w:r>
    </w:p>
    <w:p w:rsidR="00607E9F" w:rsidRPr="00767A0C" w:rsidRDefault="00607E9F" w:rsidP="005A2072">
      <w:pPr>
        <w:jc w:val="left"/>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tblPr>
      <w:tblGrid>
        <w:gridCol w:w="763"/>
        <w:gridCol w:w="2463"/>
        <w:gridCol w:w="3429"/>
      </w:tblGrid>
      <w:tr w:rsidR="00607E9F" w:rsidRPr="00767A0C">
        <w:tc>
          <w:tcPr>
            <w:tcW w:w="0" w:type="auto"/>
          </w:tcPr>
          <w:p w:rsidR="00607E9F" w:rsidRPr="00767A0C" w:rsidRDefault="00607E9F" w:rsidP="005A2072">
            <w:pPr>
              <w:jc w:val="left"/>
            </w:pPr>
            <w:r w:rsidRPr="00767A0C">
              <w:t>Stone</w:t>
            </w:r>
          </w:p>
        </w:tc>
        <w:tc>
          <w:tcPr>
            <w:tcW w:w="0" w:type="auto"/>
          </w:tcPr>
          <w:p w:rsidR="00607E9F" w:rsidRPr="00767A0C" w:rsidRDefault="00607E9F" w:rsidP="005A2072">
            <w:pPr>
              <w:jc w:val="left"/>
            </w:pPr>
            <w:r w:rsidRPr="00767A0C">
              <w:t>Sun &amp; Moon</w:t>
            </w:r>
          </w:p>
        </w:tc>
        <w:tc>
          <w:tcPr>
            <w:tcW w:w="0" w:type="auto"/>
          </w:tcPr>
          <w:p w:rsidR="00607E9F" w:rsidRPr="00767A0C" w:rsidRDefault="00607E9F" w:rsidP="005A2072">
            <w:pPr>
              <w:jc w:val="left"/>
            </w:pPr>
            <w:r w:rsidRPr="00767A0C">
              <w:t>Stars</w:t>
            </w:r>
          </w:p>
        </w:tc>
      </w:tr>
      <w:tr w:rsidR="00607E9F" w:rsidRPr="00767A0C">
        <w:tc>
          <w:tcPr>
            <w:tcW w:w="0" w:type="auto"/>
          </w:tcPr>
          <w:p w:rsidR="00607E9F" w:rsidRPr="00767A0C" w:rsidRDefault="00607E9F" w:rsidP="005A2072">
            <w:pPr>
              <w:jc w:val="left"/>
            </w:pPr>
            <w:r w:rsidRPr="00767A0C">
              <w:t>1</w:t>
            </w:r>
          </w:p>
        </w:tc>
        <w:tc>
          <w:tcPr>
            <w:tcW w:w="0" w:type="auto"/>
          </w:tcPr>
          <w:p w:rsidR="00607E9F" w:rsidRPr="00767A0C" w:rsidRDefault="00607E9F" w:rsidP="005A2072">
            <w:pPr>
              <w:jc w:val="left"/>
            </w:pPr>
            <w:r w:rsidRPr="00767A0C">
              <w:t>X</w:t>
            </w:r>
          </w:p>
        </w:tc>
        <w:tc>
          <w:tcPr>
            <w:tcW w:w="0" w:type="auto"/>
          </w:tcPr>
          <w:p w:rsidR="00607E9F" w:rsidRPr="00767A0C" w:rsidRDefault="00607E9F" w:rsidP="005A2072">
            <w:pPr>
              <w:jc w:val="left"/>
            </w:pPr>
            <w:r w:rsidRPr="00767A0C">
              <w:t>x</w:t>
            </w:r>
          </w:p>
        </w:tc>
      </w:tr>
      <w:tr w:rsidR="00607E9F" w:rsidRPr="00767A0C">
        <w:tc>
          <w:tcPr>
            <w:tcW w:w="0" w:type="auto"/>
          </w:tcPr>
          <w:p w:rsidR="00607E9F" w:rsidRPr="00767A0C" w:rsidRDefault="00607E9F" w:rsidP="005A2072">
            <w:pPr>
              <w:jc w:val="left"/>
            </w:pPr>
            <w:r w:rsidRPr="00767A0C">
              <w:t>2</w:t>
            </w:r>
          </w:p>
        </w:tc>
        <w:tc>
          <w:tcPr>
            <w:tcW w:w="0" w:type="auto"/>
          </w:tcPr>
          <w:p w:rsidR="00607E9F" w:rsidRPr="00767A0C" w:rsidRDefault="00607E9F" w:rsidP="005A2072">
            <w:pPr>
              <w:jc w:val="left"/>
            </w:pPr>
            <w:r w:rsidRPr="00767A0C">
              <w:t xml:space="preserve">x </w:t>
            </w:r>
          </w:p>
        </w:tc>
        <w:tc>
          <w:tcPr>
            <w:tcW w:w="0" w:type="auto"/>
          </w:tcPr>
          <w:p w:rsidR="00607E9F" w:rsidRPr="00767A0C" w:rsidRDefault="00607E9F" w:rsidP="005A2072">
            <w:pPr>
              <w:jc w:val="left"/>
            </w:pPr>
            <w:r w:rsidRPr="00767A0C">
              <w:t>x</w:t>
            </w:r>
          </w:p>
        </w:tc>
      </w:tr>
      <w:tr w:rsidR="00607E9F" w:rsidRPr="00767A0C">
        <w:tc>
          <w:tcPr>
            <w:tcW w:w="0" w:type="auto"/>
          </w:tcPr>
          <w:p w:rsidR="00607E9F" w:rsidRPr="00767A0C" w:rsidRDefault="00607E9F" w:rsidP="005A2072">
            <w:pPr>
              <w:jc w:val="left"/>
            </w:pPr>
            <w:r w:rsidRPr="00767A0C">
              <w:t>3</w:t>
            </w:r>
          </w:p>
        </w:tc>
        <w:tc>
          <w:tcPr>
            <w:tcW w:w="0" w:type="auto"/>
          </w:tcPr>
          <w:p w:rsidR="00607E9F" w:rsidRPr="008453B6" w:rsidRDefault="00607E9F" w:rsidP="005A2072">
            <w:pPr>
              <w:jc w:val="left"/>
              <w:rPr>
                <w:color w:val="3366FF"/>
              </w:rPr>
            </w:pPr>
            <w:r w:rsidRPr="008453B6">
              <w:rPr>
                <w:color w:val="3366FF"/>
              </w:rPr>
              <w:t>Winter Solstice setting.</w:t>
            </w:r>
          </w:p>
        </w:tc>
        <w:tc>
          <w:tcPr>
            <w:tcW w:w="0" w:type="auto"/>
          </w:tcPr>
          <w:p w:rsidR="00607E9F" w:rsidRPr="008453B6" w:rsidRDefault="00607E9F" w:rsidP="005A2072">
            <w:pPr>
              <w:jc w:val="left"/>
              <w:rPr>
                <w:color w:val="3366FF"/>
              </w:rPr>
            </w:pPr>
            <w:r w:rsidRPr="008453B6">
              <w:rPr>
                <w:color w:val="3366FF"/>
              </w:rPr>
              <w:t>Sirius setting.</w:t>
            </w:r>
          </w:p>
        </w:tc>
      </w:tr>
      <w:tr w:rsidR="00607E9F" w:rsidRPr="00767A0C">
        <w:tc>
          <w:tcPr>
            <w:tcW w:w="0" w:type="auto"/>
          </w:tcPr>
          <w:p w:rsidR="00607E9F" w:rsidRPr="00767A0C" w:rsidRDefault="00607E9F" w:rsidP="005A2072">
            <w:pPr>
              <w:jc w:val="left"/>
            </w:pPr>
            <w:r w:rsidRPr="00767A0C">
              <w:t>4</w:t>
            </w:r>
          </w:p>
        </w:tc>
        <w:tc>
          <w:tcPr>
            <w:tcW w:w="0" w:type="auto"/>
          </w:tcPr>
          <w:p w:rsidR="00607E9F" w:rsidRPr="00767A0C" w:rsidRDefault="00607E9F" w:rsidP="005A2072">
            <w:pPr>
              <w:jc w:val="left"/>
            </w:pPr>
            <w:r w:rsidRPr="00767A0C">
              <w:t>X</w:t>
            </w:r>
          </w:p>
        </w:tc>
        <w:tc>
          <w:tcPr>
            <w:tcW w:w="0" w:type="auto"/>
          </w:tcPr>
          <w:p w:rsidR="00607E9F" w:rsidRPr="008453B6" w:rsidRDefault="00607E9F" w:rsidP="005A2072">
            <w:pPr>
              <w:jc w:val="left"/>
              <w:rPr>
                <w:color w:val="3366FF"/>
              </w:rPr>
            </w:pPr>
            <w:r w:rsidRPr="008453B6">
              <w:rPr>
                <w:color w:val="3366FF"/>
              </w:rPr>
              <w:t>Menkar setting.</w:t>
            </w:r>
          </w:p>
        </w:tc>
      </w:tr>
      <w:tr w:rsidR="00607E9F" w:rsidRPr="00767A0C">
        <w:tc>
          <w:tcPr>
            <w:tcW w:w="0" w:type="auto"/>
          </w:tcPr>
          <w:p w:rsidR="00607E9F" w:rsidRPr="00767A0C" w:rsidRDefault="00607E9F" w:rsidP="005A2072">
            <w:pPr>
              <w:jc w:val="left"/>
            </w:pPr>
            <w:r w:rsidRPr="00767A0C">
              <w:t>5</w:t>
            </w:r>
          </w:p>
        </w:tc>
        <w:tc>
          <w:tcPr>
            <w:tcW w:w="0" w:type="auto"/>
          </w:tcPr>
          <w:p w:rsidR="00607E9F" w:rsidRPr="00767A0C" w:rsidRDefault="00607E9F" w:rsidP="005A2072">
            <w:pPr>
              <w:jc w:val="left"/>
            </w:pPr>
            <w:r w:rsidRPr="00767A0C">
              <w:t>Autumn full moon.</w:t>
            </w:r>
          </w:p>
        </w:tc>
        <w:tc>
          <w:tcPr>
            <w:tcW w:w="0" w:type="auto"/>
          </w:tcPr>
          <w:p w:rsidR="00607E9F" w:rsidRPr="00767A0C" w:rsidRDefault="00607E9F" w:rsidP="005A2072">
            <w:pPr>
              <w:jc w:val="left"/>
            </w:pPr>
            <w:r w:rsidRPr="00767A0C">
              <w:t>Alpheratz setting.</w:t>
            </w:r>
          </w:p>
        </w:tc>
      </w:tr>
      <w:tr w:rsidR="00607E9F" w:rsidRPr="00767A0C">
        <w:tc>
          <w:tcPr>
            <w:tcW w:w="0" w:type="auto"/>
          </w:tcPr>
          <w:p w:rsidR="00607E9F" w:rsidRPr="00767A0C" w:rsidRDefault="00607E9F" w:rsidP="005A2072">
            <w:pPr>
              <w:jc w:val="left"/>
            </w:pPr>
            <w:r w:rsidRPr="00767A0C">
              <w:t>6</w:t>
            </w:r>
          </w:p>
        </w:tc>
        <w:tc>
          <w:tcPr>
            <w:tcW w:w="0" w:type="auto"/>
          </w:tcPr>
          <w:p w:rsidR="00607E9F" w:rsidRPr="00767A0C" w:rsidRDefault="00607E9F" w:rsidP="005A2072">
            <w:pPr>
              <w:jc w:val="left"/>
            </w:pPr>
            <w:r w:rsidRPr="00767A0C">
              <w:t>Minor lunar extreme.</w:t>
            </w:r>
          </w:p>
        </w:tc>
        <w:tc>
          <w:tcPr>
            <w:tcW w:w="0" w:type="auto"/>
          </w:tcPr>
          <w:p w:rsidR="00607E9F" w:rsidRPr="00767A0C" w:rsidRDefault="00607E9F" w:rsidP="005A2072">
            <w:pPr>
              <w:jc w:val="left"/>
            </w:pPr>
            <w:r w:rsidRPr="00767A0C">
              <w:t>x</w:t>
            </w:r>
          </w:p>
        </w:tc>
      </w:tr>
      <w:tr w:rsidR="00607E9F" w:rsidRPr="00767A0C">
        <w:tc>
          <w:tcPr>
            <w:tcW w:w="0" w:type="auto"/>
          </w:tcPr>
          <w:p w:rsidR="00607E9F" w:rsidRPr="00767A0C" w:rsidRDefault="00607E9F" w:rsidP="005A2072">
            <w:pPr>
              <w:jc w:val="left"/>
            </w:pPr>
            <w:r w:rsidRPr="00767A0C">
              <w:t>7</w:t>
            </w:r>
          </w:p>
        </w:tc>
        <w:tc>
          <w:tcPr>
            <w:tcW w:w="0" w:type="auto"/>
          </w:tcPr>
          <w:p w:rsidR="00607E9F" w:rsidRPr="00767A0C" w:rsidRDefault="00607E9F" w:rsidP="005A2072">
            <w:pPr>
              <w:jc w:val="left"/>
            </w:pPr>
            <w:r w:rsidRPr="00767A0C">
              <w:t>X</w:t>
            </w:r>
          </w:p>
        </w:tc>
        <w:tc>
          <w:tcPr>
            <w:tcW w:w="0" w:type="auto"/>
          </w:tcPr>
          <w:p w:rsidR="00607E9F" w:rsidRPr="00767A0C" w:rsidRDefault="00607E9F" w:rsidP="005A2072">
            <w:pPr>
              <w:jc w:val="left"/>
            </w:pPr>
            <w:r w:rsidRPr="00767A0C">
              <w:t>Rasalhague setting.</w:t>
            </w:r>
          </w:p>
        </w:tc>
      </w:tr>
      <w:tr w:rsidR="00607E9F" w:rsidRPr="00767A0C">
        <w:tc>
          <w:tcPr>
            <w:tcW w:w="0" w:type="auto"/>
          </w:tcPr>
          <w:p w:rsidR="00607E9F" w:rsidRPr="00767A0C" w:rsidRDefault="00607E9F" w:rsidP="005A2072">
            <w:pPr>
              <w:jc w:val="left"/>
            </w:pPr>
            <w:r w:rsidRPr="00767A0C">
              <w:t>8</w:t>
            </w:r>
          </w:p>
        </w:tc>
        <w:tc>
          <w:tcPr>
            <w:tcW w:w="0" w:type="auto"/>
          </w:tcPr>
          <w:p w:rsidR="00607E9F" w:rsidRPr="00767A0C" w:rsidRDefault="00607E9F" w:rsidP="005A2072">
            <w:pPr>
              <w:jc w:val="left"/>
            </w:pPr>
            <w:r w:rsidRPr="00767A0C">
              <w:t>X</w:t>
            </w:r>
          </w:p>
        </w:tc>
        <w:tc>
          <w:tcPr>
            <w:tcW w:w="0" w:type="auto"/>
          </w:tcPr>
          <w:p w:rsidR="00607E9F" w:rsidRPr="00767A0C" w:rsidRDefault="00607E9F" w:rsidP="005A2072">
            <w:pPr>
              <w:jc w:val="left"/>
            </w:pPr>
            <w:r w:rsidRPr="00767A0C">
              <w:t>x</w:t>
            </w:r>
          </w:p>
        </w:tc>
      </w:tr>
      <w:tr w:rsidR="00607E9F" w:rsidRPr="00767A0C">
        <w:tc>
          <w:tcPr>
            <w:tcW w:w="0" w:type="auto"/>
          </w:tcPr>
          <w:p w:rsidR="00607E9F" w:rsidRPr="00767A0C" w:rsidRDefault="00607E9F" w:rsidP="005A2072">
            <w:pPr>
              <w:jc w:val="left"/>
            </w:pPr>
            <w:r w:rsidRPr="00767A0C">
              <w:t>9</w:t>
            </w:r>
          </w:p>
        </w:tc>
        <w:tc>
          <w:tcPr>
            <w:tcW w:w="0" w:type="auto"/>
          </w:tcPr>
          <w:p w:rsidR="00607E9F" w:rsidRPr="00767A0C" w:rsidRDefault="00607E9F" w:rsidP="005A2072">
            <w:pPr>
              <w:jc w:val="left"/>
            </w:pPr>
            <w:r w:rsidRPr="00767A0C">
              <w:t>Summer Solstice rising</w:t>
            </w:r>
          </w:p>
        </w:tc>
        <w:tc>
          <w:tcPr>
            <w:tcW w:w="0" w:type="auto"/>
          </w:tcPr>
          <w:p w:rsidR="00607E9F" w:rsidRPr="00767A0C" w:rsidRDefault="00607E9F" w:rsidP="005A2072">
            <w:pPr>
              <w:jc w:val="left"/>
            </w:pPr>
            <w:r w:rsidRPr="00767A0C">
              <w:t>Castor, Mirfak &amp; Capella setting.</w:t>
            </w:r>
          </w:p>
        </w:tc>
      </w:tr>
      <w:tr w:rsidR="00607E9F" w:rsidRPr="00767A0C">
        <w:tc>
          <w:tcPr>
            <w:tcW w:w="0" w:type="auto"/>
          </w:tcPr>
          <w:p w:rsidR="00607E9F" w:rsidRPr="00767A0C" w:rsidRDefault="00607E9F" w:rsidP="005A2072">
            <w:pPr>
              <w:jc w:val="left"/>
            </w:pPr>
            <w:r w:rsidRPr="00767A0C">
              <w:t>10</w:t>
            </w:r>
          </w:p>
        </w:tc>
        <w:tc>
          <w:tcPr>
            <w:tcW w:w="0" w:type="auto"/>
          </w:tcPr>
          <w:p w:rsidR="00607E9F" w:rsidRPr="00767A0C" w:rsidRDefault="00607E9F" w:rsidP="005A2072">
            <w:pPr>
              <w:jc w:val="left"/>
            </w:pPr>
            <w:r w:rsidRPr="00767A0C">
              <w:t>Autumn full moon.</w:t>
            </w:r>
          </w:p>
        </w:tc>
        <w:tc>
          <w:tcPr>
            <w:tcW w:w="0" w:type="auto"/>
          </w:tcPr>
          <w:p w:rsidR="00607E9F" w:rsidRPr="00767A0C" w:rsidRDefault="00607E9F" w:rsidP="005A2072">
            <w:pPr>
              <w:jc w:val="left"/>
            </w:pPr>
            <w:r w:rsidRPr="00767A0C">
              <w:t>Alpheratez &amp; Scheat rising.</w:t>
            </w:r>
          </w:p>
        </w:tc>
      </w:tr>
      <w:tr w:rsidR="00607E9F" w:rsidRPr="00767A0C">
        <w:tc>
          <w:tcPr>
            <w:tcW w:w="0" w:type="auto"/>
          </w:tcPr>
          <w:p w:rsidR="00607E9F" w:rsidRPr="00767A0C" w:rsidRDefault="00607E9F" w:rsidP="005A2072">
            <w:pPr>
              <w:jc w:val="left"/>
            </w:pPr>
            <w:r w:rsidRPr="00767A0C">
              <w:t>11</w:t>
            </w:r>
          </w:p>
        </w:tc>
        <w:tc>
          <w:tcPr>
            <w:tcW w:w="0" w:type="auto"/>
          </w:tcPr>
          <w:p w:rsidR="00607E9F" w:rsidRPr="00767A0C" w:rsidRDefault="00607E9F" w:rsidP="005A2072">
            <w:pPr>
              <w:jc w:val="left"/>
            </w:pPr>
            <w:r w:rsidRPr="00767A0C">
              <w:t xml:space="preserve">Spring full moon. </w:t>
            </w:r>
          </w:p>
        </w:tc>
        <w:tc>
          <w:tcPr>
            <w:tcW w:w="0" w:type="auto"/>
          </w:tcPr>
          <w:p w:rsidR="00607E9F" w:rsidRPr="00767A0C" w:rsidRDefault="00607E9F" w:rsidP="005A2072">
            <w:pPr>
              <w:jc w:val="left"/>
            </w:pPr>
            <w:r w:rsidRPr="00767A0C">
              <w:t>Betelgeuse &amp; Aldebaran rising.</w:t>
            </w:r>
          </w:p>
        </w:tc>
      </w:tr>
    </w:tbl>
    <w:p w:rsidR="00607E9F" w:rsidRPr="005A2072" w:rsidRDefault="00607E9F" w:rsidP="005A2072">
      <w:pPr>
        <w:jc w:val="left"/>
        <w:rPr>
          <w:i/>
        </w:rPr>
      </w:pPr>
      <w:r w:rsidRPr="005A2072">
        <w:rPr>
          <w:i/>
        </w:rPr>
        <w:t xml:space="preserve">Table 6. Possible orientation targets from the Stones of Stenness with alignments marked in blue. </w:t>
      </w:r>
    </w:p>
    <w:p w:rsidR="00607E9F" w:rsidRPr="00767A0C" w:rsidRDefault="00607E9F" w:rsidP="005A2072">
      <w:pPr>
        <w:jc w:val="left"/>
      </w:pPr>
    </w:p>
    <w:p w:rsidR="00607E9F" w:rsidRPr="00767A0C" w:rsidRDefault="00607E9F" w:rsidP="005A2072">
      <w:pPr>
        <w:jc w:val="left"/>
      </w:pPr>
      <w:r w:rsidRPr="00767A0C">
        <w:t>I then examined the orientations in relation to the horizon to ascertain if any aligned with a distinctive horizon aspect, such as a hill or notch. The three found are marked in blue on Table 6 and illustrated in Figure 15. From the hearth to stone 3 aligned with the setting of Sirius and the Winter solstice on the left distinctive hill, while stone 4 aligned with the setting of Menkar in the dip between the two hills.</w:t>
      </w:r>
    </w:p>
    <w:p w:rsidR="00607E9F" w:rsidRPr="00767A0C" w:rsidRDefault="00607E9F" w:rsidP="005A2072">
      <w:pPr>
        <w:jc w:val="left"/>
      </w:pPr>
    </w:p>
    <w:p w:rsidR="00607E9F" w:rsidRPr="00767A0C" w:rsidRDefault="00607E9F" w:rsidP="005A2072">
      <w:pPr>
        <w:jc w:val="left"/>
      </w:pPr>
    </w:p>
    <w:p w:rsidR="00607E9F" w:rsidRPr="00767A0C" w:rsidRDefault="00607E9F" w:rsidP="005A2072">
      <w:pPr>
        <w:jc w:val="left"/>
      </w:pPr>
    </w:p>
    <w:p w:rsidR="00607E9F" w:rsidRPr="00767A0C" w:rsidRDefault="00607E9F" w:rsidP="005A2072">
      <w:pPr>
        <w:jc w:val="left"/>
      </w:pPr>
      <w:r>
        <w:pict>
          <v:shape id="Picture 19" o:spid="_x0000_i1043" type="#_x0000_t75" alt="HILLS" style="width:406pt;height:3in;visibility:visible">
            <v:imagedata r:id="rId27" o:title=""/>
          </v:shape>
        </w:pict>
      </w:r>
    </w:p>
    <w:p w:rsidR="00607E9F" w:rsidRPr="005A2072" w:rsidRDefault="00607E9F" w:rsidP="005A2072">
      <w:pPr>
        <w:jc w:val="left"/>
        <w:rPr>
          <w:i/>
        </w:rPr>
      </w:pPr>
      <w:r w:rsidRPr="005A2072">
        <w:rPr>
          <w:i/>
        </w:rPr>
        <w:t>Figure 15. Showing alignments from stones 3 and 4 at the Stones of Stenness.</w:t>
      </w:r>
    </w:p>
    <w:p w:rsidR="00607E9F" w:rsidRPr="00767A0C" w:rsidRDefault="00607E9F" w:rsidP="005A2072">
      <w:pPr>
        <w:jc w:val="left"/>
      </w:pPr>
      <w:r w:rsidRPr="00767A0C">
        <w:t xml:space="preserve"> </w:t>
      </w:r>
    </w:p>
    <w:p w:rsidR="00607E9F" w:rsidRPr="00767A0C" w:rsidRDefault="00607E9F" w:rsidP="005A2072">
      <w:pPr>
        <w:jc w:val="left"/>
      </w:pPr>
      <w:r w:rsidRPr="00767A0C">
        <w:t>Due to the significant seasonal change in daylight hours, the rising and setting of the stars changes throughout the year on the Orkney skyline. Any stellar alignment would therefore suggest the marking of a particularly important time of year. However, as Aubrey Burl (1983, p.24) pointed out, finding an alignment does not mean it was deliberate and the builders did not necessarily see things as we see them. I then examined the results of the 3 imaginary stone circles to compare with the Stones of Stenness results as shown in Table 7.</w:t>
      </w:r>
    </w:p>
    <w:p w:rsidR="00607E9F" w:rsidRPr="00767A0C" w:rsidRDefault="00607E9F" w:rsidP="005A2072">
      <w:pPr>
        <w:jc w:val="left"/>
      </w:pPr>
    </w:p>
    <w:p w:rsidR="00607E9F" w:rsidRPr="00767A0C" w:rsidRDefault="00607E9F" w:rsidP="005A2072">
      <w:pPr>
        <w:jc w:val="left"/>
      </w:pPr>
      <w:r w:rsidRPr="00767A0C">
        <w:t>Comparing the results from the three imaginary circles with the Stones of Stenness.</w:t>
      </w:r>
    </w:p>
    <w:p w:rsidR="00607E9F" w:rsidRPr="00767A0C" w:rsidRDefault="00607E9F" w:rsidP="005A2072">
      <w:pPr>
        <w:jc w:val="left"/>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tblPr>
      <w:tblGrid>
        <w:gridCol w:w="763"/>
        <w:gridCol w:w="2169"/>
        <w:gridCol w:w="2251"/>
        <w:gridCol w:w="1836"/>
        <w:gridCol w:w="1503"/>
      </w:tblGrid>
      <w:tr w:rsidR="00607E9F" w:rsidRPr="00767A0C">
        <w:tc>
          <w:tcPr>
            <w:tcW w:w="0" w:type="auto"/>
          </w:tcPr>
          <w:p w:rsidR="00607E9F" w:rsidRPr="00767A0C" w:rsidRDefault="00607E9F" w:rsidP="00CC5379">
            <w:pPr>
              <w:spacing w:line="240" w:lineRule="auto"/>
              <w:jc w:val="left"/>
            </w:pPr>
            <w:r w:rsidRPr="00767A0C">
              <w:t>Stone</w:t>
            </w:r>
          </w:p>
        </w:tc>
        <w:tc>
          <w:tcPr>
            <w:tcW w:w="0" w:type="auto"/>
          </w:tcPr>
          <w:p w:rsidR="00607E9F" w:rsidRPr="00767A0C" w:rsidRDefault="00607E9F" w:rsidP="00CC5379">
            <w:pPr>
              <w:spacing w:line="240" w:lineRule="auto"/>
              <w:jc w:val="left"/>
            </w:pPr>
            <w:r w:rsidRPr="00767A0C">
              <w:t>Created circle 1</w:t>
            </w:r>
          </w:p>
        </w:tc>
        <w:tc>
          <w:tcPr>
            <w:tcW w:w="0" w:type="auto"/>
          </w:tcPr>
          <w:p w:rsidR="00607E9F" w:rsidRPr="00767A0C" w:rsidRDefault="00607E9F" w:rsidP="00CC5379">
            <w:pPr>
              <w:spacing w:line="240" w:lineRule="auto"/>
              <w:jc w:val="left"/>
            </w:pPr>
            <w:r w:rsidRPr="00767A0C">
              <w:t>Created circle 2</w:t>
            </w:r>
          </w:p>
        </w:tc>
        <w:tc>
          <w:tcPr>
            <w:tcW w:w="0" w:type="auto"/>
          </w:tcPr>
          <w:p w:rsidR="00607E9F" w:rsidRPr="00767A0C" w:rsidRDefault="00607E9F" w:rsidP="00CC5379">
            <w:pPr>
              <w:spacing w:line="240" w:lineRule="auto"/>
              <w:jc w:val="left"/>
            </w:pPr>
            <w:r w:rsidRPr="00767A0C">
              <w:t>Created circle 3</w:t>
            </w:r>
          </w:p>
        </w:tc>
        <w:tc>
          <w:tcPr>
            <w:tcW w:w="0" w:type="auto"/>
          </w:tcPr>
          <w:p w:rsidR="00607E9F" w:rsidRPr="00767A0C" w:rsidRDefault="00607E9F" w:rsidP="00CC5379">
            <w:pPr>
              <w:spacing w:line="240" w:lineRule="auto"/>
              <w:jc w:val="left"/>
            </w:pPr>
            <w:r w:rsidRPr="00767A0C">
              <w:t>Stones of Stenness</w:t>
            </w:r>
          </w:p>
        </w:tc>
      </w:tr>
      <w:tr w:rsidR="00607E9F" w:rsidRPr="00767A0C">
        <w:tc>
          <w:tcPr>
            <w:tcW w:w="0" w:type="auto"/>
          </w:tcPr>
          <w:p w:rsidR="00607E9F" w:rsidRPr="00767A0C" w:rsidRDefault="00607E9F" w:rsidP="00CC5379">
            <w:pPr>
              <w:spacing w:line="240" w:lineRule="auto"/>
              <w:jc w:val="left"/>
            </w:pPr>
            <w:r w:rsidRPr="00767A0C">
              <w:t>1</w:t>
            </w:r>
          </w:p>
        </w:tc>
        <w:tc>
          <w:tcPr>
            <w:tcW w:w="0" w:type="auto"/>
          </w:tcPr>
          <w:p w:rsidR="00607E9F" w:rsidRPr="00767A0C" w:rsidRDefault="00607E9F" w:rsidP="00CC5379">
            <w:pPr>
              <w:spacing w:line="240" w:lineRule="auto"/>
              <w:jc w:val="left"/>
            </w:pPr>
            <w:r w:rsidRPr="00767A0C">
              <w:t>X</w:t>
            </w:r>
          </w:p>
        </w:tc>
        <w:tc>
          <w:tcPr>
            <w:tcW w:w="0" w:type="auto"/>
          </w:tcPr>
          <w:p w:rsidR="00607E9F" w:rsidRPr="00767A0C" w:rsidRDefault="00607E9F" w:rsidP="00CC5379">
            <w:pPr>
              <w:spacing w:line="240" w:lineRule="auto"/>
              <w:jc w:val="left"/>
            </w:pPr>
            <w:r w:rsidRPr="00767A0C">
              <w:t>x</w:t>
            </w:r>
          </w:p>
        </w:tc>
        <w:tc>
          <w:tcPr>
            <w:tcW w:w="0" w:type="auto"/>
          </w:tcPr>
          <w:p w:rsidR="00607E9F" w:rsidRPr="00767A0C" w:rsidRDefault="00607E9F" w:rsidP="00CC5379">
            <w:pPr>
              <w:spacing w:line="240" w:lineRule="auto"/>
              <w:jc w:val="left"/>
            </w:pPr>
            <w:r w:rsidRPr="00767A0C">
              <w:t>x</w:t>
            </w:r>
          </w:p>
        </w:tc>
        <w:tc>
          <w:tcPr>
            <w:tcW w:w="0" w:type="auto"/>
          </w:tcPr>
          <w:p w:rsidR="00607E9F" w:rsidRPr="00767A0C" w:rsidRDefault="00607E9F" w:rsidP="00CC5379">
            <w:pPr>
              <w:spacing w:line="240" w:lineRule="auto"/>
              <w:jc w:val="left"/>
            </w:pPr>
            <w:r w:rsidRPr="00767A0C">
              <w:t>x</w:t>
            </w:r>
          </w:p>
        </w:tc>
      </w:tr>
      <w:tr w:rsidR="00607E9F" w:rsidRPr="00767A0C">
        <w:tc>
          <w:tcPr>
            <w:tcW w:w="0" w:type="auto"/>
          </w:tcPr>
          <w:p w:rsidR="00607E9F" w:rsidRPr="00767A0C" w:rsidRDefault="00607E9F" w:rsidP="00CC5379">
            <w:pPr>
              <w:spacing w:line="240" w:lineRule="auto"/>
              <w:jc w:val="left"/>
            </w:pPr>
            <w:r w:rsidRPr="00767A0C">
              <w:t>2</w:t>
            </w:r>
          </w:p>
        </w:tc>
        <w:tc>
          <w:tcPr>
            <w:tcW w:w="0" w:type="auto"/>
          </w:tcPr>
          <w:p w:rsidR="00607E9F" w:rsidRPr="00767A0C" w:rsidRDefault="00607E9F" w:rsidP="00CC5379">
            <w:pPr>
              <w:spacing w:line="240" w:lineRule="auto"/>
              <w:jc w:val="left"/>
            </w:pPr>
            <w:r>
              <w:t xml:space="preserve">Major </w:t>
            </w:r>
            <w:r w:rsidRPr="00767A0C">
              <w:t>lunar extreme.</w:t>
            </w:r>
          </w:p>
        </w:tc>
        <w:tc>
          <w:tcPr>
            <w:tcW w:w="0" w:type="auto"/>
          </w:tcPr>
          <w:p w:rsidR="00607E9F" w:rsidRPr="00767A0C" w:rsidRDefault="00607E9F" w:rsidP="00CC5379">
            <w:pPr>
              <w:spacing w:line="240" w:lineRule="auto"/>
              <w:jc w:val="left"/>
            </w:pPr>
            <w:r w:rsidRPr="00767A0C">
              <w:t>Major lunar extreme.</w:t>
            </w:r>
          </w:p>
        </w:tc>
        <w:tc>
          <w:tcPr>
            <w:tcW w:w="0" w:type="auto"/>
          </w:tcPr>
          <w:p w:rsidR="00607E9F" w:rsidRPr="00767A0C" w:rsidRDefault="00607E9F" w:rsidP="00CC5379">
            <w:pPr>
              <w:spacing w:line="240" w:lineRule="auto"/>
              <w:jc w:val="left"/>
            </w:pPr>
            <w:r w:rsidRPr="00767A0C">
              <w:t>Summer Solstice.</w:t>
            </w:r>
          </w:p>
        </w:tc>
        <w:tc>
          <w:tcPr>
            <w:tcW w:w="0" w:type="auto"/>
          </w:tcPr>
          <w:p w:rsidR="00607E9F" w:rsidRPr="00767A0C" w:rsidRDefault="00607E9F" w:rsidP="00CC5379">
            <w:pPr>
              <w:spacing w:line="240" w:lineRule="auto"/>
              <w:jc w:val="left"/>
            </w:pPr>
            <w:r w:rsidRPr="00767A0C">
              <w:t xml:space="preserve">x </w:t>
            </w:r>
          </w:p>
        </w:tc>
      </w:tr>
      <w:tr w:rsidR="00607E9F" w:rsidRPr="00767A0C">
        <w:tc>
          <w:tcPr>
            <w:tcW w:w="0" w:type="auto"/>
          </w:tcPr>
          <w:p w:rsidR="00607E9F" w:rsidRPr="00767A0C" w:rsidRDefault="00607E9F" w:rsidP="00CC5379">
            <w:pPr>
              <w:spacing w:line="240" w:lineRule="auto"/>
              <w:jc w:val="left"/>
            </w:pPr>
            <w:r w:rsidRPr="00767A0C">
              <w:t>3</w:t>
            </w:r>
          </w:p>
        </w:tc>
        <w:tc>
          <w:tcPr>
            <w:tcW w:w="0" w:type="auto"/>
          </w:tcPr>
          <w:p w:rsidR="00607E9F" w:rsidRPr="008453B6" w:rsidRDefault="00607E9F" w:rsidP="00CC5379">
            <w:pPr>
              <w:spacing w:line="240" w:lineRule="auto"/>
              <w:jc w:val="left"/>
              <w:rPr>
                <w:color w:val="3366FF"/>
              </w:rPr>
            </w:pPr>
            <w:r w:rsidRPr="008453B6">
              <w:rPr>
                <w:color w:val="3366FF"/>
              </w:rPr>
              <w:t>Winter Solstice.</w:t>
            </w:r>
          </w:p>
        </w:tc>
        <w:tc>
          <w:tcPr>
            <w:tcW w:w="0" w:type="auto"/>
          </w:tcPr>
          <w:p w:rsidR="00607E9F" w:rsidRPr="008453B6" w:rsidRDefault="00607E9F" w:rsidP="00CC5379">
            <w:pPr>
              <w:spacing w:line="240" w:lineRule="auto"/>
              <w:jc w:val="left"/>
              <w:rPr>
                <w:color w:val="3366FF"/>
              </w:rPr>
            </w:pPr>
            <w:r w:rsidRPr="008453B6">
              <w:rPr>
                <w:color w:val="3366FF"/>
              </w:rPr>
              <w:t>Winter Solstice.</w:t>
            </w:r>
          </w:p>
        </w:tc>
        <w:tc>
          <w:tcPr>
            <w:tcW w:w="0" w:type="auto"/>
          </w:tcPr>
          <w:p w:rsidR="00607E9F" w:rsidRPr="00767A0C" w:rsidRDefault="00607E9F" w:rsidP="00CC5379">
            <w:pPr>
              <w:spacing w:line="240" w:lineRule="auto"/>
              <w:jc w:val="left"/>
            </w:pPr>
            <w:r w:rsidRPr="00767A0C">
              <w:t>Autumn &amp; Spring full moons.</w:t>
            </w:r>
          </w:p>
        </w:tc>
        <w:tc>
          <w:tcPr>
            <w:tcW w:w="0" w:type="auto"/>
          </w:tcPr>
          <w:p w:rsidR="00607E9F" w:rsidRPr="00767A0C" w:rsidRDefault="00607E9F" w:rsidP="00CC5379">
            <w:pPr>
              <w:spacing w:line="240" w:lineRule="auto"/>
              <w:jc w:val="left"/>
            </w:pPr>
            <w:r w:rsidRPr="00767A0C">
              <w:t xml:space="preserve">Winter Solstice. </w:t>
            </w:r>
          </w:p>
        </w:tc>
      </w:tr>
      <w:tr w:rsidR="00607E9F" w:rsidRPr="00767A0C">
        <w:tc>
          <w:tcPr>
            <w:tcW w:w="0" w:type="auto"/>
          </w:tcPr>
          <w:p w:rsidR="00607E9F" w:rsidRPr="00767A0C" w:rsidRDefault="00607E9F" w:rsidP="00CC5379">
            <w:pPr>
              <w:spacing w:line="240" w:lineRule="auto"/>
              <w:jc w:val="left"/>
            </w:pPr>
            <w:r w:rsidRPr="00767A0C">
              <w:t>4</w:t>
            </w:r>
          </w:p>
        </w:tc>
        <w:tc>
          <w:tcPr>
            <w:tcW w:w="0" w:type="auto"/>
          </w:tcPr>
          <w:p w:rsidR="00607E9F" w:rsidRPr="00767A0C" w:rsidRDefault="00607E9F" w:rsidP="00CC5379">
            <w:pPr>
              <w:spacing w:line="240" w:lineRule="auto"/>
              <w:jc w:val="left"/>
            </w:pPr>
            <w:r w:rsidRPr="00767A0C">
              <w:t>Autumn &amp; Spring full moon &amp; Equinox</w:t>
            </w:r>
          </w:p>
        </w:tc>
        <w:tc>
          <w:tcPr>
            <w:tcW w:w="0" w:type="auto"/>
          </w:tcPr>
          <w:p w:rsidR="00607E9F" w:rsidRPr="00767A0C" w:rsidRDefault="00607E9F" w:rsidP="00CC5379">
            <w:pPr>
              <w:spacing w:line="240" w:lineRule="auto"/>
              <w:jc w:val="left"/>
            </w:pPr>
            <w:r w:rsidRPr="00767A0C">
              <w:t>Spring full moon.</w:t>
            </w:r>
          </w:p>
        </w:tc>
        <w:tc>
          <w:tcPr>
            <w:tcW w:w="0" w:type="auto"/>
          </w:tcPr>
          <w:p w:rsidR="00607E9F" w:rsidRPr="00767A0C" w:rsidRDefault="00607E9F" w:rsidP="00CC5379">
            <w:pPr>
              <w:spacing w:line="240" w:lineRule="auto"/>
              <w:jc w:val="left"/>
            </w:pPr>
            <w:r w:rsidRPr="00767A0C">
              <w:t>Spring full moon.</w:t>
            </w:r>
          </w:p>
        </w:tc>
        <w:tc>
          <w:tcPr>
            <w:tcW w:w="0" w:type="auto"/>
          </w:tcPr>
          <w:p w:rsidR="00607E9F" w:rsidRPr="00767A0C" w:rsidRDefault="00607E9F" w:rsidP="00CC5379">
            <w:pPr>
              <w:spacing w:line="240" w:lineRule="auto"/>
              <w:jc w:val="left"/>
            </w:pPr>
            <w:r w:rsidRPr="00767A0C">
              <w:t>x</w:t>
            </w:r>
          </w:p>
        </w:tc>
      </w:tr>
      <w:tr w:rsidR="00607E9F" w:rsidRPr="00767A0C">
        <w:tc>
          <w:tcPr>
            <w:tcW w:w="0" w:type="auto"/>
          </w:tcPr>
          <w:p w:rsidR="00607E9F" w:rsidRPr="00767A0C" w:rsidRDefault="00607E9F" w:rsidP="00CC5379">
            <w:pPr>
              <w:spacing w:line="240" w:lineRule="auto"/>
              <w:jc w:val="left"/>
            </w:pPr>
            <w:r w:rsidRPr="00767A0C">
              <w:t>5</w:t>
            </w:r>
          </w:p>
        </w:tc>
        <w:tc>
          <w:tcPr>
            <w:tcW w:w="0" w:type="auto"/>
          </w:tcPr>
          <w:p w:rsidR="00607E9F" w:rsidRPr="00767A0C" w:rsidRDefault="00607E9F" w:rsidP="00CC5379">
            <w:pPr>
              <w:spacing w:line="240" w:lineRule="auto"/>
              <w:jc w:val="left"/>
            </w:pPr>
            <w:r w:rsidRPr="00767A0C">
              <w:t>Autumn full moon.</w:t>
            </w:r>
          </w:p>
        </w:tc>
        <w:tc>
          <w:tcPr>
            <w:tcW w:w="0" w:type="auto"/>
          </w:tcPr>
          <w:p w:rsidR="00607E9F" w:rsidRPr="00767A0C" w:rsidRDefault="00607E9F" w:rsidP="00CC5379">
            <w:pPr>
              <w:spacing w:line="240" w:lineRule="auto"/>
              <w:jc w:val="left"/>
            </w:pPr>
            <w:r w:rsidRPr="00767A0C">
              <w:t>Autumn &amp; Spring full moons &amp; Equinox.</w:t>
            </w:r>
          </w:p>
        </w:tc>
        <w:tc>
          <w:tcPr>
            <w:tcW w:w="0" w:type="auto"/>
          </w:tcPr>
          <w:p w:rsidR="00607E9F" w:rsidRPr="008453B6" w:rsidRDefault="00607E9F" w:rsidP="00CC5379">
            <w:pPr>
              <w:spacing w:line="240" w:lineRule="auto"/>
              <w:jc w:val="left"/>
              <w:rPr>
                <w:color w:val="3366FF"/>
              </w:rPr>
            </w:pPr>
            <w:r w:rsidRPr="008453B6">
              <w:rPr>
                <w:color w:val="3366FF"/>
              </w:rPr>
              <w:t>Winter Solstice.</w:t>
            </w:r>
          </w:p>
        </w:tc>
        <w:tc>
          <w:tcPr>
            <w:tcW w:w="0" w:type="auto"/>
          </w:tcPr>
          <w:p w:rsidR="00607E9F" w:rsidRPr="00767A0C" w:rsidRDefault="00607E9F" w:rsidP="00CC5379">
            <w:pPr>
              <w:spacing w:line="240" w:lineRule="auto"/>
              <w:jc w:val="left"/>
            </w:pPr>
            <w:r w:rsidRPr="00767A0C">
              <w:t>Autumn full moon.</w:t>
            </w:r>
          </w:p>
        </w:tc>
      </w:tr>
      <w:tr w:rsidR="00607E9F" w:rsidRPr="00767A0C">
        <w:tc>
          <w:tcPr>
            <w:tcW w:w="0" w:type="auto"/>
          </w:tcPr>
          <w:p w:rsidR="00607E9F" w:rsidRPr="00767A0C" w:rsidRDefault="00607E9F" w:rsidP="00CC5379">
            <w:pPr>
              <w:spacing w:line="240" w:lineRule="auto"/>
              <w:jc w:val="left"/>
            </w:pPr>
            <w:r w:rsidRPr="00767A0C">
              <w:t>6</w:t>
            </w:r>
          </w:p>
        </w:tc>
        <w:tc>
          <w:tcPr>
            <w:tcW w:w="0" w:type="auto"/>
          </w:tcPr>
          <w:p w:rsidR="00607E9F" w:rsidRPr="00767A0C" w:rsidRDefault="00607E9F" w:rsidP="00CC5379">
            <w:pPr>
              <w:spacing w:line="240" w:lineRule="auto"/>
              <w:jc w:val="left"/>
            </w:pPr>
            <w:r w:rsidRPr="00767A0C">
              <w:t>Autumn full moon.</w:t>
            </w:r>
          </w:p>
        </w:tc>
        <w:tc>
          <w:tcPr>
            <w:tcW w:w="0" w:type="auto"/>
          </w:tcPr>
          <w:p w:rsidR="00607E9F" w:rsidRPr="00767A0C" w:rsidRDefault="00607E9F" w:rsidP="00CC5379">
            <w:pPr>
              <w:spacing w:line="240" w:lineRule="auto"/>
              <w:jc w:val="left"/>
            </w:pPr>
            <w:r w:rsidRPr="00767A0C">
              <w:t>Minor lunar extreme</w:t>
            </w:r>
          </w:p>
        </w:tc>
        <w:tc>
          <w:tcPr>
            <w:tcW w:w="0" w:type="auto"/>
          </w:tcPr>
          <w:p w:rsidR="00607E9F" w:rsidRPr="00767A0C" w:rsidRDefault="00607E9F" w:rsidP="00CC5379">
            <w:pPr>
              <w:spacing w:line="240" w:lineRule="auto"/>
              <w:jc w:val="left"/>
            </w:pPr>
            <w:r w:rsidRPr="00767A0C">
              <w:t>Major lunar extreme.</w:t>
            </w:r>
          </w:p>
        </w:tc>
        <w:tc>
          <w:tcPr>
            <w:tcW w:w="0" w:type="auto"/>
          </w:tcPr>
          <w:p w:rsidR="00607E9F" w:rsidRPr="00767A0C" w:rsidRDefault="00607E9F" w:rsidP="00CC5379">
            <w:pPr>
              <w:spacing w:line="240" w:lineRule="auto"/>
              <w:jc w:val="left"/>
            </w:pPr>
            <w:r w:rsidRPr="00767A0C">
              <w:t>Minor lunar extreme.</w:t>
            </w:r>
          </w:p>
        </w:tc>
      </w:tr>
      <w:tr w:rsidR="00607E9F" w:rsidRPr="00767A0C">
        <w:tc>
          <w:tcPr>
            <w:tcW w:w="0" w:type="auto"/>
          </w:tcPr>
          <w:p w:rsidR="00607E9F" w:rsidRPr="00767A0C" w:rsidRDefault="00607E9F" w:rsidP="00CC5379">
            <w:pPr>
              <w:spacing w:line="240" w:lineRule="auto"/>
              <w:jc w:val="left"/>
            </w:pPr>
            <w:r w:rsidRPr="00767A0C">
              <w:t>7</w:t>
            </w:r>
          </w:p>
        </w:tc>
        <w:tc>
          <w:tcPr>
            <w:tcW w:w="0" w:type="auto"/>
          </w:tcPr>
          <w:p w:rsidR="00607E9F" w:rsidRPr="00767A0C" w:rsidRDefault="00607E9F" w:rsidP="00CC5379">
            <w:pPr>
              <w:spacing w:line="240" w:lineRule="auto"/>
              <w:jc w:val="left"/>
            </w:pPr>
            <w:r w:rsidRPr="00767A0C">
              <w:t>X</w:t>
            </w:r>
          </w:p>
        </w:tc>
        <w:tc>
          <w:tcPr>
            <w:tcW w:w="0" w:type="auto"/>
          </w:tcPr>
          <w:p w:rsidR="00607E9F" w:rsidRPr="00767A0C" w:rsidRDefault="00607E9F" w:rsidP="00CC5379">
            <w:pPr>
              <w:spacing w:line="240" w:lineRule="auto"/>
              <w:jc w:val="left"/>
            </w:pPr>
            <w:r w:rsidRPr="00767A0C">
              <w:t>x</w:t>
            </w:r>
          </w:p>
        </w:tc>
        <w:tc>
          <w:tcPr>
            <w:tcW w:w="0" w:type="auto"/>
          </w:tcPr>
          <w:p w:rsidR="00607E9F" w:rsidRPr="008453B6" w:rsidRDefault="00607E9F" w:rsidP="00CC5379">
            <w:pPr>
              <w:spacing w:line="240" w:lineRule="auto"/>
              <w:jc w:val="left"/>
              <w:rPr>
                <w:color w:val="3366FF"/>
              </w:rPr>
            </w:pPr>
            <w:r w:rsidRPr="008453B6">
              <w:rPr>
                <w:color w:val="3366FF"/>
              </w:rPr>
              <w:t>Winter Solstice.</w:t>
            </w:r>
          </w:p>
        </w:tc>
        <w:tc>
          <w:tcPr>
            <w:tcW w:w="0" w:type="auto"/>
          </w:tcPr>
          <w:p w:rsidR="00607E9F" w:rsidRPr="00767A0C" w:rsidRDefault="00607E9F" w:rsidP="00CC5379">
            <w:pPr>
              <w:spacing w:line="240" w:lineRule="auto"/>
              <w:jc w:val="left"/>
            </w:pPr>
            <w:r w:rsidRPr="00767A0C">
              <w:t>x</w:t>
            </w:r>
          </w:p>
        </w:tc>
      </w:tr>
      <w:tr w:rsidR="00607E9F" w:rsidRPr="00767A0C">
        <w:tc>
          <w:tcPr>
            <w:tcW w:w="0" w:type="auto"/>
          </w:tcPr>
          <w:p w:rsidR="00607E9F" w:rsidRPr="00767A0C" w:rsidRDefault="00607E9F" w:rsidP="00CC5379">
            <w:pPr>
              <w:spacing w:line="240" w:lineRule="auto"/>
              <w:jc w:val="left"/>
            </w:pPr>
            <w:r w:rsidRPr="00767A0C">
              <w:t>8</w:t>
            </w:r>
          </w:p>
        </w:tc>
        <w:tc>
          <w:tcPr>
            <w:tcW w:w="0" w:type="auto"/>
          </w:tcPr>
          <w:p w:rsidR="00607E9F" w:rsidRPr="00767A0C" w:rsidRDefault="00607E9F" w:rsidP="00CC5379">
            <w:pPr>
              <w:spacing w:line="240" w:lineRule="auto"/>
              <w:jc w:val="left"/>
            </w:pPr>
            <w:r w:rsidRPr="00767A0C">
              <w:t>X</w:t>
            </w:r>
          </w:p>
        </w:tc>
        <w:tc>
          <w:tcPr>
            <w:tcW w:w="0" w:type="auto"/>
          </w:tcPr>
          <w:p w:rsidR="00607E9F" w:rsidRPr="00767A0C" w:rsidRDefault="00607E9F" w:rsidP="00CC5379">
            <w:pPr>
              <w:spacing w:line="240" w:lineRule="auto"/>
              <w:jc w:val="left"/>
            </w:pPr>
            <w:r w:rsidRPr="00767A0C">
              <w:t>x</w:t>
            </w:r>
          </w:p>
        </w:tc>
        <w:tc>
          <w:tcPr>
            <w:tcW w:w="0" w:type="auto"/>
          </w:tcPr>
          <w:p w:rsidR="00607E9F" w:rsidRPr="008453B6" w:rsidRDefault="00607E9F" w:rsidP="00CC5379">
            <w:pPr>
              <w:spacing w:line="240" w:lineRule="auto"/>
              <w:jc w:val="left"/>
              <w:rPr>
                <w:color w:val="3366FF"/>
              </w:rPr>
            </w:pPr>
            <w:r w:rsidRPr="008453B6">
              <w:rPr>
                <w:color w:val="3366FF"/>
              </w:rPr>
              <w:t>Minor Lunar Extreme.</w:t>
            </w:r>
          </w:p>
        </w:tc>
        <w:tc>
          <w:tcPr>
            <w:tcW w:w="0" w:type="auto"/>
          </w:tcPr>
          <w:p w:rsidR="00607E9F" w:rsidRPr="00767A0C" w:rsidRDefault="00607E9F" w:rsidP="00CC5379">
            <w:pPr>
              <w:spacing w:line="240" w:lineRule="auto"/>
              <w:jc w:val="left"/>
            </w:pPr>
            <w:r w:rsidRPr="00767A0C">
              <w:t>x</w:t>
            </w:r>
          </w:p>
        </w:tc>
      </w:tr>
      <w:tr w:rsidR="00607E9F" w:rsidRPr="00767A0C">
        <w:tc>
          <w:tcPr>
            <w:tcW w:w="0" w:type="auto"/>
          </w:tcPr>
          <w:p w:rsidR="00607E9F" w:rsidRPr="00767A0C" w:rsidRDefault="00607E9F" w:rsidP="00CC5379">
            <w:pPr>
              <w:spacing w:line="240" w:lineRule="auto"/>
              <w:jc w:val="left"/>
            </w:pPr>
            <w:r w:rsidRPr="00767A0C">
              <w:t>9</w:t>
            </w:r>
          </w:p>
        </w:tc>
        <w:tc>
          <w:tcPr>
            <w:tcW w:w="0" w:type="auto"/>
          </w:tcPr>
          <w:p w:rsidR="00607E9F" w:rsidRPr="00767A0C" w:rsidRDefault="00607E9F" w:rsidP="00CC5379">
            <w:pPr>
              <w:spacing w:line="240" w:lineRule="auto"/>
              <w:jc w:val="left"/>
            </w:pPr>
            <w:r w:rsidRPr="00767A0C">
              <w:t xml:space="preserve">Summer Solstice. </w:t>
            </w:r>
          </w:p>
        </w:tc>
        <w:tc>
          <w:tcPr>
            <w:tcW w:w="0" w:type="auto"/>
          </w:tcPr>
          <w:p w:rsidR="00607E9F" w:rsidRPr="00767A0C" w:rsidRDefault="00607E9F" w:rsidP="00CC5379">
            <w:pPr>
              <w:spacing w:line="240" w:lineRule="auto"/>
              <w:jc w:val="left"/>
            </w:pPr>
            <w:r w:rsidRPr="00767A0C">
              <w:t>Summer Solstice.</w:t>
            </w:r>
          </w:p>
        </w:tc>
        <w:tc>
          <w:tcPr>
            <w:tcW w:w="0" w:type="auto"/>
          </w:tcPr>
          <w:p w:rsidR="00607E9F" w:rsidRPr="00767A0C" w:rsidRDefault="00607E9F" w:rsidP="00CC5379">
            <w:pPr>
              <w:spacing w:line="240" w:lineRule="auto"/>
              <w:jc w:val="left"/>
            </w:pPr>
            <w:r w:rsidRPr="00767A0C">
              <w:t>Spring full moon.</w:t>
            </w:r>
          </w:p>
        </w:tc>
        <w:tc>
          <w:tcPr>
            <w:tcW w:w="0" w:type="auto"/>
          </w:tcPr>
          <w:p w:rsidR="00607E9F" w:rsidRPr="00767A0C" w:rsidRDefault="00607E9F" w:rsidP="00CC5379">
            <w:pPr>
              <w:spacing w:line="240" w:lineRule="auto"/>
              <w:jc w:val="left"/>
            </w:pPr>
            <w:r w:rsidRPr="00767A0C">
              <w:t xml:space="preserve">Summer Solstice. </w:t>
            </w:r>
          </w:p>
        </w:tc>
      </w:tr>
      <w:tr w:rsidR="00607E9F" w:rsidRPr="00767A0C">
        <w:tc>
          <w:tcPr>
            <w:tcW w:w="0" w:type="auto"/>
          </w:tcPr>
          <w:p w:rsidR="00607E9F" w:rsidRPr="00767A0C" w:rsidRDefault="00607E9F" w:rsidP="00CC5379">
            <w:pPr>
              <w:spacing w:line="240" w:lineRule="auto"/>
              <w:jc w:val="left"/>
            </w:pPr>
            <w:r w:rsidRPr="00767A0C">
              <w:t>10</w:t>
            </w:r>
          </w:p>
        </w:tc>
        <w:tc>
          <w:tcPr>
            <w:tcW w:w="0" w:type="auto"/>
          </w:tcPr>
          <w:p w:rsidR="00607E9F" w:rsidRPr="00767A0C" w:rsidRDefault="00607E9F" w:rsidP="00CC5379">
            <w:pPr>
              <w:spacing w:line="240" w:lineRule="auto"/>
              <w:jc w:val="left"/>
            </w:pPr>
            <w:r w:rsidRPr="00767A0C">
              <w:t>Autumn full moon.</w:t>
            </w:r>
          </w:p>
        </w:tc>
        <w:tc>
          <w:tcPr>
            <w:tcW w:w="0" w:type="auto"/>
          </w:tcPr>
          <w:p w:rsidR="00607E9F" w:rsidRPr="00767A0C" w:rsidRDefault="00607E9F" w:rsidP="00CC5379">
            <w:pPr>
              <w:spacing w:line="240" w:lineRule="auto"/>
              <w:jc w:val="left"/>
            </w:pPr>
            <w:r w:rsidRPr="00767A0C">
              <w:t>Autumn full moon.</w:t>
            </w:r>
          </w:p>
        </w:tc>
        <w:tc>
          <w:tcPr>
            <w:tcW w:w="0" w:type="auto"/>
          </w:tcPr>
          <w:p w:rsidR="00607E9F" w:rsidRPr="00767A0C" w:rsidRDefault="00607E9F" w:rsidP="00CC5379">
            <w:pPr>
              <w:spacing w:line="240" w:lineRule="auto"/>
              <w:jc w:val="left"/>
            </w:pPr>
            <w:r w:rsidRPr="00767A0C">
              <w:t xml:space="preserve">Autumn &amp; Spring full moons. </w:t>
            </w:r>
          </w:p>
        </w:tc>
        <w:tc>
          <w:tcPr>
            <w:tcW w:w="0" w:type="auto"/>
          </w:tcPr>
          <w:p w:rsidR="00607E9F" w:rsidRPr="00767A0C" w:rsidRDefault="00607E9F" w:rsidP="00CC5379">
            <w:pPr>
              <w:spacing w:line="240" w:lineRule="auto"/>
              <w:jc w:val="left"/>
            </w:pPr>
            <w:r w:rsidRPr="00767A0C">
              <w:t>Autumn full moon.</w:t>
            </w:r>
          </w:p>
        </w:tc>
      </w:tr>
      <w:tr w:rsidR="00607E9F" w:rsidRPr="00767A0C">
        <w:tc>
          <w:tcPr>
            <w:tcW w:w="0" w:type="auto"/>
          </w:tcPr>
          <w:p w:rsidR="00607E9F" w:rsidRPr="00767A0C" w:rsidRDefault="00607E9F" w:rsidP="00CC5379">
            <w:pPr>
              <w:spacing w:line="240" w:lineRule="auto"/>
              <w:jc w:val="left"/>
            </w:pPr>
            <w:r w:rsidRPr="00767A0C">
              <w:t>11</w:t>
            </w:r>
          </w:p>
        </w:tc>
        <w:tc>
          <w:tcPr>
            <w:tcW w:w="0" w:type="auto"/>
          </w:tcPr>
          <w:p w:rsidR="00607E9F" w:rsidRPr="00767A0C" w:rsidRDefault="00607E9F" w:rsidP="00CC5379">
            <w:pPr>
              <w:spacing w:line="240" w:lineRule="auto"/>
              <w:jc w:val="left"/>
            </w:pPr>
            <w:r w:rsidRPr="00767A0C">
              <w:t>Autumn &amp; Spring full moon.</w:t>
            </w:r>
          </w:p>
        </w:tc>
        <w:tc>
          <w:tcPr>
            <w:tcW w:w="0" w:type="auto"/>
          </w:tcPr>
          <w:p w:rsidR="00607E9F" w:rsidRPr="00767A0C" w:rsidRDefault="00607E9F" w:rsidP="00CC5379">
            <w:pPr>
              <w:spacing w:line="240" w:lineRule="auto"/>
              <w:jc w:val="left"/>
            </w:pPr>
            <w:r w:rsidRPr="00767A0C">
              <w:t xml:space="preserve">Spring full moon. </w:t>
            </w:r>
          </w:p>
        </w:tc>
        <w:tc>
          <w:tcPr>
            <w:tcW w:w="0" w:type="auto"/>
          </w:tcPr>
          <w:p w:rsidR="00607E9F" w:rsidRPr="00767A0C" w:rsidRDefault="00607E9F" w:rsidP="00CC5379">
            <w:pPr>
              <w:spacing w:line="240" w:lineRule="auto"/>
              <w:jc w:val="left"/>
            </w:pPr>
            <w:r w:rsidRPr="00767A0C">
              <w:t>Major lunar extreme.</w:t>
            </w:r>
          </w:p>
        </w:tc>
        <w:tc>
          <w:tcPr>
            <w:tcW w:w="0" w:type="auto"/>
          </w:tcPr>
          <w:p w:rsidR="00607E9F" w:rsidRPr="00767A0C" w:rsidRDefault="00607E9F" w:rsidP="00CC5379">
            <w:pPr>
              <w:spacing w:line="240" w:lineRule="auto"/>
              <w:jc w:val="left"/>
            </w:pPr>
            <w:r w:rsidRPr="00767A0C">
              <w:t xml:space="preserve">Spring full moon. </w:t>
            </w:r>
          </w:p>
        </w:tc>
      </w:tr>
    </w:tbl>
    <w:p w:rsidR="00607E9F" w:rsidRPr="005A2072" w:rsidRDefault="00607E9F" w:rsidP="00B217BC">
      <w:pPr>
        <w:spacing w:line="240" w:lineRule="auto"/>
        <w:jc w:val="left"/>
        <w:rPr>
          <w:i/>
        </w:rPr>
      </w:pPr>
      <w:r w:rsidRPr="005A2072">
        <w:rPr>
          <w:i/>
        </w:rPr>
        <w:t>Table 7. Shows the orientations to the sun and moon from three imaginary circles compared with the Stones of Stenness. Possible alignments are in blue.</w:t>
      </w:r>
    </w:p>
    <w:p w:rsidR="00607E9F" w:rsidRPr="00767A0C" w:rsidRDefault="00607E9F" w:rsidP="005A2072">
      <w:pPr>
        <w:jc w:val="left"/>
      </w:pPr>
    </w:p>
    <w:p w:rsidR="00607E9F" w:rsidRPr="00767A0C" w:rsidRDefault="00607E9F" w:rsidP="005A2072">
      <w:pPr>
        <w:jc w:val="left"/>
      </w:pPr>
      <w:r w:rsidRPr="00767A0C">
        <w:t>More specific alignments were found in the imaginary circles than at the Stones of Stenness. All three imaginary circles included the Winter Solstice setting on the significant left, southwest hill. Imaginary circle 3 also included a Winter Solstice rising from a slight dip in the horizon and a Minor Lunar Extreme setting on the right of the southwest hills. While this is a very small sample, it suggests that many circular arrangements of 11 stones would have some stones orientated towards a skyscape aspect. If the particular horizon has many distinctive features, it appears more likely some possible alignment could be found. An analysis of orientation results was also completed for the Ring of Brodgar stones. Although Brodgar was probably built approximately four hundred years later than Stenness, it seemed reasonable to expect the likelihood of symbolic positioning being repeated. Orientations from the circle centre towards each stone and celestial risings or settings are shown in Table 8. The horizon was then examined to look for possible alignments towards specific aspects of the horizon and marked in blue.</w:t>
      </w:r>
      <w:r>
        <w:t xml:space="preserve"> </w:t>
      </w:r>
    </w:p>
    <w:p w:rsidR="00607E9F" w:rsidRPr="00767A0C" w:rsidRDefault="00607E9F" w:rsidP="005A2072">
      <w:pPr>
        <w:jc w:val="left"/>
      </w:pPr>
      <w:r w:rsidRPr="00767A0C">
        <w:t xml:space="preserve"> </w:t>
      </w:r>
    </w:p>
    <w:p w:rsidR="00607E9F" w:rsidRPr="00767A0C" w:rsidRDefault="00607E9F" w:rsidP="005A2072">
      <w:pPr>
        <w:jc w:val="left"/>
      </w:pPr>
      <w:r w:rsidRPr="00767A0C">
        <w:t>Skyscape orientations from the Ring of Brodgar at 2700 - 2300 BC.</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tblPr>
      <w:tblGrid>
        <w:gridCol w:w="763"/>
        <w:gridCol w:w="3498"/>
        <w:gridCol w:w="763"/>
        <w:gridCol w:w="3498"/>
      </w:tblGrid>
      <w:tr w:rsidR="00607E9F" w:rsidRPr="00767A0C">
        <w:tc>
          <w:tcPr>
            <w:tcW w:w="0" w:type="auto"/>
          </w:tcPr>
          <w:p w:rsidR="00607E9F" w:rsidRPr="00767A0C" w:rsidRDefault="00607E9F" w:rsidP="00CC5379">
            <w:pPr>
              <w:spacing w:line="240" w:lineRule="auto"/>
              <w:jc w:val="left"/>
            </w:pPr>
            <w:r w:rsidRPr="00767A0C">
              <w:t>Stone</w:t>
            </w:r>
          </w:p>
        </w:tc>
        <w:tc>
          <w:tcPr>
            <w:tcW w:w="0" w:type="auto"/>
          </w:tcPr>
          <w:p w:rsidR="00607E9F" w:rsidRPr="00767A0C" w:rsidRDefault="00607E9F" w:rsidP="00CC5379">
            <w:pPr>
              <w:spacing w:line="240" w:lineRule="auto"/>
              <w:jc w:val="left"/>
            </w:pPr>
            <w:r w:rsidRPr="00767A0C">
              <w:t>Possible Target</w:t>
            </w:r>
          </w:p>
        </w:tc>
        <w:tc>
          <w:tcPr>
            <w:tcW w:w="0" w:type="auto"/>
          </w:tcPr>
          <w:p w:rsidR="00607E9F" w:rsidRPr="00767A0C" w:rsidRDefault="00607E9F" w:rsidP="00CC5379">
            <w:pPr>
              <w:spacing w:line="240" w:lineRule="auto"/>
              <w:jc w:val="left"/>
            </w:pPr>
            <w:r w:rsidRPr="00767A0C">
              <w:t>Stone</w:t>
            </w:r>
          </w:p>
        </w:tc>
        <w:tc>
          <w:tcPr>
            <w:tcW w:w="0" w:type="auto"/>
          </w:tcPr>
          <w:p w:rsidR="00607E9F" w:rsidRPr="00767A0C" w:rsidRDefault="00607E9F" w:rsidP="00CC5379">
            <w:pPr>
              <w:spacing w:line="240" w:lineRule="auto"/>
              <w:jc w:val="left"/>
            </w:pPr>
            <w:r w:rsidRPr="00767A0C">
              <w:t>Possible Target</w:t>
            </w:r>
          </w:p>
        </w:tc>
      </w:tr>
      <w:tr w:rsidR="00607E9F" w:rsidRPr="00767A0C">
        <w:tc>
          <w:tcPr>
            <w:tcW w:w="0" w:type="auto"/>
          </w:tcPr>
          <w:p w:rsidR="00607E9F" w:rsidRPr="00767A0C" w:rsidRDefault="00607E9F" w:rsidP="00CC5379">
            <w:pPr>
              <w:spacing w:line="240" w:lineRule="auto"/>
              <w:jc w:val="left"/>
            </w:pPr>
            <w:r w:rsidRPr="00767A0C">
              <w:t>1</w:t>
            </w:r>
          </w:p>
        </w:tc>
        <w:tc>
          <w:tcPr>
            <w:tcW w:w="0" w:type="auto"/>
          </w:tcPr>
          <w:p w:rsidR="00607E9F" w:rsidRPr="00767A0C" w:rsidRDefault="00607E9F" w:rsidP="00CC5379">
            <w:pPr>
              <w:spacing w:line="240" w:lineRule="auto"/>
              <w:jc w:val="left"/>
            </w:pPr>
            <w:r w:rsidRPr="00767A0C">
              <w:t>X</w:t>
            </w:r>
          </w:p>
        </w:tc>
        <w:tc>
          <w:tcPr>
            <w:tcW w:w="0" w:type="auto"/>
          </w:tcPr>
          <w:p w:rsidR="00607E9F" w:rsidRPr="00767A0C" w:rsidRDefault="00607E9F" w:rsidP="00CC5379">
            <w:pPr>
              <w:spacing w:line="240" w:lineRule="auto"/>
              <w:jc w:val="left"/>
            </w:pPr>
            <w:r w:rsidRPr="00767A0C">
              <w:t>15</w:t>
            </w:r>
          </w:p>
        </w:tc>
        <w:tc>
          <w:tcPr>
            <w:tcW w:w="0" w:type="auto"/>
          </w:tcPr>
          <w:p w:rsidR="00607E9F" w:rsidRPr="00767A0C" w:rsidRDefault="00607E9F" w:rsidP="00CC5379">
            <w:pPr>
              <w:spacing w:line="240" w:lineRule="auto"/>
              <w:jc w:val="left"/>
            </w:pPr>
            <w:r w:rsidRPr="00767A0C">
              <w:t>x</w:t>
            </w:r>
          </w:p>
        </w:tc>
      </w:tr>
      <w:tr w:rsidR="00607E9F" w:rsidRPr="00767A0C">
        <w:tc>
          <w:tcPr>
            <w:tcW w:w="0" w:type="auto"/>
          </w:tcPr>
          <w:p w:rsidR="00607E9F" w:rsidRPr="00767A0C" w:rsidRDefault="00607E9F" w:rsidP="00CC5379">
            <w:pPr>
              <w:spacing w:line="240" w:lineRule="auto"/>
              <w:jc w:val="left"/>
            </w:pPr>
            <w:r w:rsidRPr="00767A0C">
              <w:t>2</w:t>
            </w:r>
          </w:p>
        </w:tc>
        <w:tc>
          <w:tcPr>
            <w:tcW w:w="0" w:type="auto"/>
          </w:tcPr>
          <w:p w:rsidR="00607E9F" w:rsidRPr="00767A0C" w:rsidRDefault="00607E9F" w:rsidP="00CC5379">
            <w:pPr>
              <w:spacing w:line="240" w:lineRule="auto"/>
              <w:jc w:val="left"/>
            </w:pPr>
            <w:r w:rsidRPr="00767A0C">
              <w:t>X</w:t>
            </w:r>
          </w:p>
        </w:tc>
        <w:tc>
          <w:tcPr>
            <w:tcW w:w="0" w:type="auto"/>
          </w:tcPr>
          <w:p w:rsidR="00607E9F" w:rsidRPr="00767A0C" w:rsidRDefault="00607E9F" w:rsidP="00CC5379">
            <w:pPr>
              <w:spacing w:line="240" w:lineRule="auto"/>
              <w:jc w:val="left"/>
            </w:pPr>
            <w:r w:rsidRPr="00767A0C">
              <w:t>16</w:t>
            </w:r>
          </w:p>
        </w:tc>
        <w:tc>
          <w:tcPr>
            <w:tcW w:w="0" w:type="auto"/>
          </w:tcPr>
          <w:p w:rsidR="00607E9F" w:rsidRPr="00767A0C" w:rsidRDefault="00607E9F" w:rsidP="00CC5379">
            <w:pPr>
              <w:spacing w:line="240" w:lineRule="auto"/>
              <w:jc w:val="left"/>
            </w:pPr>
            <w:r w:rsidRPr="00767A0C">
              <w:t>x</w:t>
            </w:r>
          </w:p>
        </w:tc>
      </w:tr>
      <w:tr w:rsidR="00607E9F" w:rsidRPr="00767A0C">
        <w:tc>
          <w:tcPr>
            <w:tcW w:w="0" w:type="auto"/>
          </w:tcPr>
          <w:p w:rsidR="00607E9F" w:rsidRPr="00767A0C" w:rsidRDefault="00607E9F" w:rsidP="00CC5379">
            <w:pPr>
              <w:spacing w:line="240" w:lineRule="auto"/>
              <w:jc w:val="left"/>
            </w:pPr>
            <w:r w:rsidRPr="00767A0C">
              <w:t>5</w:t>
            </w:r>
          </w:p>
        </w:tc>
        <w:tc>
          <w:tcPr>
            <w:tcW w:w="0" w:type="auto"/>
          </w:tcPr>
          <w:p w:rsidR="00607E9F" w:rsidRPr="00767A0C" w:rsidRDefault="00607E9F" w:rsidP="00CC5379">
            <w:pPr>
              <w:spacing w:line="240" w:lineRule="auto"/>
              <w:jc w:val="left"/>
            </w:pPr>
            <w:r w:rsidRPr="00767A0C">
              <w:t>X</w:t>
            </w:r>
          </w:p>
        </w:tc>
        <w:tc>
          <w:tcPr>
            <w:tcW w:w="0" w:type="auto"/>
          </w:tcPr>
          <w:p w:rsidR="00607E9F" w:rsidRPr="00767A0C" w:rsidRDefault="00607E9F" w:rsidP="00CC5379">
            <w:pPr>
              <w:spacing w:line="240" w:lineRule="auto"/>
              <w:jc w:val="left"/>
            </w:pPr>
            <w:r w:rsidRPr="00767A0C">
              <w:t>17</w:t>
            </w:r>
          </w:p>
        </w:tc>
        <w:tc>
          <w:tcPr>
            <w:tcW w:w="0" w:type="auto"/>
          </w:tcPr>
          <w:p w:rsidR="00607E9F" w:rsidRPr="00767A0C" w:rsidRDefault="00607E9F" w:rsidP="00CC5379">
            <w:pPr>
              <w:spacing w:line="240" w:lineRule="auto"/>
              <w:jc w:val="left"/>
            </w:pPr>
            <w:r w:rsidRPr="00767A0C">
              <w:t>x</w:t>
            </w:r>
          </w:p>
        </w:tc>
      </w:tr>
      <w:tr w:rsidR="00607E9F" w:rsidRPr="00767A0C">
        <w:tc>
          <w:tcPr>
            <w:tcW w:w="0" w:type="auto"/>
          </w:tcPr>
          <w:p w:rsidR="00607E9F" w:rsidRPr="00767A0C" w:rsidRDefault="00607E9F" w:rsidP="00CC5379">
            <w:pPr>
              <w:spacing w:line="240" w:lineRule="auto"/>
              <w:jc w:val="left"/>
            </w:pPr>
            <w:r w:rsidRPr="00767A0C">
              <w:t>6</w:t>
            </w:r>
          </w:p>
        </w:tc>
        <w:tc>
          <w:tcPr>
            <w:tcW w:w="0" w:type="auto"/>
          </w:tcPr>
          <w:p w:rsidR="00607E9F" w:rsidRPr="00767A0C" w:rsidRDefault="00607E9F" w:rsidP="00CC5379">
            <w:pPr>
              <w:spacing w:line="240" w:lineRule="auto"/>
              <w:jc w:val="left"/>
            </w:pPr>
            <w:r w:rsidRPr="00767A0C">
              <w:t>Minor lunar extreme.</w:t>
            </w:r>
          </w:p>
        </w:tc>
        <w:tc>
          <w:tcPr>
            <w:tcW w:w="0" w:type="auto"/>
          </w:tcPr>
          <w:p w:rsidR="00607E9F" w:rsidRPr="00767A0C" w:rsidRDefault="00607E9F" w:rsidP="00CC5379">
            <w:pPr>
              <w:spacing w:line="240" w:lineRule="auto"/>
              <w:jc w:val="left"/>
            </w:pPr>
            <w:r w:rsidRPr="00767A0C">
              <w:t>18</w:t>
            </w:r>
          </w:p>
        </w:tc>
        <w:tc>
          <w:tcPr>
            <w:tcW w:w="0" w:type="auto"/>
          </w:tcPr>
          <w:p w:rsidR="00607E9F" w:rsidRPr="00767A0C" w:rsidRDefault="00607E9F" w:rsidP="00CC5379">
            <w:pPr>
              <w:spacing w:line="240" w:lineRule="auto"/>
              <w:jc w:val="left"/>
            </w:pPr>
            <w:r w:rsidRPr="00767A0C">
              <w:t>Major lunar extreme.</w:t>
            </w:r>
          </w:p>
        </w:tc>
      </w:tr>
      <w:tr w:rsidR="00607E9F" w:rsidRPr="00767A0C">
        <w:tc>
          <w:tcPr>
            <w:tcW w:w="0" w:type="auto"/>
          </w:tcPr>
          <w:p w:rsidR="00607E9F" w:rsidRPr="00767A0C" w:rsidRDefault="00607E9F" w:rsidP="00CC5379">
            <w:pPr>
              <w:spacing w:line="240" w:lineRule="auto"/>
              <w:jc w:val="left"/>
            </w:pPr>
            <w:r w:rsidRPr="00767A0C">
              <w:t>7</w:t>
            </w:r>
          </w:p>
        </w:tc>
        <w:tc>
          <w:tcPr>
            <w:tcW w:w="0" w:type="auto"/>
          </w:tcPr>
          <w:p w:rsidR="00607E9F" w:rsidRPr="00767A0C" w:rsidRDefault="00607E9F" w:rsidP="00CC5379">
            <w:pPr>
              <w:spacing w:line="240" w:lineRule="auto"/>
              <w:jc w:val="left"/>
            </w:pPr>
            <w:r w:rsidRPr="00767A0C">
              <w:t>Autumn full moon.</w:t>
            </w:r>
          </w:p>
        </w:tc>
        <w:tc>
          <w:tcPr>
            <w:tcW w:w="0" w:type="auto"/>
          </w:tcPr>
          <w:p w:rsidR="00607E9F" w:rsidRPr="00767A0C" w:rsidRDefault="00607E9F" w:rsidP="00CC5379">
            <w:pPr>
              <w:spacing w:line="240" w:lineRule="auto"/>
              <w:jc w:val="left"/>
            </w:pPr>
            <w:r w:rsidRPr="00767A0C">
              <w:t>19</w:t>
            </w:r>
          </w:p>
        </w:tc>
        <w:tc>
          <w:tcPr>
            <w:tcW w:w="0" w:type="auto"/>
          </w:tcPr>
          <w:p w:rsidR="00607E9F" w:rsidRPr="008453B6" w:rsidRDefault="00607E9F" w:rsidP="00CC5379">
            <w:pPr>
              <w:spacing w:line="240" w:lineRule="auto"/>
              <w:jc w:val="left"/>
              <w:rPr>
                <w:color w:val="3366FF"/>
              </w:rPr>
            </w:pPr>
            <w:r w:rsidRPr="008453B6">
              <w:rPr>
                <w:color w:val="3366FF"/>
              </w:rPr>
              <w:t>Winter Solstice sets in horizon dip.</w:t>
            </w:r>
          </w:p>
          <w:p w:rsidR="00607E9F" w:rsidRPr="00767A0C" w:rsidRDefault="00607E9F" w:rsidP="00CC5379">
            <w:pPr>
              <w:spacing w:line="240" w:lineRule="auto"/>
              <w:jc w:val="left"/>
            </w:pPr>
            <w:r w:rsidRPr="008453B6">
              <w:rPr>
                <w:color w:val="3366FF"/>
              </w:rPr>
              <w:t>Sirius sets on left peak.</w:t>
            </w:r>
          </w:p>
        </w:tc>
      </w:tr>
      <w:tr w:rsidR="00607E9F" w:rsidRPr="00767A0C">
        <w:tc>
          <w:tcPr>
            <w:tcW w:w="0" w:type="auto"/>
          </w:tcPr>
          <w:p w:rsidR="00607E9F" w:rsidRPr="00767A0C" w:rsidRDefault="00607E9F" w:rsidP="005A2072">
            <w:pPr>
              <w:jc w:val="left"/>
            </w:pPr>
            <w:r w:rsidRPr="00767A0C">
              <w:t>8</w:t>
            </w:r>
          </w:p>
        </w:tc>
        <w:tc>
          <w:tcPr>
            <w:tcW w:w="0" w:type="auto"/>
          </w:tcPr>
          <w:p w:rsidR="00607E9F" w:rsidRPr="00767A0C" w:rsidRDefault="00607E9F" w:rsidP="005A2072">
            <w:pPr>
              <w:jc w:val="left"/>
            </w:pPr>
            <w:r w:rsidRPr="00767A0C">
              <w:t>Autumn &amp; Spring full moons.</w:t>
            </w:r>
          </w:p>
        </w:tc>
        <w:tc>
          <w:tcPr>
            <w:tcW w:w="0" w:type="auto"/>
          </w:tcPr>
          <w:p w:rsidR="00607E9F" w:rsidRPr="00767A0C" w:rsidRDefault="00607E9F" w:rsidP="005A2072">
            <w:pPr>
              <w:jc w:val="left"/>
            </w:pPr>
            <w:r w:rsidRPr="00767A0C">
              <w:t>20</w:t>
            </w:r>
          </w:p>
        </w:tc>
        <w:tc>
          <w:tcPr>
            <w:tcW w:w="0" w:type="auto"/>
          </w:tcPr>
          <w:p w:rsidR="00607E9F" w:rsidRPr="00767A0C" w:rsidRDefault="00607E9F" w:rsidP="005A2072">
            <w:pPr>
              <w:jc w:val="left"/>
            </w:pPr>
            <w:r w:rsidRPr="00767A0C">
              <w:t>x</w:t>
            </w:r>
          </w:p>
        </w:tc>
      </w:tr>
      <w:tr w:rsidR="00607E9F" w:rsidRPr="00767A0C">
        <w:tc>
          <w:tcPr>
            <w:tcW w:w="0" w:type="auto"/>
          </w:tcPr>
          <w:p w:rsidR="00607E9F" w:rsidRPr="00767A0C" w:rsidRDefault="00607E9F" w:rsidP="00CC5379">
            <w:pPr>
              <w:spacing w:line="240" w:lineRule="auto"/>
              <w:jc w:val="left"/>
            </w:pPr>
            <w:r w:rsidRPr="00767A0C">
              <w:t>9</w:t>
            </w:r>
          </w:p>
        </w:tc>
        <w:tc>
          <w:tcPr>
            <w:tcW w:w="0" w:type="auto"/>
          </w:tcPr>
          <w:p w:rsidR="00607E9F" w:rsidRPr="00767A0C" w:rsidRDefault="00607E9F" w:rsidP="00CC5379">
            <w:pPr>
              <w:spacing w:line="240" w:lineRule="auto"/>
              <w:jc w:val="left"/>
            </w:pPr>
            <w:r w:rsidRPr="00767A0C">
              <w:t>Spring &amp; Autumn full moons &amp; Equinox.</w:t>
            </w:r>
          </w:p>
        </w:tc>
        <w:tc>
          <w:tcPr>
            <w:tcW w:w="0" w:type="auto"/>
          </w:tcPr>
          <w:p w:rsidR="00607E9F" w:rsidRPr="00767A0C" w:rsidRDefault="00607E9F" w:rsidP="00CC5379">
            <w:pPr>
              <w:spacing w:line="240" w:lineRule="auto"/>
              <w:jc w:val="left"/>
            </w:pPr>
            <w:r w:rsidRPr="00767A0C">
              <w:t>21</w:t>
            </w:r>
          </w:p>
        </w:tc>
        <w:tc>
          <w:tcPr>
            <w:tcW w:w="0" w:type="auto"/>
          </w:tcPr>
          <w:p w:rsidR="00607E9F" w:rsidRPr="00767A0C" w:rsidRDefault="00607E9F" w:rsidP="00CC5379">
            <w:pPr>
              <w:spacing w:line="240" w:lineRule="auto"/>
              <w:jc w:val="left"/>
            </w:pPr>
            <w:r w:rsidRPr="00767A0C">
              <w:t>Minor lunar extreme.</w:t>
            </w:r>
          </w:p>
        </w:tc>
      </w:tr>
      <w:tr w:rsidR="00607E9F" w:rsidRPr="00767A0C">
        <w:tc>
          <w:tcPr>
            <w:tcW w:w="0" w:type="auto"/>
          </w:tcPr>
          <w:p w:rsidR="00607E9F" w:rsidRPr="00767A0C" w:rsidRDefault="00607E9F" w:rsidP="00CC5379">
            <w:pPr>
              <w:spacing w:line="240" w:lineRule="auto"/>
              <w:jc w:val="left"/>
            </w:pPr>
            <w:r w:rsidRPr="00767A0C">
              <w:t>10</w:t>
            </w:r>
          </w:p>
        </w:tc>
        <w:tc>
          <w:tcPr>
            <w:tcW w:w="0" w:type="auto"/>
          </w:tcPr>
          <w:p w:rsidR="00607E9F" w:rsidRPr="00767A0C" w:rsidRDefault="00607E9F" w:rsidP="00CC5379">
            <w:pPr>
              <w:spacing w:line="240" w:lineRule="auto"/>
              <w:jc w:val="left"/>
            </w:pPr>
            <w:r w:rsidRPr="00767A0C">
              <w:t>Spring &amp; Autumn full moons &amp; Equinox.</w:t>
            </w:r>
          </w:p>
        </w:tc>
        <w:tc>
          <w:tcPr>
            <w:tcW w:w="0" w:type="auto"/>
          </w:tcPr>
          <w:p w:rsidR="00607E9F" w:rsidRPr="00767A0C" w:rsidRDefault="00607E9F" w:rsidP="00CC5379">
            <w:pPr>
              <w:spacing w:line="240" w:lineRule="auto"/>
              <w:jc w:val="left"/>
            </w:pPr>
            <w:r w:rsidRPr="00767A0C">
              <w:t>22</w:t>
            </w:r>
          </w:p>
        </w:tc>
        <w:tc>
          <w:tcPr>
            <w:tcW w:w="0" w:type="auto"/>
          </w:tcPr>
          <w:p w:rsidR="00607E9F" w:rsidRPr="00767A0C" w:rsidRDefault="00607E9F" w:rsidP="00CC5379">
            <w:pPr>
              <w:spacing w:line="240" w:lineRule="auto"/>
              <w:jc w:val="left"/>
            </w:pPr>
            <w:r w:rsidRPr="00767A0C">
              <w:t>x</w:t>
            </w:r>
          </w:p>
        </w:tc>
      </w:tr>
      <w:tr w:rsidR="00607E9F" w:rsidRPr="00767A0C">
        <w:tc>
          <w:tcPr>
            <w:tcW w:w="0" w:type="auto"/>
          </w:tcPr>
          <w:p w:rsidR="00607E9F" w:rsidRPr="00767A0C" w:rsidRDefault="00607E9F" w:rsidP="00CC5379">
            <w:pPr>
              <w:spacing w:line="240" w:lineRule="auto"/>
              <w:jc w:val="left"/>
            </w:pPr>
            <w:r w:rsidRPr="00767A0C">
              <w:t>11</w:t>
            </w:r>
          </w:p>
        </w:tc>
        <w:tc>
          <w:tcPr>
            <w:tcW w:w="0" w:type="auto"/>
          </w:tcPr>
          <w:p w:rsidR="00607E9F" w:rsidRPr="00767A0C" w:rsidRDefault="00607E9F" w:rsidP="00CC5379">
            <w:pPr>
              <w:spacing w:line="240" w:lineRule="auto"/>
              <w:jc w:val="left"/>
            </w:pPr>
            <w:r w:rsidRPr="00767A0C">
              <w:t>Spring full moon.</w:t>
            </w:r>
          </w:p>
        </w:tc>
        <w:tc>
          <w:tcPr>
            <w:tcW w:w="0" w:type="auto"/>
          </w:tcPr>
          <w:p w:rsidR="00607E9F" w:rsidRPr="00767A0C" w:rsidRDefault="00607E9F" w:rsidP="00CC5379">
            <w:pPr>
              <w:spacing w:line="240" w:lineRule="auto"/>
              <w:jc w:val="left"/>
            </w:pPr>
            <w:r w:rsidRPr="00767A0C">
              <w:t>23</w:t>
            </w:r>
          </w:p>
        </w:tc>
        <w:tc>
          <w:tcPr>
            <w:tcW w:w="0" w:type="auto"/>
          </w:tcPr>
          <w:p w:rsidR="00607E9F" w:rsidRPr="00767A0C" w:rsidRDefault="00607E9F" w:rsidP="00CC5379">
            <w:pPr>
              <w:spacing w:line="240" w:lineRule="auto"/>
              <w:jc w:val="left"/>
            </w:pPr>
            <w:r w:rsidRPr="00767A0C">
              <w:t>Spring full moon.</w:t>
            </w:r>
          </w:p>
        </w:tc>
      </w:tr>
      <w:tr w:rsidR="00607E9F" w:rsidRPr="00767A0C">
        <w:tc>
          <w:tcPr>
            <w:tcW w:w="0" w:type="auto"/>
          </w:tcPr>
          <w:p w:rsidR="00607E9F" w:rsidRPr="00767A0C" w:rsidRDefault="00607E9F" w:rsidP="00CC5379">
            <w:pPr>
              <w:spacing w:line="240" w:lineRule="auto"/>
              <w:jc w:val="left"/>
            </w:pPr>
            <w:r w:rsidRPr="00767A0C">
              <w:t>12</w:t>
            </w:r>
          </w:p>
        </w:tc>
        <w:tc>
          <w:tcPr>
            <w:tcW w:w="0" w:type="auto"/>
          </w:tcPr>
          <w:p w:rsidR="00607E9F" w:rsidRPr="00767A0C" w:rsidRDefault="00607E9F" w:rsidP="00CC5379">
            <w:pPr>
              <w:spacing w:line="240" w:lineRule="auto"/>
              <w:jc w:val="left"/>
            </w:pPr>
            <w:r w:rsidRPr="00767A0C">
              <w:t xml:space="preserve">Spring full moon. </w:t>
            </w:r>
          </w:p>
        </w:tc>
        <w:tc>
          <w:tcPr>
            <w:tcW w:w="0" w:type="auto"/>
          </w:tcPr>
          <w:p w:rsidR="00607E9F" w:rsidRPr="00767A0C" w:rsidRDefault="00607E9F" w:rsidP="00CC5379">
            <w:pPr>
              <w:spacing w:line="240" w:lineRule="auto"/>
              <w:jc w:val="left"/>
            </w:pPr>
            <w:r w:rsidRPr="00767A0C">
              <w:t>25</w:t>
            </w:r>
          </w:p>
        </w:tc>
        <w:tc>
          <w:tcPr>
            <w:tcW w:w="0" w:type="auto"/>
          </w:tcPr>
          <w:p w:rsidR="00607E9F" w:rsidRPr="00767A0C" w:rsidRDefault="00607E9F" w:rsidP="00CC5379">
            <w:pPr>
              <w:spacing w:line="240" w:lineRule="auto"/>
              <w:jc w:val="left"/>
            </w:pPr>
            <w:r w:rsidRPr="00767A0C">
              <w:t xml:space="preserve">Autumn &amp; Spring full moons &amp; Equinox. </w:t>
            </w:r>
          </w:p>
        </w:tc>
      </w:tr>
      <w:tr w:rsidR="00607E9F" w:rsidRPr="00767A0C">
        <w:tc>
          <w:tcPr>
            <w:tcW w:w="0" w:type="auto"/>
          </w:tcPr>
          <w:p w:rsidR="00607E9F" w:rsidRPr="00767A0C" w:rsidRDefault="00607E9F" w:rsidP="00CC5379">
            <w:pPr>
              <w:spacing w:line="240" w:lineRule="auto"/>
              <w:jc w:val="left"/>
            </w:pPr>
            <w:r w:rsidRPr="00767A0C">
              <w:t>13</w:t>
            </w:r>
          </w:p>
        </w:tc>
        <w:tc>
          <w:tcPr>
            <w:tcW w:w="0" w:type="auto"/>
          </w:tcPr>
          <w:p w:rsidR="00607E9F" w:rsidRPr="00767A0C" w:rsidRDefault="00607E9F" w:rsidP="00CC5379">
            <w:pPr>
              <w:spacing w:line="240" w:lineRule="auto"/>
              <w:jc w:val="left"/>
            </w:pPr>
            <w:r w:rsidRPr="00767A0C">
              <w:t>Winter Solstice rising.</w:t>
            </w:r>
          </w:p>
        </w:tc>
        <w:tc>
          <w:tcPr>
            <w:tcW w:w="0" w:type="auto"/>
          </w:tcPr>
          <w:p w:rsidR="00607E9F" w:rsidRPr="00767A0C" w:rsidRDefault="00607E9F" w:rsidP="00CC5379">
            <w:pPr>
              <w:spacing w:line="240" w:lineRule="auto"/>
              <w:jc w:val="left"/>
            </w:pPr>
            <w:r w:rsidRPr="00767A0C">
              <w:t>26</w:t>
            </w:r>
          </w:p>
        </w:tc>
        <w:tc>
          <w:tcPr>
            <w:tcW w:w="0" w:type="auto"/>
          </w:tcPr>
          <w:p w:rsidR="00607E9F" w:rsidRPr="00767A0C" w:rsidRDefault="00607E9F" w:rsidP="00CC5379">
            <w:pPr>
              <w:spacing w:line="240" w:lineRule="auto"/>
              <w:jc w:val="left"/>
            </w:pPr>
            <w:r w:rsidRPr="00767A0C">
              <w:t>Autumn &amp; Spring full moons.</w:t>
            </w:r>
          </w:p>
        </w:tc>
      </w:tr>
      <w:tr w:rsidR="00607E9F" w:rsidRPr="00767A0C">
        <w:trPr>
          <w:trHeight w:val="90"/>
        </w:trPr>
        <w:tc>
          <w:tcPr>
            <w:tcW w:w="0" w:type="auto"/>
          </w:tcPr>
          <w:p w:rsidR="00607E9F" w:rsidRPr="00767A0C" w:rsidRDefault="00607E9F" w:rsidP="00CC5379">
            <w:pPr>
              <w:spacing w:line="240" w:lineRule="auto"/>
              <w:jc w:val="left"/>
            </w:pPr>
            <w:r w:rsidRPr="00767A0C">
              <w:t>14</w:t>
            </w:r>
          </w:p>
        </w:tc>
        <w:tc>
          <w:tcPr>
            <w:tcW w:w="0" w:type="auto"/>
          </w:tcPr>
          <w:p w:rsidR="00607E9F" w:rsidRPr="00767A0C" w:rsidRDefault="00607E9F" w:rsidP="00CC5379">
            <w:pPr>
              <w:spacing w:line="240" w:lineRule="auto"/>
              <w:jc w:val="left"/>
            </w:pPr>
            <w:r w:rsidRPr="00767A0C">
              <w:t>X</w:t>
            </w:r>
          </w:p>
        </w:tc>
        <w:tc>
          <w:tcPr>
            <w:tcW w:w="0" w:type="auto"/>
          </w:tcPr>
          <w:p w:rsidR="00607E9F" w:rsidRPr="00767A0C" w:rsidRDefault="00607E9F" w:rsidP="00CC5379">
            <w:pPr>
              <w:spacing w:line="240" w:lineRule="auto"/>
              <w:jc w:val="left"/>
            </w:pPr>
            <w:r w:rsidRPr="00767A0C">
              <w:t>27</w:t>
            </w:r>
          </w:p>
        </w:tc>
        <w:tc>
          <w:tcPr>
            <w:tcW w:w="0" w:type="auto"/>
          </w:tcPr>
          <w:p w:rsidR="00607E9F" w:rsidRPr="00767A0C" w:rsidRDefault="00607E9F" w:rsidP="00CC5379">
            <w:pPr>
              <w:spacing w:line="240" w:lineRule="auto"/>
              <w:jc w:val="left"/>
            </w:pPr>
            <w:r w:rsidRPr="00767A0C">
              <w:t>Autumn full moon.</w:t>
            </w:r>
          </w:p>
        </w:tc>
      </w:tr>
    </w:tbl>
    <w:p w:rsidR="00607E9F" w:rsidRPr="005A2072" w:rsidRDefault="00607E9F" w:rsidP="00B217BC">
      <w:pPr>
        <w:spacing w:line="240" w:lineRule="auto"/>
        <w:jc w:val="left"/>
        <w:rPr>
          <w:i/>
        </w:rPr>
      </w:pPr>
      <w:r w:rsidRPr="005A2072">
        <w:rPr>
          <w:i/>
        </w:rPr>
        <w:t>Table 8. Possible celestial targets at the Ring of Brodgar with possible alignments marked in blue.</w:t>
      </w:r>
    </w:p>
    <w:p w:rsidR="00607E9F" w:rsidRPr="00767A0C" w:rsidRDefault="00607E9F" w:rsidP="005A2072">
      <w:pPr>
        <w:jc w:val="left"/>
      </w:pPr>
    </w:p>
    <w:p w:rsidR="00607E9F" w:rsidRPr="00767A0C" w:rsidRDefault="00607E9F" w:rsidP="005A2072">
      <w:pPr>
        <w:jc w:val="left"/>
      </w:pPr>
      <w:r w:rsidRPr="00767A0C">
        <w:t>The only alignments found at this circle were at stone 19, where the Winter Solstice setting aligns with a dip on the horizon, and the setting of Sirius on a horizon peak. Although both Stenness and Brodgar circles reference Sirius, the setting at dawn would only have been seen in the month of October. It seems unlikely that one, undistinguished stone would have a relevant alignment while the remaining stones did not. The lack of any other pattern between the circles suggested this was merely a coincidence. The repetition of an alignment to Sirius, within a larger database of similar structures, would strengthen the likelihood of a deliberate alignment. For example, with a larger database Fabio Silva (2015) was able to show a consistent alignment from the dolmens in Carregal do Sal in Portugal, to the rising of Aldebaran over the Serra da Estrela mountain. Clive Ruggles (1999, p.98) also used a large database in his study of recumbent stone circles where he found the position of the one, distinctive recumbent stone caught the moonshine at midsummer. This was not the case at the Stones of Stenness or the Ring of Brodgar. There seemed little to be deduced from the positioning of individual stones at the Stones of Stenness and Brodgar. Therefore, I concluded that I had found no evidence to suggest the builders positioned the stones to deliberately align with a celestial aspect.</w:t>
      </w:r>
    </w:p>
    <w:p w:rsidR="00607E9F" w:rsidRPr="00767A0C" w:rsidRDefault="00607E9F" w:rsidP="005A2072">
      <w:pPr>
        <w:jc w:val="left"/>
      </w:pPr>
    </w:p>
    <w:p w:rsidR="00607E9F" w:rsidRPr="00767A0C" w:rsidRDefault="00607E9F" w:rsidP="005A2072">
      <w:pPr>
        <w:jc w:val="left"/>
      </w:pPr>
      <w:r w:rsidRPr="00767A0C">
        <w:t>Colin Richards (2013, Chapter 4) questioned whether stone circles were conceived and built as a complete, finished circle. He argued the idea of a completed circle was illusionary and the circle was probably contributed to over time. John Brown and Allan Hall conducted a geological analysis of the Brodgar stones and identified seven types of sandstone, from different quarries in different areas (Richards, 2013, Chapter 4). This suggested to Richards that different groups of people from different areas may have contributed to the construction rather than one group undertaking the whole project. He suggested the process of extracting moving and erecting the stones may have been as important to the builders as a finished concept and referenced the ceremonial aspect of monumental stone moving in the culture of the Angami Naga from India (Dewer, 1966). He further considered the Brodgar ditch was dug in segments that could also represent the combined effort from different communities within the region. The stone stumps found at Brodgar and Stenness are an interesting aspect, as the general assumption seems to be they were once as large as the other stones. An explanation has never been suggested for what fate befell the stumps to make them smaller. Some of the tall thin standing stones of Orkney have fallen but these leave jagged remains from the breakage, not the rounded tops of the stumps. It is possible that they were placed in their positions as stumps. The accuracy of the huge circle shape at Brodgar and slight ellipse at Stenness suggests the preparatory layout of guidance markers, especially if the circle were being created over a longer time period. Wooden poles would be an obvious way to mark out a shape but, with wood being in short supply on Orkney, perhaps the small stone stumps were used as markers, to be replaced over time by the erection of the standing stones.</w:t>
      </w:r>
    </w:p>
    <w:p w:rsidR="00607E9F" w:rsidRPr="00767A0C" w:rsidRDefault="00607E9F" w:rsidP="005A2072">
      <w:pPr>
        <w:jc w:val="left"/>
      </w:pPr>
    </w:p>
    <w:p w:rsidR="00607E9F" w:rsidRPr="008453B6" w:rsidRDefault="00607E9F" w:rsidP="005A2072">
      <w:pPr>
        <w:pStyle w:val="Heading3"/>
        <w:jc w:val="left"/>
        <w:rPr>
          <w:color w:val="3366FF"/>
        </w:rPr>
      </w:pPr>
      <w:r w:rsidRPr="00CC5379">
        <w:rPr>
          <w:color w:val="auto"/>
        </w:rPr>
        <w:t>6.2</w:t>
      </w:r>
      <w:r w:rsidRPr="008453B6">
        <w:rPr>
          <w:color w:val="3366FF"/>
        </w:rPr>
        <w:t xml:space="preserve"> MAESHOWE.</w:t>
      </w:r>
    </w:p>
    <w:p w:rsidR="00607E9F" w:rsidRPr="00767A0C" w:rsidRDefault="00607E9F" w:rsidP="005A2072">
      <w:pPr>
        <w:jc w:val="left"/>
      </w:pPr>
      <w:r w:rsidRPr="00767A0C">
        <w:t xml:space="preserve">The results from Maeshowe showed the expected orientation towards the Winter solstice setting and also the setting of Rigel and Sirius, with Sirius setting on the left of the two distinctive southwest hills. However when looking at the movement of Sirius on Stellerium, Sirius would have only set on the left hill in October, at dawn, while much of the year it’s rising and setting would have taken place in the daylight. As with the recumbent stone circles, the importance of the Maeshowe solstice alignment is with regard to the effect of light, although in this case the sun rather than the moon. Newgrange tomb passage also caught the solstice if the quartz stones, blocking the roof box aperture, were removed at the correct time to allow the sun to shine through (Burl, 1983). However, the shining of the sun’s beams down the passage is not specific to the Winter solstice but includes the days either side of it. As Victor Reijs (2012) discovered, the light shines on the back wall for only a few minutes on the Winter Solstice but increases to 25 minutes over the days following it. Perhaps it was not considered important to align the passage so that longest period of light shine occurred on the actual Winter Solstice day. It is also the possible that the alignment is coincidental. The tomb was built over an earlier structure for which no dating evidence is available. Perhaps the other sites in the Ness were related to this earlier structure rather than the later development. The entrance of the earlier structure may have been quite different from the burial chamber and the uncertain dating of the later tomb may explain why Maeshowe appears to be an anomaly in the results’ analysis. I then examined the results for the entrances. </w:t>
      </w:r>
    </w:p>
    <w:p w:rsidR="00607E9F" w:rsidRPr="00767A0C" w:rsidRDefault="00607E9F" w:rsidP="005A2072">
      <w:pPr>
        <w:jc w:val="left"/>
      </w:pPr>
    </w:p>
    <w:p w:rsidR="00607E9F" w:rsidRPr="008453B6" w:rsidRDefault="00607E9F" w:rsidP="005A2072">
      <w:pPr>
        <w:pStyle w:val="Heading3"/>
        <w:jc w:val="left"/>
        <w:rPr>
          <w:color w:val="3366FF"/>
        </w:rPr>
      </w:pPr>
      <w:r w:rsidRPr="00CC5379">
        <w:rPr>
          <w:color w:val="auto"/>
        </w:rPr>
        <w:t>6.3</w:t>
      </w:r>
      <w:r w:rsidRPr="008453B6">
        <w:rPr>
          <w:color w:val="3366FF"/>
        </w:rPr>
        <w:t xml:space="preserve"> ENTRANCES. </w:t>
      </w:r>
    </w:p>
    <w:p w:rsidR="00607E9F" w:rsidRPr="00767A0C" w:rsidRDefault="00607E9F" w:rsidP="005A2072">
      <w:pPr>
        <w:jc w:val="left"/>
      </w:pPr>
      <w:r w:rsidRPr="00767A0C">
        <w:t xml:space="preserve">The orientation results for celestial risings and settings from the structure entrances are shown in Table 9 with orientations towards possible horizon markers shown in blue. </w:t>
      </w:r>
    </w:p>
    <w:p w:rsidR="00607E9F" w:rsidRPr="00767A0C" w:rsidRDefault="00607E9F" w:rsidP="005A2072">
      <w:pPr>
        <w:jc w:val="left"/>
      </w:pPr>
    </w:p>
    <w:p w:rsidR="00607E9F" w:rsidRPr="00767A0C" w:rsidRDefault="00607E9F" w:rsidP="005A2072">
      <w:pPr>
        <w:jc w:val="left"/>
      </w:pPr>
      <w:r w:rsidRPr="00767A0C">
        <w:t>Orientations from the Ness entrances between 3100 and 2800 BC and from the Barnhouse structures between 3100 and 3000 BC.</w:t>
      </w:r>
    </w:p>
    <w:p w:rsidR="00607E9F" w:rsidRPr="00767A0C" w:rsidRDefault="00607E9F" w:rsidP="005A2072">
      <w:pPr>
        <w:jc w:val="left"/>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tblPr>
      <w:tblGrid>
        <w:gridCol w:w="1313"/>
        <w:gridCol w:w="2367"/>
        <w:gridCol w:w="4842"/>
      </w:tblGrid>
      <w:tr w:rsidR="00607E9F" w:rsidRPr="00767A0C">
        <w:tc>
          <w:tcPr>
            <w:tcW w:w="0" w:type="auto"/>
          </w:tcPr>
          <w:p w:rsidR="00607E9F" w:rsidRPr="00767A0C" w:rsidRDefault="00607E9F" w:rsidP="00CC5379">
            <w:pPr>
              <w:spacing w:line="240" w:lineRule="auto"/>
              <w:jc w:val="left"/>
            </w:pPr>
            <w:r w:rsidRPr="00767A0C">
              <w:t>NESS</w:t>
            </w:r>
          </w:p>
        </w:tc>
        <w:tc>
          <w:tcPr>
            <w:tcW w:w="0" w:type="auto"/>
          </w:tcPr>
          <w:p w:rsidR="00607E9F" w:rsidRPr="00767A0C" w:rsidRDefault="00607E9F" w:rsidP="00CC5379">
            <w:pPr>
              <w:spacing w:line="240" w:lineRule="auto"/>
              <w:jc w:val="left"/>
            </w:pPr>
            <w:r w:rsidRPr="00767A0C">
              <w:t>Sun &amp; Moon</w:t>
            </w:r>
          </w:p>
        </w:tc>
        <w:tc>
          <w:tcPr>
            <w:tcW w:w="0" w:type="auto"/>
          </w:tcPr>
          <w:p w:rsidR="00607E9F" w:rsidRPr="00767A0C" w:rsidRDefault="00607E9F" w:rsidP="00CC5379">
            <w:pPr>
              <w:spacing w:line="240" w:lineRule="auto"/>
              <w:jc w:val="left"/>
            </w:pPr>
            <w:r w:rsidRPr="00767A0C">
              <w:t>Stars</w:t>
            </w:r>
          </w:p>
        </w:tc>
      </w:tr>
      <w:tr w:rsidR="00607E9F" w:rsidRPr="00767A0C">
        <w:tc>
          <w:tcPr>
            <w:tcW w:w="0" w:type="auto"/>
          </w:tcPr>
          <w:p w:rsidR="00607E9F" w:rsidRPr="00767A0C" w:rsidRDefault="00607E9F" w:rsidP="00CC5379">
            <w:pPr>
              <w:spacing w:line="240" w:lineRule="auto"/>
              <w:jc w:val="left"/>
            </w:pPr>
            <w:r w:rsidRPr="00767A0C">
              <w:t>14</w:t>
            </w:r>
          </w:p>
        </w:tc>
        <w:tc>
          <w:tcPr>
            <w:tcW w:w="0" w:type="auto"/>
          </w:tcPr>
          <w:p w:rsidR="00607E9F" w:rsidRPr="00767A0C" w:rsidRDefault="00607E9F" w:rsidP="00CC5379">
            <w:pPr>
              <w:spacing w:line="240" w:lineRule="auto"/>
              <w:jc w:val="left"/>
            </w:pPr>
            <w:r w:rsidRPr="00767A0C">
              <w:t>x</w:t>
            </w:r>
          </w:p>
        </w:tc>
        <w:tc>
          <w:tcPr>
            <w:tcW w:w="0" w:type="auto"/>
          </w:tcPr>
          <w:p w:rsidR="00607E9F" w:rsidRPr="00767A0C" w:rsidRDefault="00607E9F" w:rsidP="00CC5379">
            <w:pPr>
              <w:spacing w:line="240" w:lineRule="auto"/>
              <w:jc w:val="left"/>
            </w:pPr>
            <w:r w:rsidRPr="00767A0C">
              <w:t>Algol &amp; Spica rising.</w:t>
            </w:r>
          </w:p>
        </w:tc>
      </w:tr>
      <w:tr w:rsidR="00607E9F" w:rsidRPr="00767A0C">
        <w:tc>
          <w:tcPr>
            <w:tcW w:w="0" w:type="auto"/>
          </w:tcPr>
          <w:p w:rsidR="00607E9F" w:rsidRPr="00767A0C" w:rsidRDefault="00607E9F" w:rsidP="00CC5379">
            <w:pPr>
              <w:spacing w:line="240" w:lineRule="auto"/>
              <w:jc w:val="left"/>
            </w:pPr>
            <w:r w:rsidRPr="00767A0C">
              <w:t>14</w:t>
            </w:r>
          </w:p>
        </w:tc>
        <w:tc>
          <w:tcPr>
            <w:tcW w:w="0" w:type="auto"/>
          </w:tcPr>
          <w:p w:rsidR="00607E9F" w:rsidRPr="00767A0C" w:rsidRDefault="00607E9F" w:rsidP="00CC5379">
            <w:pPr>
              <w:spacing w:line="240" w:lineRule="auto"/>
              <w:jc w:val="left"/>
            </w:pPr>
            <w:r w:rsidRPr="00767A0C">
              <w:t>x</w:t>
            </w:r>
          </w:p>
        </w:tc>
        <w:tc>
          <w:tcPr>
            <w:tcW w:w="0" w:type="auto"/>
          </w:tcPr>
          <w:p w:rsidR="00607E9F" w:rsidRPr="00767A0C" w:rsidRDefault="00607E9F" w:rsidP="00CC5379">
            <w:pPr>
              <w:spacing w:line="240" w:lineRule="auto"/>
              <w:jc w:val="left"/>
            </w:pPr>
            <w:r w:rsidRPr="00767A0C">
              <w:t>Mirzam &amp; Rigel rising.</w:t>
            </w:r>
          </w:p>
        </w:tc>
      </w:tr>
      <w:tr w:rsidR="00607E9F" w:rsidRPr="00767A0C">
        <w:tc>
          <w:tcPr>
            <w:tcW w:w="0" w:type="auto"/>
          </w:tcPr>
          <w:p w:rsidR="00607E9F" w:rsidRPr="00767A0C" w:rsidRDefault="00607E9F" w:rsidP="00CC5379">
            <w:pPr>
              <w:spacing w:line="240" w:lineRule="auto"/>
              <w:jc w:val="left"/>
            </w:pPr>
            <w:r w:rsidRPr="00767A0C">
              <w:t>8</w:t>
            </w:r>
          </w:p>
        </w:tc>
        <w:tc>
          <w:tcPr>
            <w:tcW w:w="0" w:type="auto"/>
          </w:tcPr>
          <w:p w:rsidR="00607E9F" w:rsidRPr="00767A0C" w:rsidRDefault="00607E9F" w:rsidP="00CC5379">
            <w:pPr>
              <w:spacing w:line="240" w:lineRule="auto"/>
              <w:jc w:val="left"/>
            </w:pPr>
            <w:r w:rsidRPr="00767A0C">
              <w:t>x</w:t>
            </w:r>
          </w:p>
        </w:tc>
        <w:tc>
          <w:tcPr>
            <w:tcW w:w="0" w:type="auto"/>
          </w:tcPr>
          <w:p w:rsidR="00607E9F" w:rsidRPr="00767A0C" w:rsidRDefault="00607E9F" w:rsidP="00CC5379">
            <w:pPr>
              <w:spacing w:line="240" w:lineRule="auto"/>
              <w:jc w:val="left"/>
            </w:pPr>
            <w:r w:rsidRPr="00767A0C">
              <w:t>x</w:t>
            </w:r>
          </w:p>
        </w:tc>
      </w:tr>
      <w:tr w:rsidR="00607E9F" w:rsidRPr="00767A0C">
        <w:tc>
          <w:tcPr>
            <w:tcW w:w="0" w:type="auto"/>
          </w:tcPr>
          <w:p w:rsidR="00607E9F" w:rsidRPr="00767A0C" w:rsidRDefault="00607E9F" w:rsidP="00CC5379">
            <w:pPr>
              <w:spacing w:line="240" w:lineRule="auto"/>
              <w:jc w:val="left"/>
            </w:pPr>
            <w:r w:rsidRPr="00767A0C">
              <w:t>1</w:t>
            </w:r>
          </w:p>
        </w:tc>
        <w:tc>
          <w:tcPr>
            <w:tcW w:w="0" w:type="auto"/>
          </w:tcPr>
          <w:p w:rsidR="00607E9F" w:rsidRPr="00767A0C" w:rsidRDefault="00607E9F" w:rsidP="00CC5379">
            <w:pPr>
              <w:spacing w:line="240" w:lineRule="auto"/>
              <w:jc w:val="left"/>
            </w:pPr>
            <w:r w:rsidRPr="00767A0C">
              <w:t>x</w:t>
            </w:r>
          </w:p>
        </w:tc>
        <w:tc>
          <w:tcPr>
            <w:tcW w:w="0" w:type="auto"/>
          </w:tcPr>
          <w:p w:rsidR="00607E9F" w:rsidRPr="00767A0C" w:rsidRDefault="00607E9F" w:rsidP="00CC5379">
            <w:pPr>
              <w:spacing w:line="240" w:lineRule="auto"/>
              <w:jc w:val="left"/>
            </w:pPr>
            <w:r w:rsidRPr="00767A0C">
              <w:t>x</w:t>
            </w:r>
          </w:p>
        </w:tc>
      </w:tr>
      <w:tr w:rsidR="00607E9F" w:rsidRPr="00767A0C">
        <w:tc>
          <w:tcPr>
            <w:tcW w:w="0" w:type="auto"/>
          </w:tcPr>
          <w:p w:rsidR="00607E9F" w:rsidRPr="00767A0C" w:rsidRDefault="00607E9F" w:rsidP="00CC5379">
            <w:pPr>
              <w:spacing w:line="240" w:lineRule="auto"/>
              <w:jc w:val="left"/>
            </w:pPr>
            <w:r w:rsidRPr="00767A0C">
              <w:t>1</w:t>
            </w:r>
          </w:p>
        </w:tc>
        <w:tc>
          <w:tcPr>
            <w:tcW w:w="0" w:type="auto"/>
          </w:tcPr>
          <w:p w:rsidR="00607E9F" w:rsidRPr="00767A0C" w:rsidRDefault="00607E9F" w:rsidP="00CC5379">
            <w:pPr>
              <w:spacing w:line="240" w:lineRule="auto"/>
              <w:jc w:val="left"/>
            </w:pPr>
            <w:r w:rsidRPr="00767A0C">
              <w:t>Autumn &amp; Spring full moons.</w:t>
            </w:r>
          </w:p>
        </w:tc>
        <w:tc>
          <w:tcPr>
            <w:tcW w:w="0" w:type="auto"/>
          </w:tcPr>
          <w:p w:rsidR="00607E9F" w:rsidRPr="00767A0C" w:rsidRDefault="00607E9F" w:rsidP="00CC5379">
            <w:pPr>
              <w:spacing w:line="240" w:lineRule="auto"/>
              <w:jc w:val="left"/>
            </w:pPr>
            <w:r w:rsidRPr="00767A0C">
              <w:t>Antares, Betelguese, Alderbaran &amp; Markab rising.</w:t>
            </w:r>
          </w:p>
        </w:tc>
      </w:tr>
      <w:tr w:rsidR="00607E9F" w:rsidRPr="00767A0C">
        <w:tc>
          <w:tcPr>
            <w:tcW w:w="0" w:type="auto"/>
          </w:tcPr>
          <w:p w:rsidR="00607E9F" w:rsidRPr="00767A0C" w:rsidRDefault="00607E9F" w:rsidP="00CC5379">
            <w:pPr>
              <w:spacing w:line="240" w:lineRule="auto"/>
              <w:jc w:val="left"/>
            </w:pPr>
            <w:r w:rsidRPr="00767A0C">
              <w:t>12</w:t>
            </w:r>
          </w:p>
        </w:tc>
        <w:tc>
          <w:tcPr>
            <w:tcW w:w="0" w:type="auto"/>
          </w:tcPr>
          <w:p w:rsidR="00607E9F" w:rsidRPr="00767A0C" w:rsidRDefault="00607E9F" w:rsidP="00CC5379">
            <w:pPr>
              <w:spacing w:line="240" w:lineRule="auto"/>
              <w:jc w:val="left"/>
            </w:pPr>
            <w:r w:rsidRPr="00767A0C">
              <w:t>x</w:t>
            </w:r>
          </w:p>
        </w:tc>
        <w:tc>
          <w:tcPr>
            <w:tcW w:w="0" w:type="auto"/>
          </w:tcPr>
          <w:p w:rsidR="00607E9F" w:rsidRPr="00767A0C" w:rsidRDefault="00607E9F" w:rsidP="00CC5379">
            <w:pPr>
              <w:spacing w:line="240" w:lineRule="auto"/>
              <w:jc w:val="left"/>
            </w:pPr>
            <w:r w:rsidRPr="00767A0C">
              <w:t>X</w:t>
            </w:r>
          </w:p>
        </w:tc>
      </w:tr>
      <w:tr w:rsidR="00607E9F" w:rsidRPr="00767A0C">
        <w:tc>
          <w:tcPr>
            <w:tcW w:w="0" w:type="auto"/>
          </w:tcPr>
          <w:p w:rsidR="00607E9F" w:rsidRPr="00767A0C" w:rsidRDefault="00607E9F" w:rsidP="00CC5379">
            <w:pPr>
              <w:spacing w:line="240" w:lineRule="auto"/>
              <w:jc w:val="left"/>
            </w:pPr>
            <w:r w:rsidRPr="00767A0C">
              <w:t>12</w:t>
            </w:r>
          </w:p>
        </w:tc>
        <w:tc>
          <w:tcPr>
            <w:tcW w:w="0" w:type="auto"/>
          </w:tcPr>
          <w:p w:rsidR="00607E9F" w:rsidRPr="00767A0C" w:rsidRDefault="00607E9F" w:rsidP="00CC5379">
            <w:pPr>
              <w:spacing w:line="240" w:lineRule="auto"/>
              <w:jc w:val="left"/>
            </w:pPr>
            <w:r w:rsidRPr="00767A0C">
              <w:t>Spring full moon.</w:t>
            </w:r>
          </w:p>
        </w:tc>
        <w:tc>
          <w:tcPr>
            <w:tcW w:w="0" w:type="auto"/>
          </w:tcPr>
          <w:p w:rsidR="00607E9F" w:rsidRPr="00767A0C" w:rsidRDefault="00607E9F" w:rsidP="00CC5379">
            <w:pPr>
              <w:spacing w:line="240" w:lineRule="auto"/>
              <w:jc w:val="left"/>
            </w:pPr>
            <w:r w:rsidRPr="00767A0C">
              <w:t>Betelgeuse &amp;</w:t>
            </w:r>
          </w:p>
          <w:p w:rsidR="00607E9F" w:rsidRPr="00767A0C" w:rsidRDefault="00607E9F" w:rsidP="00CC5379">
            <w:pPr>
              <w:spacing w:line="240" w:lineRule="auto"/>
              <w:jc w:val="left"/>
            </w:pPr>
            <w:r w:rsidRPr="00767A0C">
              <w:t>Bellatrix rising.</w:t>
            </w:r>
          </w:p>
        </w:tc>
      </w:tr>
      <w:tr w:rsidR="00607E9F" w:rsidRPr="00767A0C">
        <w:tc>
          <w:tcPr>
            <w:tcW w:w="0" w:type="auto"/>
          </w:tcPr>
          <w:p w:rsidR="00607E9F" w:rsidRPr="00767A0C" w:rsidRDefault="00607E9F" w:rsidP="00CC5379">
            <w:pPr>
              <w:spacing w:line="240" w:lineRule="auto"/>
              <w:jc w:val="left"/>
            </w:pPr>
            <w:r w:rsidRPr="00767A0C">
              <w:t>12</w:t>
            </w:r>
          </w:p>
        </w:tc>
        <w:tc>
          <w:tcPr>
            <w:tcW w:w="0" w:type="auto"/>
          </w:tcPr>
          <w:p w:rsidR="00607E9F" w:rsidRPr="00767A0C" w:rsidRDefault="00607E9F" w:rsidP="00CC5379">
            <w:pPr>
              <w:spacing w:line="240" w:lineRule="auto"/>
              <w:jc w:val="left"/>
            </w:pPr>
            <w:r w:rsidRPr="00767A0C">
              <w:t>x</w:t>
            </w:r>
          </w:p>
        </w:tc>
        <w:tc>
          <w:tcPr>
            <w:tcW w:w="0" w:type="auto"/>
          </w:tcPr>
          <w:p w:rsidR="00607E9F" w:rsidRPr="00767A0C" w:rsidRDefault="00607E9F" w:rsidP="00CC5379">
            <w:pPr>
              <w:spacing w:line="240" w:lineRule="auto"/>
              <w:jc w:val="left"/>
            </w:pPr>
            <w:r w:rsidRPr="00767A0C">
              <w:t>X</w:t>
            </w:r>
          </w:p>
        </w:tc>
      </w:tr>
      <w:tr w:rsidR="00607E9F" w:rsidRPr="00767A0C">
        <w:tc>
          <w:tcPr>
            <w:tcW w:w="0" w:type="auto"/>
          </w:tcPr>
          <w:p w:rsidR="00607E9F" w:rsidRPr="00767A0C" w:rsidRDefault="00607E9F" w:rsidP="00CC5379">
            <w:pPr>
              <w:spacing w:line="240" w:lineRule="auto"/>
              <w:jc w:val="left"/>
            </w:pPr>
            <w:r w:rsidRPr="00767A0C">
              <w:t>10</w:t>
            </w:r>
          </w:p>
        </w:tc>
        <w:tc>
          <w:tcPr>
            <w:tcW w:w="0" w:type="auto"/>
          </w:tcPr>
          <w:p w:rsidR="00607E9F" w:rsidRPr="00767A0C" w:rsidRDefault="00607E9F" w:rsidP="00CC5379">
            <w:pPr>
              <w:spacing w:line="240" w:lineRule="auto"/>
              <w:jc w:val="left"/>
            </w:pPr>
            <w:r w:rsidRPr="00767A0C">
              <w:t>Autumn &amp; Spring full moons &amp; Equinox.</w:t>
            </w:r>
          </w:p>
        </w:tc>
        <w:tc>
          <w:tcPr>
            <w:tcW w:w="0" w:type="auto"/>
          </w:tcPr>
          <w:p w:rsidR="00607E9F" w:rsidRPr="00767A0C" w:rsidRDefault="00607E9F" w:rsidP="00CC5379">
            <w:pPr>
              <w:spacing w:line="240" w:lineRule="auto"/>
              <w:jc w:val="left"/>
            </w:pPr>
            <w:r w:rsidRPr="00767A0C">
              <w:t xml:space="preserve">Antares, Betelguese, Alderbaran, Markab &amp; Alphard rising. </w:t>
            </w:r>
            <w:r w:rsidRPr="008453B6">
              <w:rPr>
                <w:color w:val="3366FF"/>
              </w:rPr>
              <w:t>Alistair, Scheat, Mirach rising in a small dip.</w:t>
            </w:r>
          </w:p>
        </w:tc>
      </w:tr>
      <w:tr w:rsidR="00607E9F" w:rsidRPr="00767A0C">
        <w:tc>
          <w:tcPr>
            <w:tcW w:w="0" w:type="auto"/>
          </w:tcPr>
          <w:p w:rsidR="00607E9F" w:rsidRPr="00767A0C" w:rsidRDefault="00607E9F" w:rsidP="00CC5379">
            <w:pPr>
              <w:spacing w:line="240" w:lineRule="auto"/>
              <w:jc w:val="left"/>
            </w:pPr>
            <w:r w:rsidRPr="00767A0C">
              <w:t>Barnhouse 2</w:t>
            </w:r>
          </w:p>
        </w:tc>
        <w:tc>
          <w:tcPr>
            <w:tcW w:w="0" w:type="auto"/>
          </w:tcPr>
          <w:p w:rsidR="00607E9F" w:rsidRPr="00767A0C" w:rsidRDefault="00607E9F" w:rsidP="00CC5379">
            <w:pPr>
              <w:spacing w:line="240" w:lineRule="auto"/>
              <w:jc w:val="left"/>
            </w:pPr>
            <w:r w:rsidRPr="00767A0C">
              <w:t>Minor lunar extreme.</w:t>
            </w:r>
          </w:p>
        </w:tc>
        <w:tc>
          <w:tcPr>
            <w:tcW w:w="0" w:type="auto"/>
          </w:tcPr>
          <w:p w:rsidR="00607E9F" w:rsidRPr="00767A0C" w:rsidRDefault="00607E9F" w:rsidP="00CC5379">
            <w:pPr>
              <w:spacing w:line="240" w:lineRule="auto"/>
              <w:jc w:val="left"/>
            </w:pPr>
            <w:r w:rsidRPr="00767A0C">
              <w:t xml:space="preserve">Rising of Alnilam &amp; </w:t>
            </w:r>
            <w:r w:rsidRPr="008453B6">
              <w:rPr>
                <w:color w:val="3366FF"/>
              </w:rPr>
              <w:t>Menkar on hill.</w:t>
            </w:r>
          </w:p>
        </w:tc>
      </w:tr>
      <w:tr w:rsidR="00607E9F" w:rsidRPr="00767A0C">
        <w:tc>
          <w:tcPr>
            <w:tcW w:w="0" w:type="auto"/>
          </w:tcPr>
          <w:p w:rsidR="00607E9F" w:rsidRPr="00767A0C" w:rsidRDefault="00607E9F" w:rsidP="00CC5379">
            <w:pPr>
              <w:spacing w:line="240" w:lineRule="auto"/>
              <w:jc w:val="left"/>
            </w:pPr>
            <w:r w:rsidRPr="00767A0C">
              <w:t>Barnhouse 8</w:t>
            </w:r>
          </w:p>
        </w:tc>
        <w:tc>
          <w:tcPr>
            <w:tcW w:w="0" w:type="auto"/>
          </w:tcPr>
          <w:p w:rsidR="00607E9F" w:rsidRPr="00767A0C" w:rsidRDefault="00607E9F" w:rsidP="00CC5379">
            <w:pPr>
              <w:spacing w:line="240" w:lineRule="auto"/>
              <w:jc w:val="left"/>
            </w:pPr>
          </w:p>
        </w:tc>
        <w:tc>
          <w:tcPr>
            <w:tcW w:w="0" w:type="auto"/>
          </w:tcPr>
          <w:p w:rsidR="00607E9F" w:rsidRPr="00767A0C" w:rsidRDefault="00607E9F" w:rsidP="00CC5379">
            <w:pPr>
              <w:spacing w:line="240" w:lineRule="auto"/>
              <w:jc w:val="left"/>
            </w:pPr>
            <w:r w:rsidRPr="00767A0C">
              <w:t>Rasalhague setting</w:t>
            </w:r>
          </w:p>
        </w:tc>
      </w:tr>
      <w:tr w:rsidR="00607E9F" w:rsidRPr="00767A0C">
        <w:tc>
          <w:tcPr>
            <w:tcW w:w="0" w:type="auto"/>
          </w:tcPr>
          <w:p w:rsidR="00607E9F" w:rsidRPr="00767A0C" w:rsidRDefault="00607E9F" w:rsidP="00CC5379">
            <w:pPr>
              <w:spacing w:line="240" w:lineRule="auto"/>
              <w:jc w:val="left"/>
            </w:pPr>
            <w:r w:rsidRPr="00767A0C">
              <w:t>Barnhouse 8</w:t>
            </w:r>
          </w:p>
        </w:tc>
        <w:tc>
          <w:tcPr>
            <w:tcW w:w="0" w:type="auto"/>
          </w:tcPr>
          <w:p w:rsidR="00607E9F" w:rsidRPr="00767A0C" w:rsidRDefault="00607E9F" w:rsidP="00CC5379">
            <w:pPr>
              <w:spacing w:line="240" w:lineRule="auto"/>
              <w:jc w:val="left"/>
            </w:pPr>
            <w:r w:rsidRPr="00767A0C">
              <w:t xml:space="preserve">Spring &amp; Autumn full moons and Equinox. </w:t>
            </w:r>
          </w:p>
        </w:tc>
        <w:tc>
          <w:tcPr>
            <w:tcW w:w="0" w:type="auto"/>
          </w:tcPr>
          <w:p w:rsidR="00607E9F" w:rsidRPr="00767A0C" w:rsidRDefault="00607E9F" w:rsidP="00CC5379">
            <w:pPr>
              <w:spacing w:line="240" w:lineRule="auto"/>
              <w:jc w:val="left"/>
            </w:pPr>
            <w:r w:rsidRPr="00767A0C">
              <w:t xml:space="preserve">Many stars rising but only </w:t>
            </w:r>
            <w:r w:rsidRPr="008453B6">
              <w:rPr>
                <w:color w:val="3366FF"/>
              </w:rPr>
              <w:t>Alphard from a slight dip.</w:t>
            </w:r>
          </w:p>
        </w:tc>
      </w:tr>
    </w:tbl>
    <w:p w:rsidR="00607E9F" w:rsidRPr="005A2072" w:rsidRDefault="00607E9F" w:rsidP="00B217BC">
      <w:pPr>
        <w:spacing w:line="240" w:lineRule="auto"/>
        <w:jc w:val="left"/>
        <w:rPr>
          <w:i/>
        </w:rPr>
      </w:pPr>
      <w:r w:rsidRPr="005A2072">
        <w:rPr>
          <w:i/>
        </w:rPr>
        <w:t xml:space="preserve">Table 9. Possible celestial targets from structure entrances at the Ness with possible alignments shown in blue. </w:t>
      </w:r>
    </w:p>
    <w:p w:rsidR="00607E9F" w:rsidRPr="00767A0C" w:rsidRDefault="00607E9F" w:rsidP="005A2072">
      <w:pPr>
        <w:jc w:val="left"/>
      </w:pPr>
      <w:r w:rsidRPr="00767A0C">
        <w:t xml:space="preserve"> </w:t>
      </w:r>
    </w:p>
    <w:p w:rsidR="00607E9F" w:rsidRPr="00767A0C" w:rsidRDefault="00607E9F" w:rsidP="005A2072">
      <w:pPr>
        <w:jc w:val="left"/>
      </w:pPr>
      <w:r w:rsidRPr="00767A0C">
        <w:t>As with the stone circles, no significance could be found between the general orientations and significant parts of the horizon to suggest a deliberate alignment to any rising or setting celestial target. For example, Alphard rises from a slight dip in the horizon from an entrance in Barnhouse 8 and Menkar rises on a hill from Barnhouse 2 but no pattern could be discerned between entrance orientations and orientations from the stone circles. I then looked for any repetition or pattern in general entrance orientations from the different structures and sites, due to the possibility a culture may have marked a significant orientation throughout their architecture. It was here that the possible significance of the stone circles’ entrance orientations became apparent, suggesting the positioning of the entrances at the stone circles were more significant than the positioning of individual stones. The Barnhouse settlement House 8 and Structures 1,8,10 and 12 at the Ness all point roughly north and east, with Structure 14 an anomaly. Structures 1 and 12 have a third entrance roughly south but these entrances seem to be in relation to the opposing north entrance. House 2 at the Barnhouse settlement, probably the oldest building out of all the structures studied, has a different orientation towards the southeast at 136° that matches the southern entrance at the Ring of Brodgar. The Stones of Stenness entrance faces directly north while the Ring of Brodgar entrances follow a south to northwest azimuth of 315°.</w:t>
      </w:r>
    </w:p>
    <w:p w:rsidR="00607E9F" w:rsidRPr="00767A0C" w:rsidRDefault="00607E9F" w:rsidP="005A2072">
      <w:pPr>
        <w:jc w:val="left"/>
      </w:pPr>
      <w:r>
        <w:pict>
          <v:shape id="Picture 17" o:spid="_x0000_i1044" type="#_x0000_t75" alt="layered azimuths" style="width:406pt;height:283pt;visibility:visible">
            <v:imagedata r:id="rId28" o:title=""/>
          </v:shape>
        </w:pict>
      </w:r>
      <w:r w:rsidRPr="00767A0C">
        <w:t xml:space="preserve"> </w:t>
      </w:r>
      <w:r w:rsidRPr="005A2072">
        <w:rPr>
          <w:i/>
        </w:rPr>
        <w:t>Figure 16. Orientations from all the entrances combined.</w:t>
      </w:r>
    </w:p>
    <w:p w:rsidR="00607E9F" w:rsidRPr="00767A0C" w:rsidRDefault="00607E9F" w:rsidP="005A2072">
      <w:pPr>
        <w:jc w:val="left"/>
      </w:pPr>
    </w:p>
    <w:p w:rsidR="00607E9F" w:rsidRPr="00767A0C" w:rsidRDefault="00607E9F" w:rsidP="005A2072">
      <w:pPr>
        <w:jc w:val="left"/>
      </w:pPr>
      <w:r w:rsidRPr="00767A0C">
        <w:t xml:space="preserve">Three patterns within the entrance orientations were found. There are no orientations towards the southwest between 195° and 315°. There are repeated general orientations towards the east and a northerly direction between 315° and 14°. The southern entrances tend to be opposite to their northern entrances. Interestingly the non-domestic building at Skara Brae also has south and north facing entrances. The two standing stones alignments (see Figure 13) also face a northerly direction at 300° and 305°. The proportion of north and east facing entrances may suggest they have symbolic significance as the one faces the sunrise and the other, the part of the sky where the sun is never seen. </w:t>
      </w:r>
    </w:p>
    <w:p w:rsidR="00607E9F" w:rsidRPr="00767A0C" w:rsidRDefault="00607E9F" w:rsidP="005A2072">
      <w:pPr>
        <w:jc w:val="left"/>
      </w:pPr>
    </w:p>
    <w:p w:rsidR="00607E9F" w:rsidRPr="008453B6" w:rsidRDefault="00607E9F" w:rsidP="005A2072">
      <w:pPr>
        <w:jc w:val="left"/>
        <w:rPr>
          <w:b/>
          <w:color w:val="3366FF"/>
        </w:rPr>
      </w:pPr>
      <w:r w:rsidRPr="008453B6">
        <w:rPr>
          <w:b/>
          <w:color w:val="3366FF"/>
        </w:rPr>
        <w:t>6.4 NORTHERN SKYSCAPE.</w:t>
      </w:r>
    </w:p>
    <w:p w:rsidR="00607E9F" w:rsidRPr="00767A0C" w:rsidRDefault="00607E9F" w:rsidP="005A2072">
      <w:pPr>
        <w:jc w:val="left"/>
      </w:pPr>
      <w:r w:rsidRPr="00767A0C">
        <w:t>Considering the northern skyline, there is often a tendency to look up at the night sky and the standing stones could be perceived as pointing upwards. Above, in the northern sky, is the pole star that in 3000 BC, due to procession, would have been Thuban rather than Polaris. Whereas Polaris is thought to have been used as a navigation aid historically, perhaps Thuban had a similar navigational role and was important to the communities who had crossed the waters over to Orkney. It is tempting to view the Corona Borealis that circulates in the northern skyline, as the inspiration for the stone circles, especially the Stones of Stenness.</w:t>
      </w:r>
    </w:p>
    <w:p w:rsidR="00607E9F" w:rsidRPr="00767A0C" w:rsidRDefault="00607E9F" w:rsidP="005A2072">
      <w:pPr>
        <w:jc w:val="left"/>
      </w:pPr>
    </w:p>
    <w:p w:rsidR="00607E9F" w:rsidRPr="00767A0C" w:rsidRDefault="00607E9F" w:rsidP="005A2072">
      <w:pPr>
        <w:jc w:val="left"/>
      </w:pPr>
      <w:r>
        <w:pict>
          <v:shape id="_x0000_i1045" type="#_x0000_t75" style="width:378pt;height:197pt">
            <v:imagedata r:id="rId29" o:title=""/>
          </v:shape>
        </w:pict>
      </w:r>
    </w:p>
    <w:p w:rsidR="00607E9F" w:rsidRPr="00767A0C" w:rsidRDefault="00607E9F" w:rsidP="005A2072">
      <w:pPr>
        <w:jc w:val="left"/>
      </w:pPr>
    </w:p>
    <w:p w:rsidR="00607E9F" w:rsidRPr="00F91DC9" w:rsidRDefault="00607E9F" w:rsidP="005A2072">
      <w:pPr>
        <w:jc w:val="left"/>
        <w:rPr>
          <w:i/>
          <w:color w:val="FF0000"/>
        </w:rPr>
      </w:pPr>
      <w:r w:rsidRPr="005A2072">
        <w:rPr>
          <w:i/>
        </w:rPr>
        <w:t>Figure 17. Comparing the Corona Borealis with the Stones of Stenness layout.</w:t>
      </w:r>
      <w:r w:rsidRPr="00F91DC9">
        <w:t xml:space="preserve"> </w:t>
      </w:r>
    </w:p>
    <w:p w:rsidR="00607E9F" w:rsidRPr="00F91DC9" w:rsidRDefault="00607E9F" w:rsidP="005A2072">
      <w:pPr>
        <w:jc w:val="left"/>
        <w:rPr>
          <w:color w:val="FF0000"/>
        </w:rPr>
      </w:pPr>
    </w:p>
    <w:p w:rsidR="00607E9F" w:rsidRPr="00767A0C" w:rsidRDefault="00607E9F" w:rsidP="005A2072">
      <w:pPr>
        <w:jc w:val="left"/>
      </w:pPr>
      <w:r w:rsidRPr="00767A0C">
        <w:t>However, perhaps the more significant Orkney phenomena are the Northern Lights. This cyclical phenomenon often appears during the winter nights along the northern Orkney skyline. These spectacular lights are a wondrous sight to the modern observer and must have amazed the people in the Neolithic era.</w:t>
      </w:r>
    </w:p>
    <w:p w:rsidR="00607E9F" w:rsidRPr="00767A0C" w:rsidRDefault="00607E9F" w:rsidP="005A2072">
      <w:pPr>
        <w:jc w:val="left"/>
      </w:pPr>
      <w:r w:rsidRPr="00767A0C">
        <w:t xml:space="preserve"> </w:t>
      </w:r>
    </w:p>
    <w:p w:rsidR="00607E9F" w:rsidRPr="00767A0C" w:rsidRDefault="00607E9F" w:rsidP="005A2072">
      <w:pPr>
        <w:jc w:val="left"/>
      </w:pPr>
    </w:p>
    <w:p w:rsidR="00607E9F" w:rsidRPr="00767A0C" w:rsidRDefault="00607E9F" w:rsidP="005A2072">
      <w:pPr>
        <w:jc w:val="left"/>
      </w:pPr>
      <w:r>
        <w:pict>
          <v:shape id="Picture 18" o:spid="_x0000_i1046" type="#_x0000_t75" alt="northern lights" style="width:406pt;height:257pt;visibility:visible">
            <v:imagedata r:id="rId30" o:title=""/>
          </v:shape>
        </w:pict>
      </w:r>
    </w:p>
    <w:p w:rsidR="00607E9F" w:rsidRPr="005A2072" w:rsidRDefault="00607E9F" w:rsidP="00B217BC">
      <w:pPr>
        <w:spacing w:line="240" w:lineRule="auto"/>
        <w:jc w:val="left"/>
        <w:rPr>
          <w:i/>
        </w:rPr>
      </w:pPr>
      <w:r w:rsidRPr="005A2072">
        <w:rPr>
          <w:i/>
        </w:rPr>
        <w:t>Figure 18. The Northern Lights from the Stones of Stenness. Photograph by Alan Flett, Orkney Aurora Group.</w:t>
      </w:r>
    </w:p>
    <w:p w:rsidR="00607E9F" w:rsidRPr="00767A0C" w:rsidRDefault="00607E9F" w:rsidP="005A2072">
      <w:pPr>
        <w:jc w:val="left"/>
      </w:pPr>
      <w:r w:rsidRPr="00767A0C">
        <w:t xml:space="preserve"> </w:t>
      </w:r>
    </w:p>
    <w:p w:rsidR="00607E9F" w:rsidRPr="00767A0C" w:rsidRDefault="00607E9F" w:rsidP="005A2072">
      <w:pPr>
        <w:jc w:val="left"/>
      </w:pPr>
      <w:r w:rsidRPr="00767A0C">
        <w:t>Although it is not certain whether the same communities used one or more of the sites around the Ness, their close proximity and dating suggests they may have been used by one community or shared by a combination of communities. Grooved ware dating (Baylis et al, 2017) indicates there was overlap in the activity at Barnhouse, Ness and the Stones of Stenness with activity around the Ring of Brodgar beginning about the time of the Ness’ demise. By walking around and between the sites I was able to explore their relative positioning and gain some insight into how people may have moved within and between the structures. Their positioning appears to emphasise a northerly progression. The single entrance at the Stones of Stenness ensured people would have entered facing south and exited facing north. The stone path, from the central hearth towards the entrance, travelled slightly left of north through the probable internal arrangement of stones (Ritchie, 1975). Entering towards the sun and leaving towards the dark part of the sky may have been significant. This south to north progression in one of the earliest sites appears to continue throughout the others. If the users of the Stones of Stenness also used the Ness they would have progressed north towards the Ness, then leaving the Ness at the northern entrance, a short walk led to the Ring of Brodgar. The opposing entrances allowed entry and/or exit from either direction. However, Colin Richards (2013) considered the narrower southern entrance suggested a single file entry from the southern Ness end leading to the wider northern exit. He also highlighted the emphasis given to the entrance by the closer positioning of the stones nearer the entrance point. Brodgar, unlike Stenness, does not have a central hearth. This could suggest the function served by the original hearth at the Stones of Stenness had been considered unnecessary at Brodgar, perhaps replaced by the structures and hearths within the Ness although the uncertain dating of the Brodgar circle may also suggest it replaced the function of the Ness. Maeshowe appears to be an anomaly. Although the easterly orientations of House 8 and Structure 1 can be interpreted as pointing towards the tomb, the orientation may have been towards the rising sun rather than towards Maeshowe. The Comet stone also faces east towards the entrance at the Ring of Brodgar.</w:t>
      </w:r>
    </w:p>
    <w:p w:rsidR="00607E9F" w:rsidRPr="00767A0C" w:rsidRDefault="00607E9F" w:rsidP="005A2072">
      <w:pPr>
        <w:jc w:val="left"/>
      </w:pPr>
    </w:p>
    <w:p w:rsidR="00607E9F" w:rsidRPr="008453B6" w:rsidRDefault="00607E9F" w:rsidP="005A2072">
      <w:pPr>
        <w:jc w:val="left"/>
        <w:rPr>
          <w:b/>
          <w:color w:val="3366FF"/>
        </w:rPr>
      </w:pPr>
      <w:r w:rsidRPr="008453B6">
        <w:rPr>
          <w:b/>
          <w:color w:val="3366FF"/>
        </w:rPr>
        <w:t>6.5 THRESHOLDS.</w:t>
      </w:r>
    </w:p>
    <w:p w:rsidR="00607E9F" w:rsidRPr="00767A0C" w:rsidRDefault="00607E9F" w:rsidP="005A2072">
      <w:pPr>
        <w:jc w:val="left"/>
      </w:pPr>
      <w:r w:rsidRPr="00767A0C">
        <w:t xml:space="preserve">The crossing of thresholds, especially over water, while heading in a northerly direction appears significant. The significantly orientated entrance thresholds were often emphasised by water-filled ditches and henges created a layering of threshold concepts. Progressing through the landscape would have involved crossing a multi-layered concept of symbolic thresholds, both natural and created, emulating and using the natural landscape. These may have drawn on or even incorporated the natural landscape of the Ness isthmus. The bridge of land forming the isthmus passes over the lochs of Harray and Stenness. This natural land bridge over water may have inspired the threshold symbolism incorporated into the sites. Alternatively, this particular part of the landscape may have been chosen, for construction purposes, because it emulated already established symbolism. The positioning of the Ness on the actual threshold itself seems significant. Leaving or entering the sites therefore involved crossing a multi-layered series of thresholds including water-filled ditches, henges and structure entrances. Large walls were constructed at the northern and southern ends of the Ness but no evidence has been found to suggest the wall continued down the sides. The wall sections curve round to the sides and stop (Card and Thomas, 2012). Serving no practical use, these partial walls appear to be additional symbolic thresholds in and out of the Ness complex. The ditch, at the northern wall, perhaps emphasised the northern over the southern entrance. Individual structures within the Ness had their own entrance thresholds with Structure 10’s importance emphasised by the additional boundary wall to be crossed. Van Gennep (2004) considered the crossing of real, or symbolic, thresholds was a key element in rites of passage rituals. He identified three phases to these rituals that occurred during important changes in life in all societies, such as birth, marriage and death. The first phase was a period of separation, the second a period of transition and the last re-integration. The transition phase was often longer and considered important in giving time for the individual and community to adjust to the change in life. The use, around the Ness, of stone entrances, walls, water, bridges and henges to create repeated, multi-layered threshold concepts strongly suggest such ritual activity. </w:t>
      </w:r>
    </w:p>
    <w:p w:rsidR="00607E9F" w:rsidRPr="00767A0C" w:rsidRDefault="00607E9F" w:rsidP="005A2072">
      <w:pPr>
        <w:jc w:val="left"/>
      </w:pPr>
    </w:p>
    <w:p w:rsidR="00607E9F" w:rsidRPr="008453B6" w:rsidRDefault="00607E9F" w:rsidP="005A2072">
      <w:pPr>
        <w:pStyle w:val="Heading3"/>
        <w:jc w:val="left"/>
        <w:rPr>
          <w:color w:val="3366FF"/>
        </w:rPr>
      </w:pPr>
      <w:r w:rsidRPr="008453B6">
        <w:rPr>
          <w:color w:val="3366FF"/>
        </w:rPr>
        <w:t>6.6 RITUAL SITES.</w:t>
      </w:r>
    </w:p>
    <w:p w:rsidR="00607E9F" w:rsidRPr="00767A0C" w:rsidRDefault="00607E9F" w:rsidP="005A2072">
      <w:pPr>
        <w:jc w:val="left"/>
      </w:pPr>
      <w:r w:rsidRPr="00767A0C">
        <w:t xml:space="preserve">Colin Renfrew (1986) suggested that locations or constructions for sacred ritual activity would stand out from domestic buildings and be defined by enclosure walls. Devices for focusing attention to an important area could also be employed and evidence of ritualised equipment, feasting and deliberate fragmentation would be expected. Clearly the Ness and the unique buildings of House 2 and 8 at the Barnhouse and also House 8 at Skara Brae fit many of Renfrew’s definitions. The Barnhouse Houses 2 and 8 and House 8 at Skara Brae are different from the surrounding domestic structures while the structures at the Ness, although incorporating aspects of the domestic; do not appear to have functioned as domestic buildings. The Ness complex, Structure 10 and House 8 at the Barnhouse are all separated by an outer boundary wall. Evidence of tool manufacture at Skara Brae’s House 8 has led to the assumption it was used for tool manufacture (Clarke and Sharples, 1985, p.60). However, evidence of tool manufacture was also found at House 2 and Structure 12 at the Ness and does not mean this was the building’s primary use, especially when the other evidence is considered. Rather than being routine structures for tool manufacture, the special nature of these buildings may have meant that special tools were created there or special tools were considered to have extra sacred significance if created within these buildings. The Neolithic settlement of Nevah Cori in Turkey also has a special building that differs from its domestic structures. This building contained architecture and symbolism similar to those at the nearby monumental structures at Gobekli Tepe and was therefore considered to have had similar functions (Notroff &amp; Dietrich, 2015). The ritual evidence combined with the orientation significance could suggest the function of the stone circles and special buildings in Orkney were connected. The focus within most structures appears to be the hearths. In the stone circles attention is drawn to the centre of the structures, that includes the hearth at the Stones of Stenness. The special buildings at the Barnhouse, Ness and Skara Brae all focus attention towards the hearth while the amount of burnt bone remains indicated more burning than would be expected from the burning of routine, domestic waste (Card et al., 2017). Feasting evidence at Structure 10 is overwhelming with the hundreds of cattle remains. The ritual purpose of the Ness structures seems to be emphasised by their containing multiple Neolithic decorative stone working practices, including scratching, carving, pecking, pick dressing and painting (Card and Thomas, 2012). Some of the stone decoration, such as the cup-marked stone in Structure 10, was partially hidden from view and, as such, was considered by B. O’Connor (2010, p.157) to represent artistic depositing. Other depositing is suggested by the many finds, including bones and rare artefacts (The Ness of Brodgar: Digging Deeper, 2017). Card and Thomas (2012) also referenced the recurring link between carved stones and monuments associated with transformation rituals (Jones, 2001). Finally the fragmentation evidence, referred to by Renfrew, is clear from the fragmented pottery found at all the sites. </w:t>
      </w:r>
    </w:p>
    <w:p w:rsidR="00607E9F" w:rsidRPr="00767A0C" w:rsidRDefault="00607E9F" w:rsidP="005A2072">
      <w:pPr>
        <w:jc w:val="left"/>
      </w:pPr>
    </w:p>
    <w:p w:rsidR="00607E9F" w:rsidRPr="00767A0C" w:rsidRDefault="00607E9F" w:rsidP="005A2072">
      <w:pPr>
        <w:jc w:val="left"/>
      </w:pPr>
      <w:r w:rsidRPr="00767A0C">
        <w:t>The repetition of ritual thresholds combined with the ritual evidence suggests the connection between the structures and a Rite of Passage ritual. The orientation patterns indicate that, from all the Rites of Passage rituals, those associated with death appear to be the most likely. The orientations towards the east emulate the orientations within long barrows and chambered tombs in the UK (Ruggles, 1999, p.90). This could further suggest a connection in the function and purpose of tombs and the east orientated structures. The repetition of orientations opposing the, sun associated, southern sky with the northern darkness and also the sun rising in the east seems significant. The association of the sun and the dark northern sky could suggest a symbolical transition between life and death. As traditionally people woke and slept roughly in time with the sun, it makes sense for cultures to associate the north where the sun never appears with death and never waking. There is also an association of death and darkness due to burial. Klaus Schmidt (2011) pointed to the widespread practice in prehistory of building monumental constructions for the deceased whilst Barrett (1988) said death ritual built a passage between life and death by bringing the living into the presence of the dead within a particular architectural setting. Card and Thomas (2012) mentioned the ‘funerary’ aspects of the Ness structures and also considered that the similarity in design between Structures 1,8 and 12 may suggest they had the same function. Along with the entrance orientations, the design and shape of the three buildings, with their longer length facing a northerly direction, appears to echo the south to north orientation.</w:t>
      </w:r>
    </w:p>
    <w:p w:rsidR="00607E9F" w:rsidRPr="00767A0C" w:rsidRDefault="00607E9F" w:rsidP="005A2072">
      <w:pPr>
        <w:jc w:val="left"/>
      </w:pPr>
    </w:p>
    <w:p w:rsidR="00607E9F" w:rsidRPr="008453B6" w:rsidRDefault="00607E9F" w:rsidP="005A2072">
      <w:pPr>
        <w:jc w:val="left"/>
        <w:rPr>
          <w:b/>
          <w:color w:val="3366FF"/>
        </w:rPr>
      </w:pPr>
      <w:r w:rsidRPr="008453B6">
        <w:rPr>
          <w:b/>
          <w:color w:val="3366FF"/>
        </w:rPr>
        <w:t>6.7 DEATH RITUAL.</w:t>
      </w:r>
    </w:p>
    <w:p w:rsidR="00607E9F" w:rsidRPr="00767A0C" w:rsidRDefault="00607E9F" w:rsidP="005A2072">
      <w:pPr>
        <w:jc w:val="left"/>
      </w:pPr>
      <w:r w:rsidRPr="00767A0C">
        <w:t xml:space="preserve">It appears that humans cannot accept that the death of the body could be the death of the person. This has led to the development of various concepts of an afterlife. The idea that bodily death is the complete end of the person is probably a relatively recent concept. In most societies, death is now considered to occur scientifically, with the irreversible cessation of the heart and breathing. However in many past cultures and some traditional cultures today, the transition from life to death is more complex. The process may involve a period of transition for the dead person as well as for the mourners. The dead person may need preparation for, and assistance in, the journey to the world of the dead. In some cultures, rituals are also conducted for the dying such as the last rites performed within the Catholic religion. The world of the dead is very much part of daily life in many cultures where the dead may help or hinder the living. The Ancient Egyptians wrote letters to the dead asking for help and advice while the retribution of the dead was feared should they be neglected (Teeter, 2011, p.153-57). The dead may need symbolic care and offerings and are remembered on special occasions. The period of transition from life to death may involve more than one stage concerning the body. In parts of South-East Asia the practice continues of unearthing bodily remains, after a period of burial, for the bones to be ritually cleaned. They are then placed in a casket and moved to another location (Tsu, 2000 &amp; Sasges and Mai Huyen Chi, 2013, pp.311-313). The Asabano of Papua New Guinea would place the body of an important person on a tree platform before moving the bones some time later to a sacred building (Roger Lohmann, 2005). In Neolithic </w:t>
      </w:r>
      <w:r w:rsidRPr="00F91DC9">
        <w:t>cultures the excarnation of the body before the depositing of bones is also well testified (</w:t>
      </w:r>
      <w:hyperlink r:id="rId31" w:history="1">
        <w:r w:rsidRPr="00F91DC9">
          <w:rPr>
            <w:rStyle w:val="Hyperlink"/>
            <w:color w:val="auto"/>
          </w:rPr>
          <w:t>Reilly</w:t>
        </w:r>
      </w:hyperlink>
      <w:r w:rsidRPr="00F91DC9">
        <w:t>, 2003). The many burial mounds to the north of the Ness also suggest</w:t>
      </w:r>
      <w:r w:rsidRPr="00767A0C">
        <w:t xml:space="preserve"> a link to death ritual whilst the huge Ring of Bookan, a possible cairn (Ritchie, 1985), has yet to be excavated. The death transition process may have involved a transformation process incorporating the ritual buildings, the stone circles and finally the burial mounds. Schmidt (2011) referred to the many portal stones found in various sizes, at Gobekli Tepe. He considered these may have represented thresholds from the world of the living to the world of the dead. Interestingly, the Ness has a drilled hole in a standing stone whilst the Odin stone contained a large hole that showed significant wearing (Ritchie, 1975). The Northern Lights phenomena also strongly suggest a link with death ritual. Harald Falck-Ytter (1999) who investigated different cultural myths around the northern lights said that “by far the most common tradition … is the widespread idea that the dead are present in the Aurora Borealis” (p.32) while Verne Dusenberry (1998) said the Cree of Montana considered the lights led the recently deceased to the other-world and were “a reflection of where the dead are living” (p.78).</w:t>
      </w:r>
    </w:p>
    <w:p w:rsidR="00607E9F" w:rsidRPr="00767A0C" w:rsidRDefault="00607E9F" w:rsidP="005A2072">
      <w:pPr>
        <w:jc w:val="left"/>
      </w:pPr>
    </w:p>
    <w:p w:rsidR="00607E9F" w:rsidRPr="00767A0C" w:rsidRDefault="00607E9F" w:rsidP="005A2072">
      <w:pPr>
        <w:jc w:val="left"/>
      </w:pPr>
      <w:r w:rsidRPr="00767A0C">
        <w:t>The landscape around the Ness was transformed over a relatively short period of time by the monumental constructions and witnessed a cultural change in architectural design and pottery. Although these could have been local, innovative developments they could alternatively have been introduced by the</w:t>
      </w:r>
      <w:r>
        <w:t xml:space="preserve"> </w:t>
      </w:r>
      <w:r w:rsidRPr="00767A0C">
        <w:t>influx of a new community and culture. The introduction of the Orkney vole to the Islands around 3200 BC (Bayliss et al, 2017) may represent such an influx.</w:t>
      </w:r>
      <w:r>
        <w:t xml:space="preserve"> </w:t>
      </w:r>
      <w:r w:rsidRPr="00767A0C">
        <w:t xml:space="preserve">Bayliss et al (2017) found that incised Grooved Ware pottery and recessed house architecture seemed to coincide with the foundation of the Barnhouse settlement. The Barnhouse architecture showed a new circular design. This differed from the architecture of early Neolithic houses, such as Papa Westray, and the contemporary stalled cairns that displayed a linear ordering of space (Colin Richards, 1996). Richards (2016) also said that the building of House 2 was the initiation of “big houses” and the consequential monumental development. He further suggested that the establishment of a new community, on the previously unoccupied site, may have resulted in “a founder-focused set of core beliefs” where origins and founders would have been important. Individual and family positions may also have been defined in terms of genealogical proximity to a founder. This may have resulted in the need to emphasis the links to previous generations and an emphasis on ancestry within death ritual. These earliest stone structures at Gobekli Tepe clearly represent human - like beings, as do the standing stones at Easter Island. As standing stones appear to represent humans in some cultures, perhaps the stones within the stone circles in Orkney did also, as individuals or representative of a community. McKim Malville (2015, preface) said that some cultures do not draw a distinction between the animate and inanimate and that boundaries between the living and the dead may be fluid. He also discussed the relationship some cultures have with mountains or rocks that are considered to be alive. The stones could represent links to the ancestors within death, while the threshold crossing of the water symbolism may have linked back to the crossing of the waters to the Islands by previous generations. The use of the landscape, positioning of structures, structure design and positioning of entrances combined to emphasise the orientation of the east alongside the progression of the sun associated south to the darkness of the north. It is these orientations that appear to be the most significant aspects of the research results. </w:t>
      </w:r>
    </w:p>
    <w:p w:rsidR="00607E9F" w:rsidRPr="00767A0C" w:rsidRDefault="00607E9F" w:rsidP="005A2072">
      <w:pPr>
        <w:jc w:val="left"/>
      </w:pPr>
      <w:r w:rsidRPr="00767A0C">
        <w:t xml:space="preserve"> </w:t>
      </w:r>
    </w:p>
    <w:p w:rsidR="00607E9F" w:rsidRPr="00767A0C" w:rsidRDefault="00607E9F" w:rsidP="005A2072">
      <w:pPr>
        <w:jc w:val="left"/>
      </w:pPr>
    </w:p>
    <w:p w:rsidR="00607E9F" w:rsidRPr="008453B6" w:rsidRDefault="00607E9F" w:rsidP="008453B6">
      <w:pPr>
        <w:jc w:val="center"/>
        <w:rPr>
          <w:b/>
          <w:color w:val="3366FF"/>
        </w:rPr>
      </w:pPr>
      <w:r w:rsidRPr="008453B6">
        <w:rPr>
          <w:b/>
          <w:color w:val="3366FF"/>
        </w:rPr>
        <w:t>Chapter 7.</w:t>
      </w:r>
    </w:p>
    <w:p w:rsidR="00607E9F" w:rsidRPr="008453B6" w:rsidRDefault="00607E9F" w:rsidP="008453B6">
      <w:pPr>
        <w:jc w:val="center"/>
        <w:rPr>
          <w:b/>
          <w:color w:val="3366FF"/>
          <w:sz w:val="28"/>
        </w:rPr>
      </w:pPr>
      <w:r w:rsidRPr="008453B6">
        <w:rPr>
          <w:b/>
          <w:color w:val="3366FF"/>
          <w:sz w:val="28"/>
        </w:rPr>
        <w:t>CONCLUSION.</w:t>
      </w:r>
    </w:p>
    <w:p w:rsidR="00607E9F" w:rsidRPr="00767A0C" w:rsidRDefault="00607E9F" w:rsidP="005A2072">
      <w:pPr>
        <w:jc w:val="left"/>
      </w:pPr>
      <w:r w:rsidRPr="00767A0C">
        <w:t xml:space="preserve">The aims of this project were firstly, to investigate the structures and sites around the Ness of Brodgar to determine whether there was any significance in their positioning and orientation in relation to the landscape, skyscape and each other. The second aim was to see if this could throw any light on the possible function of the structures and sites. At the Stones of Stenness I measured the azimuth and altitude from the centre towards each stone. I calculated uncertainty figures for each measurement that gave a three-figure range for each azimuth, allowing for possible alignments to either side of each stone edge. At the Ring of Brodgar I measured from the outside of the circle and adjusted the azimuths to the opposite direction by adding or subtracting 180°. The azimuths, altitudes, latitudes and date were entered into a spreadsheet and uploaded to SkyscapeR. The software adjusted for true north and calculated the declinations. The declinations were then investigated in relation to the movement of celestial objects in the historical time period, including the rising and setting of the sun, moon and stars. Full moons, solstices, the equinox and lunar extremes were also explored. Orientations found towards a celestial aspect were then studied to look for specific alignments to any significant point within the horizon and landscape. Any repetitions or patterns within and between the circles were explored but no pattern emerged. Although some stones were orientated towards various skyscape activities, these orientations appeared to be coincidental and a consequence of the circular shape rather than a determination to specifically align the stones. The analysis of three imaginary stone circles was then compared with the Stones of Stenness to ascertain the likelihood of coincidental orientations or alignments. This exercise suggested a circular shape was likely to reveal a selection of random orientations and alignments towards a celestial aspect. Therefore, I concluded that there was no evidence to suggest the stones, making the circles, were positioned with any significant orientation consideration. Stone type analysis also suggested that it was likely different groups, erected the stones possibly at different times, without necessarily having the immediate aim of a ‘completed’ circle. </w:t>
      </w:r>
    </w:p>
    <w:p w:rsidR="00607E9F" w:rsidRPr="00767A0C" w:rsidRDefault="00607E9F" w:rsidP="005A2072">
      <w:pPr>
        <w:jc w:val="left"/>
      </w:pPr>
    </w:p>
    <w:p w:rsidR="00607E9F" w:rsidRPr="00767A0C" w:rsidRDefault="00607E9F" w:rsidP="005A2072">
      <w:pPr>
        <w:jc w:val="left"/>
      </w:pPr>
      <w:r w:rsidRPr="00767A0C">
        <w:t xml:space="preserve">The same process was completed for all the entrances to individual structures and site entrances, including Maeshowe. The entrance orientations results were found to be more significant, showing a preference for southern to northern progressions and orientations towards the eastern sunrise. Orientations towards a westerly direction were avoided, except for the entrance at Maeshowe. The general progression of sites also appeared to be positioned in a southern to northern direction while the building layouts also appear to emphasise this. Taking a phenomenological approach I walked around each site and explored how people may have moved within and between the sites. The landscape features from the sites and the surrounding area were noted including the horizon view, vista and water aspects. The significance of the stone circles and Maeshowe replicating the natural landscape was also noted. As longer distance measurements could not be achieved accurately in the field, each site was then plotted onto Google Earth to ascertain their position in relation to each other. Two alignments were found within the positioning of the standing stones, both also following a southern to northern progression. Investigating the northern skyline highlighted the possible significance of the pole star, Thuban, to a culture that had travelled across the sea to Orkney. The most significant skyscape aspect in the northern skyline appeared to be the Northern Lights. The progression of structures and alignments in the direction of this cyclical phenomenon may have signified the lights symbolic importance. </w:t>
      </w:r>
    </w:p>
    <w:p w:rsidR="00607E9F" w:rsidRPr="00767A0C" w:rsidRDefault="00607E9F" w:rsidP="005A2072">
      <w:pPr>
        <w:jc w:val="left"/>
      </w:pPr>
    </w:p>
    <w:p w:rsidR="00607E9F" w:rsidRPr="00767A0C" w:rsidRDefault="00607E9F" w:rsidP="005A2072">
      <w:pPr>
        <w:jc w:val="left"/>
      </w:pPr>
      <w:r w:rsidRPr="00767A0C">
        <w:t>Investigating the landscape, along with archaeological and dating evidence, revealed the repeated use of threshold symbolism that was considered indicative of ritual activity. The multi-layered creation of thresholds within sites and structures seemed significant, especially the continual reference to the crossing of water. It was noted that the water-crossing thresholds emulated the</w:t>
      </w:r>
      <w:r>
        <w:t xml:space="preserve"> </w:t>
      </w:r>
      <w:r w:rsidRPr="00767A0C">
        <w:t xml:space="preserve">natural landscape of the Brodgar isthmus. It was suggested that if the isthmus, itself, was viewed as a large natural water threshold, the positioning of the Ness complex on the isthmus threshold appeared very significant. The significance of thresholds within Rites of Passage rituals was noted and led to the exploration of ritual site evidence. The use of special, non domestic, buildings within Neolithic cultures was discussed and led to the examination of the archaeological records to look for evidence of ritual activity including feasting, fragmentation, boundaries and artefact evidence. The emphasis on orientations towards sun rise and the southerly to northerly orientations in the buildings and site entrances were considered to be highly suggestive of the structures and sites links to death related ritual, possibility emphasising the importance of ancestors. The many burial mounds situated to the north were also noted. Aspects of ritual related to death were explored including the Neolithic evidence regarding the transition stages regarding treatment of the dead. The mythology links to Northern lights, the possible importance ancestral stones and the significance of holes in stones, suggesting transition ritual, were also noted. Finally, while the plethora of innovations around the Ness during this period, including stone circles, grooved ware pottery and monumental construction may have been local innovations, they also suggest the possibility of an influx of new people where links to ancestors was perhaps more important when establishing a new community in a new land. Rather than orchestrate specific alignments, it appears the Orkney Neolithic were concerned with general symbolic orientations. These emphasised the importance of the eastern sunrise in ritual structures alongside the progression from the sun associated south towards the dark north. </w:t>
      </w:r>
    </w:p>
    <w:p w:rsidR="00607E9F" w:rsidRPr="008453B6" w:rsidRDefault="00607E9F" w:rsidP="008453B6">
      <w:pPr>
        <w:pStyle w:val="Heading3"/>
        <w:jc w:val="center"/>
        <w:rPr>
          <w:color w:val="3366FF"/>
          <w:sz w:val="28"/>
        </w:rPr>
      </w:pPr>
    </w:p>
    <w:p w:rsidR="00607E9F" w:rsidRPr="008453B6" w:rsidRDefault="00607E9F" w:rsidP="008453B6">
      <w:pPr>
        <w:pStyle w:val="Heading3"/>
        <w:jc w:val="center"/>
        <w:rPr>
          <w:color w:val="3366FF"/>
          <w:sz w:val="28"/>
        </w:rPr>
      </w:pPr>
    </w:p>
    <w:p w:rsidR="00607E9F" w:rsidRPr="008453B6" w:rsidRDefault="00607E9F" w:rsidP="008453B6">
      <w:pPr>
        <w:pStyle w:val="Heading3"/>
        <w:jc w:val="center"/>
        <w:rPr>
          <w:color w:val="3366FF"/>
          <w:sz w:val="28"/>
        </w:rPr>
      </w:pPr>
    </w:p>
    <w:p w:rsidR="00607E9F" w:rsidRPr="008453B6" w:rsidRDefault="00607E9F" w:rsidP="008453B6">
      <w:pPr>
        <w:pStyle w:val="Heading3"/>
        <w:jc w:val="center"/>
        <w:rPr>
          <w:color w:val="3366FF"/>
          <w:sz w:val="28"/>
        </w:rPr>
      </w:pPr>
      <w:r w:rsidRPr="008453B6">
        <w:rPr>
          <w:color w:val="3366FF"/>
          <w:sz w:val="28"/>
        </w:rPr>
        <w:t>APPENDIX.</w:t>
      </w:r>
    </w:p>
    <w:p w:rsidR="00607E9F" w:rsidRDefault="00607E9F">
      <w:pPr>
        <w:rPr>
          <w:rFonts w:ascii="Arial" w:hAnsi="Arial"/>
        </w:rPr>
      </w:pPr>
    </w:p>
    <w:tbl>
      <w:tblPr>
        <w:tblW w:w="0" w:type="auto"/>
        <w:tblLayout w:type="fixed"/>
        <w:tblCellMar>
          <w:left w:w="0" w:type="dxa"/>
          <w:right w:w="0" w:type="dxa"/>
        </w:tblCellMar>
        <w:tblLook w:val="0000"/>
      </w:tblPr>
      <w:tblGrid>
        <w:gridCol w:w="2813"/>
        <w:gridCol w:w="857"/>
        <w:gridCol w:w="809"/>
        <w:gridCol w:w="809"/>
        <w:gridCol w:w="809"/>
        <w:gridCol w:w="809"/>
        <w:gridCol w:w="809"/>
        <w:gridCol w:w="809"/>
        <w:gridCol w:w="809"/>
      </w:tblGrid>
      <w:tr w:rsidR="00607E9F">
        <w:trPr>
          <w:trHeight w:val="290"/>
        </w:trPr>
        <w:tc>
          <w:tcPr>
            <w:tcW w:w="2813"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b/>
                <w:color w:val="000000"/>
                <w:sz w:val="22"/>
              </w:rPr>
            </w:pPr>
            <w:r>
              <w:rPr>
                <w:rFonts w:ascii="Calibri" w:hAnsi="Calibri" w:cs="Calibri"/>
                <w:b/>
                <w:color w:val="0000FF"/>
                <w:sz w:val="22"/>
                <w:lang w:val="en-US"/>
              </w:rPr>
              <w:t>Ring of Brodgar</w:t>
            </w:r>
          </w:p>
        </w:tc>
        <w:tc>
          <w:tcPr>
            <w:tcW w:w="857" w:type="dxa"/>
            <w:tcBorders>
              <w:top w:val="nil"/>
              <w:left w:val="nil"/>
              <w:bottom w:val="nil"/>
              <w:right w:val="nil"/>
            </w:tcBorders>
            <w:noWrap/>
            <w:tcMar>
              <w:top w:w="10" w:type="dxa"/>
              <w:left w:w="10" w:type="dxa"/>
              <w:right w:w="10" w:type="dxa"/>
            </w:tcMar>
            <w:vAlign w:val="bottom"/>
          </w:tcPr>
          <w:p w:rsidR="00607E9F" w:rsidRDefault="00607E9F">
            <w:pPr>
              <w:jc w:val="center"/>
              <w:textAlignment w:val="bottom"/>
              <w:rPr>
                <w:rFonts w:ascii="Calibri" w:hAnsi="Calibri" w:cs="Calibri"/>
                <w:color w:val="000000"/>
                <w:sz w:val="22"/>
              </w:rPr>
            </w:pPr>
            <w:r>
              <w:rPr>
                <w:rFonts w:ascii="Calibri" w:hAnsi="Calibri" w:cs="Calibri"/>
                <w:color w:val="000000"/>
                <w:sz w:val="22"/>
                <w:lang w:val="en-US"/>
              </w:rPr>
              <w:t>Diameter</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center"/>
              <w:textAlignment w:val="bottom"/>
              <w:rPr>
                <w:rFonts w:ascii="Calibri" w:hAnsi="Calibri" w:cs="Calibri"/>
                <w:color w:val="000000"/>
                <w:sz w:val="22"/>
              </w:rPr>
            </w:pPr>
            <w:r>
              <w:rPr>
                <w:rFonts w:ascii="Calibri" w:hAnsi="Calibri" w:cs="Calibri"/>
                <w:color w:val="000000"/>
                <w:sz w:val="22"/>
                <w:lang w:val="en-US"/>
              </w:rPr>
              <w:t>103</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center"/>
              <w:textAlignment w:val="bottom"/>
              <w:rPr>
                <w:rFonts w:ascii="Calibri" w:hAnsi="Calibri" w:cs="Calibri"/>
                <w:color w:val="000000"/>
                <w:sz w:val="22"/>
              </w:rPr>
            </w:pPr>
            <w:r>
              <w:rPr>
                <w:rFonts w:ascii="Calibri" w:hAnsi="Calibri" w:cs="Calibri"/>
                <w:color w:val="000000"/>
                <w:sz w:val="22"/>
                <w:lang w:val="en-US"/>
              </w:rPr>
              <w:t>Radius</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center"/>
              <w:textAlignment w:val="bottom"/>
              <w:rPr>
                <w:rFonts w:ascii="Calibri" w:hAnsi="Calibri" w:cs="Calibri"/>
                <w:color w:val="000000"/>
                <w:sz w:val="22"/>
              </w:rPr>
            </w:pPr>
            <w:r>
              <w:rPr>
                <w:rFonts w:ascii="Calibri" w:hAnsi="Calibri" w:cs="Calibri"/>
                <w:color w:val="000000"/>
                <w:sz w:val="22"/>
                <w:lang w:val="en-US"/>
              </w:rPr>
              <w:t>51.5</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center"/>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jc w:val="center"/>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jc w:val="center"/>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jc w:val="center"/>
              <w:rPr>
                <w:rFonts w:ascii="Calibri" w:hAnsi="Calibri" w:cs="Calibri"/>
                <w:color w:val="000000"/>
                <w:sz w:val="22"/>
              </w:rPr>
            </w:pPr>
          </w:p>
        </w:tc>
      </w:tr>
      <w:tr w:rsidR="00607E9F">
        <w:trPr>
          <w:trHeight w:val="290"/>
        </w:trPr>
        <w:tc>
          <w:tcPr>
            <w:tcW w:w="2813"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857" w:type="dxa"/>
            <w:tcBorders>
              <w:top w:val="nil"/>
              <w:left w:val="nil"/>
              <w:bottom w:val="nil"/>
              <w:right w:val="nil"/>
            </w:tcBorders>
            <w:noWrap/>
            <w:tcMar>
              <w:top w:w="10" w:type="dxa"/>
              <w:left w:w="10" w:type="dxa"/>
              <w:right w:w="10" w:type="dxa"/>
            </w:tcMar>
            <w:vAlign w:val="bottom"/>
          </w:tcPr>
          <w:p w:rsidR="00607E9F" w:rsidRPr="00B217BC" w:rsidRDefault="00607E9F">
            <w:pPr>
              <w:jc w:val="center"/>
              <w:textAlignment w:val="bottom"/>
              <w:rPr>
                <w:rFonts w:ascii="Calibri" w:hAnsi="Calibri" w:cs="Calibri"/>
                <w:color w:val="3366FF"/>
                <w:sz w:val="22"/>
              </w:rPr>
            </w:pPr>
            <w:r w:rsidRPr="00B217BC">
              <w:rPr>
                <w:rFonts w:ascii="Calibri" w:hAnsi="Calibri" w:cs="Calibri"/>
                <w:color w:val="3366FF"/>
                <w:sz w:val="22"/>
                <w:lang w:val="en-US"/>
              </w:rPr>
              <w:t>Stone 1</w:t>
            </w:r>
          </w:p>
        </w:tc>
        <w:tc>
          <w:tcPr>
            <w:tcW w:w="809" w:type="dxa"/>
            <w:tcBorders>
              <w:top w:val="nil"/>
              <w:left w:val="nil"/>
              <w:bottom w:val="nil"/>
              <w:right w:val="nil"/>
            </w:tcBorders>
            <w:noWrap/>
            <w:tcMar>
              <w:top w:w="10" w:type="dxa"/>
              <w:left w:w="10" w:type="dxa"/>
              <w:right w:w="10" w:type="dxa"/>
            </w:tcMar>
            <w:vAlign w:val="bottom"/>
          </w:tcPr>
          <w:p w:rsidR="00607E9F" w:rsidRPr="00B217BC" w:rsidRDefault="00607E9F">
            <w:pPr>
              <w:jc w:val="center"/>
              <w:textAlignment w:val="bottom"/>
              <w:rPr>
                <w:rFonts w:ascii="Calibri" w:hAnsi="Calibri" w:cs="Calibri"/>
                <w:color w:val="3366FF"/>
                <w:sz w:val="22"/>
              </w:rPr>
            </w:pPr>
            <w:r w:rsidRPr="00B217BC">
              <w:rPr>
                <w:rFonts w:ascii="Calibri" w:hAnsi="Calibri" w:cs="Calibri"/>
                <w:color w:val="3366FF"/>
                <w:sz w:val="22"/>
                <w:lang w:val="en-US"/>
              </w:rPr>
              <w:t>Stone 2</w:t>
            </w:r>
          </w:p>
        </w:tc>
        <w:tc>
          <w:tcPr>
            <w:tcW w:w="809" w:type="dxa"/>
            <w:tcBorders>
              <w:top w:val="nil"/>
              <w:left w:val="nil"/>
              <w:bottom w:val="nil"/>
              <w:right w:val="nil"/>
            </w:tcBorders>
            <w:noWrap/>
            <w:tcMar>
              <w:top w:w="10" w:type="dxa"/>
              <w:left w:w="10" w:type="dxa"/>
              <w:right w:w="10" w:type="dxa"/>
            </w:tcMar>
            <w:vAlign w:val="bottom"/>
          </w:tcPr>
          <w:p w:rsidR="00607E9F" w:rsidRPr="00B217BC" w:rsidRDefault="00607E9F">
            <w:pPr>
              <w:jc w:val="center"/>
              <w:textAlignment w:val="bottom"/>
              <w:rPr>
                <w:rFonts w:ascii="Calibri" w:hAnsi="Calibri" w:cs="Calibri"/>
                <w:color w:val="3366FF"/>
                <w:sz w:val="22"/>
              </w:rPr>
            </w:pPr>
            <w:r w:rsidRPr="00B217BC">
              <w:rPr>
                <w:rFonts w:ascii="Calibri" w:hAnsi="Calibri" w:cs="Calibri"/>
                <w:color w:val="3366FF"/>
                <w:sz w:val="22"/>
                <w:lang w:val="en-US"/>
              </w:rPr>
              <w:t>Stone 5</w:t>
            </w:r>
          </w:p>
        </w:tc>
        <w:tc>
          <w:tcPr>
            <w:tcW w:w="809" w:type="dxa"/>
            <w:tcBorders>
              <w:top w:val="nil"/>
              <w:left w:val="nil"/>
              <w:bottom w:val="nil"/>
              <w:right w:val="nil"/>
            </w:tcBorders>
            <w:noWrap/>
            <w:tcMar>
              <w:top w:w="10" w:type="dxa"/>
              <w:left w:w="10" w:type="dxa"/>
              <w:right w:w="10" w:type="dxa"/>
            </w:tcMar>
            <w:vAlign w:val="bottom"/>
          </w:tcPr>
          <w:p w:rsidR="00607E9F" w:rsidRPr="00B217BC" w:rsidRDefault="00607E9F">
            <w:pPr>
              <w:jc w:val="center"/>
              <w:textAlignment w:val="bottom"/>
              <w:rPr>
                <w:rFonts w:ascii="Calibri" w:hAnsi="Calibri" w:cs="Calibri"/>
                <w:color w:val="3366FF"/>
                <w:sz w:val="22"/>
              </w:rPr>
            </w:pPr>
            <w:r w:rsidRPr="00B217BC">
              <w:rPr>
                <w:rFonts w:ascii="Calibri" w:hAnsi="Calibri" w:cs="Calibri"/>
                <w:color w:val="3366FF"/>
                <w:sz w:val="22"/>
                <w:lang w:val="en-US"/>
              </w:rPr>
              <w:t>Stone 6</w:t>
            </w:r>
          </w:p>
        </w:tc>
        <w:tc>
          <w:tcPr>
            <w:tcW w:w="809" w:type="dxa"/>
            <w:tcBorders>
              <w:top w:val="nil"/>
              <w:left w:val="nil"/>
              <w:bottom w:val="nil"/>
              <w:right w:val="nil"/>
            </w:tcBorders>
            <w:noWrap/>
            <w:tcMar>
              <w:top w:w="10" w:type="dxa"/>
              <w:left w:w="10" w:type="dxa"/>
              <w:right w:w="10" w:type="dxa"/>
            </w:tcMar>
            <w:vAlign w:val="bottom"/>
          </w:tcPr>
          <w:p w:rsidR="00607E9F" w:rsidRPr="00B217BC" w:rsidRDefault="00607E9F">
            <w:pPr>
              <w:jc w:val="center"/>
              <w:textAlignment w:val="bottom"/>
              <w:rPr>
                <w:rFonts w:ascii="Calibri" w:hAnsi="Calibri" w:cs="Calibri"/>
                <w:color w:val="3366FF"/>
                <w:sz w:val="22"/>
              </w:rPr>
            </w:pPr>
            <w:r w:rsidRPr="00B217BC">
              <w:rPr>
                <w:rFonts w:ascii="Calibri" w:hAnsi="Calibri" w:cs="Calibri"/>
                <w:color w:val="3366FF"/>
                <w:sz w:val="22"/>
                <w:lang w:val="en-US"/>
              </w:rPr>
              <w:t>Stone 7</w:t>
            </w:r>
          </w:p>
        </w:tc>
        <w:tc>
          <w:tcPr>
            <w:tcW w:w="809" w:type="dxa"/>
            <w:tcBorders>
              <w:top w:val="nil"/>
              <w:left w:val="nil"/>
              <w:bottom w:val="nil"/>
              <w:right w:val="nil"/>
            </w:tcBorders>
            <w:noWrap/>
            <w:tcMar>
              <w:top w:w="10" w:type="dxa"/>
              <w:left w:w="10" w:type="dxa"/>
              <w:right w:w="10" w:type="dxa"/>
            </w:tcMar>
            <w:vAlign w:val="bottom"/>
          </w:tcPr>
          <w:p w:rsidR="00607E9F" w:rsidRPr="00B217BC" w:rsidRDefault="00607E9F">
            <w:pPr>
              <w:jc w:val="center"/>
              <w:textAlignment w:val="bottom"/>
              <w:rPr>
                <w:rFonts w:ascii="Calibri" w:hAnsi="Calibri" w:cs="Calibri"/>
                <w:color w:val="3366FF"/>
                <w:sz w:val="22"/>
              </w:rPr>
            </w:pPr>
            <w:r w:rsidRPr="00B217BC">
              <w:rPr>
                <w:rFonts w:ascii="Calibri" w:hAnsi="Calibri" w:cs="Calibri"/>
                <w:color w:val="3366FF"/>
                <w:sz w:val="22"/>
                <w:lang w:val="en-US"/>
              </w:rPr>
              <w:t>Stone 8</w:t>
            </w:r>
          </w:p>
        </w:tc>
        <w:tc>
          <w:tcPr>
            <w:tcW w:w="809" w:type="dxa"/>
            <w:tcBorders>
              <w:top w:val="nil"/>
              <w:left w:val="nil"/>
              <w:bottom w:val="nil"/>
              <w:right w:val="nil"/>
            </w:tcBorders>
            <w:noWrap/>
            <w:tcMar>
              <w:top w:w="10" w:type="dxa"/>
              <w:left w:w="10" w:type="dxa"/>
              <w:right w:w="10" w:type="dxa"/>
            </w:tcMar>
            <w:vAlign w:val="bottom"/>
          </w:tcPr>
          <w:p w:rsidR="00607E9F" w:rsidRPr="00B217BC" w:rsidRDefault="00607E9F">
            <w:pPr>
              <w:jc w:val="center"/>
              <w:textAlignment w:val="bottom"/>
              <w:rPr>
                <w:rFonts w:ascii="Calibri" w:hAnsi="Calibri" w:cs="Calibri"/>
                <w:color w:val="3366FF"/>
                <w:sz w:val="22"/>
              </w:rPr>
            </w:pPr>
            <w:r w:rsidRPr="00B217BC">
              <w:rPr>
                <w:rFonts w:ascii="Calibri" w:hAnsi="Calibri" w:cs="Calibri"/>
                <w:color w:val="3366FF"/>
                <w:sz w:val="22"/>
                <w:lang w:val="en-US"/>
              </w:rPr>
              <w:t>Stone 9</w:t>
            </w:r>
          </w:p>
        </w:tc>
        <w:tc>
          <w:tcPr>
            <w:tcW w:w="809" w:type="dxa"/>
            <w:tcBorders>
              <w:top w:val="nil"/>
              <w:left w:val="nil"/>
              <w:bottom w:val="nil"/>
              <w:right w:val="nil"/>
            </w:tcBorders>
            <w:noWrap/>
            <w:tcMar>
              <w:top w:w="10" w:type="dxa"/>
              <w:left w:w="10" w:type="dxa"/>
              <w:right w:w="10" w:type="dxa"/>
            </w:tcMar>
            <w:vAlign w:val="bottom"/>
          </w:tcPr>
          <w:p w:rsidR="00607E9F" w:rsidRPr="00B217BC" w:rsidRDefault="00607E9F">
            <w:pPr>
              <w:jc w:val="center"/>
              <w:textAlignment w:val="bottom"/>
              <w:rPr>
                <w:rFonts w:ascii="Calibri" w:hAnsi="Calibri" w:cs="Calibri"/>
                <w:color w:val="3366FF"/>
                <w:sz w:val="22"/>
              </w:rPr>
            </w:pPr>
            <w:r w:rsidRPr="00B217BC">
              <w:rPr>
                <w:rFonts w:ascii="Calibri" w:hAnsi="Calibri" w:cs="Calibri"/>
                <w:color w:val="3366FF"/>
                <w:sz w:val="22"/>
                <w:lang w:val="en-US"/>
              </w:rPr>
              <w:t>Stone 10</w:t>
            </w:r>
          </w:p>
        </w:tc>
      </w:tr>
      <w:tr w:rsidR="00607E9F">
        <w:trPr>
          <w:trHeight w:val="290"/>
        </w:trPr>
        <w:tc>
          <w:tcPr>
            <w:tcW w:w="2813"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r>
              <w:rPr>
                <w:rFonts w:ascii="Calibri" w:hAnsi="Calibri" w:cs="Calibri"/>
                <w:color w:val="000000"/>
                <w:sz w:val="22"/>
                <w:lang w:val="en-US"/>
              </w:rPr>
              <w:t>Stone width (m)</w:t>
            </w:r>
          </w:p>
        </w:tc>
        <w:tc>
          <w:tcPr>
            <w:tcW w:w="857"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1.02</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1.52</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0.82</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0.86</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1.16</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1.46</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1.1</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0.9</w:t>
            </w:r>
          </w:p>
        </w:tc>
      </w:tr>
      <w:tr w:rsidR="00607E9F">
        <w:trPr>
          <w:trHeight w:val="290"/>
        </w:trPr>
        <w:tc>
          <w:tcPr>
            <w:tcW w:w="2813"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r>
              <w:rPr>
                <w:rFonts w:ascii="Calibri" w:hAnsi="Calibri" w:cs="Calibri"/>
                <w:color w:val="000000"/>
                <w:sz w:val="22"/>
                <w:lang w:val="en-US"/>
              </w:rPr>
              <w:t>Stone breadth (m)</w:t>
            </w:r>
          </w:p>
        </w:tc>
        <w:tc>
          <w:tcPr>
            <w:tcW w:w="857"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0.38</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0.37</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0.43</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0.38</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0.34</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0.33</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0.22</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0.22</w:t>
            </w:r>
          </w:p>
        </w:tc>
      </w:tr>
      <w:tr w:rsidR="00607E9F">
        <w:trPr>
          <w:trHeight w:val="290"/>
        </w:trPr>
        <w:tc>
          <w:tcPr>
            <w:tcW w:w="2813"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r>
              <w:rPr>
                <w:rFonts w:ascii="Calibri" w:hAnsi="Calibri" w:cs="Calibri"/>
                <w:color w:val="000000"/>
                <w:sz w:val="22"/>
              </w:rPr>
              <w:t>M</w:t>
            </w:r>
            <w:r>
              <w:rPr>
                <w:rFonts w:ascii="Calibri" w:hAnsi="Calibri" w:cs="Calibri"/>
                <w:color w:val="000000"/>
                <w:sz w:val="22"/>
                <w:lang w:val="en-US"/>
              </w:rPr>
              <w:t>easured a</w:t>
            </w:r>
            <w:r>
              <w:rPr>
                <w:rFonts w:ascii="Calibri" w:hAnsi="Calibri" w:cs="Calibri"/>
                <w:color w:val="000000"/>
                <w:sz w:val="22"/>
              </w:rPr>
              <w:t>zimuth</w:t>
            </w:r>
          </w:p>
        </w:tc>
        <w:tc>
          <w:tcPr>
            <w:tcW w:w="857"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155</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170</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227.5</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232</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256</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236</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272</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277</w:t>
            </w:r>
          </w:p>
        </w:tc>
      </w:tr>
      <w:tr w:rsidR="00607E9F">
        <w:trPr>
          <w:trHeight w:val="290"/>
        </w:trPr>
        <w:tc>
          <w:tcPr>
            <w:tcW w:w="2813"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857" w:type="dxa"/>
            <w:tcBorders>
              <w:top w:val="nil"/>
              <w:left w:val="nil"/>
              <w:bottom w:val="nil"/>
              <w:right w:val="nil"/>
            </w:tcBorders>
            <w:noWrap/>
            <w:tcMar>
              <w:top w:w="10" w:type="dxa"/>
              <w:left w:w="10" w:type="dxa"/>
              <w:right w:w="10" w:type="dxa"/>
            </w:tcMar>
            <w:vAlign w:val="bottom"/>
          </w:tcPr>
          <w:p w:rsidR="00607E9F" w:rsidRDefault="00607E9F">
            <w:pPr>
              <w:jc w:val="center"/>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jc w:val="center"/>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jc w:val="center"/>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jc w:val="center"/>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jc w:val="center"/>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jc w:val="center"/>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jc w:val="center"/>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jc w:val="center"/>
              <w:rPr>
                <w:rFonts w:ascii="Calibri" w:hAnsi="Calibri" w:cs="Calibri"/>
                <w:color w:val="000000"/>
                <w:sz w:val="22"/>
              </w:rPr>
            </w:pPr>
          </w:p>
        </w:tc>
      </w:tr>
      <w:tr w:rsidR="00607E9F">
        <w:trPr>
          <w:trHeight w:val="290"/>
        </w:trPr>
        <w:tc>
          <w:tcPr>
            <w:tcW w:w="2813"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b/>
                <w:color w:val="000000"/>
                <w:sz w:val="22"/>
              </w:rPr>
            </w:pPr>
            <w:r>
              <w:rPr>
                <w:rFonts w:ascii="Calibri" w:hAnsi="Calibri" w:cs="Calibri"/>
                <w:b/>
                <w:color w:val="000000"/>
                <w:sz w:val="22"/>
                <w:lang w:val="en-US"/>
              </w:rPr>
              <w:t>Measurement error</w:t>
            </w:r>
          </w:p>
        </w:tc>
        <w:tc>
          <w:tcPr>
            <w:tcW w:w="857"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r>
      <w:tr w:rsidR="00607E9F">
        <w:trPr>
          <w:trHeight w:val="290"/>
        </w:trPr>
        <w:tc>
          <w:tcPr>
            <w:tcW w:w="2813"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r>
              <w:rPr>
                <w:rFonts w:ascii="Calibri" w:hAnsi="Calibri" w:cs="Calibri"/>
                <w:color w:val="000000"/>
                <w:sz w:val="22"/>
                <w:lang w:val="en-US"/>
              </w:rPr>
              <w:t>Range (m)</w:t>
            </w:r>
          </w:p>
        </w:tc>
        <w:tc>
          <w:tcPr>
            <w:tcW w:w="857"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51.88</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51.87</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51.93</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51.88</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51.84</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51.83</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51.72</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51.72</w:t>
            </w:r>
          </w:p>
        </w:tc>
      </w:tr>
      <w:tr w:rsidR="00607E9F">
        <w:trPr>
          <w:trHeight w:val="290"/>
        </w:trPr>
        <w:tc>
          <w:tcPr>
            <w:tcW w:w="2813"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r>
              <w:rPr>
                <w:rFonts w:ascii="Calibri" w:hAnsi="Calibri" w:cs="Calibri"/>
                <w:color w:val="000000"/>
                <w:sz w:val="22"/>
                <w:lang w:val="en-US"/>
              </w:rPr>
              <w:t>Range uncertainty (m)</w:t>
            </w:r>
          </w:p>
        </w:tc>
        <w:tc>
          <w:tcPr>
            <w:tcW w:w="857"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0.25</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0.25</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0.25</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0.25</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0.25</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0.25</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0.25</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0.25</w:t>
            </w:r>
          </w:p>
        </w:tc>
      </w:tr>
      <w:tr w:rsidR="00607E9F">
        <w:trPr>
          <w:trHeight w:val="290"/>
        </w:trPr>
        <w:tc>
          <w:tcPr>
            <w:tcW w:w="2813"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r>
              <w:rPr>
                <w:rFonts w:ascii="Calibri" w:hAnsi="Calibri" w:cs="Calibri"/>
                <w:color w:val="000000"/>
                <w:sz w:val="22"/>
              </w:rPr>
              <w:t>N</w:t>
            </w:r>
            <w:r>
              <w:rPr>
                <w:rFonts w:ascii="Calibri" w:hAnsi="Calibri" w:cs="Calibri"/>
                <w:color w:val="000000"/>
                <w:sz w:val="22"/>
                <w:lang w:val="en-US"/>
              </w:rPr>
              <w:t>ear width uncertainty</w:t>
            </w:r>
            <w:r>
              <w:rPr>
                <w:rFonts w:ascii="Calibri" w:hAnsi="Calibri" w:cs="Calibri"/>
                <w:color w:val="000000"/>
                <w:sz w:val="22"/>
              </w:rPr>
              <w:t xml:space="preserve"> </w:t>
            </w:r>
            <w:r>
              <w:rPr>
                <w:rFonts w:ascii="Calibri" w:hAnsi="Calibri" w:cs="Calibri"/>
                <w:color w:val="000000"/>
                <w:sz w:val="22"/>
                <w:lang w:val="en-US"/>
              </w:rPr>
              <w:t>(m)</w:t>
            </w:r>
          </w:p>
        </w:tc>
        <w:tc>
          <w:tcPr>
            <w:tcW w:w="857"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0.51</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0.76</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0.41</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0.43</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0.58</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0.73</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0.55</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0.45</w:t>
            </w:r>
          </w:p>
        </w:tc>
      </w:tr>
      <w:tr w:rsidR="00607E9F">
        <w:trPr>
          <w:trHeight w:val="290"/>
        </w:trPr>
        <w:tc>
          <w:tcPr>
            <w:tcW w:w="2813"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r>
              <w:rPr>
                <w:rFonts w:ascii="Calibri" w:hAnsi="Calibri" w:cs="Calibri"/>
                <w:color w:val="000000"/>
                <w:sz w:val="22"/>
              </w:rPr>
              <w:t>F</w:t>
            </w:r>
            <w:r>
              <w:rPr>
                <w:rFonts w:ascii="Calibri" w:hAnsi="Calibri" w:cs="Calibri"/>
                <w:color w:val="000000"/>
                <w:sz w:val="22"/>
                <w:lang w:val="en-US"/>
              </w:rPr>
              <w:t>ar width uncertainty</w:t>
            </w:r>
            <w:r>
              <w:rPr>
                <w:rFonts w:ascii="Calibri" w:hAnsi="Calibri" w:cs="Calibri"/>
                <w:color w:val="000000"/>
                <w:sz w:val="22"/>
              </w:rPr>
              <w:t xml:space="preserve"> </w:t>
            </w:r>
            <w:r>
              <w:rPr>
                <w:rFonts w:ascii="Calibri" w:hAnsi="Calibri" w:cs="Calibri"/>
                <w:color w:val="000000"/>
                <w:sz w:val="22"/>
                <w:lang w:val="en-US"/>
              </w:rPr>
              <w:t>(</w:t>
            </w:r>
            <w:r>
              <w:rPr>
                <w:rFonts w:ascii="Calibri" w:hAnsi="Calibri" w:cs="Calibri"/>
                <w:color w:val="000000"/>
                <w:sz w:val="22"/>
              </w:rPr>
              <w:t>m</w:t>
            </w:r>
            <w:r>
              <w:rPr>
                <w:rFonts w:ascii="Calibri" w:hAnsi="Calibri" w:cs="Calibri"/>
                <w:color w:val="000000"/>
                <w:sz w:val="22"/>
                <w:lang w:val="en-US"/>
              </w:rPr>
              <w:t>)</w:t>
            </w:r>
          </w:p>
        </w:tc>
        <w:tc>
          <w:tcPr>
            <w:tcW w:w="857"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5.19</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5.19</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5.19</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5.19</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5.18</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5.18</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5.17</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5.17</w:t>
            </w:r>
          </w:p>
        </w:tc>
      </w:tr>
      <w:tr w:rsidR="00607E9F">
        <w:trPr>
          <w:trHeight w:val="290"/>
        </w:trPr>
        <w:tc>
          <w:tcPr>
            <w:tcW w:w="2813"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r>
              <w:rPr>
                <w:rFonts w:ascii="Calibri" w:hAnsi="Calibri" w:cs="Calibri"/>
                <w:color w:val="000000"/>
                <w:sz w:val="22"/>
              </w:rPr>
              <w:t>A</w:t>
            </w:r>
            <w:r>
              <w:rPr>
                <w:rFonts w:ascii="Calibri" w:hAnsi="Calibri" w:cs="Calibri"/>
                <w:color w:val="000000"/>
                <w:sz w:val="22"/>
                <w:lang w:val="en-US"/>
              </w:rPr>
              <w:t>ngular uncertainty (degrees)</w:t>
            </w:r>
          </w:p>
        </w:tc>
        <w:tc>
          <w:tcPr>
            <w:tcW w:w="857"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6.30</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6.57</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6.19</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6.21</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6.38</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6.54</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6.34</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6.23</w:t>
            </w:r>
          </w:p>
        </w:tc>
      </w:tr>
      <w:tr w:rsidR="00607E9F">
        <w:trPr>
          <w:trHeight w:val="290"/>
        </w:trPr>
        <w:tc>
          <w:tcPr>
            <w:tcW w:w="2813"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857"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r>
      <w:tr w:rsidR="00607E9F">
        <w:trPr>
          <w:trHeight w:val="290"/>
        </w:trPr>
        <w:tc>
          <w:tcPr>
            <w:tcW w:w="2813"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b/>
                <w:color w:val="000000"/>
                <w:sz w:val="22"/>
              </w:rPr>
            </w:pPr>
            <w:r>
              <w:rPr>
                <w:rFonts w:ascii="Calibri" w:hAnsi="Calibri" w:cs="Calibri"/>
                <w:b/>
                <w:color w:val="000000"/>
                <w:sz w:val="22"/>
                <w:lang w:val="en-US"/>
              </w:rPr>
              <w:t>Stone width uncertainty</w:t>
            </w:r>
          </w:p>
        </w:tc>
        <w:tc>
          <w:tcPr>
            <w:tcW w:w="857"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r>
      <w:tr w:rsidR="00607E9F">
        <w:trPr>
          <w:trHeight w:val="290"/>
        </w:trPr>
        <w:tc>
          <w:tcPr>
            <w:tcW w:w="2813"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r>
              <w:rPr>
                <w:rFonts w:ascii="Calibri" w:hAnsi="Calibri" w:cs="Calibri"/>
                <w:color w:val="000000"/>
                <w:sz w:val="22"/>
                <w:lang w:val="en-US"/>
              </w:rPr>
              <w:t>Range (m)</w:t>
            </w:r>
          </w:p>
        </w:tc>
        <w:tc>
          <w:tcPr>
            <w:tcW w:w="857"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51.5</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51.5</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51.5</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51.5</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51.5</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51.5</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51.5</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51.5</w:t>
            </w:r>
          </w:p>
        </w:tc>
      </w:tr>
      <w:tr w:rsidR="00607E9F">
        <w:trPr>
          <w:trHeight w:val="290"/>
        </w:trPr>
        <w:tc>
          <w:tcPr>
            <w:tcW w:w="2813"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r>
              <w:rPr>
                <w:rFonts w:ascii="Calibri" w:hAnsi="Calibri" w:cs="Calibri"/>
                <w:color w:val="000000"/>
                <w:sz w:val="22"/>
                <w:lang w:val="en-US"/>
              </w:rPr>
              <w:t>Range uncertainty</w:t>
            </w:r>
            <w:r>
              <w:rPr>
                <w:rFonts w:ascii="Calibri" w:hAnsi="Calibri" w:cs="Calibri"/>
                <w:color w:val="000000"/>
                <w:sz w:val="22"/>
              </w:rPr>
              <w:t xml:space="preserve"> </w:t>
            </w:r>
            <w:r>
              <w:rPr>
                <w:rFonts w:ascii="Calibri" w:hAnsi="Calibri" w:cs="Calibri"/>
                <w:color w:val="000000"/>
                <w:sz w:val="22"/>
                <w:lang w:val="en-US"/>
              </w:rPr>
              <w:t>(m)</w:t>
            </w:r>
          </w:p>
        </w:tc>
        <w:tc>
          <w:tcPr>
            <w:tcW w:w="857"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w:t>
            </w:r>
          </w:p>
        </w:tc>
      </w:tr>
      <w:tr w:rsidR="00607E9F">
        <w:trPr>
          <w:trHeight w:val="290"/>
        </w:trPr>
        <w:tc>
          <w:tcPr>
            <w:tcW w:w="2813"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r>
              <w:rPr>
                <w:rFonts w:ascii="Calibri" w:hAnsi="Calibri" w:cs="Calibri"/>
                <w:color w:val="000000"/>
                <w:sz w:val="22"/>
              </w:rPr>
              <w:t>N</w:t>
            </w:r>
            <w:r>
              <w:rPr>
                <w:rFonts w:ascii="Calibri" w:hAnsi="Calibri" w:cs="Calibri"/>
                <w:color w:val="000000"/>
                <w:sz w:val="22"/>
                <w:lang w:val="en-US"/>
              </w:rPr>
              <w:t>ear width uncertainty</w:t>
            </w:r>
            <w:r>
              <w:rPr>
                <w:rFonts w:ascii="Calibri" w:hAnsi="Calibri" w:cs="Calibri"/>
                <w:color w:val="000000"/>
                <w:sz w:val="22"/>
              </w:rPr>
              <w:t xml:space="preserve"> </w:t>
            </w:r>
            <w:r>
              <w:rPr>
                <w:rFonts w:ascii="Calibri" w:hAnsi="Calibri" w:cs="Calibri"/>
                <w:color w:val="000000"/>
                <w:sz w:val="22"/>
                <w:lang w:val="en-US"/>
              </w:rPr>
              <w:t>(m)</w:t>
            </w:r>
          </w:p>
        </w:tc>
        <w:tc>
          <w:tcPr>
            <w:tcW w:w="857"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w:t>
            </w:r>
          </w:p>
        </w:tc>
      </w:tr>
      <w:tr w:rsidR="00607E9F">
        <w:trPr>
          <w:trHeight w:val="290"/>
        </w:trPr>
        <w:tc>
          <w:tcPr>
            <w:tcW w:w="2813"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r>
              <w:rPr>
                <w:rFonts w:ascii="Calibri" w:hAnsi="Calibri" w:cs="Calibri"/>
                <w:color w:val="000000"/>
                <w:sz w:val="22"/>
              </w:rPr>
              <w:t>F</w:t>
            </w:r>
            <w:r>
              <w:rPr>
                <w:rFonts w:ascii="Calibri" w:hAnsi="Calibri" w:cs="Calibri"/>
                <w:color w:val="000000"/>
                <w:sz w:val="22"/>
                <w:lang w:val="en-US"/>
              </w:rPr>
              <w:t>ar width uncertainty</w:t>
            </w:r>
            <w:r>
              <w:rPr>
                <w:rFonts w:ascii="Calibri" w:hAnsi="Calibri" w:cs="Calibri"/>
                <w:color w:val="000000"/>
                <w:sz w:val="22"/>
              </w:rPr>
              <w:t xml:space="preserve"> </w:t>
            </w:r>
            <w:r>
              <w:rPr>
                <w:rFonts w:ascii="Calibri" w:hAnsi="Calibri" w:cs="Calibri"/>
                <w:color w:val="000000"/>
                <w:sz w:val="22"/>
                <w:lang w:val="en-US"/>
              </w:rPr>
              <w:t>(</w:t>
            </w:r>
            <w:r>
              <w:rPr>
                <w:rFonts w:ascii="Calibri" w:hAnsi="Calibri" w:cs="Calibri"/>
                <w:color w:val="000000"/>
                <w:sz w:val="22"/>
              </w:rPr>
              <w:t>m</w:t>
            </w:r>
            <w:r>
              <w:rPr>
                <w:rFonts w:ascii="Calibri" w:hAnsi="Calibri" w:cs="Calibri"/>
                <w:color w:val="000000"/>
                <w:sz w:val="22"/>
                <w:lang w:val="en-US"/>
              </w:rPr>
              <w:t>)</w:t>
            </w:r>
          </w:p>
        </w:tc>
        <w:tc>
          <w:tcPr>
            <w:tcW w:w="857"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0.51</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0.76</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0.41</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0.43</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0.58</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0.73</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0.55</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0.45</w:t>
            </w:r>
          </w:p>
        </w:tc>
      </w:tr>
      <w:tr w:rsidR="00607E9F">
        <w:trPr>
          <w:trHeight w:val="290"/>
        </w:trPr>
        <w:tc>
          <w:tcPr>
            <w:tcW w:w="2813"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857"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r>
      <w:tr w:rsidR="00607E9F">
        <w:trPr>
          <w:trHeight w:val="290"/>
        </w:trPr>
        <w:tc>
          <w:tcPr>
            <w:tcW w:w="2813"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r>
              <w:rPr>
                <w:rFonts w:ascii="Calibri" w:hAnsi="Calibri" w:cs="Calibri"/>
                <w:color w:val="000000"/>
                <w:sz w:val="22"/>
              </w:rPr>
              <w:t>Azimuth uncertainty</w:t>
            </w:r>
          </w:p>
        </w:tc>
        <w:tc>
          <w:tcPr>
            <w:tcW w:w="857"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0.57 </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0.85 </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0.46 </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0.48 </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0.65 </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0.81 </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0.61 </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0.50 </w:t>
            </w:r>
          </w:p>
        </w:tc>
      </w:tr>
      <w:tr w:rsidR="00607E9F">
        <w:trPr>
          <w:trHeight w:val="290"/>
        </w:trPr>
        <w:tc>
          <w:tcPr>
            <w:tcW w:w="2813"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857"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r>
      <w:tr w:rsidR="00607E9F">
        <w:trPr>
          <w:trHeight w:val="290"/>
        </w:trPr>
        <w:tc>
          <w:tcPr>
            <w:tcW w:w="2813"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b/>
                <w:color w:val="000000"/>
                <w:sz w:val="22"/>
              </w:rPr>
            </w:pPr>
            <w:r>
              <w:rPr>
                <w:rFonts w:ascii="Calibri" w:hAnsi="Calibri" w:cs="Calibri"/>
                <w:b/>
                <w:color w:val="000000"/>
                <w:sz w:val="22"/>
                <w:lang w:val="en-US"/>
              </w:rPr>
              <w:t>Instrument accuracy (Degrees)</w:t>
            </w:r>
          </w:p>
        </w:tc>
        <w:tc>
          <w:tcPr>
            <w:tcW w:w="857"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0.5</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0.5</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0.5</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0.5</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0.5</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0.5</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0.5</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0.5</w:t>
            </w:r>
          </w:p>
        </w:tc>
      </w:tr>
      <w:tr w:rsidR="00607E9F">
        <w:trPr>
          <w:trHeight w:val="290"/>
        </w:trPr>
        <w:tc>
          <w:tcPr>
            <w:tcW w:w="2813"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857"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r>
      <w:tr w:rsidR="00607E9F">
        <w:trPr>
          <w:trHeight w:val="290"/>
        </w:trPr>
        <w:tc>
          <w:tcPr>
            <w:tcW w:w="2813"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r>
              <w:rPr>
                <w:rFonts w:ascii="Calibri" w:hAnsi="Calibri" w:cs="Calibri"/>
                <w:color w:val="000000"/>
                <w:sz w:val="22"/>
                <w:lang w:val="en-US"/>
              </w:rPr>
              <w:t>Total uncertainty</w:t>
            </w:r>
          </w:p>
        </w:tc>
        <w:tc>
          <w:tcPr>
            <w:tcW w:w="857"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7.37 </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7.92 </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7.14 </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7.19 </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7.52 </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7.85 </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7.46 </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7.23 </w:t>
            </w:r>
          </w:p>
        </w:tc>
      </w:tr>
      <w:tr w:rsidR="00607E9F">
        <w:trPr>
          <w:trHeight w:val="290"/>
        </w:trPr>
        <w:tc>
          <w:tcPr>
            <w:tcW w:w="2813"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r>
              <w:rPr>
                <w:rFonts w:ascii="Calibri" w:hAnsi="Calibri" w:cs="Calibri"/>
                <w:color w:val="000000"/>
                <w:sz w:val="22"/>
                <w:lang w:val="en-US"/>
              </w:rPr>
              <w:t>Lower bound</w:t>
            </w:r>
          </w:p>
        </w:tc>
        <w:tc>
          <w:tcPr>
            <w:tcW w:w="857"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147.63 </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162.08 </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220.36 </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224.81 </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248.48 </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258.15 </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264.54 </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269.77 </w:t>
            </w:r>
          </w:p>
        </w:tc>
      </w:tr>
      <w:tr w:rsidR="00607E9F">
        <w:trPr>
          <w:trHeight w:val="290"/>
        </w:trPr>
        <w:tc>
          <w:tcPr>
            <w:tcW w:w="2813"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r>
              <w:rPr>
                <w:rFonts w:ascii="Calibri" w:hAnsi="Calibri" w:cs="Calibri"/>
                <w:color w:val="000000"/>
                <w:sz w:val="22"/>
                <w:lang w:val="en-US"/>
              </w:rPr>
              <w:t>Middle</w:t>
            </w:r>
          </w:p>
        </w:tc>
        <w:tc>
          <w:tcPr>
            <w:tcW w:w="857"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155.00</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170.00</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227.50</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232.00</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256.00</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266.00</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272.00</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277.00</w:t>
            </w:r>
          </w:p>
        </w:tc>
      </w:tr>
      <w:tr w:rsidR="00607E9F">
        <w:trPr>
          <w:trHeight w:val="290"/>
        </w:trPr>
        <w:tc>
          <w:tcPr>
            <w:tcW w:w="2813"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r>
              <w:rPr>
                <w:rFonts w:ascii="Calibri" w:hAnsi="Calibri" w:cs="Calibri"/>
                <w:color w:val="000000"/>
                <w:sz w:val="22"/>
                <w:lang w:val="en-US"/>
              </w:rPr>
              <w:t>Upper bound</w:t>
            </w:r>
          </w:p>
        </w:tc>
        <w:tc>
          <w:tcPr>
            <w:tcW w:w="857"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162.37 </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177.92 </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234.64 </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239.19 </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263.52 </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273.85 </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279.46 </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284.23 </w:t>
            </w:r>
          </w:p>
        </w:tc>
      </w:tr>
      <w:tr w:rsidR="00607E9F">
        <w:trPr>
          <w:trHeight w:val="290"/>
        </w:trPr>
        <w:tc>
          <w:tcPr>
            <w:tcW w:w="2813"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r>
              <w:rPr>
                <w:rFonts w:ascii="Calibri" w:hAnsi="Calibri" w:cs="Calibri"/>
                <w:color w:val="000000"/>
                <w:sz w:val="22"/>
                <w:lang w:val="en-US"/>
              </w:rPr>
              <w:t>OPPOSITE direction</w:t>
            </w:r>
          </w:p>
        </w:tc>
        <w:tc>
          <w:tcPr>
            <w:tcW w:w="857"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327.63</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342.08</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40.36</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44.81</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68.48</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78.15</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84.54</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89.76</w:t>
            </w:r>
          </w:p>
        </w:tc>
      </w:tr>
      <w:tr w:rsidR="00607E9F">
        <w:trPr>
          <w:trHeight w:val="290"/>
        </w:trPr>
        <w:tc>
          <w:tcPr>
            <w:tcW w:w="2813"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r>
              <w:rPr>
                <w:rFonts w:ascii="Calibri" w:hAnsi="Calibri" w:cs="Calibri"/>
                <w:color w:val="000000"/>
                <w:sz w:val="22"/>
                <w:lang w:val="en-US"/>
              </w:rPr>
              <w:t>OPPOSITE direction</w:t>
            </w:r>
          </w:p>
        </w:tc>
        <w:tc>
          <w:tcPr>
            <w:tcW w:w="857"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335</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350</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47.5</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52</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76</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86</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92</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97</w:t>
            </w:r>
          </w:p>
        </w:tc>
      </w:tr>
      <w:tr w:rsidR="00607E9F">
        <w:trPr>
          <w:trHeight w:val="290"/>
        </w:trPr>
        <w:tc>
          <w:tcPr>
            <w:tcW w:w="2813"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r>
              <w:rPr>
                <w:rFonts w:ascii="Calibri" w:hAnsi="Calibri" w:cs="Calibri"/>
                <w:color w:val="000000"/>
                <w:sz w:val="22"/>
                <w:lang w:val="en-US"/>
              </w:rPr>
              <w:t>OPPOSITE direction</w:t>
            </w:r>
          </w:p>
        </w:tc>
        <w:tc>
          <w:tcPr>
            <w:tcW w:w="857"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342.37</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357.92</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54.64</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59.18</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83.52</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93.85</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99.45</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104.23</w:t>
            </w:r>
          </w:p>
        </w:tc>
      </w:tr>
      <w:tr w:rsidR="00607E9F">
        <w:trPr>
          <w:trHeight w:val="290"/>
        </w:trPr>
        <w:tc>
          <w:tcPr>
            <w:tcW w:w="2813"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857"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r>
      <w:tr w:rsidR="00607E9F" w:rsidRPr="00B217BC">
        <w:trPr>
          <w:trHeight w:val="290"/>
        </w:trPr>
        <w:tc>
          <w:tcPr>
            <w:tcW w:w="2813"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857" w:type="dxa"/>
            <w:tcBorders>
              <w:top w:val="nil"/>
              <w:left w:val="nil"/>
              <w:bottom w:val="nil"/>
              <w:right w:val="nil"/>
            </w:tcBorders>
            <w:noWrap/>
            <w:tcMar>
              <w:top w:w="10" w:type="dxa"/>
              <w:left w:w="10" w:type="dxa"/>
              <w:right w:w="10" w:type="dxa"/>
            </w:tcMar>
            <w:vAlign w:val="bottom"/>
          </w:tcPr>
          <w:p w:rsidR="00607E9F" w:rsidRPr="00B217BC" w:rsidRDefault="00607E9F">
            <w:pPr>
              <w:jc w:val="left"/>
              <w:textAlignment w:val="bottom"/>
              <w:rPr>
                <w:rFonts w:ascii="Calibri" w:hAnsi="Calibri" w:cs="Calibri"/>
                <w:color w:val="3366FF"/>
                <w:sz w:val="22"/>
              </w:rPr>
            </w:pPr>
            <w:r w:rsidRPr="00B217BC">
              <w:rPr>
                <w:rFonts w:ascii="Calibri" w:hAnsi="Calibri" w:cs="Calibri"/>
                <w:color w:val="3366FF"/>
                <w:sz w:val="22"/>
                <w:lang w:val="en-US"/>
              </w:rPr>
              <w:t>Stone 11</w:t>
            </w:r>
          </w:p>
        </w:tc>
        <w:tc>
          <w:tcPr>
            <w:tcW w:w="809" w:type="dxa"/>
            <w:tcBorders>
              <w:top w:val="nil"/>
              <w:left w:val="nil"/>
              <w:bottom w:val="nil"/>
              <w:right w:val="nil"/>
            </w:tcBorders>
            <w:noWrap/>
            <w:tcMar>
              <w:top w:w="10" w:type="dxa"/>
              <w:left w:w="10" w:type="dxa"/>
              <w:right w:w="10" w:type="dxa"/>
            </w:tcMar>
            <w:vAlign w:val="bottom"/>
          </w:tcPr>
          <w:p w:rsidR="00607E9F" w:rsidRPr="00B217BC" w:rsidRDefault="00607E9F">
            <w:pPr>
              <w:jc w:val="left"/>
              <w:textAlignment w:val="bottom"/>
              <w:rPr>
                <w:rFonts w:ascii="Calibri" w:hAnsi="Calibri" w:cs="Calibri"/>
                <w:color w:val="3366FF"/>
                <w:sz w:val="22"/>
              </w:rPr>
            </w:pPr>
            <w:r w:rsidRPr="00B217BC">
              <w:rPr>
                <w:rFonts w:ascii="Calibri" w:hAnsi="Calibri" w:cs="Calibri"/>
                <w:color w:val="3366FF"/>
                <w:sz w:val="22"/>
                <w:lang w:val="en-US"/>
              </w:rPr>
              <w:t>Stone 12</w:t>
            </w:r>
          </w:p>
        </w:tc>
        <w:tc>
          <w:tcPr>
            <w:tcW w:w="809" w:type="dxa"/>
            <w:tcBorders>
              <w:top w:val="nil"/>
              <w:left w:val="nil"/>
              <w:bottom w:val="nil"/>
              <w:right w:val="nil"/>
            </w:tcBorders>
            <w:noWrap/>
            <w:tcMar>
              <w:top w:w="10" w:type="dxa"/>
              <w:left w:w="10" w:type="dxa"/>
              <w:right w:w="10" w:type="dxa"/>
            </w:tcMar>
            <w:vAlign w:val="bottom"/>
          </w:tcPr>
          <w:p w:rsidR="00607E9F" w:rsidRPr="00B217BC" w:rsidRDefault="00607E9F">
            <w:pPr>
              <w:jc w:val="left"/>
              <w:textAlignment w:val="bottom"/>
              <w:rPr>
                <w:rFonts w:ascii="Calibri" w:hAnsi="Calibri" w:cs="Calibri"/>
                <w:color w:val="3366FF"/>
                <w:sz w:val="22"/>
              </w:rPr>
            </w:pPr>
            <w:r w:rsidRPr="00B217BC">
              <w:rPr>
                <w:rFonts w:ascii="Calibri" w:hAnsi="Calibri" w:cs="Calibri"/>
                <w:color w:val="3366FF"/>
                <w:sz w:val="22"/>
                <w:lang w:val="en-US"/>
              </w:rPr>
              <w:t>Stone 13</w:t>
            </w:r>
          </w:p>
        </w:tc>
        <w:tc>
          <w:tcPr>
            <w:tcW w:w="809" w:type="dxa"/>
            <w:tcBorders>
              <w:top w:val="nil"/>
              <w:left w:val="nil"/>
              <w:bottom w:val="nil"/>
              <w:right w:val="nil"/>
            </w:tcBorders>
            <w:noWrap/>
            <w:tcMar>
              <w:top w:w="10" w:type="dxa"/>
              <w:left w:w="10" w:type="dxa"/>
              <w:right w:w="10" w:type="dxa"/>
            </w:tcMar>
            <w:vAlign w:val="bottom"/>
          </w:tcPr>
          <w:p w:rsidR="00607E9F" w:rsidRPr="00B217BC" w:rsidRDefault="00607E9F">
            <w:pPr>
              <w:jc w:val="left"/>
              <w:textAlignment w:val="bottom"/>
              <w:rPr>
                <w:rFonts w:ascii="Calibri" w:hAnsi="Calibri" w:cs="Calibri"/>
                <w:color w:val="3366FF"/>
                <w:sz w:val="22"/>
              </w:rPr>
            </w:pPr>
            <w:r w:rsidRPr="00B217BC">
              <w:rPr>
                <w:rFonts w:ascii="Calibri" w:hAnsi="Calibri" w:cs="Calibri"/>
                <w:color w:val="3366FF"/>
                <w:sz w:val="22"/>
                <w:lang w:val="en-US"/>
              </w:rPr>
              <w:t>Stone 14</w:t>
            </w:r>
          </w:p>
        </w:tc>
        <w:tc>
          <w:tcPr>
            <w:tcW w:w="809" w:type="dxa"/>
            <w:tcBorders>
              <w:top w:val="nil"/>
              <w:left w:val="nil"/>
              <w:bottom w:val="nil"/>
              <w:right w:val="nil"/>
            </w:tcBorders>
            <w:noWrap/>
            <w:tcMar>
              <w:top w:w="10" w:type="dxa"/>
              <w:left w:w="10" w:type="dxa"/>
              <w:right w:w="10" w:type="dxa"/>
            </w:tcMar>
            <w:vAlign w:val="bottom"/>
          </w:tcPr>
          <w:p w:rsidR="00607E9F" w:rsidRPr="00B217BC" w:rsidRDefault="00607E9F">
            <w:pPr>
              <w:jc w:val="left"/>
              <w:textAlignment w:val="bottom"/>
              <w:rPr>
                <w:rFonts w:ascii="Calibri" w:hAnsi="Calibri" w:cs="Calibri"/>
                <w:color w:val="3366FF"/>
                <w:sz w:val="22"/>
              </w:rPr>
            </w:pPr>
            <w:r w:rsidRPr="00B217BC">
              <w:rPr>
                <w:rFonts w:ascii="Calibri" w:hAnsi="Calibri" w:cs="Calibri"/>
                <w:color w:val="3366FF"/>
                <w:sz w:val="22"/>
                <w:lang w:val="en-US"/>
              </w:rPr>
              <w:t>Stone 15</w:t>
            </w:r>
          </w:p>
        </w:tc>
        <w:tc>
          <w:tcPr>
            <w:tcW w:w="809" w:type="dxa"/>
            <w:tcBorders>
              <w:top w:val="nil"/>
              <w:left w:val="nil"/>
              <w:bottom w:val="nil"/>
              <w:right w:val="nil"/>
            </w:tcBorders>
            <w:noWrap/>
            <w:tcMar>
              <w:top w:w="10" w:type="dxa"/>
              <w:left w:w="10" w:type="dxa"/>
              <w:right w:w="10" w:type="dxa"/>
            </w:tcMar>
            <w:vAlign w:val="bottom"/>
          </w:tcPr>
          <w:p w:rsidR="00607E9F" w:rsidRPr="00B217BC" w:rsidRDefault="00607E9F">
            <w:pPr>
              <w:jc w:val="left"/>
              <w:textAlignment w:val="bottom"/>
              <w:rPr>
                <w:rFonts w:ascii="Calibri" w:hAnsi="Calibri" w:cs="Calibri"/>
                <w:color w:val="3366FF"/>
                <w:sz w:val="22"/>
              </w:rPr>
            </w:pPr>
            <w:r w:rsidRPr="00B217BC">
              <w:rPr>
                <w:rFonts w:ascii="Calibri" w:hAnsi="Calibri" w:cs="Calibri"/>
                <w:color w:val="3366FF"/>
                <w:sz w:val="22"/>
                <w:lang w:val="en-US"/>
              </w:rPr>
              <w:t>Stone 16</w:t>
            </w:r>
          </w:p>
        </w:tc>
        <w:tc>
          <w:tcPr>
            <w:tcW w:w="809" w:type="dxa"/>
            <w:tcBorders>
              <w:top w:val="nil"/>
              <w:left w:val="nil"/>
              <w:bottom w:val="nil"/>
              <w:right w:val="nil"/>
            </w:tcBorders>
            <w:noWrap/>
            <w:tcMar>
              <w:top w:w="10" w:type="dxa"/>
              <w:left w:w="10" w:type="dxa"/>
              <w:right w:w="10" w:type="dxa"/>
            </w:tcMar>
            <w:vAlign w:val="bottom"/>
          </w:tcPr>
          <w:p w:rsidR="00607E9F" w:rsidRPr="00B217BC" w:rsidRDefault="00607E9F">
            <w:pPr>
              <w:jc w:val="left"/>
              <w:textAlignment w:val="bottom"/>
              <w:rPr>
                <w:rFonts w:ascii="Calibri" w:hAnsi="Calibri" w:cs="Calibri"/>
                <w:color w:val="3366FF"/>
                <w:sz w:val="22"/>
              </w:rPr>
            </w:pPr>
            <w:r w:rsidRPr="00B217BC">
              <w:rPr>
                <w:rFonts w:ascii="Calibri" w:hAnsi="Calibri" w:cs="Calibri"/>
                <w:color w:val="3366FF"/>
                <w:sz w:val="22"/>
                <w:lang w:val="en-US"/>
              </w:rPr>
              <w:t>Stone 17</w:t>
            </w:r>
          </w:p>
        </w:tc>
        <w:tc>
          <w:tcPr>
            <w:tcW w:w="809" w:type="dxa"/>
            <w:tcBorders>
              <w:top w:val="nil"/>
              <w:left w:val="nil"/>
              <w:bottom w:val="nil"/>
              <w:right w:val="nil"/>
            </w:tcBorders>
            <w:noWrap/>
            <w:tcMar>
              <w:top w:w="10" w:type="dxa"/>
              <w:left w:w="10" w:type="dxa"/>
              <w:right w:w="10" w:type="dxa"/>
            </w:tcMar>
            <w:vAlign w:val="bottom"/>
          </w:tcPr>
          <w:p w:rsidR="00607E9F" w:rsidRPr="00B217BC" w:rsidRDefault="00607E9F">
            <w:pPr>
              <w:jc w:val="left"/>
              <w:textAlignment w:val="bottom"/>
              <w:rPr>
                <w:rFonts w:ascii="Calibri" w:hAnsi="Calibri" w:cs="Calibri"/>
                <w:color w:val="3366FF"/>
                <w:sz w:val="22"/>
              </w:rPr>
            </w:pPr>
            <w:r w:rsidRPr="00B217BC">
              <w:rPr>
                <w:rFonts w:ascii="Calibri" w:hAnsi="Calibri" w:cs="Calibri"/>
                <w:color w:val="3366FF"/>
                <w:sz w:val="22"/>
                <w:lang w:val="en-US"/>
              </w:rPr>
              <w:t>Stone 18</w:t>
            </w:r>
          </w:p>
        </w:tc>
      </w:tr>
      <w:tr w:rsidR="00607E9F">
        <w:trPr>
          <w:trHeight w:val="290"/>
        </w:trPr>
        <w:tc>
          <w:tcPr>
            <w:tcW w:w="2813"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r>
              <w:rPr>
                <w:rFonts w:ascii="Calibri" w:hAnsi="Calibri" w:cs="Calibri"/>
                <w:color w:val="000000"/>
                <w:sz w:val="22"/>
                <w:lang w:val="en-US"/>
              </w:rPr>
              <w:t>Stone width (m)</w:t>
            </w:r>
          </w:p>
        </w:tc>
        <w:tc>
          <w:tcPr>
            <w:tcW w:w="857"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0.74</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1.4</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1.92</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0.88</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1.11</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1.72</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1.19</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0.98</w:t>
            </w:r>
          </w:p>
        </w:tc>
      </w:tr>
      <w:tr w:rsidR="00607E9F">
        <w:trPr>
          <w:trHeight w:val="290"/>
        </w:trPr>
        <w:tc>
          <w:tcPr>
            <w:tcW w:w="2813"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r>
              <w:rPr>
                <w:rFonts w:ascii="Calibri" w:hAnsi="Calibri" w:cs="Calibri"/>
                <w:color w:val="000000"/>
                <w:sz w:val="22"/>
                <w:lang w:val="en-US"/>
              </w:rPr>
              <w:t>Stone breadth</w:t>
            </w:r>
            <w:r>
              <w:rPr>
                <w:rFonts w:ascii="Calibri" w:hAnsi="Calibri" w:cs="Calibri"/>
                <w:color w:val="000000"/>
                <w:sz w:val="22"/>
              </w:rPr>
              <w:t xml:space="preserve"> </w:t>
            </w:r>
            <w:r>
              <w:rPr>
                <w:rFonts w:ascii="Calibri" w:hAnsi="Calibri" w:cs="Calibri"/>
                <w:color w:val="000000"/>
                <w:sz w:val="22"/>
                <w:lang w:val="en-US"/>
              </w:rPr>
              <w:t>(m)</w:t>
            </w:r>
          </w:p>
        </w:tc>
        <w:tc>
          <w:tcPr>
            <w:tcW w:w="857"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0.43</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0.22</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0.24</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0.46</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0.24</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0.23</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0.42</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0.23</w:t>
            </w:r>
          </w:p>
        </w:tc>
      </w:tr>
      <w:tr w:rsidR="00607E9F">
        <w:trPr>
          <w:trHeight w:val="290"/>
        </w:trPr>
        <w:tc>
          <w:tcPr>
            <w:tcW w:w="2813"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r>
              <w:rPr>
                <w:rFonts w:ascii="Calibri" w:hAnsi="Calibri" w:cs="Calibri"/>
                <w:color w:val="000000"/>
                <w:sz w:val="22"/>
              </w:rPr>
              <w:t>M</w:t>
            </w:r>
            <w:r>
              <w:rPr>
                <w:rFonts w:ascii="Calibri" w:hAnsi="Calibri" w:cs="Calibri"/>
                <w:color w:val="000000"/>
                <w:sz w:val="22"/>
                <w:lang w:val="en-US"/>
              </w:rPr>
              <w:t>easured a</w:t>
            </w:r>
            <w:r>
              <w:rPr>
                <w:rFonts w:ascii="Calibri" w:hAnsi="Calibri" w:cs="Calibri"/>
                <w:color w:val="000000"/>
                <w:sz w:val="22"/>
              </w:rPr>
              <w:t>zimuth</w:t>
            </w:r>
          </w:p>
        </w:tc>
        <w:tc>
          <w:tcPr>
            <w:tcW w:w="857"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298</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300</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334</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349</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356</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1.5</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6.5</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21</w:t>
            </w:r>
          </w:p>
        </w:tc>
      </w:tr>
      <w:tr w:rsidR="00607E9F">
        <w:trPr>
          <w:trHeight w:val="290"/>
        </w:trPr>
        <w:tc>
          <w:tcPr>
            <w:tcW w:w="2813"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857"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r>
      <w:tr w:rsidR="00607E9F">
        <w:trPr>
          <w:trHeight w:val="290"/>
        </w:trPr>
        <w:tc>
          <w:tcPr>
            <w:tcW w:w="2813"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b/>
                <w:color w:val="000000"/>
                <w:sz w:val="22"/>
              </w:rPr>
            </w:pPr>
            <w:r>
              <w:rPr>
                <w:rFonts w:ascii="Calibri" w:hAnsi="Calibri" w:cs="Calibri"/>
                <w:b/>
                <w:color w:val="000000"/>
                <w:sz w:val="22"/>
                <w:lang w:val="en-US"/>
              </w:rPr>
              <w:t>Measurement error</w:t>
            </w:r>
          </w:p>
        </w:tc>
        <w:tc>
          <w:tcPr>
            <w:tcW w:w="857"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r>
      <w:tr w:rsidR="00607E9F">
        <w:trPr>
          <w:trHeight w:val="290"/>
        </w:trPr>
        <w:tc>
          <w:tcPr>
            <w:tcW w:w="2813"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r>
              <w:rPr>
                <w:rFonts w:ascii="Calibri" w:hAnsi="Calibri" w:cs="Calibri"/>
                <w:color w:val="000000"/>
                <w:sz w:val="22"/>
                <w:lang w:val="en-US"/>
              </w:rPr>
              <w:t>Range (m)</w:t>
            </w:r>
          </w:p>
        </w:tc>
        <w:tc>
          <w:tcPr>
            <w:tcW w:w="857"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51.93</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51.72</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51.74</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51.96</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51.74</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51.73</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51.92</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51.73</w:t>
            </w:r>
          </w:p>
        </w:tc>
      </w:tr>
      <w:tr w:rsidR="00607E9F">
        <w:trPr>
          <w:trHeight w:val="290"/>
        </w:trPr>
        <w:tc>
          <w:tcPr>
            <w:tcW w:w="2813"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r>
              <w:rPr>
                <w:rFonts w:ascii="Calibri" w:hAnsi="Calibri" w:cs="Calibri"/>
                <w:color w:val="000000"/>
                <w:sz w:val="22"/>
                <w:lang w:val="en-US"/>
              </w:rPr>
              <w:t>Range uncertainty</w:t>
            </w:r>
            <w:r>
              <w:rPr>
                <w:rFonts w:ascii="Calibri" w:hAnsi="Calibri" w:cs="Calibri"/>
                <w:color w:val="000000"/>
                <w:sz w:val="22"/>
              </w:rPr>
              <w:t xml:space="preserve"> </w:t>
            </w:r>
            <w:r>
              <w:rPr>
                <w:rFonts w:ascii="Calibri" w:hAnsi="Calibri" w:cs="Calibri"/>
                <w:color w:val="000000"/>
                <w:sz w:val="22"/>
                <w:lang w:val="en-US"/>
              </w:rPr>
              <w:t>(m)</w:t>
            </w:r>
          </w:p>
        </w:tc>
        <w:tc>
          <w:tcPr>
            <w:tcW w:w="857"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0.25</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0.25</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0.25</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0.25</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0.25</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0.25</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0.25</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0.25</w:t>
            </w:r>
          </w:p>
        </w:tc>
      </w:tr>
      <w:tr w:rsidR="00607E9F">
        <w:trPr>
          <w:trHeight w:val="290"/>
        </w:trPr>
        <w:tc>
          <w:tcPr>
            <w:tcW w:w="2813"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r>
              <w:rPr>
                <w:rFonts w:ascii="Calibri" w:hAnsi="Calibri" w:cs="Calibri"/>
                <w:color w:val="000000"/>
                <w:sz w:val="22"/>
              </w:rPr>
              <w:t>N</w:t>
            </w:r>
            <w:r>
              <w:rPr>
                <w:rFonts w:ascii="Calibri" w:hAnsi="Calibri" w:cs="Calibri"/>
                <w:color w:val="000000"/>
                <w:sz w:val="22"/>
                <w:lang w:val="en-US"/>
              </w:rPr>
              <w:t>ear width uncertainty</w:t>
            </w:r>
            <w:r>
              <w:rPr>
                <w:rFonts w:ascii="Calibri" w:hAnsi="Calibri" w:cs="Calibri"/>
                <w:color w:val="000000"/>
                <w:sz w:val="22"/>
              </w:rPr>
              <w:t xml:space="preserve"> </w:t>
            </w:r>
            <w:r>
              <w:rPr>
                <w:rFonts w:ascii="Calibri" w:hAnsi="Calibri" w:cs="Calibri"/>
                <w:color w:val="000000"/>
                <w:sz w:val="22"/>
                <w:lang w:val="en-US"/>
              </w:rPr>
              <w:t>(m)</w:t>
            </w:r>
          </w:p>
        </w:tc>
        <w:tc>
          <w:tcPr>
            <w:tcW w:w="857"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0.37</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0.7</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0.96</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0.44</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0.555</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0.86</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0.595</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0.49</w:t>
            </w:r>
          </w:p>
        </w:tc>
      </w:tr>
      <w:tr w:rsidR="00607E9F">
        <w:trPr>
          <w:trHeight w:val="290"/>
        </w:trPr>
        <w:tc>
          <w:tcPr>
            <w:tcW w:w="2813"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r>
              <w:rPr>
                <w:rFonts w:ascii="Calibri" w:hAnsi="Calibri" w:cs="Calibri"/>
                <w:color w:val="000000"/>
                <w:sz w:val="22"/>
              </w:rPr>
              <w:t>F</w:t>
            </w:r>
            <w:r>
              <w:rPr>
                <w:rFonts w:ascii="Calibri" w:hAnsi="Calibri" w:cs="Calibri"/>
                <w:color w:val="000000"/>
                <w:sz w:val="22"/>
                <w:lang w:val="en-US"/>
              </w:rPr>
              <w:t>ar width uncertainty</w:t>
            </w:r>
            <w:r>
              <w:rPr>
                <w:rFonts w:ascii="Calibri" w:hAnsi="Calibri" w:cs="Calibri"/>
                <w:color w:val="000000"/>
                <w:sz w:val="22"/>
              </w:rPr>
              <w:t xml:space="preserve"> </w:t>
            </w:r>
            <w:r>
              <w:rPr>
                <w:rFonts w:ascii="Calibri" w:hAnsi="Calibri" w:cs="Calibri"/>
                <w:color w:val="000000"/>
                <w:sz w:val="22"/>
                <w:lang w:val="en-US"/>
              </w:rPr>
              <w:t>(</w:t>
            </w:r>
            <w:r>
              <w:rPr>
                <w:rFonts w:ascii="Calibri" w:hAnsi="Calibri" w:cs="Calibri"/>
                <w:color w:val="000000"/>
                <w:sz w:val="22"/>
              </w:rPr>
              <w:t>m</w:t>
            </w:r>
            <w:r>
              <w:rPr>
                <w:rFonts w:ascii="Calibri" w:hAnsi="Calibri" w:cs="Calibri"/>
                <w:color w:val="000000"/>
                <w:sz w:val="22"/>
                <w:lang w:val="en-US"/>
              </w:rPr>
              <w:t>)</w:t>
            </w:r>
          </w:p>
        </w:tc>
        <w:tc>
          <w:tcPr>
            <w:tcW w:w="857"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5.19</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5.17</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5.17</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5.20</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5.17</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5.17</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5.19</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5.17</w:t>
            </w:r>
          </w:p>
        </w:tc>
      </w:tr>
      <w:tr w:rsidR="00607E9F">
        <w:trPr>
          <w:trHeight w:val="290"/>
        </w:trPr>
        <w:tc>
          <w:tcPr>
            <w:tcW w:w="2813"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r>
              <w:rPr>
                <w:rFonts w:ascii="Calibri" w:hAnsi="Calibri" w:cs="Calibri"/>
                <w:color w:val="000000"/>
                <w:sz w:val="22"/>
              </w:rPr>
              <w:t>Azimuth</w:t>
            </w:r>
            <w:r>
              <w:rPr>
                <w:rFonts w:ascii="Calibri" w:hAnsi="Calibri" w:cs="Calibri"/>
                <w:color w:val="000000"/>
                <w:sz w:val="22"/>
                <w:lang w:val="en-US"/>
              </w:rPr>
              <w:t xml:space="preserve"> uncertainty </w:t>
            </w:r>
          </w:p>
        </w:tc>
        <w:tc>
          <w:tcPr>
            <w:tcW w:w="857"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6.14 </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6.51 </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6.79 </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6.22 </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6.35 </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6.68 </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6.39 </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6.28 </w:t>
            </w:r>
          </w:p>
        </w:tc>
      </w:tr>
      <w:tr w:rsidR="00607E9F">
        <w:trPr>
          <w:trHeight w:val="290"/>
        </w:trPr>
        <w:tc>
          <w:tcPr>
            <w:tcW w:w="2813"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857"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r>
      <w:tr w:rsidR="00607E9F">
        <w:trPr>
          <w:trHeight w:val="290"/>
        </w:trPr>
        <w:tc>
          <w:tcPr>
            <w:tcW w:w="2813"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b/>
                <w:color w:val="000000"/>
                <w:sz w:val="22"/>
              </w:rPr>
            </w:pPr>
            <w:r>
              <w:rPr>
                <w:rFonts w:ascii="Calibri" w:hAnsi="Calibri" w:cs="Calibri"/>
                <w:b/>
                <w:color w:val="000000"/>
                <w:sz w:val="22"/>
                <w:lang w:val="en-US"/>
              </w:rPr>
              <w:t>Stone width uncertainty</w:t>
            </w:r>
          </w:p>
        </w:tc>
        <w:tc>
          <w:tcPr>
            <w:tcW w:w="857"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r>
      <w:tr w:rsidR="00607E9F">
        <w:trPr>
          <w:trHeight w:val="290"/>
        </w:trPr>
        <w:tc>
          <w:tcPr>
            <w:tcW w:w="2813"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r>
              <w:rPr>
                <w:rFonts w:ascii="Calibri" w:hAnsi="Calibri" w:cs="Calibri"/>
                <w:color w:val="000000"/>
                <w:sz w:val="22"/>
                <w:lang w:val="en-US"/>
              </w:rPr>
              <w:t>Range (m)</w:t>
            </w:r>
          </w:p>
        </w:tc>
        <w:tc>
          <w:tcPr>
            <w:tcW w:w="857"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51.5</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51.5</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51.5</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51.5</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51.5</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51.5</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51.5</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51.5</w:t>
            </w:r>
          </w:p>
        </w:tc>
      </w:tr>
      <w:tr w:rsidR="00607E9F">
        <w:trPr>
          <w:trHeight w:val="290"/>
        </w:trPr>
        <w:tc>
          <w:tcPr>
            <w:tcW w:w="2813"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r>
              <w:rPr>
                <w:rFonts w:ascii="Calibri" w:hAnsi="Calibri" w:cs="Calibri"/>
                <w:color w:val="000000"/>
                <w:sz w:val="22"/>
                <w:lang w:val="en-US"/>
              </w:rPr>
              <w:t>Range uncertainty</w:t>
            </w:r>
            <w:r>
              <w:rPr>
                <w:rFonts w:ascii="Calibri" w:hAnsi="Calibri" w:cs="Calibri"/>
                <w:color w:val="000000"/>
                <w:sz w:val="22"/>
              </w:rPr>
              <w:t xml:space="preserve"> </w:t>
            </w:r>
            <w:r>
              <w:rPr>
                <w:rFonts w:ascii="Calibri" w:hAnsi="Calibri" w:cs="Calibri"/>
                <w:color w:val="000000"/>
                <w:sz w:val="22"/>
                <w:lang w:val="en-US"/>
              </w:rPr>
              <w:t>(m)</w:t>
            </w:r>
          </w:p>
        </w:tc>
        <w:tc>
          <w:tcPr>
            <w:tcW w:w="857"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w:t>
            </w:r>
          </w:p>
        </w:tc>
      </w:tr>
      <w:tr w:rsidR="00607E9F">
        <w:trPr>
          <w:trHeight w:val="290"/>
        </w:trPr>
        <w:tc>
          <w:tcPr>
            <w:tcW w:w="2813"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r>
              <w:rPr>
                <w:rFonts w:ascii="Calibri" w:hAnsi="Calibri" w:cs="Calibri"/>
                <w:color w:val="000000"/>
                <w:sz w:val="22"/>
              </w:rPr>
              <w:t>N</w:t>
            </w:r>
            <w:r>
              <w:rPr>
                <w:rFonts w:ascii="Calibri" w:hAnsi="Calibri" w:cs="Calibri"/>
                <w:color w:val="000000"/>
                <w:sz w:val="22"/>
                <w:lang w:val="en-US"/>
              </w:rPr>
              <w:t>ear width uncertainty</w:t>
            </w:r>
            <w:r>
              <w:rPr>
                <w:rFonts w:ascii="Calibri" w:hAnsi="Calibri" w:cs="Calibri"/>
                <w:color w:val="000000"/>
                <w:sz w:val="22"/>
              </w:rPr>
              <w:t xml:space="preserve"> </w:t>
            </w:r>
            <w:r>
              <w:rPr>
                <w:rFonts w:ascii="Calibri" w:hAnsi="Calibri" w:cs="Calibri"/>
                <w:color w:val="000000"/>
                <w:sz w:val="22"/>
                <w:lang w:val="en-US"/>
              </w:rPr>
              <w:t>(m)</w:t>
            </w:r>
          </w:p>
        </w:tc>
        <w:tc>
          <w:tcPr>
            <w:tcW w:w="857"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w:t>
            </w:r>
          </w:p>
        </w:tc>
      </w:tr>
      <w:tr w:rsidR="00607E9F">
        <w:trPr>
          <w:trHeight w:val="290"/>
        </w:trPr>
        <w:tc>
          <w:tcPr>
            <w:tcW w:w="2813"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r>
              <w:rPr>
                <w:rFonts w:ascii="Calibri" w:hAnsi="Calibri" w:cs="Calibri"/>
                <w:color w:val="000000"/>
                <w:sz w:val="22"/>
              </w:rPr>
              <w:t>F</w:t>
            </w:r>
            <w:r>
              <w:rPr>
                <w:rFonts w:ascii="Calibri" w:hAnsi="Calibri" w:cs="Calibri"/>
                <w:color w:val="000000"/>
                <w:sz w:val="22"/>
                <w:lang w:val="en-US"/>
              </w:rPr>
              <w:t>ar width uncertainty</w:t>
            </w:r>
            <w:r>
              <w:rPr>
                <w:rFonts w:ascii="Calibri" w:hAnsi="Calibri" w:cs="Calibri"/>
                <w:color w:val="000000"/>
                <w:sz w:val="22"/>
              </w:rPr>
              <w:t xml:space="preserve"> </w:t>
            </w:r>
            <w:r>
              <w:rPr>
                <w:rFonts w:ascii="Calibri" w:hAnsi="Calibri" w:cs="Calibri"/>
                <w:color w:val="000000"/>
                <w:sz w:val="22"/>
                <w:lang w:val="en-US"/>
              </w:rPr>
              <w:t>(</w:t>
            </w:r>
            <w:r>
              <w:rPr>
                <w:rFonts w:ascii="Calibri" w:hAnsi="Calibri" w:cs="Calibri"/>
                <w:color w:val="000000"/>
                <w:sz w:val="22"/>
              </w:rPr>
              <w:t>m</w:t>
            </w:r>
            <w:r>
              <w:rPr>
                <w:rFonts w:ascii="Calibri" w:hAnsi="Calibri" w:cs="Calibri"/>
                <w:color w:val="000000"/>
                <w:sz w:val="22"/>
                <w:lang w:val="en-US"/>
              </w:rPr>
              <w:t>)</w:t>
            </w:r>
          </w:p>
        </w:tc>
        <w:tc>
          <w:tcPr>
            <w:tcW w:w="857"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0.37</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0.7</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0.96</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0.44</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0.555</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0.86</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0.595</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0.49</w:t>
            </w:r>
          </w:p>
        </w:tc>
      </w:tr>
      <w:tr w:rsidR="00607E9F">
        <w:trPr>
          <w:trHeight w:val="290"/>
        </w:trPr>
        <w:tc>
          <w:tcPr>
            <w:tcW w:w="2813"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857"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r>
      <w:tr w:rsidR="00607E9F">
        <w:trPr>
          <w:trHeight w:val="290"/>
        </w:trPr>
        <w:tc>
          <w:tcPr>
            <w:tcW w:w="2813"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r>
              <w:rPr>
                <w:rFonts w:ascii="Calibri" w:hAnsi="Calibri" w:cs="Calibri"/>
                <w:color w:val="000000"/>
                <w:sz w:val="22"/>
              </w:rPr>
              <w:t>Azimuth uncertainty</w:t>
            </w:r>
          </w:p>
        </w:tc>
        <w:tc>
          <w:tcPr>
            <w:tcW w:w="857"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0.41 </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0.78 </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1.07 </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0.49 </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0.62 </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0.96 </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0.66 </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0.55 </w:t>
            </w:r>
          </w:p>
        </w:tc>
      </w:tr>
      <w:tr w:rsidR="00607E9F">
        <w:trPr>
          <w:trHeight w:val="290"/>
        </w:trPr>
        <w:tc>
          <w:tcPr>
            <w:tcW w:w="2813"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857"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r>
      <w:tr w:rsidR="00607E9F">
        <w:trPr>
          <w:trHeight w:val="290"/>
        </w:trPr>
        <w:tc>
          <w:tcPr>
            <w:tcW w:w="2813"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b/>
                <w:color w:val="000000"/>
                <w:sz w:val="22"/>
              </w:rPr>
            </w:pPr>
            <w:r>
              <w:rPr>
                <w:rFonts w:ascii="Calibri" w:hAnsi="Calibri" w:cs="Calibri"/>
                <w:b/>
                <w:color w:val="000000"/>
                <w:sz w:val="22"/>
                <w:lang w:val="en-US"/>
              </w:rPr>
              <w:t>Instrument accuracy (Degrees)</w:t>
            </w:r>
          </w:p>
        </w:tc>
        <w:tc>
          <w:tcPr>
            <w:tcW w:w="857"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0.5</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0.5</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0.5</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0.5</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0.5</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0.5</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0.5</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0.5</w:t>
            </w:r>
          </w:p>
        </w:tc>
      </w:tr>
      <w:tr w:rsidR="00607E9F">
        <w:trPr>
          <w:trHeight w:val="290"/>
        </w:trPr>
        <w:tc>
          <w:tcPr>
            <w:tcW w:w="2813"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857"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r>
      <w:tr w:rsidR="00607E9F">
        <w:trPr>
          <w:trHeight w:val="290"/>
        </w:trPr>
        <w:tc>
          <w:tcPr>
            <w:tcW w:w="2813"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r>
              <w:rPr>
                <w:rFonts w:ascii="Calibri" w:hAnsi="Calibri" w:cs="Calibri"/>
                <w:color w:val="000000"/>
                <w:sz w:val="22"/>
                <w:lang w:val="en-US"/>
              </w:rPr>
              <w:t>Total uncertainty</w:t>
            </w:r>
          </w:p>
        </w:tc>
        <w:tc>
          <w:tcPr>
            <w:tcW w:w="857"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7.06 </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7.79 </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8.36 </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7.21 </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7.47 </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8.14 </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7.55 </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7.32 </w:t>
            </w:r>
          </w:p>
        </w:tc>
      </w:tr>
      <w:tr w:rsidR="00607E9F">
        <w:trPr>
          <w:trHeight w:val="290"/>
        </w:trPr>
        <w:tc>
          <w:tcPr>
            <w:tcW w:w="2813"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r>
              <w:rPr>
                <w:rFonts w:ascii="Calibri" w:hAnsi="Calibri" w:cs="Calibri"/>
                <w:color w:val="000000"/>
                <w:sz w:val="22"/>
                <w:lang w:val="en-US"/>
              </w:rPr>
              <w:t>Lower bound</w:t>
            </w:r>
          </w:p>
        </w:tc>
        <w:tc>
          <w:tcPr>
            <w:tcW w:w="857"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290.94 </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292.21 </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325.64 </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341.79 </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348.53 </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353.36 </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358.95 </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13.68 </w:t>
            </w:r>
          </w:p>
        </w:tc>
      </w:tr>
      <w:tr w:rsidR="00607E9F">
        <w:trPr>
          <w:trHeight w:val="290"/>
        </w:trPr>
        <w:tc>
          <w:tcPr>
            <w:tcW w:w="2813"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r>
              <w:rPr>
                <w:rFonts w:ascii="Calibri" w:hAnsi="Calibri" w:cs="Calibri"/>
                <w:color w:val="000000"/>
                <w:sz w:val="22"/>
                <w:lang w:val="en-US"/>
              </w:rPr>
              <w:t>Middle</w:t>
            </w:r>
          </w:p>
        </w:tc>
        <w:tc>
          <w:tcPr>
            <w:tcW w:w="857"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298.00</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300.00</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334.00</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349.00</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356.00</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1.50</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6.50</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21.00</w:t>
            </w:r>
          </w:p>
        </w:tc>
      </w:tr>
      <w:tr w:rsidR="00607E9F">
        <w:trPr>
          <w:trHeight w:val="290"/>
        </w:trPr>
        <w:tc>
          <w:tcPr>
            <w:tcW w:w="2813"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r>
              <w:rPr>
                <w:rFonts w:ascii="Calibri" w:hAnsi="Calibri" w:cs="Calibri"/>
                <w:color w:val="000000"/>
                <w:sz w:val="22"/>
                <w:lang w:val="en-US"/>
              </w:rPr>
              <w:t>Upper bound</w:t>
            </w:r>
          </w:p>
        </w:tc>
        <w:tc>
          <w:tcPr>
            <w:tcW w:w="857"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305.06 </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307.79 </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342.36 </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356.21 </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363.47 </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9.64 </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14.05 </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28.32 </w:t>
            </w:r>
          </w:p>
        </w:tc>
      </w:tr>
      <w:tr w:rsidR="00607E9F">
        <w:trPr>
          <w:trHeight w:val="290"/>
        </w:trPr>
        <w:tc>
          <w:tcPr>
            <w:tcW w:w="2813"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r>
              <w:rPr>
                <w:rFonts w:ascii="Calibri" w:hAnsi="Calibri" w:cs="Calibri"/>
                <w:color w:val="000000"/>
                <w:sz w:val="22"/>
                <w:lang w:val="en-US"/>
              </w:rPr>
              <w:t>OPPOSITE direction</w:t>
            </w:r>
          </w:p>
        </w:tc>
        <w:tc>
          <w:tcPr>
            <w:tcW w:w="857"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110.94</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112.21</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145.63</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161.79</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168.53</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173.36</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178.95</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193.67</w:t>
            </w:r>
          </w:p>
        </w:tc>
      </w:tr>
      <w:tr w:rsidR="00607E9F">
        <w:trPr>
          <w:trHeight w:val="290"/>
        </w:trPr>
        <w:tc>
          <w:tcPr>
            <w:tcW w:w="2813"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r>
              <w:rPr>
                <w:rFonts w:ascii="Calibri" w:hAnsi="Calibri" w:cs="Calibri"/>
                <w:color w:val="000000"/>
                <w:sz w:val="22"/>
                <w:lang w:val="en-US"/>
              </w:rPr>
              <w:t>OPPOSITE direction</w:t>
            </w:r>
          </w:p>
        </w:tc>
        <w:tc>
          <w:tcPr>
            <w:tcW w:w="857"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118</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120</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154</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169</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176</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181.5</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186.5</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201</w:t>
            </w:r>
          </w:p>
        </w:tc>
      </w:tr>
      <w:tr w:rsidR="00607E9F">
        <w:trPr>
          <w:trHeight w:val="290"/>
        </w:trPr>
        <w:tc>
          <w:tcPr>
            <w:tcW w:w="2813"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r>
              <w:rPr>
                <w:rFonts w:ascii="Calibri" w:hAnsi="Calibri" w:cs="Calibri"/>
                <w:color w:val="000000"/>
                <w:sz w:val="22"/>
                <w:lang w:val="en-US"/>
              </w:rPr>
              <w:t>OPPOSITE direction</w:t>
            </w:r>
          </w:p>
        </w:tc>
        <w:tc>
          <w:tcPr>
            <w:tcW w:w="857"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125.05</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127.79</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162.36</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176.21</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183.47</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189.64</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194.05</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208.32</w:t>
            </w:r>
          </w:p>
        </w:tc>
      </w:tr>
      <w:tr w:rsidR="00607E9F">
        <w:trPr>
          <w:trHeight w:val="290"/>
        </w:trPr>
        <w:tc>
          <w:tcPr>
            <w:tcW w:w="2813"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857"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r>
      <w:tr w:rsidR="00607E9F">
        <w:trPr>
          <w:trHeight w:val="290"/>
        </w:trPr>
        <w:tc>
          <w:tcPr>
            <w:tcW w:w="2813"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857"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r>
      <w:tr w:rsidR="00607E9F">
        <w:trPr>
          <w:trHeight w:val="290"/>
        </w:trPr>
        <w:tc>
          <w:tcPr>
            <w:tcW w:w="2813"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857" w:type="dxa"/>
            <w:tcBorders>
              <w:top w:val="nil"/>
              <w:left w:val="nil"/>
              <w:bottom w:val="nil"/>
              <w:right w:val="nil"/>
            </w:tcBorders>
            <w:noWrap/>
            <w:tcMar>
              <w:top w:w="10" w:type="dxa"/>
              <w:left w:w="10" w:type="dxa"/>
              <w:right w:w="10" w:type="dxa"/>
            </w:tcMar>
            <w:vAlign w:val="bottom"/>
          </w:tcPr>
          <w:p w:rsidR="00607E9F" w:rsidRPr="00B217BC" w:rsidRDefault="00607E9F">
            <w:pPr>
              <w:textAlignment w:val="bottom"/>
              <w:rPr>
                <w:rFonts w:ascii="Calibri" w:hAnsi="Calibri" w:cs="Calibri"/>
                <w:color w:val="3366FF"/>
                <w:sz w:val="22"/>
              </w:rPr>
            </w:pPr>
            <w:r w:rsidRPr="00B217BC">
              <w:rPr>
                <w:rFonts w:ascii="Calibri" w:hAnsi="Calibri" w:cs="Calibri"/>
                <w:color w:val="3366FF"/>
                <w:sz w:val="22"/>
                <w:lang w:val="en-US"/>
              </w:rPr>
              <w:t>Stone 19</w:t>
            </w:r>
          </w:p>
        </w:tc>
        <w:tc>
          <w:tcPr>
            <w:tcW w:w="809" w:type="dxa"/>
            <w:tcBorders>
              <w:top w:val="nil"/>
              <w:left w:val="nil"/>
              <w:bottom w:val="nil"/>
              <w:right w:val="nil"/>
            </w:tcBorders>
            <w:noWrap/>
            <w:tcMar>
              <w:top w:w="10" w:type="dxa"/>
              <w:left w:w="10" w:type="dxa"/>
              <w:right w:w="10" w:type="dxa"/>
            </w:tcMar>
            <w:vAlign w:val="bottom"/>
          </w:tcPr>
          <w:p w:rsidR="00607E9F" w:rsidRPr="00B217BC" w:rsidRDefault="00607E9F">
            <w:pPr>
              <w:textAlignment w:val="bottom"/>
              <w:rPr>
                <w:rFonts w:ascii="Calibri" w:hAnsi="Calibri" w:cs="Calibri"/>
                <w:color w:val="3366FF"/>
                <w:sz w:val="22"/>
              </w:rPr>
            </w:pPr>
            <w:r w:rsidRPr="00B217BC">
              <w:rPr>
                <w:rFonts w:ascii="Calibri" w:hAnsi="Calibri" w:cs="Calibri"/>
                <w:color w:val="3366FF"/>
                <w:sz w:val="22"/>
                <w:lang w:val="en-US"/>
              </w:rPr>
              <w:t>Stone 20</w:t>
            </w:r>
          </w:p>
        </w:tc>
        <w:tc>
          <w:tcPr>
            <w:tcW w:w="809" w:type="dxa"/>
            <w:tcBorders>
              <w:top w:val="nil"/>
              <w:left w:val="nil"/>
              <w:bottom w:val="nil"/>
              <w:right w:val="nil"/>
            </w:tcBorders>
            <w:noWrap/>
            <w:tcMar>
              <w:top w:w="10" w:type="dxa"/>
              <w:left w:w="10" w:type="dxa"/>
              <w:right w:w="10" w:type="dxa"/>
            </w:tcMar>
            <w:vAlign w:val="bottom"/>
          </w:tcPr>
          <w:p w:rsidR="00607E9F" w:rsidRPr="00B217BC" w:rsidRDefault="00607E9F">
            <w:pPr>
              <w:textAlignment w:val="bottom"/>
              <w:rPr>
                <w:rFonts w:ascii="Calibri" w:hAnsi="Calibri" w:cs="Calibri"/>
                <w:color w:val="3366FF"/>
                <w:sz w:val="22"/>
              </w:rPr>
            </w:pPr>
            <w:r w:rsidRPr="00B217BC">
              <w:rPr>
                <w:rFonts w:ascii="Calibri" w:hAnsi="Calibri" w:cs="Calibri"/>
                <w:color w:val="3366FF"/>
                <w:sz w:val="22"/>
                <w:lang w:val="en-US"/>
              </w:rPr>
              <w:t>Stone 21</w:t>
            </w:r>
          </w:p>
        </w:tc>
        <w:tc>
          <w:tcPr>
            <w:tcW w:w="809" w:type="dxa"/>
            <w:tcBorders>
              <w:top w:val="nil"/>
              <w:left w:val="nil"/>
              <w:bottom w:val="nil"/>
              <w:right w:val="nil"/>
            </w:tcBorders>
            <w:noWrap/>
            <w:tcMar>
              <w:top w:w="10" w:type="dxa"/>
              <w:left w:w="10" w:type="dxa"/>
              <w:right w:w="10" w:type="dxa"/>
            </w:tcMar>
            <w:vAlign w:val="bottom"/>
          </w:tcPr>
          <w:p w:rsidR="00607E9F" w:rsidRPr="00B217BC" w:rsidRDefault="00607E9F">
            <w:pPr>
              <w:textAlignment w:val="bottom"/>
              <w:rPr>
                <w:rFonts w:ascii="Calibri" w:hAnsi="Calibri" w:cs="Calibri"/>
                <w:color w:val="3366FF"/>
                <w:sz w:val="22"/>
              </w:rPr>
            </w:pPr>
            <w:r w:rsidRPr="00B217BC">
              <w:rPr>
                <w:rFonts w:ascii="Calibri" w:hAnsi="Calibri" w:cs="Calibri"/>
                <w:color w:val="3366FF"/>
                <w:sz w:val="22"/>
                <w:lang w:val="en-US"/>
              </w:rPr>
              <w:t>Stone 22</w:t>
            </w:r>
          </w:p>
        </w:tc>
        <w:tc>
          <w:tcPr>
            <w:tcW w:w="809" w:type="dxa"/>
            <w:tcBorders>
              <w:top w:val="nil"/>
              <w:left w:val="nil"/>
              <w:bottom w:val="nil"/>
              <w:right w:val="nil"/>
            </w:tcBorders>
            <w:noWrap/>
            <w:tcMar>
              <w:top w:w="10" w:type="dxa"/>
              <w:left w:w="10" w:type="dxa"/>
              <w:right w:w="10" w:type="dxa"/>
            </w:tcMar>
            <w:vAlign w:val="bottom"/>
          </w:tcPr>
          <w:p w:rsidR="00607E9F" w:rsidRPr="00B217BC" w:rsidRDefault="00607E9F">
            <w:pPr>
              <w:textAlignment w:val="bottom"/>
              <w:rPr>
                <w:rFonts w:ascii="Calibri" w:hAnsi="Calibri" w:cs="Calibri"/>
                <w:color w:val="3366FF"/>
                <w:sz w:val="22"/>
              </w:rPr>
            </w:pPr>
            <w:r w:rsidRPr="00B217BC">
              <w:rPr>
                <w:rFonts w:ascii="Calibri" w:hAnsi="Calibri" w:cs="Calibri"/>
                <w:color w:val="3366FF"/>
                <w:sz w:val="22"/>
                <w:lang w:val="en-US"/>
              </w:rPr>
              <w:t>Stone 23</w:t>
            </w:r>
          </w:p>
        </w:tc>
        <w:tc>
          <w:tcPr>
            <w:tcW w:w="809" w:type="dxa"/>
            <w:tcBorders>
              <w:top w:val="nil"/>
              <w:left w:val="nil"/>
              <w:bottom w:val="nil"/>
              <w:right w:val="nil"/>
            </w:tcBorders>
            <w:noWrap/>
            <w:tcMar>
              <w:top w:w="10" w:type="dxa"/>
              <w:left w:w="10" w:type="dxa"/>
              <w:right w:w="10" w:type="dxa"/>
            </w:tcMar>
            <w:vAlign w:val="bottom"/>
          </w:tcPr>
          <w:p w:rsidR="00607E9F" w:rsidRPr="00B217BC" w:rsidRDefault="00607E9F">
            <w:pPr>
              <w:textAlignment w:val="bottom"/>
              <w:rPr>
                <w:rFonts w:ascii="Calibri" w:hAnsi="Calibri" w:cs="Calibri"/>
                <w:color w:val="3366FF"/>
                <w:sz w:val="22"/>
              </w:rPr>
            </w:pPr>
            <w:r w:rsidRPr="00B217BC">
              <w:rPr>
                <w:rFonts w:ascii="Calibri" w:hAnsi="Calibri" w:cs="Calibri"/>
                <w:color w:val="3366FF"/>
                <w:sz w:val="22"/>
                <w:lang w:val="en-US"/>
              </w:rPr>
              <w:t>Stone 25</w:t>
            </w:r>
          </w:p>
        </w:tc>
        <w:tc>
          <w:tcPr>
            <w:tcW w:w="809" w:type="dxa"/>
            <w:tcBorders>
              <w:top w:val="nil"/>
              <w:left w:val="nil"/>
              <w:bottom w:val="nil"/>
              <w:right w:val="nil"/>
            </w:tcBorders>
            <w:noWrap/>
            <w:tcMar>
              <w:top w:w="10" w:type="dxa"/>
              <w:left w:w="10" w:type="dxa"/>
              <w:right w:w="10" w:type="dxa"/>
            </w:tcMar>
            <w:vAlign w:val="bottom"/>
          </w:tcPr>
          <w:p w:rsidR="00607E9F" w:rsidRPr="00B217BC" w:rsidRDefault="00607E9F">
            <w:pPr>
              <w:textAlignment w:val="bottom"/>
              <w:rPr>
                <w:rFonts w:ascii="Calibri" w:hAnsi="Calibri" w:cs="Calibri"/>
                <w:color w:val="3366FF"/>
                <w:sz w:val="22"/>
              </w:rPr>
            </w:pPr>
            <w:r w:rsidRPr="00B217BC">
              <w:rPr>
                <w:rFonts w:ascii="Calibri" w:hAnsi="Calibri" w:cs="Calibri"/>
                <w:color w:val="3366FF"/>
                <w:sz w:val="22"/>
                <w:lang w:val="en-US"/>
              </w:rPr>
              <w:t>Stone 26</w:t>
            </w:r>
          </w:p>
        </w:tc>
        <w:tc>
          <w:tcPr>
            <w:tcW w:w="809" w:type="dxa"/>
            <w:tcBorders>
              <w:top w:val="nil"/>
              <w:left w:val="nil"/>
              <w:bottom w:val="nil"/>
              <w:right w:val="nil"/>
            </w:tcBorders>
            <w:noWrap/>
            <w:tcMar>
              <w:top w:w="10" w:type="dxa"/>
              <w:left w:w="10" w:type="dxa"/>
              <w:right w:w="10" w:type="dxa"/>
            </w:tcMar>
            <w:vAlign w:val="bottom"/>
          </w:tcPr>
          <w:p w:rsidR="00607E9F" w:rsidRPr="00B217BC" w:rsidRDefault="00607E9F">
            <w:pPr>
              <w:textAlignment w:val="bottom"/>
              <w:rPr>
                <w:rFonts w:ascii="Calibri" w:hAnsi="Calibri" w:cs="Calibri"/>
                <w:color w:val="3366FF"/>
                <w:sz w:val="22"/>
              </w:rPr>
            </w:pPr>
            <w:r w:rsidRPr="00B217BC">
              <w:rPr>
                <w:rFonts w:ascii="Calibri" w:hAnsi="Calibri" w:cs="Calibri"/>
                <w:color w:val="3366FF"/>
                <w:sz w:val="22"/>
                <w:lang w:val="en-US"/>
              </w:rPr>
              <w:t>Stone 27</w:t>
            </w:r>
          </w:p>
        </w:tc>
      </w:tr>
      <w:tr w:rsidR="00607E9F">
        <w:trPr>
          <w:trHeight w:val="290"/>
        </w:trPr>
        <w:tc>
          <w:tcPr>
            <w:tcW w:w="2813"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r>
              <w:rPr>
                <w:rFonts w:ascii="Calibri" w:hAnsi="Calibri" w:cs="Calibri"/>
                <w:color w:val="000000"/>
                <w:sz w:val="22"/>
                <w:lang w:val="en-US"/>
              </w:rPr>
              <w:t>Stone width (m)</w:t>
            </w:r>
          </w:p>
        </w:tc>
        <w:tc>
          <w:tcPr>
            <w:tcW w:w="857"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1.12</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0.59</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0.98</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1.22</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1.6</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1.03</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1.52</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1.58</w:t>
            </w:r>
          </w:p>
        </w:tc>
      </w:tr>
      <w:tr w:rsidR="00607E9F">
        <w:trPr>
          <w:trHeight w:val="290"/>
        </w:trPr>
        <w:tc>
          <w:tcPr>
            <w:tcW w:w="2813"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r>
              <w:rPr>
                <w:rFonts w:ascii="Calibri" w:hAnsi="Calibri" w:cs="Calibri"/>
                <w:color w:val="000000"/>
                <w:sz w:val="22"/>
                <w:lang w:val="en-US"/>
              </w:rPr>
              <w:t>Stone breadth</w:t>
            </w:r>
            <w:r>
              <w:rPr>
                <w:rFonts w:ascii="Calibri" w:hAnsi="Calibri" w:cs="Calibri"/>
                <w:color w:val="000000"/>
                <w:sz w:val="22"/>
              </w:rPr>
              <w:t xml:space="preserve"> </w:t>
            </w:r>
            <w:r>
              <w:rPr>
                <w:rFonts w:ascii="Calibri" w:hAnsi="Calibri" w:cs="Calibri"/>
                <w:color w:val="000000"/>
                <w:sz w:val="22"/>
                <w:lang w:val="en-US"/>
              </w:rPr>
              <w:t>(m)</w:t>
            </w:r>
          </w:p>
        </w:tc>
        <w:tc>
          <w:tcPr>
            <w:tcW w:w="857"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0.23</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0.42</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0.37</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0.54</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0.58</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0.15</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0.26</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0.31</w:t>
            </w:r>
          </w:p>
        </w:tc>
      </w:tr>
      <w:tr w:rsidR="00607E9F">
        <w:trPr>
          <w:trHeight w:val="290"/>
        </w:trPr>
        <w:tc>
          <w:tcPr>
            <w:tcW w:w="2813"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r>
              <w:rPr>
                <w:rFonts w:ascii="Calibri" w:hAnsi="Calibri" w:cs="Calibri"/>
                <w:color w:val="000000"/>
                <w:sz w:val="22"/>
              </w:rPr>
              <w:t>M</w:t>
            </w:r>
            <w:r>
              <w:rPr>
                <w:rFonts w:ascii="Calibri" w:hAnsi="Calibri" w:cs="Calibri"/>
                <w:color w:val="000000"/>
                <w:sz w:val="22"/>
                <w:lang w:val="en-US"/>
              </w:rPr>
              <w:t>easured a</w:t>
            </w:r>
            <w:r>
              <w:rPr>
                <w:rFonts w:ascii="Calibri" w:hAnsi="Calibri" w:cs="Calibri"/>
                <w:color w:val="000000"/>
                <w:sz w:val="22"/>
              </w:rPr>
              <w:t>zimuth</w:t>
            </w:r>
          </w:p>
        </w:tc>
        <w:tc>
          <w:tcPr>
            <w:tcW w:w="857"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39</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46</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53</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60</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65</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95</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101</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118</w:t>
            </w:r>
          </w:p>
        </w:tc>
      </w:tr>
      <w:tr w:rsidR="00607E9F">
        <w:trPr>
          <w:trHeight w:val="290"/>
        </w:trPr>
        <w:tc>
          <w:tcPr>
            <w:tcW w:w="2813"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857"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r>
      <w:tr w:rsidR="00607E9F">
        <w:trPr>
          <w:trHeight w:val="290"/>
        </w:trPr>
        <w:tc>
          <w:tcPr>
            <w:tcW w:w="2813"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b/>
                <w:color w:val="000000"/>
                <w:sz w:val="22"/>
              </w:rPr>
            </w:pPr>
            <w:r>
              <w:rPr>
                <w:rFonts w:ascii="Calibri" w:hAnsi="Calibri" w:cs="Calibri"/>
                <w:b/>
                <w:color w:val="000000"/>
                <w:sz w:val="22"/>
                <w:lang w:val="en-US"/>
              </w:rPr>
              <w:t>Measurement error</w:t>
            </w:r>
          </w:p>
        </w:tc>
        <w:tc>
          <w:tcPr>
            <w:tcW w:w="857"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r>
      <w:tr w:rsidR="00607E9F">
        <w:trPr>
          <w:trHeight w:val="290"/>
        </w:trPr>
        <w:tc>
          <w:tcPr>
            <w:tcW w:w="2813"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r>
              <w:rPr>
                <w:rFonts w:ascii="Calibri" w:hAnsi="Calibri" w:cs="Calibri"/>
                <w:color w:val="000000"/>
                <w:sz w:val="22"/>
                <w:lang w:val="en-US"/>
              </w:rPr>
              <w:t>Range (m)</w:t>
            </w:r>
          </w:p>
        </w:tc>
        <w:tc>
          <w:tcPr>
            <w:tcW w:w="857"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51.73</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51.92</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51.87</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52.04</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52.08</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51.65</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51.76</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51.81</w:t>
            </w:r>
          </w:p>
        </w:tc>
      </w:tr>
      <w:tr w:rsidR="00607E9F">
        <w:trPr>
          <w:trHeight w:val="290"/>
        </w:trPr>
        <w:tc>
          <w:tcPr>
            <w:tcW w:w="2813"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r>
              <w:rPr>
                <w:rFonts w:ascii="Calibri" w:hAnsi="Calibri" w:cs="Calibri"/>
                <w:color w:val="000000"/>
                <w:sz w:val="22"/>
                <w:lang w:val="en-US"/>
              </w:rPr>
              <w:t>Range uncertainty</w:t>
            </w:r>
            <w:r>
              <w:rPr>
                <w:rFonts w:ascii="Calibri" w:hAnsi="Calibri" w:cs="Calibri"/>
                <w:color w:val="000000"/>
                <w:sz w:val="22"/>
              </w:rPr>
              <w:t xml:space="preserve"> </w:t>
            </w:r>
            <w:r>
              <w:rPr>
                <w:rFonts w:ascii="Calibri" w:hAnsi="Calibri" w:cs="Calibri"/>
                <w:color w:val="000000"/>
                <w:sz w:val="22"/>
                <w:lang w:val="en-US"/>
              </w:rPr>
              <w:t>(m)</w:t>
            </w:r>
          </w:p>
        </w:tc>
        <w:tc>
          <w:tcPr>
            <w:tcW w:w="857"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0.25</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0.25</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0.25</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0.25</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0.25</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0.25</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0.25</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0.25</w:t>
            </w:r>
          </w:p>
        </w:tc>
      </w:tr>
      <w:tr w:rsidR="00607E9F">
        <w:trPr>
          <w:trHeight w:val="290"/>
        </w:trPr>
        <w:tc>
          <w:tcPr>
            <w:tcW w:w="2813"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r>
              <w:rPr>
                <w:rFonts w:ascii="Calibri" w:hAnsi="Calibri" w:cs="Calibri"/>
                <w:color w:val="000000"/>
                <w:sz w:val="22"/>
              </w:rPr>
              <w:t>N</w:t>
            </w:r>
            <w:r>
              <w:rPr>
                <w:rFonts w:ascii="Calibri" w:hAnsi="Calibri" w:cs="Calibri"/>
                <w:color w:val="000000"/>
                <w:sz w:val="22"/>
                <w:lang w:val="en-US"/>
              </w:rPr>
              <w:t>ear width uncertainty</w:t>
            </w:r>
            <w:r>
              <w:rPr>
                <w:rFonts w:ascii="Calibri" w:hAnsi="Calibri" w:cs="Calibri"/>
                <w:color w:val="000000"/>
                <w:sz w:val="22"/>
              </w:rPr>
              <w:t xml:space="preserve"> </w:t>
            </w:r>
            <w:r>
              <w:rPr>
                <w:rFonts w:ascii="Calibri" w:hAnsi="Calibri" w:cs="Calibri"/>
                <w:color w:val="000000"/>
                <w:sz w:val="22"/>
                <w:lang w:val="en-US"/>
              </w:rPr>
              <w:t>(m)</w:t>
            </w:r>
          </w:p>
        </w:tc>
        <w:tc>
          <w:tcPr>
            <w:tcW w:w="857"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0.56</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0.295</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0.49</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0.61</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0.8</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0.515</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0.76</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0.79</w:t>
            </w:r>
          </w:p>
        </w:tc>
      </w:tr>
      <w:tr w:rsidR="00607E9F">
        <w:trPr>
          <w:trHeight w:val="290"/>
        </w:trPr>
        <w:tc>
          <w:tcPr>
            <w:tcW w:w="2813"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r>
              <w:rPr>
                <w:rFonts w:ascii="Calibri" w:hAnsi="Calibri" w:cs="Calibri"/>
                <w:color w:val="000000"/>
                <w:sz w:val="22"/>
              </w:rPr>
              <w:t>F</w:t>
            </w:r>
            <w:r>
              <w:rPr>
                <w:rFonts w:ascii="Calibri" w:hAnsi="Calibri" w:cs="Calibri"/>
                <w:color w:val="000000"/>
                <w:sz w:val="22"/>
                <w:lang w:val="en-US"/>
              </w:rPr>
              <w:t>ar width uncertainty</w:t>
            </w:r>
            <w:r>
              <w:rPr>
                <w:rFonts w:ascii="Calibri" w:hAnsi="Calibri" w:cs="Calibri"/>
                <w:color w:val="000000"/>
                <w:sz w:val="22"/>
              </w:rPr>
              <w:t xml:space="preserve"> </w:t>
            </w:r>
            <w:r>
              <w:rPr>
                <w:rFonts w:ascii="Calibri" w:hAnsi="Calibri" w:cs="Calibri"/>
                <w:color w:val="000000"/>
                <w:sz w:val="22"/>
                <w:lang w:val="en-US"/>
              </w:rPr>
              <w:t>(</w:t>
            </w:r>
            <w:r>
              <w:rPr>
                <w:rFonts w:ascii="Calibri" w:hAnsi="Calibri" w:cs="Calibri"/>
                <w:color w:val="000000"/>
                <w:sz w:val="22"/>
              </w:rPr>
              <w:t>m</w:t>
            </w:r>
            <w:r>
              <w:rPr>
                <w:rFonts w:ascii="Calibri" w:hAnsi="Calibri" w:cs="Calibri"/>
                <w:color w:val="000000"/>
                <w:sz w:val="22"/>
                <w:lang w:val="en-US"/>
              </w:rPr>
              <w:t>)</w:t>
            </w:r>
          </w:p>
        </w:tc>
        <w:tc>
          <w:tcPr>
            <w:tcW w:w="857"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5.17</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5.19</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5.19</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5.20</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5.21</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5.17</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5.18</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5.18</w:t>
            </w:r>
          </w:p>
        </w:tc>
      </w:tr>
      <w:tr w:rsidR="00607E9F">
        <w:trPr>
          <w:trHeight w:val="290"/>
        </w:trPr>
        <w:tc>
          <w:tcPr>
            <w:tcW w:w="2813"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r>
              <w:rPr>
                <w:rFonts w:ascii="Calibri" w:hAnsi="Calibri" w:cs="Calibri"/>
                <w:color w:val="000000"/>
                <w:sz w:val="22"/>
              </w:rPr>
              <w:t>Azimuth</w:t>
            </w:r>
            <w:r>
              <w:rPr>
                <w:rFonts w:ascii="Calibri" w:hAnsi="Calibri" w:cs="Calibri"/>
                <w:color w:val="000000"/>
                <w:sz w:val="22"/>
                <w:lang w:val="en-US"/>
              </w:rPr>
              <w:t xml:space="preserve"> uncertainty </w:t>
            </w:r>
          </w:p>
        </w:tc>
        <w:tc>
          <w:tcPr>
            <w:tcW w:w="857"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6.35 </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6.06 </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6.28 </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6.41 </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6.61 </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6.31 </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6.57 </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6.61 </w:t>
            </w:r>
          </w:p>
        </w:tc>
      </w:tr>
      <w:tr w:rsidR="00607E9F">
        <w:trPr>
          <w:trHeight w:val="290"/>
        </w:trPr>
        <w:tc>
          <w:tcPr>
            <w:tcW w:w="2813"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857"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r>
      <w:tr w:rsidR="00607E9F">
        <w:trPr>
          <w:trHeight w:val="290"/>
        </w:trPr>
        <w:tc>
          <w:tcPr>
            <w:tcW w:w="2813"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b/>
                <w:color w:val="000000"/>
                <w:sz w:val="22"/>
              </w:rPr>
            </w:pPr>
            <w:r>
              <w:rPr>
                <w:rFonts w:ascii="Calibri" w:hAnsi="Calibri" w:cs="Calibri"/>
                <w:b/>
                <w:color w:val="000000"/>
                <w:sz w:val="22"/>
                <w:lang w:val="en-US"/>
              </w:rPr>
              <w:t>Stone width uncertainty</w:t>
            </w:r>
          </w:p>
        </w:tc>
        <w:tc>
          <w:tcPr>
            <w:tcW w:w="857"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r>
      <w:tr w:rsidR="00607E9F">
        <w:trPr>
          <w:trHeight w:val="290"/>
        </w:trPr>
        <w:tc>
          <w:tcPr>
            <w:tcW w:w="2813"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r>
              <w:rPr>
                <w:rFonts w:ascii="Calibri" w:hAnsi="Calibri" w:cs="Calibri"/>
                <w:color w:val="000000"/>
                <w:sz w:val="22"/>
                <w:lang w:val="en-US"/>
              </w:rPr>
              <w:t>Range (m)</w:t>
            </w:r>
          </w:p>
        </w:tc>
        <w:tc>
          <w:tcPr>
            <w:tcW w:w="857"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51.5</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51.5</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51.5</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51.5</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51.5</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51.5</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51.5</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51.5</w:t>
            </w:r>
          </w:p>
        </w:tc>
      </w:tr>
      <w:tr w:rsidR="00607E9F">
        <w:trPr>
          <w:trHeight w:val="290"/>
        </w:trPr>
        <w:tc>
          <w:tcPr>
            <w:tcW w:w="2813"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r>
              <w:rPr>
                <w:rFonts w:ascii="Calibri" w:hAnsi="Calibri" w:cs="Calibri"/>
                <w:color w:val="000000"/>
                <w:sz w:val="22"/>
                <w:lang w:val="en-US"/>
              </w:rPr>
              <w:t>Range uncertainty</w:t>
            </w:r>
            <w:r>
              <w:rPr>
                <w:rFonts w:ascii="Calibri" w:hAnsi="Calibri" w:cs="Calibri"/>
                <w:color w:val="000000"/>
                <w:sz w:val="22"/>
              </w:rPr>
              <w:t xml:space="preserve"> </w:t>
            </w:r>
            <w:r>
              <w:rPr>
                <w:rFonts w:ascii="Calibri" w:hAnsi="Calibri" w:cs="Calibri"/>
                <w:color w:val="000000"/>
                <w:sz w:val="22"/>
                <w:lang w:val="en-US"/>
              </w:rPr>
              <w:t>(m)</w:t>
            </w:r>
          </w:p>
        </w:tc>
        <w:tc>
          <w:tcPr>
            <w:tcW w:w="857"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w:t>
            </w:r>
          </w:p>
        </w:tc>
      </w:tr>
      <w:tr w:rsidR="00607E9F">
        <w:trPr>
          <w:trHeight w:val="290"/>
        </w:trPr>
        <w:tc>
          <w:tcPr>
            <w:tcW w:w="2813"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r>
              <w:rPr>
                <w:rFonts w:ascii="Calibri" w:hAnsi="Calibri" w:cs="Calibri"/>
                <w:color w:val="000000"/>
                <w:sz w:val="22"/>
              </w:rPr>
              <w:t>N</w:t>
            </w:r>
            <w:r>
              <w:rPr>
                <w:rFonts w:ascii="Calibri" w:hAnsi="Calibri" w:cs="Calibri"/>
                <w:color w:val="000000"/>
                <w:sz w:val="22"/>
                <w:lang w:val="en-US"/>
              </w:rPr>
              <w:t>ear width uncertainty</w:t>
            </w:r>
            <w:r>
              <w:rPr>
                <w:rFonts w:ascii="Calibri" w:hAnsi="Calibri" w:cs="Calibri"/>
                <w:color w:val="000000"/>
                <w:sz w:val="22"/>
              </w:rPr>
              <w:t xml:space="preserve"> </w:t>
            </w:r>
            <w:r>
              <w:rPr>
                <w:rFonts w:ascii="Calibri" w:hAnsi="Calibri" w:cs="Calibri"/>
                <w:color w:val="000000"/>
                <w:sz w:val="22"/>
                <w:lang w:val="en-US"/>
              </w:rPr>
              <w:t>(m)</w:t>
            </w:r>
          </w:p>
        </w:tc>
        <w:tc>
          <w:tcPr>
            <w:tcW w:w="857"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w:t>
            </w:r>
          </w:p>
        </w:tc>
      </w:tr>
      <w:tr w:rsidR="00607E9F">
        <w:trPr>
          <w:trHeight w:val="290"/>
        </w:trPr>
        <w:tc>
          <w:tcPr>
            <w:tcW w:w="2813"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r>
              <w:rPr>
                <w:rFonts w:ascii="Calibri" w:hAnsi="Calibri" w:cs="Calibri"/>
                <w:color w:val="000000"/>
                <w:sz w:val="22"/>
              </w:rPr>
              <w:t>F</w:t>
            </w:r>
            <w:r>
              <w:rPr>
                <w:rFonts w:ascii="Calibri" w:hAnsi="Calibri" w:cs="Calibri"/>
                <w:color w:val="000000"/>
                <w:sz w:val="22"/>
                <w:lang w:val="en-US"/>
              </w:rPr>
              <w:t>ar width uncertainty</w:t>
            </w:r>
            <w:r>
              <w:rPr>
                <w:rFonts w:ascii="Calibri" w:hAnsi="Calibri" w:cs="Calibri"/>
                <w:color w:val="000000"/>
                <w:sz w:val="22"/>
              </w:rPr>
              <w:t xml:space="preserve"> </w:t>
            </w:r>
            <w:r>
              <w:rPr>
                <w:rFonts w:ascii="Calibri" w:hAnsi="Calibri" w:cs="Calibri"/>
                <w:color w:val="000000"/>
                <w:sz w:val="22"/>
                <w:lang w:val="en-US"/>
              </w:rPr>
              <w:t>(</w:t>
            </w:r>
            <w:r>
              <w:rPr>
                <w:rFonts w:ascii="Calibri" w:hAnsi="Calibri" w:cs="Calibri"/>
                <w:color w:val="000000"/>
                <w:sz w:val="22"/>
              </w:rPr>
              <w:t>m</w:t>
            </w:r>
            <w:r>
              <w:rPr>
                <w:rFonts w:ascii="Calibri" w:hAnsi="Calibri" w:cs="Calibri"/>
                <w:color w:val="000000"/>
                <w:sz w:val="22"/>
                <w:lang w:val="en-US"/>
              </w:rPr>
              <w:t>)</w:t>
            </w:r>
          </w:p>
        </w:tc>
        <w:tc>
          <w:tcPr>
            <w:tcW w:w="857"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0.56</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0.295</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0.49</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0.61</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0.8</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0.515</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0.76</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0.79</w:t>
            </w:r>
          </w:p>
        </w:tc>
      </w:tr>
      <w:tr w:rsidR="00607E9F">
        <w:trPr>
          <w:trHeight w:val="290"/>
        </w:trPr>
        <w:tc>
          <w:tcPr>
            <w:tcW w:w="2813"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857"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r>
      <w:tr w:rsidR="00607E9F">
        <w:trPr>
          <w:trHeight w:val="290"/>
        </w:trPr>
        <w:tc>
          <w:tcPr>
            <w:tcW w:w="2813"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r>
              <w:rPr>
                <w:rFonts w:ascii="Calibri" w:hAnsi="Calibri" w:cs="Calibri"/>
                <w:color w:val="000000"/>
                <w:sz w:val="22"/>
              </w:rPr>
              <w:t>Azimuth uncertainty</w:t>
            </w:r>
          </w:p>
        </w:tc>
        <w:tc>
          <w:tcPr>
            <w:tcW w:w="857"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0.62 </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0.33 </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0.55 </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0.68 </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0.89 </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0.57 </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0.85 </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0.88 </w:t>
            </w:r>
          </w:p>
        </w:tc>
      </w:tr>
      <w:tr w:rsidR="00607E9F">
        <w:trPr>
          <w:trHeight w:val="290"/>
        </w:trPr>
        <w:tc>
          <w:tcPr>
            <w:tcW w:w="2813"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857"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r>
      <w:tr w:rsidR="00607E9F">
        <w:trPr>
          <w:trHeight w:val="290"/>
        </w:trPr>
        <w:tc>
          <w:tcPr>
            <w:tcW w:w="2813"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b/>
                <w:color w:val="000000"/>
                <w:sz w:val="22"/>
              </w:rPr>
            </w:pPr>
            <w:r>
              <w:rPr>
                <w:rFonts w:ascii="Calibri" w:hAnsi="Calibri" w:cs="Calibri"/>
                <w:b/>
                <w:color w:val="000000"/>
                <w:sz w:val="22"/>
                <w:lang w:val="en-US"/>
              </w:rPr>
              <w:t>Instrument accuracy (Degrees)</w:t>
            </w:r>
          </w:p>
        </w:tc>
        <w:tc>
          <w:tcPr>
            <w:tcW w:w="857"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0.5</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0.5</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0.5</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0.5</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0.5</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0.5</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0.5</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0.5</w:t>
            </w:r>
          </w:p>
        </w:tc>
      </w:tr>
      <w:tr w:rsidR="00607E9F">
        <w:trPr>
          <w:trHeight w:val="290"/>
        </w:trPr>
        <w:tc>
          <w:tcPr>
            <w:tcW w:w="2813"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857"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r>
      <w:tr w:rsidR="00607E9F">
        <w:trPr>
          <w:trHeight w:val="290"/>
        </w:trPr>
        <w:tc>
          <w:tcPr>
            <w:tcW w:w="2813"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r>
              <w:rPr>
                <w:rFonts w:ascii="Calibri" w:hAnsi="Calibri" w:cs="Calibri"/>
                <w:color w:val="000000"/>
                <w:sz w:val="22"/>
                <w:lang w:val="en-US"/>
              </w:rPr>
              <w:t>Total uncertainty</w:t>
            </w:r>
          </w:p>
        </w:tc>
        <w:tc>
          <w:tcPr>
            <w:tcW w:w="857"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7.48 </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6.89 </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7.32 </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7.58 </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8.00 </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7.38 </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7.92 </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7.98 </w:t>
            </w:r>
          </w:p>
        </w:tc>
      </w:tr>
      <w:tr w:rsidR="00607E9F">
        <w:trPr>
          <w:trHeight w:val="290"/>
        </w:trPr>
        <w:tc>
          <w:tcPr>
            <w:tcW w:w="2813"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r>
              <w:rPr>
                <w:rFonts w:ascii="Calibri" w:hAnsi="Calibri" w:cs="Calibri"/>
                <w:color w:val="000000"/>
                <w:sz w:val="22"/>
                <w:lang w:val="en-US"/>
              </w:rPr>
              <w:t>Lower bound</w:t>
            </w:r>
          </w:p>
        </w:tc>
        <w:tc>
          <w:tcPr>
            <w:tcW w:w="857"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31.52 </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39.11 </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45.68 </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52.42 </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57.00 </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87.62 </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93.08 </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110.02 </w:t>
            </w:r>
          </w:p>
        </w:tc>
      </w:tr>
      <w:tr w:rsidR="00607E9F">
        <w:trPr>
          <w:trHeight w:val="290"/>
        </w:trPr>
        <w:tc>
          <w:tcPr>
            <w:tcW w:w="2813"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r>
              <w:rPr>
                <w:rFonts w:ascii="Calibri" w:hAnsi="Calibri" w:cs="Calibri"/>
                <w:color w:val="000000"/>
                <w:sz w:val="22"/>
                <w:lang w:val="en-US"/>
              </w:rPr>
              <w:t>Middle</w:t>
            </w:r>
          </w:p>
        </w:tc>
        <w:tc>
          <w:tcPr>
            <w:tcW w:w="857"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39.00</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46.00</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53.00</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60.00</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65.00</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95.00</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101.00</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118.00</w:t>
            </w:r>
          </w:p>
        </w:tc>
      </w:tr>
      <w:tr w:rsidR="00607E9F">
        <w:trPr>
          <w:trHeight w:val="290"/>
        </w:trPr>
        <w:tc>
          <w:tcPr>
            <w:tcW w:w="2813"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r>
              <w:rPr>
                <w:rFonts w:ascii="Calibri" w:hAnsi="Calibri" w:cs="Calibri"/>
                <w:color w:val="000000"/>
                <w:sz w:val="22"/>
                <w:lang w:val="en-US"/>
              </w:rPr>
              <w:t>Upper bound</w:t>
            </w:r>
          </w:p>
        </w:tc>
        <w:tc>
          <w:tcPr>
            <w:tcW w:w="857"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46.48 </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52.89 </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60.32 </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67.58 </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73.00 </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102.38 </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108.92 </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125.98 </w:t>
            </w:r>
          </w:p>
        </w:tc>
      </w:tr>
      <w:tr w:rsidR="00607E9F">
        <w:trPr>
          <w:trHeight w:val="290"/>
        </w:trPr>
        <w:tc>
          <w:tcPr>
            <w:tcW w:w="2813"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r>
              <w:rPr>
                <w:rFonts w:ascii="Calibri" w:hAnsi="Calibri" w:cs="Calibri"/>
                <w:color w:val="000000"/>
                <w:sz w:val="22"/>
                <w:lang w:val="en-US"/>
              </w:rPr>
              <w:t>OPPOSITE direction</w:t>
            </w:r>
          </w:p>
        </w:tc>
        <w:tc>
          <w:tcPr>
            <w:tcW w:w="857"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211.52</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219.11</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225.68</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232.42</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236.99</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267.62</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273.08</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290.01</w:t>
            </w:r>
          </w:p>
        </w:tc>
      </w:tr>
      <w:tr w:rsidR="00607E9F">
        <w:trPr>
          <w:trHeight w:val="290"/>
        </w:trPr>
        <w:tc>
          <w:tcPr>
            <w:tcW w:w="2813"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r>
              <w:rPr>
                <w:rFonts w:ascii="Calibri" w:hAnsi="Calibri" w:cs="Calibri"/>
                <w:color w:val="000000"/>
                <w:sz w:val="22"/>
                <w:lang w:val="en-US"/>
              </w:rPr>
              <w:t>OPPOSITE direction</w:t>
            </w:r>
          </w:p>
        </w:tc>
        <w:tc>
          <w:tcPr>
            <w:tcW w:w="857"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219</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226</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233</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240</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245</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275</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281</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298</w:t>
            </w:r>
          </w:p>
        </w:tc>
      </w:tr>
      <w:tr w:rsidR="00607E9F">
        <w:trPr>
          <w:trHeight w:val="290"/>
        </w:trPr>
        <w:tc>
          <w:tcPr>
            <w:tcW w:w="2813"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r>
              <w:rPr>
                <w:rFonts w:ascii="Calibri" w:hAnsi="Calibri" w:cs="Calibri"/>
                <w:color w:val="000000"/>
                <w:sz w:val="22"/>
                <w:lang w:val="en-US"/>
              </w:rPr>
              <w:t>OPPOSITE direction</w:t>
            </w:r>
          </w:p>
        </w:tc>
        <w:tc>
          <w:tcPr>
            <w:tcW w:w="857"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226.48</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232.89</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240.32</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247.58</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253</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282.38</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288.92</w:t>
            </w:r>
          </w:p>
        </w:tc>
        <w:tc>
          <w:tcPr>
            <w:tcW w:w="809"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305.98</w:t>
            </w:r>
          </w:p>
        </w:tc>
      </w:tr>
    </w:tbl>
    <w:p w:rsidR="00607E9F" w:rsidRDefault="00607E9F">
      <w:pPr>
        <w:rPr>
          <w:rFonts w:ascii="Arial" w:hAnsi="Arial"/>
        </w:rPr>
      </w:pPr>
    </w:p>
    <w:p w:rsidR="00607E9F" w:rsidRDefault="00607E9F">
      <w:pPr>
        <w:rPr>
          <w:rFonts w:ascii="Arial" w:hAnsi="Arial"/>
          <w:b/>
        </w:rPr>
      </w:pPr>
    </w:p>
    <w:p w:rsidR="00607E9F" w:rsidRDefault="00607E9F">
      <w:pPr>
        <w:rPr>
          <w:rFonts w:ascii="Arial" w:hAnsi="Arial"/>
        </w:rPr>
      </w:pPr>
    </w:p>
    <w:tbl>
      <w:tblPr>
        <w:tblW w:w="0" w:type="auto"/>
        <w:tblLayout w:type="fixed"/>
        <w:tblCellMar>
          <w:left w:w="0" w:type="dxa"/>
          <w:right w:w="0" w:type="dxa"/>
        </w:tblCellMar>
        <w:tblLook w:val="0000"/>
      </w:tblPr>
      <w:tblGrid>
        <w:gridCol w:w="3048"/>
        <w:gridCol w:w="974"/>
        <w:gridCol w:w="974"/>
        <w:gridCol w:w="974"/>
        <w:gridCol w:w="974"/>
        <w:gridCol w:w="974"/>
        <w:gridCol w:w="974"/>
        <w:gridCol w:w="974"/>
      </w:tblGrid>
      <w:tr w:rsidR="00607E9F">
        <w:trPr>
          <w:trHeight w:val="290"/>
        </w:trPr>
        <w:tc>
          <w:tcPr>
            <w:tcW w:w="3048"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r>
              <w:rPr>
                <w:rFonts w:ascii="Calibri" w:hAnsi="Calibri" w:cs="Calibri"/>
                <w:b/>
                <w:bCs/>
                <w:color w:val="0000FF"/>
                <w:sz w:val="22"/>
              </w:rPr>
              <w:t>Stones of Stenness</w:t>
            </w:r>
          </w:p>
        </w:tc>
        <w:tc>
          <w:tcPr>
            <w:tcW w:w="974" w:type="dxa"/>
            <w:tcBorders>
              <w:top w:val="nil"/>
              <w:left w:val="nil"/>
              <w:bottom w:val="nil"/>
              <w:right w:val="nil"/>
            </w:tcBorders>
            <w:noWrap/>
            <w:tcMar>
              <w:top w:w="10" w:type="dxa"/>
              <w:left w:w="10" w:type="dxa"/>
              <w:right w:w="10" w:type="dxa"/>
            </w:tcMar>
            <w:vAlign w:val="bottom"/>
          </w:tcPr>
          <w:p w:rsidR="00607E9F" w:rsidRPr="00B217BC" w:rsidRDefault="00607E9F">
            <w:pPr>
              <w:textAlignment w:val="bottom"/>
              <w:rPr>
                <w:rFonts w:ascii="Calibri" w:hAnsi="Calibri" w:cs="Calibri"/>
                <w:color w:val="3366FF"/>
                <w:sz w:val="22"/>
              </w:rPr>
            </w:pPr>
            <w:r w:rsidRPr="00B217BC">
              <w:rPr>
                <w:rFonts w:ascii="Calibri" w:hAnsi="Calibri" w:cs="Calibri"/>
                <w:color w:val="3366FF"/>
                <w:sz w:val="22"/>
                <w:lang w:val="en-US"/>
              </w:rPr>
              <w:t>Stone 1</w:t>
            </w:r>
          </w:p>
        </w:tc>
        <w:tc>
          <w:tcPr>
            <w:tcW w:w="974" w:type="dxa"/>
            <w:tcBorders>
              <w:top w:val="nil"/>
              <w:left w:val="nil"/>
              <w:bottom w:val="nil"/>
              <w:right w:val="nil"/>
            </w:tcBorders>
            <w:noWrap/>
            <w:tcMar>
              <w:top w:w="10" w:type="dxa"/>
              <w:left w:w="10" w:type="dxa"/>
              <w:right w:w="10" w:type="dxa"/>
            </w:tcMar>
            <w:vAlign w:val="bottom"/>
          </w:tcPr>
          <w:p w:rsidR="00607E9F" w:rsidRPr="00B217BC" w:rsidRDefault="00607E9F">
            <w:pPr>
              <w:textAlignment w:val="bottom"/>
              <w:rPr>
                <w:rFonts w:ascii="Calibri" w:hAnsi="Calibri" w:cs="Calibri"/>
                <w:color w:val="3366FF"/>
                <w:sz w:val="22"/>
              </w:rPr>
            </w:pPr>
            <w:r w:rsidRPr="00B217BC">
              <w:rPr>
                <w:rFonts w:ascii="Calibri" w:hAnsi="Calibri" w:cs="Calibri"/>
                <w:color w:val="3366FF"/>
                <w:sz w:val="22"/>
                <w:lang w:val="en-US"/>
              </w:rPr>
              <w:t>Stone 2</w:t>
            </w:r>
          </w:p>
        </w:tc>
        <w:tc>
          <w:tcPr>
            <w:tcW w:w="974" w:type="dxa"/>
            <w:tcBorders>
              <w:top w:val="nil"/>
              <w:left w:val="nil"/>
              <w:bottom w:val="nil"/>
              <w:right w:val="nil"/>
            </w:tcBorders>
            <w:noWrap/>
            <w:tcMar>
              <w:top w:w="10" w:type="dxa"/>
              <w:left w:w="10" w:type="dxa"/>
              <w:right w:w="10" w:type="dxa"/>
            </w:tcMar>
            <w:vAlign w:val="bottom"/>
          </w:tcPr>
          <w:p w:rsidR="00607E9F" w:rsidRPr="00B217BC" w:rsidRDefault="00607E9F">
            <w:pPr>
              <w:textAlignment w:val="bottom"/>
              <w:rPr>
                <w:rFonts w:ascii="Calibri" w:hAnsi="Calibri" w:cs="Calibri"/>
                <w:color w:val="3366FF"/>
                <w:sz w:val="22"/>
              </w:rPr>
            </w:pPr>
            <w:r w:rsidRPr="00B217BC">
              <w:rPr>
                <w:rFonts w:ascii="Calibri" w:hAnsi="Calibri" w:cs="Calibri"/>
                <w:color w:val="3366FF"/>
                <w:sz w:val="22"/>
                <w:lang w:val="en-US"/>
              </w:rPr>
              <w:t>Stone 3</w:t>
            </w:r>
          </w:p>
        </w:tc>
        <w:tc>
          <w:tcPr>
            <w:tcW w:w="974" w:type="dxa"/>
            <w:tcBorders>
              <w:top w:val="nil"/>
              <w:left w:val="nil"/>
              <w:bottom w:val="nil"/>
              <w:right w:val="nil"/>
            </w:tcBorders>
            <w:noWrap/>
            <w:tcMar>
              <w:top w:w="10" w:type="dxa"/>
              <w:left w:w="10" w:type="dxa"/>
              <w:right w:w="10" w:type="dxa"/>
            </w:tcMar>
            <w:vAlign w:val="bottom"/>
          </w:tcPr>
          <w:p w:rsidR="00607E9F" w:rsidRPr="00B217BC" w:rsidRDefault="00607E9F">
            <w:pPr>
              <w:textAlignment w:val="bottom"/>
              <w:rPr>
                <w:rFonts w:ascii="Calibri" w:hAnsi="Calibri" w:cs="Calibri"/>
                <w:color w:val="3366FF"/>
                <w:sz w:val="22"/>
              </w:rPr>
            </w:pPr>
            <w:r w:rsidRPr="00B217BC">
              <w:rPr>
                <w:rFonts w:ascii="Calibri" w:hAnsi="Calibri" w:cs="Calibri"/>
                <w:color w:val="3366FF"/>
                <w:sz w:val="22"/>
                <w:lang w:val="en-US"/>
              </w:rPr>
              <w:t>Stone 4</w:t>
            </w:r>
          </w:p>
        </w:tc>
        <w:tc>
          <w:tcPr>
            <w:tcW w:w="974" w:type="dxa"/>
            <w:tcBorders>
              <w:top w:val="nil"/>
              <w:left w:val="nil"/>
              <w:bottom w:val="nil"/>
              <w:right w:val="nil"/>
            </w:tcBorders>
            <w:noWrap/>
            <w:tcMar>
              <w:top w:w="10" w:type="dxa"/>
              <w:left w:w="10" w:type="dxa"/>
              <w:right w:w="10" w:type="dxa"/>
            </w:tcMar>
            <w:vAlign w:val="bottom"/>
          </w:tcPr>
          <w:p w:rsidR="00607E9F" w:rsidRPr="00B217BC" w:rsidRDefault="00607E9F">
            <w:pPr>
              <w:textAlignment w:val="bottom"/>
              <w:rPr>
                <w:rFonts w:ascii="Calibri" w:hAnsi="Calibri" w:cs="Calibri"/>
                <w:color w:val="3366FF"/>
                <w:sz w:val="22"/>
              </w:rPr>
            </w:pPr>
            <w:r w:rsidRPr="00B217BC">
              <w:rPr>
                <w:rFonts w:ascii="Calibri" w:hAnsi="Calibri" w:cs="Calibri"/>
                <w:color w:val="3366FF"/>
                <w:sz w:val="22"/>
                <w:lang w:val="en-US"/>
              </w:rPr>
              <w:t>Stone 5</w:t>
            </w:r>
          </w:p>
        </w:tc>
        <w:tc>
          <w:tcPr>
            <w:tcW w:w="974" w:type="dxa"/>
            <w:tcBorders>
              <w:top w:val="nil"/>
              <w:left w:val="nil"/>
              <w:bottom w:val="nil"/>
              <w:right w:val="nil"/>
            </w:tcBorders>
            <w:noWrap/>
            <w:tcMar>
              <w:top w:w="10" w:type="dxa"/>
              <w:left w:w="10" w:type="dxa"/>
              <w:right w:w="10" w:type="dxa"/>
            </w:tcMar>
            <w:vAlign w:val="bottom"/>
          </w:tcPr>
          <w:p w:rsidR="00607E9F" w:rsidRPr="00B217BC" w:rsidRDefault="00607E9F">
            <w:pPr>
              <w:textAlignment w:val="bottom"/>
              <w:rPr>
                <w:rFonts w:ascii="Calibri" w:hAnsi="Calibri" w:cs="Calibri"/>
                <w:color w:val="3366FF"/>
                <w:sz w:val="22"/>
              </w:rPr>
            </w:pPr>
            <w:r w:rsidRPr="00B217BC">
              <w:rPr>
                <w:rFonts w:ascii="Calibri" w:hAnsi="Calibri" w:cs="Calibri"/>
                <w:color w:val="3366FF"/>
                <w:sz w:val="22"/>
                <w:lang w:val="en-US"/>
              </w:rPr>
              <w:t>Stone 6</w:t>
            </w:r>
          </w:p>
        </w:tc>
        <w:tc>
          <w:tcPr>
            <w:tcW w:w="974" w:type="dxa"/>
            <w:tcBorders>
              <w:top w:val="nil"/>
              <w:left w:val="nil"/>
              <w:bottom w:val="nil"/>
              <w:right w:val="nil"/>
            </w:tcBorders>
            <w:noWrap/>
            <w:tcMar>
              <w:top w:w="10" w:type="dxa"/>
              <w:left w:w="10" w:type="dxa"/>
              <w:right w:w="10" w:type="dxa"/>
            </w:tcMar>
            <w:vAlign w:val="bottom"/>
          </w:tcPr>
          <w:p w:rsidR="00607E9F" w:rsidRPr="00B217BC" w:rsidRDefault="00607E9F">
            <w:pPr>
              <w:textAlignment w:val="bottom"/>
              <w:rPr>
                <w:rFonts w:ascii="Calibri" w:hAnsi="Calibri" w:cs="Calibri"/>
                <w:color w:val="3366FF"/>
                <w:sz w:val="22"/>
              </w:rPr>
            </w:pPr>
            <w:r w:rsidRPr="00B217BC">
              <w:rPr>
                <w:rFonts w:ascii="Calibri" w:hAnsi="Calibri" w:cs="Calibri"/>
                <w:color w:val="3366FF"/>
                <w:sz w:val="22"/>
                <w:lang w:val="en-US"/>
              </w:rPr>
              <w:t>Stone 7</w:t>
            </w:r>
          </w:p>
        </w:tc>
      </w:tr>
      <w:tr w:rsidR="00607E9F">
        <w:trPr>
          <w:trHeight w:val="290"/>
        </w:trPr>
        <w:tc>
          <w:tcPr>
            <w:tcW w:w="3048"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r>
              <w:rPr>
                <w:rFonts w:ascii="Calibri" w:hAnsi="Calibri" w:cs="Calibri"/>
                <w:color w:val="000000"/>
                <w:sz w:val="22"/>
                <w:lang w:val="en-US"/>
              </w:rPr>
              <w:t>Stone width (m)</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1.4</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1.4</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1.35</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0.8</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1.55</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1.4</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1.4</w:t>
            </w:r>
          </w:p>
        </w:tc>
      </w:tr>
      <w:tr w:rsidR="00607E9F">
        <w:trPr>
          <w:trHeight w:val="290"/>
        </w:trPr>
        <w:tc>
          <w:tcPr>
            <w:tcW w:w="3048"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r>
              <w:rPr>
                <w:rFonts w:ascii="Calibri" w:hAnsi="Calibri" w:cs="Calibri"/>
                <w:color w:val="000000"/>
                <w:sz w:val="22"/>
                <w:lang w:val="en-US"/>
              </w:rPr>
              <w:t>Stone breadth</w:t>
            </w:r>
            <w:r>
              <w:rPr>
                <w:rFonts w:ascii="Calibri" w:hAnsi="Calibri" w:cs="Calibri"/>
                <w:color w:val="000000"/>
                <w:sz w:val="22"/>
              </w:rPr>
              <w:t xml:space="preserve"> </w:t>
            </w:r>
            <w:r>
              <w:rPr>
                <w:rFonts w:ascii="Calibri" w:hAnsi="Calibri" w:cs="Calibri"/>
                <w:color w:val="000000"/>
                <w:sz w:val="22"/>
                <w:lang w:val="en-US"/>
              </w:rPr>
              <w:t>(m)</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0.25</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0.25</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0.38</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0.3</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0.45</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0.3</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0.3</w:t>
            </w:r>
          </w:p>
        </w:tc>
      </w:tr>
      <w:tr w:rsidR="00607E9F">
        <w:trPr>
          <w:trHeight w:val="290"/>
        </w:trPr>
        <w:tc>
          <w:tcPr>
            <w:tcW w:w="3048"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r>
              <w:rPr>
                <w:rFonts w:ascii="Calibri" w:hAnsi="Calibri" w:cs="Calibri"/>
                <w:color w:val="000000"/>
                <w:sz w:val="22"/>
              </w:rPr>
              <w:t>M</w:t>
            </w:r>
            <w:r>
              <w:rPr>
                <w:rFonts w:ascii="Calibri" w:hAnsi="Calibri" w:cs="Calibri"/>
                <w:color w:val="000000"/>
                <w:sz w:val="22"/>
                <w:lang w:val="en-US"/>
              </w:rPr>
              <w:t>easured a</w:t>
            </w:r>
            <w:r>
              <w:rPr>
                <w:rFonts w:ascii="Calibri" w:hAnsi="Calibri" w:cs="Calibri"/>
                <w:color w:val="000000"/>
                <w:sz w:val="22"/>
              </w:rPr>
              <w:t>zimuth</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164</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190</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220</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225</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285</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310</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331</w:t>
            </w:r>
          </w:p>
        </w:tc>
      </w:tr>
      <w:tr w:rsidR="00607E9F">
        <w:trPr>
          <w:trHeight w:val="290"/>
        </w:trPr>
        <w:tc>
          <w:tcPr>
            <w:tcW w:w="3048"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r>
      <w:tr w:rsidR="00607E9F">
        <w:trPr>
          <w:trHeight w:val="290"/>
        </w:trPr>
        <w:tc>
          <w:tcPr>
            <w:tcW w:w="3048"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b/>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r>
      <w:tr w:rsidR="00607E9F">
        <w:trPr>
          <w:trHeight w:val="290"/>
        </w:trPr>
        <w:tc>
          <w:tcPr>
            <w:tcW w:w="3048"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r>
              <w:rPr>
                <w:rFonts w:ascii="Calibri" w:hAnsi="Calibri" w:cs="Calibri"/>
                <w:color w:val="000000"/>
                <w:sz w:val="22"/>
                <w:lang w:val="en-US"/>
              </w:rPr>
              <w:t>Range (m)</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15</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15</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15</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15</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15</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15</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15</w:t>
            </w:r>
          </w:p>
        </w:tc>
      </w:tr>
      <w:tr w:rsidR="00607E9F">
        <w:trPr>
          <w:trHeight w:val="290"/>
        </w:trPr>
        <w:tc>
          <w:tcPr>
            <w:tcW w:w="3048"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r>
              <w:rPr>
                <w:rFonts w:ascii="Calibri" w:hAnsi="Calibri" w:cs="Calibri"/>
                <w:color w:val="000000"/>
                <w:sz w:val="22"/>
                <w:lang w:val="en-US"/>
              </w:rPr>
              <w:t>Range uncertainty</w:t>
            </w:r>
            <w:r>
              <w:rPr>
                <w:rFonts w:ascii="Calibri" w:hAnsi="Calibri" w:cs="Calibri"/>
                <w:color w:val="000000"/>
                <w:sz w:val="22"/>
              </w:rPr>
              <w:t xml:space="preserve"> </w:t>
            </w:r>
            <w:r>
              <w:rPr>
                <w:rFonts w:ascii="Calibri" w:hAnsi="Calibri" w:cs="Calibri"/>
                <w:color w:val="000000"/>
                <w:sz w:val="22"/>
                <w:lang w:val="en-US"/>
              </w:rPr>
              <w:t>(m)</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0.3</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0.3</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0.3</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0.3</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0.3</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0.3</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0.3</w:t>
            </w:r>
          </w:p>
        </w:tc>
      </w:tr>
      <w:tr w:rsidR="00607E9F">
        <w:trPr>
          <w:trHeight w:val="290"/>
        </w:trPr>
        <w:tc>
          <w:tcPr>
            <w:tcW w:w="3048"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r>
              <w:rPr>
                <w:rFonts w:ascii="Calibri" w:hAnsi="Calibri" w:cs="Calibri"/>
                <w:color w:val="000000"/>
                <w:sz w:val="22"/>
              </w:rPr>
              <w:t>N</w:t>
            </w:r>
            <w:r>
              <w:rPr>
                <w:rFonts w:ascii="Calibri" w:hAnsi="Calibri" w:cs="Calibri"/>
                <w:color w:val="000000"/>
                <w:sz w:val="22"/>
                <w:lang w:val="en-US"/>
              </w:rPr>
              <w:t>ear width uncertainty</w:t>
            </w:r>
            <w:r>
              <w:rPr>
                <w:rFonts w:ascii="Calibri" w:hAnsi="Calibri" w:cs="Calibri"/>
                <w:color w:val="000000"/>
                <w:sz w:val="22"/>
              </w:rPr>
              <w:t xml:space="preserve"> </w:t>
            </w:r>
            <w:r>
              <w:rPr>
                <w:rFonts w:ascii="Calibri" w:hAnsi="Calibri" w:cs="Calibri"/>
                <w:color w:val="000000"/>
                <w:sz w:val="22"/>
                <w:lang w:val="en-US"/>
              </w:rPr>
              <w:t>(m)</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0.3</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0.3</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0.3</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0.3</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0.3</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0.3</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0.3</w:t>
            </w:r>
          </w:p>
        </w:tc>
      </w:tr>
      <w:tr w:rsidR="00607E9F">
        <w:trPr>
          <w:trHeight w:val="290"/>
        </w:trPr>
        <w:tc>
          <w:tcPr>
            <w:tcW w:w="3048"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r>
              <w:rPr>
                <w:rFonts w:ascii="Calibri" w:hAnsi="Calibri" w:cs="Calibri"/>
                <w:color w:val="000000"/>
                <w:sz w:val="22"/>
              </w:rPr>
              <w:t>F</w:t>
            </w:r>
            <w:r>
              <w:rPr>
                <w:rFonts w:ascii="Calibri" w:hAnsi="Calibri" w:cs="Calibri"/>
                <w:color w:val="000000"/>
                <w:sz w:val="22"/>
                <w:lang w:val="en-US"/>
              </w:rPr>
              <w:t>ar width uncertainty</w:t>
            </w:r>
            <w:r>
              <w:rPr>
                <w:rFonts w:ascii="Calibri" w:hAnsi="Calibri" w:cs="Calibri"/>
                <w:color w:val="000000"/>
                <w:sz w:val="22"/>
              </w:rPr>
              <w:t xml:space="preserve"> </w:t>
            </w:r>
            <w:r>
              <w:rPr>
                <w:rFonts w:ascii="Calibri" w:hAnsi="Calibri" w:cs="Calibri"/>
                <w:color w:val="000000"/>
                <w:sz w:val="22"/>
                <w:lang w:val="en-US"/>
              </w:rPr>
              <w:t>(</w:t>
            </w:r>
            <w:r>
              <w:rPr>
                <w:rFonts w:ascii="Calibri" w:hAnsi="Calibri" w:cs="Calibri"/>
                <w:color w:val="000000"/>
                <w:sz w:val="22"/>
              </w:rPr>
              <w:t>m</w:t>
            </w:r>
            <w:r>
              <w:rPr>
                <w:rFonts w:ascii="Calibri" w:hAnsi="Calibri" w:cs="Calibri"/>
                <w:color w:val="000000"/>
                <w:sz w:val="22"/>
                <w:lang w:val="en-US"/>
              </w:rPr>
              <w:t>)</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0.7</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0.7</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0.675</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0.4</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0.775</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0.7</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0.7</w:t>
            </w:r>
          </w:p>
        </w:tc>
      </w:tr>
      <w:tr w:rsidR="00607E9F">
        <w:trPr>
          <w:trHeight w:val="290"/>
        </w:trPr>
        <w:tc>
          <w:tcPr>
            <w:tcW w:w="3048"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r>
      <w:tr w:rsidR="00607E9F">
        <w:trPr>
          <w:trHeight w:val="290"/>
        </w:trPr>
        <w:tc>
          <w:tcPr>
            <w:tcW w:w="3048"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r>
              <w:rPr>
                <w:rFonts w:ascii="Calibri" w:hAnsi="Calibri" w:cs="Calibri"/>
                <w:color w:val="000000"/>
                <w:sz w:val="22"/>
              </w:rPr>
              <w:t>Azimuth uncertainty</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3.89 </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3.89 </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3.79 </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2.73 </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4.18 </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3.89 </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3.89 </w:t>
            </w:r>
          </w:p>
        </w:tc>
      </w:tr>
      <w:tr w:rsidR="00607E9F">
        <w:trPr>
          <w:trHeight w:val="290"/>
        </w:trPr>
        <w:tc>
          <w:tcPr>
            <w:tcW w:w="3048"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r>
      <w:tr w:rsidR="00607E9F">
        <w:trPr>
          <w:trHeight w:val="290"/>
        </w:trPr>
        <w:tc>
          <w:tcPr>
            <w:tcW w:w="3048"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b/>
                <w:color w:val="000000"/>
                <w:sz w:val="22"/>
              </w:rPr>
            </w:pPr>
            <w:r>
              <w:rPr>
                <w:rFonts w:ascii="Calibri" w:hAnsi="Calibri" w:cs="Calibri"/>
                <w:b/>
                <w:color w:val="000000"/>
                <w:sz w:val="22"/>
                <w:lang w:val="en-US"/>
              </w:rPr>
              <w:t>Instrument accuracy (Degrees)</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0.5</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0.5</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0.5</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0.5</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0.5</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0.5</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0.5</w:t>
            </w:r>
          </w:p>
        </w:tc>
      </w:tr>
      <w:tr w:rsidR="00607E9F">
        <w:trPr>
          <w:trHeight w:val="290"/>
        </w:trPr>
        <w:tc>
          <w:tcPr>
            <w:tcW w:w="3048"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r>
      <w:tr w:rsidR="00607E9F">
        <w:trPr>
          <w:trHeight w:val="290"/>
        </w:trPr>
        <w:tc>
          <w:tcPr>
            <w:tcW w:w="3048"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r>
              <w:rPr>
                <w:rFonts w:ascii="Calibri" w:hAnsi="Calibri" w:cs="Calibri"/>
                <w:color w:val="000000"/>
                <w:sz w:val="22"/>
                <w:lang w:val="en-US"/>
              </w:rPr>
              <w:t>Total uncertainty</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4.39 </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4.39 </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4.29 </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3.23 </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4.68 </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4.39 </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4.39 </w:t>
            </w:r>
          </w:p>
        </w:tc>
      </w:tr>
      <w:tr w:rsidR="00607E9F">
        <w:trPr>
          <w:trHeight w:val="290"/>
        </w:trPr>
        <w:tc>
          <w:tcPr>
            <w:tcW w:w="3048"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r>
              <w:rPr>
                <w:rFonts w:ascii="Calibri" w:hAnsi="Calibri" w:cs="Calibri"/>
                <w:color w:val="000000"/>
                <w:sz w:val="22"/>
                <w:lang w:val="en-US"/>
              </w:rPr>
              <w:t>Lower bound</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159.61 </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185.61 </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215.71 </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221.77 </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280.32 </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305.61 </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326.61 </w:t>
            </w:r>
          </w:p>
        </w:tc>
      </w:tr>
      <w:tr w:rsidR="00607E9F">
        <w:trPr>
          <w:trHeight w:val="290"/>
        </w:trPr>
        <w:tc>
          <w:tcPr>
            <w:tcW w:w="3048"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r>
              <w:rPr>
                <w:rFonts w:ascii="Calibri" w:hAnsi="Calibri" w:cs="Calibri"/>
                <w:color w:val="000000"/>
                <w:sz w:val="22"/>
                <w:lang w:val="en-US"/>
              </w:rPr>
              <w:t>Middle</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164.00</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190.00</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220.00</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225.00</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285.00</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310.00</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331.00</w:t>
            </w:r>
          </w:p>
        </w:tc>
      </w:tr>
      <w:tr w:rsidR="00607E9F">
        <w:trPr>
          <w:trHeight w:val="290"/>
        </w:trPr>
        <w:tc>
          <w:tcPr>
            <w:tcW w:w="3048"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r>
              <w:rPr>
                <w:rFonts w:ascii="Calibri" w:hAnsi="Calibri" w:cs="Calibri"/>
                <w:color w:val="000000"/>
                <w:sz w:val="22"/>
                <w:lang w:val="en-US"/>
              </w:rPr>
              <w:t>Upper bound</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168.39 </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194.39 </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224.29 </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228.23 </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289.68 </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314.39 </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335.39 </w:t>
            </w:r>
          </w:p>
        </w:tc>
      </w:tr>
    </w:tbl>
    <w:p w:rsidR="00607E9F" w:rsidRDefault="00607E9F">
      <w:pPr>
        <w:rPr>
          <w:rFonts w:ascii="Arial" w:hAnsi="Arial"/>
        </w:rPr>
      </w:pPr>
    </w:p>
    <w:tbl>
      <w:tblPr>
        <w:tblW w:w="0" w:type="auto"/>
        <w:tblLayout w:type="fixed"/>
        <w:tblCellMar>
          <w:left w:w="0" w:type="dxa"/>
          <w:right w:w="0" w:type="dxa"/>
        </w:tblCellMar>
        <w:tblLook w:val="0000"/>
      </w:tblPr>
      <w:tblGrid>
        <w:gridCol w:w="3048"/>
        <w:gridCol w:w="974"/>
        <w:gridCol w:w="974"/>
        <w:gridCol w:w="974"/>
        <w:gridCol w:w="974"/>
      </w:tblGrid>
      <w:tr w:rsidR="00607E9F" w:rsidRPr="00B217BC">
        <w:trPr>
          <w:trHeight w:val="290"/>
        </w:trPr>
        <w:tc>
          <w:tcPr>
            <w:tcW w:w="3048" w:type="dxa"/>
            <w:tcBorders>
              <w:top w:val="nil"/>
              <w:left w:val="nil"/>
              <w:bottom w:val="nil"/>
              <w:right w:val="nil"/>
            </w:tcBorders>
            <w:noWrap/>
            <w:tcMar>
              <w:top w:w="10" w:type="dxa"/>
              <w:left w:w="10" w:type="dxa"/>
              <w:right w:w="10" w:type="dxa"/>
            </w:tcMar>
            <w:vAlign w:val="bottom"/>
          </w:tcPr>
          <w:p w:rsidR="00607E9F" w:rsidRPr="00B217BC" w:rsidRDefault="00607E9F">
            <w:pPr>
              <w:rPr>
                <w:rFonts w:ascii="Calibri" w:hAnsi="Calibri" w:cs="Calibri"/>
                <w:color w:val="3366FF"/>
                <w:sz w:val="22"/>
              </w:rPr>
            </w:pPr>
          </w:p>
        </w:tc>
        <w:tc>
          <w:tcPr>
            <w:tcW w:w="974" w:type="dxa"/>
            <w:tcBorders>
              <w:top w:val="nil"/>
              <w:left w:val="nil"/>
              <w:bottom w:val="nil"/>
              <w:right w:val="nil"/>
            </w:tcBorders>
            <w:noWrap/>
            <w:tcMar>
              <w:top w:w="10" w:type="dxa"/>
              <w:left w:w="10" w:type="dxa"/>
              <w:right w:w="10" w:type="dxa"/>
            </w:tcMar>
            <w:vAlign w:val="bottom"/>
          </w:tcPr>
          <w:p w:rsidR="00607E9F" w:rsidRPr="00B217BC" w:rsidRDefault="00607E9F">
            <w:pPr>
              <w:textAlignment w:val="bottom"/>
              <w:rPr>
                <w:rFonts w:ascii="Calibri" w:hAnsi="Calibri" w:cs="Calibri"/>
                <w:color w:val="3366FF"/>
                <w:sz w:val="22"/>
              </w:rPr>
            </w:pPr>
            <w:r w:rsidRPr="00B217BC">
              <w:rPr>
                <w:rFonts w:ascii="Calibri" w:hAnsi="Calibri" w:cs="Calibri"/>
                <w:color w:val="3366FF"/>
                <w:sz w:val="22"/>
                <w:lang w:val="en-US"/>
              </w:rPr>
              <w:t>Stone 8</w:t>
            </w:r>
          </w:p>
        </w:tc>
        <w:tc>
          <w:tcPr>
            <w:tcW w:w="974" w:type="dxa"/>
            <w:tcBorders>
              <w:top w:val="nil"/>
              <w:left w:val="nil"/>
              <w:bottom w:val="nil"/>
              <w:right w:val="nil"/>
            </w:tcBorders>
            <w:noWrap/>
            <w:tcMar>
              <w:top w:w="10" w:type="dxa"/>
              <w:left w:w="10" w:type="dxa"/>
              <w:right w:w="10" w:type="dxa"/>
            </w:tcMar>
            <w:vAlign w:val="bottom"/>
          </w:tcPr>
          <w:p w:rsidR="00607E9F" w:rsidRPr="00B217BC" w:rsidRDefault="00607E9F">
            <w:pPr>
              <w:textAlignment w:val="bottom"/>
              <w:rPr>
                <w:rFonts w:ascii="Calibri" w:hAnsi="Calibri" w:cs="Calibri"/>
                <w:color w:val="3366FF"/>
                <w:sz w:val="22"/>
              </w:rPr>
            </w:pPr>
            <w:r w:rsidRPr="00B217BC">
              <w:rPr>
                <w:rFonts w:ascii="Calibri" w:hAnsi="Calibri" w:cs="Calibri"/>
                <w:color w:val="3366FF"/>
                <w:sz w:val="22"/>
                <w:lang w:val="en-US"/>
              </w:rPr>
              <w:t>Stone 9</w:t>
            </w:r>
          </w:p>
        </w:tc>
        <w:tc>
          <w:tcPr>
            <w:tcW w:w="974" w:type="dxa"/>
            <w:tcBorders>
              <w:top w:val="nil"/>
              <w:left w:val="nil"/>
              <w:bottom w:val="nil"/>
              <w:right w:val="nil"/>
            </w:tcBorders>
            <w:noWrap/>
            <w:tcMar>
              <w:top w:w="10" w:type="dxa"/>
              <w:left w:w="10" w:type="dxa"/>
              <w:right w:w="10" w:type="dxa"/>
            </w:tcMar>
            <w:vAlign w:val="bottom"/>
          </w:tcPr>
          <w:p w:rsidR="00607E9F" w:rsidRPr="00B217BC" w:rsidRDefault="00607E9F">
            <w:pPr>
              <w:textAlignment w:val="bottom"/>
              <w:rPr>
                <w:rFonts w:ascii="Calibri" w:hAnsi="Calibri" w:cs="Calibri"/>
                <w:color w:val="3366FF"/>
                <w:sz w:val="22"/>
              </w:rPr>
            </w:pPr>
            <w:r w:rsidRPr="00B217BC">
              <w:rPr>
                <w:rFonts w:ascii="Calibri" w:hAnsi="Calibri" w:cs="Calibri"/>
                <w:color w:val="3366FF"/>
                <w:sz w:val="22"/>
                <w:lang w:val="en-US"/>
              </w:rPr>
              <w:t>Stone 10</w:t>
            </w:r>
          </w:p>
        </w:tc>
        <w:tc>
          <w:tcPr>
            <w:tcW w:w="974" w:type="dxa"/>
            <w:tcBorders>
              <w:top w:val="nil"/>
              <w:left w:val="nil"/>
              <w:bottom w:val="nil"/>
              <w:right w:val="nil"/>
            </w:tcBorders>
            <w:noWrap/>
            <w:tcMar>
              <w:top w:w="10" w:type="dxa"/>
              <w:left w:w="10" w:type="dxa"/>
              <w:right w:w="10" w:type="dxa"/>
            </w:tcMar>
            <w:vAlign w:val="bottom"/>
          </w:tcPr>
          <w:p w:rsidR="00607E9F" w:rsidRPr="00B217BC" w:rsidRDefault="00607E9F">
            <w:pPr>
              <w:textAlignment w:val="bottom"/>
              <w:rPr>
                <w:rFonts w:ascii="Calibri" w:hAnsi="Calibri" w:cs="Calibri"/>
                <w:color w:val="3366FF"/>
                <w:sz w:val="22"/>
              </w:rPr>
            </w:pPr>
            <w:r w:rsidRPr="00B217BC">
              <w:rPr>
                <w:rFonts w:ascii="Calibri" w:hAnsi="Calibri" w:cs="Calibri"/>
                <w:color w:val="3366FF"/>
                <w:sz w:val="22"/>
                <w:lang w:val="en-US"/>
              </w:rPr>
              <w:t>Stone 11</w:t>
            </w:r>
          </w:p>
        </w:tc>
      </w:tr>
      <w:tr w:rsidR="00607E9F">
        <w:trPr>
          <w:trHeight w:val="290"/>
        </w:trPr>
        <w:tc>
          <w:tcPr>
            <w:tcW w:w="3048"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r>
              <w:rPr>
                <w:rFonts w:ascii="Calibri" w:hAnsi="Calibri" w:cs="Calibri"/>
                <w:color w:val="000000"/>
                <w:sz w:val="22"/>
                <w:lang w:val="en-US"/>
              </w:rPr>
              <w:t>Stone width (m)</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1.4</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1.4</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1.4</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1.4</w:t>
            </w:r>
          </w:p>
        </w:tc>
      </w:tr>
      <w:tr w:rsidR="00607E9F">
        <w:trPr>
          <w:trHeight w:val="290"/>
        </w:trPr>
        <w:tc>
          <w:tcPr>
            <w:tcW w:w="3048"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r>
              <w:rPr>
                <w:rFonts w:ascii="Calibri" w:hAnsi="Calibri" w:cs="Calibri"/>
                <w:color w:val="000000"/>
                <w:sz w:val="22"/>
                <w:lang w:val="en-US"/>
              </w:rPr>
              <w:t>Stone breadth</w:t>
            </w:r>
            <w:r>
              <w:rPr>
                <w:rFonts w:ascii="Calibri" w:hAnsi="Calibri" w:cs="Calibri"/>
                <w:color w:val="000000"/>
                <w:sz w:val="22"/>
              </w:rPr>
              <w:t xml:space="preserve"> </w:t>
            </w:r>
            <w:r>
              <w:rPr>
                <w:rFonts w:ascii="Calibri" w:hAnsi="Calibri" w:cs="Calibri"/>
                <w:color w:val="000000"/>
                <w:sz w:val="22"/>
                <w:lang w:val="en-US"/>
              </w:rPr>
              <w:t>(m)</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0.3</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0.3</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0.4</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0.3</w:t>
            </w:r>
          </w:p>
        </w:tc>
      </w:tr>
      <w:tr w:rsidR="00607E9F">
        <w:trPr>
          <w:trHeight w:val="290"/>
        </w:trPr>
        <w:tc>
          <w:tcPr>
            <w:tcW w:w="3048"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r>
              <w:rPr>
                <w:rFonts w:ascii="Calibri" w:hAnsi="Calibri" w:cs="Calibri"/>
                <w:color w:val="000000"/>
                <w:sz w:val="22"/>
              </w:rPr>
              <w:t>M</w:t>
            </w:r>
            <w:r>
              <w:rPr>
                <w:rFonts w:ascii="Calibri" w:hAnsi="Calibri" w:cs="Calibri"/>
                <w:color w:val="000000"/>
                <w:sz w:val="22"/>
                <w:lang w:val="en-US"/>
              </w:rPr>
              <w:t>easured a</w:t>
            </w:r>
            <w:r>
              <w:rPr>
                <w:rFonts w:ascii="Calibri" w:hAnsi="Calibri" w:cs="Calibri"/>
                <w:color w:val="000000"/>
                <w:sz w:val="22"/>
              </w:rPr>
              <w:t>zimuth</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10</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40</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80</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106</w:t>
            </w:r>
          </w:p>
        </w:tc>
      </w:tr>
      <w:tr w:rsidR="00607E9F">
        <w:trPr>
          <w:trHeight w:val="290"/>
        </w:trPr>
        <w:tc>
          <w:tcPr>
            <w:tcW w:w="3048"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r>
      <w:tr w:rsidR="00607E9F">
        <w:trPr>
          <w:trHeight w:val="290"/>
        </w:trPr>
        <w:tc>
          <w:tcPr>
            <w:tcW w:w="3048"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b/>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r>
      <w:tr w:rsidR="00607E9F">
        <w:trPr>
          <w:trHeight w:val="290"/>
        </w:trPr>
        <w:tc>
          <w:tcPr>
            <w:tcW w:w="3048"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r>
              <w:rPr>
                <w:rFonts w:ascii="Calibri" w:hAnsi="Calibri" w:cs="Calibri"/>
                <w:color w:val="000000"/>
                <w:sz w:val="22"/>
                <w:lang w:val="en-US"/>
              </w:rPr>
              <w:t>Range (m)</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15</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15</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15</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15</w:t>
            </w:r>
          </w:p>
        </w:tc>
      </w:tr>
      <w:tr w:rsidR="00607E9F">
        <w:trPr>
          <w:trHeight w:val="290"/>
        </w:trPr>
        <w:tc>
          <w:tcPr>
            <w:tcW w:w="3048"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r>
              <w:rPr>
                <w:rFonts w:ascii="Calibri" w:hAnsi="Calibri" w:cs="Calibri"/>
                <w:color w:val="000000"/>
                <w:sz w:val="22"/>
                <w:lang w:val="en-US"/>
              </w:rPr>
              <w:t>Range uncertainty</w:t>
            </w:r>
            <w:r>
              <w:rPr>
                <w:rFonts w:ascii="Calibri" w:hAnsi="Calibri" w:cs="Calibri"/>
                <w:color w:val="000000"/>
                <w:sz w:val="22"/>
              </w:rPr>
              <w:t xml:space="preserve"> </w:t>
            </w:r>
            <w:r>
              <w:rPr>
                <w:rFonts w:ascii="Calibri" w:hAnsi="Calibri" w:cs="Calibri"/>
                <w:color w:val="000000"/>
                <w:sz w:val="22"/>
                <w:lang w:val="en-US"/>
              </w:rPr>
              <w:t>(m)</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0.3</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0.3</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0.3</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0.3</w:t>
            </w:r>
          </w:p>
        </w:tc>
      </w:tr>
      <w:tr w:rsidR="00607E9F">
        <w:trPr>
          <w:trHeight w:val="290"/>
        </w:trPr>
        <w:tc>
          <w:tcPr>
            <w:tcW w:w="3048"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r>
              <w:rPr>
                <w:rFonts w:ascii="Calibri" w:hAnsi="Calibri" w:cs="Calibri"/>
                <w:color w:val="000000"/>
                <w:sz w:val="22"/>
              </w:rPr>
              <w:t>N</w:t>
            </w:r>
            <w:r>
              <w:rPr>
                <w:rFonts w:ascii="Calibri" w:hAnsi="Calibri" w:cs="Calibri"/>
                <w:color w:val="000000"/>
                <w:sz w:val="22"/>
                <w:lang w:val="en-US"/>
              </w:rPr>
              <w:t>ear width uncertainty</w:t>
            </w:r>
            <w:r>
              <w:rPr>
                <w:rFonts w:ascii="Calibri" w:hAnsi="Calibri" w:cs="Calibri"/>
                <w:color w:val="000000"/>
                <w:sz w:val="22"/>
              </w:rPr>
              <w:t xml:space="preserve"> </w:t>
            </w:r>
            <w:r>
              <w:rPr>
                <w:rFonts w:ascii="Calibri" w:hAnsi="Calibri" w:cs="Calibri"/>
                <w:color w:val="000000"/>
                <w:sz w:val="22"/>
                <w:lang w:val="en-US"/>
              </w:rPr>
              <w:t>(m)</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0.3</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0.3</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0.3</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0.3</w:t>
            </w:r>
          </w:p>
        </w:tc>
      </w:tr>
      <w:tr w:rsidR="00607E9F">
        <w:trPr>
          <w:trHeight w:val="290"/>
        </w:trPr>
        <w:tc>
          <w:tcPr>
            <w:tcW w:w="3048"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r>
              <w:rPr>
                <w:rFonts w:ascii="Calibri" w:hAnsi="Calibri" w:cs="Calibri"/>
                <w:color w:val="000000"/>
                <w:sz w:val="22"/>
              </w:rPr>
              <w:t>F</w:t>
            </w:r>
            <w:r>
              <w:rPr>
                <w:rFonts w:ascii="Calibri" w:hAnsi="Calibri" w:cs="Calibri"/>
                <w:color w:val="000000"/>
                <w:sz w:val="22"/>
                <w:lang w:val="en-US"/>
              </w:rPr>
              <w:t>ar width uncertainty</w:t>
            </w:r>
            <w:r>
              <w:rPr>
                <w:rFonts w:ascii="Calibri" w:hAnsi="Calibri" w:cs="Calibri"/>
                <w:color w:val="000000"/>
                <w:sz w:val="22"/>
              </w:rPr>
              <w:t xml:space="preserve"> </w:t>
            </w:r>
            <w:r>
              <w:rPr>
                <w:rFonts w:ascii="Calibri" w:hAnsi="Calibri" w:cs="Calibri"/>
                <w:color w:val="000000"/>
                <w:sz w:val="22"/>
                <w:lang w:val="en-US"/>
              </w:rPr>
              <w:t>(</w:t>
            </w:r>
            <w:r>
              <w:rPr>
                <w:rFonts w:ascii="Calibri" w:hAnsi="Calibri" w:cs="Calibri"/>
                <w:color w:val="000000"/>
                <w:sz w:val="22"/>
              </w:rPr>
              <w:t>m</w:t>
            </w:r>
            <w:r>
              <w:rPr>
                <w:rFonts w:ascii="Calibri" w:hAnsi="Calibri" w:cs="Calibri"/>
                <w:color w:val="000000"/>
                <w:sz w:val="22"/>
                <w:lang w:val="en-US"/>
              </w:rPr>
              <w:t>)</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0.7</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0.7</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0.7</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0.7</w:t>
            </w:r>
          </w:p>
        </w:tc>
      </w:tr>
      <w:tr w:rsidR="00607E9F">
        <w:trPr>
          <w:trHeight w:val="290"/>
        </w:trPr>
        <w:tc>
          <w:tcPr>
            <w:tcW w:w="3048"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r>
      <w:tr w:rsidR="00607E9F">
        <w:trPr>
          <w:trHeight w:val="290"/>
        </w:trPr>
        <w:tc>
          <w:tcPr>
            <w:tcW w:w="3048"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r>
              <w:rPr>
                <w:rFonts w:ascii="Calibri" w:hAnsi="Calibri" w:cs="Calibri"/>
                <w:color w:val="000000"/>
                <w:sz w:val="22"/>
              </w:rPr>
              <w:t>Azimuth uncertainty</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3.89 </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3.89 </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3.89 </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3.89 </w:t>
            </w:r>
          </w:p>
        </w:tc>
      </w:tr>
      <w:tr w:rsidR="00607E9F">
        <w:trPr>
          <w:trHeight w:val="290"/>
        </w:trPr>
        <w:tc>
          <w:tcPr>
            <w:tcW w:w="3048"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r>
      <w:tr w:rsidR="00607E9F">
        <w:trPr>
          <w:trHeight w:val="290"/>
        </w:trPr>
        <w:tc>
          <w:tcPr>
            <w:tcW w:w="3048"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b/>
                <w:color w:val="000000"/>
                <w:sz w:val="22"/>
              </w:rPr>
            </w:pPr>
            <w:r>
              <w:rPr>
                <w:rFonts w:ascii="Calibri" w:hAnsi="Calibri" w:cs="Calibri"/>
                <w:b/>
                <w:color w:val="000000"/>
                <w:sz w:val="22"/>
                <w:lang w:val="en-US"/>
              </w:rPr>
              <w:t>Instrument accuracy (Degrees)</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0.5</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0.5</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0.5</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0.5</w:t>
            </w:r>
          </w:p>
        </w:tc>
      </w:tr>
      <w:tr w:rsidR="00607E9F">
        <w:trPr>
          <w:trHeight w:val="290"/>
        </w:trPr>
        <w:tc>
          <w:tcPr>
            <w:tcW w:w="3048"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r>
      <w:tr w:rsidR="00607E9F">
        <w:trPr>
          <w:trHeight w:val="290"/>
        </w:trPr>
        <w:tc>
          <w:tcPr>
            <w:tcW w:w="3048"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r>
              <w:rPr>
                <w:rFonts w:ascii="Calibri" w:hAnsi="Calibri" w:cs="Calibri"/>
                <w:color w:val="000000"/>
                <w:sz w:val="22"/>
                <w:lang w:val="en-US"/>
              </w:rPr>
              <w:t>Total uncertainty</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4.39 </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4.39 </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4.39 </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4.39 </w:t>
            </w:r>
          </w:p>
        </w:tc>
      </w:tr>
      <w:tr w:rsidR="00607E9F">
        <w:trPr>
          <w:trHeight w:val="290"/>
        </w:trPr>
        <w:tc>
          <w:tcPr>
            <w:tcW w:w="3048"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r>
              <w:rPr>
                <w:rFonts w:ascii="Calibri" w:hAnsi="Calibri" w:cs="Calibri"/>
                <w:color w:val="000000"/>
                <w:sz w:val="22"/>
                <w:lang w:val="en-US"/>
              </w:rPr>
              <w:t>Lower bound</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5.61 </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35.61 </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75.61 </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101.61 </w:t>
            </w:r>
          </w:p>
        </w:tc>
      </w:tr>
      <w:tr w:rsidR="00607E9F">
        <w:trPr>
          <w:trHeight w:val="290"/>
        </w:trPr>
        <w:tc>
          <w:tcPr>
            <w:tcW w:w="3048"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r>
              <w:rPr>
                <w:rFonts w:ascii="Calibri" w:hAnsi="Calibri" w:cs="Calibri"/>
                <w:color w:val="000000"/>
                <w:sz w:val="22"/>
                <w:lang w:val="en-US"/>
              </w:rPr>
              <w:t>Middle</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10.00</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40.00</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80.00</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106.00</w:t>
            </w:r>
          </w:p>
        </w:tc>
      </w:tr>
      <w:tr w:rsidR="00607E9F">
        <w:trPr>
          <w:trHeight w:val="290"/>
        </w:trPr>
        <w:tc>
          <w:tcPr>
            <w:tcW w:w="3048"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r>
              <w:rPr>
                <w:rFonts w:ascii="Calibri" w:hAnsi="Calibri" w:cs="Calibri"/>
                <w:color w:val="000000"/>
                <w:sz w:val="22"/>
                <w:lang w:val="en-US"/>
              </w:rPr>
              <w:t>Upper bound</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14.39 </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44.39 </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84.39 </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110.39 </w:t>
            </w:r>
          </w:p>
        </w:tc>
      </w:tr>
    </w:tbl>
    <w:p w:rsidR="00607E9F" w:rsidRDefault="00607E9F">
      <w:pPr>
        <w:rPr>
          <w:rFonts w:ascii="Arial" w:hAnsi="Arial"/>
        </w:rPr>
      </w:pPr>
    </w:p>
    <w:p w:rsidR="00607E9F" w:rsidRDefault="00607E9F">
      <w:pPr>
        <w:rPr>
          <w:rFonts w:ascii="Arial" w:hAnsi="Arial"/>
        </w:rPr>
      </w:pPr>
    </w:p>
    <w:tbl>
      <w:tblPr>
        <w:tblW w:w="0" w:type="auto"/>
        <w:tblLayout w:type="fixed"/>
        <w:tblCellMar>
          <w:left w:w="0" w:type="dxa"/>
          <w:right w:w="0" w:type="dxa"/>
        </w:tblCellMar>
        <w:tblLook w:val="0000"/>
      </w:tblPr>
      <w:tblGrid>
        <w:gridCol w:w="3048"/>
        <w:gridCol w:w="974"/>
        <w:gridCol w:w="974"/>
        <w:gridCol w:w="974"/>
        <w:gridCol w:w="974"/>
        <w:gridCol w:w="974"/>
        <w:gridCol w:w="1028"/>
        <w:gridCol w:w="974"/>
        <w:gridCol w:w="974"/>
        <w:gridCol w:w="1028"/>
        <w:gridCol w:w="974"/>
      </w:tblGrid>
      <w:tr w:rsidR="00607E9F">
        <w:trPr>
          <w:trHeight w:val="290"/>
        </w:trPr>
        <w:tc>
          <w:tcPr>
            <w:tcW w:w="3048"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b/>
                <w:color w:val="000000"/>
                <w:sz w:val="22"/>
              </w:rPr>
            </w:pPr>
            <w:r>
              <w:rPr>
                <w:rFonts w:ascii="Calibri" w:hAnsi="Calibri" w:cs="Calibri"/>
                <w:b/>
                <w:color w:val="0000FF"/>
                <w:sz w:val="22"/>
              </w:rPr>
              <w:t>Entrances</w:t>
            </w:r>
          </w:p>
        </w:tc>
        <w:tc>
          <w:tcPr>
            <w:tcW w:w="974" w:type="dxa"/>
            <w:tcBorders>
              <w:top w:val="nil"/>
              <w:left w:val="nil"/>
              <w:bottom w:val="nil"/>
              <w:right w:val="nil"/>
            </w:tcBorders>
            <w:noWrap/>
            <w:tcMar>
              <w:top w:w="10" w:type="dxa"/>
              <w:left w:w="10" w:type="dxa"/>
              <w:right w:w="10" w:type="dxa"/>
            </w:tcMar>
            <w:vAlign w:val="bottom"/>
          </w:tcPr>
          <w:p w:rsidR="00607E9F" w:rsidRPr="00B217BC" w:rsidRDefault="00607E9F">
            <w:pPr>
              <w:rPr>
                <w:rFonts w:ascii="Calibri" w:hAnsi="Calibri" w:cs="Calibri"/>
                <w:color w:val="3366FF"/>
                <w:sz w:val="22"/>
              </w:rPr>
            </w:pPr>
          </w:p>
        </w:tc>
        <w:tc>
          <w:tcPr>
            <w:tcW w:w="974" w:type="dxa"/>
            <w:tcBorders>
              <w:top w:val="nil"/>
              <w:left w:val="nil"/>
              <w:bottom w:val="nil"/>
              <w:right w:val="nil"/>
            </w:tcBorders>
            <w:noWrap/>
            <w:tcMar>
              <w:top w:w="10" w:type="dxa"/>
              <w:left w:w="10" w:type="dxa"/>
              <w:right w:w="10" w:type="dxa"/>
            </w:tcMar>
            <w:vAlign w:val="bottom"/>
          </w:tcPr>
          <w:p w:rsidR="00607E9F" w:rsidRPr="00B217BC" w:rsidRDefault="00607E9F">
            <w:pPr>
              <w:rPr>
                <w:rFonts w:ascii="Calibri" w:hAnsi="Calibri" w:cs="Calibri"/>
                <w:color w:val="3366FF"/>
                <w:sz w:val="22"/>
              </w:rPr>
            </w:pPr>
          </w:p>
        </w:tc>
        <w:tc>
          <w:tcPr>
            <w:tcW w:w="974" w:type="dxa"/>
            <w:tcBorders>
              <w:top w:val="nil"/>
              <w:left w:val="nil"/>
              <w:bottom w:val="nil"/>
              <w:right w:val="nil"/>
            </w:tcBorders>
            <w:noWrap/>
            <w:tcMar>
              <w:top w:w="10" w:type="dxa"/>
              <w:left w:w="10" w:type="dxa"/>
              <w:right w:w="10" w:type="dxa"/>
            </w:tcMar>
            <w:vAlign w:val="bottom"/>
          </w:tcPr>
          <w:p w:rsidR="00607E9F" w:rsidRPr="00B217BC" w:rsidRDefault="00607E9F">
            <w:pPr>
              <w:rPr>
                <w:rFonts w:ascii="Calibri" w:hAnsi="Calibri" w:cs="Calibri"/>
                <w:color w:val="3366FF"/>
                <w:sz w:val="22"/>
              </w:rPr>
            </w:pPr>
          </w:p>
        </w:tc>
        <w:tc>
          <w:tcPr>
            <w:tcW w:w="974" w:type="dxa"/>
            <w:tcBorders>
              <w:top w:val="nil"/>
              <w:left w:val="nil"/>
              <w:bottom w:val="nil"/>
              <w:right w:val="nil"/>
            </w:tcBorders>
            <w:noWrap/>
            <w:tcMar>
              <w:top w:w="10" w:type="dxa"/>
              <w:left w:w="10" w:type="dxa"/>
              <w:right w:w="10" w:type="dxa"/>
            </w:tcMar>
            <w:vAlign w:val="bottom"/>
          </w:tcPr>
          <w:p w:rsidR="00607E9F" w:rsidRPr="00B217BC" w:rsidRDefault="00607E9F">
            <w:pPr>
              <w:rPr>
                <w:rFonts w:ascii="Calibri" w:hAnsi="Calibri" w:cs="Calibri"/>
                <w:color w:val="3366FF"/>
                <w:sz w:val="22"/>
              </w:rPr>
            </w:pPr>
          </w:p>
        </w:tc>
        <w:tc>
          <w:tcPr>
            <w:tcW w:w="974" w:type="dxa"/>
            <w:tcBorders>
              <w:top w:val="nil"/>
              <w:left w:val="nil"/>
              <w:bottom w:val="nil"/>
              <w:right w:val="nil"/>
            </w:tcBorders>
            <w:noWrap/>
            <w:tcMar>
              <w:top w:w="10" w:type="dxa"/>
              <w:left w:w="10" w:type="dxa"/>
              <w:right w:w="10" w:type="dxa"/>
            </w:tcMar>
            <w:vAlign w:val="bottom"/>
          </w:tcPr>
          <w:p w:rsidR="00607E9F" w:rsidRPr="00B217BC" w:rsidRDefault="00607E9F">
            <w:pPr>
              <w:rPr>
                <w:rFonts w:ascii="Calibri" w:hAnsi="Calibri" w:cs="Calibri"/>
                <w:color w:val="3366FF"/>
                <w:sz w:val="22"/>
              </w:rPr>
            </w:pPr>
          </w:p>
        </w:tc>
        <w:tc>
          <w:tcPr>
            <w:tcW w:w="1028" w:type="dxa"/>
            <w:tcBorders>
              <w:top w:val="nil"/>
              <w:left w:val="nil"/>
              <w:bottom w:val="nil"/>
              <w:right w:val="nil"/>
            </w:tcBorders>
            <w:noWrap/>
            <w:tcMar>
              <w:top w:w="10" w:type="dxa"/>
              <w:left w:w="10" w:type="dxa"/>
              <w:right w:w="10" w:type="dxa"/>
            </w:tcMar>
            <w:vAlign w:val="bottom"/>
          </w:tcPr>
          <w:p w:rsidR="00607E9F" w:rsidRPr="00B217BC" w:rsidRDefault="00607E9F">
            <w:pPr>
              <w:rPr>
                <w:rFonts w:ascii="Calibri" w:hAnsi="Calibri" w:cs="Calibri"/>
                <w:color w:val="3366FF"/>
                <w:sz w:val="22"/>
              </w:rPr>
            </w:pPr>
          </w:p>
        </w:tc>
        <w:tc>
          <w:tcPr>
            <w:tcW w:w="974" w:type="dxa"/>
            <w:tcBorders>
              <w:top w:val="nil"/>
              <w:left w:val="nil"/>
              <w:bottom w:val="nil"/>
              <w:right w:val="nil"/>
            </w:tcBorders>
            <w:noWrap/>
            <w:tcMar>
              <w:top w:w="10" w:type="dxa"/>
              <w:left w:w="10" w:type="dxa"/>
              <w:right w:w="10" w:type="dxa"/>
            </w:tcMar>
            <w:vAlign w:val="bottom"/>
          </w:tcPr>
          <w:p w:rsidR="00607E9F" w:rsidRPr="00B217BC" w:rsidRDefault="00607E9F">
            <w:pPr>
              <w:rPr>
                <w:rFonts w:ascii="Calibri" w:hAnsi="Calibri" w:cs="Calibri"/>
                <w:color w:val="3366FF"/>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1028"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r>
      <w:tr w:rsidR="00607E9F">
        <w:trPr>
          <w:trHeight w:val="290"/>
        </w:trPr>
        <w:tc>
          <w:tcPr>
            <w:tcW w:w="3048"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Pr="00B217BC" w:rsidRDefault="00607E9F">
            <w:pPr>
              <w:textAlignment w:val="bottom"/>
              <w:rPr>
                <w:rFonts w:ascii="Calibri" w:hAnsi="Calibri" w:cs="Calibri"/>
                <w:color w:val="3366FF"/>
                <w:sz w:val="22"/>
              </w:rPr>
            </w:pPr>
            <w:r w:rsidRPr="00B217BC">
              <w:rPr>
                <w:rFonts w:ascii="Calibri" w:hAnsi="Calibri" w:cs="Calibri"/>
                <w:color w:val="3366FF"/>
                <w:sz w:val="22"/>
              </w:rPr>
              <w:t xml:space="preserve">Ness </w:t>
            </w:r>
            <w:r w:rsidRPr="00B217BC">
              <w:rPr>
                <w:rFonts w:ascii="Calibri" w:hAnsi="Calibri" w:cs="Calibri"/>
                <w:color w:val="3366FF"/>
                <w:sz w:val="22"/>
                <w:lang w:val="en-US"/>
              </w:rPr>
              <w:t>1</w:t>
            </w:r>
          </w:p>
        </w:tc>
        <w:tc>
          <w:tcPr>
            <w:tcW w:w="974" w:type="dxa"/>
            <w:tcBorders>
              <w:top w:val="nil"/>
              <w:left w:val="nil"/>
              <w:bottom w:val="nil"/>
              <w:right w:val="nil"/>
            </w:tcBorders>
            <w:noWrap/>
            <w:tcMar>
              <w:top w:w="10" w:type="dxa"/>
              <w:left w:w="10" w:type="dxa"/>
              <w:right w:w="10" w:type="dxa"/>
            </w:tcMar>
            <w:vAlign w:val="bottom"/>
          </w:tcPr>
          <w:p w:rsidR="00607E9F" w:rsidRPr="00B217BC" w:rsidRDefault="00607E9F">
            <w:pPr>
              <w:textAlignment w:val="bottom"/>
              <w:rPr>
                <w:rFonts w:ascii="Calibri" w:hAnsi="Calibri" w:cs="Calibri"/>
                <w:color w:val="3366FF"/>
                <w:sz w:val="22"/>
              </w:rPr>
            </w:pPr>
            <w:r w:rsidRPr="00B217BC">
              <w:rPr>
                <w:rFonts w:ascii="Calibri" w:hAnsi="Calibri" w:cs="Calibri"/>
                <w:color w:val="3366FF"/>
                <w:sz w:val="22"/>
              </w:rPr>
              <w:t xml:space="preserve">Ness </w:t>
            </w:r>
            <w:r w:rsidRPr="00B217BC">
              <w:rPr>
                <w:rFonts w:ascii="Calibri" w:hAnsi="Calibri" w:cs="Calibri"/>
                <w:color w:val="3366FF"/>
                <w:sz w:val="22"/>
                <w:lang w:val="en-US"/>
              </w:rPr>
              <w:t>1</w:t>
            </w:r>
          </w:p>
        </w:tc>
        <w:tc>
          <w:tcPr>
            <w:tcW w:w="974" w:type="dxa"/>
            <w:tcBorders>
              <w:top w:val="nil"/>
              <w:left w:val="nil"/>
              <w:bottom w:val="nil"/>
              <w:right w:val="nil"/>
            </w:tcBorders>
            <w:noWrap/>
            <w:tcMar>
              <w:top w:w="10" w:type="dxa"/>
              <w:left w:w="10" w:type="dxa"/>
              <w:right w:w="10" w:type="dxa"/>
            </w:tcMar>
            <w:vAlign w:val="bottom"/>
          </w:tcPr>
          <w:p w:rsidR="00607E9F" w:rsidRPr="00B217BC" w:rsidRDefault="00607E9F">
            <w:pPr>
              <w:textAlignment w:val="bottom"/>
              <w:rPr>
                <w:rFonts w:ascii="Calibri" w:hAnsi="Calibri" w:cs="Calibri"/>
                <w:color w:val="3366FF"/>
                <w:sz w:val="22"/>
              </w:rPr>
            </w:pPr>
            <w:r w:rsidRPr="00B217BC">
              <w:rPr>
                <w:rFonts w:ascii="Calibri" w:hAnsi="Calibri" w:cs="Calibri"/>
                <w:color w:val="3366FF"/>
                <w:sz w:val="22"/>
                <w:lang w:val="en-US"/>
              </w:rPr>
              <w:t>Ness 1</w:t>
            </w:r>
          </w:p>
        </w:tc>
        <w:tc>
          <w:tcPr>
            <w:tcW w:w="974" w:type="dxa"/>
            <w:tcBorders>
              <w:top w:val="nil"/>
              <w:left w:val="nil"/>
              <w:bottom w:val="nil"/>
              <w:right w:val="nil"/>
            </w:tcBorders>
            <w:noWrap/>
            <w:tcMar>
              <w:top w:w="10" w:type="dxa"/>
              <w:left w:w="10" w:type="dxa"/>
              <w:right w:w="10" w:type="dxa"/>
            </w:tcMar>
            <w:vAlign w:val="bottom"/>
          </w:tcPr>
          <w:p w:rsidR="00607E9F" w:rsidRPr="00B217BC" w:rsidRDefault="00607E9F">
            <w:pPr>
              <w:textAlignment w:val="bottom"/>
              <w:rPr>
                <w:rFonts w:ascii="Calibri" w:hAnsi="Calibri" w:cs="Calibri"/>
                <w:color w:val="3366FF"/>
                <w:sz w:val="22"/>
              </w:rPr>
            </w:pPr>
            <w:r w:rsidRPr="00B217BC">
              <w:rPr>
                <w:rFonts w:ascii="Calibri" w:hAnsi="Calibri" w:cs="Calibri"/>
                <w:color w:val="3366FF"/>
                <w:sz w:val="22"/>
                <w:lang w:val="en-US"/>
              </w:rPr>
              <w:t>Ness 8</w:t>
            </w:r>
          </w:p>
        </w:tc>
        <w:tc>
          <w:tcPr>
            <w:tcW w:w="974" w:type="dxa"/>
            <w:tcBorders>
              <w:top w:val="nil"/>
              <w:left w:val="nil"/>
              <w:bottom w:val="nil"/>
              <w:right w:val="nil"/>
            </w:tcBorders>
            <w:noWrap/>
            <w:tcMar>
              <w:top w:w="10" w:type="dxa"/>
              <w:left w:w="10" w:type="dxa"/>
              <w:right w:w="10" w:type="dxa"/>
            </w:tcMar>
            <w:vAlign w:val="bottom"/>
          </w:tcPr>
          <w:p w:rsidR="00607E9F" w:rsidRPr="00B217BC" w:rsidRDefault="00607E9F">
            <w:pPr>
              <w:textAlignment w:val="bottom"/>
              <w:rPr>
                <w:rFonts w:ascii="Calibri" w:hAnsi="Calibri" w:cs="Calibri"/>
                <w:color w:val="3366FF"/>
                <w:sz w:val="22"/>
              </w:rPr>
            </w:pPr>
            <w:r w:rsidRPr="00B217BC">
              <w:rPr>
                <w:rFonts w:ascii="Calibri" w:hAnsi="Calibri" w:cs="Calibri"/>
                <w:color w:val="3366FF"/>
                <w:sz w:val="22"/>
                <w:lang w:val="en-US"/>
              </w:rPr>
              <w:t>Ness 10</w:t>
            </w:r>
          </w:p>
        </w:tc>
        <w:tc>
          <w:tcPr>
            <w:tcW w:w="1028" w:type="dxa"/>
            <w:tcBorders>
              <w:top w:val="nil"/>
              <w:left w:val="nil"/>
              <w:bottom w:val="nil"/>
              <w:right w:val="nil"/>
            </w:tcBorders>
            <w:noWrap/>
            <w:tcMar>
              <w:top w:w="10" w:type="dxa"/>
              <w:left w:w="10" w:type="dxa"/>
              <w:right w:w="10" w:type="dxa"/>
            </w:tcMar>
            <w:vAlign w:val="bottom"/>
          </w:tcPr>
          <w:p w:rsidR="00607E9F" w:rsidRPr="00B217BC" w:rsidRDefault="00607E9F">
            <w:pPr>
              <w:textAlignment w:val="bottom"/>
              <w:rPr>
                <w:rFonts w:ascii="Calibri" w:hAnsi="Calibri" w:cs="Calibri"/>
                <w:color w:val="3366FF"/>
                <w:sz w:val="22"/>
              </w:rPr>
            </w:pPr>
            <w:r w:rsidRPr="00B217BC">
              <w:rPr>
                <w:rFonts w:ascii="Calibri" w:hAnsi="Calibri" w:cs="Calibri"/>
                <w:color w:val="3366FF"/>
                <w:sz w:val="22"/>
                <w:lang w:val="en-US"/>
              </w:rPr>
              <w:t>Ness 12</w:t>
            </w:r>
          </w:p>
        </w:tc>
        <w:tc>
          <w:tcPr>
            <w:tcW w:w="974" w:type="dxa"/>
            <w:tcBorders>
              <w:top w:val="nil"/>
              <w:left w:val="nil"/>
              <w:bottom w:val="nil"/>
              <w:right w:val="nil"/>
            </w:tcBorders>
            <w:noWrap/>
            <w:tcMar>
              <w:top w:w="10" w:type="dxa"/>
              <w:left w:w="10" w:type="dxa"/>
              <w:right w:w="10" w:type="dxa"/>
            </w:tcMar>
            <w:vAlign w:val="bottom"/>
          </w:tcPr>
          <w:p w:rsidR="00607E9F" w:rsidRPr="00B217BC" w:rsidRDefault="00607E9F">
            <w:pPr>
              <w:textAlignment w:val="bottom"/>
              <w:rPr>
                <w:rFonts w:ascii="Calibri" w:hAnsi="Calibri" w:cs="Calibri"/>
                <w:color w:val="3366FF"/>
                <w:sz w:val="22"/>
              </w:rPr>
            </w:pPr>
            <w:r w:rsidRPr="00B217BC">
              <w:rPr>
                <w:rFonts w:ascii="Calibri" w:hAnsi="Calibri" w:cs="Calibri"/>
                <w:color w:val="3366FF"/>
                <w:sz w:val="22"/>
                <w:lang w:val="en-US"/>
              </w:rPr>
              <w:t>Ness 12</w:t>
            </w:r>
          </w:p>
        </w:tc>
        <w:tc>
          <w:tcPr>
            <w:tcW w:w="974"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p>
        </w:tc>
        <w:tc>
          <w:tcPr>
            <w:tcW w:w="1028"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r>
              <w:rPr>
                <w:rFonts w:ascii="Calibri" w:hAnsi="Calibri" w:cs="Calibri"/>
                <w:color w:val="000000"/>
                <w:sz w:val="22"/>
                <w:lang w:val="en-US"/>
              </w:rPr>
              <w:t>Ness 14</w:t>
            </w:r>
          </w:p>
        </w:tc>
      </w:tr>
      <w:tr w:rsidR="00607E9F">
        <w:trPr>
          <w:trHeight w:val="290"/>
        </w:trPr>
        <w:tc>
          <w:tcPr>
            <w:tcW w:w="3048"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r>
              <w:rPr>
                <w:rFonts w:ascii="Calibri" w:hAnsi="Calibri" w:cs="Calibri"/>
                <w:color w:val="000000"/>
                <w:sz w:val="22"/>
              </w:rPr>
              <w:t>M</w:t>
            </w:r>
            <w:r>
              <w:rPr>
                <w:rFonts w:ascii="Calibri" w:hAnsi="Calibri" w:cs="Calibri"/>
                <w:color w:val="000000"/>
                <w:sz w:val="22"/>
                <w:lang w:val="en-US"/>
              </w:rPr>
              <w:t>easured a</w:t>
            </w:r>
            <w:r>
              <w:rPr>
                <w:rFonts w:ascii="Calibri" w:hAnsi="Calibri" w:cs="Calibri"/>
                <w:color w:val="000000"/>
                <w:sz w:val="22"/>
              </w:rPr>
              <w:t>zimuth</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354</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85</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356</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14</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92</w:t>
            </w:r>
          </w:p>
        </w:tc>
        <w:tc>
          <w:tcPr>
            <w:tcW w:w="1028"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14</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110</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p>
        </w:tc>
        <w:tc>
          <w:tcPr>
            <w:tcW w:w="1028"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p>
        </w:tc>
        <w:tc>
          <w:tcPr>
            <w:tcW w:w="974" w:type="dxa"/>
            <w:tcBorders>
              <w:top w:val="nil"/>
              <w:left w:val="nil"/>
              <w:bottom w:val="nil"/>
              <w:right w:val="nil"/>
            </w:tcBorders>
            <w:shd w:val="clear" w:color="auto" w:fill="FFFF00"/>
            <w:noWrap/>
            <w:tcMar>
              <w:top w:w="10" w:type="dxa"/>
              <w:left w:w="10" w:type="dxa"/>
              <w:right w:w="10" w:type="dxa"/>
            </w:tcMar>
            <w:vAlign w:val="bottom"/>
          </w:tcPr>
          <w:p w:rsidR="00607E9F" w:rsidRDefault="00607E9F">
            <w:pPr>
              <w:textAlignment w:val="bottom"/>
              <w:rPr>
                <w:rFonts w:ascii="Calibri" w:hAnsi="Calibri" w:cs="Calibri"/>
                <w:color w:val="000000"/>
                <w:sz w:val="22"/>
              </w:rPr>
            </w:pPr>
            <w:r>
              <w:rPr>
                <w:rFonts w:ascii="Calibri" w:hAnsi="Calibri" w:cs="Calibri"/>
                <w:color w:val="000000"/>
                <w:sz w:val="22"/>
                <w:lang w:val="en-US"/>
              </w:rPr>
              <w:t>162</w:t>
            </w:r>
          </w:p>
        </w:tc>
      </w:tr>
      <w:tr w:rsidR="00607E9F">
        <w:trPr>
          <w:trHeight w:val="290"/>
        </w:trPr>
        <w:tc>
          <w:tcPr>
            <w:tcW w:w="3048"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1028"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1028"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r>
      <w:tr w:rsidR="00607E9F">
        <w:trPr>
          <w:trHeight w:val="290"/>
        </w:trPr>
        <w:tc>
          <w:tcPr>
            <w:tcW w:w="3048"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b/>
                <w:color w:val="000000"/>
                <w:sz w:val="22"/>
              </w:rPr>
            </w:pPr>
            <w:r>
              <w:rPr>
                <w:rFonts w:ascii="Calibri" w:hAnsi="Calibri" w:cs="Calibri"/>
                <w:b/>
                <w:color w:val="000000"/>
                <w:sz w:val="22"/>
                <w:lang w:val="en-US"/>
              </w:rPr>
              <w:t>Stone width uncertainty</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1028"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1028"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r>
      <w:tr w:rsidR="00607E9F">
        <w:trPr>
          <w:trHeight w:val="290"/>
        </w:trPr>
        <w:tc>
          <w:tcPr>
            <w:tcW w:w="3048"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r>
              <w:rPr>
                <w:rFonts w:ascii="Calibri" w:hAnsi="Calibri" w:cs="Calibri"/>
                <w:color w:val="000000"/>
                <w:sz w:val="22"/>
                <w:lang w:val="en-US"/>
              </w:rPr>
              <w:t>Range (m)</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2</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2</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3</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4</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3</w:t>
            </w:r>
          </w:p>
        </w:tc>
        <w:tc>
          <w:tcPr>
            <w:tcW w:w="1028"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3</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3</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p>
        </w:tc>
        <w:tc>
          <w:tcPr>
            <w:tcW w:w="1028"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p>
        </w:tc>
        <w:tc>
          <w:tcPr>
            <w:tcW w:w="974" w:type="dxa"/>
            <w:tcBorders>
              <w:top w:val="nil"/>
              <w:left w:val="nil"/>
              <w:bottom w:val="nil"/>
              <w:right w:val="nil"/>
            </w:tcBorders>
            <w:shd w:val="clear" w:color="auto" w:fill="FFFF00"/>
            <w:noWrap/>
            <w:tcMar>
              <w:top w:w="10" w:type="dxa"/>
              <w:left w:w="10" w:type="dxa"/>
              <w:right w:w="10" w:type="dxa"/>
            </w:tcMar>
            <w:vAlign w:val="bottom"/>
          </w:tcPr>
          <w:p w:rsidR="00607E9F" w:rsidRDefault="00607E9F">
            <w:pPr>
              <w:textAlignment w:val="bottom"/>
              <w:rPr>
                <w:rFonts w:ascii="Calibri" w:hAnsi="Calibri" w:cs="Calibri"/>
                <w:color w:val="000000"/>
                <w:sz w:val="22"/>
              </w:rPr>
            </w:pPr>
            <w:r>
              <w:rPr>
                <w:rFonts w:ascii="Calibri" w:hAnsi="Calibri" w:cs="Calibri"/>
                <w:color w:val="000000"/>
                <w:sz w:val="22"/>
                <w:lang w:val="en-US"/>
              </w:rPr>
              <w:t>2</w:t>
            </w:r>
          </w:p>
        </w:tc>
      </w:tr>
      <w:tr w:rsidR="00607E9F">
        <w:trPr>
          <w:trHeight w:val="290"/>
        </w:trPr>
        <w:tc>
          <w:tcPr>
            <w:tcW w:w="3048"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r>
              <w:rPr>
                <w:rFonts w:ascii="Calibri" w:hAnsi="Calibri" w:cs="Calibri"/>
                <w:color w:val="000000"/>
                <w:sz w:val="22"/>
                <w:lang w:val="en-US"/>
              </w:rPr>
              <w:t>Range uncertainty</w:t>
            </w:r>
            <w:r>
              <w:rPr>
                <w:rFonts w:ascii="Calibri" w:hAnsi="Calibri" w:cs="Calibri"/>
                <w:color w:val="000000"/>
                <w:sz w:val="22"/>
              </w:rPr>
              <w:t xml:space="preserve"> </w:t>
            </w:r>
            <w:r>
              <w:rPr>
                <w:rFonts w:ascii="Calibri" w:hAnsi="Calibri" w:cs="Calibri"/>
                <w:color w:val="000000"/>
                <w:sz w:val="22"/>
                <w:lang w:val="en-US"/>
              </w:rPr>
              <w:t>(m)</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w:t>
            </w:r>
          </w:p>
        </w:tc>
        <w:tc>
          <w:tcPr>
            <w:tcW w:w="1028"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1028"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r>
              <w:rPr>
                <w:rFonts w:ascii="Calibri" w:hAnsi="Calibri" w:cs="Calibri"/>
                <w:color w:val="000000"/>
                <w:sz w:val="22"/>
                <w:lang w:val="en-US"/>
              </w:rPr>
              <w:t>0</w:t>
            </w:r>
          </w:p>
        </w:tc>
      </w:tr>
      <w:tr w:rsidR="00607E9F">
        <w:trPr>
          <w:trHeight w:val="290"/>
        </w:trPr>
        <w:tc>
          <w:tcPr>
            <w:tcW w:w="3048"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r>
              <w:rPr>
                <w:rFonts w:ascii="Calibri" w:hAnsi="Calibri" w:cs="Calibri"/>
                <w:color w:val="000000"/>
                <w:sz w:val="22"/>
              </w:rPr>
              <w:t>N</w:t>
            </w:r>
            <w:r>
              <w:rPr>
                <w:rFonts w:ascii="Calibri" w:hAnsi="Calibri" w:cs="Calibri"/>
                <w:color w:val="000000"/>
                <w:sz w:val="22"/>
                <w:lang w:val="en-US"/>
              </w:rPr>
              <w:t>ear width uncertainty</w:t>
            </w:r>
            <w:r>
              <w:rPr>
                <w:rFonts w:ascii="Calibri" w:hAnsi="Calibri" w:cs="Calibri"/>
                <w:color w:val="000000"/>
                <w:sz w:val="22"/>
              </w:rPr>
              <w:t xml:space="preserve"> </w:t>
            </w:r>
            <w:r>
              <w:rPr>
                <w:rFonts w:ascii="Calibri" w:hAnsi="Calibri" w:cs="Calibri"/>
                <w:color w:val="000000"/>
                <w:sz w:val="22"/>
                <w:lang w:val="en-US"/>
              </w:rPr>
              <w:t>(m)</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0.027</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0.027</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0.027</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0.027</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0.077</w:t>
            </w:r>
          </w:p>
        </w:tc>
        <w:tc>
          <w:tcPr>
            <w:tcW w:w="1028"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0.027</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0.027</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p>
        </w:tc>
        <w:tc>
          <w:tcPr>
            <w:tcW w:w="1028"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p>
        </w:tc>
        <w:tc>
          <w:tcPr>
            <w:tcW w:w="974" w:type="dxa"/>
            <w:tcBorders>
              <w:top w:val="nil"/>
              <w:left w:val="nil"/>
              <w:bottom w:val="nil"/>
              <w:right w:val="nil"/>
            </w:tcBorders>
            <w:shd w:val="clear" w:color="auto" w:fill="FFFF00"/>
            <w:noWrap/>
            <w:tcMar>
              <w:top w:w="10" w:type="dxa"/>
              <w:left w:w="10" w:type="dxa"/>
              <w:right w:w="10" w:type="dxa"/>
            </w:tcMar>
            <w:vAlign w:val="bottom"/>
          </w:tcPr>
          <w:p w:rsidR="00607E9F" w:rsidRDefault="00607E9F">
            <w:pPr>
              <w:textAlignment w:val="bottom"/>
              <w:rPr>
                <w:rFonts w:ascii="Calibri" w:hAnsi="Calibri" w:cs="Calibri"/>
                <w:color w:val="000000"/>
                <w:sz w:val="22"/>
              </w:rPr>
            </w:pPr>
            <w:r>
              <w:rPr>
                <w:rFonts w:ascii="Calibri" w:hAnsi="Calibri" w:cs="Calibri"/>
                <w:color w:val="000000"/>
                <w:sz w:val="22"/>
                <w:lang w:val="en-US"/>
              </w:rPr>
              <w:t>0.027</w:t>
            </w:r>
          </w:p>
        </w:tc>
      </w:tr>
      <w:tr w:rsidR="00607E9F">
        <w:trPr>
          <w:trHeight w:val="290"/>
        </w:trPr>
        <w:tc>
          <w:tcPr>
            <w:tcW w:w="3048"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r>
              <w:rPr>
                <w:rFonts w:ascii="Calibri" w:hAnsi="Calibri" w:cs="Calibri"/>
                <w:color w:val="000000"/>
                <w:sz w:val="22"/>
              </w:rPr>
              <w:t>F</w:t>
            </w:r>
            <w:r>
              <w:rPr>
                <w:rFonts w:ascii="Calibri" w:hAnsi="Calibri" w:cs="Calibri"/>
                <w:color w:val="000000"/>
                <w:sz w:val="22"/>
                <w:lang w:val="en-US"/>
              </w:rPr>
              <w:t>ar width uncertainty</w:t>
            </w:r>
            <w:r>
              <w:rPr>
                <w:rFonts w:ascii="Calibri" w:hAnsi="Calibri" w:cs="Calibri"/>
                <w:color w:val="000000"/>
                <w:sz w:val="22"/>
              </w:rPr>
              <w:t xml:space="preserve"> </w:t>
            </w:r>
            <w:r>
              <w:rPr>
                <w:rFonts w:ascii="Calibri" w:hAnsi="Calibri" w:cs="Calibri"/>
                <w:color w:val="000000"/>
                <w:sz w:val="22"/>
                <w:lang w:val="en-US"/>
              </w:rPr>
              <w:t>(</w:t>
            </w:r>
            <w:r>
              <w:rPr>
                <w:rFonts w:ascii="Calibri" w:hAnsi="Calibri" w:cs="Calibri"/>
                <w:color w:val="000000"/>
                <w:sz w:val="22"/>
              </w:rPr>
              <w:t>m</w:t>
            </w:r>
            <w:r>
              <w:rPr>
                <w:rFonts w:ascii="Calibri" w:hAnsi="Calibri" w:cs="Calibri"/>
                <w:color w:val="000000"/>
                <w:sz w:val="22"/>
                <w:lang w:val="en-US"/>
              </w:rPr>
              <w:t>)</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0.25</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0.25</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0.25</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0.25</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1</w:t>
            </w:r>
          </w:p>
        </w:tc>
        <w:tc>
          <w:tcPr>
            <w:tcW w:w="1028"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0.25</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0.25</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p>
        </w:tc>
        <w:tc>
          <w:tcPr>
            <w:tcW w:w="1028"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p>
        </w:tc>
        <w:tc>
          <w:tcPr>
            <w:tcW w:w="974" w:type="dxa"/>
            <w:tcBorders>
              <w:top w:val="nil"/>
              <w:left w:val="nil"/>
              <w:bottom w:val="nil"/>
              <w:right w:val="nil"/>
            </w:tcBorders>
            <w:shd w:val="clear" w:color="auto" w:fill="FFFF00"/>
            <w:noWrap/>
            <w:tcMar>
              <w:top w:w="10" w:type="dxa"/>
              <w:left w:w="10" w:type="dxa"/>
              <w:right w:w="10" w:type="dxa"/>
            </w:tcMar>
            <w:vAlign w:val="bottom"/>
          </w:tcPr>
          <w:p w:rsidR="00607E9F" w:rsidRDefault="00607E9F">
            <w:pPr>
              <w:textAlignment w:val="bottom"/>
              <w:rPr>
                <w:rFonts w:ascii="Calibri" w:hAnsi="Calibri" w:cs="Calibri"/>
                <w:color w:val="000000"/>
                <w:sz w:val="22"/>
              </w:rPr>
            </w:pPr>
            <w:r>
              <w:rPr>
                <w:rFonts w:ascii="Calibri" w:hAnsi="Calibri" w:cs="Calibri"/>
                <w:color w:val="000000"/>
                <w:sz w:val="22"/>
                <w:lang w:val="en-US"/>
              </w:rPr>
              <w:t>0.25</w:t>
            </w:r>
          </w:p>
        </w:tc>
      </w:tr>
      <w:tr w:rsidR="00607E9F">
        <w:trPr>
          <w:trHeight w:val="290"/>
        </w:trPr>
        <w:tc>
          <w:tcPr>
            <w:tcW w:w="3048"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1028"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1028"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r>
      <w:tr w:rsidR="00607E9F">
        <w:trPr>
          <w:trHeight w:val="290"/>
        </w:trPr>
        <w:tc>
          <w:tcPr>
            <w:tcW w:w="3048"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r>
              <w:rPr>
                <w:rFonts w:ascii="Calibri" w:hAnsi="Calibri" w:cs="Calibri"/>
                <w:color w:val="000000"/>
                <w:sz w:val="22"/>
              </w:rPr>
              <w:t>Azimuth uncertainty</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7.89 </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7.89 </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5.28 </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3.96 </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19.75 </w:t>
            </w:r>
          </w:p>
        </w:tc>
        <w:tc>
          <w:tcPr>
            <w:tcW w:w="1028"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5.28 </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5.28 </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p>
        </w:tc>
        <w:tc>
          <w:tcPr>
            <w:tcW w:w="1028"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r>
              <w:rPr>
                <w:rFonts w:ascii="Calibri" w:hAnsi="Calibri" w:cs="Calibri"/>
                <w:color w:val="000000"/>
                <w:sz w:val="22"/>
                <w:lang w:val="en-US"/>
              </w:rPr>
              <w:t xml:space="preserve"> 7.89 </w:t>
            </w:r>
          </w:p>
        </w:tc>
      </w:tr>
      <w:tr w:rsidR="00607E9F">
        <w:trPr>
          <w:trHeight w:val="290"/>
        </w:trPr>
        <w:tc>
          <w:tcPr>
            <w:tcW w:w="3048"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1028"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1028"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r>
      <w:tr w:rsidR="00607E9F">
        <w:trPr>
          <w:trHeight w:val="290"/>
        </w:trPr>
        <w:tc>
          <w:tcPr>
            <w:tcW w:w="3048"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b/>
                <w:color w:val="000000"/>
                <w:sz w:val="22"/>
              </w:rPr>
            </w:pPr>
            <w:r>
              <w:rPr>
                <w:rFonts w:ascii="Calibri" w:hAnsi="Calibri" w:cs="Calibri"/>
                <w:b/>
                <w:color w:val="000000"/>
                <w:sz w:val="22"/>
                <w:lang w:val="en-US"/>
              </w:rPr>
              <w:t>Instrument accuracy (Degrees)</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0.5</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0.5</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0.5</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0.5</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0.5</w:t>
            </w:r>
          </w:p>
        </w:tc>
        <w:tc>
          <w:tcPr>
            <w:tcW w:w="1028"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0.5</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0.5</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p>
        </w:tc>
        <w:tc>
          <w:tcPr>
            <w:tcW w:w="1028"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r>
              <w:rPr>
                <w:rFonts w:ascii="Calibri" w:hAnsi="Calibri" w:cs="Calibri"/>
                <w:color w:val="000000"/>
                <w:sz w:val="22"/>
                <w:lang w:val="en-US"/>
              </w:rPr>
              <w:t>0.5</w:t>
            </w:r>
          </w:p>
        </w:tc>
      </w:tr>
      <w:tr w:rsidR="00607E9F">
        <w:trPr>
          <w:trHeight w:val="290"/>
        </w:trPr>
        <w:tc>
          <w:tcPr>
            <w:tcW w:w="3048"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1028"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1028"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r>
      <w:tr w:rsidR="00607E9F">
        <w:trPr>
          <w:trHeight w:val="290"/>
        </w:trPr>
        <w:tc>
          <w:tcPr>
            <w:tcW w:w="3048"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r>
              <w:rPr>
                <w:rFonts w:ascii="Calibri" w:hAnsi="Calibri" w:cs="Calibri"/>
                <w:color w:val="000000"/>
                <w:sz w:val="22"/>
                <w:lang w:val="en-US"/>
              </w:rPr>
              <w:t>Total uncertainty</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8.39 </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8.39 </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5.78 </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4.46 </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20.25 </w:t>
            </w:r>
          </w:p>
        </w:tc>
        <w:tc>
          <w:tcPr>
            <w:tcW w:w="1028"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5.78 </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5.78 </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p>
        </w:tc>
        <w:tc>
          <w:tcPr>
            <w:tcW w:w="1028"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r>
              <w:rPr>
                <w:rFonts w:ascii="Calibri" w:hAnsi="Calibri" w:cs="Calibri"/>
                <w:color w:val="000000"/>
                <w:sz w:val="22"/>
                <w:lang w:val="en-US"/>
              </w:rPr>
              <w:t xml:space="preserve"> 8.39 </w:t>
            </w:r>
          </w:p>
        </w:tc>
      </w:tr>
      <w:tr w:rsidR="00607E9F">
        <w:trPr>
          <w:trHeight w:val="290"/>
        </w:trPr>
        <w:tc>
          <w:tcPr>
            <w:tcW w:w="3048"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r>
              <w:rPr>
                <w:rFonts w:ascii="Calibri" w:hAnsi="Calibri" w:cs="Calibri"/>
                <w:color w:val="000000"/>
                <w:sz w:val="22"/>
                <w:lang w:val="en-US"/>
              </w:rPr>
              <w:t>Lower bound</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345.61 </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76.61 </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350.22 </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9.54 </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71.75 </w:t>
            </w:r>
          </w:p>
        </w:tc>
        <w:tc>
          <w:tcPr>
            <w:tcW w:w="1028"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8.22 </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104.22 </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p>
        </w:tc>
        <w:tc>
          <w:tcPr>
            <w:tcW w:w="1028"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r>
              <w:rPr>
                <w:rFonts w:ascii="Calibri" w:hAnsi="Calibri" w:cs="Calibri"/>
                <w:color w:val="000000"/>
                <w:sz w:val="22"/>
                <w:lang w:val="en-US"/>
              </w:rPr>
              <w:t xml:space="preserve"> 153.61 </w:t>
            </w:r>
          </w:p>
        </w:tc>
      </w:tr>
      <w:tr w:rsidR="00607E9F">
        <w:trPr>
          <w:trHeight w:val="290"/>
        </w:trPr>
        <w:tc>
          <w:tcPr>
            <w:tcW w:w="3048"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r>
              <w:rPr>
                <w:rFonts w:ascii="Calibri" w:hAnsi="Calibri" w:cs="Calibri"/>
                <w:color w:val="000000"/>
                <w:sz w:val="22"/>
                <w:lang w:val="en-US"/>
              </w:rPr>
              <w:t>Middle</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354.00</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85.00</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356.00</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14.00</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92.00</w:t>
            </w:r>
          </w:p>
        </w:tc>
        <w:tc>
          <w:tcPr>
            <w:tcW w:w="1028"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14.00</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110.00</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p>
        </w:tc>
        <w:tc>
          <w:tcPr>
            <w:tcW w:w="1028"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r>
              <w:rPr>
                <w:rFonts w:ascii="Calibri" w:hAnsi="Calibri" w:cs="Calibri"/>
                <w:color w:val="000000"/>
                <w:sz w:val="22"/>
                <w:lang w:val="en-US"/>
              </w:rPr>
              <w:t>162.00</w:t>
            </w:r>
          </w:p>
        </w:tc>
      </w:tr>
      <w:tr w:rsidR="00607E9F">
        <w:trPr>
          <w:trHeight w:val="290"/>
        </w:trPr>
        <w:tc>
          <w:tcPr>
            <w:tcW w:w="3048"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r>
              <w:rPr>
                <w:rFonts w:ascii="Calibri" w:hAnsi="Calibri" w:cs="Calibri"/>
                <w:color w:val="000000"/>
                <w:sz w:val="22"/>
                <w:lang w:val="en-US"/>
              </w:rPr>
              <w:t>Upper bound</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362.39 </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93.39 </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361.78 </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18.46 </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112.25 </w:t>
            </w:r>
          </w:p>
        </w:tc>
        <w:tc>
          <w:tcPr>
            <w:tcW w:w="1028"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19.78 </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115.78 </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p>
        </w:tc>
        <w:tc>
          <w:tcPr>
            <w:tcW w:w="1028"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r>
              <w:rPr>
                <w:rFonts w:ascii="Calibri" w:hAnsi="Calibri" w:cs="Calibri"/>
                <w:color w:val="000000"/>
                <w:sz w:val="22"/>
                <w:lang w:val="en-US"/>
              </w:rPr>
              <w:t xml:space="preserve"> 170.39 </w:t>
            </w:r>
          </w:p>
        </w:tc>
      </w:tr>
      <w:tr w:rsidR="00607E9F">
        <w:trPr>
          <w:trHeight w:val="290"/>
        </w:trPr>
        <w:tc>
          <w:tcPr>
            <w:tcW w:w="3048"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1028"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1028"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r>
      <w:tr w:rsidR="00607E9F">
        <w:trPr>
          <w:trHeight w:val="290"/>
        </w:trPr>
        <w:tc>
          <w:tcPr>
            <w:tcW w:w="3048"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1028"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1028"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r>
      <w:tr w:rsidR="00607E9F">
        <w:trPr>
          <w:trHeight w:val="290"/>
        </w:trPr>
        <w:tc>
          <w:tcPr>
            <w:tcW w:w="3048"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Pr="00B217BC" w:rsidRDefault="00607E9F">
            <w:pPr>
              <w:textAlignment w:val="bottom"/>
              <w:rPr>
                <w:rFonts w:ascii="Calibri" w:hAnsi="Calibri" w:cs="Calibri"/>
                <w:color w:val="3366FF"/>
                <w:sz w:val="22"/>
              </w:rPr>
            </w:pPr>
            <w:r w:rsidRPr="00B217BC">
              <w:rPr>
                <w:rFonts w:ascii="Calibri" w:hAnsi="Calibri" w:cs="Calibri"/>
                <w:color w:val="3366FF"/>
                <w:sz w:val="22"/>
                <w:lang w:val="en-US"/>
              </w:rPr>
              <w:t>Ness 12</w:t>
            </w:r>
          </w:p>
        </w:tc>
        <w:tc>
          <w:tcPr>
            <w:tcW w:w="974" w:type="dxa"/>
            <w:tcBorders>
              <w:top w:val="nil"/>
              <w:left w:val="nil"/>
              <w:bottom w:val="nil"/>
              <w:right w:val="nil"/>
            </w:tcBorders>
            <w:noWrap/>
            <w:tcMar>
              <w:top w:w="10" w:type="dxa"/>
              <w:left w:w="10" w:type="dxa"/>
              <w:right w:w="10" w:type="dxa"/>
            </w:tcMar>
            <w:vAlign w:val="bottom"/>
          </w:tcPr>
          <w:p w:rsidR="00607E9F" w:rsidRPr="00B217BC" w:rsidRDefault="00607E9F">
            <w:pPr>
              <w:textAlignment w:val="bottom"/>
              <w:rPr>
                <w:rFonts w:ascii="Calibri" w:hAnsi="Calibri" w:cs="Calibri"/>
                <w:color w:val="3366FF"/>
                <w:sz w:val="22"/>
              </w:rPr>
            </w:pPr>
            <w:r w:rsidRPr="00B217BC">
              <w:rPr>
                <w:rFonts w:ascii="Calibri" w:hAnsi="Calibri" w:cs="Calibri"/>
                <w:color w:val="3366FF"/>
                <w:sz w:val="22"/>
                <w:lang w:val="en-US"/>
              </w:rPr>
              <w:t>Ness 14</w:t>
            </w:r>
          </w:p>
        </w:tc>
        <w:tc>
          <w:tcPr>
            <w:tcW w:w="974" w:type="dxa"/>
            <w:tcBorders>
              <w:top w:val="nil"/>
              <w:left w:val="nil"/>
              <w:bottom w:val="nil"/>
              <w:right w:val="nil"/>
            </w:tcBorders>
            <w:noWrap/>
            <w:tcMar>
              <w:top w:w="10" w:type="dxa"/>
              <w:left w:w="10" w:type="dxa"/>
              <w:right w:w="10" w:type="dxa"/>
            </w:tcMar>
            <w:vAlign w:val="bottom"/>
          </w:tcPr>
          <w:p w:rsidR="00607E9F" w:rsidRPr="00B217BC" w:rsidRDefault="00607E9F">
            <w:pPr>
              <w:textAlignment w:val="bottom"/>
              <w:rPr>
                <w:rFonts w:ascii="Calibri" w:hAnsi="Calibri" w:cs="Calibri"/>
                <w:color w:val="3366FF"/>
                <w:sz w:val="22"/>
              </w:rPr>
            </w:pPr>
            <w:r w:rsidRPr="00B217BC">
              <w:rPr>
                <w:rFonts w:ascii="Calibri" w:hAnsi="Calibri" w:cs="Calibri"/>
                <w:color w:val="3366FF"/>
                <w:sz w:val="22"/>
                <w:lang w:val="en-US"/>
              </w:rPr>
              <w:t>House</w:t>
            </w:r>
            <w:r w:rsidRPr="00B217BC">
              <w:rPr>
                <w:rFonts w:ascii="Calibri" w:hAnsi="Calibri" w:cs="Calibri"/>
                <w:color w:val="3366FF"/>
                <w:sz w:val="22"/>
              </w:rPr>
              <w:t xml:space="preserve"> </w:t>
            </w:r>
            <w:r w:rsidRPr="00B217BC">
              <w:rPr>
                <w:rFonts w:ascii="Calibri" w:hAnsi="Calibri" w:cs="Calibri"/>
                <w:color w:val="3366FF"/>
                <w:sz w:val="22"/>
                <w:lang w:val="en-US"/>
              </w:rPr>
              <w:t>2</w:t>
            </w:r>
          </w:p>
        </w:tc>
        <w:tc>
          <w:tcPr>
            <w:tcW w:w="974" w:type="dxa"/>
            <w:tcBorders>
              <w:top w:val="nil"/>
              <w:left w:val="nil"/>
              <w:bottom w:val="nil"/>
              <w:right w:val="nil"/>
            </w:tcBorders>
            <w:noWrap/>
            <w:tcMar>
              <w:top w:w="10" w:type="dxa"/>
              <w:left w:w="10" w:type="dxa"/>
              <w:right w:w="10" w:type="dxa"/>
            </w:tcMar>
            <w:vAlign w:val="bottom"/>
          </w:tcPr>
          <w:p w:rsidR="00607E9F" w:rsidRPr="00B217BC" w:rsidRDefault="00607E9F">
            <w:pPr>
              <w:textAlignment w:val="bottom"/>
              <w:rPr>
                <w:rFonts w:ascii="Calibri" w:hAnsi="Calibri" w:cs="Calibri"/>
                <w:color w:val="3366FF"/>
                <w:sz w:val="22"/>
              </w:rPr>
            </w:pPr>
            <w:r w:rsidRPr="00B217BC">
              <w:rPr>
                <w:rFonts w:ascii="Calibri" w:hAnsi="Calibri" w:cs="Calibri"/>
                <w:color w:val="3366FF"/>
                <w:sz w:val="22"/>
                <w:lang w:val="en-US"/>
              </w:rPr>
              <w:t>House 8</w:t>
            </w:r>
          </w:p>
        </w:tc>
        <w:tc>
          <w:tcPr>
            <w:tcW w:w="974" w:type="dxa"/>
            <w:tcBorders>
              <w:top w:val="nil"/>
              <w:left w:val="nil"/>
              <w:bottom w:val="nil"/>
              <w:right w:val="nil"/>
            </w:tcBorders>
            <w:noWrap/>
            <w:tcMar>
              <w:top w:w="10" w:type="dxa"/>
              <w:left w:w="10" w:type="dxa"/>
              <w:right w:w="10" w:type="dxa"/>
            </w:tcMar>
            <w:vAlign w:val="bottom"/>
          </w:tcPr>
          <w:p w:rsidR="00607E9F" w:rsidRPr="00B217BC" w:rsidRDefault="00607E9F">
            <w:pPr>
              <w:textAlignment w:val="bottom"/>
              <w:rPr>
                <w:rFonts w:ascii="Calibri" w:hAnsi="Calibri" w:cs="Calibri"/>
                <w:color w:val="3366FF"/>
                <w:sz w:val="22"/>
              </w:rPr>
            </w:pPr>
            <w:r w:rsidRPr="00B217BC">
              <w:rPr>
                <w:rFonts w:ascii="Calibri" w:hAnsi="Calibri" w:cs="Calibri"/>
                <w:color w:val="3366FF"/>
                <w:sz w:val="22"/>
                <w:lang w:val="en-US"/>
              </w:rPr>
              <w:t>House 8</w:t>
            </w:r>
          </w:p>
        </w:tc>
        <w:tc>
          <w:tcPr>
            <w:tcW w:w="1028" w:type="dxa"/>
            <w:tcBorders>
              <w:top w:val="nil"/>
              <w:left w:val="nil"/>
              <w:bottom w:val="nil"/>
              <w:right w:val="nil"/>
            </w:tcBorders>
            <w:noWrap/>
            <w:tcMar>
              <w:top w:w="10" w:type="dxa"/>
              <w:left w:w="10" w:type="dxa"/>
              <w:right w:w="10" w:type="dxa"/>
            </w:tcMar>
            <w:vAlign w:val="bottom"/>
          </w:tcPr>
          <w:p w:rsidR="00607E9F" w:rsidRPr="00B217BC" w:rsidRDefault="00607E9F">
            <w:pPr>
              <w:textAlignment w:val="bottom"/>
              <w:rPr>
                <w:rFonts w:ascii="Calibri" w:hAnsi="Calibri" w:cs="Calibri"/>
                <w:color w:val="3366FF"/>
                <w:sz w:val="22"/>
              </w:rPr>
            </w:pPr>
            <w:r w:rsidRPr="00B217BC">
              <w:rPr>
                <w:rFonts w:ascii="Calibri" w:hAnsi="Calibri" w:cs="Calibri"/>
                <w:color w:val="3366FF"/>
                <w:sz w:val="22"/>
                <w:lang w:val="en-US"/>
              </w:rPr>
              <w:t>M'howe</w:t>
            </w:r>
          </w:p>
        </w:tc>
        <w:tc>
          <w:tcPr>
            <w:tcW w:w="974" w:type="dxa"/>
            <w:tcBorders>
              <w:top w:val="nil"/>
              <w:left w:val="nil"/>
              <w:bottom w:val="nil"/>
              <w:right w:val="nil"/>
            </w:tcBorders>
            <w:noWrap/>
            <w:tcMar>
              <w:top w:w="10" w:type="dxa"/>
              <w:left w:w="10" w:type="dxa"/>
              <w:right w:w="10" w:type="dxa"/>
            </w:tcMar>
            <w:vAlign w:val="bottom"/>
          </w:tcPr>
          <w:p w:rsidR="00607E9F" w:rsidRPr="00B217BC" w:rsidRDefault="00607E9F">
            <w:pPr>
              <w:textAlignment w:val="bottom"/>
              <w:rPr>
                <w:rFonts w:ascii="Calibri" w:hAnsi="Calibri" w:cs="Calibri"/>
                <w:color w:val="3366FF"/>
                <w:sz w:val="22"/>
              </w:rPr>
            </w:pPr>
            <w:r w:rsidRPr="00B217BC">
              <w:rPr>
                <w:rFonts w:ascii="Calibri" w:hAnsi="Calibri" w:cs="Calibri"/>
                <w:color w:val="3366FF"/>
                <w:sz w:val="22"/>
                <w:lang w:val="en-US"/>
              </w:rPr>
              <w:t>M'howe</w:t>
            </w:r>
          </w:p>
        </w:tc>
        <w:tc>
          <w:tcPr>
            <w:tcW w:w="974"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p>
        </w:tc>
        <w:tc>
          <w:tcPr>
            <w:tcW w:w="1028"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r>
      <w:tr w:rsidR="00607E9F">
        <w:trPr>
          <w:trHeight w:val="290"/>
        </w:trPr>
        <w:tc>
          <w:tcPr>
            <w:tcW w:w="3048"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r>
              <w:rPr>
                <w:rFonts w:ascii="Calibri" w:hAnsi="Calibri" w:cs="Calibri"/>
                <w:color w:val="000000"/>
                <w:sz w:val="22"/>
              </w:rPr>
              <w:t>M</w:t>
            </w:r>
            <w:r>
              <w:rPr>
                <w:rFonts w:ascii="Calibri" w:hAnsi="Calibri" w:cs="Calibri"/>
                <w:color w:val="000000"/>
                <w:sz w:val="22"/>
                <w:lang w:val="en-US"/>
              </w:rPr>
              <w:t>easured a</w:t>
            </w:r>
            <w:r>
              <w:rPr>
                <w:rFonts w:ascii="Calibri" w:hAnsi="Calibri" w:cs="Calibri"/>
                <w:color w:val="000000"/>
                <w:sz w:val="22"/>
              </w:rPr>
              <w:t>zimuth</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195</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63</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136</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340</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87</w:t>
            </w:r>
          </w:p>
        </w:tc>
        <w:tc>
          <w:tcPr>
            <w:tcW w:w="1028"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225</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216</w:t>
            </w:r>
          </w:p>
        </w:tc>
        <w:tc>
          <w:tcPr>
            <w:tcW w:w="974"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p>
        </w:tc>
        <w:tc>
          <w:tcPr>
            <w:tcW w:w="1028"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p>
        </w:tc>
        <w:tc>
          <w:tcPr>
            <w:tcW w:w="974" w:type="dxa"/>
            <w:tcBorders>
              <w:top w:val="nil"/>
              <w:left w:val="nil"/>
              <w:bottom w:val="nil"/>
              <w:right w:val="nil"/>
            </w:tcBorders>
            <w:shd w:val="clear" w:color="auto" w:fill="FFFF00"/>
            <w:noWrap/>
            <w:tcMar>
              <w:top w:w="10" w:type="dxa"/>
              <w:left w:w="10" w:type="dxa"/>
              <w:right w:w="10" w:type="dxa"/>
            </w:tcMar>
            <w:vAlign w:val="bottom"/>
          </w:tcPr>
          <w:p w:rsidR="00607E9F" w:rsidRDefault="00607E9F">
            <w:pPr>
              <w:rPr>
                <w:rFonts w:ascii="Calibri" w:hAnsi="Calibri" w:cs="Calibri"/>
                <w:color w:val="000000"/>
                <w:sz w:val="22"/>
              </w:rPr>
            </w:pPr>
          </w:p>
        </w:tc>
      </w:tr>
      <w:tr w:rsidR="00607E9F">
        <w:trPr>
          <w:trHeight w:val="290"/>
        </w:trPr>
        <w:tc>
          <w:tcPr>
            <w:tcW w:w="3048"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1028"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1028"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r>
      <w:tr w:rsidR="00607E9F">
        <w:trPr>
          <w:trHeight w:val="290"/>
        </w:trPr>
        <w:tc>
          <w:tcPr>
            <w:tcW w:w="3048"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r>
              <w:rPr>
                <w:rFonts w:ascii="Calibri" w:hAnsi="Calibri" w:cs="Calibri"/>
                <w:b/>
                <w:color w:val="000000"/>
                <w:sz w:val="22"/>
                <w:lang w:val="en-US"/>
              </w:rPr>
              <w:t>Stone width uncertainty</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1028"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1028"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r>
      <w:tr w:rsidR="00607E9F">
        <w:trPr>
          <w:trHeight w:val="290"/>
        </w:trPr>
        <w:tc>
          <w:tcPr>
            <w:tcW w:w="3048"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r>
              <w:rPr>
                <w:rFonts w:ascii="Calibri" w:hAnsi="Calibri" w:cs="Calibri"/>
                <w:color w:val="000000"/>
                <w:sz w:val="22"/>
                <w:lang w:val="en-US"/>
              </w:rPr>
              <w:t>Range (m)</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1</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3</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2</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5</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1</w:t>
            </w:r>
          </w:p>
        </w:tc>
        <w:tc>
          <w:tcPr>
            <w:tcW w:w="1028"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13</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13</w:t>
            </w:r>
          </w:p>
        </w:tc>
        <w:tc>
          <w:tcPr>
            <w:tcW w:w="974"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p>
        </w:tc>
        <w:tc>
          <w:tcPr>
            <w:tcW w:w="1028"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p>
        </w:tc>
        <w:tc>
          <w:tcPr>
            <w:tcW w:w="974" w:type="dxa"/>
            <w:tcBorders>
              <w:top w:val="nil"/>
              <w:left w:val="nil"/>
              <w:bottom w:val="nil"/>
              <w:right w:val="nil"/>
            </w:tcBorders>
            <w:shd w:val="clear" w:color="auto" w:fill="FFFF00"/>
            <w:noWrap/>
            <w:tcMar>
              <w:top w:w="10" w:type="dxa"/>
              <w:left w:w="10" w:type="dxa"/>
              <w:right w:w="10" w:type="dxa"/>
            </w:tcMar>
            <w:vAlign w:val="bottom"/>
          </w:tcPr>
          <w:p w:rsidR="00607E9F" w:rsidRDefault="00607E9F">
            <w:pPr>
              <w:rPr>
                <w:rFonts w:ascii="Calibri" w:hAnsi="Calibri" w:cs="Calibri"/>
                <w:color w:val="000000"/>
                <w:sz w:val="22"/>
              </w:rPr>
            </w:pPr>
          </w:p>
        </w:tc>
      </w:tr>
      <w:tr w:rsidR="00607E9F">
        <w:trPr>
          <w:trHeight w:val="290"/>
        </w:trPr>
        <w:tc>
          <w:tcPr>
            <w:tcW w:w="3048"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r>
              <w:rPr>
                <w:rFonts w:ascii="Calibri" w:hAnsi="Calibri" w:cs="Calibri"/>
                <w:color w:val="000000"/>
                <w:sz w:val="22"/>
                <w:lang w:val="en-US"/>
              </w:rPr>
              <w:t>Range uncertainty</w:t>
            </w:r>
            <w:r>
              <w:rPr>
                <w:rFonts w:ascii="Calibri" w:hAnsi="Calibri" w:cs="Calibri"/>
                <w:color w:val="000000"/>
                <w:sz w:val="22"/>
              </w:rPr>
              <w:t xml:space="preserve"> </w:t>
            </w:r>
            <w:r>
              <w:rPr>
                <w:rFonts w:ascii="Calibri" w:hAnsi="Calibri" w:cs="Calibri"/>
                <w:color w:val="000000"/>
                <w:sz w:val="22"/>
                <w:lang w:val="en-US"/>
              </w:rPr>
              <w:t>(m)</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w:t>
            </w:r>
          </w:p>
        </w:tc>
        <w:tc>
          <w:tcPr>
            <w:tcW w:w="1028"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w:t>
            </w:r>
          </w:p>
        </w:tc>
        <w:tc>
          <w:tcPr>
            <w:tcW w:w="974"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p>
        </w:tc>
        <w:tc>
          <w:tcPr>
            <w:tcW w:w="1028"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r>
      <w:tr w:rsidR="00607E9F">
        <w:trPr>
          <w:trHeight w:val="290"/>
        </w:trPr>
        <w:tc>
          <w:tcPr>
            <w:tcW w:w="3048"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r>
              <w:rPr>
                <w:rFonts w:ascii="Calibri" w:hAnsi="Calibri" w:cs="Calibri"/>
                <w:color w:val="000000"/>
                <w:sz w:val="22"/>
              </w:rPr>
              <w:t>N</w:t>
            </w:r>
            <w:r>
              <w:rPr>
                <w:rFonts w:ascii="Calibri" w:hAnsi="Calibri" w:cs="Calibri"/>
                <w:color w:val="000000"/>
                <w:sz w:val="22"/>
                <w:lang w:val="en-US"/>
              </w:rPr>
              <w:t>ear width uncertainty</w:t>
            </w:r>
            <w:r>
              <w:rPr>
                <w:rFonts w:ascii="Calibri" w:hAnsi="Calibri" w:cs="Calibri"/>
                <w:color w:val="000000"/>
                <w:sz w:val="22"/>
              </w:rPr>
              <w:t xml:space="preserve"> </w:t>
            </w:r>
            <w:r>
              <w:rPr>
                <w:rFonts w:ascii="Calibri" w:hAnsi="Calibri" w:cs="Calibri"/>
                <w:color w:val="000000"/>
                <w:sz w:val="22"/>
                <w:lang w:val="en-US"/>
              </w:rPr>
              <w:t>(m)</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0.027</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0.027</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0.027</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0.3</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0.027</w:t>
            </w:r>
          </w:p>
        </w:tc>
        <w:tc>
          <w:tcPr>
            <w:tcW w:w="1028"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w:t>
            </w:r>
          </w:p>
        </w:tc>
        <w:tc>
          <w:tcPr>
            <w:tcW w:w="974"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1028"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p>
        </w:tc>
        <w:tc>
          <w:tcPr>
            <w:tcW w:w="974" w:type="dxa"/>
            <w:tcBorders>
              <w:top w:val="nil"/>
              <w:left w:val="nil"/>
              <w:bottom w:val="nil"/>
              <w:right w:val="nil"/>
            </w:tcBorders>
            <w:shd w:val="clear" w:color="auto" w:fill="FFFF00"/>
            <w:noWrap/>
            <w:tcMar>
              <w:top w:w="10" w:type="dxa"/>
              <w:left w:w="10" w:type="dxa"/>
              <w:right w:w="10" w:type="dxa"/>
            </w:tcMar>
            <w:vAlign w:val="bottom"/>
          </w:tcPr>
          <w:p w:rsidR="00607E9F" w:rsidRDefault="00607E9F">
            <w:pPr>
              <w:rPr>
                <w:rFonts w:ascii="Calibri" w:hAnsi="Calibri" w:cs="Calibri"/>
                <w:color w:val="000000"/>
                <w:sz w:val="22"/>
              </w:rPr>
            </w:pPr>
          </w:p>
        </w:tc>
      </w:tr>
      <w:tr w:rsidR="00607E9F">
        <w:trPr>
          <w:trHeight w:val="290"/>
        </w:trPr>
        <w:tc>
          <w:tcPr>
            <w:tcW w:w="3048"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r>
              <w:rPr>
                <w:rFonts w:ascii="Calibri" w:hAnsi="Calibri" w:cs="Calibri"/>
                <w:color w:val="000000"/>
                <w:sz w:val="22"/>
              </w:rPr>
              <w:t>F</w:t>
            </w:r>
            <w:r>
              <w:rPr>
                <w:rFonts w:ascii="Calibri" w:hAnsi="Calibri" w:cs="Calibri"/>
                <w:color w:val="000000"/>
                <w:sz w:val="22"/>
                <w:lang w:val="en-US"/>
              </w:rPr>
              <w:t>ar width uncertainty</w:t>
            </w:r>
            <w:r>
              <w:rPr>
                <w:rFonts w:ascii="Calibri" w:hAnsi="Calibri" w:cs="Calibri"/>
                <w:color w:val="000000"/>
                <w:sz w:val="22"/>
              </w:rPr>
              <w:t xml:space="preserve"> </w:t>
            </w:r>
            <w:r>
              <w:rPr>
                <w:rFonts w:ascii="Calibri" w:hAnsi="Calibri" w:cs="Calibri"/>
                <w:color w:val="000000"/>
                <w:sz w:val="22"/>
                <w:lang w:val="en-US"/>
              </w:rPr>
              <w:t>(</w:t>
            </w:r>
            <w:r>
              <w:rPr>
                <w:rFonts w:ascii="Calibri" w:hAnsi="Calibri" w:cs="Calibri"/>
                <w:color w:val="000000"/>
                <w:sz w:val="22"/>
              </w:rPr>
              <w:t>m</w:t>
            </w:r>
            <w:r>
              <w:rPr>
                <w:rFonts w:ascii="Calibri" w:hAnsi="Calibri" w:cs="Calibri"/>
                <w:color w:val="000000"/>
                <w:sz w:val="22"/>
                <w:lang w:val="en-US"/>
              </w:rPr>
              <w:t>)</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0.25</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0.25</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0.25</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0.25</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0.25</w:t>
            </w:r>
          </w:p>
        </w:tc>
        <w:tc>
          <w:tcPr>
            <w:tcW w:w="1028"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0.375</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0.375</w:t>
            </w:r>
          </w:p>
        </w:tc>
        <w:tc>
          <w:tcPr>
            <w:tcW w:w="974"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p>
        </w:tc>
        <w:tc>
          <w:tcPr>
            <w:tcW w:w="1028"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p>
        </w:tc>
        <w:tc>
          <w:tcPr>
            <w:tcW w:w="974" w:type="dxa"/>
            <w:tcBorders>
              <w:top w:val="nil"/>
              <w:left w:val="nil"/>
              <w:bottom w:val="nil"/>
              <w:right w:val="nil"/>
            </w:tcBorders>
            <w:shd w:val="clear" w:color="auto" w:fill="FFFF00"/>
            <w:noWrap/>
            <w:tcMar>
              <w:top w:w="10" w:type="dxa"/>
              <w:left w:w="10" w:type="dxa"/>
              <w:right w:w="10" w:type="dxa"/>
            </w:tcMar>
            <w:vAlign w:val="bottom"/>
          </w:tcPr>
          <w:p w:rsidR="00607E9F" w:rsidRDefault="00607E9F">
            <w:pPr>
              <w:rPr>
                <w:rFonts w:ascii="Calibri" w:hAnsi="Calibri" w:cs="Calibri"/>
                <w:color w:val="000000"/>
                <w:sz w:val="22"/>
              </w:rPr>
            </w:pPr>
          </w:p>
        </w:tc>
      </w:tr>
      <w:tr w:rsidR="00607E9F">
        <w:trPr>
          <w:trHeight w:val="290"/>
        </w:trPr>
        <w:tc>
          <w:tcPr>
            <w:tcW w:w="3048"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1028"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1028"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r>
      <w:tr w:rsidR="00607E9F">
        <w:trPr>
          <w:trHeight w:val="290"/>
        </w:trPr>
        <w:tc>
          <w:tcPr>
            <w:tcW w:w="3048"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r>
              <w:rPr>
                <w:rFonts w:ascii="Calibri" w:hAnsi="Calibri" w:cs="Calibri"/>
                <w:color w:val="000000"/>
                <w:sz w:val="22"/>
              </w:rPr>
              <w:t>Azimuth uncertainty</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15.48 </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5.28 </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7.89 </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6.28 </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15.48 </w:t>
            </w:r>
          </w:p>
        </w:tc>
        <w:tc>
          <w:tcPr>
            <w:tcW w:w="1028"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1.65 </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1.65 </w:t>
            </w:r>
          </w:p>
        </w:tc>
        <w:tc>
          <w:tcPr>
            <w:tcW w:w="974"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p>
        </w:tc>
        <w:tc>
          <w:tcPr>
            <w:tcW w:w="1028"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r>
      <w:tr w:rsidR="00607E9F">
        <w:trPr>
          <w:trHeight w:val="290"/>
        </w:trPr>
        <w:tc>
          <w:tcPr>
            <w:tcW w:w="3048"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1028"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1028"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r>
      <w:tr w:rsidR="00607E9F">
        <w:trPr>
          <w:trHeight w:val="290"/>
        </w:trPr>
        <w:tc>
          <w:tcPr>
            <w:tcW w:w="3048"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r>
              <w:rPr>
                <w:rFonts w:ascii="Calibri" w:hAnsi="Calibri" w:cs="Calibri"/>
                <w:b/>
                <w:color w:val="000000"/>
                <w:sz w:val="22"/>
                <w:lang w:val="en-US"/>
              </w:rPr>
              <w:t>Instrument accuracy (Degrees)</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0.5</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0.5</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0.5</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0.5</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0.5</w:t>
            </w:r>
          </w:p>
        </w:tc>
        <w:tc>
          <w:tcPr>
            <w:tcW w:w="1028"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0.5</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0.5</w:t>
            </w:r>
          </w:p>
        </w:tc>
        <w:tc>
          <w:tcPr>
            <w:tcW w:w="974"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p>
        </w:tc>
        <w:tc>
          <w:tcPr>
            <w:tcW w:w="1028"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r>
      <w:tr w:rsidR="00607E9F">
        <w:trPr>
          <w:trHeight w:val="290"/>
        </w:trPr>
        <w:tc>
          <w:tcPr>
            <w:tcW w:w="3048"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1028"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1028"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r>
      <w:tr w:rsidR="00607E9F">
        <w:trPr>
          <w:trHeight w:val="290"/>
        </w:trPr>
        <w:tc>
          <w:tcPr>
            <w:tcW w:w="3048"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r>
              <w:rPr>
                <w:rFonts w:ascii="Calibri" w:hAnsi="Calibri" w:cs="Calibri"/>
                <w:color w:val="000000"/>
                <w:sz w:val="22"/>
                <w:lang w:val="en-US"/>
              </w:rPr>
              <w:t>Total uncertainty</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15.98 </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5.78 </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8.39 </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6.78 </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15.98 </w:t>
            </w:r>
          </w:p>
        </w:tc>
        <w:tc>
          <w:tcPr>
            <w:tcW w:w="1028"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2.15 </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2.15 </w:t>
            </w:r>
          </w:p>
        </w:tc>
        <w:tc>
          <w:tcPr>
            <w:tcW w:w="974"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p>
        </w:tc>
        <w:tc>
          <w:tcPr>
            <w:tcW w:w="1028"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r>
      <w:tr w:rsidR="00607E9F">
        <w:trPr>
          <w:trHeight w:val="290"/>
        </w:trPr>
        <w:tc>
          <w:tcPr>
            <w:tcW w:w="3048"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r>
              <w:rPr>
                <w:rFonts w:ascii="Calibri" w:hAnsi="Calibri" w:cs="Calibri"/>
                <w:color w:val="000000"/>
                <w:sz w:val="22"/>
                <w:lang w:val="en-US"/>
              </w:rPr>
              <w:t>Lower bound</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179.02 </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57.22 </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127.61 </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333.22 </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71.02 </w:t>
            </w:r>
          </w:p>
        </w:tc>
        <w:tc>
          <w:tcPr>
            <w:tcW w:w="1028"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222.85 </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213.85 </w:t>
            </w:r>
          </w:p>
        </w:tc>
        <w:tc>
          <w:tcPr>
            <w:tcW w:w="974"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p>
        </w:tc>
        <w:tc>
          <w:tcPr>
            <w:tcW w:w="1028"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r>
      <w:tr w:rsidR="00607E9F">
        <w:trPr>
          <w:trHeight w:val="290"/>
        </w:trPr>
        <w:tc>
          <w:tcPr>
            <w:tcW w:w="3048"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r>
              <w:rPr>
                <w:rFonts w:ascii="Calibri" w:hAnsi="Calibri" w:cs="Calibri"/>
                <w:color w:val="000000"/>
                <w:sz w:val="22"/>
                <w:lang w:val="en-US"/>
              </w:rPr>
              <w:t>Middle</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195.00</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63.00</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136.00</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340.00</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87.00</w:t>
            </w:r>
          </w:p>
        </w:tc>
        <w:tc>
          <w:tcPr>
            <w:tcW w:w="1028"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225.00</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216.00</w:t>
            </w:r>
          </w:p>
        </w:tc>
        <w:tc>
          <w:tcPr>
            <w:tcW w:w="974"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p>
        </w:tc>
        <w:tc>
          <w:tcPr>
            <w:tcW w:w="1028"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r>
      <w:tr w:rsidR="00607E9F">
        <w:trPr>
          <w:trHeight w:val="290"/>
        </w:trPr>
        <w:tc>
          <w:tcPr>
            <w:tcW w:w="3048"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r>
              <w:rPr>
                <w:rFonts w:ascii="Calibri" w:hAnsi="Calibri" w:cs="Calibri"/>
                <w:color w:val="000000"/>
                <w:sz w:val="22"/>
                <w:lang w:val="en-US"/>
              </w:rPr>
              <w:t>Upper bound</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210.98 </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68.78 </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144.39 </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346.78 </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102.98 </w:t>
            </w:r>
          </w:p>
        </w:tc>
        <w:tc>
          <w:tcPr>
            <w:tcW w:w="1028"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227.15 </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 xml:space="preserve"> 218.15 </w:t>
            </w:r>
          </w:p>
        </w:tc>
        <w:tc>
          <w:tcPr>
            <w:tcW w:w="974"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p>
        </w:tc>
        <w:tc>
          <w:tcPr>
            <w:tcW w:w="1028"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r>
      <w:tr w:rsidR="00607E9F">
        <w:trPr>
          <w:trHeight w:val="290"/>
        </w:trPr>
        <w:tc>
          <w:tcPr>
            <w:tcW w:w="3048"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1028"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1028"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r>
    </w:tbl>
    <w:p w:rsidR="00607E9F" w:rsidRDefault="00607E9F">
      <w:pPr>
        <w:rPr>
          <w:rFonts w:ascii="Arial" w:hAnsi="Arial"/>
        </w:rPr>
      </w:pPr>
    </w:p>
    <w:p w:rsidR="00607E9F" w:rsidRDefault="00607E9F">
      <w:pPr>
        <w:rPr>
          <w:rFonts w:ascii="Arial" w:hAnsi="Arial"/>
        </w:rPr>
      </w:pPr>
    </w:p>
    <w:tbl>
      <w:tblPr>
        <w:tblW w:w="0" w:type="auto"/>
        <w:tblLayout w:type="fixed"/>
        <w:tblCellMar>
          <w:left w:w="0" w:type="dxa"/>
          <w:right w:w="0" w:type="dxa"/>
        </w:tblCellMar>
        <w:tblLook w:val="0000"/>
      </w:tblPr>
      <w:tblGrid>
        <w:gridCol w:w="3048"/>
        <w:gridCol w:w="974"/>
        <w:gridCol w:w="974"/>
        <w:gridCol w:w="974"/>
        <w:gridCol w:w="974"/>
        <w:gridCol w:w="974"/>
        <w:gridCol w:w="1028"/>
        <w:gridCol w:w="974"/>
        <w:gridCol w:w="974"/>
        <w:gridCol w:w="1028"/>
      </w:tblGrid>
      <w:tr w:rsidR="00607E9F">
        <w:trPr>
          <w:trHeight w:val="290"/>
        </w:trPr>
        <w:tc>
          <w:tcPr>
            <w:tcW w:w="3048"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Pr="00B217BC" w:rsidRDefault="00607E9F">
            <w:pPr>
              <w:textAlignment w:val="bottom"/>
              <w:rPr>
                <w:rFonts w:ascii="Calibri" w:hAnsi="Calibri" w:cs="Calibri"/>
                <w:color w:val="3366FF"/>
                <w:sz w:val="22"/>
              </w:rPr>
            </w:pPr>
            <w:r w:rsidRPr="00B217BC">
              <w:rPr>
                <w:rFonts w:ascii="Calibri" w:hAnsi="Calibri" w:cs="Calibri"/>
                <w:color w:val="3366FF"/>
                <w:sz w:val="22"/>
                <w:lang w:val="en-US"/>
              </w:rPr>
              <w:t>S of S Ent</w:t>
            </w:r>
          </w:p>
        </w:tc>
        <w:tc>
          <w:tcPr>
            <w:tcW w:w="974" w:type="dxa"/>
            <w:tcBorders>
              <w:top w:val="nil"/>
              <w:left w:val="nil"/>
              <w:bottom w:val="nil"/>
              <w:right w:val="nil"/>
            </w:tcBorders>
            <w:noWrap/>
            <w:tcMar>
              <w:top w:w="10" w:type="dxa"/>
              <w:left w:w="10" w:type="dxa"/>
              <w:right w:w="10" w:type="dxa"/>
            </w:tcMar>
            <w:vAlign w:val="bottom"/>
          </w:tcPr>
          <w:p w:rsidR="00607E9F" w:rsidRPr="00B217BC" w:rsidRDefault="00607E9F">
            <w:pPr>
              <w:textAlignment w:val="bottom"/>
              <w:rPr>
                <w:rFonts w:ascii="Calibri" w:hAnsi="Calibri" w:cs="Calibri"/>
                <w:color w:val="3366FF"/>
                <w:sz w:val="22"/>
              </w:rPr>
            </w:pPr>
            <w:r w:rsidRPr="00B217BC">
              <w:rPr>
                <w:rFonts w:ascii="Calibri" w:hAnsi="Calibri" w:cs="Calibri"/>
                <w:color w:val="3366FF"/>
                <w:sz w:val="22"/>
                <w:lang w:val="en-US"/>
              </w:rPr>
              <w:t>R of B entr</w:t>
            </w:r>
          </w:p>
        </w:tc>
        <w:tc>
          <w:tcPr>
            <w:tcW w:w="974" w:type="dxa"/>
            <w:tcBorders>
              <w:top w:val="nil"/>
              <w:left w:val="nil"/>
              <w:bottom w:val="nil"/>
              <w:right w:val="nil"/>
            </w:tcBorders>
            <w:noWrap/>
            <w:tcMar>
              <w:top w:w="10" w:type="dxa"/>
              <w:left w:w="10" w:type="dxa"/>
              <w:right w:w="10" w:type="dxa"/>
            </w:tcMar>
            <w:vAlign w:val="bottom"/>
          </w:tcPr>
          <w:p w:rsidR="00607E9F" w:rsidRPr="00B217BC" w:rsidRDefault="00607E9F">
            <w:pPr>
              <w:textAlignment w:val="bottom"/>
              <w:rPr>
                <w:rFonts w:ascii="Calibri" w:hAnsi="Calibri" w:cs="Calibri"/>
                <w:color w:val="3366FF"/>
                <w:sz w:val="22"/>
              </w:rPr>
            </w:pPr>
            <w:r w:rsidRPr="00B217BC">
              <w:rPr>
                <w:rFonts w:ascii="Calibri" w:hAnsi="Calibri" w:cs="Calibri"/>
                <w:color w:val="3366FF"/>
                <w:sz w:val="22"/>
                <w:lang w:val="en-US"/>
              </w:rPr>
              <w:t>S of S Ent</w:t>
            </w:r>
          </w:p>
        </w:tc>
        <w:tc>
          <w:tcPr>
            <w:tcW w:w="974" w:type="dxa"/>
            <w:tcBorders>
              <w:top w:val="nil"/>
              <w:left w:val="nil"/>
              <w:bottom w:val="nil"/>
              <w:right w:val="nil"/>
            </w:tcBorders>
            <w:noWrap/>
            <w:tcMar>
              <w:top w:w="10" w:type="dxa"/>
              <w:left w:w="10" w:type="dxa"/>
              <w:right w:w="10" w:type="dxa"/>
            </w:tcMar>
            <w:vAlign w:val="bottom"/>
          </w:tcPr>
          <w:p w:rsidR="00607E9F" w:rsidRPr="00B217BC" w:rsidRDefault="00607E9F">
            <w:pPr>
              <w:textAlignment w:val="bottom"/>
              <w:rPr>
                <w:rFonts w:ascii="Calibri" w:hAnsi="Calibri" w:cs="Calibri"/>
                <w:color w:val="3366FF"/>
                <w:sz w:val="22"/>
              </w:rPr>
            </w:pPr>
            <w:r w:rsidRPr="00B217BC">
              <w:rPr>
                <w:rFonts w:ascii="Calibri" w:hAnsi="Calibri" w:cs="Calibri"/>
                <w:color w:val="3366FF"/>
                <w:sz w:val="22"/>
                <w:lang w:val="en-US"/>
              </w:rPr>
              <w:t>R of B entr</w:t>
            </w:r>
          </w:p>
        </w:tc>
        <w:tc>
          <w:tcPr>
            <w:tcW w:w="974" w:type="dxa"/>
            <w:tcBorders>
              <w:top w:val="nil"/>
              <w:left w:val="nil"/>
              <w:bottom w:val="nil"/>
              <w:right w:val="nil"/>
            </w:tcBorders>
            <w:noWrap/>
            <w:tcMar>
              <w:top w:w="10" w:type="dxa"/>
              <w:left w:w="10" w:type="dxa"/>
              <w:right w:w="10" w:type="dxa"/>
            </w:tcMar>
            <w:vAlign w:val="bottom"/>
          </w:tcPr>
          <w:p w:rsidR="00607E9F" w:rsidRPr="00B217BC" w:rsidRDefault="00607E9F">
            <w:pPr>
              <w:textAlignment w:val="bottom"/>
              <w:rPr>
                <w:rFonts w:ascii="Calibri" w:hAnsi="Calibri" w:cs="Calibri"/>
                <w:color w:val="3366FF"/>
                <w:sz w:val="22"/>
              </w:rPr>
            </w:pPr>
          </w:p>
        </w:tc>
        <w:tc>
          <w:tcPr>
            <w:tcW w:w="1028"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p>
        </w:tc>
        <w:tc>
          <w:tcPr>
            <w:tcW w:w="1028"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p>
        </w:tc>
      </w:tr>
      <w:tr w:rsidR="00607E9F">
        <w:trPr>
          <w:trHeight w:val="290"/>
        </w:trPr>
        <w:tc>
          <w:tcPr>
            <w:tcW w:w="3048"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r>
              <w:rPr>
                <w:rFonts w:ascii="Calibri" w:hAnsi="Calibri" w:cs="Calibri"/>
                <w:color w:val="000000"/>
                <w:sz w:val="22"/>
              </w:rPr>
              <w:t>M</w:t>
            </w:r>
            <w:r>
              <w:rPr>
                <w:rFonts w:ascii="Calibri" w:hAnsi="Calibri" w:cs="Calibri"/>
                <w:color w:val="000000"/>
                <w:sz w:val="22"/>
                <w:lang w:val="en-US"/>
              </w:rPr>
              <w:t>easured a</w:t>
            </w:r>
            <w:r>
              <w:rPr>
                <w:rFonts w:ascii="Calibri" w:hAnsi="Calibri" w:cs="Calibri"/>
                <w:color w:val="000000"/>
                <w:sz w:val="22"/>
              </w:rPr>
              <w:t>zimuth</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360</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310</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360</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310</w:t>
            </w:r>
          </w:p>
        </w:tc>
        <w:tc>
          <w:tcPr>
            <w:tcW w:w="974"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p>
        </w:tc>
        <w:tc>
          <w:tcPr>
            <w:tcW w:w="1028"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p>
        </w:tc>
        <w:tc>
          <w:tcPr>
            <w:tcW w:w="1028"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p>
        </w:tc>
      </w:tr>
      <w:tr w:rsidR="00607E9F">
        <w:trPr>
          <w:trHeight w:val="290"/>
        </w:trPr>
        <w:tc>
          <w:tcPr>
            <w:tcW w:w="3048"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1028"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1028"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r>
      <w:tr w:rsidR="00607E9F">
        <w:trPr>
          <w:trHeight w:val="290"/>
        </w:trPr>
        <w:tc>
          <w:tcPr>
            <w:tcW w:w="3048"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b/>
                <w:color w:val="000000"/>
                <w:sz w:val="22"/>
              </w:rPr>
            </w:pPr>
            <w:r>
              <w:rPr>
                <w:rFonts w:ascii="Calibri" w:hAnsi="Calibri" w:cs="Calibri"/>
                <w:b/>
                <w:color w:val="000000"/>
                <w:sz w:val="22"/>
                <w:lang w:val="en-US"/>
              </w:rPr>
              <w:t>Stone width uncertainty</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1028"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1028"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r>
      <w:tr w:rsidR="00607E9F">
        <w:trPr>
          <w:trHeight w:val="290"/>
        </w:trPr>
        <w:tc>
          <w:tcPr>
            <w:tcW w:w="3048"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r>
              <w:rPr>
                <w:rFonts w:ascii="Calibri" w:hAnsi="Calibri" w:cs="Calibri"/>
                <w:color w:val="000000"/>
                <w:sz w:val="22"/>
                <w:lang w:val="en-US"/>
              </w:rPr>
              <w:t>Range (m)</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15</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103</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15</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103</w:t>
            </w:r>
          </w:p>
        </w:tc>
        <w:tc>
          <w:tcPr>
            <w:tcW w:w="974"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p>
        </w:tc>
        <w:tc>
          <w:tcPr>
            <w:tcW w:w="1028"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p>
        </w:tc>
        <w:tc>
          <w:tcPr>
            <w:tcW w:w="1028"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p>
        </w:tc>
      </w:tr>
      <w:tr w:rsidR="00607E9F">
        <w:trPr>
          <w:trHeight w:val="290"/>
        </w:trPr>
        <w:tc>
          <w:tcPr>
            <w:tcW w:w="3048"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r>
              <w:rPr>
                <w:rFonts w:ascii="Calibri" w:hAnsi="Calibri" w:cs="Calibri"/>
                <w:color w:val="000000"/>
                <w:sz w:val="22"/>
                <w:lang w:val="en-US"/>
              </w:rPr>
              <w:t>Range uncertainty</w:t>
            </w:r>
            <w:r>
              <w:rPr>
                <w:rFonts w:ascii="Calibri" w:hAnsi="Calibri" w:cs="Calibri"/>
                <w:color w:val="000000"/>
                <w:sz w:val="22"/>
              </w:rPr>
              <w:t xml:space="preserve"> </w:t>
            </w:r>
            <w:r>
              <w:rPr>
                <w:rFonts w:ascii="Calibri" w:hAnsi="Calibri" w:cs="Calibri"/>
                <w:color w:val="000000"/>
                <w:sz w:val="22"/>
                <w:lang w:val="en-US"/>
              </w:rPr>
              <w:t>(m)</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w:t>
            </w:r>
          </w:p>
        </w:tc>
        <w:tc>
          <w:tcPr>
            <w:tcW w:w="974"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p>
        </w:tc>
        <w:tc>
          <w:tcPr>
            <w:tcW w:w="1028"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1028"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p>
        </w:tc>
      </w:tr>
      <w:tr w:rsidR="00607E9F">
        <w:trPr>
          <w:trHeight w:val="290"/>
        </w:trPr>
        <w:tc>
          <w:tcPr>
            <w:tcW w:w="3048"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r>
              <w:rPr>
                <w:rFonts w:ascii="Calibri" w:hAnsi="Calibri" w:cs="Calibri"/>
                <w:color w:val="000000"/>
                <w:sz w:val="22"/>
              </w:rPr>
              <w:t>N</w:t>
            </w:r>
            <w:r>
              <w:rPr>
                <w:rFonts w:ascii="Calibri" w:hAnsi="Calibri" w:cs="Calibri"/>
                <w:color w:val="000000"/>
                <w:sz w:val="22"/>
                <w:lang w:val="en-US"/>
              </w:rPr>
              <w:t>ear width uncertainty</w:t>
            </w:r>
            <w:r>
              <w:rPr>
                <w:rFonts w:ascii="Calibri" w:hAnsi="Calibri" w:cs="Calibri"/>
                <w:color w:val="000000"/>
                <w:sz w:val="22"/>
              </w:rPr>
              <w:t xml:space="preserve"> </w:t>
            </w:r>
            <w:r>
              <w:rPr>
                <w:rFonts w:ascii="Calibri" w:hAnsi="Calibri" w:cs="Calibri"/>
                <w:color w:val="000000"/>
                <w:sz w:val="22"/>
                <w:lang w:val="en-US"/>
              </w:rPr>
              <w:t>(m)</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0.077</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0.077</w:t>
            </w:r>
          </w:p>
        </w:tc>
        <w:tc>
          <w:tcPr>
            <w:tcW w:w="974"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p>
        </w:tc>
        <w:tc>
          <w:tcPr>
            <w:tcW w:w="1028"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p>
        </w:tc>
        <w:tc>
          <w:tcPr>
            <w:tcW w:w="1028"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p>
        </w:tc>
      </w:tr>
      <w:tr w:rsidR="00607E9F">
        <w:trPr>
          <w:trHeight w:val="290"/>
        </w:trPr>
        <w:tc>
          <w:tcPr>
            <w:tcW w:w="3048"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r>
              <w:rPr>
                <w:rFonts w:ascii="Calibri" w:hAnsi="Calibri" w:cs="Calibri"/>
                <w:color w:val="000000"/>
                <w:sz w:val="22"/>
              </w:rPr>
              <w:t>F</w:t>
            </w:r>
            <w:r>
              <w:rPr>
                <w:rFonts w:ascii="Calibri" w:hAnsi="Calibri" w:cs="Calibri"/>
                <w:color w:val="000000"/>
                <w:sz w:val="22"/>
                <w:lang w:val="en-US"/>
              </w:rPr>
              <w:t>ar width uncertainty</w:t>
            </w:r>
            <w:r>
              <w:rPr>
                <w:rFonts w:ascii="Calibri" w:hAnsi="Calibri" w:cs="Calibri"/>
                <w:color w:val="000000"/>
                <w:sz w:val="22"/>
              </w:rPr>
              <w:t xml:space="preserve"> </w:t>
            </w:r>
            <w:r>
              <w:rPr>
                <w:rFonts w:ascii="Calibri" w:hAnsi="Calibri" w:cs="Calibri"/>
                <w:color w:val="000000"/>
                <w:sz w:val="22"/>
                <w:lang w:val="en-US"/>
              </w:rPr>
              <w:t>(</w:t>
            </w:r>
            <w:r>
              <w:rPr>
                <w:rFonts w:ascii="Calibri" w:hAnsi="Calibri" w:cs="Calibri"/>
                <w:color w:val="000000"/>
                <w:sz w:val="22"/>
              </w:rPr>
              <w:t>m</w:t>
            </w:r>
            <w:r>
              <w:rPr>
                <w:rFonts w:ascii="Calibri" w:hAnsi="Calibri" w:cs="Calibri"/>
                <w:color w:val="000000"/>
                <w:sz w:val="22"/>
                <w:lang w:val="en-US"/>
              </w:rPr>
              <w:t>)</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0.45</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1.5</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0.45</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1.5</w:t>
            </w:r>
          </w:p>
        </w:tc>
        <w:tc>
          <w:tcPr>
            <w:tcW w:w="974"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p>
        </w:tc>
        <w:tc>
          <w:tcPr>
            <w:tcW w:w="1028"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p>
        </w:tc>
        <w:tc>
          <w:tcPr>
            <w:tcW w:w="1028"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p>
        </w:tc>
      </w:tr>
      <w:tr w:rsidR="00607E9F">
        <w:trPr>
          <w:trHeight w:val="290"/>
        </w:trPr>
        <w:tc>
          <w:tcPr>
            <w:tcW w:w="3048"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1028"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1028"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r>
      <w:tr w:rsidR="00607E9F">
        <w:trPr>
          <w:trHeight w:val="290"/>
        </w:trPr>
        <w:tc>
          <w:tcPr>
            <w:tcW w:w="3048"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r>
              <w:rPr>
                <w:rFonts w:ascii="Calibri" w:hAnsi="Calibri" w:cs="Calibri"/>
                <w:color w:val="000000"/>
                <w:sz w:val="22"/>
              </w:rPr>
              <w:t>Azimuth uncertainty</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1.72</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0.88</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1.72</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0.88</w:t>
            </w:r>
          </w:p>
        </w:tc>
        <w:tc>
          <w:tcPr>
            <w:tcW w:w="974"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p>
        </w:tc>
        <w:tc>
          <w:tcPr>
            <w:tcW w:w="1028"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p>
        </w:tc>
        <w:tc>
          <w:tcPr>
            <w:tcW w:w="1028"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p>
        </w:tc>
      </w:tr>
      <w:tr w:rsidR="00607E9F">
        <w:trPr>
          <w:trHeight w:val="290"/>
        </w:trPr>
        <w:tc>
          <w:tcPr>
            <w:tcW w:w="3048"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1028"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1028"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r>
      <w:tr w:rsidR="00607E9F">
        <w:trPr>
          <w:trHeight w:val="290"/>
        </w:trPr>
        <w:tc>
          <w:tcPr>
            <w:tcW w:w="3048"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b/>
                <w:color w:val="000000"/>
                <w:sz w:val="22"/>
              </w:rPr>
            </w:pPr>
            <w:r>
              <w:rPr>
                <w:rFonts w:ascii="Calibri" w:hAnsi="Calibri" w:cs="Calibri"/>
                <w:b/>
                <w:color w:val="000000"/>
                <w:sz w:val="22"/>
                <w:lang w:val="en-US"/>
              </w:rPr>
              <w:t>Instrument accuracy (Degrees)</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0.5</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0.5</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0.5</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0.5</w:t>
            </w:r>
          </w:p>
        </w:tc>
        <w:tc>
          <w:tcPr>
            <w:tcW w:w="974"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p>
        </w:tc>
        <w:tc>
          <w:tcPr>
            <w:tcW w:w="1028"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p>
        </w:tc>
        <w:tc>
          <w:tcPr>
            <w:tcW w:w="1028"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p>
        </w:tc>
      </w:tr>
      <w:tr w:rsidR="00607E9F">
        <w:trPr>
          <w:trHeight w:val="290"/>
        </w:trPr>
        <w:tc>
          <w:tcPr>
            <w:tcW w:w="3048"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1028"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1028"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r>
      <w:tr w:rsidR="00607E9F">
        <w:trPr>
          <w:trHeight w:val="290"/>
        </w:trPr>
        <w:tc>
          <w:tcPr>
            <w:tcW w:w="3048"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r>
              <w:rPr>
                <w:rFonts w:ascii="Calibri" w:hAnsi="Calibri" w:cs="Calibri"/>
                <w:color w:val="000000"/>
                <w:sz w:val="22"/>
                <w:lang w:val="en-US"/>
              </w:rPr>
              <w:t>Total uncertainty</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2.22</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1.38</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2.22</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1.38</w:t>
            </w:r>
          </w:p>
        </w:tc>
        <w:tc>
          <w:tcPr>
            <w:tcW w:w="974"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p>
        </w:tc>
        <w:tc>
          <w:tcPr>
            <w:tcW w:w="1028"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p>
        </w:tc>
        <w:tc>
          <w:tcPr>
            <w:tcW w:w="1028"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p>
        </w:tc>
      </w:tr>
      <w:tr w:rsidR="00607E9F">
        <w:trPr>
          <w:trHeight w:val="290"/>
        </w:trPr>
        <w:tc>
          <w:tcPr>
            <w:tcW w:w="3048"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r>
              <w:rPr>
                <w:rFonts w:ascii="Calibri" w:hAnsi="Calibri" w:cs="Calibri"/>
                <w:color w:val="000000"/>
                <w:sz w:val="22"/>
                <w:lang w:val="en-US"/>
              </w:rPr>
              <w:t>Lower bound</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357.78</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308.62</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357.78</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308.62</w:t>
            </w:r>
          </w:p>
        </w:tc>
        <w:tc>
          <w:tcPr>
            <w:tcW w:w="974"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p>
        </w:tc>
        <w:tc>
          <w:tcPr>
            <w:tcW w:w="1028"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p>
        </w:tc>
        <w:tc>
          <w:tcPr>
            <w:tcW w:w="1028"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p>
        </w:tc>
      </w:tr>
      <w:tr w:rsidR="00607E9F">
        <w:trPr>
          <w:trHeight w:val="290"/>
        </w:trPr>
        <w:tc>
          <w:tcPr>
            <w:tcW w:w="3048"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r>
              <w:rPr>
                <w:rFonts w:ascii="Calibri" w:hAnsi="Calibri" w:cs="Calibri"/>
                <w:color w:val="000000"/>
                <w:sz w:val="22"/>
                <w:lang w:val="en-US"/>
              </w:rPr>
              <w:t>Middle</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360.00</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310.00</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360.00</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310.00</w:t>
            </w:r>
          </w:p>
        </w:tc>
        <w:tc>
          <w:tcPr>
            <w:tcW w:w="974"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p>
        </w:tc>
        <w:tc>
          <w:tcPr>
            <w:tcW w:w="1028"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p>
        </w:tc>
        <w:tc>
          <w:tcPr>
            <w:tcW w:w="1028"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p>
        </w:tc>
      </w:tr>
      <w:tr w:rsidR="00607E9F">
        <w:trPr>
          <w:trHeight w:val="290"/>
        </w:trPr>
        <w:tc>
          <w:tcPr>
            <w:tcW w:w="3048"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r>
              <w:rPr>
                <w:rFonts w:ascii="Calibri" w:hAnsi="Calibri" w:cs="Calibri"/>
                <w:color w:val="000000"/>
                <w:sz w:val="22"/>
                <w:lang w:val="en-US"/>
              </w:rPr>
              <w:t>Upper bound</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362.22</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311.38</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362.22</w:t>
            </w:r>
          </w:p>
        </w:tc>
        <w:tc>
          <w:tcPr>
            <w:tcW w:w="974" w:type="dxa"/>
            <w:tcBorders>
              <w:top w:val="nil"/>
              <w:left w:val="nil"/>
              <w:bottom w:val="nil"/>
              <w:right w:val="nil"/>
            </w:tcBorders>
            <w:noWrap/>
            <w:tcMar>
              <w:top w:w="10" w:type="dxa"/>
              <w:left w:w="10" w:type="dxa"/>
              <w:right w:w="10" w:type="dxa"/>
            </w:tcMar>
            <w:vAlign w:val="bottom"/>
          </w:tcPr>
          <w:p w:rsidR="00607E9F" w:rsidRDefault="00607E9F">
            <w:pPr>
              <w:jc w:val="right"/>
              <w:textAlignment w:val="bottom"/>
              <w:rPr>
                <w:rFonts w:ascii="Calibri" w:hAnsi="Calibri" w:cs="Calibri"/>
                <w:color w:val="000000"/>
                <w:sz w:val="22"/>
              </w:rPr>
            </w:pPr>
            <w:r>
              <w:rPr>
                <w:rFonts w:ascii="Calibri" w:hAnsi="Calibri" w:cs="Calibri"/>
                <w:color w:val="000000"/>
                <w:sz w:val="22"/>
                <w:lang w:val="en-US"/>
              </w:rPr>
              <w:t>311.38</w:t>
            </w:r>
          </w:p>
        </w:tc>
        <w:tc>
          <w:tcPr>
            <w:tcW w:w="974"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p>
        </w:tc>
        <w:tc>
          <w:tcPr>
            <w:tcW w:w="1028"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p>
        </w:tc>
        <w:tc>
          <w:tcPr>
            <w:tcW w:w="1028" w:type="dxa"/>
            <w:tcBorders>
              <w:top w:val="nil"/>
              <w:left w:val="nil"/>
              <w:bottom w:val="nil"/>
              <w:right w:val="nil"/>
            </w:tcBorders>
            <w:noWrap/>
            <w:tcMar>
              <w:top w:w="10" w:type="dxa"/>
              <w:left w:w="10" w:type="dxa"/>
              <w:right w:w="10" w:type="dxa"/>
            </w:tcMar>
            <w:vAlign w:val="bottom"/>
          </w:tcPr>
          <w:p w:rsidR="00607E9F" w:rsidRDefault="00607E9F">
            <w:pPr>
              <w:textAlignment w:val="bottom"/>
              <w:rPr>
                <w:rFonts w:ascii="Calibri" w:hAnsi="Calibri" w:cs="Calibri"/>
                <w:color w:val="000000"/>
                <w:sz w:val="22"/>
              </w:rPr>
            </w:pPr>
          </w:p>
        </w:tc>
      </w:tr>
    </w:tbl>
    <w:p w:rsidR="00607E9F" w:rsidRDefault="00607E9F">
      <w:pPr>
        <w:rPr>
          <w:rFonts w:ascii="Arial" w:hAnsi="Arial"/>
        </w:rPr>
      </w:pPr>
    </w:p>
    <w:tbl>
      <w:tblPr>
        <w:tblW w:w="12896" w:type="dxa"/>
        <w:tblInd w:w="-1800" w:type="dxa"/>
        <w:tblLayout w:type="fixed"/>
        <w:tblCellMar>
          <w:left w:w="0" w:type="dxa"/>
          <w:right w:w="0" w:type="dxa"/>
        </w:tblCellMar>
        <w:tblLook w:val="0000"/>
      </w:tblPr>
      <w:tblGrid>
        <w:gridCol w:w="3048"/>
        <w:gridCol w:w="974"/>
        <w:gridCol w:w="974"/>
        <w:gridCol w:w="974"/>
        <w:gridCol w:w="974"/>
        <w:gridCol w:w="974"/>
        <w:gridCol w:w="1028"/>
        <w:gridCol w:w="974"/>
        <w:gridCol w:w="974"/>
        <w:gridCol w:w="1028"/>
        <w:gridCol w:w="974"/>
      </w:tblGrid>
      <w:tr w:rsidR="00607E9F">
        <w:trPr>
          <w:trHeight w:val="290"/>
        </w:trPr>
        <w:tc>
          <w:tcPr>
            <w:tcW w:w="3048" w:type="dxa"/>
            <w:tcBorders>
              <w:top w:val="nil"/>
              <w:left w:val="nil"/>
              <w:bottom w:val="nil"/>
              <w:right w:val="nil"/>
            </w:tcBorders>
            <w:noWrap/>
            <w:tcMar>
              <w:top w:w="10" w:type="dxa"/>
              <w:left w:w="10" w:type="dxa"/>
              <w:right w:w="10" w:type="dxa"/>
            </w:tcMar>
            <w:vAlign w:val="bottom"/>
          </w:tcPr>
          <w:p w:rsidR="00607E9F" w:rsidRPr="00F91DC9" w:rsidRDefault="00607E9F" w:rsidP="00B217BC">
            <w:pPr>
              <w:spacing w:line="240" w:lineRule="auto"/>
              <w:jc w:val="left"/>
              <w:rPr>
                <w:rFonts w:ascii="Calibri" w:hAnsi="Calibri" w:cs="Calibri"/>
                <w: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1028"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1028"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c>
          <w:tcPr>
            <w:tcW w:w="974" w:type="dxa"/>
            <w:tcBorders>
              <w:top w:val="nil"/>
              <w:left w:val="nil"/>
              <w:bottom w:val="nil"/>
              <w:right w:val="nil"/>
            </w:tcBorders>
            <w:noWrap/>
            <w:tcMar>
              <w:top w:w="10" w:type="dxa"/>
              <w:left w:w="10" w:type="dxa"/>
              <w:right w:w="10" w:type="dxa"/>
            </w:tcMar>
            <w:vAlign w:val="bottom"/>
          </w:tcPr>
          <w:p w:rsidR="00607E9F" w:rsidRDefault="00607E9F">
            <w:pPr>
              <w:rPr>
                <w:rFonts w:ascii="Calibri" w:hAnsi="Calibri" w:cs="Calibri"/>
                <w:color w:val="000000"/>
                <w:sz w:val="22"/>
              </w:rPr>
            </w:pPr>
          </w:p>
        </w:tc>
      </w:tr>
    </w:tbl>
    <w:p w:rsidR="00607E9F" w:rsidRPr="008453B6" w:rsidRDefault="00607E9F" w:rsidP="00B217BC">
      <w:pPr>
        <w:pStyle w:val="Heading3"/>
        <w:jc w:val="center"/>
        <w:rPr>
          <w:b w:val="0"/>
          <w:color w:val="3366FF"/>
          <w:sz w:val="28"/>
        </w:rPr>
      </w:pPr>
      <w:r w:rsidRPr="008453B6">
        <w:rPr>
          <w:color w:val="3366FF"/>
          <w:sz w:val="28"/>
        </w:rPr>
        <w:t>REFERENCES.</w:t>
      </w:r>
    </w:p>
    <w:p w:rsidR="00607E9F" w:rsidRPr="00D12865" w:rsidRDefault="00607E9F">
      <w:pPr>
        <w:spacing w:after="336"/>
      </w:pPr>
    </w:p>
    <w:p w:rsidR="00607E9F" w:rsidRPr="00D12865" w:rsidRDefault="00607E9F">
      <w:pPr>
        <w:spacing w:after="336"/>
      </w:pPr>
      <w:r w:rsidRPr="00D12865">
        <w:t xml:space="preserve">2017. </w:t>
      </w:r>
      <w:r w:rsidRPr="00D12865">
        <w:rPr>
          <w:i/>
        </w:rPr>
        <w:t>The Ness Of Brodgar Digging Deeper</w:t>
      </w:r>
      <w:r w:rsidRPr="00D12865">
        <w:t>. Ness of Brodgar Trust.</w:t>
      </w:r>
    </w:p>
    <w:p w:rsidR="00607E9F" w:rsidRPr="00D12865" w:rsidRDefault="00607E9F">
      <w:pPr>
        <w:spacing w:after="336"/>
      </w:pPr>
      <w:r w:rsidRPr="00D12865">
        <w:t xml:space="preserve">Angell, I., 1976. Stone Circles: Megalithic Mathematics or Neolithic Nonsense? </w:t>
      </w:r>
      <w:r w:rsidRPr="00D12865">
        <w:rPr>
          <w:i/>
        </w:rPr>
        <w:t>The Mathematical Gazette</w:t>
      </w:r>
      <w:r w:rsidRPr="00D12865">
        <w:t>, 60(413), p.189.</w:t>
      </w:r>
    </w:p>
    <w:p w:rsidR="00607E9F" w:rsidRPr="00D12865" w:rsidRDefault="00607E9F">
      <w:pPr>
        <w:spacing w:after="336"/>
      </w:pPr>
      <w:r w:rsidRPr="00D12865">
        <w:t xml:space="preserve">Aveni, A., 2008. </w:t>
      </w:r>
      <w:r w:rsidRPr="00D12865">
        <w:rPr>
          <w:i/>
        </w:rPr>
        <w:t>Foundations Of New World Cultural Astronomy</w:t>
      </w:r>
      <w:r w:rsidRPr="00D12865">
        <w:t>. Boulder: University Press of Colorado.</w:t>
      </w:r>
    </w:p>
    <w:p w:rsidR="00607E9F" w:rsidRPr="00D12865" w:rsidRDefault="00607E9F">
      <w:pPr>
        <w:spacing w:after="336"/>
      </w:pPr>
      <w:r w:rsidRPr="00D12865">
        <w:t xml:space="preserve">Barnatt, J. and Herring, P., 1986. Stone circles and megalithic geometry: An experiment to test alternative design practices. </w:t>
      </w:r>
      <w:r w:rsidRPr="00D12865">
        <w:rPr>
          <w:i/>
        </w:rPr>
        <w:t>Journal of Archaeological Science</w:t>
      </w:r>
      <w:r w:rsidRPr="00D12865">
        <w:t>, 13(5), pp. 431-449.</w:t>
      </w:r>
    </w:p>
    <w:p w:rsidR="00607E9F" w:rsidRPr="00D12865" w:rsidRDefault="00607E9F">
      <w:pPr>
        <w:spacing w:after="336"/>
      </w:pPr>
      <w:r w:rsidRPr="00D12865">
        <w:t xml:space="preserve">Barrett, J. and Kinnes, I. ed., 1998. The living, the dead and the ancestors: Neolithic and Early Bronze Age mortuary practices. In: </w:t>
      </w:r>
      <w:r w:rsidRPr="00D12865">
        <w:rPr>
          <w:i/>
        </w:rPr>
        <w:t>The archaeology of context in the Neolithic and Bronze Age,</w:t>
      </w:r>
      <w:r w:rsidRPr="00D12865">
        <w:t>. Sheffield: Dept. of Archaeology and Prehistory, University of Sheffield, pp.30–41.</w:t>
      </w:r>
    </w:p>
    <w:p w:rsidR="00607E9F" w:rsidRPr="00D12865" w:rsidRDefault="00607E9F">
      <w:pPr>
        <w:spacing w:after="336"/>
      </w:pPr>
      <w:r w:rsidRPr="00D12865">
        <w:t xml:space="preserve">Bayliss, A., Marshall, P., Richards, C. and Whittle, A., 2017. Islands of history: the Late Neolithic timescape of Orkney. </w:t>
      </w:r>
      <w:r w:rsidRPr="00D12865">
        <w:rPr>
          <w:i/>
        </w:rPr>
        <w:t>Antiquity</w:t>
      </w:r>
      <w:r w:rsidRPr="00D12865">
        <w:t>, 91(359), pp. 1171-1188.</w:t>
      </w:r>
    </w:p>
    <w:p w:rsidR="00607E9F" w:rsidRPr="00D12865" w:rsidRDefault="00607E9F">
      <w:pPr>
        <w:spacing w:after="336"/>
      </w:pPr>
      <w:r w:rsidRPr="00D12865">
        <w:t xml:space="preserve">Boyer, A., 2016. Do Orcadian Tombs Align With Solar Events? [Blog] </w:t>
      </w:r>
      <w:r w:rsidRPr="00D12865">
        <w:rPr>
          <w:i/>
        </w:rPr>
        <w:t>University of The Highlands and Islands Archaeology Institute</w:t>
      </w:r>
      <w:r w:rsidRPr="00D12865">
        <w:t>, Available at: &lt;https://archaeologyorkney.com/2016/02/08/do-orcadian-tombs-align-with-solar-events/&gt; [Accessed 12 March 2020].</w:t>
      </w:r>
    </w:p>
    <w:p w:rsidR="00607E9F" w:rsidRPr="00D12865" w:rsidRDefault="00607E9F">
      <w:pPr>
        <w:spacing w:after="336"/>
      </w:pPr>
      <w:r w:rsidRPr="00D12865">
        <w:t xml:space="preserve">Burl, A., 1983. </w:t>
      </w:r>
      <w:r w:rsidRPr="00D12865">
        <w:rPr>
          <w:i/>
        </w:rPr>
        <w:t>Prehistoric Astronomy And Ritual</w:t>
      </w:r>
      <w:r w:rsidRPr="00D12865">
        <w:t>. 2nd ed. Oxford: Shire Archaeology.</w:t>
      </w:r>
    </w:p>
    <w:p w:rsidR="00607E9F" w:rsidRPr="00D12865" w:rsidRDefault="00607E9F">
      <w:pPr>
        <w:spacing w:after="336"/>
      </w:pPr>
      <w:r w:rsidRPr="00D12865">
        <w:t xml:space="preserve">Campion, N., 2012. </w:t>
      </w:r>
      <w:r w:rsidRPr="00D12865">
        <w:rPr>
          <w:i/>
        </w:rPr>
        <w:t>Astrology And Cosmology In The World's Religions</w:t>
      </w:r>
      <w:r w:rsidRPr="00D12865">
        <w:t>. New York: New York University Press.</w:t>
      </w:r>
    </w:p>
    <w:p w:rsidR="00607E9F" w:rsidRPr="00D12865" w:rsidRDefault="00607E9F">
      <w:pPr>
        <w:spacing w:after="336"/>
      </w:pPr>
      <w:r w:rsidRPr="00D12865">
        <w:t xml:space="preserve">Campion, N., 2015. Skyscapes:Locating Archeoastronomy within Academia. In: N. Campion and F. Silva, ed., </w:t>
      </w:r>
      <w:r w:rsidRPr="00D12865">
        <w:rPr>
          <w:i/>
        </w:rPr>
        <w:t>Skyscapes. The Role and Importance of the Sky in Archaeology</w:t>
      </w:r>
      <w:r w:rsidRPr="00D12865">
        <w:t>. Oxford: Oxbow Books.</w:t>
      </w:r>
    </w:p>
    <w:p w:rsidR="00607E9F" w:rsidRPr="00D12865" w:rsidRDefault="00607E9F">
      <w:pPr>
        <w:spacing w:after="336"/>
      </w:pPr>
      <w:r w:rsidRPr="00D12865">
        <w:t xml:space="preserve">Canmore.org.uk. 2020. </w:t>
      </w:r>
      <w:r w:rsidRPr="00D12865">
        <w:rPr>
          <w:i/>
        </w:rPr>
        <w:t>Welcome To Canmore | Canmore</w:t>
      </w:r>
      <w:r w:rsidRPr="00D12865">
        <w:t>. [online] Available at: &lt;https://canmore.org.uk/&gt; [Accessed 11 March 2020].</w:t>
      </w:r>
    </w:p>
    <w:p w:rsidR="00607E9F" w:rsidRPr="00D12865" w:rsidRDefault="00607E9F">
      <w:pPr>
        <w:spacing w:after="336"/>
      </w:pPr>
      <w:r w:rsidRPr="00D12865">
        <w:t xml:space="preserve">Card, N. and Thomas, A., 2012. Painting a picture of Neolithic Orkney: decorated stonework from the Ness of Brodgar. In: A. Cochrane and A. Jones, ed., </w:t>
      </w:r>
      <w:r w:rsidRPr="00D12865">
        <w:rPr>
          <w:i/>
        </w:rPr>
        <w:t>Visualising the Neolithic</w:t>
      </w:r>
      <w:r w:rsidRPr="00D12865">
        <w:t>. Oxford: Oxbow Books, pp.111-124.</w:t>
      </w:r>
    </w:p>
    <w:p w:rsidR="00607E9F" w:rsidRPr="00D12865" w:rsidRDefault="00607E9F">
      <w:pPr>
        <w:spacing w:after="336"/>
      </w:pPr>
      <w:r w:rsidRPr="00D12865">
        <w:t xml:space="preserve">Card, N., Mainland, I., Timpany, S., Towers, R., Batt, C., Ramsey, C., Dunbar, E., Reimer, P., Bayliss, A., Marshall, P. and Whittle, A., 2017. To Cut a Long Story Short: Formal Chronological Modelling for the Late Neolithic Site of Ness of Brodgar, Orkney. </w:t>
      </w:r>
      <w:r w:rsidRPr="00D12865">
        <w:rPr>
          <w:i/>
        </w:rPr>
        <w:t>European Journal of Archaeology</w:t>
      </w:r>
      <w:r w:rsidRPr="00D12865">
        <w:t>, 21(2), pp. 217-263.</w:t>
      </w:r>
    </w:p>
    <w:p w:rsidR="00607E9F" w:rsidRPr="00D12865" w:rsidRDefault="00607E9F">
      <w:pPr>
        <w:spacing w:after="336"/>
      </w:pPr>
      <w:r w:rsidRPr="00D12865">
        <w:t xml:space="preserve">Childe, V., 1931. Skara Brae: a ‘Stone Age’ Village in Orkney. </w:t>
      </w:r>
      <w:r w:rsidRPr="00D12865">
        <w:rPr>
          <w:i/>
        </w:rPr>
        <w:t>Antiquity</w:t>
      </w:r>
      <w:r w:rsidRPr="00D12865">
        <w:t>, 5(17), pp. 47-59.</w:t>
      </w:r>
    </w:p>
    <w:p w:rsidR="00607E9F" w:rsidRPr="00D12865" w:rsidRDefault="00607E9F">
      <w:pPr>
        <w:spacing w:after="336"/>
      </w:pPr>
      <w:r w:rsidRPr="00D12865">
        <w:t xml:space="preserve">Childe, V.,1950. </w:t>
      </w:r>
      <w:r w:rsidRPr="00D12865">
        <w:rPr>
          <w:i/>
        </w:rPr>
        <w:t>Ancient Dwellings At Skara Brae, Orkney</w:t>
      </w:r>
      <w:r w:rsidRPr="00D12865">
        <w:t>. Edinburgh: H.M.S.O.</w:t>
      </w:r>
    </w:p>
    <w:p w:rsidR="00607E9F" w:rsidRPr="00D12865" w:rsidRDefault="00607E9F">
      <w:pPr>
        <w:spacing w:after="336"/>
      </w:pPr>
      <w:r w:rsidRPr="00D12865">
        <w:t xml:space="preserve">Childe, V., 1969. </w:t>
      </w:r>
      <w:r w:rsidRPr="00D12865">
        <w:rPr>
          <w:i/>
        </w:rPr>
        <w:t>The Bronze Age</w:t>
      </w:r>
      <w:r w:rsidRPr="00D12865">
        <w:t>. New York: Biblo and Tannen.</w:t>
      </w:r>
    </w:p>
    <w:p w:rsidR="00607E9F" w:rsidRPr="00D12865" w:rsidRDefault="00607E9F">
      <w:pPr>
        <w:spacing w:after="336"/>
      </w:pPr>
      <w:r w:rsidRPr="00D12865">
        <w:t xml:space="preserve">Children, G. and Nash, G.,1997. </w:t>
      </w:r>
      <w:r w:rsidRPr="00D12865">
        <w:rPr>
          <w:i/>
        </w:rPr>
        <w:t>The Anthropology Of Landscape:A Guide To Neolithic Sites In Cardiganshire,Camarthenshire And Pembroke.</w:t>
      </w:r>
      <w:r w:rsidRPr="00D12865">
        <w:t>. Little Logaston Woonton: Logaston Press.</w:t>
      </w:r>
    </w:p>
    <w:p w:rsidR="00607E9F" w:rsidRPr="00D12865" w:rsidRDefault="00607E9F">
      <w:pPr>
        <w:spacing w:after="336"/>
      </w:pPr>
      <w:r w:rsidRPr="00D12865">
        <w:t xml:space="preserve">Clarke, D. and Sharples, N., 1985. Settlements and Subsistence in the Third Millennium BC. In: C. Renfrew, ed., </w:t>
      </w:r>
      <w:r w:rsidRPr="00D12865">
        <w:rPr>
          <w:i/>
        </w:rPr>
        <w:t>The Prehistory of Orkney</w:t>
      </w:r>
      <w:r w:rsidRPr="00D12865">
        <w:t>. Edinburgh: Edinburgh University Press, pp.54-82.</w:t>
      </w:r>
    </w:p>
    <w:p w:rsidR="00607E9F" w:rsidRPr="00D12865" w:rsidRDefault="00607E9F">
      <w:pPr>
        <w:spacing w:after="336"/>
      </w:pPr>
      <w:r w:rsidRPr="00D12865">
        <w:t xml:space="preserve">Darvill, T., 1999. "The historic environment, historic landscapes, and space-time-action models in landscape archaeology. In: R. Layton and P. Ucko, ed., </w:t>
      </w:r>
      <w:r w:rsidRPr="00D12865">
        <w:rPr>
          <w:i/>
        </w:rPr>
        <w:t>The Archaeology and Anthropology of Landscape: Shaping your landscape.</w:t>
      </w:r>
      <w:r w:rsidRPr="00D12865">
        <w:t>. London and New York: Routledge.</w:t>
      </w:r>
    </w:p>
    <w:p w:rsidR="00607E9F" w:rsidRPr="00D12865" w:rsidRDefault="00607E9F">
      <w:pPr>
        <w:spacing w:after="336"/>
      </w:pPr>
      <w:r w:rsidRPr="00D12865">
        <w:t xml:space="preserve">Darvill, T., 2015. Afterword: Dances Beneath a Diamond Sky. In: F. Silva and N. Campion, ed., </w:t>
      </w:r>
      <w:r w:rsidRPr="00D12865">
        <w:rPr>
          <w:i/>
        </w:rPr>
        <w:t>Skyscapes. The Role and Importance of the Sky in Archaeology</w:t>
      </w:r>
      <w:r w:rsidRPr="00D12865">
        <w:t>. Oxford: Oxbow Books, pp.140-148.</w:t>
      </w:r>
    </w:p>
    <w:p w:rsidR="00607E9F" w:rsidRPr="00D12865" w:rsidRDefault="00607E9F">
      <w:pPr>
        <w:spacing w:after="336"/>
      </w:pPr>
      <w:r w:rsidRPr="00D12865">
        <w:t xml:space="preserve">Darvill, T., 2017. Ever decreasing circles. </w:t>
      </w:r>
      <w:r w:rsidRPr="00D12865">
        <w:rPr>
          <w:i/>
        </w:rPr>
        <w:t>Antiquity</w:t>
      </w:r>
      <w:r w:rsidRPr="00D12865">
        <w:t>, 91(357), pp. 804-807.</w:t>
      </w:r>
    </w:p>
    <w:p w:rsidR="00607E9F" w:rsidRPr="00D12865" w:rsidRDefault="00607E9F">
      <w:pPr>
        <w:spacing w:after="336"/>
      </w:pPr>
      <w:r w:rsidRPr="00D12865">
        <w:t xml:space="preserve">Davidson and Jones, 1985. Environment. In: C. Renfrew, ed., </w:t>
      </w:r>
      <w:r w:rsidRPr="00D12865">
        <w:rPr>
          <w:i/>
        </w:rPr>
        <w:t>The Prehistory of Orkney</w:t>
      </w:r>
      <w:r w:rsidRPr="00D12865">
        <w:t>.</w:t>
      </w:r>
    </w:p>
    <w:p w:rsidR="00607E9F" w:rsidRPr="00D12865" w:rsidRDefault="00607E9F">
      <w:pPr>
        <w:spacing w:after="336"/>
      </w:pPr>
      <w:r w:rsidRPr="00D12865">
        <w:t xml:space="preserve">Dewar, S., 1966. The Ceremony of Erecting a Megalith among the Angami Nagas. </w:t>
      </w:r>
      <w:r w:rsidRPr="00D12865">
        <w:rPr>
          <w:i/>
        </w:rPr>
        <w:t>Folklore</w:t>
      </w:r>
      <w:r w:rsidRPr="00D12865">
        <w:t>, 77(4), pp. 264-269.</w:t>
      </w:r>
    </w:p>
    <w:p w:rsidR="00607E9F" w:rsidRPr="00D12865" w:rsidRDefault="00607E9F">
      <w:pPr>
        <w:spacing w:after="336"/>
      </w:pPr>
      <w:r w:rsidRPr="00D12865">
        <w:t xml:space="preserve">Dietrich, O., Heun, M., Notroff, J., Schmidt, K. and Zarnkow, M., 2012. The role of cult and feasting in the emergence of Neolithic communities. New evidence from Göbekli Tepe, south-eastern Turkey. </w:t>
      </w:r>
      <w:r w:rsidRPr="00D12865">
        <w:rPr>
          <w:i/>
        </w:rPr>
        <w:t>Antiquity</w:t>
      </w:r>
      <w:r w:rsidRPr="00D12865">
        <w:t>, 86(333), pp. 674-695.</w:t>
      </w:r>
    </w:p>
    <w:p w:rsidR="00607E9F" w:rsidRPr="00D12865" w:rsidRDefault="00607E9F">
      <w:pPr>
        <w:spacing w:after="336"/>
      </w:pPr>
      <w:r w:rsidRPr="00D12865">
        <w:t xml:space="preserve">Dusenberry, V., 1998. </w:t>
      </w:r>
      <w:r w:rsidRPr="00D12865">
        <w:rPr>
          <w:i/>
        </w:rPr>
        <w:t>The Montana Cree</w:t>
      </w:r>
      <w:r w:rsidRPr="00D12865">
        <w:t>. Norman: University of Oklahoma Press.</w:t>
      </w:r>
    </w:p>
    <w:p w:rsidR="00607E9F" w:rsidRPr="00D12865" w:rsidRDefault="00607E9F">
      <w:pPr>
        <w:spacing w:after="336"/>
      </w:pPr>
      <w:r w:rsidRPr="00D12865">
        <w:t xml:space="preserve">Eliade, M., 1959. </w:t>
      </w:r>
      <w:r w:rsidRPr="00D12865">
        <w:rPr>
          <w:i/>
        </w:rPr>
        <w:t>The Sacred And The Profane</w:t>
      </w:r>
      <w:r w:rsidRPr="00D12865">
        <w:t>. New York: Harcourt, Brace &amp; World.</w:t>
      </w:r>
    </w:p>
    <w:p w:rsidR="00607E9F" w:rsidRPr="00D12865" w:rsidRDefault="00607E9F">
      <w:pPr>
        <w:spacing w:after="336"/>
      </w:pPr>
      <w:r w:rsidRPr="00D12865">
        <w:t xml:space="preserve">Falck-Ytter, H., 1999. </w:t>
      </w:r>
      <w:r w:rsidRPr="00D12865">
        <w:rPr>
          <w:i/>
        </w:rPr>
        <w:t>Aurora: The Northern Lights In Mythology, History And Science</w:t>
      </w:r>
      <w:r w:rsidRPr="00D12865">
        <w:t>. Edinburgh: Floris.</w:t>
      </w:r>
    </w:p>
    <w:p w:rsidR="00607E9F" w:rsidRPr="00D12865" w:rsidRDefault="00607E9F">
      <w:pPr>
        <w:spacing w:after="336"/>
      </w:pPr>
      <w:r w:rsidRPr="00D12865">
        <w:t xml:space="preserve">Fowler, C. and Cummings, V., 2003. Places Of Transformation: Building Monuments From Water And Stone In The Neolithic Of The Irish Sea. </w:t>
      </w:r>
      <w:r w:rsidRPr="00D12865">
        <w:rPr>
          <w:i/>
        </w:rPr>
        <w:t>Royal Anthropological Institute</w:t>
      </w:r>
      <w:r w:rsidRPr="00D12865">
        <w:t>, 9(1), pp. 1-20.</w:t>
      </w:r>
    </w:p>
    <w:p w:rsidR="00607E9F" w:rsidRPr="00D12865" w:rsidRDefault="00607E9F">
      <w:pPr>
        <w:spacing w:after="336"/>
      </w:pPr>
      <w:r w:rsidRPr="00D12865">
        <w:t xml:space="preserve">Google Earth. 2020. </w:t>
      </w:r>
      <w:r w:rsidRPr="00D12865">
        <w:rPr>
          <w:i/>
        </w:rPr>
        <w:t>Earth Versions – Google Earth</w:t>
      </w:r>
      <w:r w:rsidRPr="00D12865">
        <w:t>. [online] Available at: &lt;https://www.google.com/earth/versions/&gt; [Accessed 11 March 2020].</w:t>
      </w:r>
    </w:p>
    <w:p w:rsidR="00607E9F" w:rsidRPr="00D12865" w:rsidRDefault="00607E9F">
      <w:pPr>
        <w:spacing w:after="336"/>
      </w:pPr>
      <w:r w:rsidRPr="00D12865">
        <w:t xml:space="preserve">Henty, L., 2016. Skyscape Archaeology: an emerging interdiscipline for archaeoastronomers and archaeologists. </w:t>
      </w:r>
      <w:r w:rsidRPr="00D12865">
        <w:rPr>
          <w:i/>
        </w:rPr>
        <w:t>Journal of Physics: Conference Series</w:t>
      </w:r>
      <w:r w:rsidRPr="00D12865">
        <w:t>, 685, p.012003.</w:t>
      </w:r>
    </w:p>
    <w:p w:rsidR="00607E9F" w:rsidRPr="00D12865" w:rsidRDefault="00607E9F">
      <w:pPr>
        <w:spacing w:after="336"/>
      </w:pPr>
      <w:r w:rsidRPr="00D12865">
        <w:t xml:space="preserve">Heywhatsthat.com. 2010. </w:t>
      </w:r>
      <w:r w:rsidRPr="00D12865">
        <w:rPr>
          <w:i/>
        </w:rPr>
        <w:t>Heywhatsthat</w:t>
      </w:r>
      <w:r w:rsidRPr="00D12865">
        <w:t>. [online] Available at: &lt;http://www.heywhatsthat.com/&gt; [Accessed 6 March 2020].</w:t>
      </w:r>
    </w:p>
    <w:p w:rsidR="00607E9F" w:rsidRPr="00D12865" w:rsidRDefault="00607E9F">
      <w:pPr>
        <w:spacing w:after="336"/>
      </w:pPr>
      <w:r w:rsidRPr="00D12865">
        <w:t xml:space="preserve">Higginbottom, G. and Clay, R., 2016. Origins of Standing Stone Astronomy in Britain: New quantitative techniques for the study of archaeoastronomy. </w:t>
      </w:r>
      <w:r w:rsidRPr="00D12865">
        <w:rPr>
          <w:i/>
        </w:rPr>
        <w:t>Journal of Archaeological Science: Reports</w:t>
      </w:r>
      <w:r w:rsidRPr="00D12865">
        <w:t>, 9, pp. 249-258.</w:t>
      </w:r>
    </w:p>
    <w:p w:rsidR="00607E9F" w:rsidRPr="00D12865" w:rsidRDefault="00607E9F">
      <w:pPr>
        <w:spacing w:after="336"/>
      </w:pPr>
      <w:r w:rsidRPr="00D12865">
        <w:t xml:space="preserve">Higginbottom, G., Smith, A. and Tonner, P., 2013. A Recreation of Visual Engagement and the Revelation of World Views in Bronze Age Scotland. </w:t>
      </w:r>
      <w:r w:rsidRPr="00D12865">
        <w:rPr>
          <w:i/>
        </w:rPr>
        <w:t>Journal of Archaeological Method and Theory</w:t>
      </w:r>
      <w:r w:rsidRPr="00D12865">
        <w:t>, 22(2), pp. 584-645.</w:t>
      </w:r>
    </w:p>
    <w:p w:rsidR="00607E9F" w:rsidRPr="00D12865" w:rsidRDefault="00607E9F">
      <w:pPr>
        <w:spacing w:after="336"/>
      </w:pPr>
      <w:r w:rsidRPr="00D12865">
        <w:t xml:space="preserve">Historicenvironment.scot. n.d. </w:t>
      </w:r>
      <w:r w:rsidRPr="00D12865">
        <w:rPr>
          <w:i/>
        </w:rPr>
        <w:t>Maeshowe Chambered Cairn</w:t>
      </w:r>
      <w:r w:rsidRPr="00D12865">
        <w:t>. [online] Available at: &lt;https://www.historicenvironment.scot/visit-a-place/places/maeshowe-chambered-cairn/#&gt; [Accessed 12 March 2020].</w:t>
      </w:r>
    </w:p>
    <w:p w:rsidR="00607E9F" w:rsidRPr="00D12865" w:rsidRDefault="00607E9F">
      <w:pPr>
        <w:spacing w:after="336"/>
      </w:pPr>
      <w:r w:rsidRPr="00D12865">
        <w:t xml:space="preserve">Hunter, J., 2005. Colin Richards Dwelling among the monuments: The Neolithic village of Barnhouse, Maeshowe passage grave and surrounding monuments at Stenness, Orkney. </w:t>
      </w:r>
      <w:r w:rsidRPr="00D12865">
        <w:rPr>
          <w:i/>
        </w:rPr>
        <w:t>Scottish Archaeological Journal</w:t>
      </w:r>
      <w:r w:rsidRPr="00D12865">
        <w:t>, 27(1), pp. 95-97.</w:t>
      </w:r>
    </w:p>
    <w:p w:rsidR="00607E9F" w:rsidRPr="00D12865" w:rsidRDefault="00607E9F">
      <w:pPr>
        <w:spacing w:after="336"/>
      </w:pPr>
      <w:r w:rsidRPr="00D12865">
        <w:t xml:space="preserve">Ingold, T., 2016. </w:t>
      </w:r>
      <w:r w:rsidRPr="00D12865">
        <w:rPr>
          <w:i/>
        </w:rPr>
        <w:t>Lines</w:t>
      </w:r>
      <w:r w:rsidRPr="00D12865">
        <w:t>. Taylor and Francis.</w:t>
      </w:r>
    </w:p>
    <w:p w:rsidR="00607E9F" w:rsidRPr="00D12865" w:rsidRDefault="00607E9F">
      <w:pPr>
        <w:spacing w:after="336"/>
      </w:pPr>
      <w:r w:rsidRPr="00D12865">
        <w:t xml:space="preserve">Jones, 2001. Enduring images? Image production and memory in Earlier Bronze Age Scotland. In: J. Bruck, ed., </w:t>
      </w:r>
      <w:r w:rsidRPr="00D12865">
        <w:rPr>
          <w:i/>
        </w:rPr>
        <w:t>Bronze Age Landscapes: tradition and transformation</w:t>
      </w:r>
      <w:r w:rsidRPr="00D12865">
        <w:t>. Oxford: Oxbow Books.</w:t>
      </w:r>
    </w:p>
    <w:p w:rsidR="00607E9F" w:rsidRPr="00D12865" w:rsidRDefault="00607E9F">
      <w:pPr>
        <w:spacing w:after="336"/>
      </w:pPr>
      <w:r w:rsidRPr="00D12865">
        <w:t xml:space="preserve">Lee, D. and Thomas, A., 2012. Orkney’s First Farmers: Early Neolithic Settlement on Wyre. </w:t>
      </w:r>
      <w:r w:rsidRPr="00D12865">
        <w:rPr>
          <w:i/>
        </w:rPr>
        <w:t>Current Archaeology</w:t>
      </w:r>
      <w:r w:rsidRPr="00D12865">
        <w:t>, 268, pp. 12-19.</w:t>
      </w:r>
    </w:p>
    <w:p w:rsidR="00607E9F" w:rsidRPr="00D12865" w:rsidRDefault="00607E9F">
      <w:pPr>
        <w:spacing w:after="336"/>
      </w:pPr>
      <w:r w:rsidRPr="00D12865">
        <w:t xml:space="preserve">Lohmann, R., 2005. The Afterlife of Asabano Corpses: Relationships with the Deceased in Papua New Guinea. </w:t>
      </w:r>
      <w:r w:rsidRPr="00D12865">
        <w:rPr>
          <w:i/>
        </w:rPr>
        <w:t>Ethnology</w:t>
      </w:r>
      <w:r w:rsidRPr="00D12865">
        <w:t>, 44(2), p. 189.</w:t>
      </w:r>
    </w:p>
    <w:p w:rsidR="00607E9F" w:rsidRPr="00D12865" w:rsidRDefault="00607E9F">
      <w:pPr>
        <w:spacing w:after="336"/>
      </w:pPr>
      <w:r w:rsidRPr="00D12865">
        <w:t xml:space="preserve">Lopes, E. and Nogueira, R., 2011. </w:t>
      </w:r>
      <w:r w:rsidRPr="00D12865">
        <w:rPr>
          <w:i/>
        </w:rPr>
        <w:t>Proposta Metodologica Para Validacao De Imagens De Alta Resolucao Do Google Earth Para A Producao De Mapas</w:t>
      </w:r>
      <w:r w:rsidRPr="00D12865">
        <w:t>.</w:t>
      </w:r>
    </w:p>
    <w:p w:rsidR="00607E9F" w:rsidRPr="00D12865" w:rsidRDefault="00607E9F">
      <w:pPr>
        <w:spacing w:after="336"/>
      </w:pPr>
      <w:r w:rsidRPr="00D12865">
        <w:t xml:space="preserve">MacKie, E., 1997. Maeshowe and the winter solstice: ceremonial aspects of the Orkney Grooved Ware culture. </w:t>
      </w:r>
      <w:r w:rsidRPr="00D12865">
        <w:rPr>
          <w:i/>
        </w:rPr>
        <w:t>Antiquity</w:t>
      </w:r>
      <w:r w:rsidRPr="00D12865">
        <w:t>, 71(272), pp. 338-359.</w:t>
      </w:r>
    </w:p>
    <w:p w:rsidR="00607E9F" w:rsidRPr="00D12865" w:rsidRDefault="00607E9F">
      <w:pPr>
        <w:spacing w:after="336"/>
      </w:pPr>
      <w:r w:rsidRPr="00D12865">
        <w:t xml:space="preserve">MacKie, E., 2009. The Prehistoric Solar Calendar: An Out-of-fashion Idea Revisited with New Evidence. </w:t>
      </w:r>
      <w:r w:rsidRPr="00D12865">
        <w:rPr>
          <w:i/>
        </w:rPr>
        <w:t>Time and Mind</w:t>
      </w:r>
      <w:r w:rsidRPr="00D12865">
        <w:t>, 2(1), pp. 9-46.</w:t>
      </w:r>
    </w:p>
    <w:p w:rsidR="00607E9F" w:rsidRPr="00D12865" w:rsidRDefault="00607E9F">
      <w:pPr>
        <w:spacing w:after="336"/>
      </w:pPr>
      <w:r w:rsidRPr="00D12865">
        <w:t xml:space="preserve">McKim Malville, J., 2008. </w:t>
      </w:r>
      <w:r w:rsidRPr="00D12865">
        <w:rPr>
          <w:i/>
        </w:rPr>
        <w:t>A Guide To Prehistoric Astronomy In The Southwest</w:t>
      </w:r>
      <w:r w:rsidRPr="00D12865">
        <w:t>. Boulder [Colo.]: Johnson Books.</w:t>
      </w:r>
    </w:p>
    <w:p w:rsidR="00607E9F" w:rsidRPr="00D12865" w:rsidRDefault="00607E9F">
      <w:pPr>
        <w:spacing w:after="336"/>
      </w:pPr>
      <w:r w:rsidRPr="00D12865">
        <w:t xml:space="preserve">McKim Malville, J., 2015. Preface. In: F. Silva and N. Campion, ed., </w:t>
      </w:r>
      <w:r w:rsidRPr="00D12865">
        <w:rPr>
          <w:i/>
        </w:rPr>
        <w:t>Skyscapes, The Role and Importance of the Sky in Archaeology</w:t>
      </w:r>
      <w:r w:rsidRPr="00D12865">
        <w:t>. Oxford: Oxbow Books, p.Preface.</w:t>
      </w:r>
    </w:p>
    <w:p w:rsidR="00607E9F" w:rsidRPr="00D12865" w:rsidRDefault="00607E9F">
      <w:pPr>
        <w:spacing w:after="336"/>
      </w:pPr>
      <w:r w:rsidRPr="00D12865">
        <w:t xml:space="preserve">Notroff, J. and Dietrich, O., 2015. A sanctuary, or so fair a house? In defense of an archaeology of cult at Pre-Pottery Neolithic Göbekli Tepe. In: N. Laneri, ed., </w:t>
      </w:r>
      <w:r w:rsidRPr="00D12865">
        <w:rPr>
          <w:i/>
        </w:rPr>
        <w:t>Defining the Sacred: Approaches to the Archaeology of Religion in the Near East</w:t>
      </w:r>
      <w:r w:rsidRPr="00D12865">
        <w:t>. Oxford: Oxbow Books, pp.75-89.</w:t>
      </w:r>
    </w:p>
    <w:p w:rsidR="00607E9F" w:rsidRPr="00D12865" w:rsidRDefault="00607E9F">
      <w:pPr>
        <w:spacing w:after="336"/>
      </w:pPr>
      <w:r w:rsidRPr="00D12865">
        <w:t xml:space="preserve">O'Connor, B., 2010. Re-Collected Objects: carved, worked and unworked stone in Bronze Age funerary monuments. In: B. O'Connor, G. Cooney, J. Chapman, M. Allen and D. McOmish, ed., </w:t>
      </w:r>
      <w:r w:rsidRPr="00D12865">
        <w:rPr>
          <w:i/>
        </w:rPr>
        <w:t>Materialitas: Working Stone, Carving Identity</w:t>
      </w:r>
      <w:r w:rsidRPr="00D12865">
        <w:t>. Oxford: Oxbow Books, pp.147-160.</w:t>
      </w:r>
    </w:p>
    <w:p w:rsidR="00607E9F" w:rsidRPr="00D12865" w:rsidRDefault="00607E9F">
      <w:pPr>
        <w:spacing w:after="336"/>
      </w:pPr>
      <w:r w:rsidRPr="00D12865">
        <w:t xml:space="preserve">Phillips, T., 2004. Seascapes and landscapes in Orkney and northern Scotland. </w:t>
      </w:r>
      <w:r w:rsidRPr="00D12865">
        <w:rPr>
          <w:i/>
        </w:rPr>
        <w:t>World Archaeology</w:t>
      </w:r>
      <w:r w:rsidRPr="00D12865">
        <w:t>, 35(3), pp. 371-384.</w:t>
      </w:r>
    </w:p>
    <w:p w:rsidR="00607E9F" w:rsidRPr="00D12865" w:rsidRDefault="00607E9F">
      <w:pPr>
        <w:spacing w:after="336"/>
      </w:pPr>
      <w:r w:rsidRPr="00D12865">
        <w:t xml:space="preserve">Reijs, V., 2012. </w:t>
      </w:r>
      <w:r w:rsidRPr="00D12865">
        <w:rPr>
          <w:i/>
        </w:rPr>
        <w:t>The Reappearing Sun In Neolithic Orcadian Culture</w:t>
      </w:r>
      <w:r w:rsidRPr="00D12865">
        <w:t>. [online] Archaeocosmology.org. Available at: &lt;http://www.archaeocosmology.org/eng/VictorReijs-ReappearingSun-014-web.pdf&gt; [Accessed 12 March 2020].</w:t>
      </w:r>
    </w:p>
    <w:p w:rsidR="00607E9F" w:rsidRPr="00D12865" w:rsidRDefault="00607E9F">
      <w:pPr>
        <w:spacing w:after="336"/>
      </w:pPr>
      <w:r w:rsidRPr="00D12865">
        <w:t xml:space="preserve">Reilly, S., 2003. Processing the dead in neolithic orkney. </w:t>
      </w:r>
      <w:r w:rsidRPr="00D12865">
        <w:rPr>
          <w:i/>
        </w:rPr>
        <w:t>Oxford Journal of Archaeology</w:t>
      </w:r>
      <w:r w:rsidRPr="00D12865">
        <w:t>, 22(2), pp. 133-154.</w:t>
      </w:r>
    </w:p>
    <w:p w:rsidR="00607E9F" w:rsidRPr="00D12865" w:rsidRDefault="00607E9F">
      <w:pPr>
        <w:spacing w:after="336"/>
      </w:pPr>
      <w:r w:rsidRPr="00D12865">
        <w:t xml:space="preserve">Renfrew, C., 1979. </w:t>
      </w:r>
      <w:r w:rsidRPr="00D12865">
        <w:rPr>
          <w:i/>
        </w:rPr>
        <w:t>Investigations In Orkney</w:t>
      </w:r>
      <w:r w:rsidRPr="00D12865">
        <w:t>. London: Society of Antiquaries.</w:t>
      </w:r>
    </w:p>
    <w:p w:rsidR="00607E9F" w:rsidRPr="00D12865" w:rsidRDefault="00607E9F">
      <w:pPr>
        <w:spacing w:after="336"/>
      </w:pPr>
      <w:r w:rsidRPr="00D12865">
        <w:t xml:space="preserve">Renfrew, C., 1986. </w:t>
      </w:r>
      <w:r w:rsidRPr="00D12865">
        <w:rPr>
          <w:i/>
        </w:rPr>
        <w:t>The Archaeology Of Cult; The Sanctuary At Phylakopi</w:t>
      </w:r>
      <w:r w:rsidRPr="00D12865">
        <w:t>. London: British School of Archaeology at Athens.</w:t>
      </w:r>
    </w:p>
    <w:p w:rsidR="00607E9F" w:rsidRPr="00D12865" w:rsidRDefault="00607E9F">
      <w:pPr>
        <w:spacing w:after="336"/>
      </w:pPr>
      <w:r w:rsidRPr="00D12865">
        <w:t xml:space="preserve">Richards, C., 1993. Monumental choreography: architecture and spatial representation in Late Neolithic Orkney. In: C. Tilley, ed., </w:t>
      </w:r>
      <w:r w:rsidRPr="00D12865">
        <w:rPr>
          <w:i/>
        </w:rPr>
        <w:t>Interpretative Archaeology</w:t>
      </w:r>
      <w:r w:rsidRPr="00D12865">
        <w:t>. Berg publishers, pp. 143-178.</w:t>
      </w:r>
    </w:p>
    <w:p w:rsidR="00607E9F" w:rsidRPr="00D12865" w:rsidRDefault="00607E9F">
      <w:pPr>
        <w:spacing w:after="336"/>
      </w:pPr>
      <w:r w:rsidRPr="00D12865">
        <w:t xml:space="preserve">Richards, C., 1996. Monuments as landscape: Creating the centre of the world in late Neolithic Orkney. </w:t>
      </w:r>
      <w:r w:rsidRPr="00D12865">
        <w:rPr>
          <w:i/>
        </w:rPr>
        <w:t>World Archaeology</w:t>
      </w:r>
      <w:r w:rsidRPr="00D12865">
        <w:t>, 28(2), pp. 190-208.</w:t>
      </w:r>
    </w:p>
    <w:p w:rsidR="00607E9F" w:rsidRPr="00D12865" w:rsidRDefault="00607E9F">
      <w:pPr>
        <w:spacing w:after="336"/>
      </w:pPr>
      <w:r w:rsidRPr="00D12865">
        <w:t xml:space="preserve">Richards, C., 2013. </w:t>
      </w:r>
      <w:r w:rsidRPr="00D12865">
        <w:rPr>
          <w:i/>
        </w:rPr>
        <w:t>Building The Great Stone Circles Of The North</w:t>
      </w:r>
      <w:r w:rsidRPr="00D12865">
        <w:t>. London: Windgather Press.</w:t>
      </w:r>
    </w:p>
    <w:p w:rsidR="00607E9F" w:rsidRPr="00D12865" w:rsidRDefault="00607E9F">
      <w:pPr>
        <w:spacing w:after="336"/>
      </w:pPr>
      <w:r w:rsidRPr="00D12865">
        <w:t xml:space="preserve">Richards, C., Jones, A., MacSween, A., Sheridan, A., Dunbar, E., Reimer, P., Bayliss, A., Griffiths, S. and Whittle, A., 2016. Settlement Duration and Materiality: Formal Chronological Models for the Development of Barnhouse, a Grooved Ware Settlement in Orkney. </w:t>
      </w:r>
      <w:r w:rsidRPr="00D12865">
        <w:rPr>
          <w:i/>
        </w:rPr>
        <w:t>Proceedings of the Prehistoric Society</w:t>
      </w:r>
      <w:r w:rsidRPr="00D12865">
        <w:t>, 82, pp. 193-225.</w:t>
      </w:r>
    </w:p>
    <w:p w:rsidR="00607E9F" w:rsidRPr="00D12865" w:rsidRDefault="00607E9F">
      <w:pPr>
        <w:spacing w:after="336"/>
      </w:pPr>
      <w:r w:rsidRPr="00D12865">
        <w:t xml:space="preserve">Ritchie, A., 1985. The First Settlers. In: C. Renfrew, ed., </w:t>
      </w:r>
      <w:r w:rsidRPr="00D12865">
        <w:rPr>
          <w:i/>
        </w:rPr>
        <w:t>The Prehistory of Orkney</w:t>
      </w:r>
      <w:r w:rsidRPr="00D12865">
        <w:t>. Edinburgh: Edinburgh University Press, pp.36-53.</w:t>
      </w:r>
    </w:p>
    <w:p w:rsidR="00607E9F" w:rsidRPr="00D12865" w:rsidRDefault="00607E9F">
      <w:pPr>
        <w:spacing w:after="336"/>
      </w:pPr>
      <w:r w:rsidRPr="00D12865">
        <w:t xml:space="preserve">Ritchie, G., 1975. The Stones of Stenness, Orkney. </w:t>
      </w:r>
      <w:r w:rsidRPr="00D12865">
        <w:rPr>
          <w:i/>
        </w:rPr>
        <w:t>Proceedings of the Society of Antiquaries of Scotland</w:t>
      </w:r>
      <w:r w:rsidRPr="00D12865">
        <w:t>, 7.</w:t>
      </w:r>
    </w:p>
    <w:p w:rsidR="00607E9F" w:rsidRPr="00D12865" w:rsidRDefault="00607E9F">
      <w:pPr>
        <w:spacing w:after="336"/>
      </w:pPr>
      <w:r w:rsidRPr="00D12865">
        <w:t xml:space="preserve">Ritchie, G., 1985. Ritual Monuments. In: C. Renfrew, ed., </w:t>
      </w:r>
      <w:r w:rsidRPr="00D12865">
        <w:rPr>
          <w:i/>
        </w:rPr>
        <w:t>The Prehistory of Orkney</w:t>
      </w:r>
      <w:r w:rsidRPr="00D12865">
        <w:t>. Edinburgh: Edinburgh University Press, pp.118-130.</w:t>
      </w:r>
    </w:p>
    <w:p w:rsidR="00607E9F" w:rsidRPr="00D12865" w:rsidRDefault="00607E9F">
      <w:pPr>
        <w:spacing w:after="336"/>
      </w:pPr>
      <w:r w:rsidRPr="00D12865">
        <w:t xml:space="preserve">Ruggles, C. and Barclay, G., 2000. Cosmology, calendars and society in Neolithic Orkney: a rejoinder to Euan MacKie. </w:t>
      </w:r>
      <w:r w:rsidRPr="00D12865">
        <w:rPr>
          <w:i/>
        </w:rPr>
        <w:t>Antiquity</w:t>
      </w:r>
      <w:r w:rsidRPr="00D12865">
        <w:t>, 74(283), pp. 62-74.</w:t>
      </w:r>
    </w:p>
    <w:p w:rsidR="00607E9F" w:rsidRPr="00D12865" w:rsidRDefault="00607E9F">
      <w:pPr>
        <w:spacing w:after="336"/>
      </w:pPr>
      <w:r w:rsidRPr="00D12865">
        <w:t xml:space="preserve">Ruggles, C. and Saunders, N., 1993. The Study of Cultural Astronomy. In: A. Aveni, ed., </w:t>
      </w:r>
      <w:r w:rsidRPr="00D12865">
        <w:rPr>
          <w:i/>
        </w:rPr>
        <w:t>Foundations of New World Cultural Astronomy</w:t>
      </w:r>
      <w:r w:rsidRPr="00D12865">
        <w:t>. Colorado: University Press of Colorado, pp.725–750.</w:t>
      </w:r>
    </w:p>
    <w:p w:rsidR="00607E9F" w:rsidRPr="00D12865" w:rsidRDefault="00607E9F">
      <w:pPr>
        <w:spacing w:after="336"/>
      </w:pPr>
      <w:r w:rsidRPr="00D12865">
        <w:t xml:space="preserve">Ruggles, C., 1999. </w:t>
      </w:r>
      <w:r w:rsidRPr="00D12865">
        <w:rPr>
          <w:i/>
        </w:rPr>
        <w:t>Astronomy In Prehistoric Britain And Ireland</w:t>
      </w:r>
      <w:r w:rsidRPr="00D12865">
        <w:t>. New Haven: Yale University Press.</w:t>
      </w:r>
    </w:p>
    <w:p w:rsidR="00607E9F" w:rsidRPr="00D12865" w:rsidRDefault="00607E9F">
      <w:pPr>
        <w:spacing w:after="336"/>
      </w:pPr>
      <w:r w:rsidRPr="00D12865">
        <w:t xml:space="preserve">Sasges, G. and Mai Huyen Chi, 2013. </w:t>
      </w:r>
      <w:r w:rsidRPr="00D12865">
        <w:rPr>
          <w:i/>
        </w:rPr>
        <w:t>It's A Living</w:t>
      </w:r>
      <w:r w:rsidRPr="00D12865">
        <w:t>. Singapore: NUS Press, pp.311-313.</w:t>
      </w:r>
    </w:p>
    <w:p w:rsidR="00607E9F" w:rsidRPr="00D12865" w:rsidRDefault="00607E9F">
      <w:pPr>
        <w:spacing w:after="336"/>
      </w:pPr>
      <w:r w:rsidRPr="00D12865">
        <w:t xml:space="preserve">Schmidt, K., 2011. Göbekli Tepe – the Stone Age Sanctuaries. New results of ongoing excavations with a special focus on sculptures and high reliefs. </w:t>
      </w:r>
      <w:r w:rsidRPr="00D12865">
        <w:rPr>
          <w:i/>
        </w:rPr>
        <w:t>Documenta Praehistorica</w:t>
      </w:r>
      <w:r w:rsidRPr="00D12865">
        <w:t>, 37(0), p.239.</w:t>
      </w:r>
    </w:p>
    <w:p w:rsidR="00607E9F" w:rsidRPr="00D12865" w:rsidRDefault="00607E9F">
      <w:pPr>
        <w:spacing w:after="336"/>
      </w:pPr>
      <w:r w:rsidRPr="00D12865">
        <w:t xml:space="preserve">Schulting, R. and Richards, M., 2006. Touch not the fish: the Mesolithic-Neolithic change of diet and its significance. </w:t>
      </w:r>
      <w:r w:rsidRPr="00D12865">
        <w:rPr>
          <w:i/>
        </w:rPr>
        <w:t>Antiquity</w:t>
      </w:r>
      <w:r w:rsidRPr="00D12865">
        <w:t>, 80(308), pp. 444-456.</w:t>
      </w:r>
    </w:p>
    <w:p w:rsidR="00607E9F" w:rsidRPr="00D12865" w:rsidRDefault="00607E9F">
      <w:pPr>
        <w:spacing w:after="336"/>
      </w:pPr>
      <w:r w:rsidRPr="00D12865">
        <w:t xml:space="preserve">Silva, F., 2015. The View From Within: a Time-Space-Action Approach to Megalithism. In: F. Silva and N. Campion, ed., </w:t>
      </w:r>
      <w:r w:rsidRPr="00D12865">
        <w:rPr>
          <w:i/>
        </w:rPr>
        <w:t>Skyscapes: The Role and Importance of the Sky in Archaeology</w:t>
      </w:r>
      <w:r w:rsidRPr="00D12865">
        <w:t>. Oxford: Oxbow Books, pp.120-139.</w:t>
      </w:r>
    </w:p>
    <w:p w:rsidR="00607E9F" w:rsidRPr="00D12865" w:rsidRDefault="00607E9F">
      <w:pPr>
        <w:spacing w:after="336"/>
      </w:pPr>
      <w:r w:rsidRPr="00D12865">
        <w:t xml:space="preserve">Silva, F., 2015. The Role and Importance of the Sky in Archaeology: An Introduction. In: F. Silva and N. Campion, ed., </w:t>
      </w:r>
      <w:r w:rsidRPr="00D12865">
        <w:rPr>
          <w:i/>
        </w:rPr>
        <w:t>Skyscapes,The Role and Importance of the Sky in Archaeology</w:t>
      </w:r>
      <w:r w:rsidRPr="00D12865">
        <w:t>. Oxford: Oxbow Books, pp.1-6.</w:t>
      </w:r>
    </w:p>
    <w:p w:rsidR="00607E9F" w:rsidRPr="00D12865" w:rsidRDefault="00607E9F">
      <w:pPr>
        <w:spacing w:after="336"/>
      </w:pPr>
      <w:r w:rsidRPr="00D12865">
        <w:t>Silva, F., 2017. [online] Skyscaper.net. Available at: &lt;https://www.skyscaper.net/&gt; [Accessed 11 March 2020].</w:t>
      </w:r>
    </w:p>
    <w:p w:rsidR="00607E9F" w:rsidRPr="00D12865" w:rsidRDefault="00607E9F">
      <w:pPr>
        <w:spacing w:after="336"/>
      </w:pPr>
      <w:r w:rsidRPr="00D12865">
        <w:t xml:space="preserve">Silva, F., 2019. on measurement, uncertainty and maximum likelihood in skyscape archaeology. In: L. Henty and D. Brown, ed., </w:t>
      </w:r>
      <w:r w:rsidRPr="00D12865">
        <w:rPr>
          <w:i/>
        </w:rPr>
        <w:t>Visualising Skyscapes Material Forms of Cultural Engagement with the Heavens</w:t>
      </w:r>
      <w:r w:rsidRPr="00D12865">
        <w:t>. London: Routledge, pp. 55-74.</w:t>
      </w:r>
    </w:p>
    <w:p w:rsidR="00607E9F" w:rsidRPr="00D12865" w:rsidRDefault="00607E9F">
      <w:pPr>
        <w:spacing w:after="336"/>
      </w:pPr>
      <w:r w:rsidRPr="00D12865">
        <w:t xml:space="preserve">Stellarium.org. 2020. </w:t>
      </w:r>
      <w:r w:rsidRPr="00D12865">
        <w:rPr>
          <w:i/>
        </w:rPr>
        <w:t>Stellarium Astronomy Software</w:t>
      </w:r>
      <w:r w:rsidRPr="00D12865">
        <w:t>. [online] Available at: &lt;http://stellarium.org/&gt; [Accessed 6 March 2020].</w:t>
      </w:r>
    </w:p>
    <w:p w:rsidR="00607E9F" w:rsidRPr="00D12865" w:rsidRDefault="00607E9F">
      <w:pPr>
        <w:spacing w:after="336"/>
      </w:pPr>
      <w:r w:rsidRPr="00D12865">
        <w:t xml:space="preserve">Stork, D. and Falck-Ytter, H., 1986. Aurora: The Northern Lights in Mythology, History and Science. </w:t>
      </w:r>
      <w:r w:rsidRPr="00D12865">
        <w:rPr>
          <w:i/>
        </w:rPr>
        <w:t>Leonardo</w:t>
      </w:r>
      <w:r w:rsidRPr="00D12865">
        <w:t>, 19(4), p. 348.</w:t>
      </w:r>
    </w:p>
    <w:p w:rsidR="00607E9F" w:rsidRPr="00D12865" w:rsidRDefault="00607E9F">
      <w:pPr>
        <w:spacing w:after="336"/>
      </w:pPr>
      <w:r w:rsidRPr="00D12865">
        <w:t xml:space="preserve">Teeter, E., 2012. </w:t>
      </w:r>
      <w:r w:rsidRPr="00D12865">
        <w:rPr>
          <w:i/>
        </w:rPr>
        <w:t>Religion And Ritual In Ancient Egypt</w:t>
      </w:r>
      <w:r w:rsidRPr="00D12865">
        <w:t>. Cambridge, Mass: Cambridge Univ. Press.</w:t>
      </w:r>
    </w:p>
    <w:p w:rsidR="00607E9F" w:rsidRPr="00D12865" w:rsidRDefault="00607E9F">
      <w:pPr>
        <w:spacing w:after="336"/>
      </w:pPr>
      <w:r w:rsidRPr="00D12865">
        <w:t xml:space="preserve">Thom, A., 1966. Megaliths and Mathematics. </w:t>
      </w:r>
      <w:r w:rsidRPr="00D12865">
        <w:rPr>
          <w:i/>
        </w:rPr>
        <w:t>Antiquity</w:t>
      </w:r>
      <w:r w:rsidRPr="00D12865">
        <w:t>, 40(158), pp. 121-128.</w:t>
      </w:r>
    </w:p>
    <w:p w:rsidR="00607E9F" w:rsidRPr="00D12865" w:rsidRDefault="00607E9F">
      <w:pPr>
        <w:spacing w:after="336"/>
      </w:pPr>
      <w:r w:rsidRPr="00D12865">
        <w:t xml:space="preserve">Thomas, J., 2000. Death, identity and the body in Neolithic Britain. </w:t>
      </w:r>
      <w:r w:rsidRPr="00D12865">
        <w:rPr>
          <w:i/>
        </w:rPr>
        <w:t>Journal of the Royal Anthropological Institute</w:t>
      </w:r>
      <w:r w:rsidRPr="00D12865">
        <w:t>, 6(4), pp. 653-668.</w:t>
      </w:r>
    </w:p>
    <w:p w:rsidR="00607E9F" w:rsidRPr="00D12865" w:rsidRDefault="00607E9F">
      <w:pPr>
        <w:spacing w:after="336"/>
      </w:pPr>
      <w:r w:rsidRPr="00D12865">
        <w:t xml:space="preserve">Tilley, C., 1997. </w:t>
      </w:r>
      <w:r w:rsidRPr="00D12865">
        <w:rPr>
          <w:i/>
        </w:rPr>
        <w:t>A Phenomenology Of Landscape</w:t>
      </w:r>
      <w:r w:rsidRPr="00D12865">
        <w:t>. Oxford: Berg.</w:t>
      </w:r>
    </w:p>
    <w:p w:rsidR="00607E9F" w:rsidRPr="00D12865" w:rsidRDefault="00607E9F">
      <w:pPr>
        <w:spacing w:after="336"/>
      </w:pPr>
      <w:r w:rsidRPr="00D12865">
        <w:t xml:space="preserve">Tsu, T., 2000. Toothless Ancestors, Felicitous Descendants: The Rite of Secondary Burial in South Taiwan. </w:t>
      </w:r>
      <w:r w:rsidRPr="00D12865">
        <w:rPr>
          <w:i/>
        </w:rPr>
        <w:t>Asian Folklore Studies</w:t>
      </w:r>
      <w:r w:rsidRPr="00D12865">
        <w:t>, 59(1), p.1.</w:t>
      </w:r>
    </w:p>
    <w:p w:rsidR="00607E9F" w:rsidRPr="00D12865" w:rsidRDefault="00607E9F">
      <w:pPr>
        <w:spacing w:after="336"/>
      </w:pPr>
      <w:r w:rsidRPr="00D12865">
        <w:t xml:space="preserve">Underhill, R. and Dusenberry, V., 1963. The Montana Cree, a Study in Religious Persistence. </w:t>
      </w:r>
      <w:r w:rsidRPr="00D12865">
        <w:rPr>
          <w:i/>
        </w:rPr>
        <w:t>The Journal of American Folklore</w:t>
      </w:r>
      <w:r w:rsidRPr="00D12865">
        <w:t>, 76(302), p.347.</w:t>
      </w:r>
    </w:p>
    <w:p w:rsidR="00607E9F" w:rsidRPr="00D12865" w:rsidRDefault="00607E9F">
      <w:pPr>
        <w:spacing w:after="336"/>
      </w:pPr>
      <w:r w:rsidRPr="00D12865">
        <w:t xml:space="preserve">Van Gennep, A., 2004. </w:t>
      </w:r>
      <w:r w:rsidRPr="00D12865">
        <w:rPr>
          <w:i/>
        </w:rPr>
        <w:t>The Rites Of Passage</w:t>
      </w:r>
      <w:r w:rsidRPr="00D12865">
        <w:t>. London: Routledge.</w:t>
      </w:r>
    </w:p>
    <w:p w:rsidR="00607E9F" w:rsidRPr="00D12865" w:rsidRDefault="00607E9F">
      <w:pPr>
        <w:spacing w:after="336"/>
      </w:pPr>
      <w:r w:rsidRPr="00D12865">
        <w:t xml:space="preserve">Wickham-Jones, C., Dawson, S. and Bates, R., 2009. The Submerged Landscape of Orkney. </w:t>
      </w:r>
      <w:r w:rsidRPr="00D12865">
        <w:rPr>
          <w:i/>
        </w:rPr>
        <w:t>Archaeological Journal</w:t>
      </w:r>
      <w:r w:rsidRPr="00D12865">
        <w:t>, 166(sup1), pp. 26-31.</w:t>
      </w:r>
    </w:p>
    <w:p w:rsidR="00607E9F" w:rsidRPr="00D12865" w:rsidRDefault="00607E9F">
      <w:pPr>
        <w:spacing w:after="336"/>
      </w:pPr>
      <w:r w:rsidRPr="00D12865">
        <w:t xml:space="preserve">Woodman, P. and Lake, M., 2002. Visibility Studies in Archaeology: A Review and Case Study. </w:t>
      </w:r>
      <w:r w:rsidRPr="00D12865">
        <w:rPr>
          <w:i/>
        </w:rPr>
        <w:t>Environment and Planning B: Planning and Design</w:t>
      </w:r>
      <w:r w:rsidRPr="00D12865">
        <w:t>, 30(5), pp. 689-707.</w:t>
      </w:r>
    </w:p>
    <w:p w:rsidR="00607E9F" w:rsidRDefault="00607E9F" w:rsidP="00B217BC">
      <w:pPr>
        <w:pStyle w:val="NormalWeb"/>
        <w:spacing w:beforeAutospacing="0" w:afterAutospacing="0"/>
        <w:ind w:left="-180" w:right="-334"/>
        <w:rPr>
          <w:lang w:val="cy-GB"/>
        </w:rPr>
      </w:pPr>
      <w:r w:rsidRPr="00957ABC">
        <w:rPr>
          <w:noProof/>
          <w:lang w:val="en-US" w:eastAsia="en-US"/>
        </w:rPr>
        <w:pict>
          <v:shape id="_x0000_i1047" type="#_x0000_t75" alt="TSD_logo2010" style="width:225pt;height:82pt;visibility:visible" o:bordertopcolor="black" o:borderleftcolor="black" o:borderbottomcolor="black" o:borderrightcolor="black">
            <v:imagedata r:id="rId32" o:title=""/>
            <v:textbox style="mso-rotate-with-shape:t"/>
          </v:shape>
        </w:pict>
      </w:r>
    </w:p>
    <w:p w:rsidR="00607E9F" w:rsidRDefault="00607E9F" w:rsidP="00B217BC">
      <w:pPr>
        <w:pStyle w:val="Heading1"/>
        <w:rPr>
          <w:lang w:val="cy-GB"/>
        </w:rPr>
      </w:pPr>
      <w:r>
        <w:rPr>
          <w:lang w:val="cy-GB"/>
        </w:rPr>
        <w:t xml:space="preserve">Postgraduate Dissertation </w:t>
      </w:r>
      <w:r w:rsidRPr="0065654E">
        <w:rPr>
          <w:lang w:val="cy-GB"/>
        </w:rPr>
        <w:t>coversheet</w:t>
      </w:r>
      <w:r>
        <w:rPr>
          <w:lang w:val="cy-GB"/>
        </w:rPr>
        <w:t xml:space="preserve"> &amp; </w:t>
      </w:r>
      <w:r w:rsidRPr="0065654E">
        <w:rPr>
          <w:lang w:val="cy-GB"/>
        </w:rPr>
        <w:t>feedback form</w:t>
      </w:r>
      <w:r>
        <w:rPr>
          <w:lang w:val="cy-GB"/>
        </w:rPr>
        <w:t xml:space="preserve">: </w:t>
      </w:r>
    </w:p>
    <w:p w:rsidR="00607E9F" w:rsidRPr="002E67CE" w:rsidRDefault="00607E9F" w:rsidP="00B217BC">
      <w:pPr>
        <w:rPr>
          <w:lang w:val="cy-GB"/>
        </w:rPr>
      </w:pPr>
    </w:p>
    <w:p w:rsidR="00607E9F" w:rsidRDefault="00607E9F" w:rsidP="00B217BC">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tblPr>
      <w:tblGrid>
        <w:gridCol w:w="4571"/>
        <w:gridCol w:w="407"/>
        <w:gridCol w:w="273"/>
        <w:gridCol w:w="1225"/>
        <w:gridCol w:w="275"/>
        <w:gridCol w:w="1680"/>
        <w:gridCol w:w="91"/>
      </w:tblGrid>
      <w:tr w:rsidR="00607E9F" w:rsidRPr="002F467C">
        <w:trPr>
          <w:gridAfter w:val="1"/>
          <w:wAfter w:w="101" w:type="dxa"/>
          <w:trHeight w:val="614"/>
        </w:trPr>
        <w:tc>
          <w:tcPr>
            <w:tcW w:w="8755" w:type="dxa"/>
            <w:gridSpan w:val="6"/>
          </w:tcPr>
          <w:p w:rsidR="00607E9F" w:rsidRPr="00F76C18" w:rsidRDefault="00607E9F" w:rsidP="00B217BC">
            <w:pPr>
              <w:pStyle w:val="NormalWeb"/>
              <w:spacing w:beforeAutospacing="0" w:afterAutospacing="0"/>
              <w:ind w:right="34"/>
              <w:rPr>
                <w:rFonts w:ascii="Calibri" w:hAnsi="Calibri" w:cs="Tahoma"/>
                <w:i/>
                <w:sz w:val="36"/>
              </w:rPr>
            </w:pPr>
            <w:r w:rsidRPr="002F467C">
              <w:rPr>
                <w:rFonts w:ascii="Calibri" w:hAnsi="Calibri" w:cs="Tahoma"/>
                <w:i/>
              </w:rPr>
              <w:t>Student Name</w:t>
            </w:r>
            <w:r>
              <w:rPr>
                <w:rFonts w:ascii="Calibri" w:hAnsi="Calibri" w:cs="Tahoma"/>
                <w:i/>
              </w:rPr>
              <w:t>:</w:t>
            </w:r>
          </w:p>
          <w:p w:rsidR="00607E9F" w:rsidRPr="002F467C" w:rsidRDefault="00607E9F" w:rsidP="00B217BC">
            <w:pPr>
              <w:pStyle w:val="NormalWeb"/>
              <w:spacing w:beforeAutospacing="0" w:afterAutospacing="0"/>
              <w:ind w:right="34"/>
              <w:rPr>
                <w:rFonts w:ascii="Calibri" w:hAnsi="Calibri" w:cs="Tahoma"/>
                <w:i/>
              </w:rPr>
            </w:pPr>
            <w:r w:rsidRPr="00951BBF">
              <w:rPr>
                <w:rFonts w:ascii="Arial" w:hAnsi="Arial" w:cs="Arial"/>
              </w:rPr>
              <w:t xml:space="preserve">                                                    Lynne Eller</w:t>
            </w:r>
          </w:p>
        </w:tc>
      </w:tr>
      <w:tr w:rsidR="00607E9F" w:rsidRPr="002F467C">
        <w:trPr>
          <w:gridAfter w:val="1"/>
          <w:wAfter w:w="101" w:type="dxa"/>
          <w:trHeight w:val="718"/>
        </w:trPr>
        <w:tc>
          <w:tcPr>
            <w:tcW w:w="8755" w:type="dxa"/>
            <w:gridSpan w:val="6"/>
          </w:tcPr>
          <w:p w:rsidR="00607E9F" w:rsidRPr="002F467C" w:rsidRDefault="00607E9F" w:rsidP="00B217BC">
            <w:pPr>
              <w:pStyle w:val="NormalWeb"/>
              <w:spacing w:beforeAutospacing="0" w:afterAutospacing="0"/>
              <w:ind w:right="34"/>
              <w:rPr>
                <w:rFonts w:ascii="Calibri" w:hAnsi="Calibri" w:cs="Tahoma"/>
                <w:i/>
              </w:rPr>
            </w:pPr>
            <w:r w:rsidRPr="002F467C">
              <w:rPr>
                <w:rFonts w:ascii="Calibri" w:hAnsi="Calibri" w:cs="Tahoma"/>
                <w:i/>
              </w:rPr>
              <w:t xml:space="preserve">Student </w:t>
            </w:r>
            <w:r w:rsidRPr="002F467C">
              <w:rPr>
                <w:rFonts w:ascii="Calibri" w:hAnsi="Calibri" w:cs="Tahoma"/>
                <w:b/>
                <w:bCs/>
                <w:i/>
                <w:u w:val="single"/>
              </w:rPr>
              <w:t>University</w:t>
            </w:r>
            <w:r w:rsidRPr="002F467C">
              <w:rPr>
                <w:rFonts w:ascii="Calibri" w:hAnsi="Calibri" w:cs="Tahoma"/>
                <w:i/>
                <w:u w:val="single"/>
              </w:rPr>
              <w:t xml:space="preserve"> </w:t>
            </w:r>
            <w:r w:rsidRPr="002F467C">
              <w:rPr>
                <w:rFonts w:ascii="Calibri" w:hAnsi="Calibri" w:cs="Tahoma"/>
                <w:i/>
              </w:rPr>
              <w:t xml:space="preserve">Email: </w:t>
            </w:r>
          </w:p>
          <w:p w:rsidR="00607E9F" w:rsidRPr="002F467C" w:rsidRDefault="00607E9F" w:rsidP="00B217BC">
            <w:pPr>
              <w:pStyle w:val="NormalWeb"/>
              <w:spacing w:beforeAutospacing="0" w:afterAutospacing="0"/>
              <w:ind w:right="34"/>
              <w:rPr>
                <w:rFonts w:ascii="Calibri" w:hAnsi="Calibri" w:cs="Tahoma"/>
                <w:i/>
              </w:rPr>
            </w:pPr>
            <w:r w:rsidRPr="002F467C">
              <w:rPr>
                <w:rFonts w:ascii="Calibri" w:hAnsi="Calibri" w:cs="Tahoma"/>
                <w:i/>
              </w:rPr>
              <w:t>1804327@student.uwtsd.ac.uk</w:t>
            </w:r>
          </w:p>
        </w:tc>
      </w:tr>
      <w:tr w:rsidR="00607E9F" w:rsidRPr="002F467C">
        <w:trPr>
          <w:gridAfter w:val="1"/>
          <w:wAfter w:w="101" w:type="dxa"/>
          <w:trHeight w:val="849"/>
        </w:trPr>
        <w:tc>
          <w:tcPr>
            <w:tcW w:w="4788" w:type="dxa"/>
          </w:tcPr>
          <w:p w:rsidR="00607E9F" w:rsidRDefault="00607E9F" w:rsidP="00B217BC">
            <w:pPr>
              <w:pStyle w:val="NormalWeb"/>
              <w:spacing w:beforeAutospacing="0" w:afterAutospacing="0"/>
              <w:ind w:right="34"/>
              <w:rPr>
                <w:rFonts w:ascii="Calibri" w:hAnsi="Calibri" w:cs="Tahoma"/>
                <w:i/>
              </w:rPr>
            </w:pPr>
          </w:p>
          <w:p w:rsidR="00607E9F" w:rsidRPr="002F467C" w:rsidRDefault="00607E9F" w:rsidP="00B217BC">
            <w:pPr>
              <w:pStyle w:val="NormalWeb"/>
              <w:spacing w:beforeAutospacing="0" w:afterAutospacing="0"/>
              <w:ind w:right="34"/>
              <w:rPr>
                <w:rFonts w:ascii="Calibri" w:hAnsi="Calibri" w:cs="Tahoma"/>
                <w:i/>
              </w:rPr>
            </w:pPr>
            <w:r w:rsidRPr="002F467C">
              <w:rPr>
                <w:rFonts w:ascii="Calibri" w:hAnsi="Calibri" w:cs="Tahoma"/>
                <w:i/>
              </w:rPr>
              <w:t>Module code:CLCL7007</w:t>
            </w:r>
          </w:p>
        </w:tc>
        <w:tc>
          <w:tcPr>
            <w:tcW w:w="2266" w:type="dxa"/>
            <w:gridSpan w:val="4"/>
          </w:tcPr>
          <w:p w:rsidR="00607E9F" w:rsidRPr="002F467C" w:rsidRDefault="00607E9F" w:rsidP="00B217BC">
            <w:pPr>
              <w:pStyle w:val="NormalWeb"/>
              <w:spacing w:beforeAutospacing="0" w:afterAutospacing="0"/>
              <w:ind w:right="34"/>
              <w:rPr>
                <w:rFonts w:ascii="Calibri" w:hAnsi="Calibri" w:cs="Tahoma"/>
                <w:i/>
              </w:rPr>
            </w:pPr>
            <w:r w:rsidRPr="002F467C">
              <w:rPr>
                <w:rFonts w:ascii="Calibri" w:hAnsi="Calibri" w:cs="Tahoma"/>
                <w:i/>
              </w:rPr>
              <w:t>Student ID number:</w:t>
            </w:r>
          </w:p>
          <w:p w:rsidR="00607E9F" w:rsidRPr="006B494B" w:rsidRDefault="00607E9F" w:rsidP="00B217BC">
            <w:pPr>
              <w:pStyle w:val="NormalWeb"/>
              <w:spacing w:beforeAutospacing="0" w:afterAutospacing="0"/>
              <w:ind w:right="34"/>
              <w:rPr>
                <w:rFonts w:ascii="Calibri" w:hAnsi="Calibri" w:cs="Tahoma"/>
                <w:i/>
              </w:rPr>
            </w:pPr>
            <w:r w:rsidRPr="006B494B">
              <w:rPr>
                <w:rFonts w:ascii="Calibri" w:hAnsi="Calibri" w:cs="Tahoma"/>
                <w:i/>
              </w:rPr>
              <w:t>1804327</w:t>
            </w:r>
          </w:p>
        </w:tc>
        <w:tc>
          <w:tcPr>
            <w:tcW w:w="1701" w:type="dxa"/>
          </w:tcPr>
          <w:p w:rsidR="00607E9F" w:rsidRPr="002F467C" w:rsidRDefault="00607E9F" w:rsidP="00B217BC">
            <w:pPr>
              <w:pStyle w:val="NormalWeb"/>
              <w:spacing w:beforeAutospacing="0" w:afterAutospacing="0"/>
              <w:ind w:right="34"/>
              <w:rPr>
                <w:rFonts w:ascii="Calibri" w:hAnsi="Calibri" w:cs="Tahoma"/>
                <w:i/>
              </w:rPr>
            </w:pPr>
            <w:r w:rsidRPr="002F467C">
              <w:rPr>
                <w:rFonts w:ascii="Calibri" w:hAnsi="Calibri" w:cs="Tahoma"/>
                <w:i/>
              </w:rPr>
              <w:t>Educational support needs:</w:t>
            </w:r>
          </w:p>
          <w:p w:rsidR="00607E9F" w:rsidRPr="002F467C" w:rsidRDefault="00607E9F" w:rsidP="00B217BC">
            <w:pPr>
              <w:pStyle w:val="NormalWeb"/>
              <w:spacing w:beforeAutospacing="0" w:afterAutospacing="0"/>
              <w:ind w:right="34"/>
              <w:rPr>
                <w:rFonts w:ascii="Calibri" w:hAnsi="Calibri" w:cs="Tahoma"/>
                <w:i/>
              </w:rPr>
            </w:pPr>
            <w:r w:rsidRPr="002F467C">
              <w:rPr>
                <w:rFonts w:ascii="Calibri" w:hAnsi="Calibri" w:cs="Tahoma"/>
                <w:i/>
              </w:rPr>
              <w:t>/No</w:t>
            </w:r>
          </w:p>
        </w:tc>
      </w:tr>
      <w:tr w:rsidR="00607E9F" w:rsidRPr="002F467C">
        <w:trPr>
          <w:gridAfter w:val="1"/>
          <w:wAfter w:w="101" w:type="dxa"/>
          <w:trHeight w:val="820"/>
        </w:trPr>
        <w:tc>
          <w:tcPr>
            <w:tcW w:w="8755" w:type="dxa"/>
            <w:gridSpan w:val="6"/>
          </w:tcPr>
          <w:p w:rsidR="00607E9F" w:rsidRDefault="00607E9F" w:rsidP="00B217BC">
            <w:pPr>
              <w:pStyle w:val="NormalWeb"/>
              <w:spacing w:beforeAutospacing="0" w:afterAutospacing="0"/>
              <w:ind w:right="34"/>
              <w:rPr>
                <w:rFonts w:ascii="Calibri" w:hAnsi="Calibri" w:cs="Tahoma"/>
                <w:i/>
              </w:rPr>
            </w:pPr>
            <w:r>
              <w:rPr>
                <w:rFonts w:ascii="Calibri" w:hAnsi="Calibri" w:cs="Tahoma"/>
                <w:i/>
              </w:rPr>
              <w:t>Dissertation title:</w:t>
            </w:r>
          </w:p>
          <w:p w:rsidR="00607E9F" w:rsidRDefault="00607E9F">
            <w:pPr>
              <w:rPr>
                <w:rFonts w:ascii="Arial" w:hAnsi="Arial" w:cs="Arial"/>
                <w:b/>
                <w:bCs/>
              </w:rPr>
            </w:pPr>
            <w:r>
              <w:rPr>
                <w:rFonts w:ascii="Arial" w:hAnsi="Arial" w:cs="Arial"/>
                <w:b/>
                <w:bCs/>
              </w:rPr>
              <w:t>Is there any significance in the positioning and orientation of the Neolithic structures around the Ness of Brodgar in relation to the landscape, skyscape and each other and can this suggest anything about the function of these structures?</w:t>
            </w:r>
          </w:p>
          <w:p w:rsidR="00607E9F" w:rsidRPr="00F76C18" w:rsidRDefault="00607E9F" w:rsidP="00B217BC">
            <w:pPr>
              <w:pStyle w:val="NormalWeb"/>
              <w:spacing w:beforeAutospacing="0" w:afterAutospacing="0"/>
              <w:ind w:right="34"/>
              <w:rPr>
                <w:rFonts w:ascii="Calibri" w:hAnsi="Calibri" w:cs="Tahoma"/>
                <w:i/>
                <w:sz w:val="36"/>
              </w:rPr>
            </w:pPr>
          </w:p>
        </w:tc>
      </w:tr>
      <w:tr w:rsidR="00607E9F" w:rsidRPr="002F467C">
        <w:trPr>
          <w:gridAfter w:val="1"/>
          <w:wAfter w:w="101" w:type="dxa"/>
          <w:trHeight w:val="539"/>
        </w:trPr>
        <w:tc>
          <w:tcPr>
            <w:tcW w:w="5495" w:type="dxa"/>
            <w:gridSpan w:val="3"/>
          </w:tcPr>
          <w:p w:rsidR="00607E9F" w:rsidRPr="009471BC" w:rsidRDefault="00607E9F" w:rsidP="00B217BC">
            <w:pPr>
              <w:pStyle w:val="NormalWeb"/>
              <w:spacing w:beforeAutospacing="0" w:afterAutospacing="0"/>
              <w:ind w:right="34"/>
              <w:rPr>
                <w:rFonts w:ascii="Calibri" w:hAnsi="Calibri" w:cs="Tahoma"/>
              </w:rPr>
            </w:pPr>
            <w:r>
              <w:rPr>
                <w:rFonts w:ascii="Calibri" w:hAnsi="Calibri" w:cs="Tahoma"/>
                <w:i/>
              </w:rPr>
              <w:t xml:space="preserve">Supervisor: </w:t>
            </w:r>
            <w:r>
              <w:rPr>
                <w:rFonts w:ascii="Calibri" w:hAnsi="Calibri" w:cs="Tahoma"/>
              </w:rPr>
              <w:t xml:space="preserve">  Fabio Silva</w:t>
            </w:r>
          </w:p>
        </w:tc>
        <w:tc>
          <w:tcPr>
            <w:tcW w:w="3260" w:type="dxa"/>
            <w:gridSpan w:val="3"/>
          </w:tcPr>
          <w:p w:rsidR="00607E9F" w:rsidRPr="002F467C" w:rsidRDefault="00607E9F" w:rsidP="00B217BC">
            <w:pPr>
              <w:pStyle w:val="NormalWeb"/>
              <w:spacing w:beforeAutospacing="0" w:afterAutospacing="0"/>
              <w:ind w:right="34"/>
              <w:rPr>
                <w:rFonts w:ascii="Calibri" w:hAnsi="Calibri" w:cs="Tahoma"/>
                <w:i/>
              </w:rPr>
            </w:pPr>
            <w:r w:rsidRPr="002F467C">
              <w:rPr>
                <w:rFonts w:ascii="Calibri" w:hAnsi="Calibri" w:cs="Tahoma"/>
                <w:i/>
              </w:rPr>
              <w:t>Word coun</w:t>
            </w:r>
            <w:r>
              <w:rPr>
                <w:rFonts w:ascii="Calibri" w:hAnsi="Calibri" w:cs="Tahoma"/>
                <w:i/>
              </w:rPr>
              <w:t>t: 15,562</w:t>
            </w:r>
          </w:p>
        </w:tc>
      </w:tr>
      <w:tr w:rsidR="00607E9F" w:rsidRPr="002F467C">
        <w:trPr>
          <w:gridAfter w:val="1"/>
          <w:wAfter w:w="101" w:type="dxa"/>
          <w:trHeight w:val="978"/>
        </w:trPr>
        <w:tc>
          <w:tcPr>
            <w:tcW w:w="8755" w:type="dxa"/>
            <w:gridSpan w:val="6"/>
            <w:shd w:val="clear" w:color="auto" w:fill="D9D9D9"/>
          </w:tcPr>
          <w:p w:rsidR="00607E9F" w:rsidRPr="00BB1492" w:rsidRDefault="00607E9F" w:rsidP="00B217BC">
            <w:pPr>
              <w:pStyle w:val="NormalWeb"/>
              <w:spacing w:beforeAutospacing="0" w:afterAutospacing="0"/>
              <w:ind w:right="34"/>
              <w:rPr>
                <w:rFonts w:ascii="Calibri" w:hAnsi="Calibri" w:cs="Tahoma"/>
              </w:rPr>
            </w:pPr>
            <w:r w:rsidRPr="00BB1492">
              <w:rPr>
                <w:rFonts w:ascii="Calibri" w:hAnsi="Calibri" w:cs="Tahoma"/>
              </w:rPr>
              <w:t>I confirm that this is my original work and that I have adhered to the University policy on plagiarism.</w:t>
            </w:r>
          </w:p>
          <w:p w:rsidR="00607E9F" w:rsidRPr="00BB1492" w:rsidRDefault="00607E9F" w:rsidP="00B217BC">
            <w:pPr>
              <w:pStyle w:val="NormalWeb"/>
              <w:spacing w:beforeAutospacing="0" w:afterAutospacing="0"/>
              <w:ind w:right="34"/>
              <w:rPr>
                <w:rFonts w:ascii="Calibri" w:hAnsi="Calibri" w:cs="Tahoma"/>
              </w:rPr>
            </w:pPr>
            <w:r w:rsidRPr="00BB1492">
              <w:rPr>
                <w:rFonts w:ascii="Calibri" w:hAnsi="Calibri" w:cs="Tahoma"/>
              </w:rPr>
              <w:t>Signed ………………Lynne Eller……………………………</w:t>
            </w:r>
            <w:r w:rsidRPr="000C6989">
              <w:rPr>
                <w:rFonts w:ascii="Calibri" w:hAnsi="Calibri" w:cs="Tahoma"/>
              </w:rPr>
              <w:t>………</w:t>
            </w:r>
            <w:r w:rsidRPr="00BB1492">
              <w:rPr>
                <w:rFonts w:ascii="Calibri" w:hAnsi="Calibri" w:cs="Tahoma"/>
              </w:rPr>
              <w:t>………………………………………</w:t>
            </w:r>
          </w:p>
          <w:p w:rsidR="00607E9F" w:rsidRPr="00BB1492" w:rsidRDefault="00607E9F" w:rsidP="00B217BC">
            <w:pPr>
              <w:pStyle w:val="NormalWeb"/>
              <w:spacing w:beforeAutospacing="0" w:afterAutospacing="0"/>
              <w:ind w:right="34"/>
              <w:rPr>
                <w:rFonts w:ascii="Calibri" w:hAnsi="Calibri" w:cs="Calibri"/>
                <w:b/>
                <w:sz w:val="44"/>
              </w:rPr>
            </w:pPr>
            <w:r w:rsidRPr="00BB1492">
              <w:rPr>
                <w:rFonts w:ascii="Calibri" w:hAnsi="Calibri" w:cs="Tahoma"/>
                <w:b/>
              </w:rPr>
              <w:t xml:space="preserve">Email submission:if you are submitting this form via email, please tick this box </w:t>
            </w:r>
            <w:r w:rsidRPr="00BB1492">
              <w:rPr>
                <w:rFonts w:ascii="Calibri" w:hAnsi="Calibri" w:cs="Calibri"/>
                <w:b/>
                <w:sz w:val="44"/>
              </w:rPr>
              <w:t>/</w:t>
            </w:r>
          </w:p>
          <w:p w:rsidR="00607E9F" w:rsidRPr="00BB1492" w:rsidRDefault="00607E9F" w:rsidP="00B217BC">
            <w:pPr>
              <w:pStyle w:val="NormalWeb"/>
              <w:spacing w:beforeAutospacing="0" w:afterAutospacing="0"/>
              <w:ind w:right="34"/>
              <w:rPr>
                <w:rFonts w:ascii="Calibri" w:hAnsi="Calibri" w:cs="Tahoma"/>
                <w:b/>
              </w:rPr>
            </w:pPr>
            <w:r w:rsidRPr="00BB1492">
              <w:rPr>
                <w:rFonts w:ascii="Calibri" w:hAnsi="Calibri" w:cs="Tahoma"/>
                <w:b/>
              </w:rPr>
              <w:t>(as a substitute for your signature) to confirm that you agree to the above declaration.</w:t>
            </w:r>
          </w:p>
        </w:tc>
      </w:tr>
      <w:tr w:rsidR="00607E9F" w:rsidRPr="002F467C">
        <w:trPr>
          <w:gridAfter w:val="1"/>
          <w:wAfter w:w="101" w:type="dxa"/>
          <w:trHeight w:val="3972"/>
        </w:trPr>
        <w:tc>
          <w:tcPr>
            <w:tcW w:w="8755" w:type="dxa"/>
            <w:gridSpan w:val="6"/>
          </w:tcPr>
          <w:p w:rsidR="00607E9F" w:rsidRPr="002F467C" w:rsidRDefault="00607E9F" w:rsidP="00B217BC">
            <w:pPr>
              <w:pStyle w:val="NormalWeb"/>
              <w:spacing w:beforeAutospacing="0" w:afterAutospacing="0"/>
              <w:rPr>
                <w:rFonts w:ascii="Calibri" w:hAnsi="Calibri" w:cs="Tahoma"/>
                <w:i/>
              </w:rPr>
            </w:pPr>
            <w:r w:rsidRPr="002F467C">
              <w:rPr>
                <w:rFonts w:ascii="Calibri" w:hAnsi="Calibri" w:cs="Tahoma"/>
                <w:b/>
                <w:i/>
              </w:rPr>
              <w:t xml:space="preserve">For completion by </w:t>
            </w:r>
            <w:r>
              <w:rPr>
                <w:rFonts w:ascii="Calibri" w:hAnsi="Calibri" w:cs="Tahoma"/>
                <w:b/>
                <w:i/>
              </w:rPr>
              <w:t>the first marker</w:t>
            </w:r>
            <w:r w:rsidRPr="002F467C">
              <w:rPr>
                <w:rFonts w:ascii="Calibri" w:hAnsi="Calibri" w:cs="Tahoma"/>
                <w:i/>
              </w:rPr>
              <w:t>:</w:t>
            </w:r>
          </w:p>
          <w:p w:rsidR="00607E9F" w:rsidRDefault="00607E9F" w:rsidP="00B217BC">
            <w:pPr>
              <w:pStyle w:val="NormalWeb"/>
              <w:rPr>
                <w:rFonts w:ascii="Calibri" w:hAnsi="Calibri" w:cs="Tahoma"/>
                <w:i/>
              </w:rPr>
            </w:pPr>
            <w:r w:rsidRPr="002F467C">
              <w:rPr>
                <w:rFonts w:ascii="Calibri" w:hAnsi="Calibri" w:cs="Tahoma"/>
                <w:i/>
              </w:rPr>
              <w:t>Comments:</w:t>
            </w:r>
          </w:p>
          <w:p w:rsidR="00607E9F" w:rsidRDefault="00607E9F" w:rsidP="00B217BC">
            <w:pPr>
              <w:pStyle w:val="NormalWeb"/>
              <w:rPr>
                <w:rFonts w:ascii="Calibri" w:hAnsi="Calibri" w:cs="Tahoma"/>
                <w:i/>
              </w:rPr>
            </w:pPr>
          </w:p>
          <w:p w:rsidR="00607E9F" w:rsidRDefault="00607E9F" w:rsidP="00B217BC">
            <w:pPr>
              <w:pStyle w:val="NormalWeb"/>
              <w:rPr>
                <w:rFonts w:ascii="Calibri" w:hAnsi="Calibri" w:cs="Tahoma"/>
                <w:i/>
              </w:rPr>
            </w:pPr>
          </w:p>
          <w:p w:rsidR="00607E9F" w:rsidRDefault="00607E9F" w:rsidP="00B217BC">
            <w:pPr>
              <w:pStyle w:val="NormalWeb"/>
              <w:rPr>
                <w:rFonts w:ascii="Calibri" w:hAnsi="Calibri" w:cs="Tahoma"/>
                <w:i/>
              </w:rPr>
            </w:pPr>
          </w:p>
          <w:p w:rsidR="00607E9F" w:rsidRDefault="00607E9F" w:rsidP="00B217BC">
            <w:pPr>
              <w:pStyle w:val="NormalWeb"/>
              <w:rPr>
                <w:rFonts w:ascii="Calibri" w:hAnsi="Calibri" w:cs="Tahoma"/>
                <w:i/>
              </w:rPr>
            </w:pPr>
          </w:p>
          <w:p w:rsidR="00607E9F" w:rsidRDefault="00607E9F" w:rsidP="00B217BC">
            <w:pPr>
              <w:pStyle w:val="NormalWeb"/>
              <w:rPr>
                <w:rFonts w:ascii="Calibri" w:hAnsi="Calibri" w:cs="Tahoma"/>
                <w:i/>
              </w:rPr>
            </w:pPr>
          </w:p>
          <w:p w:rsidR="00607E9F" w:rsidRDefault="00607E9F" w:rsidP="00B217BC">
            <w:pPr>
              <w:pStyle w:val="NormalWeb"/>
              <w:rPr>
                <w:rFonts w:ascii="Calibri" w:hAnsi="Calibri" w:cs="Tahoma"/>
                <w:i/>
              </w:rPr>
            </w:pPr>
          </w:p>
          <w:p w:rsidR="00607E9F" w:rsidRPr="002F467C" w:rsidRDefault="00607E9F" w:rsidP="00B217BC">
            <w:pPr>
              <w:pStyle w:val="NormalWeb"/>
              <w:rPr>
                <w:rFonts w:ascii="Calibri" w:hAnsi="Calibri" w:cs="Tahoma"/>
                <w:i/>
              </w:rPr>
            </w:pPr>
          </w:p>
        </w:tc>
      </w:tr>
      <w:tr w:rsidR="00607E9F" w:rsidRPr="002F467C">
        <w:trPr>
          <w:gridAfter w:val="1"/>
          <w:wAfter w:w="101" w:type="dxa"/>
          <w:trHeight w:val="492"/>
        </w:trPr>
        <w:tc>
          <w:tcPr>
            <w:tcW w:w="6768" w:type="dxa"/>
            <w:gridSpan w:val="4"/>
          </w:tcPr>
          <w:p w:rsidR="00607E9F" w:rsidRPr="00B12C4F" w:rsidRDefault="00607E9F" w:rsidP="00B217BC">
            <w:pPr>
              <w:pStyle w:val="NormalWeb"/>
              <w:ind w:left="142" w:right="34"/>
              <w:rPr>
                <w:rFonts w:ascii="Calibri" w:hAnsi="Calibri" w:cs="Tahoma"/>
              </w:rPr>
            </w:pPr>
            <w:r w:rsidRPr="00B12C4F">
              <w:rPr>
                <w:rFonts w:ascii="Calibri" w:hAnsi="Calibri" w:cs="Tahoma"/>
              </w:rPr>
              <w:t>First Marker’s Mark:</w:t>
            </w:r>
          </w:p>
          <w:p w:rsidR="00607E9F" w:rsidRPr="002F467C" w:rsidRDefault="00607E9F" w:rsidP="00B217BC">
            <w:pPr>
              <w:pStyle w:val="NormalWeb"/>
              <w:ind w:left="142" w:right="34"/>
              <w:rPr>
                <w:rFonts w:ascii="Calibri" w:hAnsi="Calibri" w:cs="Tahoma"/>
                <w:i/>
              </w:rPr>
            </w:pPr>
            <w:r w:rsidRPr="00B12C4F">
              <w:rPr>
                <w:rFonts w:ascii="Calibri" w:hAnsi="Calibri" w:cs="Tahoma"/>
              </w:rPr>
              <w:t>Signature:</w:t>
            </w:r>
            <w:r>
              <w:rPr>
                <w:rFonts w:ascii="Calibri" w:hAnsi="Calibri" w:cs="Tahoma"/>
                <w:i/>
              </w:rPr>
              <w:t xml:space="preserve"> </w:t>
            </w:r>
          </w:p>
        </w:tc>
        <w:tc>
          <w:tcPr>
            <w:tcW w:w="1987" w:type="dxa"/>
            <w:gridSpan w:val="2"/>
          </w:tcPr>
          <w:p w:rsidR="00607E9F" w:rsidRPr="002F467C" w:rsidRDefault="00607E9F" w:rsidP="00B217BC">
            <w:pPr>
              <w:pStyle w:val="NormalWeb"/>
              <w:ind w:left="142" w:right="34"/>
              <w:rPr>
                <w:rFonts w:ascii="Calibri" w:hAnsi="Calibri" w:cs="Tahoma"/>
                <w:i/>
              </w:rPr>
            </w:pPr>
            <w:r w:rsidRPr="002F467C">
              <w:rPr>
                <w:rFonts w:ascii="Calibri" w:hAnsi="Calibri" w:cs="Tahoma"/>
                <w:i/>
              </w:rPr>
              <w:t>Date:</w:t>
            </w:r>
          </w:p>
        </w:tc>
      </w:tr>
      <w:tr w:rsidR="00607E9F" w:rsidRPr="002F467C">
        <w:tc>
          <w:tcPr>
            <w:tcW w:w="8856" w:type="dxa"/>
            <w:gridSpan w:val="7"/>
          </w:tcPr>
          <w:p w:rsidR="00607E9F" w:rsidRPr="002F467C" w:rsidRDefault="00607E9F" w:rsidP="00B217BC">
            <w:pPr>
              <w:pStyle w:val="NormalWeb"/>
              <w:spacing w:beforeAutospacing="0" w:afterAutospacing="0"/>
              <w:ind w:right="-334"/>
              <w:rPr>
                <w:rFonts w:ascii="Calibri" w:hAnsi="Calibri" w:cs="Tahoma"/>
                <w:bCs/>
              </w:rPr>
            </w:pPr>
            <w:r w:rsidRPr="002F467C">
              <w:rPr>
                <w:rFonts w:ascii="Calibri" w:hAnsi="Calibri" w:cs="Tahoma"/>
                <w:bCs/>
                <w:i/>
              </w:rPr>
              <w:t xml:space="preserve">For completion by </w:t>
            </w:r>
            <w:r>
              <w:rPr>
                <w:rFonts w:ascii="Calibri" w:hAnsi="Calibri" w:cs="Tahoma"/>
                <w:bCs/>
                <w:i/>
              </w:rPr>
              <w:t>the second marker</w:t>
            </w:r>
            <w:r w:rsidRPr="002F467C">
              <w:rPr>
                <w:rFonts w:ascii="Calibri" w:hAnsi="Calibri" w:cs="Tahoma"/>
                <w:bCs/>
              </w:rPr>
              <w:t>:</w:t>
            </w:r>
          </w:p>
          <w:p w:rsidR="00607E9F" w:rsidRPr="002F467C" w:rsidRDefault="00607E9F" w:rsidP="00B217BC">
            <w:pPr>
              <w:pStyle w:val="NormalWeb"/>
              <w:spacing w:beforeAutospacing="0" w:afterAutospacing="0"/>
              <w:ind w:right="-334"/>
              <w:rPr>
                <w:rFonts w:ascii="Calibri" w:hAnsi="Calibri" w:cs="Tahoma"/>
                <w:bCs/>
              </w:rPr>
            </w:pPr>
          </w:p>
          <w:p w:rsidR="00607E9F" w:rsidRPr="002F467C" w:rsidRDefault="00607E9F" w:rsidP="00B217BC">
            <w:pPr>
              <w:pStyle w:val="NormalWeb"/>
              <w:spacing w:beforeAutospacing="0" w:afterAutospacing="0"/>
              <w:ind w:right="-334"/>
              <w:rPr>
                <w:rFonts w:ascii="Calibri" w:hAnsi="Calibri" w:cs="Tahoma"/>
                <w:bCs/>
              </w:rPr>
            </w:pPr>
            <w:r w:rsidRPr="002F467C">
              <w:rPr>
                <w:rFonts w:ascii="Calibri" w:hAnsi="Calibri" w:cs="Tahoma"/>
                <w:bCs/>
              </w:rPr>
              <w:t>Comments:</w:t>
            </w:r>
          </w:p>
          <w:p w:rsidR="00607E9F" w:rsidRPr="002F467C" w:rsidRDefault="00607E9F" w:rsidP="00B217BC">
            <w:pPr>
              <w:pStyle w:val="NormalWeb"/>
              <w:spacing w:beforeAutospacing="0" w:afterAutospacing="0"/>
              <w:ind w:right="-334"/>
              <w:rPr>
                <w:rFonts w:ascii="Calibri" w:hAnsi="Calibri" w:cs="Tahoma"/>
                <w:bCs/>
              </w:rPr>
            </w:pPr>
          </w:p>
          <w:p w:rsidR="00607E9F" w:rsidRPr="002F467C" w:rsidRDefault="00607E9F" w:rsidP="00B217BC">
            <w:pPr>
              <w:pStyle w:val="NormalWeb"/>
              <w:spacing w:beforeAutospacing="0" w:afterAutospacing="0"/>
              <w:ind w:right="-334"/>
              <w:rPr>
                <w:rFonts w:ascii="Calibri" w:hAnsi="Calibri" w:cs="Tahoma"/>
                <w:bCs/>
              </w:rPr>
            </w:pPr>
          </w:p>
          <w:p w:rsidR="00607E9F" w:rsidRPr="002F467C" w:rsidRDefault="00607E9F" w:rsidP="00B217BC">
            <w:pPr>
              <w:pStyle w:val="NormalWeb"/>
              <w:spacing w:beforeAutospacing="0" w:afterAutospacing="0"/>
              <w:ind w:right="-334"/>
              <w:rPr>
                <w:rFonts w:ascii="Calibri" w:hAnsi="Calibri" w:cs="Tahoma"/>
                <w:bCs/>
              </w:rPr>
            </w:pPr>
          </w:p>
          <w:p w:rsidR="00607E9F" w:rsidRPr="002F467C" w:rsidRDefault="00607E9F" w:rsidP="00B217BC">
            <w:pPr>
              <w:pStyle w:val="NormalWeb"/>
              <w:spacing w:beforeAutospacing="0" w:afterAutospacing="0"/>
              <w:ind w:right="-334"/>
              <w:rPr>
                <w:rFonts w:ascii="Calibri" w:hAnsi="Calibri" w:cs="Tahoma"/>
                <w:bCs/>
              </w:rPr>
            </w:pPr>
          </w:p>
          <w:p w:rsidR="00607E9F" w:rsidRPr="002F467C" w:rsidRDefault="00607E9F" w:rsidP="00B217BC">
            <w:pPr>
              <w:pStyle w:val="NormalWeb"/>
              <w:spacing w:beforeAutospacing="0" w:afterAutospacing="0"/>
              <w:ind w:right="-334"/>
              <w:rPr>
                <w:rFonts w:ascii="Calibri" w:hAnsi="Calibri" w:cs="Tahoma"/>
                <w:bCs/>
              </w:rPr>
            </w:pPr>
          </w:p>
          <w:p w:rsidR="00607E9F" w:rsidRPr="002F467C" w:rsidRDefault="00607E9F" w:rsidP="00B217BC">
            <w:pPr>
              <w:pStyle w:val="NormalWeb"/>
              <w:spacing w:beforeAutospacing="0" w:afterAutospacing="0"/>
              <w:ind w:right="-334"/>
              <w:rPr>
                <w:rFonts w:ascii="Calibri" w:hAnsi="Calibri" w:cs="Tahoma"/>
                <w:bCs/>
              </w:rPr>
            </w:pPr>
          </w:p>
          <w:p w:rsidR="00607E9F" w:rsidRPr="002F467C" w:rsidRDefault="00607E9F" w:rsidP="00B217BC">
            <w:pPr>
              <w:pStyle w:val="NormalWeb"/>
              <w:spacing w:beforeAutospacing="0" w:afterAutospacing="0"/>
              <w:ind w:right="-334"/>
              <w:rPr>
                <w:rFonts w:ascii="Calibri" w:hAnsi="Calibri" w:cs="Tahoma"/>
                <w:bCs/>
              </w:rPr>
            </w:pPr>
          </w:p>
          <w:p w:rsidR="00607E9F" w:rsidRPr="002F467C" w:rsidRDefault="00607E9F" w:rsidP="00B217BC">
            <w:pPr>
              <w:pStyle w:val="NormalWeb"/>
              <w:spacing w:beforeAutospacing="0" w:afterAutospacing="0"/>
              <w:ind w:right="-334"/>
              <w:rPr>
                <w:rFonts w:ascii="Calibri" w:hAnsi="Calibri" w:cs="Tahoma"/>
                <w:bCs/>
              </w:rPr>
            </w:pPr>
          </w:p>
          <w:p w:rsidR="00607E9F" w:rsidRPr="002F467C" w:rsidRDefault="00607E9F" w:rsidP="00B217BC">
            <w:pPr>
              <w:pStyle w:val="NormalWeb"/>
              <w:spacing w:beforeAutospacing="0" w:afterAutospacing="0"/>
              <w:ind w:right="-334"/>
              <w:rPr>
                <w:rFonts w:ascii="Calibri" w:hAnsi="Calibri" w:cs="Tahoma"/>
                <w:bCs/>
              </w:rPr>
            </w:pPr>
          </w:p>
          <w:p w:rsidR="00607E9F" w:rsidRPr="002F467C" w:rsidRDefault="00607E9F" w:rsidP="00B217BC">
            <w:pPr>
              <w:pStyle w:val="NormalWeb"/>
              <w:spacing w:beforeAutospacing="0" w:afterAutospacing="0"/>
              <w:ind w:right="-334"/>
              <w:rPr>
                <w:rFonts w:ascii="Calibri" w:hAnsi="Calibri" w:cs="Tahoma"/>
                <w:bCs/>
              </w:rPr>
            </w:pPr>
          </w:p>
          <w:p w:rsidR="00607E9F" w:rsidRPr="002F467C" w:rsidRDefault="00607E9F" w:rsidP="00B217BC">
            <w:pPr>
              <w:pStyle w:val="NormalWeb"/>
              <w:spacing w:beforeAutospacing="0" w:afterAutospacing="0"/>
              <w:ind w:right="-334"/>
              <w:rPr>
                <w:rFonts w:ascii="Calibri" w:hAnsi="Calibri" w:cs="Tahoma"/>
                <w:bCs/>
              </w:rPr>
            </w:pPr>
          </w:p>
          <w:p w:rsidR="00607E9F" w:rsidRPr="002F467C" w:rsidRDefault="00607E9F" w:rsidP="00B217BC">
            <w:pPr>
              <w:pStyle w:val="NormalWeb"/>
              <w:spacing w:beforeAutospacing="0" w:afterAutospacing="0"/>
              <w:ind w:right="-334"/>
              <w:rPr>
                <w:rFonts w:ascii="Calibri" w:hAnsi="Calibri" w:cs="Tahoma"/>
                <w:bCs/>
              </w:rPr>
            </w:pPr>
          </w:p>
          <w:p w:rsidR="00607E9F" w:rsidRPr="002F467C" w:rsidRDefault="00607E9F" w:rsidP="00B217BC">
            <w:pPr>
              <w:pStyle w:val="NormalWeb"/>
              <w:spacing w:beforeAutospacing="0" w:afterAutospacing="0"/>
              <w:ind w:right="-334"/>
              <w:rPr>
                <w:rFonts w:ascii="Calibri" w:hAnsi="Calibri" w:cs="Tahoma"/>
                <w:bCs/>
              </w:rPr>
            </w:pPr>
          </w:p>
          <w:p w:rsidR="00607E9F" w:rsidRPr="002F467C" w:rsidRDefault="00607E9F" w:rsidP="00B217BC">
            <w:pPr>
              <w:pStyle w:val="NormalWeb"/>
              <w:spacing w:beforeAutospacing="0" w:afterAutospacing="0"/>
              <w:ind w:right="-334"/>
              <w:rPr>
                <w:rFonts w:ascii="Calibri" w:hAnsi="Calibri" w:cs="Tahoma"/>
                <w:bCs/>
              </w:rPr>
            </w:pPr>
          </w:p>
          <w:p w:rsidR="00607E9F" w:rsidRPr="002F467C" w:rsidRDefault="00607E9F" w:rsidP="00B217BC">
            <w:pPr>
              <w:pStyle w:val="NormalWeb"/>
              <w:spacing w:beforeAutospacing="0" w:afterAutospacing="0"/>
              <w:ind w:right="-334"/>
              <w:rPr>
                <w:rFonts w:ascii="Calibri" w:hAnsi="Calibri" w:cs="Tahoma"/>
                <w:bCs/>
              </w:rPr>
            </w:pPr>
          </w:p>
          <w:p w:rsidR="00607E9F" w:rsidRPr="002F467C" w:rsidRDefault="00607E9F" w:rsidP="00B217BC">
            <w:pPr>
              <w:pStyle w:val="NormalWeb"/>
              <w:spacing w:beforeAutospacing="0" w:afterAutospacing="0"/>
              <w:ind w:right="-334"/>
              <w:rPr>
                <w:rFonts w:ascii="Calibri" w:hAnsi="Calibri" w:cs="Tahoma"/>
                <w:bCs/>
              </w:rPr>
            </w:pPr>
          </w:p>
          <w:p w:rsidR="00607E9F" w:rsidRPr="002F467C" w:rsidRDefault="00607E9F" w:rsidP="00B217BC">
            <w:pPr>
              <w:pStyle w:val="NormalWeb"/>
              <w:spacing w:beforeAutospacing="0" w:afterAutospacing="0"/>
              <w:ind w:right="-334"/>
              <w:rPr>
                <w:rFonts w:ascii="Calibri" w:hAnsi="Calibri" w:cs="Tahoma"/>
                <w:bCs/>
              </w:rPr>
            </w:pPr>
          </w:p>
          <w:p w:rsidR="00607E9F" w:rsidRPr="002F467C" w:rsidRDefault="00607E9F" w:rsidP="00B217BC">
            <w:pPr>
              <w:pStyle w:val="NormalWeb"/>
              <w:spacing w:beforeAutospacing="0" w:afterAutospacing="0"/>
              <w:ind w:right="-334"/>
              <w:rPr>
                <w:rFonts w:ascii="Calibri" w:hAnsi="Calibri" w:cs="Tahoma"/>
                <w:bCs/>
              </w:rPr>
            </w:pPr>
          </w:p>
        </w:tc>
      </w:tr>
      <w:tr w:rsidR="00607E9F" w:rsidRPr="002F467C">
        <w:trPr>
          <w:trHeight w:val="720"/>
        </w:trPr>
        <w:tc>
          <w:tcPr>
            <w:tcW w:w="5211" w:type="dxa"/>
            <w:gridSpan w:val="2"/>
          </w:tcPr>
          <w:p w:rsidR="00607E9F" w:rsidRDefault="00607E9F" w:rsidP="00B217BC">
            <w:pPr>
              <w:pStyle w:val="NormalWeb"/>
              <w:spacing w:beforeAutospacing="0" w:afterAutospacing="0"/>
              <w:ind w:right="-334"/>
              <w:rPr>
                <w:rFonts w:ascii="Calibri" w:hAnsi="Calibri" w:cs="Tahoma"/>
                <w:bCs/>
              </w:rPr>
            </w:pPr>
            <w:r>
              <w:rPr>
                <w:rFonts w:ascii="Calibri" w:hAnsi="Calibri" w:cs="Tahoma"/>
                <w:bCs/>
              </w:rPr>
              <w:t>Second Marker’s  Mark</w:t>
            </w:r>
            <w:r w:rsidRPr="002F467C">
              <w:rPr>
                <w:rFonts w:ascii="Calibri" w:hAnsi="Calibri" w:cs="Tahoma"/>
                <w:bCs/>
              </w:rPr>
              <w:t>:</w:t>
            </w:r>
          </w:p>
          <w:p w:rsidR="00607E9F" w:rsidRPr="002F467C" w:rsidRDefault="00607E9F" w:rsidP="00B217BC">
            <w:pPr>
              <w:pStyle w:val="NormalWeb"/>
              <w:spacing w:beforeAutospacing="0" w:afterAutospacing="0"/>
              <w:ind w:right="-334"/>
              <w:rPr>
                <w:rFonts w:ascii="Calibri" w:hAnsi="Calibri" w:cs="Tahoma"/>
                <w:bCs/>
              </w:rPr>
            </w:pPr>
            <w:r>
              <w:rPr>
                <w:rFonts w:ascii="Calibri" w:hAnsi="Calibri" w:cs="Tahoma"/>
                <w:bCs/>
              </w:rPr>
              <w:t>Signature:</w:t>
            </w:r>
          </w:p>
        </w:tc>
        <w:tc>
          <w:tcPr>
            <w:tcW w:w="3645" w:type="dxa"/>
            <w:gridSpan w:val="5"/>
          </w:tcPr>
          <w:p w:rsidR="00607E9F" w:rsidRPr="002F467C" w:rsidRDefault="00607E9F" w:rsidP="00B217BC">
            <w:pPr>
              <w:pStyle w:val="NormalWeb"/>
              <w:spacing w:beforeAutospacing="0" w:afterAutospacing="0"/>
              <w:ind w:right="-334"/>
              <w:rPr>
                <w:rFonts w:ascii="Calibri" w:hAnsi="Calibri" w:cs="Tahoma"/>
                <w:bCs/>
              </w:rPr>
            </w:pPr>
            <w:r w:rsidRPr="002F467C">
              <w:rPr>
                <w:rFonts w:ascii="Calibri" w:hAnsi="Calibri" w:cs="Tahoma"/>
                <w:bCs/>
              </w:rPr>
              <w:t>Date:</w:t>
            </w:r>
          </w:p>
        </w:tc>
      </w:tr>
      <w:tr w:rsidR="00607E9F" w:rsidRPr="002F467C">
        <w:trPr>
          <w:trHeight w:val="720"/>
        </w:trPr>
        <w:tc>
          <w:tcPr>
            <w:tcW w:w="5211" w:type="dxa"/>
            <w:gridSpan w:val="2"/>
          </w:tcPr>
          <w:p w:rsidR="00607E9F" w:rsidRDefault="00607E9F" w:rsidP="00B217BC">
            <w:pPr>
              <w:pStyle w:val="NormalWeb"/>
              <w:spacing w:beforeAutospacing="0" w:afterAutospacing="0"/>
              <w:ind w:right="-334"/>
              <w:rPr>
                <w:rFonts w:ascii="Calibri" w:hAnsi="Calibri" w:cs="Tahoma"/>
                <w:bCs/>
              </w:rPr>
            </w:pPr>
            <w:r>
              <w:rPr>
                <w:rFonts w:ascii="Calibri" w:hAnsi="Calibri" w:cs="Tahoma"/>
                <w:bCs/>
              </w:rPr>
              <w:t>Agreed internal mark:</w:t>
            </w:r>
          </w:p>
          <w:p w:rsidR="00607E9F" w:rsidRDefault="00607E9F" w:rsidP="00B217BC">
            <w:pPr>
              <w:pStyle w:val="NormalWeb"/>
              <w:spacing w:beforeAutospacing="0" w:afterAutospacing="0"/>
              <w:ind w:right="-334"/>
              <w:rPr>
                <w:rFonts w:ascii="Calibri" w:hAnsi="Calibri" w:cs="Tahoma"/>
                <w:bCs/>
              </w:rPr>
            </w:pPr>
          </w:p>
          <w:p w:rsidR="00607E9F" w:rsidRDefault="00607E9F" w:rsidP="00B217BC">
            <w:pPr>
              <w:pStyle w:val="NormalWeb"/>
              <w:spacing w:beforeAutospacing="0" w:afterAutospacing="0"/>
              <w:ind w:right="-334"/>
              <w:rPr>
                <w:rFonts w:ascii="Calibri" w:hAnsi="Calibri" w:cs="Tahoma"/>
                <w:bCs/>
              </w:rPr>
            </w:pPr>
            <w:r>
              <w:rPr>
                <w:rFonts w:ascii="Calibri" w:hAnsi="Calibri" w:cs="Tahoma"/>
                <w:bCs/>
              </w:rPr>
              <w:t>Signature 1</w:t>
            </w:r>
            <w:r w:rsidRPr="00BB1492">
              <w:rPr>
                <w:rFonts w:ascii="Calibri" w:hAnsi="Calibri" w:cs="Tahoma"/>
                <w:bCs/>
                <w:vertAlign w:val="superscript"/>
              </w:rPr>
              <w:t>st</w:t>
            </w:r>
            <w:r>
              <w:rPr>
                <w:rFonts w:ascii="Calibri" w:hAnsi="Calibri" w:cs="Tahoma"/>
                <w:bCs/>
              </w:rPr>
              <w:t xml:space="preserve"> marker:</w:t>
            </w:r>
          </w:p>
          <w:p w:rsidR="00607E9F" w:rsidRDefault="00607E9F" w:rsidP="00B217BC">
            <w:pPr>
              <w:pStyle w:val="NormalWeb"/>
              <w:spacing w:beforeAutospacing="0" w:afterAutospacing="0"/>
              <w:ind w:right="-334"/>
              <w:rPr>
                <w:rFonts w:ascii="Calibri" w:hAnsi="Calibri" w:cs="Tahoma"/>
                <w:bCs/>
              </w:rPr>
            </w:pPr>
          </w:p>
          <w:p w:rsidR="00607E9F" w:rsidRDefault="00607E9F" w:rsidP="00B217BC">
            <w:pPr>
              <w:pStyle w:val="NormalWeb"/>
              <w:spacing w:beforeAutospacing="0" w:afterAutospacing="0"/>
              <w:ind w:right="-334"/>
              <w:rPr>
                <w:rFonts w:ascii="Calibri" w:hAnsi="Calibri" w:cs="Tahoma"/>
                <w:bCs/>
              </w:rPr>
            </w:pPr>
            <w:r>
              <w:rPr>
                <w:rFonts w:ascii="Calibri" w:hAnsi="Calibri" w:cs="Tahoma"/>
                <w:bCs/>
              </w:rPr>
              <w:t>Signature 2</w:t>
            </w:r>
            <w:r w:rsidRPr="00BB1492">
              <w:rPr>
                <w:rFonts w:ascii="Calibri" w:hAnsi="Calibri" w:cs="Tahoma"/>
                <w:bCs/>
                <w:vertAlign w:val="superscript"/>
              </w:rPr>
              <w:t>nd</w:t>
            </w:r>
            <w:r>
              <w:rPr>
                <w:rFonts w:ascii="Calibri" w:hAnsi="Calibri" w:cs="Tahoma"/>
                <w:bCs/>
              </w:rPr>
              <w:t xml:space="preserve"> marker:</w:t>
            </w:r>
          </w:p>
          <w:p w:rsidR="00607E9F" w:rsidRDefault="00607E9F" w:rsidP="00B217BC">
            <w:pPr>
              <w:pStyle w:val="NormalWeb"/>
              <w:spacing w:beforeAutospacing="0" w:afterAutospacing="0"/>
              <w:ind w:right="-334"/>
              <w:rPr>
                <w:rFonts w:ascii="Calibri" w:hAnsi="Calibri" w:cs="Tahoma"/>
                <w:bCs/>
              </w:rPr>
            </w:pPr>
          </w:p>
        </w:tc>
        <w:tc>
          <w:tcPr>
            <w:tcW w:w="3645" w:type="dxa"/>
            <w:gridSpan w:val="5"/>
          </w:tcPr>
          <w:p w:rsidR="00607E9F" w:rsidRPr="002F467C" w:rsidRDefault="00607E9F" w:rsidP="00B217BC">
            <w:pPr>
              <w:pStyle w:val="NormalWeb"/>
              <w:spacing w:beforeAutospacing="0" w:afterAutospacing="0"/>
              <w:ind w:right="-334"/>
              <w:rPr>
                <w:rFonts w:ascii="Calibri" w:hAnsi="Calibri" w:cs="Tahoma"/>
                <w:bCs/>
              </w:rPr>
            </w:pPr>
            <w:r>
              <w:rPr>
                <w:rFonts w:ascii="Calibri" w:hAnsi="Calibri" w:cs="Tahoma"/>
                <w:bCs/>
              </w:rPr>
              <w:t>Date</w:t>
            </w:r>
          </w:p>
        </w:tc>
      </w:tr>
      <w:tr w:rsidR="00607E9F" w:rsidRPr="002F467C">
        <w:trPr>
          <w:trHeight w:val="720"/>
        </w:trPr>
        <w:tc>
          <w:tcPr>
            <w:tcW w:w="8856" w:type="dxa"/>
            <w:gridSpan w:val="7"/>
          </w:tcPr>
          <w:p w:rsidR="00607E9F" w:rsidRPr="00BB1492" w:rsidRDefault="00607E9F" w:rsidP="00B217BC">
            <w:pPr>
              <w:pStyle w:val="NormalWeb"/>
              <w:spacing w:beforeAutospacing="0" w:afterAutospacing="0"/>
              <w:ind w:left="142" w:right="34"/>
              <w:rPr>
                <w:rFonts w:ascii="Calibri" w:hAnsi="Calibri" w:cs="Tahoma"/>
                <w:i/>
              </w:rPr>
            </w:pPr>
            <w:r w:rsidRPr="00BB1492">
              <w:rPr>
                <w:rFonts w:ascii="Calibri" w:hAnsi="Calibri" w:cs="Tahoma"/>
              </w:rPr>
              <w:t xml:space="preserve">Comments </w:t>
            </w:r>
            <w:r w:rsidRPr="00BB1492">
              <w:rPr>
                <w:rFonts w:ascii="Calibri" w:hAnsi="Calibri" w:cs="Tahoma"/>
                <w:i/>
              </w:rPr>
              <w:t xml:space="preserve">(for completion by the internal markers which </w:t>
            </w:r>
            <w:r w:rsidRPr="00030CB5">
              <w:rPr>
                <w:rFonts w:ascii="Calibri" w:hAnsi="Calibri" w:cs="Tahoma"/>
                <w:i/>
              </w:rPr>
              <w:t>indicate</w:t>
            </w:r>
            <w:r w:rsidRPr="00BB1492">
              <w:rPr>
                <w:rFonts w:ascii="Calibri" w:hAnsi="Calibri" w:cs="Tahoma"/>
                <w:i/>
              </w:rPr>
              <w:t xml:space="preserve"> how the agreed internal mark has been arrived at):</w:t>
            </w:r>
          </w:p>
          <w:p w:rsidR="00607E9F" w:rsidRPr="00C87244" w:rsidRDefault="00607E9F" w:rsidP="00B217BC">
            <w:pPr>
              <w:pStyle w:val="NormalWeb"/>
              <w:spacing w:beforeAutospacing="0" w:afterAutospacing="0"/>
              <w:ind w:left="142" w:right="34"/>
              <w:rPr>
                <w:rFonts w:ascii="Calibri" w:hAnsi="Calibri" w:cs="Tahoma"/>
                <w:b/>
                <w:i/>
              </w:rPr>
            </w:pPr>
          </w:p>
          <w:p w:rsidR="00607E9F" w:rsidRPr="002F467C" w:rsidRDefault="00607E9F" w:rsidP="00B217BC">
            <w:pPr>
              <w:pStyle w:val="NormalWeb"/>
              <w:spacing w:beforeAutospacing="0" w:afterAutospacing="0"/>
              <w:ind w:right="-334"/>
              <w:rPr>
                <w:rFonts w:ascii="Calibri" w:hAnsi="Calibri" w:cs="Tahoma"/>
                <w:bCs/>
              </w:rPr>
            </w:pPr>
          </w:p>
        </w:tc>
      </w:tr>
      <w:tr w:rsidR="00607E9F" w:rsidRPr="002F467C">
        <w:trPr>
          <w:trHeight w:val="720"/>
        </w:trPr>
        <w:tc>
          <w:tcPr>
            <w:tcW w:w="8856" w:type="dxa"/>
            <w:gridSpan w:val="7"/>
          </w:tcPr>
          <w:p w:rsidR="00607E9F" w:rsidRPr="00C87244" w:rsidRDefault="00607E9F" w:rsidP="00B217BC">
            <w:pPr>
              <w:pStyle w:val="NormalWeb"/>
              <w:spacing w:beforeAutospacing="0" w:afterAutospacing="0"/>
              <w:ind w:left="142" w:right="34"/>
              <w:rPr>
                <w:rFonts w:ascii="Calibri" w:hAnsi="Calibri" w:cs="Tahoma"/>
                <w:b/>
                <w:i/>
              </w:rPr>
            </w:pPr>
            <w:r w:rsidRPr="002F467C">
              <w:rPr>
                <w:rFonts w:ascii="Calibri" w:hAnsi="Calibri" w:cs="Tahoma"/>
                <w:b/>
                <w:i/>
              </w:rPr>
              <w:t>NB.</w:t>
            </w:r>
            <w:r w:rsidRPr="002F467C">
              <w:rPr>
                <w:rFonts w:ascii="Calibri" w:hAnsi="Calibri" w:cs="Tahoma"/>
                <w:i/>
              </w:rPr>
              <w:t xml:space="preserve">  </w:t>
            </w:r>
            <w:r w:rsidRPr="00C87244">
              <w:rPr>
                <w:rFonts w:ascii="Calibri" w:hAnsi="Calibri" w:cs="Tahoma"/>
                <w:b/>
                <w:i/>
              </w:rPr>
              <w:t>All marks are provisional until confirmed by the final examination board.</w:t>
            </w:r>
          </w:p>
          <w:p w:rsidR="00607E9F" w:rsidRPr="002F467C" w:rsidRDefault="00607E9F" w:rsidP="00B217BC">
            <w:pPr>
              <w:pStyle w:val="NormalWeb"/>
              <w:spacing w:beforeAutospacing="0" w:afterAutospacing="0"/>
              <w:ind w:left="142" w:right="34"/>
              <w:rPr>
                <w:rFonts w:ascii="Calibri" w:hAnsi="Calibri" w:cs="Tahoma"/>
                <w:b/>
                <w:i/>
              </w:rPr>
            </w:pPr>
          </w:p>
        </w:tc>
      </w:tr>
    </w:tbl>
    <w:p w:rsidR="00607E9F" w:rsidRDefault="00607E9F" w:rsidP="00B217BC">
      <w:pPr>
        <w:pStyle w:val="NormalWeb"/>
        <w:spacing w:beforeAutospacing="0" w:afterAutospacing="0"/>
        <w:ind w:right="-334"/>
        <w:rPr>
          <w:rFonts w:ascii="Trebuchet MS" w:hAnsi="Trebuchet MS" w:cs="Tahoma"/>
          <w:bCs/>
        </w:rPr>
      </w:pPr>
    </w:p>
    <w:p w:rsidR="00607E9F" w:rsidRDefault="00607E9F" w:rsidP="00B217BC">
      <w:pPr>
        <w:pStyle w:val="NormalWeb"/>
        <w:spacing w:beforeAutospacing="0" w:afterAutospacing="0"/>
        <w:ind w:right="-334"/>
        <w:rPr>
          <w:rFonts w:ascii="Trebuchet MS" w:hAnsi="Trebuchet MS" w:cs="Tahoma"/>
          <w:bCs/>
        </w:rPr>
      </w:pPr>
    </w:p>
    <w:p w:rsidR="00607E9F" w:rsidRDefault="00607E9F" w:rsidP="00B217BC">
      <w:pPr>
        <w:pStyle w:val="NormalWeb"/>
        <w:spacing w:beforeAutospacing="0" w:afterAutospacing="0"/>
        <w:ind w:right="-334"/>
        <w:rPr>
          <w:rFonts w:ascii="Trebuchet MS" w:hAnsi="Trebuchet MS" w:cs="Tahoma"/>
          <w:bCs/>
        </w:rPr>
      </w:pPr>
    </w:p>
    <w:p w:rsidR="00607E9F" w:rsidRDefault="00607E9F" w:rsidP="00B217BC">
      <w:pPr>
        <w:pStyle w:val="NormalWeb"/>
        <w:spacing w:beforeAutospacing="0" w:afterAutospacing="0"/>
        <w:ind w:right="-334"/>
        <w:rPr>
          <w:rFonts w:ascii="Trebuchet MS" w:hAnsi="Trebuchet MS" w:cs="Tahoma"/>
          <w:bCs/>
        </w:rPr>
      </w:pPr>
    </w:p>
    <w:p w:rsidR="00607E9F" w:rsidRDefault="00607E9F" w:rsidP="00B217BC">
      <w:pPr>
        <w:pStyle w:val="NormalWeb"/>
        <w:spacing w:beforeAutospacing="0" w:afterAutospacing="0"/>
        <w:ind w:right="-334"/>
        <w:rPr>
          <w:rFonts w:ascii="Trebuchet MS" w:hAnsi="Trebuchet MS" w:cs="Tahoma"/>
          <w:bCs/>
        </w:rPr>
      </w:pPr>
    </w:p>
    <w:p w:rsidR="00607E9F" w:rsidRDefault="00607E9F" w:rsidP="00B217BC">
      <w:pPr>
        <w:pStyle w:val="NormalWeb"/>
        <w:spacing w:beforeAutospacing="0" w:afterAutospacing="0"/>
        <w:ind w:right="-334"/>
        <w:rPr>
          <w:rFonts w:ascii="Trebuchet MS" w:hAnsi="Trebuchet MS" w:cs="Tahoma"/>
          <w:bCs/>
        </w:rPr>
      </w:pPr>
    </w:p>
    <w:p w:rsidR="00607E9F" w:rsidRDefault="00607E9F" w:rsidP="00B217BC">
      <w:pPr>
        <w:pStyle w:val="NormalWeb"/>
        <w:spacing w:beforeAutospacing="0" w:afterAutospacing="0"/>
        <w:ind w:right="-334"/>
        <w:rPr>
          <w:rFonts w:ascii="Trebuchet MS" w:hAnsi="Trebuchet MS" w:cs="Tahoma"/>
          <w:bCs/>
        </w:rPr>
      </w:pPr>
    </w:p>
    <w:p w:rsidR="00607E9F" w:rsidRDefault="00607E9F" w:rsidP="00B217BC">
      <w:pPr>
        <w:pStyle w:val="NormalWeb"/>
        <w:spacing w:beforeAutospacing="0" w:afterAutospacing="0"/>
        <w:ind w:right="-334"/>
        <w:rPr>
          <w:rFonts w:ascii="Trebuchet MS" w:hAnsi="Trebuchet MS" w:cs="Tahoma"/>
          <w:bCs/>
        </w:rPr>
      </w:pPr>
    </w:p>
    <w:p w:rsidR="00607E9F" w:rsidRDefault="00607E9F" w:rsidP="00B217BC">
      <w:pPr>
        <w:pStyle w:val="NormalWeb"/>
        <w:spacing w:beforeAutospacing="0" w:afterAutospacing="0"/>
        <w:ind w:right="-334"/>
        <w:rPr>
          <w:rFonts w:ascii="Trebuchet MS" w:hAnsi="Trebuchet MS" w:cs="Tahoma"/>
          <w:bCs/>
        </w:rPr>
      </w:pPr>
    </w:p>
    <w:p w:rsidR="00607E9F" w:rsidRDefault="00607E9F" w:rsidP="00B217BC">
      <w:pPr>
        <w:pStyle w:val="NormalWeb"/>
        <w:spacing w:beforeAutospacing="0" w:afterAutospacing="0"/>
        <w:ind w:right="-334"/>
        <w:rPr>
          <w:rFonts w:ascii="Trebuchet MS" w:hAnsi="Trebuchet MS" w:cs="Tahoma"/>
          <w:bCs/>
        </w:rPr>
      </w:pPr>
    </w:p>
    <w:p w:rsidR="00607E9F" w:rsidRDefault="00607E9F" w:rsidP="00B217BC">
      <w:pPr>
        <w:pStyle w:val="NormalWeb"/>
        <w:spacing w:beforeAutospacing="0" w:afterAutospacing="0"/>
        <w:ind w:right="-334"/>
        <w:rPr>
          <w:rFonts w:ascii="Trebuchet MS" w:hAnsi="Trebuchet MS" w:cs="Tahoma"/>
          <w:bCs/>
        </w:rPr>
      </w:pPr>
    </w:p>
    <w:p w:rsidR="00607E9F" w:rsidRDefault="00607E9F" w:rsidP="00B217BC">
      <w:pPr>
        <w:pStyle w:val="NormalWeb"/>
        <w:spacing w:beforeAutospacing="0" w:afterAutospacing="0"/>
        <w:ind w:right="-334"/>
        <w:rPr>
          <w:rFonts w:ascii="Trebuchet MS" w:hAnsi="Trebuchet MS" w:cs="Tahoma"/>
          <w:bCs/>
        </w:rPr>
      </w:pPr>
    </w:p>
    <w:p w:rsidR="00607E9F" w:rsidRDefault="00607E9F" w:rsidP="00B217BC">
      <w:pPr>
        <w:pStyle w:val="NormalWeb"/>
        <w:spacing w:beforeAutospacing="0" w:afterAutospacing="0"/>
        <w:ind w:right="-334"/>
        <w:rPr>
          <w:rFonts w:ascii="Trebuchet MS" w:hAnsi="Trebuchet MS" w:cs="Tahoma"/>
          <w:bCs/>
        </w:rPr>
      </w:pPr>
    </w:p>
    <w:p w:rsidR="00607E9F" w:rsidRDefault="00607E9F" w:rsidP="00B217BC">
      <w:pPr>
        <w:pStyle w:val="NormalWeb"/>
        <w:spacing w:beforeAutospacing="0" w:afterAutospacing="0"/>
        <w:ind w:right="-334"/>
        <w:rPr>
          <w:rFonts w:ascii="Trebuchet MS" w:hAnsi="Trebuchet MS" w:cs="Tahoma"/>
          <w:bCs/>
        </w:rPr>
      </w:pPr>
    </w:p>
    <w:p w:rsidR="00607E9F" w:rsidRDefault="00607E9F" w:rsidP="00B217BC">
      <w:pPr>
        <w:pStyle w:val="NormalWeb"/>
        <w:spacing w:beforeAutospacing="0" w:afterAutospacing="0"/>
        <w:ind w:right="-334"/>
        <w:rPr>
          <w:rFonts w:ascii="Trebuchet MS" w:hAnsi="Trebuchet MS" w:cs="Tahoma"/>
          <w:bCs/>
        </w:rPr>
      </w:pPr>
    </w:p>
    <w:p w:rsidR="00607E9F" w:rsidRDefault="00607E9F" w:rsidP="00B217BC">
      <w:pPr>
        <w:pStyle w:val="NormalWeb"/>
        <w:spacing w:beforeAutospacing="0" w:afterAutospacing="0"/>
        <w:ind w:right="-334"/>
        <w:rPr>
          <w:rFonts w:ascii="Trebuchet MS" w:hAnsi="Trebuchet MS" w:cs="Tahoma"/>
          <w:bCs/>
        </w:rPr>
      </w:pPr>
    </w:p>
    <w:p w:rsidR="00607E9F" w:rsidRDefault="00607E9F" w:rsidP="00B217BC">
      <w:pPr>
        <w:pStyle w:val="NormalWeb"/>
        <w:spacing w:beforeAutospacing="0" w:afterAutospacing="0"/>
        <w:ind w:right="-334"/>
        <w:rPr>
          <w:rFonts w:ascii="Trebuchet MS" w:hAnsi="Trebuchet MS" w:cs="Tahoma"/>
          <w:bCs/>
        </w:rPr>
      </w:pPr>
    </w:p>
    <w:p w:rsidR="00607E9F" w:rsidRDefault="00607E9F" w:rsidP="00B217BC">
      <w:pPr>
        <w:pStyle w:val="NormalWeb"/>
        <w:spacing w:beforeAutospacing="0" w:afterAutospacing="0"/>
        <w:ind w:right="-334"/>
        <w:rPr>
          <w:rFonts w:ascii="Trebuchet MS" w:hAnsi="Trebuchet MS" w:cs="Tahoma"/>
          <w:bCs/>
        </w:rPr>
      </w:pPr>
    </w:p>
    <w:p w:rsidR="00607E9F" w:rsidRDefault="00607E9F" w:rsidP="00B217BC">
      <w:pPr>
        <w:pStyle w:val="NormalWeb"/>
        <w:spacing w:beforeAutospacing="0" w:afterAutospacing="0"/>
        <w:ind w:right="-334"/>
        <w:rPr>
          <w:rFonts w:ascii="Trebuchet MS" w:hAnsi="Trebuchet MS" w:cs="Tahoma"/>
          <w:bCs/>
        </w:rPr>
      </w:pPr>
    </w:p>
    <w:p w:rsidR="00607E9F" w:rsidRDefault="00607E9F" w:rsidP="00B217BC">
      <w:pPr>
        <w:pStyle w:val="NormalWeb"/>
        <w:spacing w:beforeAutospacing="0" w:afterAutospacing="0"/>
        <w:ind w:right="-334"/>
        <w:rPr>
          <w:rFonts w:ascii="Trebuchet MS" w:hAnsi="Trebuchet MS" w:cs="Tahoma"/>
          <w:bCs/>
        </w:rPr>
      </w:pPr>
    </w:p>
    <w:p w:rsidR="00607E9F" w:rsidRDefault="00607E9F" w:rsidP="00B217BC">
      <w:pPr>
        <w:pStyle w:val="NormalWeb"/>
        <w:spacing w:beforeAutospacing="0" w:afterAutospacing="0"/>
        <w:ind w:right="-334"/>
        <w:rPr>
          <w:rFonts w:ascii="Trebuchet MS" w:hAnsi="Trebuchet MS" w:cs="Tahoma"/>
          <w:bCs/>
        </w:rPr>
      </w:pPr>
    </w:p>
    <w:p w:rsidR="00607E9F" w:rsidRDefault="00607E9F" w:rsidP="00B217BC">
      <w:pPr>
        <w:pStyle w:val="NormalWeb"/>
        <w:spacing w:beforeAutospacing="0" w:afterAutospacing="0"/>
        <w:ind w:right="-334"/>
        <w:rPr>
          <w:rFonts w:ascii="Trebuchet MS" w:hAnsi="Trebuchet MS" w:cs="Tahoma"/>
          <w:bCs/>
        </w:rPr>
      </w:pPr>
    </w:p>
    <w:p w:rsidR="00607E9F" w:rsidRDefault="00607E9F" w:rsidP="00B217BC">
      <w:pPr>
        <w:pStyle w:val="NormalWeb"/>
        <w:spacing w:beforeAutospacing="0" w:afterAutospacing="0"/>
        <w:ind w:right="-334"/>
        <w:rPr>
          <w:rFonts w:ascii="Trebuchet MS" w:hAnsi="Trebuchet MS" w:cs="Tahoma"/>
          <w:bCs/>
        </w:rPr>
      </w:pPr>
    </w:p>
    <w:p w:rsidR="00607E9F" w:rsidRDefault="00607E9F" w:rsidP="00B217BC">
      <w:pPr>
        <w:pStyle w:val="NormalWeb"/>
        <w:spacing w:beforeAutospacing="0" w:afterAutospacing="0"/>
        <w:ind w:right="-334"/>
        <w:rPr>
          <w:rFonts w:ascii="Trebuchet MS" w:hAnsi="Trebuchet MS" w:cs="Tahoma"/>
          <w:bCs/>
        </w:rPr>
      </w:pPr>
    </w:p>
    <w:p w:rsidR="00607E9F" w:rsidRDefault="00607E9F" w:rsidP="00B217BC">
      <w:pPr>
        <w:pStyle w:val="NormalWeb"/>
        <w:spacing w:beforeAutospacing="0" w:afterAutospacing="0"/>
        <w:ind w:right="-334"/>
        <w:rPr>
          <w:rFonts w:ascii="Trebuchet MS" w:hAnsi="Trebuchet MS" w:cs="Tahoma"/>
          <w:bCs/>
        </w:rPr>
      </w:pPr>
    </w:p>
    <w:p w:rsidR="00607E9F" w:rsidRDefault="00607E9F" w:rsidP="00B217BC">
      <w:pPr>
        <w:pStyle w:val="NormalWeb"/>
        <w:spacing w:beforeAutospacing="0" w:afterAutospacing="0"/>
        <w:ind w:right="-334"/>
        <w:rPr>
          <w:rFonts w:ascii="Trebuchet MS" w:hAnsi="Trebuchet MS" w:cs="Tahoma"/>
          <w:bCs/>
        </w:rPr>
      </w:pPr>
    </w:p>
    <w:p w:rsidR="00607E9F" w:rsidRDefault="00607E9F" w:rsidP="00B217BC">
      <w:pPr>
        <w:pStyle w:val="NormalWeb"/>
        <w:spacing w:beforeAutospacing="0" w:afterAutospacing="0"/>
        <w:ind w:right="-334"/>
        <w:rPr>
          <w:rFonts w:ascii="Trebuchet MS" w:hAnsi="Trebuchet MS" w:cs="Tahoma"/>
          <w:bC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tblPr>
      <w:tblGrid>
        <w:gridCol w:w="8522"/>
      </w:tblGrid>
      <w:tr w:rsidR="00607E9F" w:rsidRPr="002F467C">
        <w:tc>
          <w:tcPr>
            <w:tcW w:w="8522" w:type="dxa"/>
          </w:tcPr>
          <w:p w:rsidR="00607E9F" w:rsidRPr="002F467C" w:rsidRDefault="00607E9F" w:rsidP="00B217BC">
            <w:pPr>
              <w:pStyle w:val="NormalWeb"/>
              <w:spacing w:beforeAutospacing="0" w:afterAutospacing="0"/>
              <w:ind w:right="-334"/>
              <w:rPr>
                <w:rFonts w:ascii="Calibri" w:hAnsi="Calibri" w:cs="Tahoma"/>
                <w:bCs/>
              </w:rPr>
            </w:pPr>
            <w:r w:rsidRPr="002F467C">
              <w:rPr>
                <w:rFonts w:ascii="Calibri" w:hAnsi="Calibri" w:cs="Tahoma"/>
                <w:bCs/>
                <w:i/>
              </w:rPr>
              <w:t xml:space="preserve">For completion by </w:t>
            </w:r>
            <w:r>
              <w:rPr>
                <w:rFonts w:ascii="Calibri" w:hAnsi="Calibri" w:cs="Tahoma"/>
                <w:bCs/>
                <w:i/>
              </w:rPr>
              <w:t>the External Examiner</w:t>
            </w:r>
            <w:r w:rsidRPr="002F467C">
              <w:rPr>
                <w:rFonts w:ascii="Calibri" w:hAnsi="Calibri" w:cs="Tahoma"/>
                <w:bCs/>
              </w:rPr>
              <w:t>:</w:t>
            </w:r>
          </w:p>
          <w:p w:rsidR="00607E9F" w:rsidRPr="002F467C" w:rsidRDefault="00607E9F" w:rsidP="00B217BC">
            <w:pPr>
              <w:pStyle w:val="NormalWeb"/>
              <w:spacing w:beforeAutospacing="0" w:afterAutospacing="0"/>
              <w:ind w:right="-334"/>
              <w:rPr>
                <w:rFonts w:ascii="Calibri" w:hAnsi="Calibri" w:cs="Tahoma"/>
                <w:bCs/>
              </w:rPr>
            </w:pPr>
          </w:p>
          <w:p w:rsidR="00607E9F" w:rsidRPr="002F467C" w:rsidRDefault="00607E9F" w:rsidP="00B217BC">
            <w:pPr>
              <w:pStyle w:val="NormalWeb"/>
              <w:spacing w:beforeAutospacing="0" w:afterAutospacing="0"/>
              <w:ind w:right="-334"/>
              <w:rPr>
                <w:rFonts w:ascii="Calibri" w:hAnsi="Calibri" w:cs="Tahoma"/>
                <w:bCs/>
              </w:rPr>
            </w:pPr>
            <w:r w:rsidRPr="002F467C">
              <w:rPr>
                <w:rFonts w:ascii="Calibri" w:hAnsi="Calibri" w:cs="Tahoma"/>
                <w:bCs/>
              </w:rPr>
              <w:t>Comments:</w:t>
            </w:r>
          </w:p>
          <w:p w:rsidR="00607E9F" w:rsidRPr="002F467C" w:rsidRDefault="00607E9F" w:rsidP="00B217BC">
            <w:pPr>
              <w:pStyle w:val="NormalWeb"/>
              <w:spacing w:beforeAutospacing="0" w:afterAutospacing="0"/>
              <w:ind w:right="-334"/>
              <w:rPr>
                <w:rFonts w:ascii="Calibri" w:hAnsi="Calibri" w:cs="Tahoma"/>
                <w:bCs/>
              </w:rPr>
            </w:pPr>
          </w:p>
          <w:p w:rsidR="00607E9F" w:rsidRPr="002F467C" w:rsidRDefault="00607E9F" w:rsidP="00B217BC">
            <w:pPr>
              <w:pStyle w:val="NormalWeb"/>
              <w:spacing w:beforeAutospacing="0" w:afterAutospacing="0"/>
              <w:ind w:right="-334"/>
              <w:rPr>
                <w:rFonts w:ascii="Calibri" w:hAnsi="Calibri" w:cs="Tahoma"/>
                <w:bCs/>
              </w:rPr>
            </w:pPr>
          </w:p>
          <w:p w:rsidR="00607E9F" w:rsidRPr="002F467C" w:rsidRDefault="00607E9F" w:rsidP="00B217BC">
            <w:pPr>
              <w:pStyle w:val="NormalWeb"/>
              <w:spacing w:beforeAutospacing="0" w:afterAutospacing="0"/>
              <w:ind w:right="-334"/>
              <w:rPr>
                <w:rFonts w:ascii="Calibri" w:hAnsi="Calibri" w:cs="Tahoma"/>
                <w:bCs/>
              </w:rPr>
            </w:pPr>
          </w:p>
          <w:p w:rsidR="00607E9F" w:rsidRPr="002F467C" w:rsidRDefault="00607E9F" w:rsidP="00B217BC">
            <w:pPr>
              <w:pStyle w:val="NormalWeb"/>
              <w:spacing w:beforeAutospacing="0" w:afterAutospacing="0"/>
              <w:ind w:right="-334"/>
              <w:rPr>
                <w:rFonts w:ascii="Calibri" w:hAnsi="Calibri" w:cs="Tahoma"/>
                <w:bCs/>
              </w:rPr>
            </w:pPr>
          </w:p>
          <w:p w:rsidR="00607E9F" w:rsidRPr="002F467C" w:rsidRDefault="00607E9F" w:rsidP="00B217BC">
            <w:pPr>
              <w:pStyle w:val="NormalWeb"/>
              <w:spacing w:beforeAutospacing="0" w:afterAutospacing="0"/>
              <w:ind w:right="-334"/>
              <w:rPr>
                <w:rFonts w:ascii="Calibri" w:hAnsi="Calibri" w:cs="Tahoma"/>
                <w:bCs/>
              </w:rPr>
            </w:pPr>
          </w:p>
          <w:p w:rsidR="00607E9F" w:rsidRPr="002F467C" w:rsidRDefault="00607E9F" w:rsidP="00B217BC">
            <w:pPr>
              <w:pStyle w:val="NormalWeb"/>
              <w:spacing w:beforeAutospacing="0" w:afterAutospacing="0"/>
              <w:ind w:right="-334"/>
              <w:rPr>
                <w:rFonts w:ascii="Calibri" w:hAnsi="Calibri" w:cs="Tahoma"/>
                <w:bCs/>
              </w:rPr>
            </w:pPr>
          </w:p>
          <w:p w:rsidR="00607E9F" w:rsidRPr="002F467C" w:rsidRDefault="00607E9F" w:rsidP="00B217BC">
            <w:pPr>
              <w:pStyle w:val="NormalWeb"/>
              <w:spacing w:beforeAutospacing="0" w:afterAutospacing="0"/>
              <w:ind w:right="-334"/>
              <w:rPr>
                <w:rFonts w:ascii="Calibri" w:hAnsi="Calibri" w:cs="Tahoma"/>
                <w:bCs/>
              </w:rPr>
            </w:pPr>
          </w:p>
          <w:p w:rsidR="00607E9F" w:rsidRPr="002F467C" w:rsidRDefault="00607E9F" w:rsidP="00B217BC">
            <w:pPr>
              <w:pStyle w:val="NormalWeb"/>
              <w:spacing w:beforeAutospacing="0" w:afterAutospacing="0"/>
              <w:ind w:right="-334"/>
              <w:rPr>
                <w:rFonts w:ascii="Calibri" w:hAnsi="Calibri" w:cs="Tahoma"/>
                <w:bCs/>
              </w:rPr>
            </w:pPr>
          </w:p>
          <w:p w:rsidR="00607E9F" w:rsidRPr="002F467C" w:rsidRDefault="00607E9F" w:rsidP="00B217BC">
            <w:pPr>
              <w:pStyle w:val="NormalWeb"/>
              <w:spacing w:beforeAutospacing="0" w:afterAutospacing="0"/>
              <w:ind w:right="-334"/>
              <w:rPr>
                <w:rFonts w:ascii="Calibri" w:hAnsi="Calibri" w:cs="Tahoma"/>
                <w:bCs/>
              </w:rPr>
            </w:pPr>
          </w:p>
          <w:p w:rsidR="00607E9F" w:rsidRPr="002F467C" w:rsidRDefault="00607E9F" w:rsidP="00B217BC">
            <w:pPr>
              <w:pStyle w:val="NormalWeb"/>
              <w:spacing w:beforeAutospacing="0" w:afterAutospacing="0"/>
              <w:ind w:right="-334"/>
              <w:rPr>
                <w:rFonts w:ascii="Calibri" w:hAnsi="Calibri" w:cs="Tahoma"/>
                <w:bCs/>
              </w:rPr>
            </w:pPr>
          </w:p>
          <w:p w:rsidR="00607E9F" w:rsidRPr="002F467C" w:rsidRDefault="00607E9F" w:rsidP="00B217BC">
            <w:pPr>
              <w:pStyle w:val="NormalWeb"/>
              <w:spacing w:beforeAutospacing="0" w:afterAutospacing="0"/>
              <w:ind w:right="-334"/>
              <w:rPr>
                <w:rFonts w:ascii="Calibri" w:hAnsi="Calibri" w:cs="Tahoma"/>
                <w:bCs/>
              </w:rPr>
            </w:pPr>
          </w:p>
          <w:p w:rsidR="00607E9F" w:rsidRPr="002F467C" w:rsidRDefault="00607E9F" w:rsidP="00B217BC">
            <w:pPr>
              <w:pStyle w:val="NormalWeb"/>
              <w:spacing w:beforeAutospacing="0" w:afterAutospacing="0"/>
              <w:ind w:right="-334"/>
              <w:rPr>
                <w:rFonts w:ascii="Calibri" w:hAnsi="Calibri" w:cs="Tahoma"/>
                <w:bCs/>
              </w:rPr>
            </w:pPr>
          </w:p>
          <w:p w:rsidR="00607E9F" w:rsidRPr="002F467C" w:rsidRDefault="00607E9F" w:rsidP="00B217BC">
            <w:pPr>
              <w:pStyle w:val="NormalWeb"/>
              <w:spacing w:beforeAutospacing="0" w:afterAutospacing="0"/>
              <w:ind w:right="-334"/>
              <w:rPr>
                <w:rFonts w:ascii="Calibri" w:hAnsi="Calibri" w:cs="Tahoma"/>
                <w:bCs/>
              </w:rPr>
            </w:pPr>
          </w:p>
          <w:p w:rsidR="00607E9F" w:rsidRPr="002F467C" w:rsidRDefault="00607E9F" w:rsidP="00B217BC">
            <w:pPr>
              <w:pStyle w:val="NormalWeb"/>
              <w:spacing w:beforeAutospacing="0" w:afterAutospacing="0"/>
              <w:ind w:right="-334"/>
              <w:rPr>
                <w:rFonts w:ascii="Calibri" w:hAnsi="Calibri" w:cs="Tahoma"/>
                <w:bCs/>
              </w:rPr>
            </w:pPr>
          </w:p>
          <w:p w:rsidR="00607E9F" w:rsidRPr="002F467C" w:rsidRDefault="00607E9F" w:rsidP="00B217BC">
            <w:pPr>
              <w:pStyle w:val="NormalWeb"/>
              <w:spacing w:beforeAutospacing="0" w:afterAutospacing="0"/>
              <w:ind w:right="-334"/>
              <w:rPr>
                <w:rFonts w:ascii="Calibri" w:hAnsi="Calibri" w:cs="Tahoma"/>
                <w:bCs/>
              </w:rPr>
            </w:pPr>
          </w:p>
          <w:p w:rsidR="00607E9F" w:rsidRPr="002F467C" w:rsidRDefault="00607E9F" w:rsidP="00B217BC">
            <w:pPr>
              <w:pStyle w:val="NormalWeb"/>
              <w:spacing w:beforeAutospacing="0" w:afterAutospacing="0"/>
              <w:ind w:right="-334"/>
              <w:rPr>
                <w:rFonts w:ascii="Calibri" w:hAnsi="Calibri" w:cs="Tahoma"/>
                <w:bCs/>
              </w:rPr>
            </w:pPr>
          </w:p>
          <w:p w:rsidR="00607E9F" w:rsidRDefault="00607E9F" w:rsidP="00B217BC">
            <w:pPr>
              <w:pStyle w:val="NormalWeb"/>
              <w:spacing w:beforeAutospacing="0" w:afterAutospacing="0"/>
              <w:ind w:right="-334"/>
              <w:rPr>
                <w:rFonts w:ascii="Calibri" w:hAnsi="Calibri" w:cs="Tahoma"/>
                <w:bCs/>
              </w:rPr>
            </w:pPr>
          </w:p>
          <w:p w:rsidR="00607E9F" w:rsidRDefault="00607E9F" w:rsidP="00B217BC">
            <w:pPr>
              <w:pStyle w:val="NormalWeb"/>
              <w:spacing w:beforeAutospacing="0" w:afterAutospacing="0"/>
              <w:ind w:right="-334"/>
              <w:rPr>
                <w:rFonts w:ascii="Calibri" w:hAnsi="Calibri" w:cs="Tahoma"/>
                <w:bCs/>
              </w:rPr>
            </w:pPr>
          </w:p>
          <w:p w:rsidR="00607E9F" w:rsidRDefault="00607E9F" w:rsidP="00B217BC">
            <w:pPr>
              <w:pStyle w:val="NormalWeb"/>
              <w:spacing w:beforeAutospacing="0" w:afterAutospacing="0"/>
              <w:ind w:right="-334"/>
              <w:rPr>
                <w:rFonts w:ascii="Calibri" w:hAnsi="Calibri" w:cs="Tahoma"/>
                <w:bCs/>
              </w:rPr>
            </w:pPr>
          </w:p>
          <w:p w:rsidR="00607E9F" w:rsidRDefault="00607E9F" w:rsidP="00B217BC">
            <w:pPr>
              <w:pStyle w:val="NormalWeb"/>
              <w:spacing w:beforeAutospacing="0" w:afterAutospacing="0"/>
              <w:ind w:right="-334"/>
              <w:rPr>
                <w:rFonts w:ascii="Calibri" w:hAnsi="Calibri" w:cs="Tahoma"/>
                <w:bCs/>
              </w:rPr>
            </w:pPr>
          </w:p>
          <w:p w:rsidR="00607E9F" w:rsidRDefault="00607E9F" w:rsidP="00B217BC">
            <w:pPr>
              <w:pStyle w:val="NormalWeb"/>
              <w:spacing w:beforeAutospacing="0" w:afterAutospacing="0"/>
              <w:ind w:right="-334"/>
              <w:rPr>
                <w:rFonts w:ascii="Calibri" w:hAnsi="Calibri" w:cs="Tahoma"/>
                <w:bCs/>
              </w:rPr>
            </w:pPr>
          </w:p>
          <w:p w:rsidR="00607E9F" w:rsidRDefault="00607E9F" w:rsidP="00B217BC">
            <w:pPr>
              <w:pStyle w:val="NormalWeb"/>
              <w:spacing w:beforeAutospacing="0" w:afterAutospacing="0"/>
              <w:ind w:right="-334"/>
              <w:rPr>
                <w:rFonts w:ascii="Calibri" w:hAnsi="Calibri" w:cs="Tahoma"/>
                <w:bCs/>
              </w:rPr>
            </w:pPr>
          </w:p>
          <w:p w:rsidR="00607E9F" w:rsidRDefault="00607E9F" w:rsidP="00B217BC">
            <w:pPr>
              <w:pStyle w:val="NormalWeb"/>
              <w:spacing w:beforeAutospacing="0" w:afterAutospacing="0"/>
              <w:ind w:right="-334"/>
              <w:rPr>
                <w:rFonts w:ascii="Calibri" w:hAnsi="Calibri" w:cs="Tahoma"/>
                <w:bCs/>
              </w:rPr>
            </w:pPr>
          </w:p>
          <w:p w:rsidR="00607E9F" w:rsidRDefault="00607E9F" w:rsidP="00B217BC">
            <w:pPr>
              <w:pStyle w:val="NormalWeb"/>
              <w:spacing w:beforeAutospacing="0" w:afterAutospacing="0"/>
              <w:ind w:right="-334"/>
              <w:rPr>
                <w:rFonts w:ascii="Calibri" w:hAnsi="Calibri" w:cs="Tahoma"/>
                <w:bCs/>
              </w:rPr>
            </w:pPr>
          </w:p>
          <w:p w:rsidR="00607E9F" w:rsidRDefault="00607E9F" w:rsidP="00B217BC">
            <w:pPr>
              <w:pStyle w:val="NormalWeb"/>
              <w:spacing w:beforeAutospacing="0" w:afterAutospacing="0"/>
              <w:ind w:right="-334"/>
              <w:rPr>
                <w:rFonts w:ascii="Calibri" w:hAnsi="Calibri" w:cs="Tahoma"/>
                <w:bCs/>
              </w:rPr>
            </w:pPr>
            <w:r>
              <w:rPr>
                <w:rFonts w:ascii="Calibri" w:hAnsi="Calibri" w:cs="Tahoma"/>
                <w:bCs/>
              </w:rPr>
              <w:t>Proposed Mark:</w:t>
            </w:r>
          </w:p>
          <w:p w:rsidR="00607E9F" w:rsidRDefault="00607E9F" w:rsidP="00B217BC">
            <w:pPr>
              <w:pStyle w:val="NormalWeb"/>
              <w:spacing w:beforeAutospacing="0" w:afterAutospacing="0"/>
              <w:ind w:right="-334"/>
              <w:rPr>
                <w:rFonts w:ascii="Calibri" w:hAnsi="Calibri" w:cs="Tahoma"/>
                <w:bCs/>
              </w:rPr>
            </w:pPr>
          </w:p>
          <w:p w:rsidR="00607E9F" w:rsidRPr="002F467C" w:rsidRDefault="00607E9F" w:rsidP="00B217BC">
            <w:pPr>
              <w:pStyle w:val="NormalWeb"/>
              <w:spacing w:beforeAutospacing="0" w:afterAutospacing="0"/>
              <w:ind w:right="-334"/>
              <w:rPr>
                <w:rFonts w:ascii="Calibri" w:hAnsi="Calibri" w:cs="Tahoma"/>
                <w:bCs/>
              </w:rPr>
            </w:pPr>
            <w:r>
              <w:rPr>
                <w:rFonts w:ascii="Calibri" w:hAnsi="Calibri" w:cs="Tahoma"/>
                <w:bCs/>
              </w:rPr>
              <w:t>Signature of External Examiner:</w:t>
            </w:r>
          </w:p>
          <w:p w:rsidR="00607E9F" w:rsidRPr="002F467C" w:rsidRDefault="00607E9F" w:rsidP="00B217BC">
            <w:pPr>
              <w:pStyle w:val="NormalWeb"/>
              <w:spacing w:beforeAutospacing="0" w:afterAutospacing="0"/>
              <w:ind w:right="-334"/>
              <w:rPr>
                <w:rFonts w:ascii="Calibri" w:hAnsi="Calibri" w:cs="Tahoma"/>
                <w:bCs/>
              </w:rPr>
            </w:pPr>
          </w:p>
        </w:tc>
      </w:tr>
      <w:tr w:rsidR="00607E9F" w:rsidRPr="002F467C">
        <w:trPr>
          <w:trHeight w:val="720"/>
        </w:trPr>
        <w:tc>
          <w:tcPr>
            <w:tcW w:w="8522" w:type="dxa"/>
          </w:tcPr>
          <w:p w:rsidR="00607E9F" w:rsidRPr="002F467C" w:rsidRDefault="00607E9F" w:rsidP="00B217BC">
            <w:pPr>
              <w:pStyle w:val="NormalWeb"/>
              <w:tabs>
                <w:tab w:val="left" w:pos="2835"/>
              </w:tabs>
              <w:spacing w:beforeAutospacing="0" w:afterAutospacing="0"/>
              <w:ind w:right="-334"/>
              <w:rPr>
                <w:rFonts w:ascii="Calibri" w:hAnsi="Calibri" w:cs="Tahoma"/>
                <w:bCs/>
              </w:rPr>
            </w:pPr>
            <w:r>
              <w:rPr>
                <w:rFonts w:ascii="Calibri" w:hAnsi="Calibri" w:cs="Tahoma"/>
                <w:bCs/>
              </w:rPr>
              <w:t>Final Agreed Mark:</w:t>
            </w:r>
          </w:p>
        </w:tc>
      </w:tr>
      <w:tr w:rsidR="00607E9F" w:rsidRPr="002F467C">
        <w:trPr>
          <w:trHeight w:val="720"/>
        </w:trPr>
        <w:tc>
          <w:tcPr>
            <w:tcW w:w="8522" w:type="dxa"/>
          </w:tcPr>
          <w:p w:rsidR="00607E9F" w:rsidRDefault="00607E9F" w:rsidP="00B217BC">
            <w:pPr>
              <w:pStyle w:val="NormalWeb"/>
              <w:tabs>
                <w:tab w:val="left" w:pos="2835"/>
              </w:tabs>
              <w:spacing w:beforeAutospacing="0" w:afterAutospacing="0"/>
              <w:ind w:right="-334"/>
              <w:rPr>
                <w:rFonts w:ascii="Calibri" w:hAnsi="Calibri" w:cs="Tahoma"/>
                <w:bCs/>
              </w:rPr>
            </w:pPr>
            <w:r>
              <w:rPr>
                <w:rFonts w:ascii="Calibri" w:hAnsi="Calibri" w:cs="Tahoma"/>
                <w:bCs/>
              </w:rPr>
              <w:t>Comments (to indicate how the final agreed mark has been arrived at):</w:t>
            </w:r>
          </w:p>
        </w:tc>
      </w:tr>
    </w:tbl>
    <w:p w:rsidR="00607E9F" w:rsidRDefault="00607E9F" w:rsidP="00B217BC">
      <w:pPr>
        <w:rPr>
          <w:rFonts w:ascii="Arial" w:hAnsi="Arial" w:cs="Arial"/>
        </w:rPr>
      </w:pPr>
    </w:p>
    <w:p w:rsidR="00607E9F" w:rsidRPr="009356C2" w:rsidRDefault="00607E9F" w:rsidP="00B217BC">
      <w:pPr>
        <w:jc w:val="center"/>
        <w:outlineLvl w:val="0"/>
        <w:rPr>
          <w:rFonts w:ascii="Arial" w:hAnsi="Arial" w:cs="Arial"/>
          <w:b/>
        </w:rPr>
      </w:pPr>
      <w:r w:rsidRPr="009356C2">
        <w:rPr>
          <w:rFonts w:ascii="Arial" w:hAnsi="Arial" w:cs="Arial"/>
          <w:b/>
        </w:rPr>
        <w:t>University of Wales: Trinity Saint David</w:t>
      </w:r>
    </w:p>
    <w:p w:rsidR="00607E9F" w:rsidRPr="009356C2" w:rsidRDefault="00607E9F" w:rsidP="00B217BC">
      <w:pPr>
        <w:jc w:val="center"/>
        <w:outlineLvl w:val="0"/>
        <w:rPr>
          <w:rFonts w:ascii="Arial" w:hAnsi="Arial" w:cs="Arial"/>
          <w:b/>
        </w:rPr>
      </w:pPr>
      <w:r w:rsidRPr="009356C2">
        <w:rPr>
          <w:rFonts w:ascii="Arial" w:hAnsi="Arial" w:cs="Arial"/>
          <w:b/>
        </w:rPr>
        <w:t>E-Thesis Deposit Agreement</w:t>
      </w:r>
    </w:p>
    <w:p w:rsidR="00607E9F" w:rsidRPr="009356C2" w:rsidRDefault="00607E9F" w:rsidP="00B217BC">
      <w:pPr>
        <w:rPr>
          <w:rFonts w:ascii="Arial" w:hAnsi="Arial" w:cs="Arial"/>
          <w:b/>
        </w:rPr>
      </w:pPr>
    </w:p>
    <w:p w:rsidR="00607E9F" w:rsidRPr="009356C2" w:rsidRDefault="00607E9F" w:rsidP="00B217BC">
      <w:pPr>
        <w:outlineLvl w:val="0"/>
        <w:rPr>
          <w:rFonts w:ascii="Arial" w:hAnsi="Arial" w:cs="Arial"/>
          <w:b/>
        </w:rPr>
      </w:pPr>
      <w:r w:rsidRPr="009356C2">
        <w:rPr>
          <w:rFonts w:ascii="Arial" w:hAnsi="Arial" w:cs="Arial"/>
          <w:b/>
        </w:rPr>
        <w:t>Details of the Work</w:t>
      </w:r>
    </w:p>
    <w:p w:rsidR="00607E9F" w:rsidRPr="009356C2" w:rsidRDefault="00607E9F" w:rsidP="00B217BC">
      <w:pPr>
        <w:rPr>
          <w:rFonts w:ascii="Arial" w:hAnsi="Arial" w:cs="Arial"/>
        </w:rPr>
      </w:pPr>
      <w:r w:rsidRPr="009356C2">
        <w:rPr>
          <w:rFonts w:ascii="Arial" w:hAnsi="Arial" w:cs="Arial"/>
        </w:rPr>
        <w:t>I would like to deposit the following item in the digital repository maintained by the University, and/or in any other repository authorized for use by the University:</w:t>
      </w:r>
    </w:p>
    <w:p w:rsidR="00607E9F" w:rsidRPr="009356C2" w:rsidRDefault="00607E9F" w:rsidP="00B217BC">
      <w:pPr>
        <w:rPr>
          <w:rFonts w:ascii="Arial" w:hAnsi="Arial" w:cs="Arial"/>
        </w:rPr>
      </w:pPr>
    </w:p>
    <w:p w:rsidR="00607E9F" w:rsidRDefault="00607E9F">
      <w:pPr>
        <w:rPr>
          <w:rFonts w:ascii="Arial" w:hAnsi="Arial" w:cs="Arial"/>
          <w:b/>
          <w:bCs/>
        </w:rPr>
      </w:pPr>
      <w:r w:rsidRPr="00453477">
        <w:rPr>
          <w:rFonts w:ascii="Arial" w:hAnsi="Arial" w:cs="Arial"/>
          <w:b/>
          <w:bCs/>
        </w:rPr>
        <w:t>Is</w:t>
      </w:r>
      <w:r>
        <w:rPr>
          <w:rFonts w:ascii="Arial" w:hAnsi="Arial" w:cs="Arial"/>
          <w:b/>
          <w:bCs/>
        </w:rPr>
        <w:t xml:space="preserve"> there any significance in the positioning and orientation of the Neolithic structures around the Ness of Brodgar in relation to the landscape, skyscape and each other and can this suggest anything about the function of these structures?</w:t>
      </w:r>
    </w:p>
    <w:p w:rsidR="00607E9F" w:rsidRPr="009356C2" w:rsidRDefault="00607E9F" w:rsidP="00B217BC">
      <w:pPr>
        <w:rPr>
          <w:rFonts w:ascii="Arial" w:hAnsi="Arial" w:cs="Arial"/>
        </w:rPr>
      </w:pPr>
    </w:p>
    <w:p w:rsidR="00607E9F" w:rsidRDefault="00607E9F" w:rsidP="00B217BC">
      <w:pPr>
        <w:rPr>
          <w:rFonts w:ascii="Arial" w:hAnsi="Arial" w:cs="Arial"/>
        </w:rPr>
      </w:pPr>
      <w:r w:rsidRPr="009356C2">
        <w:rPr>
          <w:rFonts w:ascii="Arial" w:hAnsi="Arial" w:cs="Arial"/>
        </w:rPr>
        <w:t xml:space="preserve">This item is a product of my own research endeavours and is covered by the agreement below in which the item is referred to as “the Work”.  </w:t>
      </w:r>
    </w:p>
    <w:p w:rsidR="00607E9F" w:rsidRPr="009356C2" w:rsidRDefault="00607E9F" w:rsidP="00B217BC">
      <w:pPr>
        <w:rPr>
          <w:rFonts w:ascii="Arial" w:hAnsi="Arial" w:cs="Arial"/>
        </w:rPr>
      </w:pPr>
    </w:p>
    <w:p w:rsidR="00607E9F" w:rsidRPr="009356C2" w:rsidRDefault="00607E9F" w:rsidP="00B217BC">
      <w:pPr>
        <w:rPr>
          <w:rFonts w:ascii="Arial" w:hAnsi="Arial" w:cs="Arial"/>
        </w:rPr>
      </w:pPr>
      <w:r w:rsidRPr="009356C2">
        <w:rPr>
          <w:rFonts w:ascii="Arial" w:hAnsi="Arial" w:cs="Arial"/>
        </w:rPr>
        <w:t>I agree that the University of Wales: Trinity Saint David may electronically store, copy or translate the Work to any approved medium or format for the purpose of future preservation and accessibility.  The University is not under any obligation to reproduce or display the Work in the same formats or resolutions in which it was originally deposited.</w:t>
      </w:r>
    </w:p>
    <w:p w:rsidR="00607E9F" w:rsidRPr="009356C2" w:rsidRDefault="00607E9F" w:rsidP="00B217BC">
      <w:pPr>
        <w:rPr>
          <w:rFonts w:ascii="Arial" w:hAnsi="Arial" w:cs="Arial"/>
        </w:rPr>
      </w:pPr>
    </w:p>
    <w:p w:rsidR="00607E9F" w:rsidRPr="009356C2" w:rsidRDefault="00607E9F" w:rsidP="00B217BC">
      <w:pPr>
        <w:outlineLvl w:val="0"/>
        <w:rPr>
          <w:rFonts w:ascii="Arial" w:hAnsi="Arial" w:cs="Arial"/>
          <w:b/>
        </w:rPr>
      </w:pPr>
      <w:r w:rsidRPr="009356C2">
        <w:rPr>
          <w:rFonts w:ascii="Arial" w:hAnsi="Arial" w:cs="Arial"/>
          <w:b/>
        </w:rPr>
        <w:t>UW: TSD Digital Repository</w:t>
      </w:r>
    </w:p>
    <w:p w:rsidR="00607E9F" w:rsidRPr="009356C2" w:rsidRDefault="00607E9F" w:rsidP="00B217BC">
      <w:pPr>
        <w:rPr>
          <w:rFonts w:ascii="Arial" w:hAnsi="Arial" w:cs="Arial"/>
        </w:rPr>
      </w:pPr>
      <w:r w:rsidRPr="009356C2">
        <w:rPr>
          <w:rFonts w:ascii="Arial" w:hAnsi="Arial" w:cs="Arial"/>
        </w:rPr>
        <w:t>I understand that work deposited in the digital repository will be accessible to a wide variety of people and institutions, including automated agents and search engines via the World Wide Web.</w:t>
      </w:r>
    </w:p>
    <w:p w:rsidR="00607E9F" w:rsidRPr="009356C2" w:rsidRDefault="00607E9F" w:rsidP="00B217BC">
      <w:pPr>
        <w:rPr>
          <w:rFonts w:ascii="Arial" w:hAnsi="Arial" w:cs="Arial"/>
        </w:rPr>
      </w:pPr>
    </w:p>
    <w:p w:rsidR="00607E9F" w:rsidRPr="009356C2" w:rsidRDefault="00607E9F" w:rsidP="00B217BC">
      <w:pPr>
        <w:rPr>
          <w:rFonts w:ascii="Arial" w:hAnsi="Arial" w:cs="Arial"/>
          <w:color w:val="FF0000"/>
        </w:rPr>
      </w:pPr>
      <w:r w:rsidRPr="009356C2">
        <w:rPr>
          <w:rFonts w:ascii="Arial" w:hAnsi="Arial" w:cs="Arial"/>
        </w:rPr>
        <w:t>I understand that once the Work is deposited, the item and its metadata may be incorporated into public access catalogues or services, such as national databases of electronic theses.</w:t>
      </w:r>
    </w:p>
    <w:p w:rsidR="00607E9F" w:rsidRPr="009356C2" w:rsidRDefault="00607E9F" w:rsidP="00B217BC">
      <w:pPr>
        <w:rPr>
          <w:rFonts w:ascii="Arial" w:hAnsi="Arial" w:cs="Arial"/>
          <w:color w:val="FF0000"/>
        </w:rPr>
      </w:pPr>
    </w:p>
    <w:p w:rsidR="00607E9F" w:rsidRPr="009356C2" w:rsidRDefault="00607E9F" w:rsidP="00B217BC">
      <w:pPr>
        <w:ind w:left="-720" w:right="-334"/>
        <w:outlineLvl w:val="0"/>
        <w:rPr>
          <w:rFonts w:ascii="Arial" w:hAnsi="Arial" w:cs="Arial"/>
          <w:b/>
        </w:rPr>
      </w:pPr>
      <w:r w:rsidRPr="009356C2">
        <w:rPr>
          <w:rFonts w:ascii="Arial" w:hAnsi="Arial" w:cs="Arial"/>
          <w:b/>
        </w:rPr>
        <w:tab/>
        <w:t>I agree as follows:</w:t>
      </w:r>
    </w:p>
    <w:p w:rsidR="00607E9F" w:rsidRPr="009356C2" w:rsidRDefault="00607E9F" w:rsidP="00B217BC">
      <w:pPr>
        <w:numPr>
          <w:ilvl w:val="0"/>
          <w:numId w:val="3"/>
        </w:numPr>
        <w:spacing w:line="240" w:lineRule="auto"/>
        <w:jc w:val="left"/>
        <w:rPr>
          <w:rFonts w:ascii="Arial" w:hAnsi="Arial" w:cs="Arial"/>
        </w:rPr>
      </w:pPr>
      <w:r w:rsidRPr="009356C2">
        <w:rPr>
          <w:rFonts w:ascii="Arial" w:hAnsi="Arial" w:cs="Arial"/>
        </w:rPr>
        <w:t>That I am the author or have the authority of the author/s to make this agreement and do hereby give the University of Wales: Trinity Saint David the right to make available the Work in the way described above.</w:t>
      </w:r>
    </w:p>
    <w:p w:rsidR="00607E9F" w:rsidRPr="009356C2" w:rsidRDefault="00607E9F" w:rsidP="00B217BC">
      <w:pPr>
        <w:numPr>
          <w:ilvl w:val="0"/>
          <w:numId w:val="3"/>
        </w:numPr>
        <w:spacing w:line="240" w:lineRule="auto"/>
        <w:jc w:val="left"/>
        <w:rPr>
          <w:rFonts w:ascii="Arial" w:hAnsi="Arial" w:cs="Arial"/>
        </w:rPr>
      </w:pPr>
      <w:r w:rsidRPr="009356C2">
        <w:rPr>
          <w:rFonts w:ascii="Arial" w:hAnsi="Arial" w:cs="Arial"/>
        </w:rPr>
        <w:t>That I have exercised reasonable care to ensure that the Work is original, and to the best of my knowledge, does not breach any laws including those relating to defamation, libel and copyright.</w:t>
      </w:r>
    </w:p>
    <w:p w:rsidR="00607E9F" w:rsidRPr="009356C2" w:rsidRDefault="00607E9F" w:rsidP="00B217BC">
      <w:pPr>
        <w:numPr>
          <w:ilvl w:val="0"/>
          <w:numId w:val="3"/>
        </w:numPr>
        <w:spacing w:line="240" w:lineRule="auto"/>
        <w:jc w:val="left"/>
        <w:rPr>
          <w:rFonts w:ascii="Arial" w:hAnsi="Arial" w:cs="Arial"/>
        </w:rPr>
      </w:pPr>
      <w:r w:rsidRPr="009356C2">
        <w:rPr>
          <w:rFonts w:ascii="Arial" w:hAnsi="Arial" w:cs="Arial"/>
        </w:rPr>
        <w:t xml:space="preserve">That I have, in instances where the intellectual property of other authors or copyright holders is included in the Work, gained explicit permission for the inclusion of that material in the Work, and in the electronic form of the Work as accessed through the open access digital repository, </w:t>
      </w:r>
      <w:r w:rsidRPr="009356C2">
        <w:rPr>
          <w:rFonts w:ascii="Arial" w:hAnsi="Arial" w:cs="Arial"/>
          <w:i/>
        </w:rPr>
        <w:t>or</w:t>
      </w:r>
      <w:r w:rsidRPr="009356C2">
        <w:rPr>
          <w:rFonts w:ascii="Arial" w:hAnsi="Arial" w:cs="Arial"/>
        </w:rPr>
        <w:t xml:space="preserve"> that I have identified and removed that material for which adequate permission has not been obtained and which will be inaccessible via the digital repository</w:t>
      </w:r>
    </w:p>
    <w:p w:rsidR="00607E9F" w:rsidRPr="009356C2" w:rsidRDefault="00607E9F" w:rsidP="00B217BC">
      <w:pPr>
        <w:numPr>
          <w:ilvl w:val="0"/>
          <w:numId w:val="3"/>
        </w:numPr>
        <w:spacing w:line="240" w:lineRule="auto"/>
        <w:jc w:val="left"/>
        <w:rPr>
          <w:rFonts w:ascii="Arial" w:hAnsi="Arial" w:cs="Arial"/>
        </w:rPr>
      </w:pPr>
      <w:r w:rsidRPr="009356C2">
        <w:rPr>
          <w:rFonts w:ascii="Arial" w:hAnsi="Arial" w:cs="Arial"/>
        </w:rPr>
        <w:t>That University of Wales: Trinity Saint David does not hold any obligation to take legal action on behalf of the Depositor, or other rights holders, in the event of a breach of intellectual property rights, or any other right, in the material deposited.</w:t>
      </w:r>
    </w:p>
    <w:p w:rsidR="00607E9F" w:rsidRPr="009356C2" w:rsidRDefault="00607E9F" w:rsidP="00B217BC">
      <w:pPr>
        <w:numPr>
          <w:ilvl w:val="0"/>
          <w:numId w:val="3"/>
        </w:numPr>
        <w:spacing w:line="240" w:lineRule="auto"/>
        <w:jc w:val="left"/>
        <w:rPr>
          <w:rFonts w:ascii="Arial" w:hAnsi="Arial" w:cs="Arial"/>
        </w:rPr>
      </w:pPr>
      <w:r w:rsidRPr="009356C2">
        <w:rPr>
          <w:rFonts w:ascii="Arial" w:hAnsi="Arial" w:cs="Arial"/>
        </w:rPr>
        <w:t>That I undertake to indemnify the University of Wales: Trinity Saint David against all actions, suits, proceedings, claims, demands and costs occasioned by the University in consequence of any breach of this agreement</w:t>
      </w:r>
    </w:p>
    <w:p w:rsidR="00607E9F" w:rsidRPr="009356C2" w:rsidRDefault="00607E9F" w:rsidP="00B217BC">
      <w:pPr>
        <w:rPr>
          <w:rFonts w:ascii="Arial" w:hAnsi="Arial" w:cs="Arial"/>
        </w:rPr>
      </w:pPr>
    </w:p>
    <w:p w:rsidR="00607E9F" w:rsidRPr="009356C2" w:rsidRDefault="00607E9F" w:rsidP="00B217BC">
      <w:pPr>
        <w:rPr>
          <w:rFonts w:ascii="Arial" w:hAnsi="Arial" w:cs="Arial"/>
        </w:rPr>
      </w:pPr>
    </w:p>
    <w:p w:rsidR="00607E9F" w:rsidRPr="009356C2" w:rsidRDefault="00607E9F" w:rsidP="00B217BC">
      <w:pPr>
        <w:outlineLvl w:val="0"/>
        <w:rPr>
          <w:rFonts w:ascii="Arial" w:hAnsi="Arial" w:cs="Arial"/>
          <w:b/>
        </w:rPr>
      </w:pPr>
      <w:r>
        <w:rPr>
          <w:rFonts w:ascii="Arial" w:hAnsi="Arial" w:cs="Arial"/>
          <w:b/>
        </w:rPr>
        <w:t>Name:</w:t>
      </w:r>
      <w:r w:rsidRPr="009356C2">
        <w:rPr>
          <w:rFonts w:ascii="Arial" w:hAnsi="Arial" w:cs="Arial"/>
          <w:b/>
        </w:rPr>
        <w:t xml:space="preserve"> </w:t>
      </w:r>
      <w:r w:rsidRPr="00951BBF">
        <w:rPr>
          <w:rFonts w:ascii="Arial" w:hAnsi="Arial" w:cs="Arial"/>
        </w:rPr>
        <w:t>Lynne Eller</w:t>
      </w:r>
      <w:r w:rsidRPr="009356C2">
        <w:rPr>
          <w:rFonts w:ascii="Arial" w:hAnsi="Arial" w:cs="Arial"/>
          <w:b/>
        </w:rPr>
        <w:t xml:space="preserve"> .</w:t>
      </w:r>
    </w:p>
    <w:p w:rsidR="00607E9F" w:rsidRPr="009356C2" w:rsidRDefault="00607E9F" w:rsidP="00B217BC">
      <w:pPr>
        <w:outlineLvl w:val="0"/>
        <w:rPr>
          <w:rFonts w:ascii="Arial" w:hAnsi="Arial" w:cs="Arial"/>
          <w:b/>
        </w:rPr>
      </w:pPr>
    </w:p>
    <w:p w:rsidR="00607E9F" w:rsidRPr="009356C2" w:rsidRDefault="00607E9F" w:rsidP="00B217BC">
      <w:pPr>
        <w:outlineLvl w:val="0"/>
        <w:rPr>
          <w:rFonts w:ascii="Arial" w:hAnsi="Arial" w:cs="Arial"/>
          <w:b/>
        </w:rPr>
      </w:pPr>
    </w:p>
    <w:p w:rsidR="00607E9F" w:rsidRPr="009356C2" w:rsidRDefault="00607E9F" w:rsidP="00B217BC">
      <w:pPr>
        <w:outlineLvl w:val="0"/>
        <w:rPr>
          <w:rFonts w:ascii="Arial" w:hAnsi="Arial" w:cs="Arial"/>
          <w:b/>
        </w:rPr>
      </w:pPr>
      <w:r w:rsidRPr="009356C2">
        <w:rPr>
          <w:rFonts w:ascii="Arial" w:hAnsi="Arial" w:cs="Arial"/>
          <w:b/>
        </w:rPr>
        <w:t>Date</w:t>
      </w:r>
      <w:r>
        <w:rPr>
          <w:rFonts w:ascii="Arial" w:hAnsi="Arial" w:cs="Arial"/>
          <w:b/>
        </w:rPr>
        <w:t>:</w:t>
      </w:r>
      <w:r w:rsidRPr="009356C2">
        <w:rPr>
          <w:rFonts w:ascii="Arial" w:hAnsi="Arial" w:cs="Arial"/>
          <w:b/>
        </w:rPr>
        <w:t>……20-3-20…</w:t>
      </w:r>
      <w:r>
        <w:rPr>
          <w:rFonts w:ascii="Arial" w:hAnsi="Arial" w:cs="Arial"/>
          <w:b/>
        </w:rPr>
        <w:t>……………………………………………………………..</w:t>
      </w:r>
    </w:p>
    <w:p w:rsidR="00607E9F" w:rsidRPr="009356C2" w:rsidRDefault="00607E9F" w:rsidP="00B217BC">
      <w:pPr>
        <w:rPr>
          <w:rFonts w:ascii="Arial" w:hAnsi="Arial" w:cs="Arial"/>
          <w:b/>
        </w:rPr>
      </w:pPr>
    </w:p>
    <w:p w:rsidR="00607E9F" w:rsidRPr="009356C2" w:rsidRDefault="00607E9F" w:rsidP="00B217BC">
      <w:pPr>
        <w:rPr>
          <w:rFonts w:ascii="Arial" w:hAnsi="Arial" w:cs="Arial"/>
          <w:b/>
        </w:rPr>
      </w:pPr>
    </w:p>
    <w:p w:rsidR="00607E9F" w:rsidRPr="00513D3F" w:rsidRDefault="00607E9F" w:rsidP="00B217BC">
      <w:pPr>
        <w:rPr>
          <w:rFonts w:ascii="Arial" w:hAnsi="Arial" w:cs="Arial"/>
        </w:rPr>
      </w:pPr>
    </w:p>
    <w:p w:rsidR="00607E9F" w:rsidRPr="00767A0C" w:rsidRDefault="00607E9F" w:rsidP="005A2072">
      <w:pPr>
        <w:jc w:val="left"/>
      </w:pPr>
    </w:p>
    <w:sectPr w:rsidR="00607E9F" w:rsidRPr="00767A0C" w:rsidSect="007D6F00">
      <w:footerReference w:type="even" r:id="rId33"/>
      <w:footerReference w:type="default" r:id="rId34"/>
      <w:pgSz w:w="11906" w:h="16838"/>
      <w:pgMar w:top="1440" w:right="1800" w:bottom="1440" w:left="1800" w:gutter="0"/>
      <w:docGrid w:linePitch="360"/>
    </w:sectPr>
  </w:body>
</w:document>
</file>

<file path=word/endnotes.xml><?xml version="1.0" encoding="utf-8"?>
<w:endnotes xmlns:mo="http://schemas.microsoft.com/office/mac/office/2008/main"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607E9F" w:rsidRDefault="00607E9F" w:rsidP="00497F26">
      <w:pPr>
        <w:spacing w:line="240" w:lineRule="auto"/>
      </w:pPr>
      <w:r>
        <w:separator/>
      </w:r>
    </w:p>
  </w:endnote>
  <w:endnote w:type="continuationSeparator" w:id="0">
    <w:p w:rsidR="00607E9F" w:rsidRDefault="00607E9F" w:rsidP="00497F26">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altName w:val="Times New Roman"/>
    <w:panose1 w:val="02020603050405020304"/>
    <w:charset w:val="00"/>
    <w:family w:val="auto"/>
    <w:pitch w:val="variable"/>
    <w:sig w:usb0="03000000" w:usb1="00000000" w:usb2="00000000" w:usb3="00000000" w:csb0="00000001" w:csb1="00000000"/>
  </w:font>
  <w:font w:name="Courier New">
    <w:panose1 w:val="02070309020205020404"/>
    <w:charset w:val="00"/>
    <w:family w:val="auto"/>
    <w:pitch w:val="variable"/>
    <w:sig w:usb0="03000000" w:usb1="00000000" w:usb2="00000000" w:usb3="00000000" w:csb0="00000001" w:csb1="00000000"/>
  </w:font>
  <w:font w:name="Wingdings">
    <w:panose1 w:val="05020102010804080708"/>
    <w:charset w:val="02"/>
    <w:family w:val="auto"/>
    <w:pitch w:val="variable"/>
    <w:sig w:usb0="00000000" w:usb1="00000000" w:usb2="00000100" w:usb3="00000000" w:csb0="80000000" w:csb1="00000000"/>
  </w:font>
  <w:font w:name="Symbol">
    <w:panose1 w:val="00000000000000000000"/>
    <w:charset w:val="02"/>
    <w:family w:val="auto"/>
    <w:pitch w:val="variable"/>
    <w:sig w:usb0="00000000" w:usb1="00000000" w:usb2="00000100" w:usb3="00000000" w:csb0="80000000" w:csb1="00000000"/>
  </w:font>
  <w:font w:name="SimSun">
    <w:altName w:val="____"/>
    <w:panose1 w:val="00000000000000000000"/>
    <w:charset w:val="4D"/>
    <w:family w:val="roman"/>
    <w:notTrueType/>
    <w:pitch w:val="default"/>
    <w:sig w:usb0="00000003" w:usb1="00000000" w:usb2="00000000" w:usb3="00000000" w:csb0="00000001" w:csb1="00000000"/>
  </w:font>
  <w:font w:name="Calibri">
    <w:panose1 w:val="020F0502020204030204"/>
    <w:charset w:val="00"/>
    <w:family w:val="auto"/>
    <w:pitch w:val="variable"/>
    <w:sig w:usb0="03000000" w:usb1="00000000" w:usb2="00000000" w:usb3="00000000" w:csb0="00000001" w:csb1="00000000"/>
  </w:font>
  <w:font w:name="Tahoma">
    <w:panose1 w:val="020B0604030504040204"/>
    <w:charset w:val="00"/>
    <w:family w:val="auto"/>
    <w:pitch w:val="variable"/>
    <w:sig w:usb0="03000000" w:usb1="00000000" w:usb2="00000000" w:usb3="00000000" w:csb0="00000001" w:csb1="00000000"/>
  </w:font>
  <w:font w:name="Arial">
    <w:panose1 w:val="020B0604020202020204"/>
    <w:charset w:val="00"/>
    <w:family w:val="auto"/>
    <w:pitch w:val="variable"/>
    <w:sig w:usb0="03000000" w:usb1="00000000" w:usb2="00000000" w:usb3="00000000" w:csb0="00000001" w:csb1="00000000"/>
  </w:font>
  <w:font w:name="inherit">
    <w:altName w:val="Times New Roman"/>
    <w:panose1 w:val="00000000000000000000"/>
    <w:charset w:val="4D"/>
    <w:family w:val="roman"/>
    <w:notTrueType/>
    <w:pitch w:val="default"/>
    <w:sig w:usb0="00000003" w:usb1="00000000" w:usb2="00000000" w:usb3="00000000" w:csb0="00000001" w:csb1="00000000"/>
  </w:font>
  <w:font w:name="宋体">
    <w:panose1 w:val="00000000000000000000"/>
    <w:charset w:val="86"/>
    <w:family w:val="auto"/>
    <w:notTrueType/>
    <w:pitch w:val="variable"/>
    <w:sig w:usb0="01000001" w:usb1="080E0000" w:usb2="0E040011" w:usb3="00000000" w:csb0="00040000" w:csb1="00000000"/>
  </w:font>
  <w:font w:name="Segoe UI">
    <w:altName w:val="Times New Roman"/>
    <w:panose1 w:val="00000000000000000000"/>
    <w:charset w:val="4D"/>
    <w:family w:val="roman"/>
    <w:notTrueType/>
    <w:pitch w:val="default"/>
    <w:sig w:usb0="00000003" w:usb1="00000000" w:usb2="00000000" w:usb3="00000000" w:csb0="00000001" w:csb1="00000000"/>
  </w:font>
  <w:font w:name="Times New Roman Bold">
    <w:panose1 w:val="02020803070505020304"/>
    <w:charset w:val="00"/>
    <w:family w:val="auto"/>
    <w:pitch w:val="variable"/>
    <w:sig w:usb0="03000000" w:usb1="00000000" w:usb2="00000000" w:usb3="00000000" w:csb0="00000001" w:csb1="00000000"/>
  </w:font>
  <w:font w:name="Trebuchet MS">
    <w:panose1 w:val="020B0603020202020204"/>
    <w:charset w:val="00"/>
    <w:family w:val="auto"/>
    <w:pitch w:val="variable"/>
    <w:sig w:usb0="03000000" w:usb1="00000000" w:usb2="00000000" w:usb3="00000000" w:csb0="00000001" w:csb1="00000000"/>
  </w:font>
  <w:font w:name="Cambria">
    <w:panose1 w:val="02040503050406030204"/>
    <w:charset w:val="00"/>
    <w:family w:val="auto"/>
    <w:pitch w:val="variable"/>
    <w:sig w:usb0="03000000" w:usb1="00000000" w:usb2="00000000" w:usb3="00000000" w:csb0="00000001" w:csb1="00000000"/>
  </w:font>
</w:fonts>
</file>

<file path=word/footer1.xml><?xml version="1.0" encoding="utf-8"?>
<w:ftr xmlns:mo="http://schemas.microsoft.com/office/mac/office/2008/main"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07E9F" w:rsidRDefault="00607E9F" w:rsidP="00F91DC9">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rsidR="00607E9F" w:rsidRDefault="00607E9F" w:rsidP="00F91DC9">
    <w:pPr>
      <w:pStyle w:val="Footer"/>
      <w:ind w:right="360"/>
    </w:pPr>
  </w:p>
</w:ftr>
</file>

<file path=word/footer2.xml><?xml version="1.0" encoding="utf-8"?>
<w:ftr xmlns:mo="http://schemas.microsoft.com/office/mac/office/2008/main"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07E9F" w:rsidRDefault="00607E9F" w:rsidP="00F91DC9">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56</w:t>
    </w:r>
    <w:r>
      <w:rPr>
        <w:rStyle w:val="PageNumber"/>
      </w:rPr>
      <w:fldChar w:fldCharType="end"/>
    </w:r>
  </w:p>
  <w:p w:rsidR="00607E9F" w:rsidRDefault="00607E9F" w:rsidP="00F91DC9">
    <w:pPr>
      <w:pStyle w:val="Footer"/>
      <w:ind w:right="360"/>
    </w:pPr>
  </w:p>
</w:ftr>
</file>

<file path=word/footnotes.xml><?xml version="1.0" encoding="utf-8"?>
<w:footnotes xmlns:mo="http://schemas.microsoft.com/office/mac/office/2008/main"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607E9F" w:rsidRDefault="00607E9F" w:rsidP="00497F26">
      <w:pPr>
        <w:spacing w:line="240" w:lineRule="auto"/>
      </w:pPr>
      <w:r>
        <w:separator/>
      </w:r>
    </w:p>
  </w:footnote>
  <w:footnote w:type="continuationSeparator" w:id="0">
    <w:p w:rsidR="00607E9F" w:rsidRDefault="00607E9F" w:rsidP="00497F26">
      <w:pPr>
        <w:spacing w:line="240" w:lineRule="auto"/>
      </w:pPr>
      <w:r>
        <w:continuationSeparator/>
      </w:r>
    </w:p>
  </w:footnote>
</w:footnotes>
</file>

<file path=word/numbering.xml><?xml version="1.0" encoding="utf-8"?>
<w:numbering xmlns:mo="http://schemas.microsoft.com/office/mac/office/2008/main"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E267755"/>
    <w:multiLevelType w:val="multilevel"/>
    <w:tmpl w:val="C3B21612"/>
    <w:lvl w:ilvl="0">
      <w:start w:val="1"/>
      <w:numFmt w:val="lowerLetter"/>
      <w:lvlText w:val="%1)"/>
      <w:lvlJc w:val="left"/>
      <w:pPr>
        <w:tabs>
          <w:tab w:val="num" w:pos="720"/>
        </w:tabs>
        <w:ind w:left="720" w:hanging="360"/>
      </w:pPr>
      <w:rPr>
        <w:rFonts w:hint="default"/>
      </w:r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1">
    <w:nsid w:val="6A533C8E"/>
    <w:multiLevelType w:val="hybridMultilevel"/>
    <w:tmpl w:val="C3B21612"/>
    <w:lvl w:ilvl="0" w:tplc="04090017">
      <w:start w:val="1"/>
      <w:numFmt w:val="lowerLetter"/>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
    <w:nsid w:val="7E3210F0"/>
    <w:multiLevelType w:val="hybridMultilevel"/>
    <w:tmpl w:val="DECE20B2"/>
    <w:lvl w:ilvl="0" w:tplc="0809000F">
      <w:start w:val="1"/>
      <w:numFmt w:val="decimal"/>
      <w:lvlText w:val="%1."/>
      <w:lvlJc w:val="left"/>
      <w:pPr>
        <w:tabs>
          <w:tab w:val="num" w:pos="720"/>
        </w:tabs>
        <w:ind w:left="720" w:hanging="360"/>
      </w:pPr>
      <w:rPr>
        <w:rFonts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40"/>
  <w:embedSystemFonts/>
  <w:doNotTrackMoves/>
  <w:defaultTabStop w:val="420"/>
  <w:doNotHyphenateCaps/>
  <w:drawingGridVerticalSpacing w:val="156"/>
  <w:noPunctuationKerning/>
  <w:characterSpacingControl w:val="compressPunctuation"/>
  <w:savePreviewPicture/>
  <w:doNotValidateAgainstSchema/>
  <w:doNotDemarcateInvalidXml/>
  <w:footnotePr>
    <w:footnote w:id="-1"/>
    <w:footnote w:id="0"/>
  </w:footnotePr>
  <w:endnotePr>
    <w:endnote w:id="-1"/>
    <w:endnote w:id="0"/>
  </w:endnotePr>
  <w:compat>
    <w:spaceForUL/>
    <w:balanceSingleByteDoubleByteWidth/>
    <w:doNotLeaveBackslashAlone/>
    <w:ulTrailSpace/>
    <w:doNotExpandShiftReturn/>
    <w:adjustLineHeightInTable/>
    <w:doNotWrapTextWithPunct/>
    <w:doNotUseEastAsianBreakRules/>
    <w:useNormalStyleForList/>
    <w:doNotUseIndentAsNumberingTabStop/>
    <w:useAltKinsokuLineBreakRules/>
    <w:allowSpaceOfSameStyleInTable/>
    <w:doNotSuppressIndentation/>
    <w:doNotAutofitConstrainedTables/>
    <w:autofitToFirstFixedWidthCell/>
    <w:underlineTabInNumList/>
    <w:displayHangulFixedWidth/>
    <w:splitPgBreakAndParaMark/>
    <w:doNotVertAlignCellWithSp/>
    <w:doNotBreakConstrainedForcedTable/>
    <w:doNotVertAlignInTxbx/>
    <w:useAnsiKerningPairs/>
    <w:cachedColBalance/>
  </w:compat>
  <w:docVars>
    <w:docVar w:name="__Grammarly_42____i" w:val="H4sIAAAAAAAEAKtWckksSQxILCpxzi/NK1GyMqwFAAEhoTITAAAA"/>
    <w:docVar w:name="__Grammarly_42___1" w:val="H4sIAAAAAAAEAKtWcslP9kxRslIyNDYysjC3MDQ1s7Q0sDAzNzBR0lEKTi0uzszPAykwqgUAqcvFoiwAAAA="/>
  </w:docVars>
  <w:rsids>
    <w:rsidRoot w:val="483029FB"/>
    <w:rsid w:val="00030CB5"/>
    <w:rsid w:val="000C6989"/>
    <w:rsid w:val="001316F5"/>
    <w:rsid w:val="00181A9D"/>
    <w:rsid w:val="002E67CE"/>
    <w:rsid w:val="002F467C"/>
    <w:rsid w:val="003737F2"/>
    <w:rsid w:val="004159D0"/>
    <w:rsid w:val="00435315"/>
    <w:rsid w:val="00453477"/>
    <w:rsid w:val="00485D06"/>
    <w:rsid w:val="00497F26"/>
    <w:rsid w:val="004A138A"/>
    <w:rsid w:val="00513D3F"/>
    <w:rsid w:val="0053037A"/>
    <w:rsid w:val="005A2072"/>
    <w:rsid w:val="00607E9F"/>
    <w:rsid w:val="00626C57"/>
    <w:rsid w:val="0065654E"/>
    <w:rsid w:val="006B1A89"/>
    <w:rsid w:val="006B494B"/>
    <w:rsid w:val="006E0301"/>
    <w:rsid w:val="00767A0C"/>
    <w:rsid w:val="007B7B10"/>
    <w:rsid w:val="007D6F00"/>
    <w:rsid w:val="00813964"/>
    <w:rsid w:val="00822559"/>
    <w:rsid w:val="008453B6"/>
    <w:rsid w:val="009107E6"/>
    <w:rsid w:val="009356C2"/>
    <w:rsid w:val="009471BC"/>
    <w:rsid w:val="00951BBF"/>
    <w:rsid w:val="00957ABC"/>
    <w:rsid w:val="00980C9C"/>
    <w:rsid w:val="00987E2A"/>
    <w:rsid w:val="00994821"/>
    <w:rsid w:val="00A14EF5"/>
    <w:rsid w:val="00B12C4F"/>
    <w:rsid w:val="00B217BC"/>
    <w:rsid w:val="00B67B5D"/>
    <w:rsid w:val="00BA6C31"/>
    <w:rsid w:val="00BB0A70"/>
    <w:rsid w:val="00BB1492"/>
    <w:rsid w:val="00C63DFD"/>
    <w:rsid w:val="00C87244"/>
    <w:rsid w:val="00C97D27"/>
    <w:rsid w:val="00CA7C0E"/>
    <w:rsid w:val="00CC5379"/>
    <w:rsid w:val="00D00BA7"/>
    <w:rsid w:val="00D12865"/>
    <w:rsid w:val="00DF28C6"/>
    <w:rsid w:val="00ED70EF"/>
    <w:rsid w:val="00F76C18"/>
    <w:rsid w:val="00F91DC9"/>
    <w:rsid w:val="00FE1861"/>
    <w:rsid w:val="02237AFA"/>
    <w:rsid w:val="0280058C"/>
    <w:rsid w:val="02D13CD1"/>
    <w:rsid w:val="04153A01"/>
    <w:rsid w:val="046B0EAF"/>
    <w:rsid w:val="092B0267"/>
    <w:rsid w:val="100C190C"/>
    <w:rsid w:val="156569FB"/>
    <w:rsid w:val="156969BE"/>
    <w:rsid w:val="17B647A5"/>
    <w:rsid w:val="1ABA2AB8"/>
    <w:rsid w:val="1D141713"/>
    <w:rsid w:val="1F85529E"/>
    <w:rsid w:val="207970E5"/>
    <w:rsid w:val="221803CF"/>
    <w:rsid w:val="23DA2BB8"/>
    <w:rsid w:val="247E622F"/>
    <w:rsid w:val="256A474D"/>
    <w:rsid w:val="25B94A6F"/>
    <w:rsid w:val="284C082A"/>
    <w:rsid w:val="2D110A12"/>
    <w:rsid w:val="32594623"/>
    <w:rsid w:val="36396B9F"/>
    <w:rsid w:val="37AC1F61"/>
    <w:rsid w:val="3F6E573F"/>
    <w:rsid w:val="40A66927"/>
    <w:rsid w:val="416D3326"/>
    <w:rsid w:val="41CE4324"/>
    <w:rsid w:val="42F632FC"/>
    <w:rsid w:val="44EE0A4A"/>
    <w:rsid w:val="483029FB"/>
    <w:rsid w:val="48940EDD"/>
    <w:rsid w:val="4F2D73F7"/>
    <w:rsid w:val="50081E65"/>
    <w:rsid w:val="521B4B2B"/>
    <w:rsid w:val="52E3092E"/>
    <w:rsid w:val="53E03D27"/>
    <w:rsid w:val="53E166E6"/>
    <w:rsid w:val="5809326F"/>
    <w:rsid w:val="5D7D0474"/>
    <w:rsid w:val="5F361B2F"/>
    <w:rsid w:val="6234197E"/>
    <w:rsid w:val="62831982"/>
    <w:rsid w:val="66EF4C85"/>
    <w:rsid w:val="71EE5CF9"/>
    <w:rsid w:val="748E343E"/>
    <w:rsid w:val="754D77B1"/>
    <w:rsid w:val="75CF4663"/>
    <w:rsid w:val="767A7E2F"/>
    <w:rsid w:val="771C1361"/>
    <w:rsid w:val="779858C9"/>
    <w:rsid w:val="7A435E46"/>
    <w:rsid w:val="7A4755B1"/>
    <w:rsid w:val="7D966FF3"/>
  </w:rsids>
  <m:mathPr>
    <m:mathFont m:val="Times New Roman"/>
    <m:brkBin m:val="before"/>
    <m:brkBinSub m:val="--"/>
    <m:smallFrac m:val="off"/>
    <m:dispDef m:val="off"/>
    <m:lMargin m:val="0"/>
    <m:rMargin m:val="0"/>
    <m:wrapRight/>
    <m:intLim m:val="subSup"/>
    <m:naryLim m:val="subSup"/>
  </m:mathPr>
  <w:uiCompat97To2003/>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SimSun" w:hAnsi="Times New Roman" w:cs="Times New Roman"/>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semiHidden="0" w:unhideWhenUsed="0" w:qFormat="1"/>
    <w:lsdException w:name="heading 6" w:semiHidden="0" w:unhideWhenUsed="0" w:qFormat="1"/>
    <w:lsdException w:name="heading 7" w:semiHidden="0" w:unhideWhenUsed="0" w:qFormat="1"/>
    <w:lsdException w:name="heading 8" w:semiHidden="0" w:unhideWhenUsed="0" w:qFormat="1"/>
    <w:lsdException w:name="heading 9" w:semiHidden="0" w:unhideWhenUsed="0"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nhideWhenUsed="0"/>
    <w:lsdException w:name="footer" w:unhideWhenUsed="0"/>
    <w:lsdException w:name="caption" w:uiPriority="35" w:qFormat="1"/>
    <w:lsdException w:name="page number" w:unhideWhenUsed="0"/>
    <w:lsdException w:name="Title" w:semiHidden="0" w:uiPriority="10" w:unhideWhenUsed="0" w:qFormat="1"/>
    <w:lsdException w:name="Default Paragraph Font" w:unhideWhenUsed="0"/>
    <w:lsdException w:name="Subtitle" w:semiHidden="0" w:uiPriority="11" w:unhideWhenUsed="0" w:qFormat="1"/>
    <w:lsdException w:name="Hyperlink" w:unhideWhenUsed="0"/>
    <w:lsdException w:name="Strong" w:semiHidden="0" w:uiPriority="22" w:unhideWhenUsed="0" w:qFormat="1"/>
    <w:lsdException w:name="Emphasis" w:semiHidden="0" w:unhideWhenUsed="0" w:qFormat="1"/>
    <w:lsdException w:name="Normal (Web)" w:unhideWhenUsed="0"/>
    <w:lsdException w:name="Balloon Text" w:unhideWhenUsed="0"/>
    <w:lsdException w:name="Table Grid" w:semiHidden="0" w:unhideWhenUsed="0"/>
    <w:lsdException w:name="Placeholder Text" w:unhideWhenUsed="0"/>
    <w:lsdException w:name="No Spacing"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67A0C"/>
    <w:pPr>
      <w:spacing w:line="360" w:lineRule="auto"/>
      <w:jc w:val="both"/>
    </w:pPr>
    <w:rPr>
      <w:rFonts w:eastAsia="Times New Roman"/>
      <w:sz w:val="24"/>
      <w:lang w:val="en-GB" w:eastAsia="zh-CN"/>
    </w:rPr>
  </w:style>
  <w:style w:type="paragraph" w:styleId="Heading1">
    <w:name w:val="heading 1"/>
    <w:basedOn w:val="Normal"/>
    <w:next w:val="Normal"/>
    <w:link w:val="Heading1Char"/>
    <w:uiPriority w:val="99"/>
    <w:qFormat/>
    <w:rsid w:val="0053037A"/>
    <w:pPr>
      <w:keepNext/>
      <w:keepLines/>
      <w:spacing w:before="480"/>
      <w:outlineLvl w:val="0"/>
    </w:pPr>
    <w:rPr>
      <w:rFonts w:ascii="Calibri" w:hAnsi="Calibri"/>
      <w:b/>
      <w:bCs/>
      <w:kern w:val="32"/>
      <w:sz w:val="32"/>
      <w:lang w:val="en-US" w:eastAsia="en-US"/>
    </w:rPr>
  </w:style>
  <w:style w:type="paragraph" w:styleId="Heading2">
    <w:name w:val="heading 2"/>
    <w:basedOn w:val="Normal"/>
    <w:next w:val="Normal"/>
    <w:link w:val="Heading2Char"/>
    <w:uiPriority w:val="99"/>
    <w:qFormat/>
    <w:rsid w:val="0053037A"/>
    <w:pPr>
      <w:keepNext/>
      <w:keepLines/>
      <w:spacing w:before="200"/>
      <w:outlineLvl w:val="1"/>
    </w:pPr>
    <w:rPr>
      <w:rFonts w:ascii="Calibri" w:hAnsi="Calibri"/>
      <w:b/>
      <w:bCs/>
      <w:color w:val="4F81BD"/>
      <w:sz w:val="26"/>
      <w:lang w:val="en-US" w:eastAsia="en-US"/>
    </w:rPr>
  </w:style>
  <w:style w:type="paragraph" w:styleId="Heading3">
    <w:name w:val="heading 3"/>
    <w:basedOn w:val="Normal"/>
    <w:next w:val="Normal"/>
    <w:link w:val="Heading3Char"/>
    <w:uiPriority w:val="99"/>
    <w:qFormat/>
    <w:rsid w:val="004159D0"/>
    <w:pPr>
      <w:keepNext/>
      <w:keepLines/>
      <w:spacing w:before="200"/>
      <w:outlineLvl w:val="2"/>
    </w:pPr>
    <w:rPr>
      <w:b/>
      <w:bCs/>
      <w:color w:val="4F81BD"/>
      <w:szCs w:val="24"/>
      <w:lang w:val="en-US" w:eastAsia="en-US"/>
    </w:rPr>
  </w:style>
  <w:style w:type="paragraph" w:styleId="Heading4">
    <w:name w:val="heading 4"/>
    <w:basedOn w:val="Normal"/>
    <w:next w:val="Normal"/>
    <w:link w:val="Heading4Char"/>
    <w:uiPriority w:val="99"/>
    <w:qFormat/>
    <w:rsid w:val="007D6F00"/>
    <w:pPr>
      <w:keepNext/>
      <w:keepLines/>
      <w:spacing w:before="280" w:after="290" w:line="376" w:lineRule="auto"/>
      <w:outlineLvl w:val="3"/>
    </w:pPr>
    <w:rPr>
      <w:b/>
      <w:bCs/>
      <w:sz w:val="28"/>
      <w:lang w:val="en-US" w:eastAsia="en-US"/>
    </w:rPr>
  </w:style>
  <w:style w:type="paragraph" w:styleId="Heading5">
    <w:name w:val="heading 5"/>
    <w:basedOn w:val="Normal"/>
    <w:next w:val="Normal"/>
    <w:link w:val="Heading5Char"/>
    <w:uiPriority w:val="99"/>
    <w:qFormat/>
    <w:rsid w:val="0053037A"/>
    <w:pPr>
      <w:keepNext/>
      <w:keepLines/>
      <w:spacing w:before="200"/>
      <w:outlineLvl w:val="4"/>
    </w:pPr>
    <w:rPr>
      <w:rFonts w:ascii="Calibri" w:hAnsi="Calibri"/>
      <w:color w:val="243F60"/>
      <w:sz w:val="20"/>
      <w:lang w:val="en-US" w:eastAsia="en-US"/>
    </w:rPr>
  </w:style>
  <w:style w:type="paragraph" w:styleId="Heading6">
    <w:name w:val="heading 6"/>
    <w:basedOn w:val="Normal"/>
    <w:next w:val="Normal"/>
    <w:link w:val="Heading6Char"/>
    <w:uiPriority w:val="99"/>
    <w:qFormat/>
    <w:rsid w:val="0053037A"/>
    <w:pPr>
      <w:keepNext/>
      <w:keepLines/>
      <w:spacing w:before="200"/>
      <w:outlineLvl w:val="5"/>
    </w:pPr>
    <w:rPr>
      <w:rFonts w:ascii="Calibri" w:hAnsi="Calibri"/>
      <w:i/>
      <w:iCs/>
      <w:color w:val="243F60"/>
      <w:sz w:val="20"/>
      <w:lang w:val="en-US" w:eastAsia="en-US"/>
    </w:rPr>
  </w:style>
  <w:style w:type="paragraph" w:styleId="Heading7">
    <w:name w:val="heading 7"/>
    <w:basedOn w:val="Normal"/>
    <w:next w:val="Normal"/>
    <w:link w:val="Heading7Char"/>
    <w:uiPriority w:val="99"/>
    <w:qFormat/>
    <w:rsid w:val="0053037A"/>
    <w:pPr>
      <w:keepNext/>
      <w:keepLines/>
      <w:spacing w:before="200"/>
      <w:outlineLvl w:val="6"/>
    </w:pPr>
    <w:rPr>
      <w:rFonts w:ascii="Calibri" w:hAnsi="Calibri"/>
      <w:i/>
      <w:iCs/>
      <w:color w:val="404040"/>
      <w:sz w:val="20"/>
      <w:lang w:val="en-US" w:eastAsia="en-US"/>
    </w:rPr>
  </w:style>
  <w:style w:type="paragraph" w:styleId="Heading8">
    <w:name w:val="heading 8"/>
    <w:basedOn w:val="Normal"/>
    <w:next w:val="Normal"/>
    <w:link w:val="Heading8Char"/>
    <w:uiPriority w:val="99"/>
    <w:qFormat/>
    <w:rsid w:val="0053037A"/>
    <w:pPr>
      <w:keepNext/>
      <w:keepLines/>
      <w:spacing w:before="200"/>
      <w:outlineLvl w:val="7"/>
    </w:pPr>
    <w:rPr>
      <w:rFonts w:ascii="Calibri" w:hAnsi="Calibri"/>
      <w:color w:val="404040"/>
      <w:sz w:val="20"/>
      <w:lang w:val="en-US" w:eastAsia="en-US"/>
    </w:rPr>
  </w:style>
  <w:style w:type="paragraph" w:styleId="Heading9">
    <w:name w:val="heading 9"/>
    <w:basedOn w:val="Normal"/>
    <w:next w:val="Normal"/>
    <w:link w:val="Heading9Char"/>
    <w:uiPriority w:val="99"/>
    <w:qFormat/>
    <w:rsid w:val="0053037A"/>
    <w:pPr>
      <w:keepNext/>
      <w:keepLines/>
      <w:spacing w:before="200"/>
      <w:outlineLvl w:val="8"/>
    </w:pPr>
    <w:rPr>
      <w:rFonts w:ascii="Calibri" w:hAnsi="Calibri"/>
      <w:i/>
      <w:iCs/>
      <w:color w:val="404040"/>
      <w:sz w:val="20"/>
      <w:lang w:val="en-US" w:eastAsia="en-US"/>
    </w:rPr>
  </w:style>
  <w:style w:type="character" w:default="1" w:styleId="DefaultParagraphFont">
    <w:name w:val="Default Paragraph Font"/>
    <w:uiPriority w:val="99"/>
    <w:semiHidden/>
  </w:style>
  <w:style w:type="table" w:default="1" w:styleId="TableNormal">
    <w:name w:val="Normal Table"/>
    <w:semiHidden/>
    <w:unhideWhenUsed/>
    <w:qFormat/>
    <w:tblPr>
      <w:tblInd w:w="0" w:type="dxa"/>
      <w:tblCellMar>
        <w:top w:w="0" w:type="dxa"/>
        <w:left w:w="108" w:type="dxa"/>
        <w:bottom w:w="0" w:type="dxa"/>
        <w:right w:w="108" w:type="dxa"/>
      </w:tblCellMar>
    </w:tblPr>
  </w:style>
  <w:style w:type="numbering" w:default="1" w:styleId="NoList">
    <w:name w:val="No List"/>
    <w:semiHidden/>
    <w:unhideWhenUsed/>
  </w:style>
  <w:style w:type="character" w:customStyle="1" w:styleId="Heading1Char">
    <w:name w:val="Heading 1 Char"/>
    <w:basedOn w:val="DefaultParagraphFont"/>
    <w:link w:val="Heading1"/>
    <w:uiPriority w:val="99"/>
    <w:rsid w:val="0053037A"/>
    <w:rPr>
      <w:rFonts w:ascii="Calibri" w:hAnsi="Calibri" w:cs="Times New Roman"/>
      <w:b/>
      <w:kern w:val="32"/>
      <w:sz w:val="32"/>
    </w:rPr>
  </w:style>
  <w:style w:type="character" w:customStyle="1" w:styleId="Heading2Char">
    <w:name w:val="Heading 2 Char"/>
    <w:basedOn w:val="DefaultParagraphFont"/>
    <w:link w:val="Heading2"/>
    <w:uiPriority w:val="99"/>
    <w:rsid w:val="0053037A"/>
    <w:rPr>
      <w:rFonts w:ascii="Calibri" w:hAnsi="Calibri" w:cs="Times New Roman"/>
      <w:b/>
      <w:color w:val="4F81BD"/>
      <w:sz w:val="26"/>
    </w:rPr>
  </w:style>
  <w:style w:type="character" w:customStyle="1" w:styleId="Heading3Char">
    <w:name w:val="Heading 3 Char"/>
    <w:basedOn w:val="DefaultParagraphFont"/>
    <w:link w:val="Heading3"/>
    <w:uiPriority w:val="99"/>
    <w:rsid w:val="004159D0"/>
    <w:rPr>
      <w:rFonts w:cs="Times New Roman"/>
      <w:b/>
      <w:color w:val="4F81BD"/>
      <w:sz w:val="24"/>
      <w:lang w:eastAsia="en-US"/>
    </w:rPr>
  </w:style>
  <w:style w:type="character" w:customStyle="1" w:styleId="Heading4Char">
    <w:name w:val="Heading 4 Char"/>
    <w:basedOn w:val="DefaultParagraphFont"/>
    <w:link w:val="Heading4"/>
    <w:uiPriority w:val="99"/>
    <w:rsid w:val="007D6F00"/>
    <w:rPr>
      <w:rFonts w:ascii="Times New Roman" w:hAnsi="Times New Roman" w:cs="Times New Roman"/>
      <w:b/>
      <w:sz w:val="28"/>
      <w:lang w:eastAsia="en-US"/>
    </w:rPr>
  </w:style>
  <w:style w:type="character" w:customStyle="1" w:styleId="Heading5Char">
    <w:name w:val="Heading 5 Char"/>
    <w:basedOn w:val="DefaultParagraphFont"/>
    <w:link w:val="Heading5"/>
    <w:uiPriority w:val="99"/>
    <w:rsid w:val="0053037A"/>
    <w:rPr>
      <w:rFonts w:ascii="Calibri" w:hAnsi="Calibri" w:cs="Times New Roman"/>
      <w:color w:val="243F60"/>
    </w:rPr>
  </w:style>
  <w:style w:type="character" w:customStyle="1" w:styleId="Heading6Char">
    <w:name w:val="Heading 6 Char"/>
    <w:basedOn w:val="DefaultParagraphFont"/>
    <w:link w:val="Heading6"/>
    <w:uiPriority w:val="99"/>
    <w:rsid w:val="0053037A"/>
    <w:rPr>
      <w:rFonts w:ascii="Calibri" w:hAnsi="Calibri" w:cs="Times New Roman"/>
      <w:i/>
      <w:color w:val="243F60"/>
    </w:rPr>
  </w:style>
  <w:style w:type="character" w:customStyle="1" w:styleId="Heading7Char">
    <w:name w:val="Heading 7 Char"/>
    <w:basedOn w:val="DefaultParagraphFont"/>
    <w:link w:val="Heading7"/>
    <w:uiPriority w:val="99"/>
    <w:rsid w:val="0053037A"/>
    <w:rPr>
      <w:rFonts w:ascii="Calibri" w:hAnsi="Calibri" w:cs="Times New Roman"/>
      <w:i/>
      <w:color w:val="404040"/>
    </w:rPr>
  </w:style>
  <w:style w:type="character" w:customStyle="1" w:styleId="Heading8Char">
    <w:name w:val="Heading 8 Char"/>
    <w:basedOn w:val="DefaultParagraphFont"/>
    <w:link w:val="Heading8"/>
    <w:uiPriority w:val="99"/>
    <w:rsid w:val="0053037A"/>
    <w:rPr>
      <w:rFonts w:ascii="Calibri" w:hAnsi="Calibri" w:cs="Times New Roman"/>
      <w:color w:val="404040"/>
      <w:sz w:val="20"/>
    </w:rPr>
  </w:style>
  <w:style w:type="character" w:customStyle="1" w:styleId="Heading9Char">
    <w:name w:val="Heading 9 Char"/>
    <w:basedOn w:val="DefaultParagraphFont"/>
    <w:link w:val="Heading9"/>
    <w:uiPriority w:val="99"/>
    <w:rsid w:val="0053037A"/>
    <w:rPr>
      <w:rFonts w:ascii="Calibri" w:hAnsi="Calibri" w:cs="Times New Roman"/>
      <w:i/>
      <w:color w:val="404040"/>
      <w:sz w:val="20"/>
    </w:rPr>
  </w:style>
  <w:style w:type="paragraph" w:styleId="CommentText">
    <w:name w:val="annotation text"/>
    <w:basedOn w:val="Normal"/>
    <w:link w:val="CommentTextChar"/>
    <w:uiPriority w:val="99"/>
    <w:semiHidden/>
    <w:rsid w:val="007D6F00"/>
    <w:rPr>
      <w:rFonts w:ascii="Calibri" w:hAnsi="Calibri"/>
      <w:lang w:val="en-US"/>
    </w:rPr>
  </w:style>
  <w:style w:type="character" w:customStyle="1" w:styleId="CommentTextChar">
    <w:name w:val="Comment Text Char"/>
    <w:basedOn w:val="DefaultParagraphFont"/>
    <w:link w:val="CommentText"/>
    <w:uiPriority w:val="99"/>
    <w:semiHidden/>
    <w:rsid w:val="00CA7C0E"/>
    <w:rPr>
      <w:rFonts w:ascii="Calibri" w:hAnsi="Calibri" w:cs="Times New Roman"/>
      <w:sz w:val="24"/>
      <w:lang w:eastAsia="zh-CN"/>
    </w:rPr>
  </w:style>
  <w:style w:type="paragraph" w:styleId="NormalWeb">
    <w:name w:val="Normal (Web)"/>
    <w:basedOn w:val="Normal"/>
    <w:uiPriority w:val="99"/>
    <w:rsid w:val="007D6F00"/>
    <w:pPr>
      <w:spacing w:beforeAutospacing="1" w:afterAutospacing="1"/>
    </w:pPr>
    <w:rPr>
      <w:szCs w:val="24"/>
    </w:rPr>
  </w:style>
  <w:style w:type="character" w:styleId="Emphasis">
    <w:name w:val="Emphasis"/>
    <w:basedOn w:val="DefaultParagraphFont"/>
    <w:uiPriority w:val="99"/>
    <w:qFormat/>
    <w:rsid w:val="007D6F00"/>
    <w:rPr>
      <w:rFonts w:cs="Times New Roman"/>
      <w:i/>
    </w:rPr>
  </w:style>
  <w:style w:type="character" w:styleId="Hyperlink">
    <w:name w:val="Hyperlink"/>
    <w:basedOn w:val="DefaultParagraphFont"/>
    <w:uiPriority w:val="99"/>
    <w:rsid w:val="007D6F00"/>
    <w:rPr>
      <w:rFonts w:cs="Times New Roman"/>
      <w:color w:val="0000FF"/>
      <w:u w:val="single"/>
    </w:rPr>
  </w:style>
  <w:style w:type="table" w:styleId="TableGrid">
    <w:name w:val="Table Grid"/>
    <w:basedOn w:val="TableNormal"/>
    <w:uiPriority w:val="99"/>
    <w:rsid w:val="007D6F00"/>
    <w:pPr>
      <w:widowControl w:val="0"/>
      <w:jc w:val="both"/>
    </w:pPr>
    <w:rPr>
      <w:rFonts w:eastAsia="Times New Roman"/>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selectable">
    <w:name w:val="selectable"/>
    <w:uiPriority w:val="99"/>
    <w:rsid w:val="007D6F00"/>
  </w:style>
  <w:style w:type="paragraph" w:styleId="Footer">
    <w:name w:val="footer"/>
    <w:basedOn w:val="Normal"/>
    <w:link w:val="FooterChar"/>
    <w:uiPriority w:val="99"/>
    <w:semiHidden/>
    <w:rsid w:val="00F91DC9"/>
    <w:pPr>
      <w:tabs>
        <w:tab w:val="center" w:pos="4320"/>
        <w:tab w:val="right" w:pos="8640"/>
      </w:tabs>
    </w:pPr>
  </w:style>
  <w:style w:type="character" w:customStyle="1" w:styleId="FooterChar">
    <w:name w:val="Footer Char"/>
    <w:basedOn w:val="DefaultParagraphFont"/>
    <w:link w:val="Footer"/>
    <w:uiPriority w:val="99"/>
    <w:semiHidden/>
    <w:rsid w:val="00987E2A"/>
    <w:rPr>
      <w:rFonts w:cs="Times New Roman"/>
      <w:sz w:val="24"/>
      <w:lang w:val="en-GB" w:eastAsia="zh-CN"/>
    </w:rPr>
  </w:style>
  <w:style w:type="character" w:styleId="PageNumber">
    <w:name w:val="page number"/>
    <w:basedOn w:val="DefaultParagraphFont"/>
    <w:uiPriority w:val="99"/>
    <w:rsid w:val="00F91DC9"/>
    <w:rPr>
      <w:rFonts w:cs="Times New Roman"/>
    </w:rPr>
  </w:style>
  <w:style w:type="paragraph" w:styleId="BalloonText">
    <w:name w:val="Balloon Text"/>
    <w:basedOn w:val="Normal"/>
    <w:link w:val="BalloonTextChar"/>
    <w:uiPriority w:val="99"/>
    <w:semiHidden/>
    <w:rsid w:val="00B217BC"/>
    <w:pPr>
      <w:spacing w:line="240" w:lineRule="auto"/>
      <w:jc w:val="left"/>
    </w:pPr>
    <w:rPr>
      <w:rFonts w:ascii="Tahoma" w:hAnsi="Tahoma" w:cs="Tahoma"/>
      <w:sz w:val="16"/>
      <w:szCs w:val="16"/>
      <w:lang w:eastAsia="en-GB"/>
    </w:rPr>
  </w:style>
  <w:style w:type="character" w:customStyle="1" w:styleId="BalloonTextChar">
    <w:name w:val="Balloon Text Char"/>
    <w:basedOn w:val="DefaultParagraphFont"/>
    <w:link w:val="BalloonText"/>
    <w:uiPriority w:val="99"/>
    <w:semiHidden/>
    <w:rsid w:val="00B217BC"/>
    <w:rPr>
      <w:rFonts w:ascii="Tahoma" w:hAnsi="Tahoma" w:cs="Tahoma"/>
      <w:sz w:val="16"/>
      <w:lang w:eastAsia="en-GB"/>
    </w:rPr>
  </w:style>
</w:styles>
</file>

<file path=word/webSettings.xml><?xml version="1.0" encoding="utf-8"?>
<w:webSettings xmlns:r="http://schemas.openxmlformats.org/officeDocument/2006/relationships" xmlns:w="http://schemas.openxmlformats.org/wordprocessingml/2006/main">
  <w:doNotRelyOnCSS/>
  <w:doNotSaveAsSingleFile/>
  <w:doNotOrganizeInFolder/>
  <w:doNotUseLongFileNames/>
  <w:pixelsPerInch w:val="0"/>
  <w:targetScreenSz w:val="544x376"/>
</w:webSettings>
</file>

<file path=word/_rels/document.xml.rels><?xml version="1.0" encoding="UTF-8" standalone="yes"?>
<Relationships xmlns="http://schemas.openxmlformats.org/package/2006/relationships"><Relationship Id="rId20" Type="http://schemas.openxmlformats.org/officeDocument/2006/relationships/image" Target="media/image12.jpeg"/><Relationship Id="rId21" Type="http://schemas.openxmlformats.org/officeDocument/2006/relationships/image" Target="media/image13.jpeg"/><Relationship Id="rId22" Type="http://schemas.openxmlformats.org/officeDocument/2006/relationships/image" Target="media/image14.jpeg"/><Relationship Id="rId23" Type="http://schemas.openxmlformats.org/officeDocument/2006/relationships/image" Target="media/image15.png"/><Relationship Id="rId24" Type="http://schemas.openxmlformats.org/officeDocument/2006/relationships/image" Target="media/image16.png"/><Relationship Id="rId25" Type="http://schemas.openxmlformats.org/officeDocument/2006/relationships/image" Target="media/image17.jpeg"/><Relationship Id="rId26" Type="http://schemas.openxmlformats.org/officeDocument/2006/relationships/image" Target="media/image18.jpeg"/><Relationship Id="rId27" Type="http://schemas.openxmlformats.org/officeDocument/2006/relationships/image" Target="media/image19.jpeg"/><Relationship Id="rId28" Type="http://schemas.openxmlformats.org/officeDocument/2006/relationships/image" Target="media/image20.jpeg"/><Relationship Id="rId29" Type="http://schemas.openxmlformats.org/officeDocument/2006/relationships/image" Target="media/image21.jpeg"/><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30" Type="http://schemas.openxmlformats.org/officeDocument/2006/relationships/image" Target="media/image22.jpeg"/><Relationship Id="rId31" Type="http://schemas.openxmlformats.org/officeDocument/2006/relationships/hyperlink" Target="https://onlinelibrary.wiley.com/action/doSearch?ContribAuthorStored=REILLY,+STUART" TargetMode="External"/><Relationship Id="rId32" Type="http://schemas.openxmlformats.org/officeDocument/2006/relationships/image" Target="media/image23.png"/><Relationship Id="rId9" Type="http://schemas.openxmlformats.org/officeDocument/2006/relationships/image" Target="media/image3.jpeg"/><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image" Target="media/image2.png"/><Relationship Id="rId33" Type="http://schemas.openxmlformats.org/officeDocument/2006/relationships/footer" Target="footer1.xml"/><Relationship Id="rId34" Type="http://schemas.openxmlformats.org/officeDocument/2006/relationships/footer" Target="footer2.xml"/><Relationship Id="rId35" Type="http://schemas.openxmlformats.org/officeDocument/2006/relationships/fontTable" Target="fontTable.xml"/><Relationship Id="rId36" Type="http://schemas.openxmlformats.org/officeDocument/2006/relationships/theme" Target="theme/theme1.xml"/><Relationship Id="rId10" Type="http://schemas.openxmlformats.org/officeDocument/2006/relationships/image" Target="media/image4.png"/><Relationship Id="rId11" Type="http://schemas.openxmlformats.org/officeDocument/2006/relationships/hyperlink" Target="https://www.cambridge.org/core/journals/antiquity/article/islands-of-history-the-late-neolithic-timescape-of-orkney/0E5FE57F1C35F712E4E1590151F88781/core-reader" TargetMode="External"/><Relationship Id="rId12" Type="http://schemas.openxmlformats.org/officeDocument/2006/relationships/hyperlink" Target="https://www.cambridge.org/core/journals/antiquity/article/islands-of-history-the-late-neolithic-timescape-of-orkney/0E5FE57F1C35F712E4E1590151F88781/core-reader" TargetMode="External"/><Relationship Id="rId13" Type="http://schemas.openxmlformats.org/officeDocument/2006/relationships/image" Target="media/image5.jpeg"/><Relationship Id="rId14" Type="http://schemas.openxmlformats.org/officeDocument/2006/relationships/image" Target="media/image6.jpeg"/><Relationship Id="rId15" Type="http://schemas.openxmlformats.org/officeDocument/2006/relationships/image" Target="media/image7.jpeg"/><Relationship Id="rId16" Type="http://schemas.openxmlformats.org/officeDocument/2006/relationships/image" Target="media/image8.jpeg"/><Relationship Id="rId17" Type="http://schemas.openxmlformats.org/officeDocument/2006/relationships/image" Target="media/image9.jpeg"/><Relationship Id="rId18" Type="http://schemas.openxmlformats.org/officeDocument/2006/relationships/image" Target="media/image10.jpeg"/><Relationship Id="rId19" Type="http://schemas.openxmlformats.org/officeDocument/2006/relationships/image" Target="media/image1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718</TotalTime>
  <Pages>74</Pages>
  <Words>18215</Words>
  <Characters>-32766</Characters>
  <Application>Microsoft Macintosh Word</Application>
  <DocSecurity>0</DocSecurity>
  <Lines>0</Lines>
  <Paragraphs>0</Paragraphs>
  <ScaleCrop>false</ScaleCrop>
  <Company/>
  <LinksUpToDate>false</LinksUpToDate>
  <CharactersWithSpaces>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Is there any significance in the positioning and orientation of the Neolithic structures around the Ness of Brodgar in relation</dc:title>
  <dc:subject/>
  <dc:creator>info</dc:creator>
  <cp:keywords/>
  <cp:lastModifiedBy>lynne eller</cp:lastModifiedBy>
  <cp:revision>24</cp:revision>
  <cp:lastPrinted>2020-03-21T14:41:00Z</cp:lastPrinted>
  <dcterms:created xsi:type="dcterms:W3CDTF">2020-03-21T11:40:00Z</dcterms:created>
  <dcterms:modified xsi:type="dcterms:W3CDTF">2020-03-21T20:42:00Z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2057-11.2.0.8684</vt:lpwstr>
  </property>
</Properties>
</file>