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165"/>
        <w:rPr>
          <w:rFonts w:ascii="Tahoma" w:hAnsi="Tahoma" w:eastAsia="Tahoma" w:cs="Tahoma"/>
          <w:color w:val="000000"/>
          <w:sz w:val="40"/>
          <w:szCs w:val="40"/>
        </w:rPr>
      </w:pPr>
      <w:r>
        <w:rPr/>
        <w:drawing>
          <wp:inline distT="0" distB="0" distL="0" distR="0">
            <wp:extent cx="2209800" cy="742950"/>
            <wp:effectExtent l="0" t="0" r="0" b="0"/>
            <wp:docPr id="1" name="image1.png"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eastAsia="Tahoma" w:cs="Tahoma"/>
          <w:color w:val="000000"/>
          <w:sz w:val="40"/>
          <w:szCs w:val="40"/>
        </w:rPr>
      </w:pPr>
      <w:r>
        <w:rPr>
          <w:rFonts w:eastAsia="Tahoma" w:cs="Tahoma" w:ascii="Tahoma" w:hAnsi="Tahoma"/>
          <w:color w:val="000000"/>
          <w:sz w:val="40"/>
          <w:szCs w:val="40"/>
        </w:rPr>
        <w:t>Financial Protection Awareness Workshop – Project Management Report</w:t>
        <w:br/>
        <w:t>Module Assignment Submission</w:t>
      </w:r>
    </w:p>
    <w:tbl>
      <w:tblPr>
        <w:tblW w:w="9493" w:type="dxa"/>
        <w:jc w:val="left"/>
        <w:tblInd w:w="0" w:type="dxa"/>
        <w:tblLayout w:type="fixed"/>
        <w:tblCellMar>
          <w:top w:w="0" w:type="dxa"/>
          <w:left w:w="108" w:type="dxa"/>
          <w:bottom w:w="0" w:type="dxa"/>
          <w:right w:w="108" w:type="dxa"/>
        </w:tblCellMar>
        <w:tblLook w:val="0000" w:noHBand="0" w:noVBand="0" w:firstColumn="0" w:lastRow="0" w:lastColumn="0" w:firstRow="0"/>
      </w:tblPr>
      <w:tblGrid>
        <w:gridCol w:w="3438"/>
        <w:gridCol w:w="6054"/>
      </w:tblGrid>
      <w:tr>
        <w:trPr/>
        <w:tc>
          <w:tcPr>
            <w:tcW w:w="343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lineRule="auto" w:line="360" w:before="120" w:after="120"/>
              <w:rPr>
                <w:rFonts w:ascii="Tahoma" w:hAnsi="Tahoma" w:eastAsia="Tahoma" w:cs="Tahoma"/>
                <w:sz w:val="32"/>
                <w:szCs w:val="32"/>
              </w:rPr>
            </w:pPr>
            <w:r>
              <w:rPr>
                <w:rFonts w:eastAsia="Tahoma" w:cs="Tahoma" w:ascii="Tahoma" w:hAnsi="Tahoma"/>
                <w:sz w:val="32"/>
                <w:szCs w:val="32"/>
              </w:rPr>
              <w:t>Student Name:</w:t>
            </w:r>
          </w:p>
        </w:tc>
        <w:tc>
          <w:tcPr>
            <w:tcW w:w="6054" w:type="dxa"/>
            <w:tcBorders>
              <w:top w:val="single" w:sz="4" w:space="0" w:color="000000"/>
              <w:left w:val="single" w:sz="4" w:space="0" w:color="000000"/>
              <w:bottom w:val="single" w:sz="4" w:space="0" w:color="000000"/>
              <w:right w:val="single" w:sz="4" w:space="0" w:color="000000"/>
            </w:tcBorders>
          </w:tcPr>
          <w:p>
            <w:pPr>
              <w:pStyle w:val="Normal"/>
              <w:spacing w:lineRule="auto" w:line="360" w:before="120" w:after="120"/>
              <w:rPr>
                <w:rFonts w:ascii="Tahoma" w:hAnsi="Tahoma" w:eastAsia="Tahoma" w:cs="Tahoma"/>
                <w:sz w:val="32"/>
                <w:szCs w:val="32"/>
              </w:rPr>
            </w:pPr>
            <w:r>
              <w:rPr/>
              <w:t>Florin Ioan Blaga</w:t>
            </w:r>
          </w:p>
        </w:tc>
      </w:tr>
      <w:tr>
        <w:trPr/>
        <w:tc>
          <w:tcPr>
            <w:tcW w:w="343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lineRule="auto" w:line="360" w:before="120" w:after="120"/>
              <w:rPr>
                <w:rFonts w:ascii="Tahoma" w:hAnsi="Tahoma" w:eastAsia="Tahoma" w:cs="Tahoma"/>
                <w:sz w:val="32"/>
                <w:szCs w:val="32"/>
              </w:rPr>
            </w:pPr>
            <w:r>
              <w:rPr>
                <w:rFonts w:eastAsia="Tahoma" w:cs="Tahoma" w:ascii="Tahoma" w:hAnsi="Tahoma"/>
                <w:sz w:val="32"/>
                <w:szCs w:val="32"/>
              </w:rPr>
              <w:t>Student Number:</w:t>
            </w:r>
          </w:p>
        </w:tc>
        <w:tc>
          <w:tcPr>
            <w:tcW w:w="6054" w:type="dxa"/>
            <w:tcBorders>
              <w:top w:val="single" w:sz="4" w:space="0" w:color="000000"/>
              <w:left w:val="single" w:sz="4" w:space="0" w:color="000000"/>
              <w:bottom w:val="single" w:sz="4" w:space="0" w:color="000000"/>
              <w:right w:val="single" w:sz="4" w:space="0" w:color="000000"/>
            </w:tcBorders>
          </w:tcPr>
          <w:p>
            <w:pPr>
              <w:pStyle w:val="Normal"/>
              <w:spacing w:lineRule="auto" w:line="360" w:before="120" w:after="120"/>
              <w:rPr>
                <w:rFonts w:ascii="Tahoma" w:hAnsi="Tahoma" w:eastAsia="Tahoma" w:cs="Tahoma"/>
                <w:sz w:val="32"/>
                <w:szCs w:val="32"/>
              </w:rPr>
            </w:pPr>
            <w:r>
              <w:rPr/>
              <w:t>2408529</w:t>
            </w:r>
          </w:p>
        </w:tc>
      </w:tr>
      <w:tr>
        <w:trPr/>
        <w:tc>
          <w:tcPr>
            <w:tcW w:w="343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lineRule="auto" w:line="360" w:before="120" w:after="120"/>
              <w:rPr>
                <w:rFonts w:ascii="Tahoma" w:hAnsi="Tahoma" w:eastAsia="Tahoma" w:cs="Tahoma"/>
                <w:sz w:val="32"/>
                <w:szCs w:val="32"/>
              </w:rPr>
            </w:pPr>
            <w:r>
              <w:rPr>
                <w:rFonts w:eastAsia="Tahoma" w:cs="Tahoma" w:ascii="Tahoma" w:hAnsi="Tahoma"/>
                <w:sz w:val="32"/>
                <w:szCs w:val="32"/>
              </w:rPr>
              <w:t>Module No:</w:t>
            </w:r>
          </w:p>
        </w:tc>
        <w:tc>
          <w:tcPr>
            <w:tcW w:w="6054" w:type="dxa"/>
            <w:tcBorders>
              <w:top w:val="single" w:sz="4" w:space="0" w:color="000000"/>
              <w:left w:val="single" w:sz="4" w:space="0" w:color="000000"/>
              <w:bottom w:val="single" w:sz="4" w:space="0" w:color="000000"/>
              <w:right w:val="single" w:sz="4" w:space="0" w:color="000000"/>
            </w:tcBorders>
          </w:tcPr>
          <w:p>
            <w:pPr>
              <w:pStyle w:val="Normal"/>
              <w:spacing w:lineRule="auto" w:line="360" w:before="120" w:after="120"/>
              <w:rPr>
                <w:rFonts w:ascii="Tahoma" w:hAnsi="Tahoma" w:eastAsia="Tahoma" w:cs="Tahoma"/>
                <w:color w:val="FF0000"/>
                <w:sz w:val="32"/>
                <w:szCs w:val="32"/>
              </w:rPr>
            </w:pPr>
            <w:r>
              <w:rPr>
                <w:rFonts w:eastAsia="Tahoma" w:cs="Tahoma" w:ascii="Tahoma" w:hAnsi="Tahoma"/>
                <w:color w:val="FF0000"/>
                <w:sz w:val="32"/>
                <w:szCs w:val="32"/>
              </w:rPr>
              <w:t>BMSK5014</w:t>
            </w:r>
          </w:p>
        </w:tc>
      </w:tr>
      <w:tr>
        <w:trPr>
          <w:trHeight w:val="413" w:hRule="atLeast"/>
        </w:trPr>
        <w:tc>
          <w:tcPr>
            <w:tcW w:w="343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lineRule="auto" w:line="360" w:before="120" w:after="120"/>
              <w:rPr>
                <w:rFonts w:ascii="Tahoma" w:hAnsi="Tahoma" w:eastAsia="Tahoma" w:cs="Tahoma"/>
                <w:sz w:val="32"/>
                <w:szCs w:val="32"/>
              </w:rPr>
            </w:pPr>
            <w:r>
              <w:rPr>
                <w:rFonts w:eastAsia="Tahoma" w:cs="Tahoma" w:ascii="Tahoma" w:hAnsi="Tahoma"/>
                <w:sz w:val="32"/>
                <w:szCs w:val="32"/>
              </w:rPr>
              <w:t>Module Title:</w:t>
            </w:r>
          </w:p>
        </w:tc>
        <w:tc>
          <w:tcPr>
            <w:tcW w:w="6054" w:type="dxa"/>
            <w:tcBorders>
              <w:top w:val="single" w:sz="4" w:space="0" w:color="000000"/>
              <w:left w:val="single" w:sz="4" w:space="0" w:color="000000"/>
              <w:bottom w:val="single" w:sz="4" w:space="0" w:color="000000"/>
              <w:right w:val="single" w:sz="4" w:space="0" w:color="000000"/>
            </w:tcBorders>
          </w:tcPr>
          <w:p>
            <w:pPr>
              <w:pStyle w:val="Normal"/>
              <w:spacing w:lineRule="auto" w:line="360" w:before="120" w:after="120"/>
              <w:rPr>
                <w:rFonts w:ascii="Tahoma" w:hAnsi="Tahoma" w:eastAsia="Tahoma" w:cs="Tahoma"/>
                <w:color w:val="FF0000"/>
                <w:sz w:val="32"/>
                <w:szCs w:val="32"/>
              </w:rPr>
            </w:pPr>
            <w:r>
              <w:rPr>
                <w:rFonts w:eastAsia="Tahoma" w:cs="Tahoma" w:ascii="Tahoma" w:hAnsi="Tahoma"/>
                <w:color w:val="FF0000"/>
                <w:sz w:val="32"/>
                <w:szCs w:val="32"/>
              </w:rPr>
              <w:t>Managing Projects</w:t>
            </w:r>
          </w:p>
        </w:tc>
      </w:tr>
    </w:tbl>
    <w:p>
      <w:pPr>
        <w:pStyle w:val="Normal"/>
        <w:spacing w:lineRule="auto" w:line="360" w:before="120" w:after="120"/>
        <w:rPr>
          <w:color w:val="FF0000"/>
          <w:sz w:val="24"/>
          <w:szCs w:val="24"/>
        </w:rPr>
      </w:pPr>
      <w:r>
        <w:rPr>
          <w:color w:val="FF0000"/>
          <w:sz w:val="24"/>
          <w:szCs w:val="24"/>
        </w:rPr>
      </w:r>
    </w:p>
    <w:p>
      <w:pPr>
        <w:pStyle w:val="Normal"/>
        <w:spacing w:lineRule="auto" w:line="360" w:before="120" w:after="120"/>
        <w:rPr>
          <w:rFonts w:ascii="Tahoma" w:hAnsi="Tahoma" w:eastAsia="Tahoma" w:cs="Tahoma"/>
          <w:b/>
          <w:color w:val="000000"/>
          <w:sz w:val="24"/>
          <w:szCs w:val="24"/>
        </w:rPr>
      </w:pPr>
      <w:r>
        <w:rPr>
          <w:rFonts w:eastAsia="Tahoma" w:cs="Tahoma" w:ascii="Tahoma" w:hAnsi="Tahoma"/>
          <w:b/>
          <w:color w:val="000000"/>
          <w:sz w:val="24"/>
          <w:szCs w:val="24"/>
        </w:rPr>
        <w:t>Statement of Confirmation of Authenticity</w:t>
      </w:r>
    </w:p>
    <w:p>
      <w:pPr>
        <w:pStyle w:val="Normal"/>
        <w:spacing w:lineRule="auto" w:line="360" w:before="120" w:after="120"/>
        <w:rPr>
          <w:rFonts w:ascii="Tahoma" w:hAnsi="Tahoma" w:eastAsia="Tahoma" w:cs="Tahoma"/>
          <w:color w:val="000000"/>
        </w:rPr>
      </w:pPr>
      <w:r>
        <w:rPr>
          <w:rFonts w:eastAsia="Tahoma" w:cs="Tahoma" w:ascii="Tahoma" w:hAnsi="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pStyle w:val="Normal"/>
        <w:spacing w:lineRule="auto" w:line="360" w:before="120" w:after="120"/>
        <w:rPr>
          <w:rFonts w:ascii="Tahoma" w:hAnsi="Tahoma" w:eastAsia="Tahoma" w:cs="Tahoma"/>
          <w:color w:val="000000"/>
        </w:rPr>
      </w:pPr>
      <w:r>
        <w:rPr>
          <w:rFonts w:eastAsia="Tahoma" w:cs="Tahoma" w:ascii="Tahoma" w:hAnsi="Tahoma"/>
          <w:color w:val="000000"/>
        </w:rPr>
        <w:t>Attention is drawn to the plagiarism and unfair practice policies of both the University and of ILM.</w:t>
      </w:r>
    </w:p>
    <w:p>
      <w:pPr>
        <w:pStyle w:val="Normal"/>
        <w:rPr>
          <w:rFonts w:ascii="Tahoma" w:hAnsi="Tahoma" w:eastAsia="Tahoma" w:cs="Tahoma"/>
          <w:color w:val="000000"/>
          <w:sz w:val="24"/>
          <w:szCs w:val="24"/>
        </w:rPr>
      </w:pPr>
      <w:r>
        <w:rPr>
          <w:rFonts w:eastAsia="Tahoma" w:cs="Tahoma" w:ascii="Tahoma" w:hAnsi="Tahoma"/>
          <w:color w:val="000000"/>
          <w:sz w:val="24"/>
          <w:szCs w:val="24"/>
        </w:rPr>
      </w:r>
      <w:r>
        <w:br w:type="page"/>
      </w:r>
    </w:p>
    <w:p>
      <w:pPr>
        <w:pStyle w:val="Normal"/>
        <w:keepNext w:val="true"/>
        <w:keepLines/>
        <w:spacing w:before="0" w:after="0"/>
        <w:rPr>
          <w:color w:val="000000"/>
          <w:sz w:val="34"/>
          <w:szCs w:val="34"/>
        </w:rPr>
      </w:pPr>
      <w:r>
        <w:rPr>
          <w:color w:val="000000"/>
          <w:sz w:val="34"/>
          <w:szCs w:val="34"/>
        </w:rPr>
        <w:t>Table of Contents</w:t>
      </w:r>
    </w:p>
    <w:sdt>
      <w:sdtPr>
        <w:docPartObj>
          <w:docPartGallery w:val="Table of Contents"/>
          <w:docPartUnique w:val="true"/>
        </w:docPartObj>
      </w:sdtPr>
      <w:sdtContent>
        <w:p>
          <w:pPr>
            <w:pStyle w:val="TOC1"/>
            <w:tabs>
              <w:tab w:val="clear" w:pos="720"/>
              <w:tab w:val="right" w:pos="9359" w:leader="dot"/>
            </w:tabs>
            <w:rPr/>
          </w:pPr>
          <w:r>
            <w:fldChar w:fldCharType="begin"/>
          </w:r>
          <w:r>
            <w:rPr>
              <w:webHidden/>
              <w:rStyle w:val="IndexLink"/>
            </w:rPr>
            <w:instrText xml:space="preserve"> TOC \z \o "1-9" \u \h</w:instrText>
          </w:r>
          <w:r>
            <w:rPr>
              <w:webHidden/>
              <w:rStyle w:val="IndexLink"/>
            </w:rPr>
            <w:fldChar w:fldCharType="separate"/>
          </w:r>
          <w:hyperlink w:anchor="__RefHeading___Toc2763_1410408564">
            <w:r>
              <w:rPr>
                <w:webHidden/>
                <w:rStyle w:val="IndexLink"/>
              </w:rPr>
              <w:t>1.0 Introduction and Project Overview</w:t>
              <w:tab/>
              <w:t>5</w:t>
            </w:r>
          </w:hyperlink>
        </w:p>
        <w:p>
          <w:pPr>
            <w:pStyle w:val="TOC2"/>
            <w:tabs>
              <w:tab w:val="clear" w:pos="720"/>
              <w:tab w:val="right" w:pos="9359" w:leader="dot"/>
            </w:tabs>
            <w:rPr/>
          </w:pPr>
          <w:hyperlink w:anchor="__RefHeading___Toc2765_1410408564">
            <w:r>
              <w:rPr>
                <w:webHidden/>
                <w:rStyle w:val="IndexLink"/>
              </w:rPr>
              <w:t>1.1 Project background</w:t>
              <w:tab/>
              <w:t>5</w:t>
            </w:r>
          </w:hyperlink>
        </w:p>
        <w:p>
          <w:pPr>
            <w:pStyle w:val="TOC2"/>
            <w:tabs>
              <w:tab w:val="clear" w:pos="720"/>
              <w:tab w:val="right" w:pos="9359" w:leader="dot"/>
            </w:tabs>
            <w:rPr/>
          </w:pPr>
          <w:hyperlink w:anchor="__RefHeading___Toc2767_1410408564">
            <w:r>
              <w:rPr>
                <w:webHidden/>
                <w:rStyle w:val="IndexLink"/>
              </w:rPr>
              <w:t>1.2 Project objectives</w:t>
              <w:tab/>
              <w:t>5</w:t>
            </w:r>
          </w:hyperlink>
        </w:p>
        <w:p>
          <w:pPr>
            <w:pStyle w:val="TOC1"/>
            <w:tabs>
              <w:tab w:val="clear" w:pos="720"/>
              <w:tab w:val="right" w:pos="9359" w:leader="dot"/>
            </w:tabs>
            <w:rPr/>
          </w:pPr>
          <w:hyperlink w:anchor="__RefHeading___Toc2769_1410408564">
            <w:r>
              <w:rPr>
                <w:webHidden/>
                <w:rStyle w:val="IndexLink"/>
              </w:rPr>
              <w:t>2.0 Project Management Methodology and Strategic Context</w:t>
              <w:tab/>
              <w:t>6</w:t>
            </w:r>
          </w:hyperlink>
        </w:p>
        <w:p>
          <w:pPr>
            <w:pStyle w:val="TOC2"/>
            <w:tabs>
              <w:tab w:val="clear" w:pos="720"/>
              <w:tab w:val="right" w:pos="9359" w:leader="dot"/>
            </w:tabs>
            <w:rPr/>
          </w:pPr>
          <w:hyperlink w:anchor="__RefHeading___Toc2771_1410408564">
            <w:r>
              <w:rPr>
                <w:webHidden/>
                <w:rStyle w:val="IndexLink"/>
              </w:rPr>
              <w:t>2.1 Waterfall methodology</w:t>
              <w:tab/>
              <w:t>6</w:t>
            </w:r>
          </w:hyperlink>
        </w:p>
        <w:p>
          <w:pPr>
            <w:pStyle w:val="TOC2"/>
            <w:tabs>
              <w:tab w:val="clear" w:pos="720"/>
              <w:tab w:val="right" w:pos="9359" w:leader="dot"/>
            </w:tabs>
            <w:rPr/>
          </w:pPr>
          <w:hyperlink w:anchor="__RefHeading___Toc2773_1410408564">
            <w:r>
              <w:rPr>
                <w:webHidden/>
                <w:rStyle w:val="IndexLink"/>
              </w:rPr>
              <w:t>2.2 Agile methodology</w:t>
              <w:tab/>
              <w:t>7</w:t>
            </w:r>
          </w:hyperlink>
        </w:p>
        <w:p>
          <w:pPr>
            <w:pStyle w:val="TOC2"/>
            <w:tabs>
              <w:tab w:val="clear" w:pos="720"/>
              <w:tab w:val="right" w:pos="9359" w:leader="dot"/>
            </w:tabs>
            <w:rPr/>
          </w:pPr>
          <w:hyperlink w:anchor="__RefHeading___Toc2775_1410408564">
            <w:r>
              <w:rPr>
                <w:webHidden/>
                <w:rStyle w:val="IndexLink"/>
              </w:rPr>
              <w:t>2.3 PRINCE2 and MSP</w:t>
              <w:tab/>
              <w:t>8</w:t>
            </w:r>
          </w:hyperlink>
        </w:p>
        <w:p>
          <w:pPr>
            <w:pStyle w:val="TOC2"/>
            <w:tabs>
              <w:tab w:val="clear" w:pos="720"/>
              <w:tab w:val="right" w:pos="9359" w:leader="dot"/>
            </w:tabs>
            <w:rPr/>
          </w:pPr>
          <w:hyperlink w:anchor="__RefHeading___Toc2777_1410408564">
            <w:r>
              <w:rPr>
                <w:webHidden/>
                <w:rStyle w:val="IndexLink"/>
              </w:rPr>
              <w:t>2.4 Recommended approach</w:t>
              <w:tab/>
              <w:t>8</w:t>
            </w:r>
          </w:hyperlink>
        </w:p>
        <w:p>
          <w:pPr>
            <w:pStyle w:val="TOC2"/>
            <w:tabs>
              <w:tab w:val="clear" w:pos="720"/>
              <w:tab w:val="right" w:pos="9359" w:leader="dot"/>
            </w:tabs>
            <w:rPr/>
          </w:pPr>
          <w:hyperlink w:anchor="__RefHeading___Toc2779_1410408564">
            <w:r>
              <w:rPr>
                <w:webHidden/>
                <w:rStyle w:val="IndexLink"/>
              </w:rPr>
              <w:t>2.5 Business case</w:t>
              <w:tab/>
              <w:t>9</w:t>
            </w:r>
          </w:hyperlink>
        </w:p>
        <w:p>
          <w:pPr>
            <w:pStyle w:val="TOC1"/>
            <w:tabs>
              <w:tab w:val="clear" w:pos="720"/>
              <w:tab w:val="right" w:pos="9359" w:leader="dot"/>
            </w:tabs>
            <w:rPr/>
          </w:pPr>
          <w:hyperlink w:anchor="__RefHeading___Toc2781_1410408564">
            <w:r>
              <w:rPr>
                <w:webHidden/>
                <w:rStyle w:val="IndexLink"/>
              </w:rPr>
              <w:t>3.0 Project Environment and Stakeholder Management</w:t>
              <w:tab/>
              <w:t>10</w:t>
            </w:r>
          </w:hyperlink>
        </w:p>
        <w:p>
          <w:pPr>
            <w:pStyle w:val="TOC2"/>
            <w:tabs>
              <w:tab w:val="clear" w:pos="720"/>
              <w:tab w:val="right" w:pos="9359" w:leader="dot"/>
            </w:tabs>
            <w:rPr/>
          </w:pPr>
          <w:hyperlink w:anchor="__RefHeading___Toc2783_1410408564">
            <w:r>
              <w:rPr>
                <w:webHidden/>
                <w:rStyle w:val="IndexLink"/>
              </w:rPr>
              <w:t>3.1 SWOT analysis</w:t>
              <w:tab/>
              <w:t>10</w:t>
            </w:r>
          </w:hyperlink>
        </w:p>
        <w:p>
          <w:pPr>
            <w:pStyle w:val="TOC2"/>
            <w:tabs>
              <w:tab w:val="clear" w:pos="720"/>
              <w:tab w:val="right" w:pos="9359" w:leader="dot"/>
            </w:tabs>
            <w:rPr/>
          </w:pPr>
          <w:hyperlink w:anchor="__RefHeading___Toc2785_1410408564">
            <w:r>
              <w:rPr>
                <w:webHidden/>
                <w:rStyle w:val="IndexLink"/>
              </w:rPr>
              <w:t>3.2 PESTLE analysis</w:t>
              <w:tab/>
              <w:t>11</w:t>
            </w:r>
          </w:hyperlink>
        </w:p>
        <w:p>
          <w:pPr>
            <w:pStyle w:val="TOC2"/>
            <w:tabs>
              <w:tab w:val="clear" w:pos="720"/>
              <w:tab w:val="right" w:pos="9359" w:leader="dot"/>
            </w:tabs>
            <w:rPr/>
          </w:pPr>
          <w:hyperlink w:anchor="__RefHeading___Toc2787_1410408564">
            <w:r>
              <w:rPr>
                <w:webHidden/>
                <w:rStyle w:val="IndexLink"/>
              </w:rPr>
              <w:t>3.3 Stakeholder identification</w:t>
              <w:tab/>
              <w:t>11</w:t>
            </w:r>
          </w:hyperlink>
        </w:p>
        <w:p>
          <w:pPr>
            <w:pStyle w:val="TOC2"/>
            <w:tabs>
              <w:tab w:val="clear" w:pos="720"/>
              <w:tab w:val="right" w:pos="9359" w:leader="dot"/>
            </w:tabs>
            <w:rPr/>
          </w:pPr>
          <w:hyperlink w:anchor="__RefHeading___Toc2789_1410408564">
            <w:r>
              <w:rPr>
                <w:webHidden/>
                <w:rStyle w:val="IndexLink"/>
              </w:rPr>
              <w:t>3.4 Power/interest analysis</w:t>
              <w:tab/>
              <w:t>12</w:t>
            </w:r>
          </w:hyperlink>
        </w:p>
        <w:p>
          <w:pPr>
            <w:pStyle w:val="TOC1"/>
            <w:tabs>
              <w:tab w:val="clear" w:pos="720"/>
              <w:tab w:val="right" w:pos="9359" w:leader="dot"/>
            </w:tabs>
            <w:rPr/>
          </w:pPr>
          <w:hyperlink w:anchor="__RefHeading___Toc2791_1410408564">
            <w:r>
              <w:rPr>
                <w:webHidden/>
                <w:rStyle w:val="IndexLink"/>
              </w:rPr>
              <w:t>4.0 Project Scope, Planning and Resources</w:t>
              <w:tab/>
              <w:t>13</w:t>
            </w:r>
          </w:hyperlink>
        </w:p>
        <w:p>
          <w:pPr>
            <w:pStyle w:val="TOC2"/>
            <w:tabs>
              <w:tab w:val="clear" w:pos="720"/>
              <w:tab w:val="right" w:pos="9359" w:leader="dot"/>
            </w:tabs>
            <w:rPr/>
          </w:pPr>
          <w:hyperlink w:anchor="__RefHeading___Toc2793_1410408564">
            <w:r>
              <w:rPr>
                <w:webHidden/>
                <w:rStyle w:val="IndexLink"/>
              </w:rPr>
              <w:t>4.1 Project scope</w:t>
              <w:tab/>
              <w:t>13</w:t>
            </w:r>
          </w:hyperlink>
        </w:p>
        <w:p>
          <w:pPr>
            <w:pStyle w:val="TOC2"/>
            <w:tabs>
              <w:tab w:val="clear" w:pos="720"/>
              <w:tab w:val="right" w:pos="9359" w:leader="dot"/>
            </w:tabs>
            <w:rPr/>
          </w:pPr>
          <w:hyperlink w:anchor="__RefHeading___Toc2795_1410408564">
            <w:r>
              <w:rPr>
                <w:webHidden/>
                <w:rStyle w:val="IndexLink"/>
              </w:rPr>
              <w:t>4.2 Work Breakdown Structure</w:t>
              <w:tab/>
              <w:t>14</w:t>
            </w:r>
          </w:hyperlink>
        </w:p>
        <w:p>
          <w:pPr>
            <w:pStyle w:val="TOC2"/>
            <w:tabs>
              <w:tab w:val="clear" w:pos="720"/>
              <w:tab w:val="right" w:pos="9359" w:leader="dot"/>
            </w:tabs>
            <w:rPr/>
          </w:pPr>
          <w:hyperlink w:anchor="__RefHeading___Toc2797_1410408564">
            <w:r>
              <w:rPr>
                <w:webHidden/>
                <w:rStyle w:val="IndexLink"/>
              </w:rPr>
              <w:t>4.3 Critical path and Gantt schedule</w:t>
              <w:tab/>
              <w:t>15</w:t>
            </w:r>
          </w:hyperlink>
        </w:p>
        <w:p>
          <w:pPr>
            <w:pStyle w:val="TOC2"/>
            <w:tabs>
              <w:tab w:val="clear" w:pos="720"/>
              <w:tab w:val="right" w:pos="9359" w:leader="dot"/>
            </w:tabs>
            <w:rPr/>
          </w:pPr>
          <w:hyperlink w:anchor="__RefHeading___Toc2799_1410408564">
            <w:r>
              <w:rPr>
                <w:webHidden/>
                <w:rStyle w:val="IndexLink"/>
              </w:rPr>
              <w:t>4.4 Resource management</w:t>
              <w:tab/>
              <w:t>16</w:t>
            </w:r>
          </w:hyperlink>
        </w:p>
        <w:p>
          <w:pPr>
            <w:pStyle w:val="TOC1"/>
            <w:tabs>
              <w:tab w:val="clear" w:pos="720"/>
              <w:tab w:val="right" w:pos="9359" w:leader="dot"/>
            </w:tabs>
            <w:rPr/>
          </w:pPr>
          <w:hyperlink w:anchor="__RefHeading___Toc2801_1410408564">
            <w:r>
              <w:rPr>
                <w:webHidden/>
                <w:rStyle w:val="IndexLink"/>
              </w:rPr>
              <w:t>5.0 Risk, Communication and Project Governance</w:t>
              <w:tab/>
              <w:t>16</w:t>
            </w:r>
          </w:hyperlink>
        </w:p>
        <w:p>
          <w:pPr>
            <w:pStyle w:val="TOC2"/>
            <w:tabs>
              <w:tab w:val="clear" w:pos="720"/>
              <w:tab w:val="right" w:pos="9359" w:leader="dot"/>
            </w:tabs>
            <w:rPr/>
          </w:pPr>
          <w:hyperlink w:anchor="__RefHeading___Toc2803_1410408564">
            <w:r>
              <w:rPr>
                <w:webHidden/>
                <w:rStyle w:val="IndexLink"/>
              </w:rPr>
              <w:t>5.1 Risk management</w:t>
              <w:tab/>
              <w:t>16</w:t>
            </w:r>
          </w:hyperlink>
        </w:p>
        <w:p>
          <w:pPr>
            <w:pStyle w:val="TOC2"/>
            <w:tabs>
              <w:tab w:val="clear" w:pos="720"/>
              <w:tab w:val="right" w:pos="9359" w:leader="dot"/>
            </w:tabs>
            <w:rPr/>
          </w:pPr>
          <w:hyperlink w:anchor="__RefHeading___Toc2805_1410408564">
            <w:r>
              <w:rPr>
                <w:webHidden/>
                <w:rStyle w:val="IndexLink"/>
              </w:rPr>
              <w:t>5.2 Communication plan</w:t>
              <w:tab/>
              <w:t>17</w:t>
            </w:r>
          </w:hyperlink>
        </w:p>
        <w:p>
          <w:pPr>
            <w:pStyle w:val="TOC2"/>
            <w:tabs>
              <w:tab w:val="clear" w:pos="720"/>
              <w:tab w:val="right" w:pos="9359" w:leader="dot"/>
            </w:tabs>
            <w:rPr/>
          </w:pPr>
          <w:hyperlink w:anchor="__RefHeading___Toc2807_1410408564">
            <w:r>
              <w:rPr>
                <w:webHidden/>
                <w:rStyle w:val="IndexLink"/>
              </w:rPr>
              <w:t>5.3 RACI and governance</w:t>
              <w:tab/>
              <w:t>18</w:t>
            </w:r>
          </w:hyperlink>
        </w:p>
        <w:p>
          <w:pPr>
            <w:pStyle w:val="TOC1"/>
            <w:tabs>
              <w:tab w:val="clear" w:pos="720"/>
              <w:tab w:val="right" w:pos="9359" w:leader="dot"/>
            </w:tabs>
            <w:rPr/>
          </w:pPr>
          <w:hyperlink w:anchor="__RefHeading___Toc2809_1410408564">
            <w:r>
              <w:rPr>
                <w:webHidden/>
                <w:rStyle w:val="IndexLink"/>
              </w:rPr>
              <w:t>6.0 Monitoring, Control and Change Management</w:t>
              <w:tab/>
              <w:t>19</w:t>
            </w:r>
          </w:hyperlink>
        </w:p>
        <w:p>
          <w:pPr>
            <w:pStyle w:val="TOC2"/>
            <w:tabs>
              <w:tab w:val="clear" w:pos="720"/>
              <w:tab w:val="right" w:pos="9359" w:leader="dot"/>
            </w:tabs>
            <w:rPr/>
          </w:pPr>
          <w:hyperlink w:anchor="__RefHeading___Toc2811_1410408564">
            <w:r>
              <w:rPr>
                <w:webHidden/>
                <w:rStyle w:val="IndexLink"/>
              </w:rPr>
              <w:t>6.1 Monitoring</w:t>
              <w:tab/>
              <w:t>19</w:t>
            </w:r>
          </w:hyperlink>
        </w:p>
        <w:p>
          <w:pPr>
            <w:pStyle w:val="TOC2"/>
            <w:tabs>
              <w:tab w:val="clear" w:pos="720"/>
              <w:tab w:val="right" w:pos="9359" w:leader="dot"/>
            </w:tabs>
            <w:rPr/>
          </w:pPr>
          <w:hyperlink w:anchor="__RefHeading___Toc2813_1410408564">
            <w:r>
              <w:rPr>
                <w:webHidden/>
                <w:rStyle w:val="IndexLink"/>
              </w:rPr>
              <w:t>6.2 The Iron Triangle</w:t>
              <w:tab/>
              <w:t>19</w:t>
            </w:r>
          </w:hyperlink>
        </w:p>
        <w:p>
          <w:pPr>
            <w:pStyle w:val="TOC2"/>
            <w:tabs>
              <w:tab w:val="clear" w:pos="720"/>
              <w:tab w:val="right" w:pos="9359" w:leader="dot"/>
            </w:tabs>
            <w:rPr/>
          </w:pPr>
          <w:hyperlink w:anchor="__RefHeading___Toc2815_1410408564">
            <w:r>
              <w:rPr>
                <w:webHidden/>
                <w:rStyle w:val="IndexLink"/>
              </w:rPr>
              <w:t>6.3 Corrective action</w:t>
              <w:tab/>
              <w:t>20</w:t>
            </w:r>
          </w:hyperlink>
        </w:p>
        <w:p>
          <w:pPr>
            <w:pStyle w:val="TOC2"/>
            <w:tabs>
              <w:tab w:val="clear" w:pos="720"/>
              <w:tab w:val="right" w:pos="9359" w:leader="dot"/>
            </w:tabs>
            <w:rPr/>
          </w:pPr>
          <w:hyperlink w:anchor="__RefHeading___Toc2817_1410408564">
            <w:r>
              <w:rPr>
                <w:webHidden/>
                <w:rStyle w:val="IndexLink"/>
              </w:rPr>
              <w:t>6.4 Change control</w:t>
              <w:tab/>
              <w:t>20</w:t>
            </w:r>
          </w:hyperlink>
        </w:p>
        <w:p>
          <w:pPr>
            <w:pStyle w:val="TOC1"/>
            <w:tabs>
              <w:tab w:val="clear" w:pos="720"/>
              <w:tab w:val="right" w:pos="9359" w:leader="dot"/>
            </w:tabs>
            <w:rPr/>
          </w:pPr>
          <w:hyperlink w:anchor="__RefHeading___Toc2819_1410408564">
            <w:r>
              <w:rPr>
                <w:webHidden/>
                <w:rStyle w:val="IndexLink"/>
              </w:rPr>
              <w:t>7.0 Project Closure, Lessons Learned and Personal Development</w:t>
              <w:tab/>
              <w:t>21</w:t>
            </w:r>
          </w:hyperlink>
        </w:p>
        <w:p>
          <w:pPr>
            <w:pStyle w:val="TOC2"/>
            <w:tabs>
              <w:tab w:val="clear" w:pos="720"/>
              <w:tab w:val="right" w:pos="9359" w:leader="dot"/>
            </w:tabs>
            <w:rPr/>
          </w:pPr>
          <w:hyperlink w:anchor="__RefHeading___Toc2821_1410408564">
            <w:r>
              <w:rPr>
                <w:webHidden/>
                <w:rStyle w:val="IndexLink"/>
              </w:rPr>
              <w:t>7.1 Project closure</w:t>
              <w:tab/>
              <w:t>21</w:t>
            </w:r>
          </w:hyperlink>
        </w:p>
        <w:p>
          <w:pPr>
            <w:pStyle w:val="TOC2"/>
            <w:tabs>
              <w:tab w:val="clear" w:pos="720"/>
              <w:tab w:val="right" w:pos="9359" w:leader="dot"/>
            </w:tabs>
            <w:rPr/>
          </w:pPr>
          <w:hyperlink w:anchor="__RefHeading___Toc2823_1410408564">
            <w:r>
              <w:rPr>
                <w:webHidden/>
                <w:rStyle w:val="IndexLink"/>
              </w:rPr>
              <w:t>7.2 Lessons learned</w:t>
              <w:tab/>
              <w:t>21</w:t>
            </w:r>
          </w:hyperlink>
        </w:p>
        <w:p>
          <w:pPr>
            <w:pStyle w:val="TOC2"/>
            <w:tabs>
              <w:tab w:val="clear" w:pos="720"/>
              <w:tab w:val="right" w:pos="9359" w:leader="dot"/>
            </w:tabs>
            <w:rPr/>
          </w:pPr>
          <w:hyperlink w:anchor="__RefHeading___Toc2825_1410408564">
            <w:r>
              <w:rPr>
                <w:webHidden/>
                <w:rStyle w:val="IndexLink"/>
              </w:rPr>
              <w:t>7.3 Personal reflection</w:t>
              <w:tab/>
              <w:t>21</w:t>
            </w:r>
          </w:hyperlink>
        </w:p>
        <w:p>
          <w:pPr>
            <w:pStyle w:val="TOC2"/>
            <w:tabs>
              <w:tab w:val="clear" w:pos="720"/>
              <w:tab w:val="right" w:pos="9359" w:leader="dot"/>
            </w:tabs>
            <w:rPr/>
          </w:pPr>
          <w:hyperlink w:anchor="__RefHeading___Toc2827_1410408564">
            <w:r>
              <w:rPr>
                <w:webHidden/>
                <w:rStyle w:val="IndexLink"/>
              </w:rPr>
              <w:t>7.4 Personal Development Plan</w:t>
              <w:tab/>
              <w:t>22</w:t>
            </w:r>
          </w:hyperlink>
        </w:p>
        <w:p>
          <w:pPr>
            <w:pStyle w:val="TOC1"/>
            <w:tabs>
              <w:tab w:val="clear" w:pos="720"/>
              <w:tab w:val="right" w:pos="9359" w:leader="dot"/>
            </w:tabs>
            <w:rPr/>
          </w:pPr>
          <w:hyperlink w:anchor="__RefHeading___Toc2829_1410408564">
            <w:r>
              <w:rPr>
                <w:webHidden/>
                <w:rStyle w:val="IndexLink"/>
              </w:rPr>
              <w:t>8.0 Conclusion</w:t>
              <w:tab/>
              <w:t>22</w:t>
            </w:r>
          </w:hyperlink>
        </w:p>
        <w:p>
          <w:pPr>
            <w:pStyle w:val="TOC1"/>
            <w:tabs>
              <w:tab w:val="clear" w:pos="720"/>
              <w:tab w:val="right" w:pos="9359" w:leader="dot"/>
            </w:tabs>
            <w:rPr/>
          </w:pPr>
          <w:hyperlink w:anchor="__RefHeading___Toc2831_1410408564">
            <w:r>
              <w:rPr>
                <w:webHidden/>
                <w:rStyle w:val="IndexLink"/>
              </w:rPr>
              <w:t>References</w:t>
              <w:tab/>
              <w:t>24</w:t>
            </w:r>
          </w:hyperlink>
        </w:p>
        <w:p>
          <w:pPr>
            <w:pStyle w:val="TOC1"/>
            <w:tabs>
              <w:tab w:val="clear" w:pos="720"/>
              <w:tab w:val="right" w:pos="9359" w:leader="dot"/>
            </w:tabs>
            <w:rPr/>
          </w:pPr>
          <w:hyperlink w:anchor="__RefHeading___Toc2833_1410408564">
            <w:r>
              <w:rPr>
                <w:webHidden/>
                <w:rStyle w:val="IndexLink"/>
              </w:rPr>
              <w:t>Appendices</w:t>
              <w:tab/>
              <w:t>27</w:t>
            </w:r>
          </w:hyperlink>
        </w:p>
        <w:p>
          <w:pPr>
            <w:pStyle w:val="TOC2"/>
            <w:tabs>
              <w:tab w:val="clear" w:pos="720"/>
              <w:tab w:val="right" w:pos="9359" w:leader="dot"/>
            </w:tabs>
            <w:rPr/>
          </w:pPr>
          <w:hyperlink w:anchor="__RefHeading___Toc2835_1410408564">
            <w:r>
              <w:rPr>
                <w:webHidden/>
                <w:rStyle w:val="IndexLink"/>
              </w:rPr>
              <w:t>Appendix 1 – SWOT Analysis</w:t>
              <w:tab/>
              <w:t>27</w:t>
            </w:r>
          </w:hyperlink>
        </w:p>
        <w:p>
          <w:pPr>
            <w:pStyle w:val="TOC2"/>
            <w:tabs>
              <w:tab w:val="clear" w:pos="720"/>
              <w:tab w:val="right" w:pos="9359" w:leader="dot"/>
            </w:tabs>
            <w:rPr/>
          </w:pPr>
          <w:hyperlink w:anchor="__RefHeading___Toc2837_1410408564">
            <w:r>
              <w:rPr>
                <w:webHidden/>
                <w:rStyle w:val="IndexLink"/>
              </w:rPr>
              <w:t>Appendix 2 – PESTLE Analysis</w:t>
              <w:tab/>
              <w:t>28</w:t>
            </w:r>
          </w:hyperlink>
        </w:p>
        <w:p>
          <w:pPr>
            <w:pStyle w:val="TOC2"/>
            <w:tabs>
              <w:tab w:val="clear" w:pos="720"/>
              <w:tab w:val="right" w:pos="9359" w:leader="dot"/>
            </w:tabs>
            <w:rPr/>
          </w:pPr>
          <w:hyperlink w:anchor="__RefHeading___Toc2839_1410408564">
            <w:r>
              <w:rPr>
                <w:webHidden/>
                <w:rStyle w:val="IndexLink"/>
              </w:rPr>
              <w:t>Appendix 3 – Stakeholder Power/Interest Matrix</w:t>
              <w:tab/>
              <w:t>29</w:t>
            </w:r>
          </w:hyperlink>
        </w:p>
        <w:p>
          <w:pPr>
            <w:pStyle w:val="TOC2"/>
            <w:tabs>
              <w:tab w:val="clear" w:pos="720"/>
              <w:tab w:val="right" w:pos="9359" w:leader="dot"/>
            </w:tabs>
            <w:rPr/>
          </w:pPr>
          <w:hyperlink w:anchor="__RefHeading___Toc2841_1410408564">
            <w:r>
              <w:rPr>
                <w:webHidden/>
                <w:rStyle w:val="IndexLink"/>
              </w:rPr>
              <w:t>Appendix 4 – Work Breakdown Structure (WBS)</w:t>
              <w:tab/>
              <w:t>30</w:t>
            </w:r>
          </w:hyperlink>
        </w:p>
        <w:p>
          <w:pPr>
            <w:pStyle w:val="TOC2"/>
            <w:tabs>
              <w:tab w:val="clear" w:pos="720"/>
              <w:tab w:val="right" w:pos="9359" w:leader="dot"/>
            </w:tabs>
            <w:rPr/>
          </w:pPr>
          <w:hyperlink w:anchor="__RefHeading___Toc2843_1410408564">
            <w:r>
              <w:rPr>
                <w:webHidden/>
                <w:rStyle w:val="IndexLink"/>
              </w:rPr>
              <w:t>Appendix 5 – Gantt Chart and Critical Path</w:t>
              <w:tab/>
              <w:t>31</w:t>
            </w:r>
          </w:hyperlink>
        </w:p>
        <w:p>
          <w:pPr>
            <w:pStyle w:val="TOC2"/>
            <w:tabs>
              <w:tab w:val="clear" w:pos="720"/>
              <w:tab w:val="right" w:pos="9359" w:leader="dot"/>
            </w:tabs>
            <w:rPr/>
          </w:pPr>
          <w:hyperlink w:anchor="__RefHeading___Toc2845_1410408564">
            <w:r>
              <w:rPr>
                <w:webHidden/>
                <w:rStyle w:val="IndexLink"/>
              </w:rPr>
              <w:t>Appendix 6 – Project Risk Register</w:t>
              <w:tab/>
              <w:t>34</w:t>
            </w:r>
          </w:hyperlink>
        </w:p>
        <w:p>
          <w:pPr>
            <w:pStyle w:val="TOC2"/>
            <w:tabs>
              <w:tab w:val="clear" w:pos="720"/>
              <w:tab w:val="right" w:pos="9359" w:leader="dot"/>
            </w:tabs>
            <w:rPr/>
          </w:pPr>
          <w:hyperlink w:anchor="__RefHeading___Toc2847_1410408564">
            <w:r>
              <w:rPr>
                <w:webHidden/>
                <w:rStyle w:val="IndexLink"/>
              </w:rPr>
              <w:t>Appendix 7 – RACI Matrix</w:t>
              <w:tab/>
              <w:t>37</w:t>
            </w:r>
          </w:hyperlink>
        </w:p>
        <w:p>
          <w:pPr>
            <w:pStyle w:val="TOC2"/>
            <w:tabs>
              <w:tab w:val="clear" w:pos="720"/>
              <w:tab w:val="right" w:pos="9359" w:leader="dot"/>
            </w:tabs>
            <w:rPr/>
          </w:pPr>
          <w:hyperlink w:anchor="__RefHeading___Toc2849_1410408564">
            <w:r>
              <w:rPr>
                <w:webHidden/>
                <w:rStyle w:val="IndexLink"/>
              </w:rPr>
              <w:t>Appendix 8 – Communication Plan</w:t>
              <w:tab/>
              <w:t>38</w:t>
            </w:r>
          </w:hyperlink>
        </w:p>
        <w:p>
          <w:pPr>
            <w:pStyle w:val="TOC2"/>
            <w:tabs>
              <w:tab w:val="clear" w:pos="720"/>
              <w:tab w:val="right" w:pos="9359" w:leader="dot"/>
            </w:tabs>
            <w:rPr/>
          </w:pPr>
          <w:hyperlink w:anchor="__RefHeading___Toc2851_1410408564">
            <w:r>
              <w:rPr>
                <w:webHidden/>
                <w:rStyle w:val="IndexLink"/>
              </w:rPr>
              <w:t>Appendix 9 – Change Request / Change Log</w:t>
              <w:tab/>
              <w:t>40</w:t>
            </w:r>
          </w:hyperlink>
          <w:r>
            <w:rPr>
              <w:rStyle w:val="IndexLink"/>
            </w:rPr>
            <w:fldChar w:fldCharType="end"/>
          </w:r>
        </w:p>
      </w:sdtContent>
    </w:sdt>
    <w:p>
      <w:pPr>
        <w:pStyle w:val="TOC2"/>
        <w:tabs>
          <w:tab w:val="clear" w:pos="720"/>
          <w:tab w:val="right" w:pos="9359" w:leader="dot"/>
        </w:tabs>
        <w:rPr/>
      </w:pPr>
      <w:r>
        <w:rPr/>
      </w:r>
    </w:p>
    <w:p>
      <w:pPr>
        <w:pStyle w:val="Normal"/>
        <w:rPr>
          <w:rFonts w:ascii="Arial" w:hAnsi="Arial" w:eastAsia="Arial" w:cs="Arial"/>
        </w:rPr>
      </w:pPr>
      <w:r>
        <w:rPr>
          <w:rFonts w:eastAsia="Arial" w:cs="Arial" w:ascii="Arial" w:hAnsi="Arial"/>
        </w:rPr>
      </w:r>
    </w:p>
    <w:p>
      <w:pPr>
        <w:pStyle w:val="Normal"/>
        <w:rPr>
          <w:b/>
          <w:bCs/>
        </w:rPr>
      </w:pPr>
      <w:r>
        <w:rPr>
          <w:b/>
          <w:bCs/>
        </w:rPr>
      </w:r>
    </w:p>
    <w:p>
      <w:pPr>
        <w:pStyle w:val="Normal"/>
        <w:rPr>
          <w:b/>
          <w:bCs/>
        </w:rPr>
      </w:pPr>
      <w:r>
        <w:rPr>
          <w:b/>
          <w:bCs/>
        </w:rPr>
      </w:r>
    </w:p>
    <w:p>
      <w:pPr>
        <w:pStyle w:val="Normal"/>
        <w:rPr>
          <w:b/>
          <w:bCs/>
        </w:rPr>
      </w:pPr>
      <w:r>
        <w:rPr>
          <w:b/>
          <w:bCs/>
        </w:rPr>
      </w:r>
    </w:p>
    <w:p>
      <w:pPr>
        <w:pStyle w:val="Heading1"/>
        <w:rPr>
          <w:b/>
          <w:bCs/>
        </w:rPr>
      </w:pPr>
      <w:bookmarkStart w:id="0" w:name="__RefHeading___Toc2763_1410408564"/>
      <w:bookmarkStart w:id="1" w:name="_Toc238761805"/>
      <w:bookmarkEnd w:id="0"/>
      <w:r>
        <w:rPr>
          <w:b/>
          <w:bCs/>
        </w:rPr>
        <w:t>1.0 Introduction and Project Overview</w:t>
      </w:r>
      <w:bookmarkEnd w:id="1"/>
    </w:p>
    <w:p>
      <w:pPr>
        <w:pStyle w:val="Heading2"/>
        <w:rPr>
          <w:b/>
          <w:bCs/>
        </w:rPr>
      </w:pPr>
      <w:bookmarkStart w:id="2" w:name="__RefHeading___Toc2765_1410408564"/>
      <w:bookmarkStart w:id="3" w:name="_Toc238761806"/>
      <w:bookmarkEnd w:id="2"/>
      <w:r>
        <w:rPr>
          <w:b/>
          <w:bCs/>
        </w:rPr>
        <w:t>1.1 Project background</w:t>
      </w:r>
      <w:bookmarkEnd w:id="3"/>
    </w:p>
    <w:p>
      <w:pPr>
        <w:pStyle w:val="Normal"/>
        <w:rPr>
          <w:sz w:val="28"/>
          <w:szCs w:val="28"/>
        </w:rPr>
      </w:pPr>
      <w:bookmarkStart w:id="4" w:name="_Toc238761807"/>
      <w:r>
        <w:rPr>
          <w:sz w:val="28"/>
          <w:szCs w:val="28"/>
        </w:rPr>
        <w:t>Financial protection is often something people only consider once faced with an unexpected event. Death, serious illness, an accidental injury or a sudden inability to work can all pressure household income, savings and commitments.</w:t>
      </w:r>
    </w:p>
    <w:p>
      <w:pPr>
        <w:pStyle w:val="Normal"/>
        <w:rPr>
          <w:sz w:val="28"/>
          <w:szCs w:val="28"/>
        </w:rPr>
      </w:pPr>
      <w:r>
        <w:rPr>
          <w:sz w:val="28"/>
          <w:szCs w:val="28"/>
        </w:rPr>
        <w:t>For a financial advice organisation, helping people understand these risks and protection products has both educational and commercial value.</w:t>
      </w:r>
    </w:p>
    <w:p>
      <w:pPr>
        <w:pStyle w:val="Normal"/>
        <w:rPr>
          <w:sz w:val="28"/>
          <w:szCs w:val="28"/>
        </w:rPr>
      </w:pPr>
      <w:r>
        <w:rPr>
          <w:sz w:val="28"/>
          <w:szCs w:val="28"/>
        </w:rPr>
        <w:t>This project involves planning and delivering a Financial Protection Awareness Workshop for potential clients of OWL Financial, covering four main areas: life insurance, critical illness cover, income protection and accident protection. The purpose is educational rather than sales-focused — participants should leave with a clearer understanding of the financial risks they face and how protection can help manage them.</w:t>
      </w:r>
    </w:p>
    <w:p>
      <w:pPr>
        <w:pStyle w:val="Normal"/>
        <w:rPr>
          <w:sz w:val="28"/>
          <w:szCs w:val="28"/>
        </w:rPr>
      </w:pPr>
      <w:r>
        <w:rPr>
          <w:sz w:val="28"/>
          <w:szCs w:val="28"/>
        </w:rPr>
        <w:t>The project team is small but complementary: Florin Blaga is Project Manager, Daniela is Project Sponsor, and Camelia and Sandra are Financial Advisers. Florin coordinates the project day to day, Daniela holds sponsorship and final decision-making authority, and Camelia and Sandra provide the specialist financial knowledge behind the workshop content.</w:t>
      </w:r>
    </w:p>
    <w:p>
      <w:pPr>
        <w:pStyle w:val="Normal"/>
        <w:rPr>
          <w:sz w:val="28"/>
          <w:szCs w:val="28"/>
        </w:rPr>
      </w:pPr>
      <w:r>
        <w:rPr>
          <w:sz w:val="28"/>
          <w:szCs w:val="28"/>
        </w:rPr>
        <w:t>Project success should not be judged only by whether the workshop is delivered on time. Pinto and Slevin (1988) argue that critical success factors change at different stages of the project life cycle, so planning, implementation and ongoing management all need consideration. Turner and Zolin (2012) similarly argue that success should be judged from different stakeholder perspectives, not through time, cost and scope alone.</w:t>
      </w:r>
    </w:p>
    <w:p>
      <w:pPr>
        <w:pStyle w:val="Heading2"/>
        <w:rPr>
          <w:b/>
          <w:bCs/>
        </w:rPr>
      </w:pPr>
      <w:bookmarkStart w:id="5" w:name="_Toc238761807"/>
      <w:bookmarkStart w:id="6" w:name="__RefHeading___Toc2767_1410408564"/>
      <w:bookmarkEnd w:id="6"/>
      <w:r>
        <w:rPr>
          <w:b/>
          <w:bCs/>
        </w:rPr>
        <w:t>1.2 Project objectives</w:t>
      </w:r>
      <w:bookmarkEnd w:id="5"/>
    </w:p>
    <w:p>
      <w:pPr>
        <w:pStyle w:val="Normal"/>
        <w:rPr/>
      </w:pPr>
      <w:r>
        <w:rPr/>
        <w:t>The main objective is to plan and deliver one professional Financial Protection Awareness Workshop. Success means the event takes place on the agreed date, the content is accurate and appropriate for the audience, team responsibilities are clearly defined, and participant feedback shows increased awareness of financial protection.</w:t>
      </w:r>
    </w:p>
    <w:p>
      <w:pPr>
        <w:pStyle w:val="Normal"/>
        <w:rPr/>
      </w:pPr>
      <w:r>
        <w:rPr/>
        <w:t>Alongside this, the workshop also aims to:</w:t>
      </w:r>
    </w:p>
    <w:p>
      <w:pPr>
        <w:pStyle w:val="Normal"/>
        <w:numPr>
          <w:ilvl w:val="0"/>
          <w:numId w:val="1"/>
        </w:numPr>
        <w:rPr/>
      </w:pPr>
      <w:r>
        <w:rPr/>
        <w:t xml:space="preserve">develop accurate, accessible and relevant educational materials; </w:t>
      </w:r>
    </w:p>
    <w:p>
      <w:pPr>
        <w:pStyle w:val="Normal"/>
        <w:numPr>
          <w:ilvl w:val="0"/>
          <w:numId w:val="1"/>
        </w:numPr>
        <w:rPr/>
      </w:pPr>
      <w:r>
        <w:rPr/>
        <w:t xml:space="preserve">explain the purpose of life insurance, critical illness cover, income protection and accident protection; </w:t>
      </w:r>
    </w:p>
    <w:p>
      <w:pPr>
        <w:pStyle w:val="Normal"/>
        <w:numPr>
          <w:ilvl w:val="0"/>
          <w:numId w:val="1"/>
        </w:numPr>
        <w:rPr/>
      </w:pPr>
      <w:r>
        <w:rPr/>
        <w:t xml:space="preserve">attract an appropriate number of potential attendees and encourage participation; </w:t>
      </w:r>
    </w:p>
    <w:p>
      <w:pPr>
        <w:pStyle w:val="Normal"/>
        <w:numPr>
          <w:ilvl w:val="0"/>
          <w:numId w:val="1"/>
        </w:numPr>
        <w:rPr/>
      </w:pPr>
      <w:r>
        <w:rPr/>
        <w:t xml:space="preserve">provide a professional and engaging participant experience; </w:t>
      </w:r>
    </w:p>
    <w:p>
      <w:pPr>
        <w:pStyle w:val="Normal"/>
        <w:numPr>
          <w:ilvl w:val="0"/>
          <w:numId w:val="1"/>
        </w:numPr>
        <w:rPr/>
      </w:pPr>
      <w:r>
        <w:rPr/>
        <w:t xml:space="preserve">manage the venue, technology and administration effectively; </w:t>
      </w:r>
    </w:p>
    <w:p>
      <w:pPr>
        <w:pStyle w:val="Normal"/>
        <w:numPr>
          <w:ilvl w:val="0"/>
          <w:numId w:val="1"/>
        </w:numPr>
        <w:rPr/>
      </w:pPr>
      <w:r>
        <w:rPr/>
        <w:t xml:space="preserve">collect feedback following the event; and </w:t>
      </w:r>
    </w:p>
    <w:p>
      <w:pPr>
        <w:pStyle w:val="Normal"/>
        <w:numPr>
          <w:ilvl w:val="0"/>
          <w:numId w:val="1"/>
        </w:numPr>
        <w:rPr/>
      </w:pPr>
      <w:r>
        <w:rPr/>
        <w:t xml:space="preserve">capture lessons that can improve future OWL Financial workshops. </w:t>
      </w:r>
    </w:p>
    <w:p>
      <w:pPr>
        <w:pStyle w:val="Normal"/>
        <w:rPr/>
      </w:pPr>
      <w:r>
        <w:rPr/>
        <w:t>These objectives give a clear basis for planning, monitoring and evaluation. Belassi and Tukel (1996) identify four areas that influence project success: the project itself, the project manager and team, the organisation, and the external environment. All four are relevant here, since success depends not only on the event but on the project team and the wider environment in which OWL Financial operates.</w:t>
      </w:r>
    </w:p>
    <w:p>
      <w:pPr>
        <w:pStyle w:val="Normal"/>
        <w:rPr/>
      </w:pPr>
      <w:r>
        <w:rPr/>
      </w:r>
    </w:p>
    <w:p>
      <w:pPr>
        <w:pStyle w:val="Normal"/>
        <w:rPr>
          <w:b/>
          <w:bCs/>
        </w:rPr>
      </w:pPr>
      <w:r>
        <w:rPr>
          <w:b/>
          <w:bCs/>
        </w:rPr>
      </w:r>
      <w:bookmarkStart w:id="7" w:name="_Toc238761808"/>
      <w:bookmarkStart w:id="8" w:name="_Toc238761808"/>
    </w:p>
    <w:p>
      <w:pPr>
        <w:pStyle w:val="Heading1"/>
        <w:rPr>
          <w:b/>
          <w:bCs/>
        </w:rPr>
      </w:pPr>
      <w:bookmarkStart w:id="9" w:name="_Toc238761808"/>
      <w:bookmarkStart w:id="10" w:name="__RefHeading___Toc2769_1410408564"/>
      <w:bookmarkEnd w:id="10"/>
      <w:r>
        <w:rPr>
          <w:b/>
          <w:bCs/>
        </w:rPr>
        <w:t>2.0 Project Management Methodology and Strategic Context</w:t>
      </w:r>
      <w:bookmarkEnd w:id="9"/>
    </w:p>
    <w:p>
      <w:pPr>
        <w:pStyle w:val="Heading2"/>
        <w:rPr>
          <w:b/>
          <w:bCs/>
        </w:rPr>
      </w:pPr>
      <w:bookmarkStart w:id="11" w:name="__RefHeading___Toc2771_1410408564"/>
      <w:bookmarkStart w:id="12" w:name="_Toc238761809"/>
      <w:bookmarkEnd w:id="11"/>
      <w:r>
        <w:rPr>
          <w:b/>
          <w:bCs/>
        </w:rPr>
        <w:t>2.1 Waterfall methodology</w:t>
      </w:r>
      <w:bookmarkEnd w:id="12"/>
    </w:p>
    <w:p>
      <w:pPr>
        <w:pStyle w:val="Normal"/>
        <w:rPr>
          <w:sz w:val="28"/>
          <w:szCs w:val="28"/>
        </w:rPr>
      </w:pPr>
      <w:bookmarkStart w:id="13" w:name="_Toc238761810"/>
      <w:r>
        <w:rPr>
          <w:sz w:val="28"/>
          <w:szCs w:val="28"/>
        </w:rPr>
        <w:t>Waterfall is a largely plan-driven approach in which activities are organised into sequential stages: requirements are set early, followed by planning, development, review and implementation.</w:t>
      </w:r>
    </w:p>
    <w:p>
      <w:pPr>
        <w:pStyle w:val="Normal"/>
        <w:rPr>
          <w:sz w:val="28"/>
          <w:szCs w:val="28"/>
        </w:rPr>
      </w:pPr>
      <w:r>
        <w:rPr>
          <w:sz w:val="28"/>
          <w:szCs w:val="28"/>
        </w:rPr>
        <w:t>This suits the OWL Financial workshop because the project has a defined outcome, a small team and a fixed delivery date, which makes advance planning particularly important. The team can establish requirements first, then progress through content development, logistics, invitations, final checks and delivery in sequence.</w:t>
      </w:r>
    </w:p>
    <w:p>
      <w:pPr>
        <w:pStyle w:val="Normal"/>
        <w:rPr>
          <w:sz w:val="28"/>
          <w:szCs w:val="28"/>
        </w:rPr>
      </w:pPr>
      <w:r>
        <w:rPr>
          <w:sz w:val="28"/>
          <w:szCs w:val="28"/>
        </w:rPr>
        <w:t>Working sequentially also provides clear accountability: content needs to be developed before it can be formally reviewed and approved, and venue and technology arrangements need confirming before final preparations. A Waterfall structure makes these dependencies easier to identify and manage.</w:t>
      </w:r>
    </w:p>
    <w:p>
      <w:pPr>
        <w:pStyle w:val="Normal"/>
        <w:rPr>
          <w:sz w:val="28"/>
          <w:szCs w:val="28"/>
        </w:rPr>
      </w:pPr>
      <w:r>
        <w:rPr>
          <w:sz w:val="28"/>
          <w:szCs w:val="28"/>
        </w:rPr>
        <w:t>Pinto and Slevin (1988) argue that critical success factors change at different stages of the project life cycle, supporting the need for planning and control throughout. Here, the fixed workshop date makes early agreement of requirements particularly important, since there is limited opportunity to recover from delays later on.</w:t>
      </w:r>
    </w:p>
    <w:p>
      <w:pPr>
        <w:pStyle w:val="Normal"/>
        <w:rPr>
          <w:sz w:val="28"/>
          <w:szCs w:val="28"/>
        </w:rPr>
      </w:pPr>
      <w:r>
        <w:rPr>
          <w:sz w:val="28"/>
          <w:szCs w:val="28"/>
        </w:rPr>
        <w:t>Waterfall can become less flexible when requirements change after the planning stage, though. Joslin and Müller (2015) found that the link between methodology and project success is influenced by governance context, suggesting methodology should reflect the project's characteristics rather than being applied regardless of circumstances.</w:t>
      </w:r>
    </w:p>
    <w:p>
      <w:pPr>
        <w:pStyle w:val="Normal"/>
        <w:rPr>
          <w:sz w:val="28"/>
          <w:szCs w:val="28"/>
        </w:rPr>
      </w:pPr>
      <w:r>
        <w:rPr>
          <w:sz w:val="28"/>
          <w:szCs w:val="28"/>
        </w:rPr>
        <w:t>For this workshop, a late change to the content, venue or expected numbers could create extra work and pressure on the schedule. Hällgren and Maaninen-Olsson (2009) highlight how deviations and unexpected events can challenge established processes. Waterfall is therefore used as the main structure, with controlled changes allowed where necessary.</w:t>
      </w:r>
    </w:p>
    <w:p>
      <w:pPr>
        <w:pStyle w:val="Heading2"/>
        <w:rPr>
          <w:b/>
          <w:bCs/>
        </w:rPr>
      </w:pPr>
      <w:bookmarkStart w:id="14" w:name="_Toc238761810"/>
      <w:bookmarkStart w:id="15" w:name="__RefHeading___Toc2773_1410408564"/>
      <w:bookmarkEnd w:id="15"/>
      <w:r>
        <w:rPr>
          <w:b/>
          <w:bCs/>
        </w:rPr>
        <w:t>2.2 Agile methodology</w:t>
      </w:r>
      <w:bookmarkEnd w:id="14"/>
    </w:p>
    <w:p>
      <w:pPr>
        <w:pStyle w:val="Normal"/>
        <w:rPr>
          <w:sz w:val="28"/>
          <w:szCs w:val="28"/>
        </w:rPr>
      </w:pPr>
      <w:bookmarkStart w:id="16" w:name="_Toc238761811"/>
      <w:r>
        <w:rPr>
          <w:sz w:val="28"/>
          <w:szCs w:val="28"/>
        </w:rPr>
        <w:t>Agile takes a different approach, focusing on iterative development, stakeholder involvement, regular feedback and responsiveness to change — outputs are reviewed and improved throughout, rather than following one fixed sequence.</w:t>
      </w:r>
    </w:p>
    <w:p>
      <w:pPr>
        <w:pStyle w:val="Normal"/>
        <w:rPr>
          <w:sz w:val="28"/>
          <w:szCs w:val="28"/>
        </w:rPr>
      </w:pPr>
      <w:r>
        <w:rPr>
          <w:sz w:val="28"/>
          <w:szCs w:val="28"/>
        </w:rPr>
        <w:t>This could be useful for the workshop content, particularly the presentation. Camelia and Sandra could prepare sections, review them with Florin and Daniela, and use feedback to improve the content before it is finalised. Iterating this way should improve clarity and reduce the risk of finding significant issues shortly before the event.</w:t>
      </w:r>
    </w:p>
    <w:p>
      <w:pPr>
        <w:pStyle w:val="Normal"/>
        <w:rPr>
          <w:sz w:val="28"/>
          <w:szCs w:val="28"/>
        </w:rPr>
      </w:pPr>
      <w:r>
        <w:rPr>
          <w:sz w:val="28"/>
          <w:szCs w:val="28"/>
        </w:rPr>
        <w:t>There is evidence supporting Agile approaches — Serrador and Pinto (2015) analysed 1,002 projects and found a positive relationship between Agile use and project success. That does not mean Agile is automatically best for every project, though. This workshop has a stable objective, a small team and a fixed date, which makes a fully Agile approach less necessary.</w:t>
      </w:r>
    </w:p>
    <w:p>
      <w:pPr>
        <w:pStyle w:val="Normal"/>
        <w:rPr>
          <w:sz w:val="28"/>
          <w:szCs w:val="28"/>
        </w:rPr>
      </w:pPr>
      <w:r>
        <w:rPr>
          <w:sz w:val="28"/>
          <w:szCs w:val="28"/>
        </w:rPr>
        <w:t>Cooper and Sommer (2016) demonstrate how hybrid approaches combine Agile practices with more traditional stage-based project management, which is relevant here since selected Agile practices — iterative review and stakeholder feedback — can be used without changing the overall Waterfall structure.</w:t>
      </w:r>
    </w:p>
    <w:p>
      <w:pPr>
        <w:pStyle w:val="Normal"/>
        <w:rPr>
          <w:sz w:val="28"/>
          <w:szCs w:val="28"/>
        </w:rPr>
      </w:pPr>
      <w:r>
        <w:rPr>
          <w:sz w:val="28"/>
          <w:szCs w:val="28"/>
        </w:rPr>
        <w:t>A fully Agile approach would likely add unnecessary complexity for a one-off workshop, but using selected Agile practices for content development and review provides useful flexibility. This is consistent with PMI's comparison of Agile and Waterfall, which suggests methodology choice should reflect each project's stability and characteristics (Project Management Institute, n.d.-a).</w:t>
      </w:r>
    </w:p>
    <w:p>
      <w:pPr>
        <w:pStyle w:val="Heading2"/>
        <w:rPr>
          <w:b/>
          <w:bCs/>
        </w:rPr>
      </w:pPr>
      <w:bookmarkStart w:id="17" w:name="_Toc238761811"/>
      <w:bookmarkStart w:id="18" w:name="__RefHeading___Toc2775_1410408564"/>
      <w:bookmarkEnd w:id="18"/>
      <w:r>
        <w:rPr>
          <w:b/>
          <w:bCs/>
        </w:rPr>
        <w:t>2.3 PRINCE2 and MSP</w:t>
      </w:r>
      <w:bookmarkEnd w:id="17"/>
    </w:p>
    <w:p>
      <w:pPr>
        <w:pStyle w:val="Normal"/>
        <w:rPr>
          <w:sz w:val="28"/>
          <w:szCs w:val="28"/>
        </w:rPr>
      </w:pPr>
      <w:bookmarkStart w:id="19" w:name="_Toc238761812"/>
      <w:r>
        <w:rPr>
          <w:sz w:val="28"/>
          <w:szCs w:val="28"/>
        </w:rPr>
        <w:t>PRINCE2 provides a structured governance framework based on defined roles, management stages, decision points and continued justification. Its focus on governance is relevant here since important decisions should be clearly authorised and responsibilities understood.</w:t>
      </w:r>
    </w:p>
    <w:p>
      <w:pPr>
        <w:pStyle w:val="Normal"/>
        <w:rPr>
          <w:sz w:val="28"/>
          <w:szCs w:val="28"/>
        </w:rPr>
      </w:pPr>
      <w:r>
        <w:rPr>
          <w:sz w:val="28"/>
          <w:szCs w:val="28"/>
        </w:rPr>
        <w:t>Governance matters particularly where decisions affect stakeholders and the quality of the outcome. Müller et al. (2014) found that governance structures in temporary organisations can influence ethical outcomes and stakeholder trust. Here, that means Daniela's Sponsor role should carry clear authority over significant decisions, while Florin manages day-to-day delivery.</w:t>
      </w:r>
    </w:p>
    <w:p>
      <w:pPr>
        <w:pStyle w:val="Normal"/>
        <w:rPr>
          <w:sz w:val="28"/>
          <w:szCs w:val="28"/>
        </w:rPr>
      </w:pPr>
      <w:r>
        <w:rPr>
          <w:sz w:val="28"/>
          <w:szCs w:val="28"/>
        </w:rPr>
        <w:t>The project is relatively small, though, with four core team members and one main deliverable, so applying the full administrative requirements of PRINCE2 would create overhead unlikely to be justified here.</w:t>
      </w:r>
    </w:p>
    <w:p>
      <w:pPr>
        <w:pStyle w:val="Normal"/>
        <w:rPr>
          <w:sz w:val="28"/>
          <w:szCs w:val="28"/>
        </w:rPr>
      </w:pPr>
      <w:r>
        <w:rPr>
          <w:sz w:val="28"/>
          <w:szCs w:val="28"/>
        </w:rPr>
        <w:t>MSP is primarily concerned with programme rather than project management, and would be more relevant if OWL Financial were planning a wider programme of awareness events across several locations. For a single workshop, that extra structure is not required.</w:t>
      </w:r>
    </w:p>
    <w:p>
      <w:pPr>
        <w:pStyle w:val="Heading2"/>
        <w:rPr>
          <w:b/>
          <w:bCs/>
        </w:rPr>
      </w:pPr>
      <w:bookmarkStart w:id="20" w:name="_Toc238761812"/>
      <w:bookmarkStart w:id="21" w:name="__RefHeading___Toc2777_1410408564"/>
      <w:bookmarkEnd w:id="21"/>
      <w:r>
        <w:rPr>
          <w:b/>
          <w:bCs/>
        </w:rPr>
        <w:t>2.4 Recommended approach</w:t>
      </w:r>
      <w:bookmarkEnd w:id="20"/>
    </w:p>
    <w:p>
      <w:pPr>
        <w:pStyle w:val="Normal"/>
        <w:rPr>
          <w:sz w:val="28"/>
          <w:szCs w:val="28"/>
        </w:rPr>
      </w:pPr>
      <w:bookmarkStart w:id="22" w:name="_Toc238761813"/>
      <w:r>
        <w:rPr>
          <w:sz w:val="28"/>
          <w:szCs w:val="28"/>
        </w:rPr>
        <w:t>Based on this comparison, the recommended approach is Waterfall with controlled flexibility and selected Agile practices. Turner and Cochrane's (1993) goals-and-methods matrix supports this, since the workshop has clearly defined objectives and reasonably well-understood methods, favouring a predominantly traditional, planning-led approach.</w:t>
      </w:r>
    </w:p>
    <w:p>
      <w:pPr>
        <w:pStyle w:val="Normal"/>
        <w:rPr>
          <w:sz w:val="28"/>
          <w:szCs w:val="28"/>
        </w:rPr>
      </w:pPr>
      <w:r>
        <w:rPr>
          <w:sz w:val="28"/>
          <w:szCs w:val="28"/>
        </w:rPr>
        <w:t>The project therefore follows a sequential structure, since the workshop has a fixed delivery date and clearly identifiable deliverables, but review points are included at important stages: content is reviewed before finalisation, stakeholders can provide feedback, and significant changes go through a formal change-control process.</w:t>
      </w:r>
    </w:p>
    <w:p>
      <w:pPr>
        <w:pStyle w:val="Normal"/>
        <w:rPr>
          <w:sz w:val="28"/>
          <w:szCs w:val="28"/>
        </w:rPr>
      </w:pPr>
      <w:r>
        <w:rPr>
          <w:sz w:val="28"/>
          <w:szCs w:val="28"/>
        </w:rPr>
        <w:t>This provides structure without making the project unnecessarily complicated. Joslin and Müller (2015) found that the link between methodology and success is influenced by how it is applied within its governance context, so the project keeps Waterfall's structure while using selected Agile practices where they add value.</w:t>
      </w:r>
    </w:p>
    <w:p>
      <w:pPr>
        <w:pStyle w:val="Normal"/>
        <w:rPr>
          <w:sz w:val="28"/>
          <w:szCs w:val="28"/>
        </w:rPr>
      </w:pPr>
      <w:r>
        <w:rPr>
          <w:sz w:val="28"/>
          <w:szCs w:val="28"/>
        </w:rPr>
        <w:t>This should provide a suitable balance between predictability and flexibility — structured enough to support control, while still allowing reasonable changes where circumstances require them.</w:t>
      </w:r>
    </w:p>
    <w:p>
      <w:pPr>
        <w:pStyle w:val="Heading2"/>
        <w:rPr>
          <w:b/>
          <w:bCs/>
        </w:rPr>
      </w:pPr>
      <w:bookmarkStart w:id="23" w:name="_Toc238761813"/>
      <w:bookmarkStart w:id="24" w:name="__RefHeading___Toc2779_1410408564"/>
      <w:bookmarkEnd w:id="24"/>
      <w:r>
        <w:rPr>
          <w:b/>
          <w:bCs/>
        </w:rPr>
        <w:t>2.5 Business case</w:t>
      </w:r>
      <w:bookmarkEnd w:id="23"/>
    </w:p>
    <w:p>
      <w:pPr>
        <w:pStyle w:val="Normal"/>
        <w:rPr/>
      </w:pPr>
      <w:r>
        <w:rPr/>
        <w:t>The business case for the project rests on the potential value of increasing financial protection awareness among potential clients of OWL Financial, with the main costs relating to venue arrangements, staff time, technology, promotion and workshop materials.</w:t>
      </w:r>
    </w:p>
    <w:p>
      <w:pPr>
        <w:pStyle w:val="Normal"/>
        <w:rPr/>
      </w:pPr>
      <w:r>
        <w:rPr/>
        <w:t>The expected benefits are broader than the event itself: improved client engagement, greater awareness of financial protection needs, opportunities to develop future advisory relationships, and lessons for planning similar events. Turner and Zolin (2012) argue that project success should include organisational benefits and stakeholder satisfaction, not only efficiency.</w:t>
      </w:r>
    </w:p>
    <w:p>
      <w:pPr>
        <w:pStyle w:val="Normal"/>
        <w:rPr/>
      </w:pPr>
      <w:r>
        <w:rPr/>
        <w:t>The workshop also gives OWL Financial a chance to explain financial protection accessibly — products such as life insurance, critical illness cover and income protection can be difficult for potential clients to understand without proper explanation.</w:t>
      </w:r>
    </w:p>
    <w:p>
      <w:pPr>
        <w:pStyle w:val="Normal"/>
        <w:rPr/>
      </w:pPr>
      <w:r>
        <w:rPr/>
        <w:t>Not delivering the workshop would save cost directly, but it would also remove the opportunity to engage potential clients through an educational activity. The project is therefore justified where the expected benefits in awareness, engagement and future relationships outweigh the resources required.</w:t>
      </w:r>
    </w:p>
    <w:p>
      <w:pPr>
        <w:pStyle w:val="Normal"/>
        <w:rPr/>
      </w:pPr>
      <w:r>
        <w:rPr/>
      </w:r>
    </w:p>
    <w:p>
      <w:pPr>
        <w:pStyle w:val="Normal"/>
        <w:rPr>
          <w:b/>
          <w:bCs/>
        </w:rPr>
      </w:pPr>
      <w:r>
        <w:rPr>
          <w:b/>
          <w:bCs/>
        </w:rPr>
      </w:r>
      <w:bookmarkStart w:id="25" w:name="_Toc238761814"/>
      <w:bookmarkStart w:id="26" w:name="_Toc238761814"/>
    </w:p>
    <w:p>
      <w:pPr>
        <w:pStyle w:val="Normal"/>
        <w:rPr>
          <w:b/>
          <w:bCs/>
        </w:rPr>
      </w:pPr>
      <w:r>
        <w:rPr>
          <w:b/>
          <w:bCs/>
        </w:rPr>
      </w:r>
    </w:p>
    <w:p>
      <w:pPr>
        <w:pStyle w:val="Normal"/>
        <w:rPr>
          <w:b/>
          <w:bCs/>
        </w:rPr>
      </w:pPr>
      <w:r>
        <w:rPr>
          <w:b/>
          <w:bCs/>
        </w:rPr>
      </w:r>
    </w:p>
    <w:p>
      <w:pPr>
        <w:pStyle w:val="Heading1"/>
        <w:rPr>
          <w:b/>
          <w:bCs/>
        </w:rPr>
      </w:pPr>
      <w:bookmarkStart w:id="27" w:name="_Toc238761814"/>
      <w:bookmarkStart w:id="28" w:name="__RefHeading___Toc2781_1410408564"/>
      <w:bookmarkEnd w:id="28"/>
      <w:r>
        <w:rPr>
          <w:b/>
          <w:bCs/>
        </w:rPr>
        <w:t>3.0 Project Environment and Stakeholder Management</w:t>
      </w:r>
      <w:bookmarkEnd w:id="27"/>
    </w:p>
    <w:p>
      <w:pPr>
        <w:pStyle w:val="Heading2"/>
        <w:rPr>
          <w:b/>
          <w:bCs/>
        </w:rPr>
      </w:pPr>
      <w:bookmarkStart w:id="29" w:name="__RefHeading___Toc2783_1410408564"/>
      <w:bookmarkStart w:id="30" w:name="_Toc238761815"/>
      <w:bookmarkEnd w:id="29"/>
      <w:r>
        <w:rPr>
          <w:b/>
          <w:bCs/>
        </w:rPr>
        <w:t>3.1 SWOT analysis</w:t>
      </w:r>
      <w:bookmarkEnd w:id="30"/>
    </w:p>
    <w:p>
      <w:pPr>
        <w:pStyle w:val="Normal"/>
        <w:rPr>
          <w:sz w:val="28"/>
          <w:szCs w:val="28"/>
        </w:rPr>
      </w:pPr>
      <w:bookmarkStart w:id="31" w:name="_Toc238761816"/>
      <w:r>
        <w:rPr>
          <w:sz w:val="28"/>
          <w:szCs w:val="28"/>
        </w:rPr>
        <w:t>A SWOT analysis identifies the project's internal strengths and weaknesses alongside the external opportunities and threats that could affect delivery.</w:t>
      </w:r>
    </w:p>
    <w:p>
      <w:pPr>
        <w:pStyle w:val="Normal"/>
        <w:rPr>
          <w:sz w:val="28"/>
          <w:szCs w:val="28"/>
        </w:rPr>
      </w:pPr>
      <w:r>
        <w:rPr>
          <w:sz w:val="28"/>
          <w:szCs w:val="28"/>
        </w:rPr>
        <w:t>Strengths — the project benefits from a small team with clearly different responsibilities. Florin coordinates the project, Daniela provides sponsorship and decision-making support, and Camelia and Sandra bring specialist financial advisory knowledge. The workshop's clearly defined subject area also gives content development a focused basis.</w:t>
      </w:r>
    </w:p>
    <w:p>
      <w:pPr>
        <w:pStyle w:val="Normal"/>
        <w:rPr>
          <w:sz w:val="28"/>
          <w:szCs w:val="28"/>
        </w:rPr>
      </w:pPr>
      <w:r>
        <w:rPr>
          <w:sz w:val="28"/>
          <w:szCs w:val="28"/>
        </w:rPr>
        <w:t>Weaknesses — the team's small size is also a limitation, since members may need to manage several activities at once. Camelia and Sandra's availability matters particularly, as their specialist knowledge is needed to develop and review content — if either became unavailable, that would pressure the remaining team and schedule.</w:t>
      </w:r>
    </w:p>
    <w:p>
      <w:pPr>
        <w:pStyle w:val="Normal"/>
        <w:rPr>
          <w:sz w:val="28"/>
          <w:szCs w:val="28"/>
        </w:rPr>
      </w:pPr>
      <w:r>
        <w:rPr>
          <w:sz w:val="28"/>
          <w:szCs w:val="28"/>
        </w:rPr>
        <w:t>Opportunities — the workshop could strengthen engagement with potential clients through useful information in an educational setting, and if successful, its structure could be adapted for future OWL Financial workshops. Feedback may also show which protection topics need more attention next time.</w:t>
      </w:r>
    </w:p>
    <w:p>
      <w:pPr>
        <w:pStyle w:val="Normal"/>
        <w:rPr>
          <w:sz w:val="28"/>
          <w:szCs w:val="28"/>
        </w:rPr>
      </w:pPr>
      <w:r>
        <w:rPr>
          <w:sz w:val="28"/>
          <w:szCs w:val="28"/>
        </w:rPr>
        <w:t>Threats — the main external threats are low attendance, technology failure, venue problems, adviser unavailability and late changes to requirements, any of which could affect quality or the delivery schedule if not managed early.</w:t>
      </w:r>
    </w:p>
    <w:p>
      <w:pPr>
        <w:pStyle w:val="Normal"/>
        <w:rPr>
          <w:sz w:val="28"/>
          <w:szCs w:val="28"/>
        </w:rPr>
      </w:pPr>
      <w:r>
        <w:rPr>
          <w:sz w:val="28"/>
          <w:szCs w:val="28"/>
        </w:rPr>
        <w:t>Overall, the SWOT analysis suggests the project is manageable, but success depends on effective coordination, early preparation and appropriate contingency planning. The full SWOT analysis is provided in Appendix 1.</w:t>
      </w:r>
    </w:p>
    <w:p>
      <w:pPr>
        <w:pStyle w:val="Heading2"/>
        <w:rPr>
          <w:b/>
          <w:bCs/>
        </w:rPr>
      </w:pPr>
      <w:bookmarkStart w:id="32" w:name="_Toc238761816"/>
      <w:bookmarkStart w:id="33" w:name="__RefHeading___Toc2785_1410408564"/>
      <w:bookmarkEnd w:id="33"/>
      <w:r>
        <w:rPr>
          <w:b/>
          <w:bCs/>
        </w:rPr>
        <w:t>3.2 PESTLE analysis</w:t>
      </w:r>
      <w:bookmarkEnd w:id="32"/>
    </w:p>
    <w:p>
      <w:pPr>
        <w:pStyle w:val="Normal"/>
        <w:rPr>
          <w:sz w:val="28"/>
          <w:szCs w:val="28"/>
        </w:rPr>
      </w:pPr>
      <w:r>
        <w:rPr>
          <w:sz w:val="28"/>
          <w:szCs w:val="28"/>
        </w:rPr>
        <w:t>A PESTLE analysis considers the wider external factors that may influence the project — here, political, economic, social, technological, environmental and legal factors are all relevant.</w:t>
      </w:r>
    </w:p>
    <w:p>
      <w:pPr>
        <w:pStyle w:val="Normal"/>
        <w:rPr>
          <w:sz w:val="28"/>
          <w:szCs w:val="28"/>
        </w:rPr>
      </w:pPr>
      <w:r>
        <w:rPr>
          <w:sz w:val="28"/>
          <w:szCs w:val="28"/>
        </w:rPr>
        <w:t>Political and legal factors matter particularly because the project sits within financial services: content must be accurate and presented appropriately, and personal information collected from participants must be handled responsibly.</w:t>
      </w:r>
    </w:p>
    <w:p>
      <w:pPr>
        <w:pStyle w:val="Normal"/>
        <w:rPr>
          <w:sz w:val="28"/>
          <w:szCs w:val="28"/>
        </w:rPr>
      </w:pPr>
      <w:r>
        <w:rPr>
          <w:sz w:val="28"/>
          <w:szCs w:val="28"/>
        </w:rPr>
        <w:t>Economic factors influence how attendees view financial protection — people under financial pressure may be more concerned about affordability, with other priorities competing for their household budget. The workshop needs to explain protection's value without assuming what participants can afford.</w:t>
      </w:r>
    </w:p>
    <w:p>
      <w:pPr>
        <w:pStyle w:val="Normal"/>
        <w:rPr>
          <w:sz w:val="28"/>
          <w:szCs w:val="28"/>
        </w:rPr>
      </w:pPr>
      <w:r>
        <w:rPr>
          <w:sz w:val="28"/>
          <w:szCs w:val="28"/>
        </w:rPr>
        <w:t>Social factors matter too, since attendees vary in financial knowledge, age, family circumstances and prior experience with insurance. The content should therefore avoid unnecessary technical language and stay understandable to people at different levels.</w:t>
      </w:r>
    </w:p>
    <w:p>
      <w:pPr>
        <w:pStyle w:val="Normal"/>
        <w:rPr>
          <w:sz w:val="28"/>
          <w:szCs w:val="28"/>
        </w:rPr>
      </w:pPr>
      <w:r>
        <w:rPr>
          <w:sz w:val="28"/>
          <w:szCs w:val="28"/>
        </w:rPr>
        <w:t>Technological factors affect presentation delivery, registration, communication and follow-up — a failure on the day could disrupt the workshop, making testing and contingency arrangements important parts of preparation.</w:t>
      </w:r>
    </w:p>
    <w:p>
      <w:pPr>
        <w:pStyle w:val="Normal"/>
        <w:rPr>
          <w:sz w:val="28"/>
          <w:szCs w:val="28"/>
        </w:rPr>
      </w:pPr>
      <w:r>
        <w:rPr>
          <w:sz w:val="28"/>
          <w:szCs w:val="28"/>
        </w:rPr>
        <w:t>Environmental factors include venue accessibility, travel and printed materials — digital communication can reduce unnecessary printing while keeping information accessible to participants.</w:t>
      </w:r>
    </w:p>
    <w:p>
      <w:pPr>
        <w:pStyle w:val="Normal"/>
        <w:rPr>
          <w:sz w:val="28"/>
          <w:szCs w:val="28"/>
        </w:rPr>
      </w:pPr>
      <w:r>
        <w:rPr>
          <w:sz w:val="28"/>
          <w:szCs w:val="28"/>
        </w:rPr>
        <w:t>These factors feed directly into the project's risk register and communication plan. The full PESTLE analysis is provided in Appendix 2.</w:t>
      </w:r>
    </w:p>
    <w:p>
      <w:pPr>
        <w:pStyle w:val="Normal"/>
        <w:rPr>
          <w:b/>
          <w:bCs/>
        </w:rPr>
      </w:pPr>
      <w:r>
        <w:rPr>
          <w:b/>
          <w:bCs/>
        </w:rPr>
      </w:r>
    </w:p>
    <w:p>
      <w:pPr>
        <w:pStyle w:val="Normal"/>
        <w:rPr>
          <w:b/>
          <w:bCs/>
        </w:rPr>
      </w:pPr>
      <w:r>
        <w:rPr>
          <w:b/>
          <w:bCs/>
        </w:rPr>
      </w:r>
      <w:bookmarkStart w:id="34" w:name="_Toc238761817"/>
      <w:bookmarkStart w:id="35" w:name="_Toc238761817"/>
    </w:p>
    <w:p>
      <w:pPr>
        <w:pStyle w:val="Heading2"/>
        <w:rPr>
          <w:b/>
          <w:bCs/>
        </w:rPr>
      </w:pPr>
      <w:bookmarkStart w:id="36" w:name="_Toc238761817"/>
      <w:bookmarkStart w:id="37" w:name="__RefHeading___Toc2787_1410408564"/>
      <w:bookmarkEnd w:id="37"/>
      <w:r>
        <w:rPr>
          <w:b/>
          <w:bCs/>
        </w:rPr>
        <w:t>3.3 Stakeholder identification</w:t>
      </w:r>
      <w:bookmarkEnd w:id="36"/>
    </w:p>
    <w:p>
      <w:pPr>
        <w:pStyle w:val="Normal"/>
        <w:rPr>
          <w:sz w:val="28"/>
          <w:szCs w:val="28"/>
        </w:rPr>
      </w:pPr>
      <w:bookmarkStart w:id="38" w:name="_Toc238761818"/>
      <w:r>
        <w:rPr>
          <w:sz w:val="28"/>
          <w:szCs w:val="28"/>
        </w:rPr>
        <w:t>The main stakeholders involved in the project are:</w:t>
      </w:r>
    </w:p>
    <w:p>
      <w:pPr>
        <w:pStyle w:val="Normal"/>
        <w:numPr>
          <w:ilvl w:val="0"/>
          <w:numId w:val="2"/>
        </w:numPr>
        <w:rPr>
          <w:sz w:val="28"/>
          <w:szCs w:val="28"/>
        </w:rPr>
      </w:pPr>
      <w:r>
        <w:rPr>
          <w:sz w:val="28"/>
          <w:szCs w:val="28"/>
        </w:rPr>
        <w:t xml:space="preserve">Daniela – Project Sponsor </w:t>
      </w:r>
    </w:p>
    <w:p>
      <w:pPr>
        <w:pStyle w:val="Normal"/>
        <w:numPr>
          <w:ilvl w:val="0"/>
          <w:numId w:val="2"/>
        </w:numPr>
        <w:rPr>
          <w:sz w:val="28"/>
          <w:szCs w:val="28"/>
        </w:rPr>
      </w:pPr>
      <w:r>
        <w:rPr>
          <w:sz w:val="28"/>
          <w:szCs w:val="28"/>
        </w:rPr>
        <w:t xml:space="preserve">Florin – Project Manager </w:t>
      </w:r>
    </w:p>
    <w:p>
      <w:pPr>
        <w:pStyle w:val="Normal"/>
        <w:numPr>
          <w:ilvl w:val="0"/>
          <w:numId w:val="2"/>
        </w:numPr>
        <w:rPr>
          <w:sz w:val="28"/>
          <w:szCs w:val="28"/>
        </w:rPr>
      </w:pPr>
      <w:r>
        <w:rPr>
          <w:sz w:val="28"/>
          <w:szCs w:val="28"/>
        </w:rPr>
        <w:t xml:space="preserve">Camelia – Financial Adviser </w:t>
      </w:r>
    </w:p>
    <w:p>
      <w:pPr>
        <w:pStyle w:val="Normal"/>
        <w:numPr>
          <w:ilvl w:val="0"/>
          <w:numId w:val="2"/>
        </w:numPr>
        <w:rPr>
          <w:sz w:val="28"/>
          <w:szCs w:val="28"/>
        </w:rPr>
      </w:pPr>
      <w:r>
        <w:rPr>
          <w:sz w:val="28"/>
          <w:szCs w:val="28"/>
        </w:rPr>
        <w:t xml:space="preserve">Sandra – Financial Adviser </w:t>
      </w:r>
    </w:p>
    <w:p>
      <w:pPr>
        <w:pStyle w:val="Normal"/>
        <w:numPr>
          <w:ilvl w:val="0"/>
          <w:numId w:val="2"/>
        </w:numPr>
        <w:rPr>
          <w:sz w:val="28"/>
          <w:szCs w:val="28"/>
        </w:rPr>
      </w:pPr>
      <w:r>
        <w:rPr>
          <w:sz w:val="28"/>
          <w:szCs w:val="28"/>
        </w:rPr>
        <w:t xml:space="preserve">Potential workshop attendees </w:t>
      </w:r>
    </w:p>
    <w:p>
      <w:pPr>
        <w:pStyle w:val="Normal"/>
        <w:numPr>
          <w:ilvl w:val="0"/>
          <w:numId w:val="2"/>
        </w:numPr>
        <w:rPr>
          <w:sz w:val="28"/>
          <w:szCs w:val="28"/>
        </w:rPr>
      </w:pPr>
      <w:r>
        <w:rPr>
          <w:sz w:val="28"/>
          <w:szCs w:val="28"/>
        </w:rPr>
        <w:t xml:space="preserve">OWL Financial management </w:t>
      </w:r>
    </w:p>
    <w:p>
      <w:pPr>
        <w:pStyle w:val="Normal"/>
        <w:numPr>
          <w:ilvl w:val="0"/>
          <w:numId w:val="2"/>
        </w:numPr>
        <w:rPr>
          <w:sz w:val="28"/>
          <w:szCs w:val="28"/>
        </w:rPr>
      </w:pPr>
      <w:r>
        <w:rPr>
          <w:sz w:val="28"/>
          <w:szCs w:val="28"/>
        </w:rPr>
        <w:t xml:space="preserve">Relevant compliance and regulatory stakeholders </w:t>
      </w:r>
    </w:p>
    <w:p>
      <w:pPr>
        <w:pStyle w:val="Normal"/>
        <w:numPr>
          <w:ilvl w:val="0"/>
          <w:numId w:val="2"/>
        </w:numPr>
        <w:rPr>
          <w:sz w:val="28"/>
          <w:szCs w:val="28"/>
        </w:rPr>
      </w:pPr>
      <w:r>
        <w:rPr>
          <w:sz w:val="28"/>
          <w:szCs w:val="28"/>
        </w:rPr>
        <w:t xml:space="preserve">Venue and technology providers </w:t>
      </w:r>
    </w:p>
    <w:p>
      <w:pPr>
        <w:pStyle w:val="Normal"/>
        <w:rPr>
          <w:sz w:val="28"/>
          <w:szCs w:val="28"/>
        </w:rPr>
      </w:pPr>
      <w:r>
        <w:rPr>
          <w:sz w:val="28"/>
          <w:szCs w:val="28"/>
        </w:rPr>
        <w:t>Identifying stakeholders early matters because different groups have different roles, interest and influence over the project. Achterkamp and Vos (2008) highlight treating stakeholder identification as a systematic part of project management, rather than something considered only once problems arise.</w:t>
      </w:r>
    </w:p>
    <w:p>
      <w:pPr>
        <w:pStyle w:val="Normal"/>
        <w:rPr>
          <w:sz w:val="28"/>
          <w:szCs w:val="28"/>
        </w:rPr>
      </w:pPr>
      <w:r>
        <w:rPr>
          <w:sz w:val="28"/>
          <w:szCs w:val="28"/>
        </w:rPr>
        <w:t>Stakeholder analysis therefore needs to go beyond simply naming people involved — their influence, interest, expectations and potential impact need considering when deciding how they should be managed (Project Management Institute, n.d.-f).</w:t>
      </w:r>
    </w:p>
    <w:p>
      <w:pPr>
        <w:pStyle w:val="Heading2"/>
        <w:rPr>
          <w:b/>
          <w:bCs/>
        </w:rPr>
      </w:pPr>
      <w:bookmarkStart w:id="39" w:name="_Toc238761818"/>
      <w:bookmarkStart w:id="40" w:name="__RefHeading___Toc2789_1410408564"/>
      <w:bookmarkEnd w:id="40"/>
      <w:r>
        <w:rPr>
          <w:b/>
          <w:bCs/>
        </w:rPr>
        <w:t>3.4 Power/interest analysis</w:t>
      </w:r>
      <w:bookmarkEnd w:id="39"/>
    </w:p>
    <w:p>
      <w:pPr>
        <w:pStyle w:val="Normal"/>
        <w:rPr/>
      </w:pPr>
      <w:r>
        <w:rPr/>
        <w:t>Mendelow's (1991) power/interest matrix helps determine the level of attention each stakeholder group needs.</w:t>
      </w:r>
    </w:p>
    <w:p>
      <w:pPr>
        <w:pStyle w:val="Normal"/>
        <w:rPr/>
      </w:pPr>
      <w:r>
        <w:rPr/>
        <w:t>Daniela, as Project Sponsor, has high power and high interest, so she should be managed closely, with significant risks, changes and decisions communicated promptly.</w:t>
      </w:r>
    </w:p>
    <w:p>
      <w:pPr>
        <w:pStyle w:val="Normal"/>
        <w:rPr/>
      </w:pPr>
      <w:r>
        <w:rPr/>
        <w:t>Camelia and Sandra have high interest since they develop and review the financial content directly, and their specialist knowledge gives them real influence over quality — they should stay closely involved throughout.</w:t>
      </w:r>
    </w:p>
    <w:p>
      <w:pPr>
        <w:pStyle w:val="Normal"/>
        <w:rPr/>
      </w:pPr>
      <w:r>
        <w:rPr/>
        <w:t>Potential attendees have limited organisational power but high interest, so they should be kept informed through clear invitations, reminders and practical information.</w:t>
      </w:r>
    </w:p>
    <w:p>
      <w:pPr>
        <w:pStyle w:val="Normal"/>
        <w:rPr/>
      </w:pPr>
      <w:r>
        <w:rPr/>
        <w:t>Venue and technology providers have operational influence, since their services matter to delivery, but lower strategic interest — they should be managed according to the specific services they provide.</w:t>
      </w:r>
    </w:p>
    <w:p>
      <w:pPr>
        <w:pStyle w:val="Normal"/>
        <w:rPr/>
      </w:pPr>
      <w:r>
        <w:rPr/>
        <w:t>Mitchell et al. (1997) add a further perspective through the stakeholder salience model, considering power, legitimacy and urgency, which reinforces the need for different approaches with different stakeholder groups.</w:t>
      </w:r>
    </w:p>
    <w:p>
      <w:pPr>
        <w:pStyle w:val="Normal"/>
        <w:rPr/>
      </w:pPr>
      <w:r>
        <w:rPr/>
        <w:t>Stakeholder management also connects closely to risk management — changes in stakeholder expectations, availability or requirements could affect the project, so this information feeds into the risk register (Xia et al., 2018).</w:t>
      </w:r>
    </w:p>
    <w:p>
      <w:pPr>
        <w:pStyle w:val="Normal"/>
        <w:rPr/>
      </w:pPr>
      <w:r>
        <w:rPr/>
      </w:r>
    </w:p>
    <w:p>
      <w:pPr>
        <w:pStyle w:val="Normal"/>
        <w:rPr>
          <w:b/>
          <w:bCs/>
        </w:rPr>
      </w:pPr>
      <w:r>
        <w:rPr>
          <w:b/>
          <w:bCs/>
        </w:rPr>
      </w:r>
      <w:bookmarkStart w:id="41" w:name="_Toc238761819"/>
      <w:bookmarkStart w:id="42" w:name="_Toc238761819"/>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Heading1"/>
        <w:rPr>
          <w:b/>
          <w:bCs/>
        </w:rPr>
      </w:pPr>
      <w:bookmarkStart w:id="43" w:name="_Toc238761819"/>
      <w:bookmarkStart w:id="44" w:name="__RefHeading___Toc2791_1410408564"/>
      <w:bookmarkEnd w:id="44"/>
      <w:r>
        <w:rPr>
          <w:b/>
          <w:bCs/>
        </w:rPr>
        <w:t>4.0 Project Scope, Planning and Resources</w:t>
      </w:r>
      <w:bookmarkEnd w:id="43"/>
    </w:p>
    <w:p>
      <w:pPr>
        <w:pStyle w:val="Heading2"/>
        <w:rPr>
          <w:b/>
          <w:bCs/>
        </w:rPr>
      </w:pPr>
      <w:bookmarkStart w:id="45" w:name="__RefHeading___Toc2793_1410408564"/>
      <w:bookmarkStart w:id="46" w:name="_Toc238761820"/>
      <w:bookmarkEnd w:id="45"/>
      <w:r>
        <w:rPr>
          <w:b/>
          <w:bCs/>
        </w:rPr>
        <w:t>4.1 Project scope</w:t>
      </w:r>
      <w:bookmarkEnd w:id="46"/>
    </w:p>
    <w:p>
      <w:pPr>
        <w:pStyle w:val="Normal"/>
        <w:rPr>
          <w:sz w:val="28"/>
          <w:szCs w:val="28"/>
        </w:rPr>
      </w:pPr>
      <w:bookmarkStart w:id="47" w:name="_Toc238761821"/>
      <w:r>
        <w:rPr>
          <w:sz w:val="28"/>
          <w:szCs w:val="28"/>
        </w:rPr>
        <w:t>The project's scope is to plan and deliver one Financial Protection Awareness Workshop for potential clients of OWL Financial, defining the activities needed to prepare, deliver and evaluate it, and setting clear boundaries.</w:t>
      </w:r>
    </w:p>
    <w:p>
      <w:pPr>
        <w:pStyle w:val="Normal"/>
        <w:rPr>
          <w:sz w:val="28"/>
          <w:szCs w:val="28"/>
        </w:rPr>
      </w:pPr>
      <w:r>
        <w:rPr>
          <w:sz w:val="28"/>
          <w:szCs w:val="28"/>
        </w:rPr>
        <w:t>In scope</w:t>
      </w:r>
    </w:p>
    <w:p>
      <w:pPr>
        <w:pStyle w:val="Normal"/>
        <w:numPr>
          <w:ilvl w:val="0"/>
          <w:numId w:val="3"/>
        </w:numPr>
        <w:rPr>
          <w:sz w:val="28"/>
          <w:szCs w:val="28"/>
        </w:rPr>
      </w:pPr>
      <w:r>
        <w:rPr>
          <w:sz w:val="28"/>
          <w:szCs w:val="28"/>
        </w:rPr>
        <w:t xml:space="preserve">project initiation and planning; </w:t>
      </w:r>
    </w:p>
    <w:p>
      <w:pPr>
        <w:pStyle w:val="Normal"/>
        <w:numPr>
          <w:ilvl w:val="0"/>
          <w:numId w:val="3"/>
        </w:numPr>
        <w:rPr>
          <w:sz w:val="28"/>
          <w:szCs w:val="28"/>
        </w:rPr>
      </w:pPr>
      <w:r>
        <w:rPr>
          <w:sz w:val="28"/>
          <w:szCs w:val="28"/>
        </w:rPr>
        <w:t xml:space="preserve">agreement of workshop objectives; </w:t>
      </w:r>
    </w:p>
    <w:p>
      <w:pPr>
        <w:pStyle w:val="Normal"/>
        <w:numPr>
          <w:ilvl w:val="0"/>
          <w:numId w:val="3"/>
        </w:numPr>
        <w:rPr>
          <w:sz w:val="28"/>
          <w:szCs w:val="28"/>
        </w:rPr>
      </w:pPr>
      <w:r>
        <w:rPr>
          <w:sz w:val="28"/>
          <w:szCs w:val="28"/>
        </w:rPr>
        <w:t xml:space="preserve">content preparation; </w:t>
      </w:r>
    </w:p>
    <w:p>
      <w:pPr>
        <w:pStyle w:val="Normal"/>
        <w:numPr>
          <w:ilvl w:val="0"/>
          <w:numId w:val="3"/>
        </w:numPr>
        <w:rPr>
          <w:sz w:val="28"/>
          <w:szCs w:val="28"/>
        </w:rPr>
      </w:pPr>
      <w:r>
        <w:rPr>
          <w:sz w:val="28"/>
          <w:szCs w:val="28"/>
        </w:rPr>
        <w:t xml:space="preserve">content review and approval; </w:t>
      </w:r>
    </w:p>
    <w:p>
      <w:pPr>
        <w:pStyle w:val="Normal"/>
        <w:numPr>
          <w:ilvl w:val="0"/>
          <w:numId w:val="3"/>
        </w:numPr>
        <w:rPr>
          <w:sz w:val="28"/>
          <w:szCs w:val="28"/>
        </w:rPr>
      </w:pPr>
      <w:r>
        <w:rPr>
          <w:sz w:val="28"/>
          <w:szCs w:val="28"/>
        </w:rPr>
        <w:t xml:space="preserve">venue arrangements; </w:t>
      </w:r>
    </w:p>
    <w:p>
      <w:pPr>
        <w:pStyle w:val="Normal"/>
        <w:numPr>
          <w:ilvl w:val="0"/>
          <w:numId w:val="3"/>
        </w:numPr>
        <w:rPr>
          <w:sz w:val="28"/>
          <w:szCs w:val="28"/>
        </w:rPr>
      </w:pPr>
      <w:r>
        <w:rPr>
          <w:sz w:val="28"/>
          <w:szCs w:val="28"/>
        </w:rPr>
        <w:t xml:space="preserve">technology arrangements; </w:t>
      </w:r>
    </w:p>
    <w:p>
      <w:pPr>
        <w:pStyle w:val="Normal"/>
        <w:numPr>
          <w:ilvl w:val="0"/>
          <w:numId w:val="3"/>
        </w:numPr>
        <w:rPr>
          <w:sz w:val="28"/>
          <w:szCs w:val="28"/>
        </w:rPr>
      </w:pPr>
      <w:r>
        <w:rPr>
          <w:sz w:val="28"/>
          <w:szCs w:val="28"/>
        </w:rPr>
        <w:t xml:space="preserve">invitations and attendee administration; </w:t>
      </w:r>
    </w:p>
    <w:p>
      <w:pPr>
        <w:pStyle w:val="Normal"/>
        <w:numPr>
          <w:ilvl w:val="0"/>
          <w:numId w:val="3"/>
        </w:numPr>
        <w:rPr>
          <w:sz w:val="28"/>
          <w:szCs w:val="28"/>
        </w:rPr>
      </w:pPr>
      <w:r>
        <w:rPr>
          <w:sz w:val="28"/>
          <w:szCs w:val="28"/>
        </w:rPr>
        <w:t xml:space="preserve">workshop delivery; </w:t>
      </w:r>
    </w:p>
    <w:p>
      <w:pPr>
        <w:pStyle w:val="Normal"/>
        <w:numPr>
          <w:ilvl w:val="0"/>
          <w:numId w:val="3"/>
        </w:numPr>
        <w:rPr>
          <w:sz w:val="28"/>
          <w:szCs w:val="28"/>
        </w:rPr>
      </w:pPr>
      <w:r>
        <w:rPr>
          <w:sz w:val="28"/>
          <w:szCs w:val="28"/>
        </w:rPr>
        <w:t xml:space="preserve">participant feedback; </w:t>
      </w:r>
    </w:p>
    <w:p>
      <w:pPr>
        <w:pStyle w:val="Normal"/>
        <w:numPr>
          <w:ilvl w:val="0"/>
          <w:numId w:val="3"/>
        </w:numPr>
        <w:rPr>
          <w:sz w:val="28"/>
          <w:szCs w:val="28"/>
        </w:rPr>
      </w:pPr>
      <w:r>
        <w:rPr>
          <w:sz w:val="28"/>
          <w:szCs w:val="28"/>
        </w:rPr>
        <w:t xml:space="preserve">project evaluation and closure. </w:t>
      </w:r>
    </w:p>
    <w:p>
      <w:pPr>
        <w:pStyle w:val="Normal"/>
        <w:rPr>
          <w:sz w:val="28"/>
          <w:szCs w:val="28"/>
        </w:rPr>
      </w:pPr>
      <w:r>
        <w:rPr>
          <w:sz w:val="28"/>
          <w:szCs w:val="28"/>
        </w:rPr>
        <w:t>Out of scope</w:t>
      </w:r>
    </w:p>
    <w:p>
      <w:pPr>
        <w:pStyle w:val="Normal"/>
        <w:numPr>
          <w:ilvl w:val="0"/>
          <w:numId w:val="4"/>
        </w:numPr>
        <w:rPr>
          <w:sz w:val="28"/>
          <w:szCs w:val="28"/>
        </w:rPr>
      </w:pPr>
      <w:r>
        <w:rPr>
          <w:sz w:val="28"/>
          <w:szCs w:val="28"/>
        </w:rPr>
        <w:t xml:space="preserve">ongoing individual financial advice after the event; </w:t>
      </w:r>
    </w:p>
    <w:p>
      <w:pPr>
        <w:pStyle w:val="Normal"/>
        <w:numPr>
          <w:ilvl w:val="0"/>
          <w:numId w:val="4"/>
        </w:numPr>
        <w:rPr>
          <w:sz w:val="28"/>
          <w:szCs w:val="28"/>
        </w:rPr>
      </w:pPr>
      <w:r>
        <w:rPr>
          <w:sz w:val="28"/>
          <w:szCs w:val="28"/>
        </w:rPr>
        <w:t xml:space="preserve">long-term client relationship management; </w:t>
      </w:r>
    </w:p>
    <w:p>
      <w:pPr>
        <w:pStyle w:val="Normal"/>
        <w:numPr>
          <w:ilvl w:val="0"/>
          <w:numId w:val="4"/>
        </w:numPr>
        <w:rPr>
          <w:sz w:val="28"/>
          <w:szCs w:val="28"/>
        </w:rPr>
      </w:pPr>
      <w:r>
        <w:rPr>
          <w:sz w:val="28"/>
          <w:szCs w:val="28"/>
        </w:rPr>
        <w:t xml:space="preserve">direct management of future workshops; and </w:t>
      </w:r>
    </w:p>
    <w:p>
      <w:pPr>
        <w:pStyle w:val="Normal"/>
        <w:numPr>
          <w:ilvl w:val="0"/>
          <w:numId w:val="4"/>
        </w:numPr>
        <w:rPr>
          <w:sz w:val="28"/>
          <w:szCs w:val="28"/>
        </w:rPr>
      </w:pPr>
      <w:r>
        <w:rPr>
          <w:sz w:val="28"/>
          <w:szCs w:val="28"/>
        </w:rPr>
        <w:t xml:space="preserve">development of an extensive multi-event programme. </w:t>
      </w:r>
    </w:p>
    <w:p>
      <w:pPr>
        <w:pStyle w:val="Normal"/>
        <w:rPr>
          <w:sz w:val="28"/>
          <w:szCs w:val="28"/>
        </w:rPr>
      </w:pPr>
      <w:r>
        <w:rPr>
          <w:sz w:val="28"/>
          <w:szCs w:val="28"/>
        </w:rPr>
        <w:t>Defining the scope at the outset reduces the risk of activities being added without approval. Pinto and Slevin (1988) highlight effective planning and implementation throughout the project life cycle, and Zwikael and Globerson (2006) emphasise effective planning processes for performance.</w:t>
      </w:r>
    </w:p>
    <w:p>
      <w:pPr>
        <w:pStyle w:val="Normal"/>
        <w:rPr>
          <w:sz w:val="28"/>
          <w:szCs w:val="28"/>
        </w:rPr>
      </w:pPr>
      <w:r>
        <w:rPr>
          <w:sz w:val="28"/>
          <w:szCs w:val="28"/>
        </w:rPr>
        <w:t>Here, scope creep could mean unrelated insurance topics being added, the workshop being extended significantly, or the project expanding into a series of events without approval — all of which would affect resources, timescale and objectives (Project Management Institute, n.d.-c).</w:t>
      </w:r>
    </w:p>
    <w:p>
      <w:pPr>
        <w:pStyle w:val="Heading2"/>
        <w:rPr>
          <w:b/>
          <w:bCs/>
        </w:rPr>
      </w:pPr>
      <w:bookmarkStart w:id="48" w:name="_Toc238761821"/>
      <w:bookmarkStart w:id="49" w:name="__RefHeading___Toc2795_1410408564"/>
      <w:bookmarkEnd w:id="49"/>
      <w:r>
        <w:rPr>
          <w:b/>
          <w:bCs/>
        </w:rPr>
        <w:t>4.2 Work Breakdown Structure</w:t>
      </w:r>
      <w:bookmarkEnd w:id="48"/>
    </w:p>
    <w:p>
      <w:pPr>
        <w:pStyle w:val="Normal"/>
        <w:rPr>
          <w:sz w:val="28"/>
          <w:szCs w:val="28"/>
        </w:rPr>
      </w:pPr>
      <w:bookmarkStart w:id="50" w:name="_Toc238761822"/>
      <w:r>
        <w:rPr>
          <w:sz w:val="28"/>
          <w:szCs w:val="28"/>
        </w:rPr>
        <w:t>The project work divides into six major work packages, giving a clear breakdown of the activities required and supporting the development of the schedule.</w:t>
      </w:r>
    </w:p>
    <w:p>
      <w:pPr>
        <w:pStyle w:val="Normal"/>
        <w:rPr>
          <w:sz w:val="28"/>
          <w:szCs w:val="28"/>
        </w:rPr>
      </w:pPr>
      <w:r>
        <w:rPr>
          <w:sz w:val="28"/>
          <w:szCs w:val="28"/>
        </w:rPr>
        <w:t>1. Initiation</w:t>
      </w:r>
    </w:p>
    <w:p>
      <w:pPr>
        <w:pStyle w:val="Normal"/>
        <w:rPr>
          <w:sz w:val="28"/>
          <w:szCs w:val="28"/>
        </w:rPr>
      </w:pPr>
      <w:r>
        <w:rPr>
          <w:sz w:val="28"/>
          <w:szCs w:val="28"/>
        </w:rPr>
        <w:t>Confirm project objectives, confirm team roles, identify stakeholders and agree initial requirements.</w:t>
      </w:r>
    </w:p>
    <w:p>
      <w:pPr>
        <w:pStyle w:val="Normal"/>
        <w:rPr>
          <w:sz w:val="28"/>
          <w:szCs w:val="28"/>
        </w:rPr>
      </w:pPr>
      <w:r>
        <w:rPr>
          <w:sz w:val="28"/>
          <w:szCs w:val="28"/>
        </w:rPr>
        <w:t>2. Planning and logistics</w:t>
      </w:r>
    </w:p>
    <w:p>
      <w:pPr>
        <w:pStyle w:val="Normal"/>
        <w:rPr>
          <w:sz w:val="28"/>
          <w:szCs w:val="28"/>
        </w:rPr>
      </w:pPr>
      <w:r>
        <w:rPr>
          <w:sz w:val="28"/>
          <w:szCs w:val="28"/>
        </w:rPr>
        <w:t>Confirm the workshop date, confirm the venue, establish technical requirements and confirm attendee capacity.</w:t>
      </w:r>
    </w:p>
    <w:p>
      <w:pPr>
        <w:pStyle w:val="Normal"/>
        <w:rPr>
          <w:sz w:val="28"/>
          <w:szCs w:val="28"/>
        </w:rPr>
      </w:pPr>
      <w:r>
        <w:rPr>
          <w:sz w:val="28"/>
          <w:szCs w:val="28"/>
        </w:rPr>
        <w:t>3. Content</w:t>
      </w:r>
    </w:p>
    <w:p>
      <w:pPr>
        <w:pStyle w:val="Normal"/>
        <w:rPr>
          <w:sz w:val="28"/>
          <w:szCs w:val="28"/>
        </w:rPr>
      </w:pPr>
      <w:r>
        <w:rPr>
          <w:sz w:val="28"/>
          <w:szCs w:val="28"/>
        </w:rPr>
        <w:t>Develop content covering life insurance, critical illness cover, income protection and accident protection, followed by review and approval.</w:t>
      </w:r>
    </w:p>
    <w:p>
      <w:pPr>
        <w:pStyle w:val="Normal"/>
        <w:rPr>
          <w:sz w:val="28"/>
          <w:szCs w:val="28"/>
        </w:rPr>
      </w:pPr>
      <w:r>
        <w:rPr>
          <w:sz w:val="28"/>
          <w:szCs w:val="28"/>
        </w:rPr>
        <w:t>4. Marketing and invitations</w:t>
      </w:r>
    </w:p>
    <w:p>
      <w:pPr>
        <w:pStyle w:val="Normal"/>
        <w:rPr>
          <w:sz w:val="28"/>
          <w:szCs w:val="28"/>
        </w:rPr>
      </w:pPr>
      <w:r>
        <w:rPr>
          <w:sz w:val="28"/>
          <w:szCs w:val="28"/>
        </w:rPr>
        <w:t>Prepare the invitation, identify potential attendees, issue invitations, monitor responses and send reminders.</w:t>
      </w:r>
    </w:p>
    <w:p>
      <w:pPr>
        <w:pStyle w:val="Normal"/>
        <w:rPr>
          <w:sz w:val="28"/>
          <w:szCs w:val="28"/>
        </w:rPr>
      </w:pPr>
      <w:r>
        <w:rPr>
          <w:sz w:val="28"/>
          <w:szCs w:val="28"/>
        </w:rPr>
        <w:t>5. Delivery</w:t>
      </w:r>
    </w:p>
    <w:p>
      <w:pPr>
        <w:pStyle w:val="Normal"/>
        <w:rPr>
          <w:sz w:val="28"/>
          <w:szCs w:val="28"/>
        </w:rPr>
      </w:pPr>
      <w:r>
        <w:rPr>
          <w:sz w:val="28"/>
          <w:szCs w:val="28"/>
        </w:rPr>
        <w:t>Complete the final venue check, test the technology, deliver the presentation, manage questions and collect participant feedback.</w:t>
      </w:r>
    </w:p>
    <w:p>
      <w:pPr>
        <w:pStyle w:val="Normal"/>
        <w:rPr>
          <w:sz w:val="28"/>
          <w:szCs w:val="28"/>
        </w:rPr>
      </w:pPr>
      <w:r>
        <w:rPr>
          <w:sz w:val="28"/>
          <w:szCs w:val="28"/>
        </w:rPr>
        <w:t>6. Closure</w:t>
      </w:r>
    </w:p>
    <w:p>
      <w:pPr>
        <w:pStyle w:val="Normal"/>
        <w:rPr>
          <w:sz w:val="28"/>
          <w:szCs w:val="28"/>
        </w:rPr>
      </w:pPr>
      <w:r>
        <w:rPr>
          <w:sz w:val="28"/>
          <w:szCs w:val="28"/>
        </w:rPr>
        <w:t>Evaluate participant feedback, review project objectives, conduct a team debrief, document lessons learned and obtain sponsor sign-off.</w:t>
      </w:r>
    </w:p>
    <w:p>
      <w:pPr>
        <w:pStyle w:val="Heading2"/>
        <w:rPr>
          <w:b/>
          <w:bCs/>
        </w:rPr>
      </w:pPr>
      <w:bookmarkStart w:id="51" w:name="_Toc238761822"/>
      <w:bookmarkStart w:id="52" w:name="__RefHeading___Toc2797_1410408564"/>
      <w:bookmarkEnd w:id="52"/>
      <w:r>
        <w:rPr>
          <w:b/>
          <w:bCs/>
        </w:rPr>
        <w:t>4.3 Critical path and Gantt schedule</w:t>
      </w:r>
      <w:bookmarkEnd w:id="51"/>
    </w:p>
    <w:p>
      <w:pPr>
        <w:pStyle w:val="Normal"/>
        <w:rPr/>
      </w:pPr>
      <w:r>
        <w:rPr/>
        <w:t>The critical path is the sequence of activities that determines the minimum time required for project completion, derived by sequencing the WBS activities and identifying their dependencies (Project Management Institute, n.d.-d). For this workshop, the likely critical sequence is:</w:t>
      </w:r>
    </w:p>
    <w:p>
      <w:pPr>
        <w:pStyle w:val="Normal"/>
        <w:rPr/>
      </w:pPr>
      <w:r>
        <w:rPr>
          <w:b/>
          <w:bCs/>
        </w:rPr>
        <w:t>Project approval → requirements confirmation → content development → content review → final presentation preparation → rehearsal → workshop delivery.</w:t>
      </w:r>
    </w:p>
    <w:p>
      <w:pPr>
        <w:pStyle w:val="Normal"/>
        <w:rPr/>
      </w:pPr>
      <w:r>
        <w:rPr/>
        <w:t>A delay in any of these activities could directly affect the event date. Promotional activities may have some flexibility, but invitations must still be distributed early enough to generate adequate attendance.</w:t>
      </w:r>
    </w:p>
    <w:p>
      <w:pPr>
        <w:pStyle w:val="Normal"/>
        <w:rPr/>
      </w:pPr>
      <w:r>
        <w:rPr/>
        <w:t>Pinto and Slevin (1988) identify project planning and implementation activities as important contributors to project success. The Gantt chart should therefore translate the WBS into a calendar showing start and finish dates, dependencies, milestones and owners.</w:t>
      </w:r>
    </w:p>
    <w:p>
      <w:pPr>
        <w:pStyle w:val="Normal"/>
        <w:rPr/>
      </w:pPr>
      <w:r>
        <w:rPr/>
        <w:t>The critical path should be monitored because deviations occurring close to the final delivery date may have limited recovery opportunities. Hällgren and Maaninen-Olsson (2009) demonstrate that unexpected deviations can challenge project management processes, particularly where time is constrained. The full Gantt schedule, milestones and critical path are provided in Appendix 5.</w:t>
      </w:r>
    </w:p>
    <w:p>
      <w:pPr>
        <w:pStyle w:val="Heading2"/>
        <w:rPr>
          <w:b/>
          <w:bCs/>
        </w:rPr>
      </w:pPr>
      <w:bookmarkStart w:id="53" w:name="__RefHeading___Toc2799_1410408564"/>
      <w:bookmarkStart w:id="54" w:name="_Toc238761823"/>
      <w:bookmarkEnd w:id="53"/>
      <w:r>
        <w:rPr>
          <w:b/>
          <w:bCs/>
        </w:rPr>
        <w:t>4.4 Resource management</w:t>
      </w:r>
      <w:bookmarkEnd w:id="54"/>
    </w:p>
    <w:p>
      <w:pPr>
        <w:pStyle w:val="Normal"/>
        <w:rPr/>
      </w:pPr>
      <w:r>
        <w:rPr/>
        <w:t>The main human resources are Florin, Daniela, Camelia and Sandra. Other resources include the venue, presentation equipment, internet access, communication systems and workshop materials.</w:t>
      </w:r>
    </w:p>
    <w:p>
      <w:pPr>
        <w:pStyle w:val="Normal"/>
        <w:rPr/>
      </w:pPr>
      <w:r>
        <w:rPr/>
        <w:t>Because the team is small, resource planning should avoid assigning several critical activities to one person at the same time. Roles and responsibilities should therefore be defined before implementation.</w:t>
      </w:r>
    </w:p>
    <w:p>
      <w:pPr>
        <w:pStyle w:val="Normal"/>
        <w:rPr/>
      </w:pPr>
      <w:r>
        <w:rPr/>
        <w:t>Kerzner (2022) emphasises the importance of coordinating project resources, responsibilities and planning processes. For the OWL Financial workshop, this means ensuring that specialist financial tasks remain with Camelia and Sandra while project coordination remains primarily with Florin.</w:t>
      </w:r>
    </w:p>
    <w:p>
      <w:pPr>
        <w:pStyle w:val="Normal"/>
        <w:rPr/>
      </w:pPr>
      <w:r>
        <w:rPr/>
      </w:r>
    </w:p>
    <w:p>
      <w:pPr>
        <w:pStyle w:val="Heading1"/>
        <w:rPr>
          <w:b/>
          <w:bCs/>
        </w:rPr>
      </w:pPr>
      <w:bookmarkStart w:id="55" w:name="__RefHeading___Toc2801_1410408564"/>
      <w:bookmarkStart w:id="56" w:name="_Toc238761824"/>
      <w:bookmarkEnd w:id="55"/>
      <w:r>
        <w:rPr>
          <w:b/>
          <w:bCs/>
        </w:rPr>
        <w:t>5.0 Risk, Communication and Project Governance</w:t>
      </w:r>
      <w:bookmarkEnd w:id="56"/>
    </w:p>
    <w:p>
      <w:pPr>
        <w:pStyle w:val="Heading2"/>
        <w:rPr>
          <w:b/>
          <w:bCs/>
        </w:rPr>
      </w:pPr>
      <w:bookmarkStart w:id="57" w:name="__RefHeading___Toc2803_1410408564"/>
      <w:bookmarkStart w:id="58" w:name="_Toc238761825"/>
      <w:bookmarkEnd w:id="57"/>
      <w:r>
        <w:rPr>
          <w:b/>
          <w:bCs/>
        </w:rPr>
        <w:t>5.1 Risk management</w:t>
      </w:r>
      <w:bookmarkEnd w:id="58"/>
    </w:p>
    <w:p>
      <w:pPr>
        <w:pStyle w:val="Normal"/>
        <w:rPr/>
      </w:pPr>
      <w:r>
        <w:rPr/>
        <w:t>Risk management means identifying potential uncertainties, assessing their significance and developing appropriate responses (Project Management Institute, n.d.-e). de Bakker et al. (2010), in a meta-analysis of empirical evidence, examined whether risk management contributes to IT project success and found how risks are understood and managed matters greatly.</w:t>
      </w:r>
    </w:p>
    <w:p>
      <w:pPr>
        <w:pStyle w:val="Normal"/>
        <w:rPr/>
      </w:pPr>
      <w:r>
        <w:rPr/>
        <w:t>The principal risks for the workshop are:</w:t>
      </w:r>
    </w:p>
    <w:tbl>
      <w:tblPr>
        <w:tblW w:w="8814"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1932"/>
        <w:gridCol w:w="1001"/>
        <w:gridCol w:w="812"/>
        <w:gridCol w:w="3579"/>
        <w:gridCol w:w="1490"/>
      </w:tblGrid>
      <w:tr>
        <w:trPr>
          <w:tblHeader w:val="true"/>
        </w:trPr>
        <w:tc>
          <w:tcPr>
            <w:tcW w:w="1932" w:type="dxa"/>
            <w:tcBorders/>
            <w:vAlign w:val="center"/>
          </w:tcPr>
          <w:p>
            <w:pPr>
              <w:pStyle w:val="Normal"/>
              <w:spacing w:before="0" w:after="160"/>
              <w:rPr>
                <w:b/>
                <w:bCs/>
              </w:rPr>
            </w:pPr>
            <w:r>
              <w:rPr>
                <w:b/>
                <w:bCs/>
              </w:rPr>
              <w:t>Risk</w:t>
            </w:r>
          </w:p>
        </w:tc>
        <w:tc>
          <w:tcPr>
            <w:tcW w:w="1001" w:type="dxa"/>
            <w:tcBorders/>
            <w:vAlign w:val="center"/>
          </w:tcPr>
          <w:p>
            <w:pPr>
              <w:pStyle w:val="Normal"/>
              <w:spacing w:before="0" w:after="160"/>
              <w:rPr>
                <w:b/>
                <w:bCs/>
              </w:rPr>
            </w:pPr>
            <w:r>
              <w:rPr>
                <w:b/>
                <w:bCs/>
              </w:rPr>
              <w:t>Likelihood</w:t>
            </w:r>
          </w:p>
        </w:tc>
        <w:tc>
          <w:tcPr>
            <w:tcW w:w="812" w:type="dxa"/>
            <w:tcBorders/>
            <w:vAlign w:val="center"/>
          </w:tcPr>
          <w:p>
            <w:pPr>
              <w:pStyle w:val="Normal"/>
              <w:spacing w:before="0" w:after="160"/>
              <w:rPr>
                <w:b/>
                <w:bCs/>
              </w:rPr>
            </w:pPr>
            <w:r>
              <w:rPr>
                <w:b/>
                <w:bCs/>
              </w:rPr>
              <w:t>Impact</w:t>
            </w:r>
          </w:p>
        </w:tc>
        <w:tc>
          <w:tcPr>
            <w:tcW w:w="3579" w:type="dxa"/>
            <w:tcBorders/>
            <w:vAlign w:val="center"/>
          </w:tcPr>
          <w:p>
            <w:pPr>
              <w:pStyle w:val="Normal"/>
              <w:spacing w:before="0" w:after="160"/>
              <w:rPr>
                <w:b/>
                <w:bCs/>
              </w:rPr>
            </w:pPr>
            <w:r>
              <w:rPr>
                <w:b/>
                <w:bCs/>
              </w:rPr>
              <w:t>Response</w:t>
            </w:r>
          </w:p>
        </w:tc>
        <w:tc>
          <w:tcPr>
            <w:tcW w:w="1490" w:type="dxa"/>
            <w:tcBorders/>
            <w:vAlign w:val="center"/>
          </w:tcPr>
          <w:p>
            <w:pPr>
              <w:pStyle w:val="Normal"/>
              <w:spacing w:before="0" w:after="160"/>
              <w:rPr>
                <w:b/>
                <w:bCs/>
              </w:rPr>
            </w:pPr>
            <w:r>
              <w:rPr>
                <w:b/>
                <w:bCs/>
              </w:rPr>
              <w:t>Owner</w:t>
            </w:r>
          </w:p>
        </w:tc>
      </w:tr>
      <w:tr>
        <w:trPr/>
        <w:tc>
          <w:tcPr>
            <w:tcW w:w="1932" w:type="dxa"/>
            <w:tcBorders/>
            <w:vAlign w:val="center"/>
          </w:tcPr>
          <w:p>
            <w:pPr>
              <w:pStyle w:val="Normal"/>
              <w:widowControl/>
              <w:suppressAutoHyphens w:val="true"/>
              <w:bidi w:val="0"/>
              <w:spacing w:lineRule="auto" w:line="259" w:before="0" w:after="160"/>
              <w:jc w:val="left"/>
              <w:rPr/>
            </w:pPr>
            <w:r>
              <w:rPr/>
              <w:t>Low attendance</w:t>
            </w:r>
          </w:p>
        </w:tc>
        <w:tc>
          <w:tcPr>
            <w:tcW w:w="1001" w:type="dxa"/>
            <w:tcBorders/>
            <w:vAlign w:val="center"/>
          </w:tcPr>
          <w:p>
            <w:pPr>
              <w:pStyle w:val="Normal"/>
              <w:widowControl/>
              <w:suppressAutoHyphens w:val="true"/>
              <w:bidi w:val="0"/>
              <w:spacing w:lineRule="auto" w:line="259" w:before="0" w:after="160"/>
              <w:jc w:val="left"/>
              <w:rPr/>
            </w:pPr>
            <w:r>
              <w:rPr/>
              <w:t>Medium</w:t>
            </w:r>
          </w:p>
        </w:tc>
        <w:tc>
          <w:tcPr>
            <w:tcW w:w="812" w:type="dxa"/>
            <w:tcBorders/>
            <w:vAlign w:val="center"/>
          </w:tcPr>
          <w:p>
            <w:pPr>
              <w:pStyle w:val="Normal"/>
              <w:widowControl/>
              <w:suppressAutoHyphens w:val="true"/>
              <w:bidi w:val="0"/>
              <w:spacing w:lineRule="auto" w:line="259" w:before="0" w:after="160"/>
              <w:jc w:val="left"/>
              <w:rPr/>
            </w:pPr>
            <w:r>
              <w:rPr/>
              <w:t>High</w:t>
            </w:r>
          </w:p>
        </w:tc>
        <w:tc>
          <w:tcPr>
            <w:tcW w:w="3579" w:type="dxa"/>
            <w:tcBorders/>
            <w:vAlign w:val="center"/>
          </w:tcPr>
          <w:p>
            <w:pPr>
              <w:pStyle w:val="Normal"/>
              <w:widowControl/>
              <w:suppressAutoHyphens w:val="true"/>
              <w:bidi w:val="0"/>
              <w:spacing w:lineRule="auto" w:line="259" w:before="0" w:after="160"/>
              <w:jc w:val="left"/>
              <w:rPr/>
            </w:pPr>
            <w:r>
              <w:rPr/>
              <w:t>Early invitations and reminders</w:t>
            </w:r>
          </w:p>
        </w:tc>
        <w:tc>
          <w:tcPr>
            <w:tcW w:w="1490" w:type="dxa"/>
            <w:tcBorders/>
            <w:vAlign w:val="center"/>
          </w:tcPr>
          <w:p>
            <w:pPr>
              <w:pStyle w:val="Normal"/>
              <w:widowControl/>
              <w:suppressAutoHyphens w:val="true"/>
              <w:bidi w:val="0"/>
              <w:spacing w:lineRule="auto" w:line="259" w:before="0" w:after="160"/>
              <w:jc w:val="left"/>
              <w:rPr/>
            </w:pPr>
            <w:r>
              <w:rPr/>
              <w:t>Florin</w:t>
            </w:r>
          </w:p>
        </w:tc>
      </w:tr>
      <w:tr>
        <w:trPr/>
        <w:tc>
          <w:tcPr>
            <w:tcW w:w="1932" w:type="dxa"/>
            <w:tcBorders/>
            <w:vAlign w:val="center"/>
          </w:tcPr>
          <w:p>
            <w:pPr>
              <w:pStyle w:val="Normal"/>
              <w:widowControl/>
              <w:suppressAutoHyphens w:val="true"/>
              <w:bidi w:val="0"/>
              <w:spacing w:lineRule="auto" w:line="259" w:before="0" w:after="160"/>
              <w:jc w:val="left"/>
              <w:rPr/>
            </w:pPr>
            <w:r>
              <w:rPr/>
              <w:t>Adviser unavailable</w:t>
            </w:r>
          </w:p>
        </w:tc>
        <w:tc>
          <w:tcPr>
            <w:tcW w:w="1001" w:type="dxa"/>
            <w:tcBorders/>
            <w:vAlign w:val="center"/>
          </w:tcPr>
          <w:p>
            <w:pPr>
              <w:pStyle w:val="Normal"/>
              <w:widowControl/>
              <w:suppressAutoHyphens w:val="true"/>
              <w:bidi w:val="0"/>
              <w:spacing w:lineRule="auto" w:line="259" w:before="0" w:after="160"/>
              <w:jc w:val="left"/>
              <w:rPr/>
            </w:pPr>
            <w:r>
              <w:rPr/>
              <w:t>Low</w:t>
            </w:r>
          </w:p>
        </w:tc>
        <w:tc>
          <w:tcPr>
            <w:tcW w:w="812" w:type="dxa"/>
            <w:tcBorders/>
            <w:vAlign w:val="center"/>
          </w:tcPr>
          <w:p>
            <w:pPr>
              <w:pStyle w:val="Normal"/>
              <w:widowControl/>
              <w:suppressAutoHyphens w:val="true"/>
              <w:bidi w:val="0"/>
              <w:spacing w:lineRule="auto" w:line="259" w:before="0" w:after="160"/>
              <w:jc w:val="left"/>
              <w:rPr/>
            </w:pPr>
            <w:r>
              <w:rPr/>
              <w:t>High</w:t>
            </w:r>
          </w:p>
        </w:tc>
        <w:tc>
          <w:tcPr>
            <w:tcW w:w="3579" w:type="dxa"/>
            <w:tcBorders/>
            <w:vAlign w:val="center"/>
          </w:tcPr>
          <w:p>
            <w:pPr>
              <w:pStyle w:val="Normal"/>
              <w:widowControl/>
              <w:suppressAutoHyphens w:val="true"/>
              <w:bidi w:val="0"/>
              <w:spacing w:lineRule="auto" w:line="259" w:before="0" w:after="160"/>
              <w:jc w:val="left"/>
              <w:rPr/>
            </w:pPr>
            <w:r>
              <w:rPr/>
              <w:t>Backup arrangements</w:t>
            </w:r>
          </w:p>
        </w:tc>
        <w:tc>
          <w:tcPr>
            <w:tcW w:w="1490" w:type="dxa"/>
            <w:tcBorders/>
            <w:vAlign w:val="center"/>
          </w:tcPr>
          <w:p>
            <w:pPr>
              <w:pStyle w:val="Normal"/>
              <w:widowControl/>
              <w:suppressAutoHyphens w:val="true"/>
              <w:bidi w:val="0"/>
              <w:spacing w:lineRule="auto" w:line="259" w:before="0" w:after="160"/>
              <w:jc w:val="left"/>
              <w:rPr/>
            </w:pPr>
            <w:r>
              <w:rPr/>
              <w:t>Daniela</w:t>
            </w:r>
          </w:p>
        </w:tc>
      </w:tr>
      <w:tr>
        <w:trPr/>
        <w:tc>
          <w:tcPr>
            <w:tcW w:w="1932" w:type="dxa"/>
            <w:tcBorders/>
            <w:vAlign w:val="center"/>
          </w:tcPr>
          <w:p>
            <w:pPr>
              <w:pStyle w:val="Normal"/>
              <w:widowControl/>
              <w:suppressAutoHyphens w:val="true"/>
              <w:bidi w:val="0"/>
              <w:spacing w:lineRule="auto" w:line="259" w:before="0" w:after="160"/>
              <w:jc w:val="left"/>
              <w:rPr/>
            </w:pPr>
            <w:r>
              <w:rPr/>
              <w:t>Venue cancellation</w:t>
            </w:r>
          </w:p>
        </w:tc>
        <w:tc>
          <w:tcPr>
            <w:tcW w:w="1001" w:type="dxa"/>
            <w:tcBorders/>
            <w:vAlign w:val="center"/>
          </w:tcPr>
          <w:p>
            <w:pPr>
              <w:pStyle w:val="Normal"/>
              <w:widowControl/>
              <w:suppressAutoHyphens w:val="true"/>
              <w:bidi w:val="0"/>
              <w:spacing w:lineRule="auto" w:line="259" w:before="0" w:after="160"/>
              <w:jc w:val="left"/>
              <w:rPr/>
            </w:pPr>
            <w:r>
              <w:rPr/>
              <w:t>Low</w:t>
            </w:r>
          </w:p>
        </w:tc>
        <w:tc>
          <w:tcPr>
            <w:tcW w:w="812" w:type="dxa"/>
            <w:tcBorders/>
            <w:vAlign w:val="center"/>
          </w:tcPr>
          <w:p>
            <w:pPr>
              <w:pStyle w:val="Normal"/>
              <w:widowControl/>
              <w:suppressAutoHyphens w:val="true"/>
              <w:bidi w:val="0"/>
              <w:spacing w:lineRule="auto" w:line="259" w:before="0" w:after="160"/>
              <w:jc w:val="left"/>
              <w:rPr/>
            </w:pPr>
            <w:r>
              <w:rPr/>
              <w:t>High</w:t>
            </w:r>
          </w:p>
        </w:tc>
        <w:tc>
          <w:tcPr>
            <w:tcW w:w="3579" w:type="dxa"/>
            <w:tcBorders/>
            <w:vAlign w:val="center"/>
          </w:tcPr>
          <w:p>
            <w:pPr>
              <w:pStyle w:val="Normal"/>
              <w:widowControl/>
              <w:suppressAutoHyphens w:val="true"/>
              <w:bidi w:val="0"/>
              <w:spacing w:lineRule="auto" w:line="259" w:before="0" w:after="160"/>
              <w:jc w:val="left"/>
              <w:rPr/>
            </w:pPr>
            <w:r>
              <w:rPr/>
              <w:t>Confirm booking and alternative option</w:t>
            </w:r>
          </w:p>
        </w:tc>
        <w:tc>
          <w:tcPr>
            <w:tcW w:w="1490" w:type="dxa"/>
            <w:tcBorders/>
            <w:vAlign w:val="center"/>
          </w:tcPr>
          <w:p>
            <w:pPr>
              <w:pStyle w:val="Normal"/>
              <w:widowControl/>
              <w:suppressAutoHyphens w:val="true"/>
              <w:bidi w:val="0"/>
              <w:spacing w:lineRule="auto" w:line="259" w:before="0" w:after="160"/>
              <w:jc w:val="left"/>
              <w:rPr/>
            </w:pPr>
            <w:r>
              <w:rPr/>
              <w:t>Florin</w:t>
            </w:r>
          </w:p>
        </w:tc>
      </w:tr>
      <w:tr>
        <w:trPr/>
        <w:tc>
          <w:tcPr>
            <w:tcW w:w="1932" w:type="dxa"/>
            <w:tcBorders/>
            <w:vAlign w:val="center"/>
          </w:tcPr>
          <w:p>
            <w:pPr>
              <w:pStyle w:val="Normal"/>
              <w:widowControl/>
              <w:suppressAutoHyphens w:val="true"/>
              <w:bidi w:val="0"/>
              <w:spacing w:lineRule="auto" w:line="259" w:before="0" w:after="160"/>
              <w:jc w:val="left"/>
              <w:rPr/>
            </w:pPr>
            <w:r>
              <w:rPr/>
              <w:t>Technology failure</w:t>
            </w:r>
          </w:p>
        </w:tc>
        <w:tc>
          <w:tcPr>
            <w:tcW w:w="1001" w:type="dxa"/>
            <w:tcBorders/>
            <w:vAlign w:val="center"/>
          </w:tcPr>
          <w:p>
            <w:pPr>
              <w:pStyle w:val="Normal"/>
              <w:widowControl/>
              <w:suppressAutoHyphens w:val="true"/>
              <w:bidi w:val="0"/>
              <w:spacing w:lineRule="auto" w:line="259" w:before="0" w:after="160"/>
              <w:jc w:val="left"/>
              <w:rPr/>
            </w:pPr>
            <w:r>
              <w:rPr/>
              <w:t>Medium</w:t>
            </w:r>
          </w:p>
        </w:tc>
        <w:tc>
          <w:tcPr>
            <w:tcW w:w="812" w:type="dxa"/>
            <w:tcBorders/>
            <w:vAlign w:val="center"/>
          </w:tcPr>
          <w:p>
            <w:pPr>
              <w:pStyle w:val="Normal"/>
              <w:widowControl/>
              <w:suppressAutoHyphens w:val="true"/>
              <w:bidi w:val="0"/>
              <w:spacing w:lineRule="auto" w:line="259" w:before="0" w:after="160"/>
              <w:jc w:val="left"/>
              <w:rPr/>
            </w:pPr>
            <w:r>
              <w:rPr/>
              <w:t>Medium</w:t>
            </w:r>
          </w:p>
        </w:tc>
        <w:tc>
          <w:tcPr>
            <w:tcW w:w="3579" w:type="dxa"/>
            <w:tcBorders/>
            <w:vAlign w:val="center"/>
          </w:tcPr>
          <w:p>
            <w:pPr>
              <w:pStyle w:val="Normal"/>
              <w:widowControl/>
              <w:suppressAutoHyphens w:val="true"/>
              <w:bidi w:val="0"/>
              <w:spacing w:lineRule="auto" w:line="259" w:before="0" w:after="160"/>
              <w:jc w:val="left"/>
              <w:rPr/>
            </w:pPr>
            <w:r>
              <w:rPr/>
              <w:t>Test equipment and prepare backup</w:t>
            </w:r>
          </w:p>
        </w:tc>
        <w:tc>
          <w:tcPr>
            <w:tcW w:w="1490" w:type="dxa"/>
            <w:tcBorders/>
            <w:vAlign w:val="center"/>
          </w:tcPr>
          <w:p>
            <w:pPr>
              <w:pStyle w:val="Normal"/>
              <w:widowControl/>
              <w:suppressAutoHyphens w:val="true"/>
              <w:bidi w:val="0"/>
              <w:spacing w:lineRule="auto" w:line="259" w:before="0" w:after="160"/>
              <w:jc w:val="left"/>
              <w:rPr/>
            </w:pPr>
            <w:r>
              <w:rPr/>
              <w:t>Florin</w:t>
            </w:r>
          </w:p>
        </w:tc>
      </w:tr>
      <w:tr>
        <w:trPr/>
        <w:tc>
          <w:tcPr>
            <w:tcW w:w="1932" w:type="dxa"/>
            <w:tcBorders/>
            <w:vAlign w:val="center"/>
          </w:tcPr>
          <w:p>
            <w:pPr>
              <w:pStyle w:val="Normal"/>
              <w:widowControl/>
              <w:suppressAutoHyphens w:val="true"/>
              <w:bidi w:val="0"/>
              <w:spacing w:lineRule="auto" w:line="259" w:before="0" w:after="160"/>
              <w:jc w:val="left"/>
              <w:rPr/>
            </w:pPr>
            <w:r>
              <w:rPr/>
              <w:t>Content amendment</w:t>
            </w:r>
          </w:p>
        </w:tc>
        <w:tc>
          <w:tcPr>
            <w:tcW w:w="1001" w:type="dxa"/>
            <w:tcBorders/>
            <w:vAlign w:val="center"/>
          </w:tcPr>
          <w:p>
            <w:pPr>
              <w:pStyle w:val="Normal"/>
              <w:widowControl/>
              <w:suppressAutoHyphens w:val="true"/>
              <w:bidi w:val="0"/>
              <w:spacing w:lineRule="auto" w:line="259" w:before="0" w:after="160"/>
              <w:jc w:val="left"/>
              <w:rPr/>
            </w:pPr>
            <w:r>
              <w:rPr/>
              <w:t>Medium</w:t>
            </w:r>
          </w:p>
        </w:tc>
        <w:tc>
          <w:tcPr>
            <w:tcW w:w="812" w:type="dxa"/>
            <w:tcBorders/>
            <w:vAlign w:val="center"/>
          </w:tcPr>
          <w:p>
            <w:pPr>
              <w:pStyle w:val="Normal"/>
              <w:widowControl/>
              <w:suppressAutoHyphens w:val="true"/>
              <w:bidi w:val="0"/>
              <w:spacing w:lineRule="auto" w:line="259" w:before="0" w:after="160"/>
              <w:jc w:val="left"/>
              <w:rPr/>
            </w:pPr>
            <w:r>
              <w:rPr/>
              <w:t>High</w:t>
            </w:r>
          </w:p>
        </w:tc>
        <w:tc>
          <w:tcPr>
            <w:tcW w:w="3579" w:type="dxa"/>
            <w:tcBorders/>
            <w:vAlign w:val="center"/>
          </w:tcPr>
          <w:p>
            <w:pPr>
              <w:pStyle w:val="Normal"/>
              <w:widowControl/>
              <w:suppressAutoHyphens w:val="true"/>
              <w:bidi w:val="0"/>
              <w:spacing w:lineRule="auto" w:line="259" w:before="0" w:after="160"/>
              <w:jc w:val="left"/>
              <w:rPr/>
            </w:pPr>
            <w:r>
              <w:rPr/>
              <w:t>Early review and change control</w:t>
            </w:r>
          </w:p>
        </w:tc>
        <w:tc>
          <w:tcPr>
            <w:tcW w:w="1490" w:type="dxa"/>
            <w:tcBorders/>
            <w:vAlign w:val="center"/>
          </w:tcPr>
          <w:p>
            <w:pPr>
              <w:pStyle w:val="Normal"/>
              <w:widowControl/>
              <w:suppressAutoHyphens w:val="true"/>
              <w:bidi w:val="0"/>
              <w:spacing w:lineRule="auto" w:line="259" w:before="0" w:after="160"/>
              <w:jc w:val="left"/>
              <w:rPr/>
            </w:pPr>
            <w:r>
              <w:rPr/>
              <w:t>Camelia/Sandra</w:t>
            </w:r>
          </w:p>
        </w:tc>
      </w:tr>
      <w:tr>
        <w:trPr/>
        <w:tc>
          <w:tcPr>
            <w:tcW w:w="1932" w:type="dxa"/>
            <w:tcBorders/>
            <w:vAlign w:val="center"/>
          </w:tcPr>
          <w:p>
            <w:pPr>
              <w:pStyle w:val="Normal"/>
              <w:widowControl/>
              <w:suppressAutoHyphens w:val="true"/>
              <w:bidi w:val="0"/>
              <w:spacing w:lineRule="auto" w:line="259" w:before="0" w:after="160"/>
              <w:jc w:val="left"/>
              <w:rPr/>
            </w:pPr>
            <w:r>
              <w:rPr/>
              <w:t>Poor engagement</w:t>
            </w:r>
          </w:p>
        </w:tc>
        <w:tc>
          <w:tcPr>
            <w:tcW w:w="1001" w:type="dxa"/>
            <w:tcBorders/>
            <w:vAlign w:val="center"/>
          </w:tcPr>
          <w:p>
            <w:pPr>
              <w:pStyle w:val="Normal"/>
              <w:widowControl/>
              <w:suppressAutoHyphens w:val="true"/>
              <w:bidi w:val="0"/>
              <w:spacing w:lineRule="auto" w:line="259" w:before="0" w:after="160"/>
              <w:jc w:val="left"/>
              <w:rPr/>
            </w:pPr>
            <w:r>
              <w:rPr/>
              <w:t>Medium</w:t>
            </w:r>
          </w:p>
        </w:tc>
        <w:tc>
          <w:tcPr>
            <w:tcW w:w="812" w:type="dxa"/>
            <w:tcBorders/>
            <w:vAlign w:val="center"/>
          </w:tcPr>
          <w:p>
            <w:pPr>
              <w:pStyle w:val="Normal"/>
              <w:widowControl/>
              <w:suppressAutoHyphens w:val="true"/>
              <w:bidi w:val="0"/>
              <w:spacing w:lineRule="auto" w:line="259" w:before="0" w:after="160"/>
              <w:jc w:val="left"/>
              <w:rPr/>
            </w:pPr>
            <w:r>
              <w:rPr/>
              <w:t>Medium</w:t>
            </w:r>
          </w:p>
        </w:tc>
        <w:tc>
          <w:tcPr>
            <w:tcW w:w="3579" w:type="dxa"/>
            <w:tcBorders/>
            <w:vAlign w:val="center"/>
          </w:tcPr>
          <w:p>
            <w:pPr>
              <w:pStyle w:val="Normal"/>
              <w:widowControl/>
              <w:suppressAutoHyphens w:val="true"/>
              <w:bidi w:val="0"/>
              <w:spacing w:lineRule="auto" w:line="259" w:before="0" w:after="160"/>
              <w:jc w:val="left"/>
              <w:rPr/>
            </w:pPr>
            <w:r>
              <w:rPr/>
              <w:t>Questions and interactive discussion</w:t>
            </w:r>
          </w:p>
        </w:tc>
        <w:tc>
          <w:tcPr>
            <w:tcW w:w="1490" w:type="dxa"/>
            <w:tcBorders/>
            <w:vAlign w:val="center"/>
          </w:tcPr>
          <w:p>
            <w:pPr>
              <w:pStyle w:val="Normal"/>
              <w:widowControl/>
              <w:suppressAutoHyphens w:val="true"/>
              <w:bidi w:val="0"/>
              <w:spacing w:lineRule="auto" w:line="259" w:before="0" w:after="160"/>
              <w:jc w:val="left"/>
              <w:rPr/>
            </w:pPr>
            <w:r>
              <w:rPr/>
              <w:t>Camelia/Sandra</w:t>
            </w:r>
          </w:p>
        </w:tc>
      </w:tr>
      <w:tr>
        <w:trPr/>
        <w:tc>
          <w:tcPr>
            <w:tcW w:w="1932" w:type="dxa"/>
            <w:tcBorders/>
            <w:vAlign w:val="center"/>
          </w:tcPr>
          <w:p>
            <w:pPr>
              <w:pStyle w:val="Normal"/>
              <w:widowControl/>
              <w:suppressAutoHyphens w:val="true"/>
              <w:bidi w:val="0"/>
              <w:spacing w:lineRule="auto" w:line="259" w:before="0" w:after="160"/>
              <w:jc w:val="left"/>
              <w:rPr/>
            </w:pPr>
            <w:r>
              <w:rPr/>
              <w:t>Data/privacy issue</w:t>
            </w:r>
          </w:p>
        </w:tc>
        <w:tc>
          <w:tcPr>
            <w:tcW w:w="1001" w:type="dxa"/>
            <w:tcBorders/>
            <w:vAlign w:val="center"/>
          </w:tcPr>
          <w:p>
            <w:pPr>
              <w:pStyle w:val="Normal"/>
              <w:widowControl/>
              <w:suppressAutoHyphens w:val="true"/>
              <w:bidi w:val="0"/>
              <w:spacing w:lineRule="auto" w:line="259" w:before="0" w:after="160"/>
              <w:jc w:val="left"/>
              <w:rPr/>
            </w:pPr>
            <w:r>
              <w:rPr/>
              <w:t>Low</w:t>
            </w:r>
          </w:p>
        </w:tc>
        <w:tc>
          <w:tcPr>
            <w:tcW w:w="812" w:type="dxa"/>
            <w:tcBorders/>
            <w:vAlign w:val="center"/>
          </w:tcPr>
          <w:p>
            <w:pPr>
              <w:pStyle w:val="Normal"/>
              <w:widowControl/>
              <w:suppressAutoHyphens w:val="true"/>
              <w:bidi w:val="0"/>
              <w:spacing w:lineRule="auto" w:line="259" w:before="0" w:after="160"/>
              <w:jc w:val="left"/>
              <w:rPr/>
            </w:pPr>
            <w:r>
              <w:rPr/>
              <w:t>High</w:t>
            </w:r>
          </w:p>
        </w:tc>
        <w:tc>
          <w:tcPr>
            <w:tcW w:w="3579" w:type="dxa"/>
            <w:tcBorders/>
            <w:vAlign w:val="center"/>
          </w:tcPr>
          <w:p>
            <w:pPr>
              <w:pStyle w:val="Normal"/>
              <w:widowControl/>
              <w:suppressAutoHyphens w:val="true"/>
              <w:bidi w:val="0"/>
              <w:spacing w:lineRule="auto" w:line="259" w:before="0" w:after="160"/>
              <w:jc w:val="left"/>
              <w:rPr/>
            </w:pPr>
            <w:r>
              <w:rPr/>
              <w:t>Appropriate information handling</w:t>
            </w:r>
          </w:p>
        </w:tc>
        <w:tc>
          <w:tcPr>
            <w:tcW w:w="1490" w:type="dxa"/>
            <w:tcBorders/>
            <w:vAlign w:val="center"/>
          </w:tcPr>
          <w:p>
            <w:pPr>
              <w:pStyle w:val="Normal"/>
              <w:widowControl/>
              <w:suppressAutoHyphens w:val="true"/>
              <w:bidi w:val="0"/>
              <w:spacing w:lineRule="auto" w:line="259" w:before="0" w:after="160"/>
              <w:jc w:val="left"/>
              <w:rPr/>
            </w:pPr>
            <w:r>
              <w:rPr/>
              <w:t>Florin/Daniela</w:t>
            </w:r>
          </w:p>
        </w:tc>
      </w:tr>
    </w:tbl>
    <w:p>
      <w:pPr>
        <w:pStyle w:val="Normal"/>
        <w:rPr/>
      </w:pPr>
      <w:r>
        <w:rPr/>
        <w:t>Belassi and Tukel (1996) argue that success is influenced by factors involving the project team, organisation and external environment, and the risk register reflects these categories — people, resources, content and external conditions.</w:t>
      </w:r>
    </w:p>
    <w:p>
      <w:pPr>
        <w:pStyle w:val="Normal"/>
        <w:rPr/>
      </w:pPr>
      <w:r>
        <w:rPr/>
        <w:t>The highest-priority risks are those that could stop the workshop happening or compromise the accuracy and quality of content. The full risk register, with scoring and contingency actions, is in Appendix 6.</w:t>
      </w:r>
    </w:p>
    <w:p>
      <w:pPr>
        <w:pStyle w:val="Heading2"/>
        <w:rPr>
          <w:b/>
          <w:bCs/>
        </w:rPr>
      </w:pPr>
      <w:bookmarkStart w:id="59" w:name="__RefHeading___Toc2805_1410408564"/>
      <w:bookmarkStart w:id="60" w:name="_Toc238761826"/>
      <w:bookmarkEnd w:id="59"/>
      <w:r>
        <w:rPr>
          <w:b/>
          <w:bCs/>
        </w:rPr>
        <w:t>5.2 Communication plan</w:t>
      </w:r>
      <w:bookmarkEnd w:id="60"/>
    </w:p>
    <w:p>
      <w:pPr>
        <w:pStyle w:val="Normal"/>
        <w:rPr/>
      </w:pPr>
      <w:r>
        <w:rPr/>
        <w:t>Communication reflects stakeholder power, interest and responsibilities, using weekly progress meetings, email and direct discussions for urgent decisions.</w:t>
      </w:r>
    </w:p>
    <w:p>
      <w:pPr>
        <w:pStyle w:val="Normal"/>
        <w:rPr/>
      </w:pPr>
      <w:r>
        <w:rPr/>
        <w:t>Daniela receives regular information on progress, major risks and decisions. Camelia and Sandra receive clear deadlines and stay involved in content discussions. Potential attendees receive concise event information and reminders.</w:t>
      </w:r>
    </w:p>
    <w:p>
      <w:pPr>
        <w:pStyle w:val="Normal"/>
        <w:rPr/>
      </w:pPr>
      <w:r>
        <w:rPr/>
        <w:t>Pinto and Slevin (1988) identify communication as an important factor in successful implementation, so it should be treated as an active management process, not simply reporting.</w:t>
      </w:r>
    </w:p>
    <w:p>
      <w:pPr>
        <w:pStyle w:val="Normal"/>
        <w:rPr/>
      </w:pPr>
      <w:r>
        <w:rPr/>
        <w:t>Communication should also run both ways — team members must be able to raise concerns, not simply receive instructions — making it part of both project control and stakeholder engagement. This reflects PMI guidance treating communication as strategic rather than routine reporting (Project Management Institute, n.d.-b). The full communication plan is in Appendix 8.</w:t>
      </w:r>
    </w:p>
    <w:p>
      <w:pPr>
        <w:pStyle w:val="Heading2"/>
        <w:rPr>
          <w:b/>
          <w:bCs/>
        </w:rPr>
      </w:pPr>
      <w:bookmarkStart w:id="61" w:name="__RefHeading___Toc2807_1410408564"/>
      <w:bookmarkStart w:id="62" w:name="_Toc238761827"/>
      <w:bookmarkEnd w:id="61"/>
      <w:r>
        <w:rPr>
          <w:b/>
          <w:bCs/>
        </w:rPr>
        <w:t>5.3 RACI and governance</w:t>
      </w:r>
      <w:bookmarkEnd w:id="62"/>
    </w:p>
    <w:p>
      <w:pPr>
        <w:pStyle w:val="Normal"/>
        <w:rPr/>
      </w:pPr>
      <w:r>
        <w:rPr/>
        <w:t xml:space="preserve">A RACI matrix provides clarity over who is </w:t>
      </w:r>
      <w:r>
        <w:rPr>
          <w:b/>
          <w:bCs/>
        </w:rPr>
        <w:t>Responsible, Accountable, Consulted and Informed</w:t>
      </w:r>
      <w:r>
        <w:rPr/>
        <w:t>.</w:t>
      </w:r>
    </w:p>
    <w:tbl>
      <w:tblPr>
        <w:tblW w:w="4860"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2025"/>
        <w:gridCol w:w="581"/>
        <w:gridCol w:w="756"/>
        <w:gridCol w:w="789"/>
        <w:gridCol w:w="709"/>
      </w:tblGrid>
      <w:tr>
        <w:trPr>
          <w:tblHeader w:val="true"/>
        </w:trPr>
        <w:tc>
          <w:tcPr>
            <w:tcW w:w="2025" w:type="dxa"/>
            <w:tcBorders/>
            <w:vAlign w:val="center"/>
          </w:tcPr>
          <w:p>
            <w:pPr>
              <w:pStyle w:val="Normal"/>
              <w:spacing w:before="0" w:after="160"/>
              <w:rPr>
                <w:b/>
                <w:bCs/>
              </w:rPr>
            </w:pPr>
            <w:r>
              <w:rPr>
                <w:b/>
                <w:bCs/>
              </w:rPr>
              <w:t>Activity</w:t>
            </w:r>
          </w:p>
        </w:tc>
        <w:tc>
          <w:tcPr>
            <w:tcW w:w="581" w:type="dxa"/>
            <w:tcBorders/>
            <w:vAlign w:val="center"/>
          </w:tcPr>
          <w:p>
            <w:pPr>
              <w:pStyle w:val="Normal"/>
              <w:spacing w:before="0" w:after="160"/>
              <w:rPr>
                <w:b/>
                <w:bCs/>
              </w:rPr>
            </w:pPr>
            <w:r>
              <w:rPr>
                <w:b/>
                <w:bCs/>
              </w:rPr>
              <w:t>Florin</w:t>
            </w:r>
          </w:p>
        </w:tc>
        <w:tc>
          <w:tcPr>
            <w:tcW w:w="756" w:type="dxa"/>
            <w:tcBorders/>
            <w:vAlign w:val="center"/>
          </w:tcPr>
          <w:p>
            <w:pPr>
              <w:pStyle w:val="Normal"/>
              <w:spacing w:before="0" w:after="160"/>
              <w:rPr>
                <w:b/>
                <w:bCs/>
              </w:rPr>
            </w:pPr>
            <w:r>
              <w:rPr>
                <w:b/>
                <w:bCs/>
              </w:rPr>
              <w:t>Daniela</w:t>
            </w:r>
          </w:p>
        </w:tc>
        <w:tc>
          <w:tcPr>
            <w:tcW w:w="789" w:type="dxa"/>
            <w:tcBorders/>
            <w:vAlign w:val="center"/>
          </w:tcPr>
          <w:p>
            <w:pPr>
              <w:pStyle w:val="Normal"/>
              <w:spacing w:before="0" w:after="160"/>
              <w:rPr>
                <w:b/>
                <w:bCs/>
              </w:rPr>
            </w:pPr>
            <w:r>
              <w:rPr>
                <w:b/>
                <w:bCs/>
              </w:rPr>
              <w:t>Camelia</w:t>
            </w:r>
          </w:p>
        </w:tc>
        <w:tc>
          <w:tcPr>
            <w:tcW w:w="709" w:type="dxa"/>
            <w:tcBorders/>
            <w:vAlign w:val="center"/>
          </w:tcPr>
          <w:p>
            <w:pPr>
              <w:pStyle w:val="Normal"/>
              <w:spacing w:before="0" w:after="160"/>
              <w:rPr>
                <w:b/>
                <w:bCs/>
              </w:rPr>
            </w:pPr>
            <w:r>
              <w:rPr>
                <w:b/>
                <w:bCs/>
              </w:rPr>
              <w:t>Sandra</w:t>
            </w:r>
          </w:p>
        </w:tc>
      </w:tr>
      <w:tr>
        <w:trPr/>
        <w:tc>
          <w:tcPr>
            <w:tcW w:w="2025" w:type="dxa"/>
            <w:tcBorders/>
            <w:vAlign w:val="center"/>
          </w:tcPr>
          <w:p>
            <w:pPr>
              <w:pStyle w:val="Normal"/>
              <w:widowControl/>
              <w:suppressAutoHyphens w:val="true"/>
              <w:bidi w:val="0"/>
              <w:spacing w:lineRule="auto" w:line="259" w:before="0" w:after="160"/>
              <w:jc w:val="left"/>
              <w:rPr/>
            </w:pPr>
            <w:r>
              <w:rPr/>
              <w:t>Project planning</w:t>
            </w:r>
          </w:p>
        </w:tc>
        <w:tc>
          <w:tcPr>
            <w:tcW w:w="581" w:type="dxa"/>
            <w:tcBorders/>
            <w:vAlign w:val="center"/>
          </w:tcPr>
          <w:p>
            <w:pPr>
              <w:pStyle w:val="Normal"/>
              <w:widowControl/>
              <w:suppressAutoHyphens w:val="true"/>
              <w:bidi w:val="0"/>
              <w:spacing w:lineRule="auto" w:line="259" w:before="0" w:after="160"/>
              <w:jc w:val="left"/>
              <w:rPr/>
            </w:pPr>
            <w:r>
              <w:rPr/>
              <w:t>R</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C</w:t>
            </w:r>
          </w:p>
        </w:tc>
        <w:tc>
          <w:tcPr>
            <w:tcW w:w="709" w:type="dxa"/>
            <w:tcBorders/>
            <w:vAlign w:val="center"/>
          </w:tcPr>
          <w:p>
            <w:pPr>
              <w:pStyle w:val="Normal"/>
              <w:widowControl/>
              <w:suppressAutoHyphens w:val="true"/>
              <w:bidi w:val="0"/>
              <w:spacing w:lineRule="auto" w:line="259" w:before="0" w:after="160"/>
              <w:jc w:val="left"/>
              <w:rPr/>
            </w:pPr>
            <w:r>
              <w:rPr/>
              <w:t>C</w:t>
            </w:r>
          </w:p>
        </w:tc>
      </w:tr>
      <w:tr>
        <w:trPr/>
        <w:tc>
          <w:tcPr>
            <w:tcW w:w="2025" w:type="dxa"/>
            <w:tcBorders/>
            <w:vAlign w:val="center"/>
          </w:tcPr>
          <w:p>
            <w:pPr>
              <w:pStyle w:val="Normal"/>
              <w:widowControl/>
              <w:suppressAutoHyphens w:val="true"/>
              <w:bidi w:val="0"/>
              <w:spacing w:lineRule="auto" w:line="259" w:before="0" w:after="160"/>
              <w:jc w:val="left"/>
              <w:rPr/>
            </w:pPr>
            <w:r>
              <w:rPr/>
              <w:t>Content development</w:t>
            </w:r>
          </w:p>
        </w:tc>
        <w:tc>
          <w:tcPr>
            <w:tcW w:w="581" w:type="dxa"/>
            <w:tcBorders/>
            <w:vAlign w:val="center"/>
          </w:tcPr>
          <w:p>
            <w:pPr>
              <w:pStyle w:val="Normal"/>
              <w:widowControl/>
              <w:suppressAutoHyphens w:val="true"/>
              <w:bidi w:val="0"/>
              <w:spacing w:lineRule="auto" w:line="259" w:before="0" w:after="160"/>
              <w:jc w:val="left"/>
              <w:rPr/>
            </w:pPr>
            <w:r>
              <w:rPr/>
              <w:t>C</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R</w:t>
            </w:r>
          </w:p>
        </w:tc>
        <w:tc>
          <w:tcPr>
            <w:tcW w:w="709" w:type="dxa"/>
            <w:tcBorders/>
            <w:vAlign w:val="center"/>
          </w:tcPr>
          <w:p>
            <w:pPr>
              <w:pStyle w:val="Normal"/>
              <w:widowControl/>
              <w:suppressAutoHyphens w:val="true"/>
              <w:bidi w:val="0"/>
              <w:spacing w:lineRule="auto" w:line="259" w:before="0" w:after="160"/>
              <w:jc w:val="left"/>
              <w:rPr/>
            </w:pPr>
            <w:r>
              <w:rPr/>
              <w:t>R</w:t>
            </w:r>
          </w:p>
        </w:tc>
      </w:tr>
      <w:tr>
        <w:trPr/>
        <w:tc>
          <w:tcPr>
            <w:tcW w:w="2025" w:type="dxa"/>
            <w:tcBorders/>
            <w:vAlign w:val="center"/>
          </w:tcPr>
          <w:p>
            <w:pPr>
              <w:pStyle w:val="Normal"/>
              <w:widowControl/>
              <w:suppressAutoHyphens w:val="true"/>
              <w:bidi w:val="0"/>
              <w:spacing w:lineRule="auto" w:line="259" w:before="0" w:after="160"/>
              <w:jc w:val="left"/>
              <w:rPr/>
            </w:pPr>
            <w:r>
              <w:rPr/>
              <w:t>Content review</w:t>
            </w:r>
          </w:p>
        </w:tc>
        <w:tc>
          <w:tcPr>
            <w:tcW w:w="581" w:type="dxa"/>
            <w:tcBorders/>
            <w:vAlign w:val="center"/>
          </w:tcPr>
          <w:p>
            <w:pPr>
              <w:pStyle w:val="Normal"/>
              <w:widowControl/>
              <w:suppressAutoHyphens w:val="true"/>
              <w:bidi w:val="0"/>
              <w:spacing w:lineRule="auto" w:line="259" w:before="0" w:after="160"/>
              <w:jc w:val="left"/>
              <w:rPr/>
            </w:pPr>
            <w:r>
              <w:rPr/>
              <w:t>C</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R</w:t>
            </w:r>
          </w:p>
        </w:tc>
        <w:tc>
          <w:tcPr>
            <w:tcW w:w="709" w:type="dxa"/>
            <w:tcBorders/>
            <w:vAlign w:val="center"/>
          </w:tcPr>
          <w:p>
            <w:pPr>
              <w:pStyle w:val="Normal"/>
              <w:widowControl/>
              <w:suppressAutoHyphens w:val="true"/>
              <w:bidi w:val="0"/>
              <w:spacing w:lineRule="auto" w:line="259" w:before="0" w:after="160"/>
              <w:jc w:val="left"/>
              <w:rPr/>
            </w:pPr>
            <w:r>
              <w:rPr/>
              <w:t>R</w:t>
            </w:r>
          </w:p>
        </w:tc>
      </w:tr>
      <w:tr>
        <w:trPr/>
        <w:tc>
          <w:tcPr>
            <w:tcW w:w="2025" w:type="dxa"/>
            <w:tcBorders/>
            <w:vAlign w:val="center"/>
          </w:tcPr>
          <w:p>
            <w:pPr>
              <w:pStyle w:val="Normal"/>
              <w:widowControl/>
              <w:suppressAutoHyphens w:val="true"/>
              <w:bidi w:val="0"/>
              <w:spacing w:lineRule="auto" w:line="259" w:before="0" w:after="160"/>
              <w:jc w:val="left"/>
              <w:rPr/>
            </w:pPr>
            <w:r>
              <w:rPr/>
              <w:t>Venue/logistics</w:t>
            </w:r>
          </w:p>
        </w:tc>
        <w:tc>
          <w:tcPr>
            <w:tcW w:w="581" w:type="dxa"/>
            <w:tcBorders/>
            <w:vAlign w:val="center"/>
          </w:tcPr>
          <w:p>
            <w:pPr>
              <w:pStyle w:val="Normal"/>
              <w:widowControl/>
              <w:suppressAutoHyphens w:val="true"/>
              <w:bidi w:val="0"/>
              <w:spacing w:lineRule="auto" w:line="259" w:before="0" w:after="160"/>
              <w:jc w:val="left"/>
              <w:rPr/>
            </w:pPr>
            <w:r>
              <w:rPr/>
              <w:t>R</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C</w:t>
            </w:r>
          </w:p>
        </w:tc>
        <w:tc>
          <w:tcPr>
            <w:tcW w:w="709" w:type="dxa"/>
            <w:tcBorders/>
            <w:vAlign w:val="center"/>
          </w:tcPr>
          <w:p>
            <w:pPr>
              <w:pStyle w:val="Normal"/>
              <w:widowControl/>
              <w:suppressAutoHyphens w:val="true"/>
              <w:bidi w:val="0"/>
              <w:spacing w:lineRule="auto" w:line="259" w:before="0" w:after="160"/>
              <w:jc w:val="left"/>
              <w:rPr/>
            </w:pPr>
            <w:r>
              <w:rPr/>
              <w:t>C</w:t>
            </w:r>
          </w:p>
        </w:tc>
      </w:tr>
      <w:tr>
        <w:trPr/>
        <w:tc>
          <w:tcPr>
            <w:tcW w:w="2025" w:type="dxa"/>
            <w:tcBorders/>
            <w:vAlign w:val="center"/>
          </w:tcPr>
          <w:p>
            <w:pPr>
              <w:pStyle w:val="Normal"/>
              <w:widowControl/>
              <w:suppressAutoHyphens w:val="true"/>
              <w:bidi w:val="0"/>
              <w:spacing w:lineRule="auto" w:line="259" w:before="0" w:after="160"/>
              <w:jc w:val="left"/>
              <w:rPr/>
            </w:pPr>
            <w:r>
              <w:rPr/>
              <w:t>Invitations</w:t>
            </w:r>
          </w:p>
        </w:tc>
        <w:tc>
          <w:tcPr>
            <w:tcW w:w="581" w:type="dxa"/>
            <w:tcBorders/>
            <w:vAlign w:val="center"/>
          </w:tcPr>
          <w:p>
            <w:pPr>
              <w:pStyle w:val="Normal"/>
              <w:widowControl/>
              <w:suppressAutoHyphens w:val="true"/>
              <w:bidi w:val="0"/>
              <w:spacing w:lineRule="auto" w:line="259" w:before="0" w:after="160"/>
              <w:jc w:val="left"/>
              <w:rPr/>
            </w:pPr>
            <w:r>
              <w:rPr/>
              <w:t>R</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C</w:t>
            </w:r>
          </w:p>
        </w:tc>
        <w:tc>
          <w:tcPr>
            <w:tcW w:w="709" w:type="dxa"/>
            <w:tcBorders/>
            <w:vAlign w:val="center"/>
          </w:tcPr>
          <w:p>
            <w:pPr>
              <w:pStyle w:val="Normal"/>
              <w:widowControl/>
              <w:suppressAutoHyphens w:val="true"/>
              <w:bidi w:val="0"/>
              <w:spacing w:lineRule="auto" w:line="259" w:before="0" w:after="160"/>
              <w:jc w:val="left"/>
              <w:rPr/>
            </w:pPr>
            <w:r>
              <w:rPr/>
              <w:t>C</w:t>
            </w:r>
          </w:p>
        </w:tc>
      </w:tr>
      <w:tr>
        <w:trPr/>
        <w:tc>
          <w:tcPr>
            <w:tcW w:w="2025" w:type="dxa"/>
            <w:tcBorders/>
            <w:vAlign w:val="center"/>
          </w:tcPr>
          <w:p>
            <w:pPr>
              <w:pStyle w:val="Normal"/>
              <w:widowControl/>
              <w:suppressAutoHyphens w:val="true"/>
              <w:bidi w:val="0"/>
              <w:spacing w:lineRule="auto" w:line="259" w:before="0" w:after="160"/>
              <w:jc w:val="left"/>
              <w:rPr/>
            </w:pPr>
            <w:r>
              <w:rPr/>
              <w:t>Workshop delivery</w:t>
            </w:r>
          </w:p>
        </w:tc>
        <w:tc>
          <w:tcPr>
            <w:tcW w:w="581" w:type="dxa"/>
            <w:tcBorders/>
            <w:vAlign w:val="center"/>
          </w:tcPr>
          <w:p>
            <w:pPr>
              <w:pStyle w:val="Normal"/>
              <w:widowControl/>
              <w:suppressAutoHyphens w:val="true"/>
              <w:bidi w:val="0"/>
              <w:spacing w:lineRule="auto" w:line="259" w:before="0" w:after="160"/>
              <w:jc w:val="left"/>
              <w:rPr/>
            </w:pPr>
            <w:r>
              <w:rPr/>
              <w:t>R</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R</w:t>
            </w:r>
          </w:p>
        </w:tc>
        <w:tc>
          <w:tcPr>
            <w:tcW w:w="709" w:type="dxa"/>
            <w:tcBorders/>
            <w:vAlign w:val="center"/>
          </w:tcPr>
          <w:p>
            <w:pPr>
              <w:pStyle w:val="Normal"/>
              <w:widowControl/>
              <w:suppressAutoHyphens w:val="true"/>
              <w:bidi w:val="0"/>
              <w:spacing w:lineRule="auto" w:line="259" w:before="0" w:after="160"/>
              <w:jc w:val="left"/>
              <w:rPr/>
            </w:pPr>
            <w:r>
              <w:rPr/>
              <w:t>R</w:t>
            </w:r>
          </w:p>
        </w:tc>
      </w:tr>
      <w:tr>
        <w:trPr/>
        <w:tc>
          <w:tcPr>
            <w:tcW w:w="2025" w:type="dxa"/>
            <w:tcBorders/>
            <w:vAlign w:val="center"/>
          </w:tcPr>
          <w:p>
            <w:pPr>
              <w:pStyle w:val="Normal"/>
              <w:widowControl/>
              <w:suppressAutoHyphens w:val="true"/>
              <w:bidi w:val="0"/>
              <w:spacing w:lineRule="auto" w:line="259" w:before="0" w:after="160"/>
              <w:jc w:val="left"/>
              <w:rPr/>
            </w:pPr>
            <w:r>
              <w:rPr/>
              <w:t>Evaluation</w:t>
            </w:r>
          </w:p>
        </w:tc>
        <w:tc>
          <w:tcPr>
            <w:tcW w:w="581" w:type="dxa"/>
            <w:tcBorders/>
            <w:vAlign w:val="center"/>
          </w:tcPr>
          <w:p>
            <w:pPr>
              <w:pStyle w:val="Normal"/>
              <w:widowControl/>
              <w:suppressAutoHyphens w:val="true"/>
              <w:bidi w:val="0"/>
              <w:spacing w:lineRule="auto" w:line="259" w:before="0" w:after="160"/>
              <w:jc w:val="left"/>
              <w:rPr/>
            </w:pPr>
            <w:r>
              <w:rPr/>
              <w:t>R</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C</w:t>
            </w:r>
          </w:p>
        </w:tc>
        <w:tc>
          <w:tcPr>
            <w:tcW w:w="709" w:type="dxa"/>
            <w:tcBorders/>
            <w:vAlign w:val="center"/>
          </w:tcPr>
          <w:p>
            <w:pPr>
              <w:pStyle w:val="Normal"/>
              <w:widowControl/>
              <w:suppressAutoHyphens w:val="true"/>
              <w:bidi w:val="0"/>
              <w:spacing w:lineRule="auto" w:line="259" w:before="0" w:after="160"/>
              <w:jc w:val="left"/>
              <w:rPr/>
            </w:pPr>
            <w:r>
              <w:rPr/>
              <w:t>C</w:t>
            </w:r>
          </w:p>
        </w:tc>
      </w:tr>
      <w:tr>
        <w:trPr/>
        <w:tc>
          <w:tcPr>
            <w:tcW w:w="2025" w:type="dxa"/>
            <w:tcBorders/>
            <w:vAlign w:val="center"/>
          </w:tcPr>
          <w:p>
            <w:pPr>
              <w:pStyle w:val="Normal"/>
              <w:widowControl/>
              <w:suppressAutoHyphens w:val="true"/>
              <w:bidi w:val="0"/>
              <w:spacing w:lineRule="auto" w:line="259" w:before="0" w:after="160"/>
              <w:jc w:val="left"/>
              <w:rPr/>
            </w:pPr>
            <w:r>
              <w:rPr/>
              <w:t>Closure</w:t>
            </w:r>
          </w:p>
        </w:tc>
        <w:tc>
          <w:tcPr>
            <w:tcW w:w="581" w:type="dxa"/>
            <w:tcBorders/>
            <w:vAlign w:val="center"/>
          </w:tcPr>
          <w:p>
            <w:pPr>
              <w:pStyle w:val="Normal"/>
              <w:widowControl/>
              <w:suppressAutoHyphens w:val="true"/>
              <w:bidi w:val="0"/>
              <w:spacing w:lineRule="auto" w:line="259" w:before="0" w:after="160"/>
              <w:jc w:val="left"/>
              <w:rPr/>
            </w:pPr>
            <w:r>
              <w:rPr/>
              <w:t>R</w:t>
            </w:r>
          </w:p>
        </w:tc>
        <w:tc>
          <w:tcPr>
            <w:tcW w:w="756" w:type="dxa"/>
            <w:tcBorders/>
            <w:vAlign w:val="center"/>
          </w:tcPr>
          <w:p>
            <w:pPr>
              <w:pStyle w:val="Normal"/>
              <w:widowControl/>
              <w:suppressAutoHyphens w:val="true"/>
              <w:bidi w:val="0"/>
              <w:spacing w:lineRule="auto" w:line="259" w:before="0" w:after="160"/>
              <w:jc w:val="left"/>
              <w:rPr/>
            </w:pPr>
            <w:r>
              <w:rPr/>
              <w:t>A</w:t>
            </w:r>
          </w:p>
        </w:tc>
        <w:tc>
          <w:tcPr>
            <w:tcW w:w="789" w:type="dxa"/>
            <w:tcBorders/>
            <w:vAlign w:val="center"/>
          </w:tcPr>
          <w:p>
            <w:pPr>
              <w:pStyle w:val="Normal"/>
              <w:widowControl/>
              <w:suppressAutoHyphens w:val="true"/>
              <w:bidi w:val="0"/>
              <w:spacing w:lineRule="auto" w:line="259" w:before="0" w:after="160"/>
              <w:jc w:val="left"/>
              <w:rPr/>
            </w:pPr>
            <w:r>
              <w:rPr/>
              <w:t>C</w:t>
            </w:r>
          </w:p>
        </w:tc>
        <w:tc>
          <w:tcPr>
            <w:tcW w:w="709" w:type="dxa"/>
            <w:tcBorders/>
            <w:vAlign w:val="center"/>
          </w:tcPr>
          <w:p>
            <w:pPr>
              <w:pStyle w:val="Normal"/>
              <w:widowControl/>
              <w:suppressAutoHyphens w:val="true"/>
              <w:bidi w:val="0"/>
              <w:spacing w:lineRule="auto" w:line="259" w:before="0" w:after="160"/>
              <w:jc w:val="left"/>
              <w:rPr/>
            </w:pPr>
            <w:r>
              <w:rPr/>
              <w:t>C</w:t>
            </w:r>
          </w:p>
        </w:tc>
      </w:tr>
    </w:tbl>
    <w:p>
      <w:pPr>
        <w:pStyle w:val="Normal"/>
        <w:rPr/>
      </w:pPr>
      <w:r>
        <w:rPr/>
        <w:t>The RACI structure avoids ambiguity, keeping accountability with Daniela while distributing operational responsibility across the team.</w:t>
      </w:r>
    </w:p>
    <w:p>
      <w:pPr>
        <w:pStyle w:val="Normal"/>
        <w:rPr/>
      </w:pPr>
      <w:r>
        <w:rPr/>
        <w:t>Governance matters particularly since the project involves financial information and client-facing communication. Müller et al. (2014) demonstrate the link between governance, ethical issues and stakeholder trust, so significant decisions should stay transparent and properly authorised. The full RACI matrix is in Appendix 7.</w:t>
      </w:r>
    </w:p>
    <w:p>
      <w:pPr>
        <w:pStyle w:val="Normal"/>
        <w:rPr/>
      </w:pPr>
      <w:r>
        <w:rPr/>
      </w:r>
    </w:p>
    <w:p>
      <w:pPr>
        <w:pStyle w:val="Normal"/>
        <w:rPr>
          <w:b/>
          <w:bCs/>
        </w:rPr>
      </w:pPr>
      <w:r>
        <w:rPr>
          <w:b/>
          <w:bCs/>
        </w:rPr>
      </w:r>
    </w:p>
    <w:p>
      <w:pPr>
        <w:pStyle w:val="Normal"/>
        <w:rPr>
          <w:b/>
          <w:bCs/>
        </w:rPr>
      </w:pPr>
      <w:r>
        <w:rPr>
          <w:b/>
          <w:bCs/>
        </w:rPr>
      </w:r>
    </w:p>
    <w:p>
      <w:pPr>
        <w:pStyle w:val="Normal"/>
        <w:rPr>
          <w:b/>
          <w:bCs/>
        </w:rPr>
      </w:pPr>
      <w:r>
        <w:rPr>
          <w:b/>
          <w:bCs/>
        </w:rPr>
      </w:r>
    </w:p>
    <w:p>
      <w:pPr>
        <w:pStyle w:val="Heading1"/>
        <w:rPr>
          <w:b/>
          <w:bCs/>
        </w:rPr>
      </w:pPr>
      <w:bookmarkStart w:id="63" w:name="__RefHeading___Toc2809_1410408564"/>
      <w:bookmarkStart w:id="64" w:name="_Toc238761828"/>
      <w:bookmarkEnd w:id="63"/>
      <w:r>
        <w:rPr>
          <w:b/>
          <w:bCs/>
        </w:rPr>
        <w:t>6.0 Monitoring, Control and Change Management</w:t>
      </w:r>
      <w:bookmarkEnd w:id="64"/>
    </w:p>
    <w:p>
      <w:pPr>
        <w:pStyle w:val="Heading2"/>
        <w:rPr>
          <w:b/>
          <w:bCs/>
        </w:rPr>
      </w:pPr>
      <w:bookmarkStart w:id="65" w:name="__RefHeading___Toc2811_1410408564"/>
      <w:bookmarkStart w:id="66" w:name="_Toc238761829"/>
      <w:bookmarkEnd w:id="65"/>
      <w:r>
        <w:rPr>
          <w:b/>
          <w:bCs/>
        </w:rPr>
        <w:t>6.1 Monitoring</w:t>
      </w:r>
      <w:bookmarkEnd w:id="66"/>
    </w:p>
    <w:p>
      <w:pPr>
        <w:pStyle w:val="Normal"/>
        <w:rPr/>
      </w:pPr>
      <w:r>
        <w:rPr/>
        <w:t>Monitoring will compare actual progress against the agreed Gantt schedule. Key milestones will include:</w:t>
      </w:r>
    </w:p>
    <w:p>
      <w:pPr>
        <w:pStyle w:val="Normal"/>
        <w:rPr/>
      </w:pPr>
      <w:r>
        <w:rPr/>
        <w:t>project approval;</w:t>
      </w:r>
    </w:p>
    <w:p>
      <w:pPr>
        <w:pStyle w:val="Normal"/>
        <w:rPr/>
      </w:pPr>
      <w:r>
        <w:rPr/>
        <w:t>completion of project requirements;</w:t>
      </w:r>
    </w:p>
    <w:p>
      <w:pPr>
        <w:pStyle w:val="Normal"/>
        <w:rPr/>
      </w:pPr>
      <w:r>
        <w:rPr/>
        <w:t>completion of content;</w:t>
      </w:r>
    </w:p>
    <w:p>
      <w:pPr>
        <w:pStyle w:val="Normal"/>
        <w:rPr/>
      </w:pPr>
      <w:r>
        <w:rPr/>
        <w:t>content review;</w:t>
      </w:r>
    </w:p>
    <w:p>
      <w:pPr>
        <w:pStyle w:val="Normal"/>
        <w:rPr/>
      </w:pPr>
      <w:r>
        <w:rPr/>
        <w:t>venue confirmation;</w:t>
      </w:r>
    </w:p>
    <w:p>
      <w:pPr>
        <w:pStyle w:val="Normal"/>
        <w:rPr/>
      </w:pPr>
      <w:r>
        <w:rPr/>
        <w:t>invitation distribution;</w:t>
      </w:r>
    </w:p>
    <w:p>
      <w:pPr>
        <w:pStyle w:val="Normal"/>
        <w:rPr/>
      </w:pPr>
      <w:r>
        <w:rPr/>
        <w:t>final rehearsal; and</w:t>
      </w:r>
    </w:p>
    <w:p>
      <w:pPr>
        <w:pStyle w:val="Normal"/>
        <w:rPr/>
      </w:pPr>
      <w:r>
        <w:rPr/>
        <w:t>workshop delivery.</w:t>
      </w:r>
    </w:p>
    <w:p>
      <w:pPr>
        <w:pStyle w:val="Normal"/>
        <w:rPr/>
      </w:pPr>
      <w:r>
        <w:rPr/>
        <w:t>Weekly reviews identify slippage early — if an activity falls behind, the Project Manager determines whether the delay affects the critical path.</w:t>
      </w:r>
    </w:p>
    <w:p>
      <w:pPr>
        <w:pStyle w:val="Normal"/>
        <w:rPr/>
      </w:pPr>
      <w:r>
        <w:rPr/>
        <w:t>Pinto and Slevin (1988) identify monitoring and control as important across the project life cycle, so monitoring here covers both task completion and the quality of outputs.</w:t>
      </w:r>
    </w:p>
    <w:p>
      <w:pPr>
        <w:pStyle w:val="Heading2"/>
        <w:rPr>
          <w:b/>
          <w:bCs/>
        </w:rPr>
      </w:pPr>
      <w:bookmarkStart w:id="67" w:name="__RefHeading___Toc2813_1410408564"/>
      <w:bookmarkStart w:id="68" w:name="_Toc238761830"/>
      <w:bookmarkEnd w:id="67"/>
      <w:r>
        <w:rPr>
          <w:b/>
          <w:bCs/>
        </w:rPr>
        <w:t>6.2 The Iron Triangle</w:t>
      </w:r>
      <w:bookmarkEnd w:id="68"/>
    </w:p>
    <w:p>
      <w:pPr>
        <w:pStyle w:val="Normal"/>
        <w:rPr/>
      </w:pPr>
      <w:r>
        <w:rPr/>
        <w:t>The traditional project triangle considers time, cost and scope, which are interconnected — a significant change to one pressures the others.</w:t>
      </w:r>
    </w:p>
    <w:p>
      <w:pPr>
        <w:pStyle w:val="Normal"/>
        <w:rPr/>
      </w:pPr>
      <w:r>
        <w:rPr/>
        <w:t>Time is particularly constrained here since the event date is fixed — late additional content would need more preparation time or cutting lower-priority content.</w:t>
      </w:r>
    </w:p>
    <w:p>
      <w:pPr>
        <w:pStyle w:val="Normal"/>
        <w:rPr/>
      </w:pPr>
      <w:r>
        <w:rPr/>
        <w:t>Similarly, reduced costs would mean relying more on existing organisational resources, and scope expanding without added resources risks quality.</w:t>
      </w:r>
    </w:p>
    <w:p>
      <w:pPr>
        <w:pStyle w:val="Normal"/>
        <w:rPr/>
      </w:pPr>
      <w:r>
        <w:rPr/>
        <w:t>Turner and Zolin (2012) demonstrate that success should be considered from multiple stakeholder perspectives, not only traditional constraints, so the Iron Triangle is used as a decision-making framework rather than the sole measure.</w:t>
      </w:r>
    </w:p>
    <w:p>
      <w:pPr>
        <w:pStyle w:val="Heading2"/>
        <w:rPr>
          <w:b/>
          <w:bCs/>
        </w:rPr>
      </w:pPr>
      <w:bookmarkStart w:id="69" w:name="__RefHeading___Toc2815_1410408564"/>
      <w:bookmarkStart w:id="70" w:name="_Toc238761831"/>
      <w:bookmarkEnd w:id="69"/>
      <w:r>
        <w:rPr>
          <w:b/>
          <w:bCs/>
        </w:rPr>
        <w:t>6.3 Corrective action</w:t>
      </w:r>
      <w:bookmarkEnd w:id="70"/>
    </w:p>
    <w:p>
      <w:pPr>
        <w:pStyle w:val="Normal"/>
        <w:rPr/>
      </w:pPr>
      <w:r>
        <w:rPr/>
        <w:t>Corrective action is initiated when a significant milestone is missed, a high-priority risk increases, content quality drops or scope is exceeded.</w:t>
      </w:r>
    </w:p>
    <w:p>
      <w:pPr>
        <w:pStyle w:val="Normal"/>
        <w:rPr/>
      </w:pPr>
      <w:r>
        <w:rPr/>
        <w:t>Possible actions include reallocating tasks, increasing meeting frequency, using contingency arrangements, reducing non-essential activities or escalating the matter to Daniela.</w:t>
      </w:r>
    </w:p>
    <w:p>
      <w:pPr>
        <w:pStyle w:val="Normal"/>
        <w:rPr/>
      </w:pPr>
      <w:r>
        <w:rPr/>
        <w:t>The purpose of corrective action is not simply to recover time but to protect the overall project outcome.</w:t>
      </w:r>
    </w:p>
    <w:p>
      <w:pPr>
        <w:pStyle w:val="Heading2"/>
        <w:rPr>
          <w:b/>
          <w:bCs/>
        </w:rPr>
      </w:pPr>
      <w:bookmarkStart w:id="71" w:name="__RefHeading___Toc2817_1410408564"/>
      <w:bookmarkStart w:id="72" w:name="_Toc238761832"/>
      <w:bookmarkEnd w:id="71"/>
      <w:r>
        <w:rPr>
          <w:b/>
          <w:bCs/>
        </w:rPr>
        <w:t>6.4 Change control</w:t>
      </w:r>
      <w:bookmarkEnd w:id="72"/>
    </w:p>
    <w:p>
      <w:pPr>
        <w:pStyle w:val="Normal"/>
        <w:rPr/>
      </w:pPr>
      <w:r>
        <w:rPr/>
        <w:t>A change request should identify:</w:t>
      </w:r>
    </w:p>
    <w:p>
      <w:pPr>
        <w:pStyle w:val="Normal"/>
        <w:rPr/>
      </w:pPr>
      <w:r>
        <w:rPr/>
        <w:t>the proposed change;</w:t>
      </w:r>
    </w:p>
    <w:p>
      <w:pPr>
        <w:pStyle w:val="Normal"/>
        <w:rPr/>
      </w:pPr>
      <w:r>
        <w:rPr/>
        <w:t>reason for the change;</w:t>
      </w:r>
    </w:p>
    <w:p>
      <w:pPr>
        <w:pStyle w:val="Normal"/>
        <w:rPr/>
      </w:pPr>
      <w:r>
        <w:rPr/>
        <w:t>impact on scope;</w:t>
      </w:r>
    </w:p>
    <w:p>
      <w:pPr>
        <w:pStyle w:val="Normal"/>
        <w:rPr/>
      </w:pPr>
      <w:r>
        <w:rPr/>
        <w:t>impact on time;</w:t>
      </w:r>
    </w:p>
    <w:p>
      <w:pPr>
        <w:pStyle w:val="Normal"/>
        <w:rPr/>
      </w:pPr>
      <w:r>
        <w:rPr/>
        <w:t>impact on cost;</w:t>
      </w:r>
    </w:p>
    <w:p>
      <w:pPr>
        <w:pStyle w:val="Normal"/>
        <w:rPr/>
      </w:pPr>
      <w:r>
        <w:rPr/>
        <w:t>impact on quality and risk;</w:t>
      </w:r>
    </w:p>
    <w:p>
      <w:pPr>
        <w:pStyle w:val="Normal"/>
        <w:rPr/>
      </w:pPr>
      <w:r>
        <w:rPr/>
        <w:t>recommended action; and</w:t>
      </w:r>
    </w:p>
    <w:p>
      <w:pPr>
        <w:pStyle w:val="Normal"/>
        <w:rPr/>
      </w:pPr>
      <w:r>
        <w:rPr/>
        <w:t>approval decision.</w:t>
      </w:r>
    </w:p>
    <w:p>
      <w:pPr>
        <w:pStyle w:val="Normal"/>
        <w:rPr/>
      </w:pPr>
      <w:r>
        <w:rPr/>
        <w:t>Florin will maintain the change log, while Daniela will approve significant changes.</w:t>
      </w:r>
    </w:p>
    <w:p>
      <w:pPr>
        <w:pStyle w:val="Normal"/>
        <w:rPr/>
      </w:pPr>
      <w:r>
        <w:rPr/>
        <w:t>This matters particularly because a fixed-date event has limited recovery time, and even a small change can create downstream consequences. Hällgren and Maaninen-Olsson (2009) demonstrate how deviations affect project processes and highlight managing unexpected events rather than assuming plans stay stable. The change log is in Appendix 9.</w:t>
      </w:r>
    </w:p>
    <w:p>
      <w:pPr>
        <w:pStyle w:val="Normal"/>
        <w:rPr/>
      </w:pPr>
      <w:r>
        <w:rPr/>
      </w:r>
    </w:p>
    <w:p>
      <w:pPr>
        <w:pStyle w:val="Heading1"/>
        <w:rPr>
          <w:b/>
          <w:bCs/>
        </w:rPr>
      </w:pPr>
      <w:bookmarkStart w:id="73" w:name="__RefHeading___Toc2819_1410408564"/>
      <w:bookmarkStart w:id="74" w:name="_Toc238761833"/>
      <w:bookmarkEnd w:id="73"/>
      <w:r>
        <w:rPr>
          <w:b/>
          <w:bCs/>
        </w:rPr>
        <w:t>7.0 Project Closure, Lessons Learned and Personal Development</w:t>
      </w:r>
      <w:bookmarkEnd w:id="74"/>
    </w:p>
    <w:p>
      <w:pPr>
        <w:pStyle w:val="Heading2"/>
        <w:rPr>
          <w:b/>
          <w:bCs/>
        </w:rPr>
      </w:pPr>
      <w:bookmarkStart w:id="75" w:name="__RefHeading___Toc2821_1410408564"/>
      <w:bookmarkStart w:id="76" w:name="_Toc238761834"/>
      <w:bookmarkEnd w:id="75"/>
      <w:r>
        <w:rPr>
          <w:b/>
          <w:bCs/>
        </w:rPr>
        <w:t>7.1 Project closure</w:t>
      </w:r>
      <w:bookmarkEnd w:id="76"/>
    </w:p>
    <w:p>
      <w:pPr>
        <w:pStyle w:val="Normal"/>
        <w:rPr/>
      </w:pPr>
      <w:r>
        <w:rPr/>
        <w:t>Closure occurs once the workshop has been delivered and the agreed evaluation completed, reviewing attendance, feedback, achievement of objectives, risks encountered and stakeholder responses.</w:t>
      </w:r>
    </w:p>
    <w:p>
      <w:pPr>
        <w:pStyle w:val="Normal"/>
        <w:rPr/>
      </w:pPr>
      <w:r>
        <w:rPr/>
        <w:t>Daniela provides final sponsor confirmation, after which materials are stored appropriately, outstanding actions closed and responsibilities formally ended.</w:t>
      </w:r>
    </w:p>
    <w:p>
      <w:pPr>
        <w:pStyle w:val="Normal"/>
        <w:rPr/>
      </w:pPr>
      <w:r>
        <w:rPr/>
        <w:t>Closure should also consider whether the project created the intended organisational value. Zwikael (2012) argues evaluation should consider organisational value rather than only traditional delivery measures — for OWL Financial, that means assessing not just whether the workshop happened but whether it generated useful engagement, learning and future opportunities.</w:t>
      </w:r>
    </w:p>
    <w:p>
      <w:pPr>
        <w:pStyle w:val="Heading2"/>
        <w:rPr>
          <w:b/>
          <w:bCs/>
        </w:rPr>
      </w:pPr>
      <w:bookmarkStart w:id="77" w:name="__RefHeading___Toc2823_1410408564"/>
      <w:bookmarkStart w:id="78" w:name="_Toc238761835"/>
      <w:bookmarkEnd w:id="77"/>
      <w:r>
        <w:rPr>
          <w:b/>
          <w:bCs/>
        </w:rPr>
        <w:t>7.2 Lessons learned</w:t>
      </w:r>
      <w:bookmarkEnd w:id="78"/>
    </w:p>
    <w:p>
      <w:pPr>
        <w:pStyle w:val="Normal"/>
        <w:rPr/>
      </w:pPr>
      <w:r>
        <w:rPr/>
        <w:t>Lessons learned should capture what worked well, what created difficulty and what should be changed in future projects.</w:t>
      </w:r>
    </w:p>
    <w:p>
      <w:pPr>
        <w:pStyle w:val="Normal"/>
        <w:rPr/>
      </w:pPr>
      <w:r>
        <w:rPr/>
        <w:t>Potential lessons may concern invitation timing, the level of technical detail, technology preparation, participant engagement and the distribution of responsibilities.</w:t>
      </w:r>
    </w:p>
    <w:p>
      <w:pPr>
        <w:pStyle w:val="Normal"/>
        <w:rPr/>
      </w:pPr>
      <w:r>
        <w:rPr/>
        <w:t>Pinto and Slevin (1988) demonstrate that success factors vary across different project stages, so lessons learned should consider the whole project, not only the workshop day.</w:t>
      </w:r>
    </w:p>
    <w:p>
      <w:pPr>
        <w:pStyle w:val="Normal"/>
        <w:rPr/>
      </w:pPr>
      <w:r>
        <w:rPr/>
        <w:t>The workshop should produce not only an immediate event outcome but also organisational knowledge that can support future OWL Financial activities.</w:t>
      </w:r>
    </w:p>
    <w:p>
      <w:pPr>
        <w:pStyle w:val="Heading2"/>
        <w:rPr>
          <w:b/>
          <w:bCs/>
        </w:rPr>
      </w:pPr>
      <w:bookmarkStart w:id="79" w:name="__RefHeading___Toc2825_1410408564"/>
      <w:bookmarkStart w:id="80" w:name="_Toc238761836"/>
      <w:bookmarkEnd w:id="79"/>
      <w:r>
        <w:rPr>
          <w:b/>
          <w:bCs/>
        </w:rPr>
        <w:t>7.3 Personal reflection</w:t>
      </w:r>
      <w:bookmarkEnd w:id="80"/>
    </w:p>
    <w:p>
      <w:pPr>
        <w:pStyle w:val="Normal"/>
        <w:rPr/>
      </w:pPr>
      <w:r>
        <w:rPr/>
        <w:t>Florin's role as Project Manager requires planning, communication, risk awareness, stakeholder management and decision-making. Gibbs' (1988) reflective cycle offers a useful structure for evaluating performance, moving from description and feelings through evaluation and analysis to a conclusion and action plan.</w:t>
      </w:r>
    </w:p>
    <w:p>
      <w:pPr>
        <w:pStyle w:val="Normal"/>
        <w:rPr/>
      </w:pPr>
      <w:r>
        <w:rPr/>
        <w:t>A key strength is coordinating a small team with complementary skills, and the project also offers a chance to practise structured planning and stakeholder communication.</w:t>
      </w:r>
    </w:p>
    <w:p>
      <w:pPr>
        <w:pStyle w:val="Normal"/>
        <w:rPr/>
      </w:pPr>
      <w:r>
        <w:rPr/>
        <w:t>A potential weakness is concentrating too many operational activities within the Project Manager role, so effective delegation matters — the RACI matrix helps prevent becoming responsible for every task by default.</w:t>
      </w:r>
    </w:p>
    <w:p>
      <w:pPr>
        <w:pStyle w:val="Normal"/>
        <w:rPr/>
      </w:pPr>
      <w:r>
        <w:rPr/>
        <w:t>The main development priority is stronger proactive risk management — instead of responding once problems occur, risks should be identified early, assigned owners and reviewed at each meeting.</w:t>
      </w:r>
    </w:p>
    <w:p>
      <w:pPr>
        <w:pStyle w:val="Heading2"/>
        <w:rPr>
          <w:b/>
          <w:bCs/>
        </w:rPr>
      </w:pPr>
      <w:bookmarkStart w:id="81" w:name="__RefHeading___Toc2827_1410408564"/>
      <w:bookmarkStart w:id="82" w:name="_Toc238761837"/>
      <w:bookmarkEnd w:id="81"/>
      <w:r>
        <w:rPr>
          <w:b/>
          <w:bCs/>
        </w:rPr>
        <w:t>7.4 Personal Development Plan</w:t>
      </w:r>
      <w:bookmarkEnd w:id="82"/>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1740"/>
        <w:gridCol w:w="3886"/>
        <w:gridCol w:w="3400"/>
      </w:tblGrid>
      <w:tr>
        <w:trPr>
          <w:tblHeader w:val="true"/>
        </w:trPr>
        <w:tc>
          <w:tcPr>
            <w:tcW w:w="1740" w:type="dxa"/>
            <w:tcBorders/>
            <w:vAlign w:val="center"/>
          </w:tcPr>
          <w:p>
            <w:pPr>
              <w:pStyle w:val="Normal"/>
              <w:spacing w:before="0" w:after="160"/>
              <w:rPr>
                <w:b/>
                <w:bCs/>
              </w:rPr>
            </w:pPr>
            <w:r>
              <w:rPr>
                <w:b/>
                <w:bCs/>
              </w:rPr>
              <w:t>Development area</w:t>
            </w:r>
          </w:p>
        </w:tc>
        <w:tc>
          <w:tcPr>
            <w:tcW w:w="3886" w:type="dxa"/>
            <w:tcBorders/>
            <w:vAlign w:val="center"/>
          </w:tcPr>
          <w:p>
            <w:pPr>
              <w:pStyle w:val="Normal"/>
              <w:spacing w:before="0" w:after="160"/>
              <w:rPr>
                <w:b/>
                <w:bCs/>
              </w:rPr>
            </w:pPr>
            <w:r>
              <w:rPr>
                <w:b/>
                <w:bCs/>
              </w:rPr>
              <w:t>Action</w:t>
            </w:r>
          </w:p>
        </w:tc>
        <w:tc>
          <w:tcPr>
            <w:tcW w:w="3400" w:type="dxa"/>
            <w:tcBorders/>
            <w:vAlign w:val="center"/>
          </w:tcPr>
          <w:p>
            <w:pPr>
              <w:pStyle w:val="Normal"/>
              <w:spacing w:before="0" w:after="160"/>
              <w:rPr>
                <w:b/>
                <w:bCs/>
              </w:rPr>
            </w:pPr>
            <w:r>
              <w:rPr>
                <w:b/>
                <w:bCs/>
              </w:rPr>
              <w:t>Measurement</w:t>
            </w:r>
          </w:p>
        </w:tc>
      </w:tr>
      <w:tr>
        <w:trPr/>
        <w:tc>
          <w:tcPr>
            <w:tcW w:w="1740" w:type="dxa"/>
            <w:tcBorders/>
            <w:vAlign w:val="center"/>
          </w:tcPr>
          <w:p>
            <w:pPr>
              <w:pStyle w:val="Normal"/>
              <w:widowControl/>
              <w:suppressAutoHyphens w:val="true"/>
              <w:bidi w:val="0"/>
              <w:spacing w:lineRule="auto" w:line="259" w:before="0" w:after="160"/>
              <w:jc w:val="left"/>
              <w:rPr/>
            </w:pPr>
            <w:r>
              <w:rPr/>
              <w:t>Risk management</w:t>
            </w:r>
          </w:p>
        </w:tc>
        <w:tc>
          <w:tcPr>
            <w:tcW w:w="3886" w:type="dxa"/>
            <w:tcBorders/>
            <w:vAlign w:val="center"/>
          </w:tcPr>
          <w:p>
            <w:pPr>
              <w:pStyle w:val="Normal"/>
              <w:widowControl/>
              <w:suppressAutoHyphens w:val="true"/>
              <w:bidi w:val="0"/>
              <w:spacing w:lineRule="auto" w:line="259" w:before="0" w:after="160"/>
              <w:jc w:val="left"/>
              <w:rPr/>
            </w:pPr>
            <w:r>
              <w:rPr/>
              <w:t>Maintain and review a risk register weekly</w:t>
            </w:r>
          </w:p>
        </w:tc>
        <w:tc>
          <w:tcPr>
            <w:tcW w:w="3400" w:type="dxa"/>
            <w:tcBorders/>
            <w:vAlign w:val="center"/>
          </w:tcPr>
          <w:p>
            <w:pPr>
              <w:pStyle w:val="Normal"/>
              <w:widowControl/>
              <w:suppressAutoHyphens w:val="true"/>
              <w:bidi w:val="0"/>
              <w:spacing w:lineRule="auto" w:line="259" w:before="0" w:after="160"/>
              <w:jc w:val="left"/>
              <w:rPr/>
            </w:pPr>
            <w:r>
              <w:rPr/>
              <w:t>Risks identified before becoming issues</w:t>
            </w:r>
          </w:p>
        </w:tc>
      </w:tr>
      <w:tr>
        <w:trPr/>
        <w:tc>
          <w:tcPr>
            <w:tcW w:w="1740" w:type="dxa"/>
            <w:tcBorders/>
            <w:vAlign w:val="center"/>
          </w:tcPr>
          <w:p>
            <w:pPr>
              <w:pStyle w:val="Normal"/>
              <w:widowControl/>
              <w:suppressAutoHyphens w:val="true"/>
              <w:bidi w:val="0"/>
              <w:spacing w:lineRule="auto" w:line="259" w:before="0" w:after="160"/>
              <w:jc w:val="left"/>
              <w:rPr/>
            </w:pPr>
            <w:r>
              <w:rPr/>
              <w:t>Delegation</w:t>
            </w:r>
          </w:p>
        </w:tc>
        <w:tc>
          <w:tcPr>
            <w:tcW w:w="3886" w:type="dxa"/>
            <w:tcBorders/>
            <w:vAlign w:val="center"/>
          </w:tcPr>
          <w:p>
            <w:pPr>
              <w:pStyle w:val="Normal"/>
              <w:widowControl/>
              <w:suppressAutoHyphens w:val="true"/>
              <w:bidi w:val="0"/>
              <w:spacing w:lineRule="auto" w:line="259" w:before="0" w:after="160"/>
              <w:jc w:val="left"/>
              <w:rPr/>
            </w:pPr>
            <w:r>
              <w:rPr/>
              <w:t>Use RACI for all major tasks</w:t>
            </w:r>
          </w:p>
        </w:tc>
        <w:tc>
          <w:tcPr>
            <w:tcW w:w="3400" w:type="dxa"/>
            <w:tcBorders/>
            <w:vAlign w:val="center"/>
          </w:tcPr>
          <w:p>
            <w:pPr>
              <w:pStyle w:val="Normal"/>
              <w:widowControl/>
              <w:suppressAutoHyphens w:val="true"/>
              <w:bidi w:val="0"/>
              <w:spacing w:lineRule="auto" w:line="259" w:before="0" w:after="160"/>
              <w:jc w:val="left"/>
              <w:rPr/>
            </w:pPr>
            <w:r>
              <w:rPr/>
              <w:t>Clear ownership of activities</w:t>
            </w:r>
          </w:p>
        </w:tc>
      </w:tr>
      <w:tr>
        <w:trPr/>
        <w:tc>
          <w:tcPr>
            <w:tcW w:w="1740" w:type="dxa"/>
            <w:tcBorders/>
            <w:vAlign w:val="center"/>
          </w:tcPr>
          <w:p>
            <w:pPr>
              <w:pStyle w:val="Normal"/>
              <w:widowControl/>
              <w:suppressAutoHyphens w:val="true"/>
              <w:bidi w:val="0"/>
              <w:spacing w:lineRule="auto" w:line="259" w:before="0" w:after="160"/>
              <w:jc w:val="left"/>
              <w:rPr/>
            </w:pPr>
            <w:r>
              <w:rPr/>
              <w:t>Communication</w:t>
            </w:r>
          </w:p>
        </w:tc>
        <w:tc>
          <w:tcPr>
            <w:tcW w:w="3886" w:type="dxa"/>
            <w:tcBorders/>
            <w:vAlign w:val="center"/>
          </w:tcPr>
          <w:p>
            <w:pPr>
              <w:pStyle w:val="Normal"/>
              <w:widowControl/>
              <w:suppressAutoHyphens w:val="true"/>
              <w:bidi w:val="0"/>
              <w:spacing w:lineRule="auto" w:line="259" w:before="0" w:after="160"/>
              <w:jc w:val="left"/>
              <w:rPr/>
            </w:pPr>
            <w:r>
              <w:rPr/>
              <w:t>Introduce structured weekly project updates</w:t>
            </w:r>
          </w:p>
        </w:tc>
        <w:tc>
          <w:tcPr>
            <w:tcW w:w="3400" w:type="dxa"/>
            <w:tcBorders/>
            <w:vAlign w:val="center"/>
          </w:tcPr>
          <w:p>
            <w:pPr>
              <w:pStyle w:val="Normal"/>
              <w:widowControl/>
              <w:suppressAutoHyphens w:val="true"/>
              <w:bidi w:val="0"/>
              <w:spacing w:lineRule="auto" w:line="259" w:before="0" w:after="160"/>
              <w:jc w:val="left"/>
              <w:rPr/>
            </w:pPr>
            <w:r>
              <w:rPr/>
              <w:t>Fewer communication gaps</w:t>
            </w:r>
          </w:p>
        </w:tc>
      </w:tr>
      <w:tr>
        <w:trPr/>
        <w:tc>
          <w:tcPr>
            <w:tcW w:w="1740" w:type="dxa"/>
            <w:tcBorders/>
            <w:vAlign w:val="center"/>
          </w:tcPr>
          <w:p>
            <w:pPr>
              <w:pStyle w:val="Normal"/>
              <w:widowControl/>
              <w:suppressAutoHyphens w:val="true"/>
              <w:bidi w:val="0"/>
              <w:spacing w:lineRule="auto" w:line="259" w:before="0" w:after="160"/>
              <w:jc w:val="left"/>
              <w:rPr/>
            </w:pPr>
            <w:r>
              <w:rPr/>
              <w:t>Scheduling</w:t>
            </w:r>
          </w:p>
        </w:tc>
        <w:tc>
          <w:tcPr>
            <w:tcW w:w="3886" w:type="dxa"/>
            <w:tcBorders/>
            <w:vAlign w:val="center"/>
          </w:tcPr>
          <w:p>
            <w:pPr>
              <w:pStyle w:val="Normal"/>
              <w:widowControl/>
              <w:suppressAutoHyphens w:val="true"/>
              <w:bidi w:val="0"/>
              <w:spacing w:lineRule="auto" w:line="259" w:before="0" w:after="160"/>
              <w:jc w:val="left"/>
              <w:rPr/>
            </w:pPr>
            <w:r>
              <w:rPr/>
              <w:t>Review critical-path activities at each meeting</w:t>
            </w:r>
          </w:p>
        </w:tc>
        <w:tc>
          <w:tcPr>
            <w:tcW w:w="3400" w:type="dxa"/>
            <w:tcBorders/>
            <w:vAlign w:val="center"/>
          </w:tcPr>
          <w:p>
            <w:pPr>
              <w:pStyle w:val="Normal"/>
              <w:widowControl/>
              <w:suppressAutoHyphens w:val="true"/>
              <w:bidi w:val="0"/>
              <w:spacing w:lineRule="auto" w:line="259" w:before="0" w:after="160"/>
              <w:jc w:val="left"/>
              <w:rPr/>
            </w:pPr>
            <w:r>
              <w:rPr/>
              <w:t>Reduced schedule slippage</w:t>
            </w:r>
          </w:p>
        </w:tc>
      </w:tr>
    </w:tbl>
    <w:p>
      <w:pPr>
        <w:pStyle w:val="Normal"/>
        <w:rPr/>
      </w:pPr>
      <w:r>
        <w:rPr/>
        <w:t>This approach converts reflection into measurable development rather than simply describing personal strengths and weaknesses.</w:t>
      </w:r>
    </w:p>
    <w:p>
      <w:pPr>
        <w:pStyle w:val="Normal"/>
        <w:rPr/>
      </w:pPr>
      <w:r>
        <w:rPr/>
      </w:r>
    </w:p>
    <w:p>
      <w:pPr>
        <w:pStyle w:val="Heading1"/>
        <w:rPr>
          <w:b/>
          <w:bCs/>
        </w:rPr>
      </w:pPr>
      <w:bookmarkStart w:id="83" w:name="__RefHeading___Toc2829_1410408564"/>
      <w:bookmarkStart w:id="84" w:name="_Toc238761838"/>
      <w:bookmarkEnd w:id="83"/>
      <w:r>
        <w:rPr>
          <w:b/>
          <w:bCs/>
        </w:rPr>
        <w:t>8.0 Conclusion</w:t>
      </w:r>
      <w:bookmarkEnd w:id="84"/>
    </w:p>
    <w:p>
      <w:pPr>
        <w:pStyle w:val="Normal"/>
        <w:rPr/>
      </w:pPr>
      <w:r>
        <w:rPr/>
        <w:t>The Financial Protection Awareness Workshop is a clearly defined, manageable project for OWL Financial. A fixed outcome, small team and stable deliverables make a Waterfall-based approach appropriate, but the analysis shows a rigid methodology would not provide sufficient flexibility — controlled reviews and selected Agile practices complement the sequential structure.</w:t>
      </w:r>
    </w:p>
    <w:p>
      <w:pPr>
        <w:pStyle w:val="Normal"/>
        <w:rPr/>
      </w:pPr>
      <w:r>
        <w:rPr/>
        <w:t>The proposed approach integrates methodology, business justification, SWOT and PESTLE analysis, stakeholder management, scope, WBS, scheduling, critical path, resources, risk management, communication, RACI, monitoring and change control — interdependent activities rather than separate administrative exercises.</w:t>
      </w:r>
    </w:p>
    <w:p>
      <w:pPr>
        <w:pStyle w:val="Normal"/>
        <w:rPr/>
      </w:pPr>
      <w:r>
        <w:rPr/>
        <w:t>The literature also shows that project success is multidimensional, depending on effective planning, appropriate methodology, stakeholder engagement, risk management, governance and organisational value, not simply completing on time (Belassi &amp; Tukel, 1996; Joslin &amp; Müller, 2015; Turner &amp; Zolin, 2012).</w:t>
      </w:r>
    </w:p>
    <w:p>
      <w:pPr>
        <w:pStyle w:val="Normal"/>
        <w:rPr/>
      </w:pPr>
      <w:r>
        <w:rPr/>
        <w:t>The main dependency is the timely preparation and approval of accurate workshop content, so effective collaboration between Florin, Daniela, Camelia and Sandra is critical. Clear responsibilities, regular risk review and controlled changes should protect the fixed event date while maintaining quality and purpose.</w:t>
      </w:r>
    </w:p>
    <w:p>
      <w:pPr>
        <w:pStyle w:val="Normal"/>
        <w:rPr/>
      </w:pPr>
      <w:r>
        <w:rPr/>
        <w:t>The ultimate measure of success is whether the workshop provides meaningful financial protection awareness to participants while generating useful learning and organisational value for future projects.</w:t>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Heading1"/>
        <w:rPr>
          <w:b/>
          <w:bCs/>
        </w:rPr>
      </w:pPr>
      <w:bookmarkStart w:id="85" w:name="__RefHeading___Toc2831_1410408564"/>
      <w:bookmarkStart w:id="86" w:name="_Toc238761839"/>
      <w:bookmarkEnd w:id="85"/>
      <w:r>
        <w:rPr>
          <w:b/>
          <w:bCs/>
        </w:rPr>
        <w:t>References</w:t>
      </w:r>
      <w:bookmarkEnd w:id="86"/>
    </w:p>
    <w:p>
      <w:pPr>
        <w:pStyle w:val="Normal"/>
        <w:rPr/>
      </w:pPr>
      <w:r>
        <w:rPr/>
        <w:t xml:space="preserve">Achterkamp, M. C., &amp; Vos, J. F. J. (2008). Investigating the use of the stakeholder notion in project management literature, a meta-analysis. </w:t>
      </w:r>
      <w:r>
        <w:rPr>
          <w:i/>
          <w:iCs/>
        </w:rPr>
        <w:t>International Journal of Project Management, 26</w:t>
      </w:r>
      <w:r>
        <w:rPr/>
        <w:t xml:space="preserve">(7), 749–757. </w:t>
      </w:r>
      <w:hyperlink r:id="rId3">
        <w:r>
          <w:rPr>
            <w:rStyle w:val="Hyperlink"/>
          </w:rPr>
          <w:t>https://doi.org/10.1016/j.ijproman.2007.10.001</w:t>
        </w:r>
      </w:hyperlink>
    </w:p>
    <w:p>
      <w:pPr>
        <w:pStyle w:val="Normal"/>
        <w:rPr/>
      </w:pPr>
      <w:r>
        <w:rPr/>
        <w:t xml:space="preserve">Belassi, W., &amp; Tukel, O. I. (1996). A new framework for determining critical success/failure factors in projects. </w:t>
      </w:r>
      <w:r>
        <w:rPr>
          <w:i/>
          <w:iCs/>
        </w:rPr>
        <w:t>International Journal of Project Management, 14</w:t>
      </w:r>
      <w:r>
        <w:rPr/>
        <w:t xml:space="preserve">(3), 141–151. </w:t>
      </w:r>
      <w:hyperlink r:id="rId4">
        <w:r>
          <w:rPr>
            <w:rStyle w:val="Hyperlink"/>
          </w:rPr>
          <w:t>https://doi.org/10.1016/0263-7863(95)00064-X</w:t>
        </w:r>
      </w:hyperlink>
    </w:p>
    <w:p>
      <w:pPr>
        <w:pStyle w:val="Normal"/>
        <w:rPr/>
      </w:pPr>
      <w:r>
        <w:rPr/>
        <w:t xml:space="preserve">Cooper, R. G., &amp; Sommer, A. F. (2016). The Agile–Stage-Gate hybrid model: A promising new approach and a new research opportunity. </w:t>
      </w:r>
      <w:r>
        <w:rPr>
          <w:i/>
          <w:iCs/>
        </w:rPr>
        <w:t>Journal of Product Innovation Management, 33</w:t>
      </w:r>
      <w:r>
        <w:rPr/>
        <w:t xml:space="preserve">(5), 513–526. </w:t>
      </w:r>
      <w:hyperlink r:id="rId5">
        <w:r>
          <w:rPr>
            <w:rStyle w:val="Hyperlink"/>
          </w:rPr>
          <w:t>https://doi.org/10.1111/jpim.12314</w:t>
        </w:r>
      </w:hyperlink>
    </w:p>
    <w:p>
      <w:pPr>
        <w:pStyle w:val="Normal"/>
        <w:rPr/>
      </w:pPr>
      <w:r>
        <w:rPr/>
        <w:t xml:space="preserve">de Bakker, K., Boonstra, A., &amp; Wortmann, H. (2010). Does risk management contribute to IT project success? A meta-analysis of empirical evidence. </w:t>
      </w:r>
      <w:r>
        <w:rPr>
          <w:i/>
          <w:iCs/>
        </w:rPr>
        <w:t>International Journal of Project Management, 28</w:t>
      </w:r>
      <w:r>
        <w:rPr/>
        <w:t xml:space="preserve">(5), 493–503. </w:t>
      </w:r>
      <w:hyperlink r:id="rId6">
        <w:r>
          <w:rPr>
            <w:rStyle w:val="Hyperlink"/>
          </w:rPr>
          <w:t>https://doi.org/10.1016/j.ijproman.2009.07.002</w:t>
        </w:r>
      </w:hyperlink>
    </w:p>
    <w:p>
      <w:pPr>
        <w:pStyle w:val="Normal"/>
        <w:rPr/>
      </w:pPr>
      <w:r>
        <w:rPr/>
        <w:t xml:space="preserve">Gibbs, G. (1988). </w:t>
      </w:r>
      <w:r>
        <w:rPr>
          <w:i/>
          <w:iCs/>
        </w:rPr>
        <w:t>Learning by doing: A guide to teaching and learning methods</w:t>
      </w:r>
      <w:r>
        <w:rPr/>
        <w:t>. Oxford Polytechnic.</w:t>
      </w:r>
    </w:p>
    <w:p>
      <w:pPr>
        <w:pStyle w:val="Normal"/>
        <w:rPr/>
      </w:pPr>
      <w:r>
        <w:rPr/>
        <w:t xml:space="preserve">Hällgren, M., &amp; Maaninen-Olsson, E. (2009). Deviations and the breakdown of project management principles. </w:t>
      </w:r>
      <w:r>
        <w:rPr>
          <w:i/>
          <w:iCs/>
        </w:rPr>
        <w:t>International Journal of Managing Projects in Business, 2</w:t>
      </w:r>
      <w:r>
        <w:rPr/>
        <w:t xml:space="preserve">(1), 53–69. </w:t>
      </w:r>
      <w:hyperlink r:id="rId7">
        <w:r>
          <w:rPr>
            <w:rStyle w:val="Hyperlink"/>
          </w:rPr>
          <w:t>https://doi.org/10.1108/17538370910930518</w:t>
        </w:r>
      </w:hyperlink>
    </w:p>
    <w:p>
      <w:pPr>
        <w:pStyle w:val="Normal"/>
        <w:rPr/>
      </w:pPr>
      <w:r>
        <w:rPr/>
        <w:t xml:space="preserve">Joslin, R., &amp; Müller, R. (2015). Relationships between a project management methodology and project success in different project governance contexts. </w:t>
      </w:r>
      <w:r>
        <w:rPr>
          <w:i/>
          <w:iCs/>
        </w:rPr>
        <w:t>International Journal of Project Management, 33</w:t>
      </w:r>
      <w:r>
        <w:rPr/>
        <w:t xml:space="preserve">(6), 1377–1392. </w:t>
      </w:r>
      <w:hyperlink r:id="rId8">
        <w:r>
          <w:rPr>
            <w:rStyle w:val="Hyperlink"/>
          </w:rPr>
          <w:t>https://doi.org/10.1016/j.ijproman.2015.03.005</w:t>
        </w:r>
      </w:hyperlink>
    </w:p>
    <w:p>
      <w:pPr>
        <w:pStyle w:val="Normal"/>
        <w:rPr/>
      </w:pPr>
      <w:r>
        <w:rPr/>
        <w:t xml:space="preserve">Kerzner, H. (2022). </w:t>
      </w:r>
      <w:r>
        <w:rPr>
          <w:i/>
          <w:iCs/>
        </w:rPr>
        <w:t>Project management: A systems approach to planning, scheduling, and controlling</w:t>
      </w:r>
      <w:r>
        <w:rPr/>
        <w:t xml:space="preserve"> (13th ed.). Wiley.</w:t>
      </w:r>
    </w:p>
    <w:p>
      <w:pPr>
        <w:pStyle w:val="Normal"/>
        <w:rPr/>
      </w:pPr>
      <w:r>
        <w:rPr/>
        <w:t xml:space="preserve">Maylor, H. (2010). </w:t>
      </w:r>
      <w:r>
        <w:rPr>
          <w:i/>
          <w:iCs/>
        </w:rPr>
        <w:t>Project management</w:t>
      </w:r>
      <w:r>
        <w:rPr/>
        <w:t xml:space="preserve"> (4th ed.). Pearson.</w:t>
      </w:r>
    </w:p>
    <w:p>
      <w:pPr>
        <w:pStyle w:val="Normal"/>
        <w:rPr/>
      </w:pPr>
      <w:r>
        <w:rPr/>
        <w:t xml:space="preserve">Mendelow, A. (1991). Stakeholder mapping. </w:t>
      </w:r>
      <w:r>
        <w:rPr>
          <w:i/>
          <w:iCs/>
        </w:rPr>
        <w:t>Proceedings of the 2nd International Conference on Information Systems</w:t>
      </w:r>
      <w:r>
        <w:rPr/>
        <w:t>.</w:t>
      </w:r>
    </w:p>
    <w:p>
      <w:pPr>
        <w:pStyle w:val="Normal"/>
        <w:rPr/>
      </w:pPr>
      <w:r>
        <w:rPr/>
        <w:t xml:space="preserve">Mitchell, R. K., Agle, B. R., &amp; Wood, D. J. (1997). Toward a theory of stakeholder identification and salience: Defining the principle of who and what really counts. </w:t>
      </w:r>
      <w:r>
        <w:rPr>
          <w:i/>
          <w:iCs/>
        </w:rPr>
        <w:t>Academy of Management Review, 22</w:t>
      </w:r>
      <w:r>
        <w:rPr/>
        <w:t xml:space="preserve">(4), 853–886. </w:t>
      </w:r>
      <w:hyperlink r:id="rId9">
        <w:r>
          <w:rPr>
            <w:rStyle w:val="Hyperlink"/>
          </w:rPr>
          <w:t>https://doi.org/10.5465/amr.1997.9711022105</w:t>
        </w:r>
      </w:hyperlink>
    </w:p>
    <w:p>
      <w:pPr>
        <w:pStyle w:val="Normal"/>
        <w:rPr/>
      </w:pPr>
      <w:r>
        <w:rPr/>
        <w:t xml:space="preserve">Müller, R., Turner, R., Andersen, E. S., Shao, J., &amp; Kvalnes, Ø. (2014). Ethics, trust, and governance in temporary organizations. </w:t>
      </w:r>
      <w:r>
        <w:rPr>
          <w:i/>
          <w:iCs/>
        </w:rPr>
        <w:t>Project Management Journal, 45</w:t>
      </w:r>
      <w:r>
        <w:rPr/>
        <w:t xml:space="preserve">(4), 39–54. </w:t>
      </w:r>
      <w:hyperlink r:id="rId10">
        <w:r>
          <w:rPr>
            <w:rStyle w:val="Hyperlink"/>
          </w:rPr>
          <w:t>https://doi.org/10.1002/pmj.21432</w:t>
        </w:r>
      </w:hyperlink>
    </w:p>
    <w:p>
      <w:pPr>
        <w:pStyle w:val="Normal"/>
        <w:rPr/>
      </w:pPr>
      <w:r>
        <w:rPr/>
        <w:t xml:space="preserve">Pinto, J. K., &amp; Slevin, D. P. (1988). Critical success factors across the project life cycle. </w:t>
      </w:r>
      <w:r>
        <w:rPr>
          <w:i/>
          <w:iCs/>
        </w:rPr>
        <w:t>Project Management Journal, 19</w:t>
      </w:r>
      <w:r>
        <w:rPr/>
        <w:t>(3), 67–75.</w:t>
      </w:r>
    </w:p>
    <w:p>
      <w:pPr>
        <w:pStyle w:val="Normal"/>
        <w:rPr/>
      </w:pPr>
      <w:r>
        <w:rPr/>
        <w:t xml:space="preserve">Project Management Institute. (n.d.-a). </w:t>
      </w:r>
      <w:r>
        <w:rPr>
          <w:i/>
          <w:iCs/>
        </w:rPr>
        <w:t>Agile versus Waterfall approach for ERP project</w:t>
      </w:r>
      <w:r>
        <w:rPr/>
        <w:t xml:space="preserve">. </w:t>
      </w:r>
      <w:hyperlink r:id="rId11">
        <w:r>
          <w:rPr>
            <w:rStyle w:val="Hyperlink"/>
          </w:rPr>
          <w:t>https://www.pmi.org/learning/library/agile-versus-waterfall-approach-erp-project-6300</w:t>
        </w:r>
      </w:hyperlink>
    </w:p>
    <w:p>
      <w:pPr>
        <w:pStyle w:val="Normal"/>
        <w:rPr/>
      </w:pPr>
      <w:r>
        <w:rPr/>
        <w:t xml:space="preserve">Project Management Institute. (n.d.-b). </w:t>
      </w:r>
      <w:r>
        <w:rPr>
          <w:i/>
          <w:iCs/>
        </w:rPr>
        <w:t>Beyond reporting: The communication strategy</w:t>
      </w:r>
      <w:r>
        <w:rPr/>
        <w:t xml:space="preserve">. </w:t>
      </w:r>
      <w:hyperlink r:id="rId12">
        <w:r>
          <w:rPr>
            <w:rStyle w:val="Hyperlink"/>
          </w:rPr>
          <w:t>https://www.pmi.org/learning/library/communication-strategy-stakeholder-generating-reports-6887</w:t>
        </w:r>
      </w:hyperlink>
    </w:p>
    <w:p>
      <w:pPr>
        <w:pStyle w:val="Normal"/>
        <w:rPr/>
      </w:pPr>
      <w:r>
        <w:rPr/>
        <w:t xml:space="preserve">Project Management Institute. (n.d.-c). </w:t>
      </w:r>
      <w:r>
        <w:rPr>
          <w:i/>
          <w:iCs/>
        </w:rPr>
        <w:t>Controlling scope creep</w:t>
      </w:r>
      <w:r>
        <w:rPr/>
        <w:t xml:space="preserve">. </w:t>
      </w:r>
      <w:hyperlink r:id="rId13">
        <w:r>
          <w:rPr>
            <w:rStyle w:val="Hyperlink"/>
          </w:rPr>
          <w:t>https://www.pmi.org/learning/library/controlling-scope-creep-4614</w:t>
        </w:r>
      </w:hyperlink>
    </w:p>
    <w:p>
      <w:pPr>
        <w:pStyle w:val="Normal"/>
        <w:rPr/>
      </w:pPr>
      <w:r>
        <w:rPr/>
        <w:t xml:space="preserve">Project Management Institute. (n.d.-d). </w:t>
      </w:r>
      <w:r>
        <w:rPr>
          <w:i/>
          <w:iCs/>
        </w:rPr>
        <w:t>Moving from work breakdown structure to a critical path schedule</w:t>
      </w:r>
      <w:r>
        <w:rPr/>
        <w:t xml:space="preserve">. </w:t>
      </w:r>
      <w:hyperlink r:id="rId14">
        <w:r>
          <w:rPr>
            <w:rStyle w:val="Hyperlink"/>
          </w:rPr>
          <w:t>https://www.pmi.org/learning/library/moving-work-breakdown-structure-critical-path-6978</w:t>
        </w:r>
      </w:hyperlink>
    </w:p>
    <w:p>
      <w:pPr>
        <w:pStyle w:val="Normal"/>
        <w:rPr/>
      </w:pPr>
      <w:r>
        <w:rPr/>
        <w:t xml:space="preserve">Project Management Institute. (n.d.-e). </w:t>
      </w:r>
      <w:r>
        <w:rPr>
          <w:i/>
          <w:iCs/>
        </w:rPr>
        <w:t>Risk management</w:t>
      </w:r>
      <w:r>
        <w:rPr/>
        <w:t xml:space="preserve">. </w:t>
      </w:r>
      <w:hyperlink r:id="rId15">
        <w:r>
          <w:rPr>
            <w:rStyle w:val="Hyperlink"/>
          </w:rPr>
          <w:t>https://www.pmi.org/learning/library/risk-management-9096</w:t>
        </w:r>
      </w:hyperlink>
    </w:p>
    <w:p>
      <w:pPr>
        <w:pStyle w:val="Normal"/>
        <w:rPr/>
      </w:pPr>
      <w:r>
        <w:rPr/>
        <w:t xml:space="preserve">Project Management Institute. (n.d.-f). </w:t>
      </w:r>
      <w:r>
        <w:rPr>
          <w:i/>
          <w:iCs/>
        </w:rPr>
        <w:t>Stakeholder analysis: A pivotal practice of successful projects</w:t>
      </w:r>
      <w:r>
        <w:rPr/>
        <w:t xml:space="preserve">. </w:t>
      </w:r>
      <w:hyperlink r:id="rId16">
        <w:r>
          <w:rPr>
            <w:rStyle w:val="Hyperlink"/>
          </w:rPr>
          <w:t>https://www.pmi.org/learning/library/stakeholder-analysis-pivotal-practice-projects-8905</w:t>
        </w:r>
      </w:hyperlink>
    </w:p>
    <w:p>
      <w:pPr>
        <w:pStyle w:val="Normal"/>
        <w:rPr/>
      </w:pPr>
      <w:r>
        <w:rPr/>
        <w:t xml:space="preserve">Serrador, P., &amp; Pinto, J. K. (2015). Does Agile work? A quantitative analysis of Agile project success. </w:t>
      </w:r>
      <w:r>
        <w:rPr>
          <w:i/>
          <w:iCs/>
        </w:rPr>
        <w:t>International Journal of Project Management, 33</w:t>
      </w:r>
      <w:r>
        <w:rPr/>
        <w:t xml:space="preserve">(5), 1040–1051. </w:t>
      </w:r>
      <w:hyperlink r:id="rId17">
        <w:r>
          <w:rPr>
            <w:rStyle w:val="Hyperlink"/>
          </w:rPr>
          <w:t>https://doi.org/10.1016/j.ijproman.2015.01.006</w:t>
        </w:r>
      </w:hyperlink>
    </w:p>
    <w:p>
      <w:pPr>
        <w:pStyle w:val="Normal"/>
        <w:rPr/>
      </w:pPr>
      <w:r>
        <w:rPr/>
        <w:t xml:space="preserve">Turner, J. R., &amp; Cochrane, R. A. (1993). Goals-and-methods matrix: Coping with projects with ill-defined goals and/or methods of achieving them. </w:t>
      </w:r>
      <w:r>
        <w:rPr>
          <w:i/>
          <w:iCs/>
        </w:rPr>
        <w:t>International Journal of Project Management, 11</w:t>
      </w:r>
      <w:r>
        <w:rPr/>
        <w:t xml:space="preserve">(2), 93–102. </w:t>
      </w:r>
      <w:hyperlink r:id="rId18">
        <w:r>
          <w:rPr>
            <w:rStyle w:val="Hyperlink"/>
          </w:rPr>
          <w:t>https://doi.org/10.1016/0263-7863(93)90017-H</w:t>
        </w:r>
      </w:hyperlink>
    </w:p>
    <w:p>
      <w:pPr>
        <w:pStyle w:val="Normal"/>
        <w:rPr/>
      </w:pPr>
      <w:r>
        <w:rPr/>
        <w:t xml:space="preserve">Turner, J. R., &amp; Zolin, R. (2012). Forecasting success on large projects: Developing reliable scales to predict multiple perspectives by multiple stakeholders over multiple time frames. </w:t>
      </w:r>
      <w:r>
        <w:rPr>
          <w:i/>
          <w:iCs/>
        </w:rPr>
        <w:t>Project Management Journal, 43</w:t>
      </w:r>
      <w:r>
        <w:rPr/>
        <w:t xml:space="preserve">(5), 87–99. </w:t>
      </w:r>
      <w:hyperlink r:id="rId19">
        <w:r>
          <w:rPr>
            <w:rStyle w:val="Hyperlink"/>
          </w:rPr>
          <w:t>https://doi.org/10.1002/pmj.21289</w:t>
        </w:r>
      </w:hyperlink>
    </w:p>
    <w:p>
      <w:pPr>
        <w:pStyle w:val="Normal"/>
        <w:rPr/>
      </w:pPr>
      <w:r>
        <w:rPr/>
        <w:t xml:space="preserve">Xia, N., Zou, P. X. W., Griffin, M. A., Wang, X., &amp; Zhong, R. (2018). Towards integrating construction risk management and stakeholder management: A systematic literature review and future research agendas. </w:t>
      </w:r>
      <w:r>
        <w:rPr>
          <w:i/>
          <w:iCs/>
        </w:rPr>
        <w:t>International Journal of Project Management, 36</w:t>
      </w:r>
      <w:r>
        <w:rPr/>
        <w:t xml:space="preserve">(5), 701–715. </w:t>
      </w:r>
      <w:hyperlink r:id="rId20">
        <w:r>
          <w:rPr>
            <w:rStyle w:val="Hyperlink"/>
          </w:rPr>
          <w:t>https://doi.org/10.1016/j.ijproman.2018.03.006</w:t>
        </w:r>
      </w:hyperlink>
    </w:p>
    <w:p>
      <w:pPr>
        <w:pStyle w:val="Normal"/>
        <w:rPr/>
      </w:pPr>
      <w:r>
        <w:rPr/>
        <w:t xml:space="preserve">Zwikael, O. (2012). A general framework for gauging the performance of initiatives to enhance organizational value. </w:t>
      </w:r>
      <w:r>
        <w:rPr>
          <w:i/>
          <w:iCs/>
        </w:rPr>
        <w:t>British Journal of Management, 23</w:t>
      </w:r>
      <w:r>
        <w:rPr/>
        <w:t xml:space="preserve">(4), 632–644. </w:t>
      </w:r>
      <w:hyperlink r:id="rId21">
        <w:r>
          <w:rPr>
            <w:rStyle w:val="Hyperlink"/>
          </w:rPr>
          <w:t>https://doi.org/10.1111/j.1467-8551.2012.00823.x</w:t>
        </w:r>
      </w:hyperlink>
    </w:p>
    <w:p>
      <w:pPr>
        <w:pStyle w:val="Normal"/>
        <w:rPr/>
      </w:pPr>
      <w:r>
        <w:rPr/>
        <w:t xml:space="preserve">Zwikael, O., &amp; Globerson, S. (2006). From critical success factors to critical success processes. </w:t>
      </w:r>
      <w:r>
        <w:rPr>
          <w:i/>
          <w:iCs/>
        </w:rPr>
        <w:t>International Journal of Production Research, 44</w:t>
      </w:r>
      <w:r>
        <w:rPr/>
        <w:t xml:space="preserve">(17), 3433–3449. </w:t>
      </w:r>
      <w:hyperlink r:id="rId22">
        <w:r>
          <w:rPr>
            <w:rStyle w:val="Hyperlink"/>
          </w:rPr>
          <w:t>https://doi.org/10.1080/00207540500536921</w:t>
        </w:r>
      </w:hyperlink>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Normal"/>
        <w:rPr>
          <w:b/>
          <w:bCs/>
        </w:rPr>
      </w:pPr>
      <w:r>
        <w:rPr>
          <w:b/>
          <w:bCs/>
        </w:rPr>
      </w:r>
    </w:p>
    <w:p>
      <w:pPr>
        <w:pStyle w:val="Heading1"/>
        <w:rPr>
          <w:b/>
          <w:bCs/>
        </w:rPr>
      </w:pPr>
      <w:bookmarkStart w:id="87" w:name="__RefHeading___Toc2833_1410408564"/>
      <w:bookmarkStart w:id="88" w:name="_Toc238761840"/>
      <w:bookmarkEnd w:id="87"/>
      <w:r>
        <w:rPr>
          <w:b/>
          <w:bCs/>
        </w:rPr>
        <w:t>Appendices</w:t>
      </w:r>
      <w:bookmarkEnd w:id="88"/>
    </w:p>
    <w:p>
      <w:pPr>
        <w:pStyle w:val="Heading2"/>
        <w:rPr>
          <w:b/>
          <w:bCs/>
        </w:rPr>
      </w:pPr>
      <w:bookmarkStart w:id="89" w:name="__RefHeading___Toc2835_1410408564"/>
      <w:bookmarkStart w:id="90" w:name="_Toc238761841"/>
      <w:bookmarkEnd w:id="89"/>
      <w:r>
        <w:rPr>
          <w:b/>
          <w:bCs/>
        </w:rPr>
        <w:t>Appendix 1 – SWOT Analysis</w:t>
      </w:r>
      <w:bookmarkEnd w:id="90"/>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4920"/>
        <w:gridCol w:w="4105"/>
      </w:tblGrid>
      <w:tr>
        <w:trPr>
          <w:tblHeader w:val="true"/>
        </w:trPr>
        <w:tc>
          <w:tcPr>
            <w:tcW w:w="4920" w:type="dxa"/>
            <w:tcBorders/>
            <w:vAlign w:val="center"/>
          </w:tcPr>
          <w:p>
            <w:pPr>
              <w:pStyle w:val="Normal"/>
              <w:spacing w:before="0" w:after="160"/>
              <w:rPr>
                <w:b/>
                <w:bCs/>
              </w:rPr>
            </w:pPr>
            <w:r>
              <w:rPr>
                <w:b/>
                <w:bCs/>
              </w:rPr>
              <w:t>Strengths</w:t>
            </w:r>
          </w:p>
        </w:tc>
        <w:tc>
          <w:tcPr>
            <w:tcW w:w="4105" w:type="dxa"/>
            <w:tcBorders/>
            <w:vAlign w:val="center"/>
          </w:tcPr>
          <w:p>
            <w:pPr>
              <w:pStyle w:val="Normal"/>
              <w:spacing w:before="0" w:after="160"/>
              <w:rPr>
                <w:b/>
                <w:bCs/>
              </w:rPr>
            </w:pPr>
            <w:r>
              <w:rPr>
                <w:b/>
                <w:bCs/>
              </w:rPr>
              <w:t>Weaknesses</w:t>
            </w:r>
          </w:p>
        </w:tc>
      </w:tr>
      <w:tr>
        <w:trPr/>
        <w:tc>
          <w:tcPr>
            <w:tcW w:w="4920" w:type="dxa"/>
            <w:tcBorders/>
            <w:vAlign w:val="center"/>
          </w:tcPr>
          <w:p>
            <w:pPr>
              <w:pStyle w:val="Normal"/>
              <w:widowControl/>
              <w:suppressAutoHyphens w:val="true"/>
              <w:bidi w:val="0"/>
              <w:spacing w:lineRule="auto" w:line="259" w:before="0" w:after="160"/>
              <w:jc w:val="left"/>
              <w:rPr/>
            </w:pPr>
            <w:r>
              <w:rPr/>
              <w:t>Small project team with complementary skills.</w:t>
            </w:r>
          </w:p>
        </w:tc>
        <w:tc>
          <w:tcPr>
            <w:tcW w:w="4105" w:type="dxa"/>
            <w:tcBorders/>
            <w:vAlign w:val="center"/>
          </w:tcPr>
          <w:p>
            <w:pPr>
              <w:pStyle w:val="Normal"/>
              <w:widowControl/>
              <w:suppressAutoHyphens w:val="true"/>
              <w:bidi w:val="0"/>
              <w:spacing w:lineRule="auto" w:line="259" w:before="0" w:after="160"/>
              <w:jc w:val="left"/>
              <w:rPr/>
            </w:pPr>
            <w:r>
              <w:rPr/>
              <w:t>Limited human-resource capacity within the project team.</w:t>
            </w:r>
          </w:p>
        </w:tc>
      </w:tr>
      <w:tr>
        <w:trPr/>
        <w:tc>
          <w:tcPr>
            <w:tcW w:w="4920" w:type="dxa"/>
            <w:tcBorders/>
            <w:vAlign w:val="center"/>
          </w:tcPr>
          <w:p>
            <w:pPr>
              <w:pStyle w:val="Normal"/>
              <w:widowControl/>
              <w:suppressAutoHyphens w:val="true"/>
              <w:bidi w:val="0"/>
              <w:spacing w:lineRule="auto" w:line="259" w:before="0" w:after="160"/>
              <w:jc w:val="left"/>
              <w:rPr/>
            </w:pPr>
            <w:r>
              <w:rPr/>
              <w:t>Clear roles between the Project Manager, Project Sponsor and Financial Advisers.</w:t>
            </w:r>
          </w:p>
        </w:tc>
        <w:tc>
          <w:tcPr>
            <w:tcW w:w="4105" w:type="dxa"/>
            <w:tcBorders/>
            <w:vAlign w:val="center"/>
          </w:tcPr>
          <w:p>
            <w:pPr>
              <w:pStyle w:val="Normal"/>
              <w:widowControl/>
              <w:suppressAutoHyphens w:val="true"/>
              <w:bidi w:val="0"/>
              <w:spacing w:lineRule="auto" w:line="259" w:before="0" w:after="160"/>
              <w:jc w:val="left"/>
              <w:rPr/>
            </w:pPr>
            <w:r>
              <w:rPr/>
              <w:t>Team members may need to manage several activities simultaneously.</w:t>
            </w:r>
          </w:p>
        </w:tc>
      </w:tr>
      <w:tr>
        <w:trPr/>
        <w:tc>
          <w:tcPr>
            <w:tcW w:w="4920" w:type="dxa"/>
            <w:tcBorders/>
            <w:vAlign w:val="center"/>
          </w:tcPr>
          <w:p>
            <w:pPr>
              <w:pStyle w:val="Normal"/>
              <w:widowControl/>
              <w:suppressAutoHyphens w:val="true"/>
              <w:bidi w:val="0"/>
              <w:spacing w:lineRule="auto" w:line="259" w:before="0" w:after="160"/>
              <w:jc w:val="left"/>
              <w:rPr/>
            </w:pPr>
            <w:r>
              <w:rPr/>
              <w:t>Florin provides project coordination and project management.</w:t>
            </w:r>
          </w:p>
        </w:tc>
        <w:tc>
          <w:tcPr>
            <w:tcW w:w="4105" w:type="dxa"/>
            <w:tcBorders/>
            <w:vAlign w:val="center"/>
          </w:tcPr>
          <w:p>
            <w:pPr>
              <w:pStyle w:val="Normal"/>
              <w:widowControl/>
              <w:suppressAutoHyphens w:val="true"/>
              <w:bidi w:val="0"/>
              <w:spacing w:lineRule="auto" w:line="259" w:before="0" w:after="160"/>
              <w:jc w:val="left"/>
              <w:rPr/>
            </w:pPr>
            <w:r>
              <w:rPr/>
              <w:t>The project depends on the availability of specialist financial advisers.</w:t>
            </w:r>
          </w:p>
        </w:tc>
      </w:tr>
      <w:tr>
        <w:trPr/>
        <w:tc>
          <w:tcPr>
            <w:tcW w:w="4920" w:type="dxa"/>
            <w:tcBorders/>
            <w:vAlign w:val="center"/>
          </w:tcPr>
          <w:p>
            <w:pPr>
              <w:pStyle w:val="Normal"/>
              <w:widowControl/>
              <w:suppressAutoHyphens w:val="true"/>
              <w:bidi w:val="0"/>
              <w:spacing w:lineRule="auto" w:line="259" w:before="0" w:after="160"/>
              <w:jc w:val="left"/>
              <w:rPr/>
            </w:pPr>
            <w:r>
              <w:rPr/>
              <w:t>Camelia and Sandra provide specialist financial protection knowledge.</w:t>
            </w:r>
          </w:p>
        </w:tc>
        <w:tc>
          <w:tcPr>
            <w:tcW w:w="4105" w:type="dxa"/>
            <w:tcBorders/>
            <w:vAlign w:val="center"/>
          </w:tcPr>
          <w:p>
            <w:pPr>
              <w:pStyle w:val="Normal"/>
              <w:widowControl/>
              <w:suppressAutoHyphens w:val="true"/>
              <w:bidi w:val="0"/>
              <w:spacing w:lineRule="auto" w:line="259" w:before="0" w:after="160"/>
              <w:jc w:val="left"/>
              <w:rPr/>
            </w:pPr>
            <w:r>
              <w:rPr/>
              <w:t>Limited capacity to absorb significant late changes without additional workload.</w:t>
            </w:r>
          </w:p>
        </w:tc>
      </w:tr>
      <w:tr>
        <w:trPr/>
        <w:tc>
          <w:tcPr>
            <w:tcW w:w="4920" w:type="dxa"/>
            <w:tcBorders/>
            <w:vAlign w:val="center"/>
          </w:tcPr>
          <w:p>
            <w:pPr>
              <w:pStyle w:val="Normal"/>
              <w:widowControl/>
              <w:suppressAutoHyphens w:val="true"/>
              <w:bidi w:val="0"/>
              <w:spacing w:lineRule="auto" w:line="259" w:before="0" w:after="160"/>
              <w:jc w:val="left"/>
              <w:rPr/>
            </w:pPr>
            <w:r>
              <w:rPr/>
              <w:t>Clearly defined subject area covering life insurance, critical illness cover, income protection and accident protection.</w:t>
            </w:r>
          </w:p>
        </w:tc>
        <w:tc>
          <w:tcPr>
            <w:tcW w:w="4105" w:type="dxa"/>
            <w:tcBorders/>
            <w:vAlign w:val="center"/>
          </w:tcPr>
          <w:p>
            <w:pPr>
              <w:pStyle w:val="Normal"/>
              <w:widowControl/>
              <w:suppressAutoHyphens w:val="true"/>
              <w:bidi w:val="0"/>
              <w:spacing w:lineRule="auto" w:line="259" w:before="0" w:after="160"/>
              <w:jc w:val="left"/>
              <w:rPr/>
            </w:pPr>
            <w:r>
              <w:rPr/>
              <w:t>Dependence on key individuals creates vulnerability if a team member becomes unavailable.</w:t>
            </w:r>
          </w:p>
        </w:tc>
      </w:tr>
    </w:tbl>
    <w:p>
      <w:pPr>
        <w:pStyle w:val="Normal"/>
        <w:rPr>
          <w:vanish/>
        </w:rPr>
      </w:pPr>
      <w:r>
        <w:rPr>
          <w:vanish/>
        </w:rPr>
      </w:r>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4346"/>
        <w:gridCol w:w="4679"/>
      </w:tblGrid>
      <w:tr>
        <w:trPr>
          <w:tblHeader w:val="true"/>
        </w:trPr>
        <w:tc>
          <w:tcPr>
            <w:tcW w:w="4346" w:type="dxa"/>
            <w:tcBorders/>
            <w:vAlign w:val="center"/>
          </w:tcPr>
          <w:p>
            <w:pPr>
              <w:pStyle w:val="Normal"/>
              <w:spacing w:before="0" w:after="160"/>
              <w:rPr>
                <w:b/>
                <w:bCs/>
              </w:rPr>
            </w:pPr>
            <w:r>
              <w:rPr>
                <w:b/>
                <w:bCs/>
              </w:rPr>
              <w:t>Opportunities</w:t>
            </w:r>
          </w:p>
        </w:tc>
        <w:tc>
          <w:tcPr>
            <w:tcW w:w="4679" w:type="dxa"/>
            <w:tcBorders/>
            <w:vAlign w:val="center"/>
          </w:tcPr>
          <w:p>
            <w:pPr>
              <w:pStyle w:val="Normal"/>
              <w:spacing w:before="0" w:after="160"/>
              <w:rPr>
                <w:b/>
                <w:bCs/>
              </w:rPr>
            </w:pPr>
            <w:r>
              <w:rPr>
                <w:b/>
                <w:bCs/>
              </w:rPr>
              <w:t>Threats</w:t>
            </w:r>
          </w:p>
        </w:tc>
      </w:tr>
      <w:tr>
        <w:trPr/>
        <w:tc>
          <w:tcPr>
            <w:tcW w:w="4346" w:type="dxa"/>
            <w:tcBorders/>
            <w:vAlign w:val="center"/>
          </w:tcPr>
          <w:p>
            <w:pPr>
              <w:pStyle w:val="Normal"/>
              <w:widowControl/>
              <w:suppressAutoHyphens w:val="true"/>
              <w:bidi w:val="0"/>
              <w:spacing w:lineRule="auto" w:line="259" w:before="0" w:after="160"/>
              <w:jc w:val="left"/>
              <w:rPr/>
            </w:pPr>
            <w:r>
              <w:rPr/>
              <w:t>Increase financial protection awareness among potential clients.</w:t>
            </w:r>
          </w:p>
        </w:tc>
        <w:tc>
          <w:tcPr>
            <w:tcW w:w="4679" w:type="dxa"/>
            <w:tcBorders/>
            <w:vAlign w:val="center"/>
          </w:tcPr>
          <w:p>
            <w:pPr>
              <w:pStyle w:val="Normal"/>
              <w:widowControl/>
              <w:suppressAutoHyphens w:val="true"/>
              <w:bidi w:val="0"/>
              <w:spacing w:lineRule="auto" w:line="259" w:before="0" w:after="160"/>
              <w:jc w:val="left"/>
              <w:rPr/>
            </w:pPr>
            <w:r>
              <w:rPr/>
              <w:t>Low participant attendance could reduce the value of the workshop.</w:t>
            </w:r>
          </w:p>
        </w:tc>
      </w:tr>
      <w:tr>
        <w:trPr/>
        <w:tc>
          <w:tcPr>
            <w:tcW w:w="4346" w:type="dxa"/>
            <w:tcBorders/>
            <w:vAlign w:val="center"/>
          </w:tcPr>
          <w:p>
            <w:pPr>
              <w:pStyle w:val="Normal"/>
              <w:widowControl/>
              <w:suppressAutoHyphens w:val="true"/>
              <w:bidi w:val="0"/>
              <w:spacing w:lineRule="auto" w:line="259" w:before="0" w:after="160"/>
              <w:jc w:val="left"/>
              <w:rPr/>
            </w:pPr>
            <w:r>
              <w:rPr/>
              <w:t>Improve engagement between potential clients and OWL Financial.</w:t>
            </w:r>
          </w:p>
        </w:tc>
        <w:tc>
          <w:tcPr>
            <w:tcW w:w="4679" w:type="dxa"/>
            <w:tcBorders/>
            <w:vAlign w:val="center"/>
          </w:tcPr>
          <w:p>
            <w:pPr>
              <w:pStyle w:val="Normal"/>
              <w:widowControl/>
              <w:suppressAutoHyphens w:val="true"/>
              <w:bidi w:val="0"/>
              <w:spacing w:lineRule="auto" w:line="259" w:before="0" w:after="160"/>
              <w:jc w:val="left"/>
              <w:rPr/>
            </w:pPr>
            <w:r>
              <w:rPr/>
              <w:t>Technology failure could disrupt workshop delivery.</w:t>
            </w:r>
          </w:p>
        </w:tc>
      </w:tr>
      <w:tr>
        <w:trPr/>
        <w:tc>
          <w:tcPr>
            <w:tcW w:w="4346" w:type="dxa"/>
            <w:tcBorders/>
            <w:vAlign w:val="center"/>
          </w:tcPr>
          <w:p>
            <w:pPr>
              <w:pStyle w:val="Normal"/>
              <w:widowControl/>
              <w:suppressAutoHyphens w:val="true"/>
              <w:bidi w:val="0"/>
              <w:spacing w:lineRule="auto" w:line="259" w:before="0" w:after="160"/>
              <w:jc w:val="left"/>
              <w:rPr/>
            </w:pPr>
            <w:r>
              <w:rPr/>
              <w:t>Develop a repeatable model for future awareness workshops.</w:t>
            </w:r>
          </w:p>
        </w:tc>
        <w:tc>
          <w:tcPr>
            <w:tcW w:w="4679" w:type="dxa"/>
            <w:tcBorders/>
            <w:vAlign w:val="center"/>
          </w:tcPr>
          <w:p>
            <w:pPr>
              <w:pStyle w:val="Normal"/>
              <w:widowControl/>
              <w:suppressAutoHyphens w:val="true"/>
              <w:bidi w:val="0"/>
              <w:spacing w:lineRule="auto" w:line="259" w:before="0" w:after="160"/>
              <w:jc w:val="left"/>
              <w:rPr/>
            </w:pPr>
            <w:r>
              <w:rPr/>
              <w:t>Venue cancellation or unsuitable venue arrangements could affect delivery.</w:t>
            </w:r>
          </w:p>
        </w:tc>
      </w:tr>
      <w:tr>
        <w:trPr/>
        <w:tc>
          <w:tcPr>
            <w:tcW w:w="4346" w:type="dxa"/>
            <w:tcBorders/>
            <w:vAlign w:val="center"/>
          </w:tcPr>
          <w:p>
            <w:pPr>
              <w:pStyle w:val="Normal"/>
              <w:widowControl/>
              <w:suppressAutoHyphens w:val="true"/>
              <w:bidi w:val="0"/>
              <w:spacing w:lineRule="auto" w:line="259" w:before="0" w:after="160"/>
              <w:jc w:val="left"/>
              <w:rPr/>
            </w:pPr>
            <w:r>
              <w:rPr/>
              <w:t>Use participant feedback to identify areas requiring clearer explanation.</w:t>
            </w:r>
          </w:p>
        </w:tc>
        <w:tc>
          <w:tcPr>
            <w:tcW w:w="4679" w:type="dxa"/>
            <w:tcBorders/>
            <w:vAlign w:val="center"/>
          </w:tcPr>
          <w:p>
            <w:pPr>
              <w:pStyle w:val="Normal"/>
              <w:widowControl/>
              <w:suppressAutoHyphens w:val="true"/>
              <w:bidi w:val="0"/>
              <w:spacing w:lineRule="auto" w:line="259" w:before="0" w:after="160"/>
              <w:jc w:val="left"/>
              <w:rPr/>
            </w:pPr>
            <w:r>
              <w:rPr/>
              <w:t>Adviser unavailability could affect specialist content and delivery.</w:t>
            </w:r>
          </w:p>
        </w:tc>
      </w:tr>
      <w:tr>
        <w:trPr/>
        <w:tc>
          <w:tcPr>
            <w:tcW w:w="4346" w:type="dxa"/>
            <w:tcBorders/>
            <w:vAlign w:val="center"/>
          </w:tcPr>
          <w:p>
            <w:pPr>
              <w:pStyle w:val="Normal"/>
              <w:widowControl/>
              <w:suppressAutoHyphens w:val="true"/>
              <w:bidi w:val="0"/>
              <w:spacing w:lineRule="auto" w:line="259" w:before="0" w:after="160"/>
              <w:jc w:val="left"/>
              <w:rPr/>
            </w:pPr>
            <w:r>
              <w:rPr/>
              <w:t>Generate organisational learning for future OWL Financial activities.</w:t>
            </w:r>
          </w:p>
        </w:tc>
        <w:tc>
          <w:tcPr>
            <w:tcW w:w="4679" w:type="dxa"/>
            <w:tcBorders/>
            <w:vAlign w:val="center"/>
          </w:tcPr>
          <w:p>
            <w:pPr>
              <w:pStyle w:val="Normal"/>
              <w:widowControl/>
              <w:suppressAutoHyphens w:val="true"/>
              <w:bidi w:val="0"/>
              <w:spacing w:lineRule="auto" w:line="259" w:before="0" w:after="160"/>
              <w:jc w:val="left"/>
              <w:rPr/>
            </w:pPr>
            <w:r>
              <w:rPr/>
              <w:t>Late changes to content or requirements could create rework and threaten the fixed event date.</w:t>
            </w:r>
          </w:p>
        </w:tc>
      </w:tr>
      <w:tr>
        <w:trPr/>
        <w:tc>
          <w:tcPr>
            <w:tcW w:w="4346" w:type="dxa"/>
            <w:tcBorders/>
            <w:vAlign w:val="center"/>
          </w:tcPr>
          <w:p>
            <w:pPr>
              <w:pStyle w:val="Normal"/>
              <w:widowControl/>
              <w:suppressAutoHyphens w:val="true"/>
              <w:bidi w:val="0"/>
              <w:spacing w:lineRule="auto" w:line="259" w:before="0" w:after="160"/>
              <w:jc w:val="left"/>
              <w:rPr/>
            </w:pPr>
            <w:r>
              <w:rPr/>
              <w:t>Improve the participant experience through accessible and engaging communication.</w:t>
            </w:r>
          </w:p>
        </w:tc>
        <w:tc>
          <w:tcPr>
            <w:tcW w:w="4679" w:type="dxa"/>
            <w:tcBorders/>
            <w:vAlign w:val="center"/>
          </w:tcPr>
          <w:p>
            <w:pPr>
              <w:pStyle w:val="Normal"/>
              <w:widowControl/>
              <w:suppressAutoHyphens w:val="true"/>
              <w:bidi w:val="0"/>
              <w:spacing w:lineRule="auto" w:line="259" w:before="0" w:after="160"/>
              <w:jc w:val="left"/>
              <w:rPr/>
            </w:pPr>
            <w:r>
              <w:rPr/>
              <w:t>Inaccurate or inappropriate content could create reputational and compliance risks.</w:t>
            </w:r>
          </w:p>
        </w:tc>
      </w:tr>
    </w:tbl>
    <w:p>
      <w:pPr>
        <w:pStyle w:val="Normal"/>
        <w:rPr>
          <w:b/>
          <w:bCs/>
        </w:rPr>
      </w:pPr>
      <w:r>
        <w:rPr>
          <w:b/>
          <w:bCs/>
        </w:rPr>
      </w:r>
    </w:p>
    <w:p>
      <w:pPr>
        <w:pStyle w:val="Normal"/>
        <w:rPr/>
      </w:pPr>
      <w:r>
        <w:rPr/>
      </w:r>
    </w:p>
    <w:p>
      <w:pPr>
        <w:pStyle w:val="Heading2"/>
        <w:rPr>
          <w:b/>
          <w:bCs/>
        </w:rPr>
      </w:pPr>
      <w:bookmarkStart w:id="91" w:name="__RefHeading___Toc2837_1410408564"/>
      <w:bookmarkStart w:id="92" w:name="_Toc238761842"/>
      <w:bookmarkEnd w:id="91"/>
      <w:r>
        <w:rPr>
          <w:b/>
          <w:bCs/>
        </w:rPr>
        <w:t>Appendix 2 – PESTLE Analysis</w:t>
      </w:r>
      <w:bookmarkEnd w:id="92"/>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1408"/>
        <w:gridCol w:w="3852"/>
        <w:gridCol w:w="3766"/>
      </w:tblGrid>
      <w:tr>
        <w:trPr>
          <w:tblHeader w:val="true"/>
        </w:trPr>
        <w:tc>
          <w:tcPr>
            <w:tcW w:w="1408" w:type="dxa"/>
            <w:tcBorders/>
            <w:vAlign w:val="center"/>
          </w:tcPr>
          <w:p>
            <w:pPr>
              <w:pStyle w:val="Normal"/>
              <w:spacing w:before="0" w:after="160"/>
              <w:rPr>
                <w:b/>
                <w:bCs/>
              </w:rPr>
            </w:pPr>
            <w:r>
              <w:rPr>
                <w:b/>
                <w:bCs/>
              </w:rPr>
              <w:t>Factor</w:t>
            </w:r>
          </w:p>
        </w:tc>
        <w:tc>
          <w:tcPr>
            <w:tcW w:w="3852" w:type="dxa"/>
            <w:tcBorders/>
            <w:vAlign w:val="center"/>
          </w:tcPr>
          <w:p>
            <w:pPr>
              <w:pStyle w:val="Normal"/>
              <w:spacing w:before="0" w:after="160"/>
              <w:rPr>
                <w:b/>
                <w:bCs/>
              </w:rPr>
            </w:pPr>
            <w:r>
              <w:rPr>
                <w:b/>
                <w:bCs/>
              </w:rPr>
              <w:t>Key Factors for the Project</w:t>
            </w:r>
          </w:p>
        </w:tc>
        <w:tc>
          <w:tcPr>
            <w:tcW w:w="3766" w:type="dxa"/>
            <w:tcBorders/>
            <w:vAlign w:val="center"/>
          </w:tcPr>
          <w:p>
            <w:pPr>
              <w:pStyle w:val="Normal"/>
              <w:spacing w:before="0" w:after="160"/>
              <w:rPr>
                <w:b/>
                <w:bCs/>
              </w:rPr>
            </w:pPr>
            <w:r>
              <w:rPr>
                <w:b/>
                <w:bCs/>
              </w:rPr>
              <w:t>Potential Project Impact</w:t>
            </w:r>
          </w:p>
        </w:tc>
      </w:tr>
      <w:tr>
        <w:trPr/>
        <w:tc>
          <w:tcPr>
            <w:tcW w:w="1408" w:type="dxa"/>
            <w:tcBorders/>
            <w:vAlign w:val="center"/>
          </w:tcPr>
          <w:p>
            <w:pPr>
              <w:pStyle w:val="Normal"/>
              <w:widowControl/>
              <w:suppressAutoHyphens w:val="true"/>
              <w:bidi w:val="0"/>
              <w:spacing w:lineRule="auto" w:line="259" w:before="0" w:after="160"/>
              <w:jc w:val="left"/>
              <w:rPr/>
            </w:pPr>
            <w:r>
              <w:rPr>
                <w:b/>
                <w:bCs/>
              </w:rPr>
              <w:t>Political</w:t>
            </w:r>
          </w:p>
        </w:tc>
        <w:tc>
          <w:tcPr>
            <w:tcW w:w="3852" w:type="dxa"/>
            <w:tcBorders/>
            <w:vAlign w:val="center"/>
          </w:tcPr>
          <w:p>
            <w:pPr>
              <w:pStyle w:val="Normal"/>
              <w:widowControl/>
              <w:suppressAutoHyphens w:val="true"/>
              <w:bidi w:val="0"/>
              <w:spacing w:lineRule="auto" w:line="259" w:before="0" w:after="160"/>
              <w:jc w:val="left"/>
              <w:rPr/>
            </w:pPr>
            <w:r>
              <w:rPr/>
              <w:t>The project operates within the UK financial services environment and must consider relevant organisational and regulatory expectations.</w:t>
            </w:r>
          </w:p>
        </w:tc>
        <w:tc>
          <w:tcPr>
            <w:tcW w:w="3766" w:type="dxa"/>
            <w:tcBorders/>
            <w:vAlign w:val="center"/>
          </w:tcPr>
          <w:p>
            <w:pPr>
              <w:pStyle w:val="Normal"/>
              <w:widowControl/>
              <w:suppressAutoHyphens w:val="true"/>
              <w:bidi w:val="0"/>
              <w:spacing w:lineRule="auto" w:line="259" w:before="0" w:after="160"/>
              <w:jc w:val="left"/>
              <w:rPr/>
            </w:pPr>
            <w:r>
              <w:rPr/>
              <w:t>Changes in the external financial-services environment could affect how information is presented and communicated.</w:t>
            </w:r>
          </w:p>
        </w:tc>
      </w:tr>
      <w:tr>
        <w:trPr/>
        <w:tc>
          <w:tcPr>
            <w:tcW w:w="1408" w:type="dxa"/>
            <w:tcBorders/>
            <w:vAlign w:val="center"/>
          </w:tcPr>
          <w:p>
            <w:pPr>
              <w:pStyle w:val="Normal"/>
              <w:widowControl/>
              <w:suppressAutoHyphens w:val="true"/>
              <w:bidi w:val="0"/>
              <w:spacing w:lineRule="auto" w:line="259" w:before="0" w:after="160"/>
              <w:jc w:val="left"/>
              <w:rPr/>
            </w:pPr>
            <w:r>
              <w:rPr>
                <w:b/>
                <w:bCs/>
              </w:rPr>
              <w:t>Economic</w:t>
            </w:r>
          </w:p>
        </w:tc>
        <w:tc>
          <w:tcPr>
            <w:tcW w:w="3852" w:type="dxa"/>
            <w:tcBorders/>
            <w:vAlign w:val="center"/>
          </w:tcPr>
          <w:p>
            <w:pPr>
              <w:pStyle w:val="Normal"/>
              <w:widowControl/>
              <w:suppressAutoHyphens w:val="true"/>
              <w:bidi w:val="0"/>
              <w:spacing w:lineRule="auto" w:line="259" w:before="0" w:after="160"/>
              <w:jc w:val="left"/>
              <w:rPr/>
            </w:pPr>
            <w:r>
              <w:rPr/>
              <w:t>Household financial pressures may influence participants' attitudes towards financial protection and affordability.</w:t>
            </w:r>
          </w:p>
        </w:tc>
        <w:tc>
          <w:tcPr>
            <w:tcW w:w="3766" w:type="dxa"/>
            <w:tcBorders/>
            <w:vAlign w:val="center"/>
          </w:tcPr>
          <w:p>
            <w:pPr>
              <w:pStyle w:val="Normal"/>
              <w:widowControl/>
              <w:suppressAutoHyphens w:val="true"/>
              <w:bidi w:val="0"/>
              <w:spacing w:lineRule="auto" w:line="259" w:before="0" w:after="160"/>
              <w:jc w:val="left"/>
              <w:rPr/>
            </w:pPr>
            <w:r>
              <w:rPr/>
              <w:t>Participants may have different priorities and levels of willingness to consider protection products.</w:t>
            </w:r>
          </w:p>
        </w:tc>
      </w:tr>
      <w:tr>
        <w:trPr/>
        <w:tc>
          <w:tcPr>
            <w:tcW w:w="1408" w:type="dxa"/>
            <w:tcBorders/>
            <w:vAlign w:val="center"/>
          </w:tcPr>
          <w:p>
            <w:pPr>
              <w:pStyle w:val="Normal"/>
              <w:widowControl/>
              <w:suppressAutoHyphens w:val="true"/>
              <w:bidi w:val="0"/>
              <w:spacing w:lineRule="auto" w:line="259" w:before="0" w:after="160"/>
              <w:jc w:val="left"/>
              <w:rPr/>
            </w:pPr>
            <w:r>
              <w:rPr>
                <w:b/>
                <w:bCs/>
              </w:rPr>
              <w:t>Social</w:t>
            </w:r>
          </w:p>
        </w:tc>
        <w:tc>
          <w:tcPr>
            <w:tcW w:w="3852" w:type="dxa"/>
            <w:tcBorders/>
            <w:vAlign w:val="center"/>
          </w:tcPr>
          <w:p>
            <w:pPr>
              <w:pStyle w:val="Normal"/>
              <w:widowControl/>
              <w:suppressAutoHyphens w:val="true"/>
              <w:bidi w:val="0"/>
              <w:spacing w:lineRule="auto" w:line="259" w:before="0" w:after="160"/>
              <w:jc w:val="left"/>
              <w:rPr/>
            </w:pPr>
            <w:r>
              <w:rPr/>
              <w:t>Participants may differ in age, family circumstances, financial knowledge and previous experience with insurance.</w:t>
            </w:r>
          </w:p>
        </w:tc>
        <w:tc>
          <w:tcPr>
            <w:tcW w:w="3766" w:type="dxa"/>
            <w:tcBorders/>
            <w:vAlign w:val="center"/>
          </w:tcPr>
          <w:p>
            <w:pPr>
              <w:pStyle w:val="Normal"/>
              <w:widowControl/>
              <w:suppressAutoHyphens w:val="true"/>
              <w:bidi w:val="0"/>
              <w:spacing w:lineRule="auto" w:line="259" w:before="0" w:after="160"/>
              <w:jc w:val="left"/>
              <w:rPr/>
            </w:pPr>
            <w:r>
              <w:rPr/>
              <w:t>Workshop content should use accessible language and avoid unnecessary technical terminology.</w:t>
            </w:r>
          </w:p>
        </w:tc>
      </w:tr>
      <w:tr>
        <w:trPr/>
        <w:tc>
          <w:tcPr>
            <w:tcW w:w="1408" w:type="dxa"/>
            <w:tcBorders/>
            <w:vAlign w:val="center"/>
          </w:tcPr>
          <w:p>
            <w:pPr>
              <w:pStyle w:val="Normal"/>
              <w:widowControl/>
              <w:suppressAutoHyphens w:val="true"/>
              <w:bidi w:val="0"/>
              <w:spacing w:lineRule="auto" w:line="259" w:before="0" w:after="160"/>
              <w:jc w:val="left"/>
              <w:rPr/>
            </w:pPr>
            <w:r>
              <w:rPr>
                <w:b/>
                <w:bCs/>
              </w:rPr>
              <w:t>Technological</w:t>
            </w:r>
          </w:p>
        </w:tc>
        <w:tc>
          <w:tcPr>
            <w:tcW w:w="3852" w:type="dxa"/>
            <w:tcBorders/>
            <w:vAlign w:val="center"/>
          </w:tcPr>
          <w:p>
            <w:pPr>
              <w:pStyle w:val="Normal"/>
              <w:widowControl/>
              <w:suppressAutoHyphens w:val="true"/>
              <w:bidi w:val="0"/>
              <w:spacing w:lineRule="auto" w:line="259" w:before="0" w:after="160"/>
              <w:jc w:val="left"/>
              <w:rPr/>
            </w:pPr>
            <w:r>
              <w:rPr/>
              <w:t>Technology is required for presentation delivery, registration, communication and potential follow-up.</w:t>
            </w:r>
          </w:p>
        </w:tc>
        <w:tc>
          <w:tcPr>
            <w:tcW w:w="3766" w:type="dxa"/>
            <w:tcBorders/>
            <w:vAlign w:val="center"/>
          </w:tcPr>
          <w:p>
            <w:pPr>
              <w:pStyle w:val="Normal"/>
              <w:widowControl/>
              <w:suppressAutoHyphens w:val="true"/>
              <w:bidi w:val="0"/>
              <w:spacing w:lineRule="auto" w:line="259" w:before="0" w:after="160"/>
              <w:jc w:val="left"/>
              <w:rPr/>
            </w:pPr>
            <w:r>
              <w:rPr/>
              <w:t>Technical failure could disrupt the workshop, requiring testing and contingency arrangements.</w:t>
            </w:r>
          </w:p>
        </w:tc>
      </w:tr>
      <w:tr>
        <w:trPr/>
        <w:tc>
          <w:tcPr>
            <w:tcW w:w="1408" w:type="dxa"/>
            <w:tcBorders/>
            <w:vAlign w:val="center"/>
          </w:tcPr>
          <w:p>
            <w:pPr>
              <w:pStyle w:val="Normal"/>
              <w:widowControl/>
              <w:suppressAutoHyphens w:val="true"/>
              <w:bidi w:val="0"/>
              <w:spacing w:lineRule="auto" w:line="259" w:before="0" w:after="160"/>
              <w:jc w:val="left"/>
              <w:rPr/>
            </w:pPr>
            <w:r>
              <w:rPr>
                <w:b/>
                <w:bCs/>
              </w:rPr>
              <w:t>Legal</w:t>
            </w:r>
          </w:p>
        </w:tc>
        <w:tc>
          <w:tcPr>
            <w:tcW w:w="3852" w:type="dxa"/>
            <w:tcBorders/>
            <w:vAlign w:val="center"/>
          </w:tcPr>
          <w:p>
            <w:pPr>
              <w:pStyle w:val="Normal"/>
              <w:widowControl/>
              <w:suppressAutoHyphens w:val="true"/>
              <w:bidi w:val="0"/>
              <w:spacing w:lineRule="auto" w:line="259" w:before="0" w:after="160"/>
              <w:jc w:val="left"/>
              <w:rPr/>
            </w:pPr>
            <w:r>
              <w:rPr/>
              <w:t>Financial information must be accurate and communicated appropriately. Participant information must also be handled responsibly.</w:t>
            </w:r>
          </w:p>
        </w:tc>
        <w:tc>
          <w:tcPr>
            <w:tcW w:w="3766" w:type="dxa"/>
            <w:tcBorders/>
            <w:vAlign w:val="center"/>
          </w:tcPr>
          <w:p>
            <w:pPr>
              <w:pStyle w:val="Normal"/>
              <w:widowControl/>
              <w:suppressAutoHyphens w:val="true"/>
              <w:bidi w:val="0"/>
              <w:spacing w:lineRule="auto" w:line="259" w:before="0" w:after="160"/>
              <w:jc w:val="left"/>
              <w:rPr/>
            </w:pPr>
            <w:r>
              <w:rPr/>
              <w:t>Failure to meet relevant requirements could create compliance, privacy and reputational risks.</w:t>
            </w:r>
          </w:p>
        </w:tc>
      </w:tr>
      <w:tr>
        <w:trPr/>
        <w:tc>
          <w:tcPr>
            <w:tcW w:w="1408" w:type="dxa"/>
            <w:tcBorders/>
            <w:vAlign w:val="center"/>
          </w:tcPr>
          <w:p>
            <w:pPr>
              <w:pStyle w:val="Normal"/>
              <w:widowControl/>
              <w:suppressAutoHyphens w:val="true"/>
              <w:bidi w:val="0"/>
              <w:spacing w:lineRule="auto" w:line="259" w:before="0" w:after="160"/>
              <w:jc w:val="left"/>
              <w:rPr/>
            </w:pPr>
            <w:r>
              <w:rPr>
                <w:b/>
                <w:bCs/>
              </w:rPr>
              <w:t>Environmental</w:t>
            </w:r>
          </w:p>
        </w:tc>
        <w:tc>
          <w:tcPr>
            <w:tcW w:w="3852" w:type="dxa"/>
            <w:tcBorders/>
            <w:vAlign w:val="center"/>
          </w:tcPr>
          <w:p>
            <w:pPr>
              <w:pStyle w:val="Normal"/>
              <w:widowControl/>
              <w:suppressAutoHyphens w:val="true"/>
              <w:bidi w:val="0"/>
              <w:spacing w:lineRule="auto" w:line="259" w:before="0" w:after="160"/>
              <w:jc w:val="left"/>
              <w:rPr/>
            </w:pPr>
            <w:r>
              <w:rPr/>
              <w:t>Venue accessibility, participant travel and the use of printed materials should be considered.</w:t>
            </w:r>
          </w:p>
        </w:tc>
        <w:tc>
          <w:tcPr>
            <w:tcW w:w="3766" w:type="dxa"/>
            <w:tcBorders/>
            <w:vAlign w:val="center"/>
          </w:tcPr>
          <w:p>
            <w:pPr>
              <w:pStyle w:val="Normal"/>
              <w:widowControl/>
              <w:suppressAutoHyphens w:val="true"/>
              <w:bidi w:val="0"/>
              <w:spacing w:lineRule="auto" w:line="259" w:before="0" w:after="160"/>
              <w:jc w:val="left"/>
              <w:rPr/>
            </w:pPr>
            <w:r>
              <w:rPr/>
              <w:t>Digital communication can reduce unnecessary printing, while venue selection should consider accessibility and travel requirements.</w:t>
            </w:r>
          </w:p>
        </w:tc>
      </w:tr>
    </w:tbl>
    <w:p>
      <w:pPr>
        <w:pStyle w:val="Normal"/>
        <w:rPr>
          <w:b/>
          <w:bCs/>
        </w:rPr>
      </w:pPr>
      <w:r>
        <w:rPr>
          <w:b/>
          <w:bCs/>
        </w:rPr>
      </w:r>
    </w:p>
    <w:p>
      <w:pPr>
        <w:pStyle w:val="Normal"/>
        <w:rPr/>
      </w:pPr>
      <w:r>
        <w:rPr/>
      </w:r>
    </w:p>
    <w:p>
      <w:pPr>
        <w:pStyle w:val="Heading2"/>
        <w:rPr>
          <w:b/>
          <w:bCs/>
        </w:rPr>
      </w:pPr>
      <w:bookmarkStart w:id="93" w:name="__RefHeading___Toc2839_1410408564"/>
      <w:bookmarkStart w:id="94" w:name="_Toc238761843"/>
      <w:bookmarkEnd w:id="93"/>
      <w:r>
        <w:rPr>
          <w:b/>
          <w:bCs/>
        </w:rPr>
        <w:t>Appendix 3 – Stakeholder Power/Interest Matrix</w:t>
      </w:r>
      <w:bookmarkEnd w:id="94"/>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890"/>
        <w:gridCol w:w="3419"/>
        <w:gridCol w:w="4717"/>
      </w:tblGrid>
      <w:tr>
        <w:trPr>
          <w:tblHeader w:val="true"/>
        </w:trPr>
        <w:tc>
          <w:tcPr>
            <w:tcW w:w="890" w:type="dxa"/>
            <w:tcBorders/>
            <w:vAlign w:val="center"/>
          </w:tcPr>
          <w:p>
            <w:pPr>
              <w:pStyle w:val="Normal"/>
              <w:spacing w:before="0" w:after="160"/>
              <w:rPr>
                <w:b/>
                <w:bCs/>
              </w:rPr>
            </w:pPr>
            <w:r>
              <w:rPr>
                <w:b/>
                <w:bCs/>
              </w:rPr>
              <w:t>Power / Interest</w:t>
            </w:r>
          </w:p>
        </w:tc>
        <w:tc>
          <w:tcPr>
            <w:tcW w:w="3419" w:type="dxa"/>
            <w:tcBorders/>
            <w:vAlign w:val="center"/>
          </w:tcPr>
          <w:p>
            <w:pPr>
              <w:pStyle w:val="Normal"/>
              <w:spacing w:before="0" w:after="160"/>
              <w:rPr>
                <w:b/>
                <w:bCs/>
              </w:rPr>
            </w:pPr>
            <w:r>
              <w:rPr>
                <w:b/>
                <w:bCs/>
              </w:rPr>
              <w:t>Low Interest</w:t>
            </w:r>
          </w:p>
        </w:tc>
        <w:tc>
          <w:tcPr>
            <w:tcW w:w="4717" w:type="dxa"/>
            <w:tcBorders/>
            <w:vAlign w:val="center"/>
          </w:tcPr>
          <w:p>
            <w:pPr>
              <w:pStyle w:val="Normal"/>
              <w:spacing w:before="0" w:after="160"/>
              <w:rPr>
                <w:b/>
                <w:bCs/>
              </w:rPr>
            </w:pPr>
            <w:r>
              <w:rPr>
                <w:b/>
                <w:bCs/>
              </w:rPr>
              <w:t>High Interest</w:t>
            </w:r>
          </w:p>
        </w:tc>
      </w:tr>
      <w:tr>
        <w:trPr/>
        <w:tc>
          <w:tcPr>
            <w:tcW w:w="890" w:type="dxa"/>
            <w:tcBorders/>
            <w:vAlign w:val="center"/>
          </w:tcPr>
          <w:p>
            <w:pPr>
              <w:pStyle w:val="Normal"/>
              <w:widowControl/>
              <w:suppressAutoHyphens w:val="true"/>
              <w:bidi w:val="0"/>
              <w:spacing w:lineRule="auto" w:line="259" w:before="0" w:after="160"/>
              <w:jc w:val="left"/>
              <w:rPr/>
            </w:pPr>
            <w:r>
              <w:rPr>
                <w:b/>
                <w:bCs/>
              </w:rPr>
              <w:t>High Power</w:t>
            </w:r>
          </w:p>
        </w:tc>
        <w:tc>
          <w:tcPr>
            <w:tcW w:w="3419" w:type="dxa"/>
            <w:tcBorders/>
            <w:vAlign w:val="center"/>
          </w:tcPr>
          <w:p>
            <w:pPr>
              <w:pStyle w:val="Normal"/>
              <w:widowControl/>
              <w:suppressAutoHyphens w:val="true"/>
              <w:bidi w:val="0"/>
              <w:spacing w:lineRule="auto" w:line="259" w:before="0" w:after="160"/>
              <w:jc w:val="left"/>
              <w:rPr/>
            </w:pPr>
            <w:r>
              <w:rPr>
                <w:b/>
                <w:bCs/>
              </w:rPr>
              <w:t>OWL Financial Management / Compliance Stakeholders</w:t>
            </w:r>
            <w:r>
              <w:rPr/>
              <w:t xml:space="preserve"> Keep satisfied through appropriate reporting and escalation of significant compliance or organisational issues.</w:t>
            </w:r>
          </w:p>
        </w:tc>
        <w:tc>
          <w:tcPr>
            <w:tcW w:w="4717" w:type="dxa"/>
            <w:tcBorders/>
            <w:vAlign w:val="center"/>
          </w:tcPr>
          <w:p>
            <w:pPr>
              <w:pStyle w:val="Normal"/>
              <w:widowControl/>
              <w:suppressAutoHyphens w:val="true"/>
              <w:bidi w:val="0"/>
              <w:spacing w:lineRule="auto" w:line="259" w:before="0" w:after="160"/>
              <w:jc w:val="left"/>
              <w:rPr/>
            </w:pPr>
            <w:r>
              <w:rPr>
                <w:b/>
                <w:bCs/>
              </w:rPr>
              <w:t>Daniela – Project Sponsor</w:t>
            </w:r>
            <w:r>
              <w:rPr/>
              <w:t xml:space="preserve"> Manage closely through regular progress updates, risk escalation and approval of significant decisions. </w:t>
            </w:r>
            <w:r>
              <w:rPr>
                <w:b/>
                <w:bCs/>
              </w:rPr>
              <w:t>Camelia &amp; Sandra – Financial Advisers</w:t>
            </w:r>
            <w:r>
              <w:rPr/>
              <w:t xml:space="preserve"> Manage closely because of their specialist knowledge and direct involvement in content development and delivery.</w:t>
            </w:r>
          </w:p>
        </w:tc>
      </w:tr>
      <w:tr>
        <w:trPr/>
        <w:tc>
          <w:tcPr>
            <w:tcW w:w="890" w:type="dxa"/>
            <w:tcBorders/>
            <w:vAlign w:val="center"/>
          </w:tcPr>
          <w:p>
            <w:pPr>
              <w:pStyle w:val="Normal"/>
              <w:widowControl/>
              <w:suppressAutoHyphens w:val="true"/>
              <w:bidi w:val="0"/>
              <w:spacing w:lineRule="auto" w:line="259" w:before="0" w:after="160"/>
              <w:jc w:val="left"/>
              <w:rPr/>
            </w:pPr>
            <w:r>
              <w:rPr>
                <w:b/>
                <w:bCs/>
              </w:rPr>
              <w:t>Low Power</w:t>
            </w:r>
          </w:p>
        </w:tc>
        <w:tc>
          <w:tcPr>
            <w:tcW w:w="3419" w:type="dxa"/>
            <w:tcBorders/>
            <w:vAlign w:val="center"/>
          </w:tcPr>
          <w:p>
            <w:pPr>
              <w:pStyle w:val="Normal"/>
              <w:widowControl/>
              <w:suppressAutoHyphens w:val="true"/>
              <w:bidi w:val="0"/>
              <w:spacing w:lineRule="auto" w:line="259" w:before="0" w:after="160"/>
              <w:jc w:val="left"/>
              <w:rPr/>
            </w:pPr>
            <w:r>
              <w:rPr>
                <w:b/>
                <w:bCs/>
              </w:rPr>
              <w:t>Venue and Technology Providers</w:t>
            </w:r>
            <w:r>
              <w:rPr/>
              <w:t xml:space="preserve"> Manage according to the services required and maintain clear operational communication.</w:t>
            </w:r>
          </w:p>
        </w:tc>
        <w:tc>
          <w:tcPr>
            <w:tcW w:w="4717" w:type="dxa"/>
            <w:tcBorders/>
            <w:vAlign w:val="center"/>
          </w:tcPr>
          <w:p>
            <w:pPr>
              <w:pStyle w:val="Normal"/>
              <w:widowControl/>
              <w:suppressAutoHyphens w:val="true"/>
              <w:bidi w:val="0"/>
              <w:spacing w:lineRule="auto" w:line="259" w:before="0" w:after="160"/>
              <w:jc w:val="left"/>
              <w:rPr/>
            </w:pPr>
            <w:r>
              <w:rPr>
                <w:b/>
                <w:bCs/>
              </w:rPr>
              <w:t>Potential Workshop Attendees</w:t>
            </w:r>
            <w:r>
              <w:rPr/>
              <w:t xml:space="preserve"> Keep informed through clear invitations, reminders, practical information and opportunities to provide feedback.</w:t>
            </w:r>
          </w:p>
        </w:tc>
      </w:tr>
    </w:tbl>
    <w:p>
      <w:pPr>
        <w:pStyle w:val="Normal"/>
        <w:rPr/>
      </w:pPr>
      <w:r>
        <w:rPr/>
      </w:r>
    </w:p>
    <w:p>
      <w:pPr>
        <w:pStyle w:val="Heading2"/>
        <w:rPr>
          <w:b/>
          <w:bCs/>
        </w:rPr>
      </w:pPr>
      <w:bookmarkStart w:id="95" w:name="__RefHeading___Toc2841_1410408564"/>
      <w:bookmarkStart w:id="96" w:name="_Toc238761844"/>
      <w:bookmarkEnd w:id="95"/>
      <w:r>
        <w:rPr>
          <w:b/>
          <w:bCs/>
        </w:rPr>
        <w:t>Appendix 4 – Work Breakdown Structure (WBS)</w:t>
      </w:r>
      <w:bookmarkEnd w:id="96"/>
    </w:p>
    <w:p>
      <w:pPr>
        <w:pStyle w:val="Normal"/>
        <w:rPr/>
      </w:pPr>
      <w:r>
        <w:rPr>
          <w:b/>
          <w:bCs/>
        </w:rPr>
        <w:t>Financial Protection Awareness Workshop</w:t>
      </w:r>
    </w:p>
    <w:p>
      <w:pPr>
        <w:pStyle w:val="Normal"/>
        <w:rPr/>
      </w:pPr>
      <w:r>
        <w:rPr/>
        <w:t>1. Financial Protection Awareness Workshop</w:t>
      </w:r>
    </w:p>
    <w:p>
      <w:pPr>
        <w:pStyle w:val="Normal"/>
        <w:rPr/>
      </w:pPr>
      <w:r>
        <w:rPr/>
        <w:t>│</w:t>
      </w:r>
    </w:p>
    <w:p>
      <w:pPr>
        <w:pStyle w:val="Normal"/>
        <w:rPr/>
      </w:pPr>
      <w:r>
        <w:rPr>
          <w:rFonts w:eastAsia="MS Gothic" w:cs="MS Gothic" w:ascii="MS Gothic" w:hAnsi="MS Gothic"/>
        </w:rPr>
        <w:t>├</w:t>
      </w:r>
      <w:r>
        <w:rPr/>
        <w:t xml:space="preserve">── </w:t>
      </w:r>
      <w:r>
        <w:rPr/>
        <w:t>1.1 Initiation</w:t>
      </w:r>
    </w:p>
    <w:p>
      <w:pPr>
        <w:pStyle w:val="Normal"/>
        <w:rPr/>
      </w:pPr>
      <w:r>
        <w:rPr/>
        <w:t xml:space="preserve">│   </w:t>
      </w:r>
      <w:r>
        <w:rPr>
          <w:rFonts w:eastAsia="MS Gothic" w:cs="MS Gothic" w:ascii="MS Gothic" w:hAnsi="MS Gothic"/>
        </w:rPr>
        <w:t>├</w:t>
      </w:r>
      <w:r>
        <w:rPr/>
        <w:t xml:space="preserve">── </w:t>
      </w:r>
      <w:r>
        <w:rPr/>
        <w:t>1.1.1 Confirm project objectives</w:t>
      </w:r>
    </w:p>
    <w:p>
      <w:pPr>
        <w:pStyle w:val="Normal"/>
        <w:rPr/>
      </w:pPr>
      <w:r>
        <w:rPr/>
        <w:t xml:space="preserve">│   </w:t>
      </w:r>
      <w:r>
        <w:rPr>
          <w:rFonts w:eastAsia="MS Gothic" w:cs="MS Gothic" w:ascii="MS Gothic" w:hAnsi="MS Gothic"/>
        </w:rPr>
        <w:t>├</w:t>
      </w:r>
      <w:r>
        <w:rPr/>
        <w:t xml:space="preserve">── </w:t>
      </w:r>
      <w:r>
        <w:rPr/>
        <w:t>1.1.2 Confirm project team and roles</w:t>
      </w:r>
    </w:p>
    <w:p>
      <w:pPr>
        <w:pStyle w:val="Normal"/>
        <w:rPr/>
      </w:pPr>
      <w:r>
        <w:rPr/>
        <w:t xml:space="preserve">│   </w:t>
      </w:r>
      <w:r>
        <w:rPr>
          <w:rFonts w:eastAsia="MS Gothic" w:cs="MS Gothic" w:ascii="MS Gothic" w:hAnsi="MS Gothic"/>
        </w:rPr>
        <w:t>├</w:t>
      </w:r>
      <w:r>
        <w:rPr/>
        <w:t xml:space="preserve">── </w:t>
      </w:r>
      <w:r>
        <w:rPr/>
        <w:t>1.1.3 Identify stakeholders</w:t>
      </w:r>
    </w:p>
    <w:p>
      <w:pPr>
        <w:pStyle w:val="Normal"/>
        <w:rPr/>
      </w:pPr>
      <w:r>
        <w:rPr/>
        <w:t xml:space="preserve">│   └── </w:t>
      </w:r>
      <w:r>
        <w:rPr/>
        <w:t>1.1.4 Agree initial project requirements</w:t>
      </w:r>
    </w:p>
    <w:p>
      <w:pPr>
        <w:pStyle w:val="Normal"/>
        <w:rPr/>
      </w:pPr>
      <w:r>
        <w:rPr/>
        <w:t>│</w:t>
      </w:r>
    </w:p>
    <w:p>
      <w:pPr>
        <w:pStyle w:val="Normal"/>
        <w:rPr/>
      </w:pPr>
      <w:r>
        <w:rPr>
          <w:rFonts w:eastAsia="MS Gothic" w:cs="MS Gothic" w:ascii="MS Gothic" w:hAnsi="MS Gothic"/>
        </w:rPr>
        <w:t>├</w:t>
      </w:r>
      <w:r>
        <w:rPr/>
        <w:t xml:space="preserve">── </w:t>
      </w:r>
      <w:r>
        <w:rPr/>
        <w:t>1.2 Planning and Logistics</w:t>
      </w:r>
    </w:p>
    <w:p>
      <w:pPr>
        <w:pStyle w:val="Normal"/>
        <w:rPr/>
      </w:pPr>
      <w:r>
        <w:rPr/>
        <w:t xml:space="preserve">│   </w:t>
      </w:r>
      <w:r>
        <w:rPr>
          <w:rFonts w:eastAsia="MS Gothic" w:cs="MS Gothic" w:ascii="MS Gothic" w:hAnsi="MS Gothic"/>
        </w:rPr>
        <w:t>├</w:t>
      </w:r>
      <w:r>
        <w:rPr/>
        <w:t xml:space="preserve">── </w:t>
      </w:r>
      <w:r>
        <w:rPr/>
        <w:t>1.2.1 Confirm workshop date</w:t>
      </w:r>
    </w:p>
    <w:p>
      <w:pPr>
        <w:pStyle w:val="Normal"/>
        <w:rPr/>
      </w:pPr>
      <w:r>
        <w:rPr/>
        <w:t xml:space="preserve">│   </w:t>
      </w:r>
      <w:r>
        <w:rPr>
          <w:rFonts w:eastAsia="MS Gothic" w:cs="MS Gothic" w:ascii="MS Gothic" w:hAnsi="MS Gothic"/>
        </w:rPr>
        <w:t>├</w:t>
      </w:r>
      <w:r>
        <w:rPr/>
        <w:t xml:space="preserve">── </w:t>
      </w:r>
      <w:r>
        <w:rPr/>
        <w:t>1.2.2 Confirm venue</w:t>
      </w:r>
    </w:p>
    <w:p>
      <w:pPr>
        <w:pStyle w:val="Normal"/>
        <w:rPr/>
      </w:pPr>
      <w:r>
        <w:rPr/>
        <w:t xml:space="preserve">│   </w:t>
      </w:r>
      <w:r>
        <w:rPr>
          <w:rFonts w:eastAsia="MS Gothic" w:cs="MS Gothic" w:ascii="MS Gothic" w:hAnsi="MS Gothic"/>
        </w:rPr>
        <w:t>├</w:t>
      </w:r>
      <w:r>
        <w:rPr/>
        <w:t xml:space="preserve">── </w:t>
      </w:r>
      <w:r>
        <w:rPr/>
        <w:t>1.2.3 Establish technical requirements</w:t>
      </w:r>
    </w:p>
    <w:p>
      <w:pPr>
        <w:pStyle w:val="Normal"/>
        <w:rPr/>
      </w:pPr>
      <w:r>
        <w:rPr/>
        <w:t xml:space="preserve">│   └── </w:t>
      </w:r>
      <w:r>
        <w:rPr/>
        <w:t>1.2.4 Establish attendee capacity</w:t>
      </w:r>
    </w:p>
    <w:p>
      <w:pPr>
        <w:pStyle w:val="Normal"/>
        <w:rPr/>
      </w:pPr>
      <w:r>
        <w:rPr/>
        <w:t>│</w:t>
      </w:r>
    </w:p>
    <w:p>
      <w:pPr>
        <w:pStyle w:val="Normal"/>
        <w:rPr/>
      </w:pPr>
      <w:r>
        <w:rPr>
          <w:rFonts w:eastAsia="MS Gothic" w:cs="MS Gothic" w:ascii="MS Gothic" w:hAnsi="MS Gothic"/>
        </w:rPr>
        <w:t>├</w:t>
      </w:r>
      <w:r>
        <w:rPr/>
        <w:t xml:space="preserve">── </w:t>
      </w:r>
      <w:r>
        <w:rPr/>
        <w:t>1.3 Content Development</w:t>
      </w:r>
    </w:p>
    <w:p>
      <w:pPr>
        <w:pStyle w:val="Normal"/>
        <w:rPr/>
      </w:pPr>
      <w:r>
        <w:rPr/>
        <w:t xml:space="preserve">│   </w:t>
      </w:r>
      <w:r>
        <w:rPr>
          <w:rFonts w:eastAsia="MS Gothic" w:cs="MS Gothic" w:ascii="MS Gothic" w:hAnsi="MS Gothic"/>
        </w:rPr>
        <w:t>├</w:t>
      </w:r>
      <w:r>
        <w:rPr/>
        <w:t xml:space="preserve">── </w:t>
      </w:r>
      <w:r>
        <w:rPr/>
        <w:t>1.3.1 Life insurance</w:t>
      </w:r>
    </w:p>
    <w:p>
      <w:pPr>
        <w:pStyle w:val="Normal"/>
        <w:rPr/>
      </w:pPr>
      <w:r>
        <w:rPr/>
        <w:t xml:space="preserve">│   </w:t>
      </w:r>
      <w:r>
        <w:rPr>
          <w:rFonts w:eastAsia="MS Gothic" w:cs="MS Gothic" w:ascii="MS Gothic" w:hAnsi="MS Gothic"/>
        </w:rPr>
        <w:t>├</w:t>
      </w:r>
      <w:r>
        <w:rPr/>
        <w:t xml:space="preserve">── </w:t>
      </w:r>
      <w:r>
        <w:rPr/>
        <w:t>1.3.2 Critical illness cover</w:t>
      </w:r>
    </w:p>
    <w:p>
      <w:pPr>
        <w:pStyle w:val="Normal"/>
        <w:rPr/>
      </w:pPr>
      <w:r>
        <w:rPr/>
        <w:t xml:space="preserve">│   </w:t>
      </w:r>
      <w:r>
        <w:rPr>
          <w:rFonts w:eastAsia="MS Gothic" w:cs="MS Gothic" w:ascii="MS Gothic" w:hAnsi="MS Gothic"/>
        </w:rPr>
        <w:t>├</w:t>
      </w:r>
      <w:r>
        <w:rPr/>
        <w:t xml:space="preserve">── </w:t>
      </w:r>
      <w:r>
        <w:rPr/>
        <w:t>1.3.3 Income protection</w:t>
      </w:r>
    </w:p>
    <w:p>
      <w:pPr>
        <w:pStyle w:val="Normal"/>
        <w:rPr/>
      </w:pPr>
      <w:r>
        <w:rPr/>
        <w:t xml:space="preserve">│   </w:t>
      </w:r>
      <w:r>
        <w:rPr>
          <w:rFonts w:eastAsia="MS Gothic" w:cs="MS Gothic" w:ascii="MS Gothic" w:hAnsi="MS Gothic"/>
        </w:rPr>
        <w:t>├</w:t>
      </w:r>
      <w:r>
        <w:rPr/>
        <w:t xml:space="preserve">── </w:t>
      </w:r>
      <w:r>
        <w:rPr/>
        <w:t>1.3.4 Accident protection</w:t>
      </w:r>
    </w:p>
    <w:p>
      <w:pPr>
        <w:pStyle w:val="Normal"/>
        <w:rPr/>
      </w:pPr>
      <w:r>
        <w:rPr/>
        <w:t xml:space="preserve">│   └── </w:t>
      </w:r>
      <w:r>
        <w:rPr/>
        <w:t>1.3.5 Content review and approval</w:t>
      </w:r>
    </w:p>
    <w:p>
      <w:pPr>
        <w:pStyle w:val="Normal"/>
        <w:rPr/>
      </w:pPr>
      <w:r>
        <w:rPr/>
        <w:t>│</w:t>
      </w:r>
    </w:p>
    <w:p>
      <w:pPr>
        <w:pStyle w:val="Normal"/>
        <w:rPr/>
      </w:pPr>
      <w:r>
        <w:rPr>
          <w:rFonts w:eastAsia="MS Gothic" w:cs="MS Gothic" w:ascii="MS Gothic" w:hAnsi="MS Gothic"/>
        </w:rPr>
        <w:t>├</w:t>
      </w:r>
      <w:r>
        <w:rPr/>
        <w:t xml:space="preserve">── </w:t>
      </w:r>
      <w:r>
        <w:rPr/>
        <w:t>1.4 Marketing and Invitations</w:t>
      </w:r>
    </w:p>
    <w:p>
      <w:pPr>
        <w:pStyle w:val="Normal"/>
        <w:rPr/>
      </w:pPr>
      <w:r>
        <w:rPr/>
        <w:t xml:space="preserve">│   </w:t>
      </w:r>
      <w:r>
        <w:rPr>
          <w:rFonts w:eastAsia="MS Gothic" w:cs="MS Gothic" w:ascii="MS Gothic" w:hAnsi="MS Gothic"/>
        </w:rPr>
        <w:t>├</w:t>
      </w:r>
      <w:r>
        <w:rPr/>
        <w:t xml:space="preserve">── </w:t>
      </w:r>
      <w:r>
        <w:rPr/>
        <w:t>1.4.1 Prepare invitation</w:t>
      </w:r>
    </w:p>
    <w:p>
      <w:pPr>
        <w:pStyle w:val="Normal"/>
        <w:rPr/>
      </w:pPr>
      <w:r>
        <w:rPr/>
        <w:t xml:space="preserve">│   </w:t>
      </w:r>
      <w:r>
        <w:rPr>
          <w:rFonts w:eastAsia="MS Gothic" w:cs="MS Gothic" w:ascii="MS Gothic" w:hAnsi="MS Gothic"/>
        </w:rPr>
        <w:t>├</w:t>
      </w:r>
      <w:r>
        <w:rPr/>
        <w:t xml:space="preserve">── </w:t>
      </w:r>
      <w:r>
        <w:rPr/>
        <w:t>1.4.2 Identify potential attendees</w:t>
      </w:r>
    </w:p>
    <w:p>
      <w:pPr>
        <w:pStyle w:val="Normal"/>
        <w:rPr/>
      </w:pPr>
      <w:r>
        <w:rPr/>
        <w:t xml:space="preserve">│   </w:t>
      </w:r>
      <w:r>
        <w:rPr>
          <w:rFonts w:eastAsia="MS Gothic" w:cs="MS Gothic" w:ascii="MS Gothic" w:hAnsi="MS Gothic"/>
        </w:rPr>
        <w:t>├</w:t>
      </w:r>
      <w:r>
        <w:rPr/>
        <w:t xml:space="preserve">── </w:t>
      </w:r>
      <w:r>
        <w:rPr/>
        <w:t>1.4.3 Issue invitations</w:t>
      </w:r>
    </w:p>
    <w:p>
      <w:pPr>
        <w:pStyle w:val="Normal"/>
        <w:rPr/>
      </w:pPr>
      <w:r>
        <w:rPr/>
        <w:t xml:space="preserve">│   </w:t>
      </w:r>
      <w:r>
        <w:rPr>
          <w:rFonts w:eastAsia="MS Gothic" w:cs="MS Gothic" w:ascii="MS Gothic" w:hAnsi="MS Gothic"/>
        </w:rPr>
        <w:t>├</w:t>
      </w:r>
      <w:r>
        <w:rPr/>
        <w:t xml:space="preserve">── </w:t>
      </w:r>
      <w:r>
        <w:rPr/>
        <w:t>1.4.4 Monitor responses</w:t>
      </w:r>
    </w:p>
    <w:p>
      <w:pPr>
        <w:pStyle w:val="Normal"/>
        <w:rPr/>
      </w:pPr>
      <w:r>
        <w:rPr/>
        <w:t xml:space="preserve">│   └── </w:t>
      </w:r>
      <w:r>
        <w:rPr/>
        <w:t>1.4.5 Send reminders</w:t>
      </w:r>
    </w:p>
    <w:p>
      <w:pPr>
        <w:pStyle w:val="Normal"/>
        <w:rPr/>
      </w:pPr>
      <w:r>
        <w:rPr/>
        <w:t>│</w:t>
      </w:r>
    </w:p>
    <w:p>
      <w:pPr>
        <w:pStyle w:val="Normal"/>
        <w:rPr/>
      </w:pPr>
      <w:r>
        <w:rPr>
          <w:rFonts w:eastAsia="MS Gothic" w:cs="MS Gothic" w:ascii="MS Gothic" w:hAnsi="MS Gothic"/>
        </w:rPr>
        <w:t>├</w:t>
      </w:r>
      <w:r>
        <w:rPr/>
        <w:t xml:space="preserve">── </w:t>
      </w:r>
      <w:r>
        <w:rPr/>
        <w:t>1.5 Workshop Delivery</w:t>
      </w:r>
    </w:p>
    <w:p>
      <w:pPr>
        <w:pStyle w:val="Normal"/>
        <w:rPr/>
      </w:pPr>
      <w:r>
        <w:rPr/>
        <w:t xml:space="preserve">│   </w:t>
      </w:r>
      <w:r>
        <w:rPr>
          <w:rFonts w:eastAsia="MS Gothic" w:cs="MS Gothic" w:ascii="MS Gothic" w:hAnsi="MS Gothic"/>
        </w:rPr>
        <w:t>├</w:t>
      </w:r>
      <w:r>
        <w:rPr/>
        <w:t xml:space="preserve">── </w:t>
      </w:r>
      <w:r>
        <w:rPr/>
        <w:t>1.5.1 Final venue check</w:t>
      </w:r>
    </w:p>
    <w:p>
      <w:pPr>
        <w:pStyle w:val="Normal"/>
        <w:rPr/>
      </w:pPr>
      <w:r>
        <w:rPr/>
        <w:t xml:space="preserve">│   </w:t>
      </w:r>
      <w:r>
        <w:rPr>
          <w:rFonts w:eastAsia="MS Gothic" w:cs="MS Gothic" w:ascii="MS Gothic" w:hAnsi="MS Gothic"/>
        </w:rPr>
        <w:t>├</w:t>
      </w:r>
      <w:r>
        <w:rPr/>
        <w:t xml:space="preserve">── </w:t>
      </w:r>
      <w:r>
        <w:rPr/>
        <w:t>1.5.2 Technology test</w:t>
      </w:r>
    </w:p>
    <w:p>
      <w:pPr>
        <w:pStyle w:val="Normal"/>
        <w:rPr/>
      </w:pPr>
      <w:r>
        <w:rPr/>
        <w:t xml:space="preserve">│   </w:t>
      </w:r>
      <w:r>
        <w:rPr>
          <w:rFonts w:eastAsia="MS Gothic" w:cs="MS Gothic" w:ascii="MS Gothic" w:hAnsi="MS Gothic"/>
        </w:rPr>
        <w:t>├</w:t>
      </w:r>
      <w:r>
        <w:rPr/>
        <w:t xml:space="preserve">── </w:t>
      </w:r>
      <w:r>
        <w:rPr/>
        <w:t>1.5.3 Deliver presentation</w:t>
      </w:r>
    </w:p>
    <w:p>
      <w:pPr>
        <w:pStyle w:val="Normal"/>
        <w:rPr/>
      </w:pPr>
      <w:r>
        <w:rPr/>
        <w:t xml:space="preserve">│   </w:t>
      </w:r>
      <w:r>
        <w:rPr>
          <w:rFonts w:eastAsia="MS Gothic" w:cs="MS Gothic" w:ascii="MS Gothic" w:hAnsi="MS Gothic"/>
        </w:rPr>
        <w:t>├</w:t>
      </w:r>
      <w:r>
        <w:rPr/>
        <w:t xml:space="preserve">── </w:t>
      </w:r>
      <w:r>
        <w:rPr/>
        <w:t>1.5.4 Facilitate questions and discussion</w:t>
      </w:r>
    </w:p>
    <w:p>
      <w:pPr>
        <w:pStyle w:val="Normal"/>
        <w:rPr/>
      </w:pPr>
      <w:r>
        <w:rPr/>
        <w:t xml:space="preserve">│   └── </w:t>
      </w:r>
      <w:r>
        <w:rPr/>
        <w:t>1.5.5 Collect participant feedback</w:t>
      </w:r>
    </w:p>
    <w:p>
      <w:pPr>
        <w:pStyle w:val="Normal"/>
        <w:rPr/>
      </w:pPr>
      <w:r>
        <w:rPr/>
        <w:t>│</w:t>
      </w:r>
    </w:p>
    <w:p>
      <w:pPr>
        <w:pStyle w:val="Normal"/>
        <w:rPr/>
      </w:pPr>
      <w:r>
        <w:rPr/>
        <w:t xml:space="preserve">└── </w:t>
      </w:r>
      <w:r>
        <w:rPr/>
        <w:t>1.6 Project Closure</w:t>
      </w:r>
    </w:p>
    <w:p>
      <w:pPr>
        <w:pStyle w:val="Normal"/>
        <w:rPr/>
      </w:pPr>
      <w:r>
        <w:rPr/>
        <w:t xml:space="preserve">    </w:t>
      </w:r>
      <w:r>
        <w:rPr>
          <w:rFonts w:eastAsia="MS Gothic" w:cs="MS Gothic" w:ascii="MS Gothic" w:hAnsi="MS Gothic"/>
        </w:rPr>
        <w:t>├</w:t>
      </w:r>
      <w:r>
        <w:rPr/>
        <w:t xml:space="preserve">── </w:t>
      </w:r>
      <w:r>
        <w:rPr/>
        <w:t>1.6.1 Evaluate participant feedback</w:t>
      </w:r>
    </w:p>
    <w:p>
      <w:pPr>
        <w:pStyle w:val="Normal"/>
        <w:rPr/>
      </w:pPr>
      <w:r>
        <w:rPr/>
        <w:t xml:space="preserve">    </w:t>
      </w:r>
      <w:r>
        <w:rPr>
          <w:rFonts w:eastAsia="MS Gothic" w:cs="MS Gothic" w:ascii="MS Gothic" w:hAnsi="MS Gothic"/>
        </w:rPr>
        <w:t>├</w:t>
      </w:r>
      <w:r>
        <w:rPr/>
        <w:t xml:space="preserve">── </w:t>
      </w:r>
      <w:r>
        <w:rPr/>
        <w:t>1.6.2 Review project objectives</w:t>
      </w:r>
    </w:p>
    <w:p>
      <w:pPr>
        <w:pStyle w:val="Normal"/>
        <w:rPr/>
      </w:pPr>
      <w:r>
        <w:rPr/>
        <w:t xml:space="preserve">    </w:t>
      </w:r>
      <w:r>
        <w:rPr>
          <w:rFonts w:eastAsia="MS Gothic" w:cs="MS Gothic" w:ascii="MS Gothic" w:hAnsi="MS Gothic"/>
        </w:rPr>
        <w:t>├</w:t>
      </w:r>
      <w:r>
        <w:rPr/>
        <w:t xml:space="preserve">── </w:t>
      </w:r>
      <w:r>
        <w:rPr/>
        <w:t>1.6.3 Conduct team debrief</w:t>
      </w:r>
    </w:p>
    <w:p>
      <w:pPr>
        <w:pStyle w:val="Normal"/>
        <w:rPr/>
      </w:pPr>
      <w:r>
        <w:rPr/>
        <w:t xml:space="preserve">    </w:t>
      </w:r>
      <w:r>
        <w:rPr>
          <w:rFonts w:eastAsia="MS Gothic" w:cs="MS Gothic" w:ascii="MS Gothic" w:hAnsi="MS Gothic"/>
        </w:rPr>
        <w:t>├</w:t>
      </w:r>
      <w:r>
        <w:rPr/>
        <w:t xml:space="preserve">── </w:t>
      </w:r>
      <w:r>
        <w:rPr/>
        <w:t>1.6.4 Document lessons learned</w:t>
      </w:r>
    </w:p>
    <w:p>
      <w:pPr>
        <w:pStyle w:val="Normal"/>
        <w:rPr/>
      </w:pPr>
      <w:r>
        <w:rPr/>
        <w:t xml:space="preserve">    └── </w:t>
      </w:r>
      <w:r>
        <w:rPr/>
        <w:t>1.6.5 Obtain sponsor sign-off</w:t>
      </w:r>
    </w:p>
    <w:p>
      <w:pPr>
        <w:pStyle w:val="Normal"/>
        <w:rPr>
          <w:b/>
          <w:bCs/>
        </w:rPr>
      </w:pPr>
      <w:r>
        <w:rPr>
          <w:b/>
          <w:bCs/>
        </w:rPr>
      </w:r>
    </w:p>
    <w:p>
      <w:pPr>
        <w:pStyle w:val="Normal"/>
        <w:rPr/>
      </w:pPr>
      <w:r>
        <w:rPr/>
      </w:r>
    </w:p>
    <w:p>
      <w:pPr>
        <w:pStyle w:val="Heading2"/>
        <w:rPr>
          <w:b/>
          <w:bCs/>
        </w:rPr>
      </w:pPr>
      <w:bookmarkStart w:id="97" w:name="__RefHeading___Toc2843_1410408564"/>
      <w:bookmarkStart w:id="98" w:name="_Toc238761845"/>
      <w:bookmarkEnd w:id="97"/>
      <w:r>
        <w:rPr>
          <w:b/>
          <w:bCs/>
        </w:rPr>
        <w:t>Appendix 5 – Gantt Chart and Critical Path</w:t>
      </w:r>
      <w:bookmarkEnd w:id="98"/>
    </w:p>
    <w:p>
      <w:pPr>
        <w:pStyle w:val="Normal"/>
        <w:rPr/>
      </w:pPr>
      <w:r>
        <w:rPr>
          <w:b/>
          <w:bCs/>
        </w:rPr>
        <w:t>Planning assumption:</w:t>
      </w:r>
      <w:r>
        <w:rPr/>
        <w:t xml:space="preserve"> The following schedule represents an indicative six-week project plan developed for the purposes of project planning and assessment. The workshop delivery date is assumed to be at the end of Week 6.</w:t>
      </w:r>
    </w:p>
    <w:p>
      <w:pPr>
        <w:pStyle w:val="Normal"/>
        <w:rPr>
          <w:b/>
          <w:bCs/>
        </w:rPr>
      </w:pPr>
      <w:r>
        <w:rPr>
          <w:b/>
          <w:bCs/>
        </w:rPr>
        <w:t>Gantt Schedule</w:t>
      </w:r>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464"/>
        <w:gridCol w:w="3244"/>
        <w:gridCol w:w="2035"/>
        <w:gridCol w:w="371"/>
        <w:gridCol w:w="371"/>
        <w:gridCol w:w="372"/>
        <w:gridCol w:w="371"/>
        <w:gridCol w:w="370"/>
        <w:gridCol w:w="371"/>
        <w:gridCol w:w="1056"/>
      </w:tblGrid>
      <w:tr>
        <w:trPr>
          <w:tblHeader w:val="true"/>
        </w:trPr>
        <w:tc>
          <w:tcPr>
            <w:tcW w:w="464" w:type="dxa"/>
            <w:tcBorders/>
            <w:vAlign w:val="center"/>
          </w:tcPr>
          <w:p>
            <w:pPr>
              <w:pStyle w:val="Normal"/>
              <w:spacing w:before="0" w:after="160"/>
              <w:rPr>
                <w:b/>
                <w:bCs/>
              </w:rPr>
            </w:pPr>
            <w:r>
              <w:rPr>
                <w:b/>
                <w:bCs/>
              </w:rPr>
              <w:t>ID</w:t>
            </w:r>
          </w:p>
        </w:tc>
        <w:tc>
          <w:tcPr>
            <w:tcW w:w="3244" w:type="dxa"/>
            <w:tcBorders/>
            <w:vAlign w:val="center"/>
          </w:tcPr>
          <w:p>
            <w:pPr>
              <w:pStyle w:val="Normal"/>
              <w:spacing w:before="0" w:after="160"/>
              <w:rPr>
                <w:b/>
                <w:bCs/>
              </w:rPr>
            </w:pPr>
            <w:r>
              <w:rPr>
                <w:b/>
                <w:bCs/>
              </w:rPr>
              <w:t>Activity</w:t>
            </w:r>
          </w:p>
        </w:tc>
        <w:tc>
          <w:tcPr>
            <w:tcW w:w="2035" w:type="dxa"/>
            <w:tcBorders/>
            <w:vAlign w:val="center"/>
          </w:tcPr>
          <w:p>
            <w:pPr>
              <w:pStyle w:val="Normal"/>
              <w:spacing w:before="0" w:after="160"/>
              <w:rPr>
                <w:b/>
                <w:bCs/>
              </w:rPr>
            </w:pPr>
            <w:r>
              <w:rPr>
                <w:b/>
                <w:bCs/>
              </w:rPr>
              <w:t>Owner</w:t>
            </w:r>
          </w:p>
        </w:tc>
        <w:tc>
          <w:tcPr>
            <w:tcW w:w="371" w:type="dxa"/>
            <w:tcBorders/>
            <w:vAlign w:val="center"/>
          </w:tcPr>
          <w:p>
            <w:pPr>
              <w:pStyle w:val="Normal"/>
              <w:spacing w:before="0" w:after="160"/>
              <w:rPr>
                <w:b/>
                <w:bCs/>
              </w:rPr>
            </w:pPr>
            <w:r>
              <w:rPr>
                <w:b/>
                <w:bCs/>
              </w:rPr>
              <w:t>W1</w:t>
            </w:r>
          </w:p>
        </w:tc>
        <w:tc>
          <w:tcPr>
            <w:tcW w:w="371" w:type="dxa"/>
            <w:tcBorders/>
            <w:vAlign w:val="center"/>
          </w:tcPr>
          <w:p>
            <w:pPr>
              <w:pStyle w:val="Normal"/>
              <w:spacing w:before="0" w:after="160"/>
              <w:rPr>
                <w:b/>
                <w:bCs/>
              </w:rPr>
            </w:pPr>
            <w:r>
              <w:rPr>
                <w:b/>
                <w:bCs/>
              </w:rPr>
              <w:t>W2</w:t>
            </w:r>
          </w:p>
        </w:tc>
        <w:tc>
          <w:tcPr>
            <w:tcW w:w="372" w:type="dxa"/>
            <w:tcBorders/>
            <w:vAlign w:val="center"/>
          </w:tcPr>
          <w:p>
            <w:pPr>
              <w:pStyle w:val="Normal"/>
              <w:spacing w:before="0" w:after="160"/>
              <w:rPr>
                <w:b/>
                <w:bCs/>
              </w:rPr>
            </w:pPr>
            <w:r>
              <w:rPr>
                <w:b/>
                <w:bCs/>
              </w:rPr>
              <w:t>W3</w:t>
            </w:r>
          </w:p>
        </w:tc>
        <w:tc>
          <w:tcPr>
            <w:tcW w:w="371" w:type="dxa"/>
            <w:tcBorders/>
            <w:vAlign w:val="center"/>
          </w:tcPr>
          <w:p>
            <w:pPr>
              <w:pStyle w:val="Normal"/>
              <w:spacing w:before="0" w:after="160"/>
              <w:rPr>
                <w:b/>
                <w:bCs/>
              </w:rPr>
            </w:pPr>
            <w:r>
              <w:rPr>
                <w:b/>
                <w:bCs/>
              </w:rPr>
              <w:t>W4</w:t>
            </w:r>
          </w:p>
        </w:tc>
        <w:tc>
          <w:tcPr>
            <w:tcW w:w="370" w:type="dxa"/>
            <w:tcBorders/>
            <w:vAlign w:val="center"/>
          </w:tcPr>
          <w:p>
            <w:pPr>
              <w:pStyle w:val="Normal"/>
              <w:spacing w:before="0" w:after="160"/>
              <w:rPr>
                <w:b/>
                <w:bCs/>
              </w:rPr>
            </w:pPr>
            <w:r>
              <w:rPr>
                <w:b/>
                <w:bCs/>
              </w:rPr>
              <w:t>W5</w:t>
            </w:r>
          </w:p>
        </w:tc>
        <w:tc>
          <w:tcPr>
            <w:tcW w:w="371" w:type="dxa"/>
            <w:tcBorders/>
            <w:vAlign w:val="center"/>
          </w:tcPr>
          <w:p>
            <w:pPr>
              <w:pStyle w:val="Normal"/>
              <w:spacing w:before="0" w:after="160"/>
              <w:rPr>
                <w:b/>
                <w:bCs/>
              </w:rPr>
            </w:pPr>
            <w:r>
              <w:rPr>
                <w:b/>
                <w:bCs/>
              </w:rPr>
              <w:t>W6</w:t>
            </w:r>
          </w:p>
        </w:tc>
        <w:tc>
          <w:tcPr>
            <w:tcW w:w="1056" w:type="dxa"/>
            <w:tcBorders/>
            <w:vAlign w:val="center"/>
          </w:tcPr>
          <w:p>
            <w:pPr>
              <w:pStyle w:val="Normal"/>
              <w:spacing w:before="0" w:after="160"/>
              <w:rPr>
                <w:b/>
                <w:bCs/>
              </w:rPr>
            </w:pPr>
            <w:r>
              <w:rPr>
                <w:b/>
                <w:bCs/>
              </w:rPr>
              <w:t>Critical Path</w:t>
            </w:r>
          </w:p>
        </w:tc>
      </w:tr>
      <w:tr>
        <w:trPr/>
        <w:tc>
          <w:tcPr>
            <w:tcW w:w="464" w:type="dxa"/>
            <w:tcBorders/>
            <w:vAlign w:val="center"/>
          </w:tcPr>
          <w:p>
            <w:pPr>
              <w:pStyle w:val="Normal"/>
              <w:widowControl/>
              <w:suppressAutoHyphens w:val="true"/>
              <w:bidi w:val="0"/>
              <w:spacing w:lineRule="auto" w:line="259" w:before="0" w:after="160"/>
              <w:jc w:val="left"/>
              <w:rPr/>
            </w:pPr>
            <w:r>
              <w:rPr/>
              <w:t>1.1</w:t>
            </w:r>
          </w:p>
        </w:tc>
        <w:tc>
          <w:tcPr>
            <w:tcW w:w="3244" w:type="dxa"/>
            <w:tcBorders/>
            <w:vAlign w:val="center"/>
          </w:tcPr>
          <w:p>
            <w:pPr>
              <w:pStyle w:val="Normal"/>
              <w:widowControl/>
              <w:suppressAutoHyphens w:val="true"/>
              <w:bidi w:val="0"/>
              <w:spacing w:lineRule="auto" w:line="259" w:before="0" w:after="160"/>
              <w:jc w:val="left"/>
              <w:rPr/>
            </w:pPr>
            <w:r>
              <w:rPr/>
              <w:t>Project approval and initiation</w:t>
            </w:r>
          </w:p>
        </w:tc>
        <w:tc>
          <w:tcPr>
            <w:tcW w:w="2035" w:type="dxa"/>
            <w:tcBorders/>
            <w:vAlign w:val="center"/>
          </w:tcPr>
          <w:p>
            <w:pPr>
              <w:pStyle w:val="Normal"/>
              <w:widowControl/>
              <w:suppressAutoHyphens w:val="true"/>
              <w:bidi w:val="0"/>
              <w:spacing w:lineRule="auto" w:line="259" w:before="0" w:after="160"/>
              <w:jc w:val="left"/>
              <w:rPr/>
            </w:pPr>
            <w:r>
              <w:rPr/>
              <w:t>Florin / Daniela</w:t>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1.2</w:t>
            </w:r>
          </w:p>
        </w:tc>
        <w:tc>
          <w:tcPr>
            <w:tcW w:w="3244" w:type="dxa"/>
            <w:tcBorders/>
            <w:vAlign w:val="center"/>
          </w:tcPr>
          <w:p>
            <w:pPr>
              <w:pStyle w:val="Normal"/>
              <w:widowControl/>
              <w:suppressAutoHyphens w:val="true"/>
              <w:bidi w:val="0"/>
              <w:spacing w:lineRule="auto" w:line="259" w:before="0" w:after="160"/>
              <w:jc w:val="left"/>
              <w:rPr/>
            </w:pPr>
            <w:r>
              <w:rPr/>
              <w:t>Confirm requirements and stakeholders</w:t>
            </w:r>
          </w:p>
        </w:tc>
        <w:tc>
          <w:tcPr>
            <w:tcW w:w="2035" w:type="dxa"/>
            <w:tcBorders/>
            <w:vAlign w:val="center"/>
          </w:tcPr>
          <w:p>
            <w:pPr>
              <w:pStyle w:val="Normal"/>
              <w:widowControl/>
              <w:suppressAutoHyphens w:val="true"/>
              <w:bidi w:val="0"/>
              <w:spacing w:lineRule="auto" w:line="259" w:before="0" w:after="160"/>
              <w:jc w:val="left"/>
              <w:rPr/>
            </w:pPr>
            <w:r>
              <w:rPr/>
              <w:t>Florin</w:t>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1.3</w:t>
            </w:r>
          </w:p>
        </w:tc>
        <w:tc>
          <w:tcPr>
            <w:tcW w:w="3244" w:type="dxa"/>
            <w:tcBorders/>
            <w:vAlign w:val="center"/>
          </w:tcPr>
          <w:p>
            <w:pPr>
              <w:pStyle w:val="Normal"/>
              <w:widowControl/>
              <w:suppressAutoHyphens w:val="true"/>
              <w:bidi w:val="0"/>
              <w:spacing w:lineRule="auto" w:line="259" w:before="0" w:after="160"/>
              <w:jc w:val="left"/>
              <w:rPr/>
            </w:pPr>
            <w:r>
              <w:rPr/>
              <w:t>Confirm venue and technical requirements</w:t>
            </w:r>
          </w:p>
        </w:tc>
        <w:tc>
          <w:tcPr>
            <w:tcW w:w="2035" w:type="dxa"/>
            <w:tcBorders/>
            <w:vAlign w:val="center"/>
          </w:tcPr>
          <w:p>
            <w:pPr>
              <w:pStyle w:val="Normal"/>
              <w:widowControl/>
              <w:suppressAutoHyphens w:val="true"/>
              <w:bidi w:val="0"/>
              <w:spacing w:lineRule="auto" w:line="259" w:before="0" w:after="160"/>
              <w:jc w:val="left"/>
              <w:rPr/>
            </w:pPr>
            <w:r>
              <w:rPr/>
              <w:t>Florin / Daniela</w:t>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1.4</w:t>
            </w:r>
          </w:p>
        </w:tc>
        <w:tc>
          <w:tcPr>
            <w:tcW w:w="3244" w:type="dxa"/>
            <w:tcBorders/>
            <w:vAlign w:val="center"/>
          </w:tcPr>
          <w:p>
            <w:pPr>
              <w:pStyle w:val="Normal"/>
              <w:widowControl/>
              <w:suppressAutoHyphens w:val="true"/>
              <w:bidi w:val="0"/>
              <w:spacing w:lineRule="auto" w:line="259" w:before="0" w:after="160"/>
              <w:jc w:val="left"/>
              <w:rPr/>
            </w:pPr>
            <w:r>
              <w:rPr/>
              <w:t>Develop workshop content</w:t>
            </w:r>
          </w:p>
        </w:tc>
        <w:tc>
          <w:tcPr>
            <w:tcW w:w="2035" w:type="dxa"/>
            <w:tcBorders/>
            <w:vAlign w:val="center"/>
          </w:tcPr>
          <w:p>
            <w:pPr>
              <w:pStyle w:val="Normal"/>
              <w:widowControl/>
              <w:suppressAutoHyphens w:val="true"/>
              <w:bidi w:val="0"/>
              <w:spacing w:lineRule="auto" w:line="259" w:before="0" w:after="160"/>
              <w:jc w:val="left"/>
              <w:rPr/>
            </w:pPr>
            <w:r>
              <w:rPr/>
              <w:t>Camelia / Sandra</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2"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1.5</w:t>
            </w:r>
          </w:p>
        </w:tc>
        <w:tc>
          <w:tcPr>
            <w:tcW w:w="3244" w:type="dxa"/>
            <w:tcBorders/>
            <w:vAlign w:val="center"/>
          </w:tcPr>
          <w:p>
            <w:pPr>
              <w:pStyle w:val="Normal"/>
              <w:widowControl/>
              <w:suppressAutoHyphens w:val="true"/>
              <w:bidi w:val="0"/>
              <w:spacing w:lineRule="auto" w:line="259" w:before="0" w:after="160"/>
              <w:jc w:val="left"/>
              <w:rPr/>
            </w:pPr>
            <w:r>
              <w:rPr/>
              <w:t>Content review and approval</w:t>
            </w:r>
          </w:p>
        </w:tc>
        <w:tc>
          <w:tcPr>
            <w:tcW w:w="2035" w:type="dxa"/>
            <w:tcBorders/>
            <w:vAlign w:val="center"/>
          </w:tcPr>
          <w:p>
            <w:pPr>
              <w:pStyle w:val="Normal"/>
              <w:widowControl/>
              <w:suppressAutoHyphens w:val="true"/>
              <w:bidi w:val="0"/>
              <w:spacing w:lineRule="auto" w:line="259" w:before="0" w:after="160"/>
              <w:jc w:val="left"/>
              <w:rPr/>
            </w:pPr>
            <w:r>
              <w:rPr/>
              <w:t>Camelia / Sandra / Daniela</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1.6</w:t>
            </w:r>
          </w:p>
        </w:tc>
        <w:tc>
          <w:tcPr>
            <w:tcW w:w="3244" w:type="dxa"/>
            <w:tcBorders/>
            <w:vAlign w:val="center"/>
          </w:tcPr>
          <w:p>
            <w:pPr>
              <w:pStyle w:val="Normal"/>
              <w:widowControl/>
              <w:suppressAutoHyphens w:val="true"/>
              <w:bidi w:val="0"/>
              <w:spacing w:lineRule="auto" w:line="259" w:before="0" w:after="160"/>
              <w:jc w:val="left"/>
              <w:rPr/>
            </w:pPr>
            <w:r>
              <w:rPr/>
              <w:t>Prepare final presentation</w:t>
            </w:r>
          </w:p>
        </w:tc>
        <w:tc>
          <w:tcPr>
            <w:tcW w:w="2035" w:type="dxa"/>
            <w:tcBorders/>
            <w:vAlign w:val="center"/>
          </w:tcPr>
          <w:p>
            <w:pPr>
              <w:pStyle w:val="Normal"/>
              <w:widowControl/>
              <w:suppressAutoHyphens w:val="true"/>
              <w:bidi w:val="0"/>
              <w:spacing w:lineRule="auto" w:line="259" w:before="0" w:after="160"/>
              <w:jc w:val="left"/>
              <w:rPr/>
            </w:pPr>
            <w:r>
              <w:rPr/>
              <w:t>Florin / Camelia / Sandra</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1.7</w:t>
            </w:r>
          </w:p>
        </w:tc>
        <w:tc>
          <w:tcPr>
            <w:tcW w:w="3244" w:type="dxa"/>
            <w:tcBorders/>
            <w:vAlign w:val="center"/>
          </w:tcPr>
          <w:p>
            <w:pPr>
              <w:pStyle w:val="Normal"/>
              <w:widowControl/>
              <w:suppressAutoHyphens w:val="true"/>
              <w:bidi w:val="0"/>
              <w:spacing w:lineRule="auto" w:line="259" w:before="0" w:after="160"/>
              <w:jc w:val="left"/>
              <w:rPr/>
            </w:pPr>
            <w:r>
              <w:rPr/>
              <w:t>Prepare invitations and marketing</w:t>
            </w:r>
          </w:p>
        </w:tc>
        <w:tc>
          <w:tcPr>
            <w:tcW w:w="2035" w:type="dxa"/>
            <w:tcBorders/>
            <w:vAlign w:val="center"/>
          </w:tcPr>
          <w:p>
            <w:pPr>
              <w:pStyle w:val="Normal"/>
              <w:widowControl/>
              <w:suppressAutoHyphens w:val="true"/>
              <w:bidi w:val="0"/>
              <w:spacing w:lineRule="auto" w:line="259" w:before="0" w:after="160"/>
              <w:jc w:val="left"/>
              <w:rPr/>
            </w:pPr>
            <w:r>
              <w:rPr/>
              <w:t>Florin</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2"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t>No</w:t>
            </w:r>
          </w:p>
        </w:tc>
      </w:tr>
      <w:tr>
        <w:trPr/>
        <w:tc>
          <w:tcPr>
            <w:tcW w:w="464" w:type="dxa"/>
            <w:tcBorders/>
            <w:vAlign w:val="center"/>
          </w:tcPr>
          <w:p>
            <w:pPr>
              <w:pStyle w:val="Normal"/>
              <w:widowControl/>
              <w:suppressAutoHyphens w:val="true"/>
              <w:bidi w:val="0"/>
              <w:spacing w:lineRule="auto" w:line="259" w:before="0" w:after="160"/>
              <w:jc w:val="left"/>
              <w:rPr/>
            </w:pPr>
            <w:r>
              <w:rPr/>
              <w:t>1.8</w:t>
            </w:r>
          </w:p>
        </w:tc>
        <w:tc>
          <w:tcPr>
            <w:tcW w:w="3244" w:type="dxa"/>
            <w:tcBorders/>
            <w:vAlign w:val="center"/>
          </w:tcPr>
          <w:p>
            <w:pPr>
              <w:pStyle w:val="Normal"/>
              <w:widowControl/>
              <w:suppressAutoHyphens w:val="true"/>
              <w:bidi w:val="0"/>
              <w:spacing w:lineRule="auto" w:line="259" w:before="0" w:after="160"/>
              <w:jc w:val="left"/>
              <w:rPr/>
            </w:pPr>
            <w:r>
              <w:rPr/>
              <w:t>Issue invitations and monitor responses</w:t>
            </w:r>
          </w:p>
        </w:tc>
        <w:tc>
          <w:tcPr>
            <w:tcW w:w="2035" w:type="dxa"/>
            <w:tcBorders/>
            <w:vAlign w:val="center"/>
          </w:tcPr>
          <w:p>
            <w:pPr>
              <w:pStyle w:val="Normal"/>
              <w:widowControl/>
              <w:suppressAutoHyphens w:val="true"/>
              <w:bidi w:val="0"/>
              <w:spacing w:lineRule="auto" w:line="259" w:before="0" w:after="160"/>
              <w:jc w:val="left"/>
              <w:rPr/>
            </w:pPr>
            <w:r>
              <w:rPr/>
              <w:t>Florin</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0"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
          </w:p>
        </w:tc>
        <w:tc>
          <w:tcPr>
            <w:tcW w:w="1056" w:type="dxa"/>
            <w:tcBorders/>
            <w:vAlign w:val="center"/>
          </w:tcPr>
          <w:p>
            <w:pPr>
              <w:pStyle w:val="Normal"/>
              <w:widowControl/>
              <w:suppressAutoHyphens w:val="true"/>
              <w:bidi w:val="0"/>
              <w:spacing w:lineRule="auto" w:line="259" w:before="0" w:after="160"/>
              <w:jc w:val="left"/>
              <w:rPr/>
            </w:pPr>
            <w:r>
              <w:rPr/>
              <w:t>No</w:t>
            </w:r>
          </w:p>
        </w:tc>
      </w:tr>
      <w:tr>
        <w:trPr/>
        <w:tc>
          <w:tcPr>
            <w:tcW w:w="464" w:type="dxa"/>
            <w:tcBorders/>
            <w:vAlign w:val="center"/>
          </w:tcPr>
          <w:p>
            <w:pPr>
              <w:pStyle w:val="Normal"/>
              <w:widowControl/>
              <w:suppressAutoHyphens w:val="true"/>
              <w:bidi w:val="0"/>
              <w:spacing w:lineRule="auto" w:line="259" w:before="0" w:after="160"/>
              <w:jc w:val="left"/>
              <w:rPr/>
            </w:pPr>
            <w:r>
              <w:rPr/>
              <w:t>1.9</w:t>
            </w:r>
          </w:p>
        </w:tc>
        <w:tc>
          <w:tcPr>
            <w:tcW w:w="3244" w:type="dxa"/>
            <w:tcBorders/>
            <w:vAlign w:val="center"/>
          </w:tcPr>
          <w:p>
            <w:pPr>
              <w:pStyle w:val="Normal"/>
              <w:widowControl/>
              <w:suppressAutoHyphens w:val="true"/>
              <w:bidi w:val="0"/>
              <w:spacing w:lineRule="auto" w:line="259" w:before="0" w:after="160"/>
              <w:jc w:val="left"/>
              <w:rPr/>
            </w:pPr>
            <w:r>
              <w:rPr/>
              <w:t>Send participant reminders</w:t>
            </w:r>
          </w:p>
        </w:tc>
        <w:tc>
          <w:tcPr>
            <w:tcW w:w="2035" w:type="dxa"/>
            <w:tcBorders/>
            <w:vAlign w:val="center"/>
          </w:tcPr>
          <w:p>
            <w:pPr>
              <w:pStyle w:val="Normal"/>
              <w:widowControl/>
              <w:suppressAutoHyphens w:val="true"/>
              <w:bidi w:val="0"/>
              <w:spacing w:lineRule="auto" w:line="259" w:before="0" w:after="160"/>
              <w:jc w:val="left"/>
              <w:rPr/>
            </w:pPr>
            <w:r>
              <w:rPr/>
              <w:t>Florin</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1056" w:type="dxa"/>
            <w:tcBorders/>
            <w:vAlign w:val="center"/>
          </w:tcPr>
          <w:p>
            <w:pPr>
              <w:pStyle w:val="Normal"/>
              <w:widowControl/>
              <w:suppressAutoHyphens w:val="true"/>
              <w:bidi w:val="0"/>
              <w:spacing w:lineRule="auto" w:line="259" w:before="0" w:after="160"/>
              <w:jc w:val="left"/>
              <w:rPr/>
            </w:pPr>
            <w:r>
              <w:rPr/>
              <w:t>No</w:t>
            </w:r>
          </w:p>
        </w:tc>
      </w:tr>
      <w:tr>
        <w:trPr/>
        <w:tc>
          <w:tcPr>
            <w:tcW w:w="464" w:type="dxa"/>
            <w:tcBorders/>
            <w:vAlign w:val="center"/>
          </w:tcPr>
          <w:p>
            <w:pPr>
              <w:pStyle w:val="Normal"/>
              <w:widowControl/>
              <w:suppressAutoHyphens w:val="true"/>
              <w:bidi w:val="0"/>
              <w:spacing w:lineRule="auto" w:line="259" w:before="0" w:after="160"/>
              <w:jc w:val="left"/>
              <w:rPr/>
            </w:pPr>
            <w:r>
              <w:rPr/>
              <w:t>1.10</w:t>
            </w:r>
          </w:p>
        </w:tc>
        <w:tc>
          <w:tcPr>
            <w:tcW w:w="3244" w:type="dxa"/>
            <w:tcBorders/>
            <w:vAlign w:val="center"/>
          </w:tcPr>
          <w:p>
            <w:pPr>
              <w:pStyle w:val="Normal"/>
              <w:widowControl/>
              <w:suppressAutoHyphens w:val="true"/>
              <w:bidi w:val="0"/>
              <w:spacing w:lineRule="auto" w:line="259" w:before="0" w:after="160"/>
              <w:jc w:val="left"/>
              <w:rPr/>
            </w:pPr>
            <w:r>
              <w:rPr/>
              <w:t>Final venue and technology check</w:t>
            </w:r>
          </w:p>
        </w:tc>
        <w:tc>
          <w:tcPr>
            <w:tcW w:w="2035" w:type="dxa"/>
            <w:tcBorders/>
            <w:vAlign w:val="center"/>
          </w:tcPr>
          <w:p>
            <w:pPr>
              <w:pStyle w:val="Normal"/>
              <w:widowControl/>
              <w:suppressAutoHyphens w:val="true"/>
              <w:bidi w:val="0"/>
              <w:spacing w:lineRule="auto" w:line="259" w:before="0" w:after="160"/>
              <w:jc w:val="left"/>
              <w:rPr/>
            </w:pPr>
            <w:r>
              <w:rPr/>
              <w:t>Florin</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1.11</w:t>
            </w:r>
          </w:p>
        </w:tc>
        <w:tc>
          <w:tcPr>
            <w:tcW w:w="3244" w:type="dxa"/>
            <w:tcBorders/>
            <w:vAlign w:val="center"/>
          </w:tcPr>
          <w:p>
            <w:pPr>
              <w:pStyle w:val="Normal"/>
              <w:widowControl/>
              <w:suppressAutoHyphens w:val="true"/>
              <w:bidi w:val="0"/>
              <w:spacing w:lineRule="auto" w:line="259" w:before="0" w:after="160"/>
              <w:jc w:val="left"/>
              <w:rPr/>
            </w:pPr>
            <w:r>
              <w:rPr/>
              <w:t>Final rehearsal</w:t>
            </w:r>
          </w:p>
        </w:tc>
        <w:tc>
          <w:tcPr>
            <w:tcW w:w="2035" w:type="dxa"/>
            <w:tcBorders/>
            <w:vAlign w:val="center"/>
          </w:tcPr>
          <w:p>
            <w:pPr>
              <w:pStyle w:val="Normal"/>
              <w:widowControl/>
              <w:suppressAutoHyphens w:val="true"/>
              <w:bidi w:val="0"/>
              <w:spacing w:lineRule="auto" w:line="259" w:before="0" w:after="160"/>
              <w:jc w:val="left"/>
              <w:rPr/>
            </w:pPr>
            <w:r>
              <w:rPr/>
              <w:t>Florin / Camelia / Sandra</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1.12</w:t>
            </w:r>
          </w:p>
        </w:tc>
        <w:tc>
          <w:tcPr>
            <w:tcW w:w="3244" w:type="dxa"/>
            <w:tcBorders/>
            <w:vAlign w:val="center"/>
          </w:tcPr>
          <w:p>
            <w:pPr>
              <w:pStyle w:val="Normal"/>
              <w:widowControl/>
              <w:suppressAutoHyphens w:val="true"/>
              <w:bidi w:val="0"/>
              <w:spacing w:lineRule="auto" w:line="259" w:before="0" w:after="160"/>
              <w:jc w:val="left"/>
              <w:rPr/>
            </w:pPr>
            <w:r>
              <w:rPr/>
              <w:t>Workshop delivery</w:t>
            </w:r>
          </w:p>
        </w:tc>
        <w:tc>
          <w:tcPr>
            <w:tcW w:w="2035" w:type="dxa"/>
            <w:tcBorders/>
            <w:vAlign w:val="center"/>
          </w:tcPr>
          <w:p>
            <w:pPr>
              <w:pStyle w:val="Normal"/>
              <w:widowControl/>
              <w:suppressAutoHyphens w:val="true"/>
              <w:bidi w:val="0"/>
              <w:spacing w:lineRule="auto" w:line="259" w:before="0" w:after="160"/>
              <w:jc w:val="left"/>
              <w:rPr/>
            </w:pPr>
            <w:r>
              <w:rPr/>
              <w:t>Florin / Camelia / Sandra</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Cambria Math" w:ascii="Cambria Math" w:hAnsi="Cambria Math"/>
              </w:rPr>
              <w:t>◆</w:t>
            </w:r>
          </w:p>
        </w:tc>
        <w:tc>
          <w:tcPr>
            <w:tcW w:w="1056" w:type="dxa"/>
            <w:tcBorders/>
            <w:vAlign w:val="center"/>
          </w:tcPr>
          <w:p>
            <w:pPr>
              <w:pStyle w:val="Normal"/>
              <w:widowControl/>
              <w:suppressAutoHyphens w:val="true"/>
              <w:bidi w:val="0"/>
              <w:spacing w:lineRule="auto" w:line="259" w:before="0" w:after="160"/>
              <w:jc w:val="left"/>
              <w:rPr/>
            </w:pPr>
            <w:r>
              <w:rPr>
                <w:b/>
                <w:bCs/>
              </w:rPr>
              <w:t>Yes</w:t>
            </w:r>
          </w:p>
        </w:tc>
      </w:tr>
      <w:tr>
        <w:trPr/>
        <w:tc>
          <w:tcPr>
            <w:tcW w:w="464" w:type="dxa"/>
            <w:tcBorders/>
            <w:vAlign w:val="center"/>
          </w:tcPr>
          <w:p>
            <w:pPr>
              <w:pStyle w:val="Normal"/>
              <w:widowControl/>
              <w:suppressAutoHyphens w:val="true"/>
              <w:bidi w:val="0"/>
              <w:spacing w:lineRule="auto" w:line="259" w:before="0" w:after="160"/>
              <w:jc w:val="left"/>
              <w:rPr/>
            </w:pPr>
            <w:r>
              <w:rPr/>
              <w:t>1.13</w:t>
            </w:r>
          </w:p>
        </w:tc>
        <w:tc>
          <w:tcPr>
            <w:tcW w:w="3244" w:type="dxa"/>
            <w:tcBorders/>
            <w:vAlign w:val="center"/>
          </w:tcPr>
          <w:p>
            <w:pPr>
              <w:pStyle w:val="Normal"/>
              <w:widowControl/>
              <w:suppressAutoHyphens w:val="true"/>
              <w:bidi w:val="0"/>
              <w:spacing w:lineRule="auto" w:line="259" w:before="0" w:after="160"/>
              <w:jc w:val="left"/>
              <w:rPr/>
            </w:pPr>
            <w:r>
              <w:rPr/>
              <w:t>Participant feedback collection</w:t>
            </w:r>
          </w:p>
        </w:tc>
        <w:tc>
          <w:tcPr>
            <w:tcW w:w="2035" w:type="dxa"/>
            <w:tcBorders/>
            <w:vAlign w:val="center"/>
          </w:tcPr>
          <w:p>
            <w:pPr>
              <w:pStyle w:val="Normal"/>
              <w:widowControl/>
              <w:suppressAutoHyphens w:val="true"/>
              <w:bidi w:val="0"/>
              <w:spacing w:lineRule="auto" w:line="259" w:before="0" w:after="160"/>
              <w:jc w:val="left"/>
              <w:rPr/>
            </w:pPr>
            <w:r>
              <w:rPr/>
              <w:t>Florin</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Cambria Math" w:ascii="Cambria Math" w:hAnsi="Cambria Math"/>
              </w:rPr>
              <w:t>◆</w:t>
            </w:r>
          </w:p>
        </w:tc>
        <w:tc>
          <w:tcPr>
            <w:tcW w:w="1056" w:type="dxa"/>
            <w:tcBorders/>
            <w:vAlign w:val="center"/>
          </w:tcPr>
          <w:p>
            <w:pPr>
              <w:pStyle w:val="Normal"/>
              <w:widowControl/>
              <w:suppressAutoHyphens w:val="true"/>
              <w:bidi w:val="0"/>
              <w:spacing w:lineRule="auto" w:line="259" w:before="0" w:after="160"/>
              <w:jc w:val="left"/>
              <w:rPr/>
            </w:pPr>
            <w:r>
              <w:rPr/>
              <w:t>No</w:t>
            </w:r>
          </w:p>
        </w:tc>
      </w:tr>
      <w:tr>
        <w:trPr/>
        <w:tc>
          <w:tcPr>
            <w:tcW w:w="464" w:type="dxa"/>
            <w:tcBorders/>
            <w:vAlign w:val="center"/>
          </w:tcPr>
          <w:p>
            <w:pPr>
              <w:pStyle w:val="Normal"/>
              <w:widowControl/>
              <w:suppressAutoHyphens w:val="true"/>
              <w:bidi w:val="0"/>
              <w:spacing w:lineRule="auto" w:line="259" w:before="0" w:after="160"/>
              <w:jc w:val="left"/>
              <w:rPr/>
            </w:pPr>
            <w:r>
              <w:rPr/>
              <w:t>1.14</w:t>
            </w:r>
          </w:p>
        </w:tc>
        <w:tc>
          <w:tcPr>
            <w:tcW w:w="3244" w:type="dxa"/>
            <w:tcBorders/>
            <w:vAlign w:val="center"/>
          </w:tcPr>
          <w:p>
            <w:pPr>
              <w:pStyle w:val="Normal"/>
              <w:widowControl/>
              <w:suppressAutoHyphens w:val="true"/>
              <w:bidi w:val="0"/>
              <w:spacing w:lineRule="auto" w:line="259" w:before="0" w:after="160"/>
              <w:jc w:val="left"/>
              <w:rPr/>
            </w:pPr>
            <w:r>
              <w:rPr/>
              <w:t>Evaluation and lessons learned</w:t>
            </w:r>
          </w:p>
        </w:tc>
        <w:tc>
          <w:tcPr>
            <w:tcW w:w="2035" w:type="dxa"/>
            <w:tcBorders/>
            <w:vAlign w:val="center"/>
          </w:tcPr>
          <w:p>
            <w:pPr>
              <w:pStyle w:val="Normal"/>
              <w:widowControl/>
              <w:suppressAutoHyphens w:val="true"/>
              <w:bidi w:val="0"/>
              <w:spacing w:lineRule="auto" w:line="259" w:before="0" w:after="160"/>
              <w:jc w:val="left"/>
              <w:rPr/>
            </w:pPr>
            <w:r>
              <w:rPr/>
              <w:t>Florin / Daniela</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1056" w:type="dxa"/>
            <w:tcBorders/>
            <w:vAlign w:val="center"/>
          </w:tcPr>
          <w:p>
            <w:pPr>
              <w:pStyle w:val="Normal"/>
              <w:widowControl/>
              <w:suppressAutoHyphens w:val="true"/>
              <w:bidi w:val="0"/>
              <w:spacing w:lineRule="auto" w:line="259" w:before="0" w:after="160"/>
              <w:jc w:val="left"/>
              <w:rPr/>
            </w:pPr>
            <w:r>
              <w:rPr/>
              <w:t>No</w:t>
            </w:r>
          </w:p>
        </w:tc>
      </w:tr>
      <w:tr>
        <w:trPr/>
        <w:tc>
          <w:tcPr>
            <w:tcW w:w="464" w:type="dxa"/>
            <w:tcBorders/>
            <w:vAlign w:val="center"/>
          </w:tcPr>
          <w:p>
            <w:pPr>
              <w:pStyle w:val="Normal"/>
              <w:widowControl/>
              <w:suppressAutoHyphens w:val="true"/>
              <w:bidi w:val="0"/>
              <w:spacing w:lineRule="auto" w:line="259" w:before="0" w:after="160"/>
              <w:jc w:val="left"/>
              <w:rPr/>
            </w:pPr>
            <w:r>
              <w:rPr/>
              <w:t>1.15</w:t>
            </w:r>
          </w:p>
        </w:tc>
        <w:tc>
          <w:tcPr>
            <w:tcW w:w="3244" w:type="dxa"/>
            <w:tcBorders/>
            <w:vAlign w:val="center"/>
          </w:tcPr>
          <w:p>
            <w:pPr>
              <w:pStyle w:val="Normal"/>
              <w:widowControl/>
              <w:suppressAutoHyphens w:val="true"/>
              <w:bidi w:val="0"/>
              <w:spacing w:lineRule="auto" w:line="259" w:before="0" w:after="160"/>
              <w:jc w:val="left"/>
              <w:rPr/>
            </w:pPr>
            <w:r>
              <w:rPr/>
              <w:t>Sponsor sign-off and closure</w:t>
            </w:r>
          </w:p>
        </w:tc>
        <w:tc>
          <w:tcPr>
            <w:tcW w:w="2035" w:type="dxa"/>
            <w:tcBorders/>
            <w:vAlign w:val="center"/>
          </w:tcPr>
          <w:p>
            <w:pPr>
              <w:pStyle w:val="Normal"/>
              <w:widowControl/>
              <w:suppressAutoHyphens w:val="true"/>
              <w:bidi w:val="0"/>
              <w:spacing w:lineRule="auto" w:line="259" w:before="0" w:after="160"/>
              <w:jc w:val="left"/>
              <w:rPr/>
            </w:pPr>
            <w:r>
              <w:rPr/>
              <w:t>Daniela / Florin</w:t>
            </w:r>
          </w:p>
        </w:tc>
        <w:tc>
          <w:tcPr>
            <w:tcW w:w="371"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2"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
          </w:p>
        </w:tc>
        <w:tc>
          <w:tcPr>
            <w:tcW w:w="370" w:type="dxa"/>
            <w:tcBorders/>
            <w:vAlign w:val="center"/>
          </w:tcPr>
          <w:p>
            <w:pPr>
              <w:pStyle w:val="Normal"/>
              <w:widowControl/>
              <w:suppressAutoHyphens w:val="true"/>
              <w:bidi w:val="0"/>
              <w:spacing w:lineRule="auto" w:line="259" w:before="0" w:after="160"/>
              <w:jc w:val="left"/>
              <w:rPr/>
            </w:pPr>
            <w:r>
              <w:rPr/>
            </w:r>
          </w:p>
        </w:tc>
        <w:tc>
          <w:tcPr>
            <w:tcW w:w="371" w:type="dxa"/>
            <w:tcBorders/>
            <w:vAlign w:val="center"/>
          </w:tcPr>
          <w:p>
            <w:pPr>
              <w:pStyle w:val="Normal"/>
              <w:widowControl/>
              <w:suppressAutoHyphens w:val="true"/>
              <w:bidi w:val="0"/>
              <w:spacing w:lineRule="auto" w:line="259" w:before="0" w:after="160"/>
              <w:jc w:val="left"/>
              <w:rPr/>
            </w:pPr>
            <w:r>
              <w:rPr>
                <w:rFonts w:cs="Arial" w:ascii="Arial" w:hAnsi="Arial"/>
              </w:rPr>
              <w:t>■</w:t>
            </w:r>
          </w:p>
        </w:tc>
        <w:tc>
          <w:tcPr>
            <w:tcW w:w="1056" w:type="dxa"/>
            <w:tcBorders/>
            <w:vAlign w:val="center"/>
          </w:tcPr>
          <w:p>
            <w:pPr>
              <w:pStyle w:val="Normal"/>
              <w:widowControl/>
              <w:suppressAutoHyphens w:val="true"/>
              <w:bidi w:val="0"/>
              <w:spacing w:lineRule="auto" w:line="259" w:before="0" w:after="160"/>
              <w:jc w:val="left"/>
              <w:rPr/>
            </w:pPr>
            <w:r>
              <w:rPr/>
              <w:t>No</w:t>
            </w:r>
          </w:p>
        </w:tc>
      </w:tr>
    </w:tbl>
    <w:p>
      <w:pPr>
        <w:pStyle w:val="Normal"/>
        <w:rPr/>
      </w:pPr>
      <w:r>
        <w:rPr>
          <w:b/>
          <w:bCs/>
        </w:rPr>
        <w:t>Legend:</w:t>
      </w:r>
      <w:r>
        <w:rPr/>
        <w:br/>
      </w:r>
      <w:r>
        <w:rPr>
          <w:rFonts w:cs="Arial" w:ascii="Arial" w:hAnsi="Arial"/>
        </w:rPr>
        <w:t>■</w:t>
      </w:r>
      <w:r>
        <w:rPr/>
        <w:t xml:space="preserve"> = planned activity</w:t>
        <w:br/>
      </w:r>
      <w:r>
        <w:rPr>
          <w:rFonts w:cs="Cambria Math" w:ascii="Cambria Math" w:hAnsi="Cambria Math"/>
        </w:rPr>
        <w:t>◆</w:t>
      </w:r>
      <w:r>
        <w:rPr/>
        <w:t xml:space="preserve"> = milestone / project event</w:t>
      </w:r>
    </w:p>
    <w:p>
      <w:pPr>
        <w:pStyle w:val="Normal"/>
        <w:rPr>
          <w:b/>
          <w:bCs/>
        </w:rPr>
      </w:pPr>
      <w:r>
        <w:rPr>
          <w:b/>
          <w:bCs/>
        </w:rPr>
        <w:t>Critical Path</w:t>
      </w:r>
    </w:p>
    <w:p>
      <w:pPr>
        <w:pStyle w:val="Normal"/>
        <w:rPr/>
      </w:pPr>
      <w:r>
        <w:rPr/>
        <w:t>The principal critical path is:</w:t>
      </w:r>
    </w:p>
    <w:p>
      <w:pPr>
        <w:pStyle w:val="Normal"/>
        <w:rPr/>
      </w:pPr>
      <w:r>
        <w:rPr>
          <w:b/>
          <w:bCs/>
        </w:rPr>
        <w:t>Project approval → Requirements confirmation → Content development → Content review and approval → Final presentation preparation → Final venue/technology check → Final rehearsal → Workshop delivery</w:t>
      </w:r>
    </w:p>
    <w:p>
      <w:pPr>
        <w:pStyle w:val="Normal"/>
        <w:rPr>
          <w:b/>
          <w:bCs/>
        </w:rPr>
      </w:pPr>
      <w:r>
        <w:rPr>
          <w:b/>
          <w:bCs/>
        </w:rPr>
        <w:t>Key Milestones</w:t>
      </w:r>
    </w:p>
    <w:tbl>
      <w:tblPr>
        <w:tblW w:w="4452"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3087"/>
        <w:gridCol w:w="1364"/>
      </w:tblGrid>
      <w:tr>
        <w:trPr>
          <w:tblHeader w:val="true"/>
        </w:trPr>
        <w:tc>
          <w:tcPr>
            <w:tcW w:w="3087" w:type="dxa"/>
            <w:tcBorders/>
            <w:vAlign w:val="center"/>
          </w:tcPr>
          <w:p>
            <w:pPr>
              <w:pStyle w:val="Normal"/>
              <w:spacing w:before="0" w:after="160"/>
              <w:rPr>
                <w:b/>
                <w:bCs/>
              </w:rPr>
            </w:pPr>
            <w:r>
              <w:rPr>
                <w:b/>
                <w:bCs/>
              </w:rPr>
              <w:t>Milestone</w:t>
            </w:r>
          </w:p>
        </w:tc>
        <w:tc>
          <w:tcPr>
            <w:tcW w:w="1364" w:type="dxa"/>
            <w:tcBorders/>
            <w:vAlign w:val="center"/>
          </w:tcPr>
          <w:p>
            <w:pPr>
              <w:pStyle w:val="Normal"/>
              <w:spacing w:before="0" w:after="160"/>
              <w:rPr>
                <w:b/>
                <w:bCs/>
              </w:rPr>
            </w:pPr>
            <w:r>
              <w:rPr>
                <w:b/>
                <w:bCs/>
              </w:rPr>
              <w:t>Target</w:t>
            </w:r>
          </w:p>
        </w:tc>
      </w:tr>
      <w:tr>
        <w:trPr/>
        <w:tc>
          <w:tcPr>
            <w:tcW w:w="3087" w:type="dxa"/>
            <w:tcBorders/>
            <w:vAlign w:val="center"/>
          </w:tcPr>
          <w:p>
            <w:pPr>
              <w:pStyle w:val="Normal"/>
              <w:widowControl/>
              <w:suppressAutoHyphens w:val="true"/>
              <w:bidi w:val="0"/>
              <w:spacing w:lineRule="auto" w:line="259" w:before="0" w:after="160"/>
              <w:jc w:val="left"/>
              <w:rPr/>
            </w:pPr>
            <w:r>
              <w:rPr/>
              <w:t>Project approved</w:t>
            </w:r>
          </w:p>
        </w:tc>
        <w:tc>
          <w:tcPr>
            <w:tcW w:w="1364" w:type="dxa"/>
            <w:tcBorders/>
            <w:vAlign w:val="center"/>
          </w:tcPr>
          <w:p>
            <w:pPr>
              <w:pStyle w:val="Normal"/>
              <w:widowControl/>
              <w:suppressAutoHyphens w:val="true"/>
              <w:bidi w:val="0"/>
              <w:spacing w:lineRule="auto" w:line="259" w:before="0" w:after="160"/>
              <w:jc w:val="left"/>
              <w:rPr/>
            </w:pPr>
            <w:r>
              <w:rPr/>
              <w:t>End of Week 1</w:t>
            </w:r>
          </w:p>
        </w:tc>
      </w:tr>
      <w:tr>
        <w:trPr/>
        <w:tc>
          <w:tcPr>
            <w:tcW w:w="3087" w:type="dxa"/>
            <w:tcBorders/>
            <w:vAlign w:val="center"/>
          </w:tcPr>
          <w:p>
            <w:pPr>
              <w:pStyle w:val="Normal"/>
              <w:widowControl/>
              <w:suppressAutoHyphens w:val="true"/>
              <w:bidi w:val="0"/>
              <w:spacing w:lineRule="auto" w:line="259" w:before="0" w:after="160"/>
              <w:jc w:val="left"/>
              <w:rPr/>
            </w:pPr>
            <w:r>
              <w:rPr/>
              <w:t>Requirements confirmed</w:t>
            </w:r>
          </w:p>
        </w:tc>
        <w:tc>
          <w:tcPr>
            <w:tcW w:w="1364" w:type="dxa"/>
            <w:tcBorders/>
            <w:vAlign w:val="center"/>
          </w:tcPr>
          <w:p>
            <w:pPr>
              <w:pStyle w:val="Normal"/>
              <w:widowControl/>
              <w:suppressAutoHyphens w:val="true"/>
              <w:bidi w:val="0"/>
              <w:spacing w:lineRule="auto" w:line="259" w:before="0" w:after="160"/>
              <w:jc w:val="left"/>
              <w:rPr/>
            </w:pPr>
            <w:r>
              <w:rPr/>
              <w:t>End of Week 1</w:t>
            </w:r>
          </w:p>
        </w:tc>
      </w:tr>
      <w:tr>
        <w:trPr/>
        <w:tc>
          <w:tcPr>
            <w:tcW w:w="3087" w:type="dxa"/>
            <w:tcBorders/>
            <w:vAlign w:val="center"/>
          </w:tcPr>
          <w:p>
            <w:pPr>
              <w:pStyle w:val="Normal"/>
              <w:widowControl/>
              <w:suppressAutoHyphens w:val="true"/>
              <w:bidi w:val="0"/>
              <w:spacing w:lineRule="auto" w:line="259" w:before="0" w:after="160"/>
              <w:jc w:val="left"/>
              <w:rPr/>
            </w:pPr>
            <w:r>
              <w:rPr/>
              <w:t>Venue confirmed</w:t>
            </w:r>
          </w:p>
        </w:tc>
        <w:tc>
          <w:tcPr>
            <w:tcW w:w="1364" w:type="dxa"/>
            <w:tcBorders/>
            <w:vAlign w:val="center"/>
          </w:tcPr>
          <w:p>
            <w:pPr>
              <w:pStyle w:val="Normal"/>
              <w:widowControl/>
              <w:suppressAutoHyphens w:val="true"/>
              <w:bidi w:val="0"/>
              <w:spacing w:lineRule="auto" w:line="259" w:before="0" w:after="160"/>
              <w:jc w:val="left"/>
              <w:rPr/>
            </w:pPr>
            <w:r>
              <w:rPr/>
              <w:t>End of Week 2</w:t>
            </w:r>
          </w:p>
        </w:tc>
      </w:tr>
      <w:tr>
        <w:trPr/>
        <w:tc>
          <w:tcPr>
            <w:tcW w:w="3087" w:type="dxa"/>
            <w:tcBorders/>
            <w:vAlign w:val="center"/>
          </w:tcPr>
          <w:p>
            <w:pPr>
              <w:pStyle w:val="Normal"/>
              <w:widowControl/>
              <w:suppressAutoHyphens w:val="true"/>
              <w:bidi w:val="0"/>
              <w:spacing w:lineRule="auto" w:line="259" w:before="0" w:after="160"/>
              <w:jc w:val="left"/>
              <w:rPr/>
            </w:pPr>
            <w:r>
              <w:rPr/>
              <w:t>Workshop content completed</w:t>
            </w:r>
          </w:p>
        </w:tc>
        <w:tc>
          <w:tcPr>
            <w:tcW w:w="1364" w:type="dxa"/>
            <w:tcBorders/>
            <w:vAlign w:val="center"/>
          </w:tcPr>
          <w:p>
            <w:pPr>
              <w:pStyle w:val="Normal"/>
              <w:widowControl/>
              <w:suppressAutoHyphens w:val="true"/>
              <w:bidi w:val="0"/>
              <w:spacing w:lineRule="auto" w:line="259" w:before="0" w:after="160"/>
              <w:jc w:val="left"/>
              <w:rPr/>
            </w:pPr>
            <w:r>
              <w:rPr/>
              <w:t>End of Week 3</w:t>
            </w:r>
          </w:p>
        </w:tc>
      </w:tr>
      <w:tr>
        <w:trPr/>
        <w:tc>
          <w:tcPr>
            <w:tcW w:w="3087" w:type="dxa"/>
            <w:tcBorders/>
            <w:vAlign w:val="center"/>
          </w:tcPr>
          <w:p>
            <w:pPr>
              <w:pStyle w:val="Normal"/>
              <w:widowControl/>
              <w:suppressAutoHyphens w:val="true"/>
              <w:bidi w:val="0"/>
              <w:spacing w:lineRule="auto" w:line="259" w:before="0" w:after="160"/>
              <w:jc w:val="left"/>
              <w:rPr/>
            </w:pPr>
            <w:r>
              <w:rPr/>
              <w:t>Content approved</w:t>
            </w:r>
          </w:p>
        </w:tc>
        <w:tc>
          <w:tcPr>
            <w:tcW w:w="1364" w:type="dxa"/>
            <w:tcBorders/>
            <w:vAlign w:val="center"/>
          </w:tcPr>
          <w:p>
            <w:pPr>
              <w:pStyle w:val="Normal"/>
              <w:widowControl/>
              <w:suppressAutoHyphens w:val="true"/>
              <w:bidi w:val="0"/>
              <w:spacing w:lineRule="auto" w:line="259" w:before="0" w:after="160"/>
              <w:jc w:val="left"/>
              <w:rPr/>
            </w:pPr>
            <w:r>
              <w:rPr/>
              <w:t>End of Week 4</w:t>
            </w:r>
          </w:p>
        </w:tc>
      </w:tr>
      <w:tr>
        <w:trPr/>
        <w:tc>
          <w:tcPr>
            <w:tcW w:w="3087" w:type="dxa"/>
            <w:tcBorders/>
            <w:vAlign w:val="center"/>
          </w:tcPr>
          <w:p>
            <w:pPr>
              <w:pStyle w:val="Normal"/>
              <w:widowControl/>
              <w:suppressAutoHyphens w:val="true"/>
              <w:bidi w:val="0"/>
              <w:spacing w:lineRule="auto" w:line="259" w:before="0" w:after="160"/>
              <w:jc w:val="left"/>
              <w:rPr/>
            </w:pPr>
            <w:r>
              <w:rPr/>
              <w:t>Invitations issued</w:t>
            </w:r>
          </w:p>
        </w:tc>
        <w:tc>
          <w:tcPr>
            <w:tcW w:w="1364" w:type="dxa"/>
            <w:tcBorders/>
            <w:vAlign w:val="center"/>
          </w:tcPr>
          <w:p>
            <w:pPr>
              <w:pStyle w:val="Normal"/>
              <w:widowControl/>
              <w:suppressAutoHyphens w:val="true"/>
              <w:bidi w:val="0"/>
              <w:spacing w:lineRule="auto" w:line="259" w:before="0" w:after="160"/>
              <w:jc w:val="left"/>
              <w:rPr/>
            </w:pPr>
            <w:r>
              <w:rPr/>
              <w:t>Week 3</w:t>
            </w:r>
          </w:p>
        </w:tc>
      </w:tr>
      <w:tr>
        <w:trPr/>
        <w:tc>
          <w:tcPr>
            <w:tcW w:w="3087" w:type="dxa"/>
            <w:tcBorders/>
            <w:vAlign w:val="center"/>
          </w:tcPr>
          <w:p>
            <w:pPr>
              <w:pStyle w:val="Normal"/>
              <w:widowControl/>
              <w:suppressAutoHyphens w:val="true"/>
              <w:bidi w:val="0"/>
              <w:spacing w:lineRule="auto" w:line="259" w:before="0" w:after="160"/>
              <w:jc w:val="left"/>
              <w:rPr/>
            </w:pPr>
            <w:r>
              <w:rPr/>
              <w:t>Final participant reminders</w:t>
            </w:r>
          </w:p>
        </w:tc>
        <w:tc>
          <w:tcPr>
            <w:tcW w:w="1364" w:type="dxa"/>
            <w:tcBorders/>
            <w:vAlign w:val="center"/>
          </w:tcPr>
          <w:p>
            <w:pPr>
              <w:pStyle w:val="Normal"/>
              <w:widowControl/>
              <w:suppressAutoHyphens w:val="true"/>
              <w:bidi w:val="0"/>
              <w:spacing w:lineRule="auto" w:line="259" w:before="0" w:after="160"/>
              <w:jc w:val="left"/>
              <w:rPr/>
            </w:pPr>
            <w:r>
              <w:rPr/>
              <w:t>Week 5–6</w:t>
            </w:r>
          </w:p>
        </w:tc>
      </w:tr>
      <w:tr>
        <w:trPr/>
        <w:tc>
          <w:tcPr>
            <w:tcW w:w="3087" w:type="dxa"/>
            <w:tcBorders/>
            <w:vAlign w:val="center"/>
          </w:tcPr>
          <w:p>
            <w:pPr>
              <w:pStyle w:val="Normal"/>
              <w:widowControl/>
              <w:suppressAutoHyphens w:val="true"/>
              <w:bidi w:val="0"/>
              <w:spacing w:lineRule="auto" w:line="259" w:before="0" w:after="160"/>
              <w:jc w:val="left"/>
              <w:rPr/>
            </w:pPr>
            <w:r>
              <w:rPr/>
              <w:t>Final rehearsal completed</w:t>
            </w:r>
          </w:p>
        </w:tc>
        <w:tc>
          <w:tcPr>
            <w:tcW w:w="1364" w:type="dxa"/>
            <w:tcBorders/>
            <w:vAlign w:val="center"/>
          </w:tcPr>
          <w:p>
            <w:pPr>
              <w:pStyle w:val="Normal"/>
              <w:widowControl/>
              <w:suppressAutoHyphens w:val="true"/>
              <w:bidi w:val="0"/>
              <w:spacing w:lineRule="auto" w:line="259" w:before="0" w:after="160"/>
              <w:jc w:val="left"/>
              <w:rPr/>
            </w:pPr>
            <w:r>
              <w:rPr/>
              <w:t>Week 6</w:t>
            </w:r>
          </w:p>
        </w:tc>
      </w:tr>
      <w:tr>
        <w:trPr/>
        <w:tc>
          <w:tcPr>
            <w:tcW w:w="3087" w:type="dxa"/>
            <w:tcBorders/>
            <w:vAlign w:val="center"/>
          </w:tcPr>
          <w:p>
            <w:pPr>
              <w:pStyle w:val="Normal"/>
              <w:widowControl/>
              <w:suppressAutoHyphens w:val="true"/>
              <w:bidi w:val="0"/>
              <w:spacing w:lineRule="auto" w:line="259" w:before="0" w:after="160"/>
              <w:jc w:val="left"/>
              <w:rPr/>
            </w:pPr>
            <w:r>
              <w:rPr/>
              <w:t>Workshop delivered</w:t>
            </w:r>
          </w:p>
        </w:tc>
        <w:tc>
          <w:tcPr>
            <w:tcW w:w="1364" w:type="dxa"/>
            <w:tcBorders/>
            <w:vAlign w:val="center"/>
          </w:tcPr>
          <w:p>
            <w:pPr>
              <w:pStyle w:val="Normal"/>
              <w:widowControl/>
              <w:suppressAutoHyphens w:val="true"/>
              <w:bidi w:val="0"/>
              <w:spacing w:lineRule="auto" w:line="259" w:before="0" w:after="160"/>
              <w:jc w:val="left"/>
              <w:rPr/>
            </w:pPr>
            <w:r>
              <w:rPr/>
              <w:t>End of Week 6</w:t>
            </w:r>
          </w:p>
        </w:tc>
      </w:tr>
      <w:tr>
        <w:trPr/>
        <w:tc>
          <w:tcPr>
            <w:tcW w:w="3087" w:type="dxa"/>
            <w:tcBorders/>
            <w:vAlign w:val="center"/>
          </w:tcPr>
          <w:p>
            <w:pPr>
              <w:pStyle w:val="Normal"/>
              <w:widowControl/>
              <w:suppressAutoHyphens w:val="true"/>
              <w:bidi w:val="0"/>
              <w:spacing w:lineRule="auto" w:line="259" w:before="0" w:after="160"/>
              <w:jc w:val="left"/>
              <w:rPr/>
            </w:pPr>
            <w:r>
              <w:rPr/>
              <w:t>Evaluation and closure completed</w:t>
            </w:r>
          </w:p>
        </w:tc>
        <w:tc>
          <w:tcPr>
            <w:tcW w:w="1364" w:type="dxa"/>
            <w:tcBorders/>
            <w:vAlign w:val="center"/>
          </w:tcPr>
          <w:p>
            <w:pPr>
              <w:pStyle w:val="Normal"/>
              <w:widowControl/>
              <w:suppressAutoHyphens w:val="true"/>
              <w:bidi w:val="0"/>
              <w:spacing w:lineRule="auto" w:line="259" w:before="0" w:after="160"/>
              <w:jc w:val="left"/>
              <w:rPr/>
            </w:pPr>
            <w:r>
              <w:rPr/>
              <w:t>End of Week 6</w:t>
            </w:r>
          </w:p>
        </w:tc>
      </w:tr>
    </w:tbl>
    <w:p>
      <w:pPr>
        <w:pStyle w:val="Normal"/>
        <w:rPr/>
      </w:pPr>
      <w:r>
        <w:rPr/>
      </w:r>
    </w:p>
    <w:p>
      <w:pPr>
        <w:pStyle w:val="Normal"/>
        <w:rPr>
          <w:b/>
          <w:bCs/>
        </w:rPr>
      </w:pPr>
      <w:r>
        <w:rPr>
          <w:b/>
          <w:bCs/>
        </w:rPr>
      </w:r>
    </w:p>
    <w:p>
      <w:pPr>
        <w:pStyle w:val="Normal"/>
        <w:rPr>
          <w:b/>
          <w:bCs/>
        </w:rPr>
      </w:pPr>
      <w:r>
        <w:rPr>
          <w:b/>
          <w:bCs/>
        </w:rPr>
      </w:r>
    </w:p>
    <w:p>
      <w:pPr>
        <w:pStyle w:val="Heading2"/>
        <w:rPr>
          <w:b/>
          <w:bCs/>
        </w:rPr>
      </w:pPr>
      <w:bookmarkStart w:id="99" w:name="__RefHeading___Toc2845_1410408564"/>
      <w:bookmarkStart w:id="100" w:name="_Toc238761846"/>
      <w:bookmarkEnd w:id="99"/>
      <w:r>
        <w:rPr>
          <w:b/>
          <w:bCs/>
        </w:rPr>
        <w:t>Appendix 6 – Project Risk Register</w:t>
      </w:r>
      <w:bookmarkEnd w:id="100"/>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465"/>
        <w:gridCol w:w="1425"/>
        <w:gridCol w:w="1001"/>
        <w:gridCol w:w="833"/>
        <w:gridCol w:w="593"/>
        <w:gridCol w:w="1836"/>
        <w:gridCol w:w="2001"/>
        <w:gridCol w:w="871"/>
      </w:tblGrid>
      <w:tr>
        <w:trPr>
          <w:tblHeader w:val="true"/>
        </w:trPr>
        <w:tc>
          <w:tcPr>
            <w:tcW w:w="465" w:type="dxa"/>
            <w:tcBorders/>
            <w:vAlign w:val="center"/>
          </w:tcPr>
          <w:p>
            <w:pPr>
              <w:pStyle w:val="Normal"/>
              <w:spacing w:before="0" w:after="160"/>
              <w:rPr>
                <w:b/>
                <w:bCs/>
              </w:rPr>
            </w:pPr>
            <w:r>
              <w:rPr>
                <w:b/>
                <w:bCs/>
              </w:rPr>
              <w:t>Risk ID</w:t>
            </w:r>
          </w:p>
        </w:tc>
        <w:tc>
          <w:tcPr>
            <w:tcW w:w="1425" w:type="dxa"/>
            <w:tcBorders/>
            <w:vAlign w:val="center"/>
          </w:tcPr>
          <w:p>
            <w:pPr>
              <w:pStyle w:val="Normal"/>
              <w:spacing w:before="0" w:after="160"/>
              <w:rPr>
                <w:b/>
                <w:bCs/>
              </w:rPr>
            </w:pPr>
            <w:r>
              <w:rPr>
                <w:b/>
                <w:bCs/>
              </w:rPr>
              <w:t>Risk</w:t>
            </w:r>
          </w:p>
        </w:tc>
        <w:tc>
          <w:tcPr>
            <w:tcW w:w="1001" w:type="dxa"/>
            <w:tcBorders/>
            <w:vAlign w:val="center"/>
          </w:tcPr>
          <w:p>
            <w:pPr>
              <w:pStyle w:val="Normal"/>
              <w:spacing w:before="0" w:after="160"/>
              <w:rPr>
                <w:b/>
                <w:bCs/>
              </w:rPr>
            </w:pPr>
            <w:r>
              <w:rPr>
                <w:b/>
                <w:bCs/>
              </w:rPr>
              <w:t>Likelihood</w:t>
            </w:r>
          </w:p>
        </w:tc>
        <w:tc>
          <w:tcPr>
            <w:tcW w:w="833" w:type="dxa"/>
            <w:tcBorders/>
            <w:vAlign w:val="center"/>
          </w:tcPr>
          <w:p>
            <w:pPr>
              <w:pStyle w:val="Normal"/>
              <w:spacing w:before="0" w:after="160"/>
              <w:rPr>
                <w:b/>
                <w:bCs/>
              </w:rPr>
            </w:pPr>
            <w:r>
              <w:rPr>
                <w:b/>
                <w:bCs/>
              </w:rPr>
              <w:t>Impact</w:t>
            </w:r>
          </w:p>
        </w:tc>
        <w:tc>
          <w:tcPr>
            <w:tcW w:w="593" w:type="dxa"/>
            <w:tcBorders/>
            <w:vAlign w:val="center"/>
          </w:tcPr>
          <w:p>
            <w:pPr>
              <w:pStyle w:val="Normal"/>
              <w:spacing w:before="0" w:after="160"/>
              <w:rPr>
                <w:b/>
                <w:bCs/>
              </w:rPr>
            </w:pPr>
            <w:r>
              <w:rPr>
                <w:b/>
                <w:bCs/>
              </w:rPr>
              <w:t>Risk Score</w:t>
            </w:r>
          </w:p>
        </w:tc>
        <w:tc>
          <w:tcPr>
            <w:tcW w:w="1836" w:type="dxa"/>
            <w:tcBorders/>
            <w:vAlign w:val="center"/>
          </w:tcPr>
          <w:p>
            <w:pPr>
              <w:pStyle w:val="Normal"/>
              <w:spacing w:before="0" w:after="160"/>
              <w:rPr>
                <w:b/>
                <w:bCs/>
              </w:rPr>
            </w:pPr>
            <w:r>
              <w:rPr>
                <w:b/>
                <w:bCs/>
              </w:rPr>
              <w:t>Mitigation / Response</w:t>
            </w:r>
          </w:p>
        </w:tc>
        <w:tc>
          <w:tcPr>
            <w:tcW w:w="2001" w:type="dxa"/>
            <w:tcBorders/>
            <w:vAlign w:val="center"/>
          </w:tcPr>
          <w:p>
            <w:pPr>
              <w:pStyle w:val="Normal"/>
              <w:spacing w:before="0" w:after="160"/>
              <w:rPr>
                <w:b/>
                <w:bCs/>
              </w:rPr>
            </w:pPr>
            <w:r>
              <w:rPr>
                <w:b/>
                <w:bCs/>
              </w:rPr>
              <w:t>Contingency</w:t>
            </w:r>
          </w:p>
        </w:tc>
        <w:tc>
          <w:tcPr>
            <w:tcW w:w="871" w:type="dxa"/>
            <w:tcBorders/>
            <w:vAlign w:val="center"/>
          </w:tcPr>
          <w:p>
            <w:pPr>
              <w:pStyle w:val="Normal"/>
              <w:spacing w:before="0" w:after="160"/>
              <w:rPr>
                <w:b/>
                <w:bCs/>
              </w:rPr>
            </w:pPr>
            <w:r>
              <w:rPr>
                <w:b/>
                <w:bCs/>
              </w:rPr>
              <w:t>Owner</w:t>
            </w:r>
          </w:p>
        </w:tc>
      </w:tr>
      <w:tr>
        <w:trPr/>
        <w:tc>
          <w:tcPr>
            <w:tcW w:w="465" w:type="dxa"/>
            <w:tcBorders/>
            <w:vAlign w:val="center"/>
          </w:tcPr>
          <w:p>
            <w:pPr>
              <w:pStyle w:val="Normal"/>
              <w:spacing w:before="0" w:after="160"/>
              <w:rPr>
                <w:b/>
                <w:bCs/>
              </w:rPr>
            </w:pPr>
            <w:r>
              <w:rPr>
                <w:b/>
                <w:bCs/>
              </w:rPr>
              <w:t>R1</w:t>
            </w:r>
          </w:p>
        </w:tc>
        <w:tc>
          <w:tcPr>
            <w:tcW w:w="1425" w:type="dxa"/>
            <w:tcBorders/>
            <w:vAlign w:val="center"/>
          </w:tcPr>
          <w:p>
            <w:pPr>
              <w:pStyle w:val="Normal"/>
              <w:spacing w:before="0" w:after="160"/>
              <w:rPr>
                <w:b/>
                <w:bCs/>
              </w:rPr>
            </w:pPr>
            <w:r>
              <w:rPr>
                <w:b/>
                <w:bCs/>
              </w:rPr>
              <w:t>Low workshop attendance</w:t>
            </w:r>
          </w:p>
        </w:tc>
        <w:tc>
          <w:tcPr>
            <w:tcW w:w="1001" w:type="dxa"/>
            <w:tcBorders/>
            <w:vAlign w:val="center"/>
          </w:tcPr>
          <w:p>
            <w:pPr>
              <w:pStyle w:val="Normal"/>
              <w:spacing w:before="0" w:after="160"/>
              <w:rPr>
                <w:b/>
                <w:bCs/>
              </w:rPr>
            </w:pPr>
            <w:r>
              <w:rPr>
                <w:b/>
                <w:bCs/>
              </w:rPr>
              <w:t>Medium</w:t>
            </w:r>
          </w:p>
        </w:tc>
        <w:tc>
          <w:tcPr>
            <w:tcW w:w="833" w:type="dxa"/>
            <w:tcBorders/>
            <w:vAlign w:val="center"/>
          </w:tcPr>
          <w:p>
            <w:pPr>
              <w:pStyle w:val="Normal"/>
              <w:spacing w:before="0" w:after="160"/>
              <w:rPr>
                <w:b/>
                <w:bCs/>
              </w:rPr>
            </w:pPr>
            <w:r>
              <w:rPr>
                <w:b/>
                <w:bCs/>
              </w:rPr>
              <w:t>High</w:t>
            </w:r>
          </w:p>
        </w:tc>
        <w:tc>
          <w:tcPr>
            <w:tcW w:w="593" w:type="dxa"/>
            <w:tcBorders/>
            <w:vAlign w:val="center"/>
          </w:tcPr>
          <w:p>
            <w:pPr>
              <w:pStyle w:val="Normal"/>
              <w:spacing w:before="0" w:after="160"/>
              <w:rPr>
                <w:b/>
                <w:bCs/>
              </w:rPr>
            </w:pPr>
            <w:r>
              <w:rPr>
                <w:b/>
                <w:bCs/>
              </w:rPr>
              <w:t>6</w:t>
            </w:r>
          </w:p>
        </w:tc>
        <w:tc>
          <w:tcPr>
            <w:tcW w:w="1836" w:type="dxa"/>
            <w:tcBorders/>
            <w:vAlign w:val="center"/>
          </w:tcPr>
          <w:p>
            <w:pPr>
              <w:pStyle w:val="Normal"/>
              <w:spacing w:before="0" w:after="160"/>
              <w:rPr>
                <w:b/>
                <w:bCs/>
              </w:rPr>
            </w:pPr>
            <w:r>
              <w:rPr>
                <w:b/>
                <w:bCs/>
              </w:rPr>
              <w:t>Issue invitations early and monitor responses weekly.</w:t>
            </w:r>
          </w:p>
        </w:tc>
        <w:tc>
          <w:tcPr>
            <w:tcW w:w="2001" w:type="dxa"/>
            <w:tcBorders/>
            <w:vAlign w:val="center"/>
          </w:tcPr>
          <w:p>
            <w:pPr>
              <w:pStyle w:val="Normal"/>
              <w:spacing w:before="0" w:after="160"/>
              <w:rPr>
                <w:b/>
                <w:bCs/>
              </w:rPr>
            </w:pPr>
            <w:r>
              <w:rPr>
                <w:b/>
                <w:bCs/>
              </w:rPr>
              <w:t>Increase targeted invitations and send additional reminders.</w:t>
            </w:r>
          </w:p>
        </w:tc>
        <w:tc>
          <w:tcPr>
            <w:tcW w:w="871" w:type="dxa"/>
            <w:tcBorders/>
            <w:vAlign w:val="center"/>
          </w:tcPr>
          <w:p>
            <w:pPr>
              <w:pStyle w:val="Normal"/>
              <w:spacing w:before="0" w:after="160"/>
              <w:rPr>
                <w:b/>
                <w:bCs/>
              </w:rPr>
            </w:pPr>
            <w:r>
              <w:rPr>
                <w:b/>
                <w:bCs/>
              </w:rPr>
              <w:t>Florin</w:t>
            </w:r>
          </w:p>
        </w:tc>
      </w:tr>
      <w:tr>
        <w:trPr/>
        <w:tc>
          <w:tcPr>
            <w:tcW w:w="465" w:type="dxa"/>
            <w:tcBorders/>
            <w:vAlign w:val="center"/>
          </w:tcPr>
          <w:p>
            <w:pPr>
              <w:pStyle w:val="Normal"/>
              <w:spacing w:before="0" w:after="160"/>
              <w:rPr>
                <w:b/>
                <w:bCs/>
              </w:rPr>
            </w:pPr>
            <w:r>
              <w:rPr>
                <w:b/>
                <w:bCs/>
              </w:rPr>
              <w:t>R2</w:t>
            </w:r>
          </w:p>
        </w:tc>
        <w:tc>
          <w:tcPr>
            <w:tcW w:w="1425" w:type="dxa"/>
            <w:tcBorders/>
            <w:vAlign w:val="center"/>
          </w:tcPr>
          <w:p>
            <w:pPr>
              <w:pStyle w:val="Normal"/>
              <w:spacing w:before="0" w:after="160"/>
              <w:rPr>
                <w:b/>
                <w:bCs/>
              </w:rPr>
            </w:pPr>
            <w:r>
              <w:rPr>
                <w:b/>
                <w:bCs/>
              </w:rPr>
              <w:t>Financial Adviser unavailable</w:t>
            </w:r>
          </w:p>
        </w:tc>
        <w:tc>
          <w:tcPr>
            <w:tcW w:w="1001" w:type="dxa"/>
            <w:tcBorders/>
            <w:vAlign w:val="center"/>
          </w:tcPr>
          <w:p>
            <w:pPr>
              <w:pStyle w:val="Normal"/>
              <w:spacing w:before="0" w:after="160"/>
              <w:rPr>
                <w:b/>
                <w:bCs/>
              </w:rPr>
            </w:pPr>
            <w:r>
              <w:rPr>
                <w:b/>
                <w:bCs/>
              </w:rPr>
              <w:t>Low</w:t>
            </w:r>
          </w:p>
        </w:tc>
        <w:tc>
          <w:tcPr>
            <w:tcW w:w="833" w:type="dxa"/>
            <w:tcBorders/>
            <w:vAlign w:val="center"/>
          </w:tcPr>
          <w:p>
            <w:pPr>
              <w:pStyle w:val="Normal"/>
              <w:spacing w:before="0" w:after="160"/>
              <w:rPr>
                <w:b/>
                <w:bCs/>
              </w:rPr>
            </w:pPr>
            <w:r>
              <w:rPr>
                <w:b/>
                <w:bCs/>
              </w:rPr>
              <w:t>High</w:t>
            </w:r>
          </w:p>
        </w:tc>
        <w:tc>
          <w:tcPr>
            <w:tcW w:w="593" w:type="dxa"/>
            <w:tcBorders/>
            <w:vAlign w:val="center"/>
          </w:tcPr>
          <w:p>
            <w:pPr>
              <w:pStyle w:val="Normal"/>
              <w:spacing w:before="0" w:after="160"/>
              <w:rPr>
                <w:b/>
                <w:bCs/>
              </w:rPr>
            </w:pPr>
            <w:r>
              <w:rPr>
                <w:b/>
                <w:bCs/>
              </w:rPr>
              <w:t>3</w:t>
            </w:r>
          </w:p>
        </w:tc>
        <w:tc>
          <w:tcPr>
            <w:tcW w:w="1836" w:type="dxa"/>
            <w:tcBorders/>
            <w:vAlign w:val="center"/>
          </w:tcPr>
          <w:p>
            <w:pPr>
              <w:pStyle w:val="Normal"/>
              <w:spacing w:before="0" w:after="160"/>
              <w:rPr>
                <w:b/>
                <w:bCs/>
              </w:rPr>
            </w:pPr>
            <w:r>
              <w:rPr>
                <w:b/>
                <w:bCs/>
              </w:rPr>
              <w:t>Confirm adviser availability in advance.</w:t>
            </w:r>
          </w:p>
        </w:tc>
        <w:tc>
          <w:tcPr>
            <w:tcW w:w="2001" w:type="dxa"/>
            <w:tcBorders/>
            <w:vAlign w:val="center"/>
          </w:tcPr>
          <w:p>
            <w:pPr>
              <w:pStyle w:val="Normal"/>
              <w:spacing w:before="0" w:after="160"/>
              <w:rPr>
                <w:b/>
                <w:bCs/>
              </w:rPr>
            </w:pPr>
            <w:r>
              <w:rPr>
                <w:b/>
                <w:bCs/>
              </w:rPr>
              <w:t>Reallocate responsibilities or identify a suitable backup arrangement.</w:t>
            </w:r>
          </w:p>
        </w:tc>
        <w:tc>
          <w:tcPr>
            <w:tcW w:w="871" w:type="dxa"/>
            <w:tcBorders/>
            <w:vAlign w:val="center"/>
          </w:tcPr>
          <w:p>
            <w:pPr>
              <w:pStyle w:val="Normal"/>
              <w:spacing w:before="0" w:after="160"/>
              <w:rPr>
                <w:b/>
                <w:bCs/>
              </w:rPr>
            </w:pPr>
            <w:r>
              <w:rPr>
                <w:b/>
                <w:bCs/>
              </w:rPr>
              <w:t>Daniela</w:t>
            </w:r>
          </w:p>
        </w:tc>
      </w:tr>
      <w:tr>
        <w:trPr/>
        <w:tc>
          <w:tcPr>
            <w:tcW w:w="465" w:type="dxa"/>
            <w:tcBorders/>
            <w:vAlign w:val="center"/>
          </w:tcPr>
          <w:p>
            <w:pPr>
              <w:pStyle w:val="Normal"/>
              <w:spacing w:before="0" w:after="160"/>
              <w:rPr>
                <w:b/>
                <w:bCs/>
              </w:rPr>
            </w:pPr>
            <w:r>
              <w:rPr>
                <w:b/>
                <w:bCs/>
              </w:rPr>
              <w:t>R3</w:t>
            </w:r>
          </w:p>
        </w:tc>
        <w:tc>
          <w:tcPr>
            <w:tcW w:w="1425" w:type="dxa"/>
            <w:tcBorders/>
            <w:vAlign w:val="center"/>
          </w:tcPr>
          <w:p>
            <w:pPr>
              <w:pStyle w:val="Normal"/>
              <w:spacing w:before="0" w:after="160"/>
              <w:rPr>
                <w:b/>
                <w:bCs/>
              </w:rPr>
            </w:pPr>
            <w:r>
              <w:rPr>
                <w:b/>
                <w:bCs/>
              </w:rPr>
              <w:t>Venue cancellation or unsuitable venue</w:t>
            </w:r>
          </w:p>
        </w:tc>
        <w:tc>
          <w:tcPr>
            <w:tcW w:w="1001" w:type="dxa"/>
            <w:tcBorders/>
            <w:vAlign w:val="center"/>
          </w:tcPr>
          <w:p>
            <w:pPr>
              <w:pStyle w:val="Normal"/>
              <w:spacing w:before="0" w:after="160"/>
              <w:rPr>
                <w:b/>
                <w:bCs/>
              </w:rPr>
            </w:pPr>
            <w:r>
              <w:rPr>
                <w:b/>
                <w:bCs/>
              </w:rPr>
              <w:t>Low</w:t>
            </w:r>
          </w:p>
        </w:tc>
        <w:tc>
          <w:tcPr>
            <w:tcW w:w="833" w:type="dxa"/>
            <w:tcBorders/>
            <w:vAlign w:val="center"/>
          </w:tcPr>
          <w:p>
            <w:pPr>
              <w:pStyle w:val="Normal"/>
              <w:spacing w:before="0" w:after="160"/>
              <w:rPr>
                <w:b/>
                <w:bCs/>
              </w:rPr>
            </w:pPr>
            <w:r>
              <w:rPr>
                <w:b/>
                <w:bCs/>
              </w:rPr>
              <w:t>High</w:t>
            </w:r>
          </w:p>
        </w:tc>
        <w:tc>
          <w:tcPr>
            <w:tcW w:w="593" w:type="dxa"/>
            <w:tcBorders/>
            <w:vAlign w:val="center"/>
          </w:tcPr>
          <w:p>
            <w:pPr>
              <w:pStyle w:val="Normal"/>
              <w:spacing w:before="0" w:after="160"/>
              <w:rPr>
                <w:b/>
                <w:bCs/>
              </w:rPr>
            </w:pPr>
            <w:r>
              <w:rPr>
                <w:b/>
                <w:bCs/>
              </w:rPr>
              <w:t>3</w:t>
            </w:r>
          </w:p>
        </w:tc>
        <w:tc>
          <w:tcPr>
            <w:tcW w:w="1836" w:type="dxa"/>
            <w:tcBorders/>
            <w:vAlign w:val="center"/>
          </w:tcPr>
          <w:p>
            <w:pPr>
              <w:pStyle w:val="Normal"/>
              <w:spacing w:before="0" w:after="160"/>
              <w:rPr>
                <w:b/>
                <w:bCs/>
              </w:rPr>
            </w:pPr>
            <w:r>
              <w:rPr>
                <w:b/>
                <w:bCs/>
              </w:rPr>
              <w:t>Confirm booking and requirements early.</w:t>
            </w:r>
          </w:p>
        </w:tc>
        <w:tc>
          <w:tcPr>
            <w:tcW w:w="2001" w:type="dxa"/>
            <w:tcBorders/>
            <w:vAlign w:val="center"/>
          </w:tcPr>
          <w:p>
            <w:pPr>
              <w:pStyle w:val="Normal"/>
              <w:spacing w:before="0" w:after="160"/>
              <w:rPr>
                <w:b/>
                <w:bCs/>
              </w:rPr>
            </w:pPr>
            <w:r>
              <w:rPr>
                <w:b/>
                <w:bCs/>
              </w:rPr>
              <w:t>Use an alternative suitable venue.</w:t>
            </w:r>
          </w:p>
        </w:tc>
        <w:tc>
          <w:tcPr>
            <w:tcW w:w="871" w:type="dxa"/>
            <w:tcBorders/>
            <w:vAlign w:val="center"/>
          </w:tcPr>
          <w:p>
            <w:pPr>
              <w:pStyle w:val="Normal"/>
              <w:spacing w:before="0" w:after="160"/>
              <w:rPr>
                <w:b/>
                <w:bCs/>
              </w:rPr>
            </w:pPr>
            <w:r>
              <w:rPr>
                <w:b/>
                <w:bCs/>
              </w:rPr>
              <w:t>Florin</w:t>
            </w:r>
          </w:p>
        </w:tc>
      </w:tr>
      <w:tr>
        <w:trPr/>
        <w:tc>
          <w:tcPr>
            <w:tcW w:w="465" w:type="dxa"/>
            <w:tcBorders/>
            <w:vAlign w:val="center"/>
          </w:tcPr>
          <w:p>
            <w:pPr>
              <w:pStyle w:val="Normal"/>
              <w:spacing w:before="0" w:after="160"/>
              <w:rPr>
                <w:b/>
                <w:bCs/>
              </w:rPr>
            </w:pPr>
            <w:r>
              <w:rPr>
                <w:b/>
                <w:bCs/>
              </w:rPr>
              <w:t>R4</w:t>
            </w:r>
          </w:p>
        </w:tc>
        <w:tc>
          <w:tcPr>
            <w:tcW w:w="1425" w:type="dxa"/>
            <w:tcBorders/>
            <w:vAlign w:val="center"/>
          </w:tcPr>
          <w:p>
            <w:pPr>
              <w:pStyle w:val="Normal"/>
              <w:spacing w:before="0" w:after="160"/>
              <w:rPr>
                <w:b/>
                <w:bCs/>
              </w:rPr>
            </w:pPr>
            <w:r>
              <w:rPr>
                <w:b/>
                <w:bCs/>
              </w:rPr>
              <w:t>Technology failure</w:t>
            </w:r>
          </w:p>
        </w:tc>
        <w:tc>
          <w:tcPr>
            <w:tcW w:w="1001" w:type="dxa"/>
            <w:tcBorders/>
            <w:vAlign w:val="center"/>
          </w:tcPr>
          <w:p>
            <w:pPr>
              <w:pStyle w:val="Normal"/>
              <w:spacing w:before="0" w:after="160"/>
              <w:rPr>
                <w:b/>
                <w:bCs/>
              </w:rPr>
            </w:pPr>
            <w:r>
              <w:rPr>
                <w:b/>
                <w:bCs/>
              </w:rPr>
              <w:t>Medium</w:t>
            </w:r>
          </w:p>
        </w:tc>
        <w:tc>
          <w:tcPr>
            <w:tcW w:w="833" w:type="dxa"/>
            <w:tcBorders/>
            <w:vAlign w:val="center"/>
          </w:tcPr>
          <w:p>
            <w:pPr>
              <w:pStyle w:val="Normal"/>
              <w:spacing w:before="0" w:after="160"/>
              <w:rPr>
                <w:b/>
                <w:bCs/>
              </w:rPr>
            </w:pPr>
            <w:r>
              <w:rPr>
                <w:b/>
                <w:bCs/>
              </w:rPr>
              <w:t>Medium</w:t>
            </w:r>
          </w:p>
        </w:tc>
        <w:tc>
          <w:tcPr>
            <w:tcW w:w="593" w:type="dxa"/>
            <w:tcBorders/>
            <w:vAlign w:val="center"/>
          </w:tcPr>
          <w:p>
            <w:pPr>
              <w:pStyle w:val="Normal"/>
              <w:spacing w:before="0" w:after="160"/>
              <w:rPr>
                <w:b/>
                <w:bCs/>
              </w:rPr>
            </w:pPr>
            <w:r>
              <w:rPr>
                <w:b/>
                <w:bCs/>
              </w:rPr>
              <w:t>4</w:t>
            </w:r>
          </w:p>
        </w:tc>
        <w:tc>
          <w:tcPr>
            <w:tcW w:w="1836" w:type="dxa"/>
            <w:tcBorders/>
            <w:vAlign w:val="center"/>
          </w:tcPr>
          <w:p>
            <w:pPr>
              <w:pStyle w:val="Normal"/>
              <w:spacing w:before="0" w:after="160"/>
              <w:rPr>
                <w:b/>
                <w:bCs/>
              </w:rPr>
            </w:pPr>
            <w:r>
              <w:rPr>
                <w:b/>
                <w:bCs/>
              </w:rPr>
              <w:t>Test presentation equipment and internet connection before the event.</w:t>
            </w:r>
          </w:p>
        </w:tc>
        <w:tc>
          <w:tcPr>
            <w:tcW w:w="2001" w:type="dxa"/>
            <w:tcBorders/>
            <w:vAlign w:val="center"/>
          </w:tcPr>
          <w:p>
            <w:pPr>
              <w:pStyle w:val="Normal"/>
              <w:spacing w:before="0" w:after="160"/>
              <w:rPr>
                <w:b/>
                <w:bCs/>
              </w:rPr>
            </w:pPr>
            <w:r>
              <w:rPr>
                <w:b/>
                <w:bCs/>
              </w:rPr>
              <w:t>Use backup equipment and alternative presentation materials.</w:t>
            </w:r>
          </w:p>
        </w:tc>
        <w:tc>
          <w:tcPr>
            <w:tcW w:w="871" w:type="dxa"/>
            <w:tcBorders/>
            <w:vAlign w:val="center"/>
          </w:tcPr>
          <w:p>
            <w:pPr>
              <w:pStyle w:val="Normal"/>
              <w:spacing w:before="0" w:after="160"/>
              <w:rPr>
                <w:b/>
                <w:bCs/>
              </w:rPr>
            </w:pPr>
            <w:r>
              <w:rPr>
                <w:b/>
                <w:bCs/>
              </w:rPr>
              <w:t>Florin</w:t>
            </w:r>
          </w:p>
        </w:tc>
      </w:tr>
      <w:tr>
        <w:trPr/>
        <w:tc>
          <w:tcPr>
            <w:tcW w:w="465" w:type="dxa"/>
            <w:tcBorders/>
            <w:vAlign w:val="center"/>
          </w:tcPr>
          <w:p>
            <w:pPr>
              <w:pStyle w:val="Normal"/>
              <w:spacing w:before="0" w:after="160"/>
              <w:rPr>
                <w:b/>
                <w:bCs/>
              </w:rPr>
            </w:pPr>
            <w:r>
              <w:rPr>
                <w:b/>
                <w:bCs/>
              </w:rPr>
              <w:t>R5</w:t>
            </w:r>
          </w:p>
        </w:tc>
        <w:tc>
          <w:tcPr>
            <w:tcW w:w="1425" w:type="dxa"/>
            <w:tcBorders/>
            <w:vAlign w:val="center"/>
          </w:tcPr>
          <w:p>
            <w:pPr>
              <w:pStyle w:val="Normal"/>
              <w:spacing w:before="0" w:after="160"/>
              <w:rPr>
                <w:b/>
                <w:bCs/>
              </w:rPr>
            </w:pPr>
            <w:r>
              <w:rPr>
                <w:b/>
                <w:bCs/>
              </w:rPr>
              <w:t>Workshop content requires late amendment</w:t>
            </w:r>
          </w:p>
        </w:tc>
        <w:tc>
          <w:tcPr>
            <w:tcW w:w="1001" w:type="dxa"/>
            <w:tcBorders/>
            <w:vAlign w:val="center"/>
          </w:tcPr>
          <w:p>
            <w:pPr>
              <w:pStyle w:val="Normal"/>
              <w:spacing w:before="0" w:after="160"/>
              <w:rPr>
                <w:b/>
                <w:bCs/>
              </w:rPr>
            </w:pPr>
            <w:r>
              <w:rPr>
                <w:b/>
                <w:bCs/>
              </w:rPr>
              <w:t>Medium</w:t>
            </w:r>
          </w:p>
        </w:tc>
        <w:tc>
          <w:tcPr>
            <w:tcW w:w="833" w:type="dxa"/>
            <w:tcBorders/>
            <w:vAlign w:val="center"/>
          </w:tcPr>
          <w:p>
            <w:pPr>
              <w:pStyle w:val="Normal"/>
              <w:spacing w:before="0" w:after="160"/>
              <w:rPr>
                <w:b/>
                <w:bCs/>
              </w:rPr>
            </w:pPr>
            <w:r>
              <w:rPr>
                <w:b/>
                <w:bCs/>
              </w:rPr>
              <w:t>High</w:t>
            </w:r>
          </w:p>
        </w:tc>
        <w:tc>
          <w:tcPr>
            <w:tcW w:w="593" w:type="dxa"/>
            <w:tcBorders/>
            <w:vAlign w:val="center"/>
          </w:tcPr>
          <w:p>
            <w:pPr>
              <w:pStyle w:val="Normal"/>
              <w:spacing w:before="0" w:after="160"/>
              <w:rPr>
                <w:b/>
                <w:bCs/>
              </w:rPr>
            </w:pPr>
            <w:r>
              <w:rPr>
                <w:b/>
                <w:bCs/>
              </w:rPr>
              <w:t>6</w:t>
            </w:r>
          </w:p>
        </w:tc>
        <w:tc>
          <w:tcPr>
            <w:tcW w:w="1836" w:type="dxa"/>
            <w:tcBorders/>
            <w:vAlign w:val="center"/>
          </w:tcPr>
          <w:p>
            <w:pPr>
              <w:pStyle w:val="Normal"/>
              <w:spacing w:before="0" w:after="160"/>
              <w:rPr>
                <w:b/>
                <w:bCs/>
              </w:rPr>
            </w:pPr>
            <w:r>
              <w:rPr>
                <w:b/>
                <w:bCs/>
              </w:rPr>
              <w:t>Complete early content development and review.</w:t>
            </w:r>
          </w:p>
        </w:tc>
        <w:tc>
          <w:tcPr>
            <w:tcW w:w="2001" w:type="dxa"/>
            <w:tcBorders/>
            <w:vAlign w:val="center"/>
          </w:tcPr>
          <w:p>
            <w:pPr>
              <w:pStyle w:val="Normal"/>
              <w:spacing w:before="0" w:after="160"/>
              <w:rPr>
                <w:b/>
                <w:bCs/>
              </w:rPr>
            </w:pPr>
            <w:r>
              <w:rPr>
                <w:b/>
                <w:bCs/>
              </w:rPr>
              <w:t>Apply formal change control and prioritise essential content.</w:t>
            </w:r>
          </w:p>
        </w:tc>
        <w:tc>
          <w:tcPr>
            <w:tcW w:w="871" w:type="dxa"/>
            <w:tcBorders/>
            <w:vAlign w:val="center"/>
          </w:tcPr>
          <w:p>
            <w:pPr>
              <w:pStyle w:val="Normal"/>
              <w:spacing w:before="0" w:after="160"/>
              <w:rPr>
                <w:b/>
                <w:bCs/>
              </w:rPr>
            </w:pPr>
            <w:r>
              <w:rPr>
                <w:b/>
                <w:bCs/>
              </w:rPr>
              <w:t>Camelia / Sandra</w:t>
            </w:r>
          </w:p>
        </w:tc>
      </w:tr>
      <w:tr>
        <w:trPr/>
        <w:tc>
          <w:tcPr>
            <w:tcW w:w="465" w:type="dxa"/>
            <w:tcBorders/>
            <w:vAlign w:val="center"/>
          </w:tcPr>
          <w:p>
            <w:pPr>
              <w:pStyle w:val="Normal"/>
              <w:spacing w:before="0" w:after="160"/>
              <w:rPr>
                <w:b/>
                <w:bCs/>
              </w:rPr>
            </w:pPr>
            <w:r>
              <w:rPr>
                <w:b/>
                <w:bCs/>
              </w:rPr>
              <w:t>R6</w:t>
            </w:r>
          </w:p>
        </w:tc>
        <w:tc>
          <w:tcPr>
            <w:tcW w:w="1425" w:type="dxa"/>
            <w:tcBorders/>
            <w:vAlign w:val="center"/>
          </w:tcPr>
          <w:p>
            <w:pPr>
              <w:pStyle w:val="Normal"/>
              <w:spacing w:before="0" w:after="160"/>
              <w:rPr>
                <w:b/>
                <w:bCs/>
              </w:rPr>
            </w:pPr>
            <w:r>
              <w:rPr>
                <w:b/>
                <w:bCs/>
              </w:rPr>
              <w:t>Poor participant engagement</w:t>
            </w:r>
          </w:p>
        </w:tc>
        <w:tc>
          <w:tcPr>
            <w:tcW w:w="1001" w:type="dxa"/>
            <w:tcBorders/>
            <w:vAlign w:val="center"/>
          </w:tcPr>
          <w:p>
            <w:pPr>
              <w:pStyle w:val="Normal"/>
              <w:spacing w:before="0" w:after="160"/>
              <w:rPr>
                <w:b/>
                <w:bCs/>
              </w:rPr>
            </w:pPr>
            <w:r>
              <w:rPr>
                <w:b/>
                <w:bCs/>
              </w:rPr>
              <w:t>Medium</w:t>
            </w:r>
          </w:p>
        </w:tc>
        <w:tc>
          <w:tcPr>
            <w:tcW w:w="833" w:type="dxa"/>
            <w:tcBorders/>
            <w:vAlign w:val="center"/>
          </w:tcPr>
          <w:p>
            <w:pPr>
              <w:pStyle w:val="Normal"/>
              <w:spacing w:before="0" w:after="160"/>
              <w:rPr>
                <w:b/>
                <w:bCs/>
              </w:rPr>
            </w:pPr>
            <w:r>
              <w:rPr>
                <w:b/>
                <w:bCs/>
              </w:rPr>
              <w:t>Medium</w:t>
            </w:r>
          </w:p>
        </w:tc>
        <w:tc>
          <w:tcPr>
            <w:tcW w:w="593" w:type="dxa"/>
            <w:tcBorders/>
            <w:vAlign w:val="center"/>
          </w:tcPr>
          <w:p>
            <w:pPr>
              <w:pStyle w:val="Normal"/>
              <w:spacing w:before="0" w:after="160"/>
              <w:rPr>
                <w:b/>
                <w:bCs/>
              </w:rPr>
            </w:pPr>
            <w:r>
              <w:rPr>
                <w:b/>
                <w:bCs/>
              </w:rPr>
              <w:t>4</w:t>
            </w:r>
          </w:p>
        </w:tc>
        <w:tc>
          <w:tcPr>
            <w:tcW w:w="1836" w:type="dxa"/>
            <w:tcBorders/>
            <w:vAlign w:val="center"/>
          </w:tcPr>
          <w:p>
            <w:pPr>
              <w:pStyle w:val="Normal"/>
              <w:spacing w:before="0" w:after="160"/>
              <w:rPr>
                <w:b/>
                <w:bCs/>
              </w:rPr>
            </w:pPr>
            <w:r>
              <w:rPr>
                <w:b/>
                <w:bCs/>
              </w:rPr>
              <w:t>Use accessible language, questions and interactive discussion.</w:t>
            </w:r>
          </w:p>
        </w:tc>
        <w:tc>
          <w:tcPr>
            <w:tcW w:w="2001" w:type="dxa"/>
            <w:tcBorders/>
            <w:vAlign w:val="center"/>
          </w:tcPr>
          <w:p>
            <w:pPr>
              <w:pStyle w:val="Normal"/>
              <w:spacing w:before="0" w:after="160"/>
              <w:rPr>
                <w:b/>
                <w:bCs/>
              </w:rPr>
            </w:pPr>
            <w:r>
              <w:rPr>
                <w:b/>
                <w:bCs/>
              </w:rPr>
              <w:t>Adapt delivery approach and allow additional discussion time.</w:t>
            </w:r>
          </w:p>
        </w:tc>
        <w:tc>
          <w:tcPr>
            <w:tcW w:w="871" w:type="dxa"/>
            <w:tcBorders/>
            <w:vAlign w:val="center"/>
          </w:tcPr>
          <w:p>
            <w:pPr>
              <w:pStyle w:val="Normal"/>
              <w:spacing w:before="0" w:after="160"/>
              <w:rPr>
                <w:b/>
                <w:bCs/>
              </w:rPr>
            </w:pPr>
            <w:r>
              <w:rPr>
                <w:b/>
                <w:bCs/>
              </w:rPr>
              <w:t>Camelia / Sandra</w:t>
            </w:r>
          </w:p>
        </w:tc>
      </w:tr>
      <w:tr>
        <w:trPr/>
        <w:tc>
          <w:tcPr>
            <w:tcW w:w="465" w:type="dxa"/>
            <w:tcBorders/>
            <w:vAlign w:val="center"/>
          </w:tcPr>
          <w:p>
            <w:pPr>
              <w:pStyle w:val="Normal"/>
              <w:spacing w:before="0" w:after="160"/>
              <w:rPr>
                <w:b/>
                <w:bCs/>
              </w:rPr>
            </w:pPr>
            <w:r>
              <w:rPr>
                <w:b/>
                <w:bCs/>
              </w:rPr>
              <w:t>R7</w:t>
            </w:r>
          </w:p>
        </w:tc>
        <w:tc>
          <w:tcPr>
            <w:tcW w:w="1425" w:type="dxa"/>
            <w:tcBorders/>
            <w:vAlign w:val="center"/>
          </w:tcPr>
          <w:p>
            <w:pPr>
              <w:pStyle w:val="Normal"/>
              <w:spacing w:before="0" w:after="160"/>
              <w:rPr>
                <w:b/>
                <w:bCs/>
              </w:rPr>
            </w:pPr>
            <w:r>
              <w:rPr>
                <w:b/>
                <w:bCs/>
              </w:rPr>
              <w:t>Data or privacy issue</w:t>
            </w:r>
          </w:p>
        </w:tc>
        <w:tc>
          <w:tcPr>
            <w:tcW w:w="1001" w:type="dxa"/>
            <w:tcBorders/>
            <w:vAlign w:val="center"/>
          </w:tcPr>
          <w:p>
            <w:pPr>
              <w:pStyle w:val="Normal"/>
              <w:spacing w:before="0" w:after="160"/>
              <w:rPr>
                <w:b/>
                <w:bCs/>
              </w:rPr>
            </w:pPr>
            <w:r>
              <w:rPr>
                <w:b/>
                <w:bCs/>
              </w:rPr>
              <w:t>Low</w:t>
            </w:r>
          </w:p>
        </w:tc>
        <w:tc>
          <w:tcPr>
            <w:tcW w:w="833" w:type="dxa"/>
            <w:tcBorders/>
            <w:vAlign w:val="center"/>
          </w:tcPr>
          <w:p>
            <w:pPr>
              <w:pStyle w:val="Normal"/>
              <w:spacing w:before="0" w:after="160"/>
              <w:rPr>
                <w:b/>
                <w:bCs/>
              </w:rPr>
            </w:pPr>
            <w:r>
              <w:rPr>
                <w:b/>
                <w:bCs/>
              </w:rPr>
              <w:t>High</w:t>
            </w:r>
          </w:p>
        </w:tc>
        <w:tc>
          <w:tcPr>
            <w:tcW w:w="593" w:type="dxa"/>
            <w:tcBorders/>
            <w:vAlign w:val="center"/>
          </w:tcPr>
          <w:p>
            <w:pPr>
              <w:pStyle w:val="Normal"/>
              <w:spacing w:before="0" w:after="160"/>
              <w:rPr>
                <w:b/>
                <w:bCs/>
              </w:rPr>
            </w:pPr>
            <w:r>
              <w:rPr>
                <w:b/>
                <w:bCs/>
              </w:rPr>
              <w:t>3</w:t>
            </w:r>
          </w:p>
        </w:tc>
        <w:tc>
          <w:tcPr>
            <w:tcW w:w="1836" w:type="dxa"/>
            <w:tcBorders/>
            <w:vAlign w:val="center"/>
          </w:tcPr>
          <w:p>
            <w:pPr>
              <w:pStyle w:val="Normal"/>
              <w:spacing w:before="0" w:after="160"/>
              <w:rPr>
                <w:b/>
                <w:bCs/>
              </w:rPr>
            </w:pPr>
            <w:r>
              <w:rPr>
                <w:b/>
                <w:bCs/>
              </w:rPr>
              <w:t>Handle participant information appropriately and minimise unnecessary data collection.</w:t>
            </w:r>
          </w:p>
        </w:tc>
        <w:tc>
          <w:tcPr>
            <w:tcW w:w="2001" w:type="dxa"/>
            <w:tcBorders/>
            <w:vAlign w:val="center"/>
          </w:tcPr>
          <w:p>
            <w:pPr>
              <w:pStyle w:val="Normal"/>
              <w:spacing w:before="0" w:after="160"/>
              <w:rPr>
                <w:b/>
                <w:bCs/>
              </w:rPr>
            </w:pPr>
            <w:r>
              <w:rPr>
                <w:b/>
                <w:bCs/>
              </w:rPr>
              <w:t>Escalate the issue to the appropriate organisational authority and follow internal procedures.</w:t>
            </w:r>
          </w:p>
        </w:tc>
        <w:tc>
          <w:tcPr>
            <w:tcW w:w="871" w:type="dxa"/>
            <w:tcBorders/>
            <w:vAlign w:val="center"/>
          </w:tcPr>
          <w:p>
            <w:pPr>
              <w:pStyle w:val="Normal"/>
              <w:spacing w:before="0" w:after="160"/>
              <w:rPr>
                <w:b/>
                <w:bCs/>
              </w:rPr>
            </w:pPr>
            <w:r>
              <w:rPr>
                <w:b/>
                <w:bCs/>
              </w:rPr>
              <w:t>Florin / Daniela</w:t>
            </w:r>
          </w:p>
        </w:tc>
      </w:tr>
      <w:tr>
        <w:trPr/>
        <w:tc>
          <w:tcPr>
            <w:tcW w:w="465" w:type="dxa"/>
            <w:tcBorders/>
            <w:vAlign w:val="center"/>
          </w:tcPr>
          <w:p>
            <w:pPr>
              <w:pStyle w:val="Normal"/>
              <w:spacing w:before="0" w:after="160"/>
              <w:rPr>
                <w:b/>
                <w:bCs/>
              </w:rPr>
            </w:pPr>
            <w:r>
              <w:rPr>
                <w:b/>
                <w:bCs/>
              </w:rPr>
              <w:t>R8</w:t>
            </w:r>
          </w:p>
        </w:tc>
        <w:tc>
          <w:tcPr>
            <w:tcW w:w="1425" w:type="dxa"/>
            <w:tcBorders/>
            <w:vAlign w:val="center"/>
          </w:tcPr>
          <w:p>
            <w:pPr>
              <w:pStyle w:val="Normal"/>
              <w:spacing w:before="0" w:after="160"/>
              <w:rPr>
                <w:b/>
                <w:bCs/>
              </w:rPr>
            </w:pPr>
            <w:r>
              <w:rPr>
                <w:b/>
                <w:bCs/>
              </w:rPr>
              <w:t>Project schedule slippage</w:t>
            </w:r>
          </w:p>
        </w:tc>
        <w:tc>
          <w:tcPr>
            <w:tcW w:w="1001" w:type="dxa"/>
            <w:tcBorders/>
            <w:vAlign w:val="center"/>
          </w:tcPr>
          <w:p>
            <w:pPr>
              <w:pStyle w:val="Normal"/>
              <w:spacing w:before="0" w:after="160"/>
              <w:rPr>
                <w:b/>
                <w:bCs/>
              </w:rPr>
            </w:pPr>
            <w:r>
              <w:rPr>
                <w:b/>
                <w:bCs/>
              </w:rPr>
              <w:t>Medium</w:t>
            </w:r>
          </w:p>
        </w:tc>
        <w:tc>
          <w:tcPr>
            <w:tcW w:w="833" w:type="dxa"/>
            <w:tcBorders/>
            <w:vAlign w:val="center"/>
          </w:tcPr>
          <w:p>
            <w:pPr>
              <w:pStyle w:val="Normal"/>
              <w:spacing w:before="0" w:after="160"/>
              <w:rPr>
                <w:b/>
                <w:bCs/>
              </w:rPr>
            </w:pPr>
            <w:r>
              <w:rPr>
                <w:b/>
                <w:bCs/>
              </w:rPr>
              <w:t>High</w:t>
            </w:r>
          </w:p>
        </w:tc>
        <w:tc>
          <w:tcPr>
            <w:tcW w:w="593" w:type="dxa"/>
            <w:tcBorders/>
            <w:vAlign w:val="center"/>
          </w:tcPr>
          <w:p>
            <w:pPr>
              <w:pStyle w:val="Normal"/>
              <w:spacing w:before="0" w:after="160"/>
              <w:rPr>
                <w:b/>
                <w:bCs/>
              </w:rPr>
            </w:pPr>
            <w:r>
              <w:rPr>
                <w:b/>
                <w:bCs/>
              </w:rPr>
              <w:t>6</w:t>
            </w:r>
          </w:p>
        </w:tc>
        <w:tc>
          <w:tcPr>
            <w:tcW w:w="1836" w:type="dxa"/>
            <w:tcBorders/>
            <w:vAlign w:val="center"/>
          </w:tcPr>
          <w:p>
            <w:pPr>
              <w:pStyle w:val="Normal"/>
              <w:spacing w:before="0" w:after="160"/>
              <w:rPr>
                <w:b/>
                <w:bCs/>
              </w:rPr>
            </w:pPr>
            <w:r>
              <w:rPr>
                <w:b/>
                <w:bCs/>
              </w:rPr>
              <w:t>Review critical-path activities during weekly project meetings.</w:t>
            </w:r>
          </w:p>
        </w:tc>
        <w:tc>
          <w:tcPr>
            <w:tcW w:w="2001" w:type="dxa"/>
            <w:tcBorders/>
            <w:vAlign w:val="center"/>
          </w:tcPr>
          <w:p>
            <w:pPr>
              <w:pStyle w:val="Normal"/>
              <w:spacing w:before="0" w:after="160"/>
              <w:rPr>
                <w:b/>
                <w:bCs/>
              </w:rPr>
            </w:pPr>
            <w:r>
              <w:rPr>
                <w:b/>
                <w:bCs/>
              </w:rPr>
              <w:t>Reallocate resources, increase monitoring and reduce non-essential activities.</w:t>
            </w:r>
          </w:p>
        </w:tc>
        <w:tc>
          <w:tcPr>
            <w:tcW w:w="871" w:type="dxa"/>
            <w:tcBorders/>
            <w:vAlign w:val="center"/>
          </w:tcPr>
          <w:p>
            <w:pPr>
              <w:pStyle w:val="Normal"/>
              <w:spacing w:before="0" w:after="160"/>
              <w:rPr>
                <w:b/>
                <w:bCs/>
              </w:rPr>
            </w:pPr>
            <w:r>
              <w:rPr>
                <w:b/>
                <w:bCs/>
              </w:rPr>
              <w:t>Florin</w:t>
            </w:r>
          </w:p>
        </w:tc>
      </w:tr>
      <w:tr>
        <w:trPr/>
        <w:tc>
          <w:tcPr>
            <w:tcW w:w="465" w:type="dxa"/>
            <w:tcBorders/>
            <w:vAlign w:val="center"/>
          </w:tcPr>
          <w:p>
            <w:pPr>
              <w:pStyle w:val="Normal"/>
              <w:spacing w:before="0" w:after="160"/>
              <w:rPr>
                <w:b/>
                <w:bCs/>
              </w:rPr>
            </w:pPr>
            <w:r>
              <w:rPr>
                <w:b/>
                <w:bCs/>
              </w:rPr>
              <w:t>R9</w:t>
            </w:r>
          </w:p>
        </w:tc>
        <w:tc>
          <w:tcPr>
            <w:tcW w:w="1425" w:type="dxa"/>
            <w:tcBorders/>
            <w:vAlign w:val="center"/>
          </w:tcPr>
          <w:p>
            <w:pPr>
              <w:pStyle w:val="Normal"/>
              <w:spacing w:before="0" w:after="160"/>
              <w:rPr>
                <w:b/>
                <w:bCs/>
              </w:rPr>
            </w:pPr>
            <w:r>
              <w:rPr>
                <w:b/>
                <w:bCs/>
              </w:rPr>
              <w:t>Scope creep</w:t>
            </w:r>
          </w:p>
        </w:tc>
        <w:tc>
          <w:tcPr>
            <w:tcW w:w="1001" w:type="dxa"/>
            <w:tcBorders/>
            <w:vAlign w:val="center"/>
          </w:tcPr>
          <w:p>
            <w:pPr>
              <w:pStyle w:val="Normal"/>
              <w:spacing w:before="0" w:after="160"/>
              <w:rPr>
                <w:b/>
                <w:bCs/>
              </w:rPr>
            </w:pPr>
            <w:r>
              <w:rPr>
                <w:b/>
                <w:bCs/>
              </w:rPr>
              <w:t>Medium</w:t>
            </w:r>
          </w:p>
        </w:tc>
        <w:tc>
          <w:tcPr>
            <w:tcW w:w="833" w:type="dxa"/>
            <w:tcBorders/>
            <w:vAlign w:val="center"/>
          </w:tcPr>
          <w:p>
            <w:pPr>
              <w:pStyle w:val="Normal"/>
              <w:spacing w:before="0" w:after="160"/>
              <w:rPr>
                <w:b/>
                <w:bCs/>
              </w:rPr>
            </w:pPr>
            <w:r>
              <w:rPr>
                <w:b/>
                <w:bCs/>
              </w:rPr>
              <w:t>Medium</w:t>
            </w:r>
          </w:p>
        </w:tc>
        <w:tc>
          <w:tcPr>
            <w:tcW w:w="593" w:type="dxa"/>
            <w:tcBorders/>
            <w:vAlign w:val="center"/>
          </w:tcPr>
          <w:p>
            <w:pPr>
              <w:pStyle w:val="Normal"/>
              <w:spacing w:before="0" w:after="160"/>
              <w:rPr>
                <w:b/>
                <w:bCs/>
              </w:rPr>
            </w:pPr>
            <w:r>
              <w:rPr>
                <w:b/>
                <w:bCs/>
              </w:rPr>
              <w:t>4</w:t>
            </w:r>
          </w:p>
        </w:tc>
        <w:tc>
          <w:tcPr>
            <w:tcW w:w="1836" w:type="dxa"/>
            <w:tcBorders/>
            <w:vAlign w:val="center"/>
          </w:tcPr>
          <w:p>
            <w:pPr>
              <w:pStyle w:val="Normal"/>
              <w:spacing w:before="0" w:after="160"/>
              <w:rPr>
                <w:b/>
                <w:bCs/>
              </w:rPr>
            </w:pPr>
            <w:r>
              <w:rPr>
                <w:b/>
                <w:bCs/>
              </w:rPr>
              <w:t>Maintain agreed project scope and assess proposed changes formally.</w:t>
            </w:r>
          </w:p>
        </w:tc>
        <w:tc>
          <w:tcPr>
            <w:tcW w:w="2001" w:type="dxa"/>
            <w:tcBorders/>
            <w:vAlign w:val="center"/>
          </w:tcPr>
          <w:p>
            <w:pPr>
              <w:pStyle w:val="Normal"/>
              <w:spacing w:before="0" w:after="160"/>
              <w:rPr>
                <w:b/>
                <w:bCs/>
              </w:rPr>
            </w:pPr>
            <w:r>
              <w:rPr>
                <w:b/>
                <w:bCs/>
              </w:rPr>
              <w:t>Escalate significant changes to Daniela for approval.</w:t>
            </w:r>
          </w:p>
        </w:tc>
        <w:tc>
          <w:tcPr>
            <w:tcW w:w="871" w:type="dxa"/>
            <w:tcBorders/>
            <w:vAlign w:val="center"/>
          </w:tcPr>
          <w:p>
            <w:pPr>
              <w:pStyle w:val="Normal"/>
              <w:spacing w:before="0" w:after="160"/>
              <w:rPr>
                <w:b/>
                <w:bCs/>
              </w:rPr>
            </w:pPr>
            <w:r>
              <w:rPr>
                <w:b/>
                <w:bCs/>
              </w:rPr>
              <w:t>Florin / Daniela</w:t>
            </w:r>
          </w:p>
        </w:tc>
      </w:tr>
    </w:tbl>
    <w:p>
      <w:pPr>
        <w:pStyle w:val="Normal"/>
        <w:rPr>
          <w:b/>
          <w:bCs/>
        </w:rPr>
      </w:pPr>
      <w:r>
        <w:rPr>
          <w:b/>
          <w:bCs/>
        </w:rPr>
        <w:t>Risk Scoring</w:t>
      </w:r>
    </w:p>
    <w:p>
      <w:pPr>
        <w:pStyle w:val="Normal"/>
        <w:rPr>
          <w:b/>
          <w:bCs/>
        </w:rPr>
      </w:pPr>
      <w:r>
        <w:rPr>
          <w:b/>
          <w:bCs/>
        </w:rPr>
        <w:t>Risk Score = Likelihood × Impact</w:t>
      </w:r>
    </w:p>
    <w:tbl>
      <w:tblPr>
        <w:tblW w:w="7588"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848"/>
        <w:gridCol w:w="560"/>
        <w:gridCol w:w="6180"/>
      </w:tblGrid>
      <w:tr>
        <w:trPr>
          <w:tblHeader w:val="true"/>
        </w:trPr>
        <w:tc>
          <w:tcPr>
            <w:tcW w:w="848" w:type="dxa"/>
            <w:tcBorders/>
            <w:vAlign w:val="center"/>
          </w:tcPr>
          <w:p>
            <w:pPr>
              <w:pStyle w:val="Normal"/>
              <w:spacing w:before="0" w:after="160"/>
              <w:rPr>
                <w:b/>
                <w:bCs/>
              </w:rPr>
            </w:pPr>
            <w:r>
              <w:rPr>
                <w:b/>
                <w:bCs/>
              </w:rPr>
              <w:t>Rating</w:t>
            </w:r>
          </w:p>
        </w:tc>
        <w:tc>
          <w:tcPr>
            <w:tcW w:w="560" w:type="dxa"/>
            <w:tcBorders/>
            <w:vAlign w:val="center"/>
          </w:tcPr>
          <w:p>
            <w:pPr>
              <w:pStyle w:val="Normal"/>
              <w:spacing w:before="0" w:after="160"/>
              <w:rPr>
                <w:b/>
                <w:bCs/>
              </w:rPr>
            </w:pPr>
            <w:r>
              <w:rPr>
                <w:b/>
                <w:bCs/>
              </w:rPr>
              <w:t>Score</w:t>
            </w:r>
          </w:p>
        </w:tc>
        <w:tc>
          <w:tcPr>
            <w:tcW w:w="6180" w:type="dxa"/>
            <w:tcBorders/>
            <w:vAlign w:val="center"/>
          </w:tcPr>
          <w:p>
            <w:pPr>
              <w:pStyle w:val="Normal"/>
              <w:spacing w:before="0" w:after="160"/>
              <w:rPr>
                <w:b/>
                <w:bCs/>
              </w:rPr>
            </w:pPr>
            <w:r>
              <w:rPr>
                <w:b/>
                <w:bCs/>
              </w:rPr>
              <w:t>Management Approach</w:t>
            </w:r>
          </w:p>
        </w:tc>
      </w:tr>
      <w:tr>
        <w:trPr/>
        <w:tc>
          <w:tcPr>
            <w:tcW w:w="848" w:type="dxa"/>
            <w:tcBorders/>
            <w:vAlign w:val="center"/>
          </w:tcPr>
          <w:p>
            <w:pPr>
              <w:pStyle w:val="Normal"/>
              <w:spacing w:before="0" w:after="160"/>
              <w:rPr>
                <w:b/>
                <w:bCs/>
              </w:rPr>
            </w:pPr>
            <w:r>
              <w:rPr>
                <w:b/>
                <w:bCs/>
              </w:rPr>
              <w:t>Low</w:t>
            </w:r>
          </w:p>
        </w:tc>
        <w:tc>
          <w:tcPr>
            <w:tcW w:w="560" w:type="dxa"/>
            <w:tcBorders/>
            <w:vAlign w:val="center"/>
          </w:tcPr>
          <w:p>
            <w:pPr>
              <w:pStyle w:val="Normal"/>
              <w:spacing w:before="0" w:after="160"/>
              <w:rPr>
                <w:b/>
                <w:bCs/>
              </w:rPr>
            </w:pPr>
            <w:r>
              <w:rPr>
                <w:b/>
                <w:bCs/>
              </w:rPr>
              <w:t>1–2</w:t>
            </w:r>
          </w:p>
        </w:tc>
        <w:tc>
          <w:tcPr>
            <w:tcW w:w="6180" w:type="dxa"/>
            <w:tcBorders/>
            <w:vAlign w:val="center"/>
          </w:tcPr>
          <w:p>
            <w:pPr>
              <w:pStyle w:val="Normal"/>
              <w:spacing w:before="0" w:after="160"/>
              <w:rPr>
                <w:b/>
                <w:bCs/>
              </w:rPr>
            </w:pPr>
            <w:r>
              <w:rPr>
                <w:b/>
                <w:bCs/>
              </w:rPr>
              <w:t>Monitor through normal project controls.</w:t>
            </w:r>
          </w:p>
        </w:tc>
      </w:tr>
      <w:tr>
        <w:trPr/>
        <w:tc>
          <w:tcPr>
            <w:tcW w:w="848" w:type="dxa"/>
            <w:tcBorders/>
            <w:vAlign w:val="center"/>
          </w:tcPr>
          <w:p>
            <w:pPr>
              <w:pStyle w:val="Normal"/>
              <w:spacing w:before="0" w:after="160"/>
              <w:rPr>
                <w:b/>
                <w:bCs/>
              </w:rPr>
            </w:pPr>
            <w:r>
              <w:rPr>
                <w:b/>
                <w:bCs/>
              </w:rPr>
              <w:t>Medium</w:t>
            </w:r>
          </w:p>
        </w:tc>
        <w:tc>
          <w:tcPr>
            <w:tcW w:w="560" w:type="dxa"/>
            <w:tcBorders/>
            <w:vAlign w:val="center"/>
          </w:tcPr>
          <w:p>
            <w:pPr>
              <w:pStyle w:val="Normal"/>
              <w:spacing w:before="0" w:after="160"/>
              <w:rPr>
                <w:b/>
                <w:bCs/>
              </w:rPr>
            </w:pPr>
            <w:r>
              <w:rPr>
                <w:b/>
                <w:bCs/>
              </w:rPr>
              <w:t>3–4</w:t>
            </w:r>
          </w:p>
        </w:tc>
        <w:tc>
          <w:tcPr>
            <w:tcW w:w="6180" w:type="dxa"/>
            <w:tcBorders/>
            <w:vAlign w:val="center"/>
          </w:tcPr>
          <w:p>
            <w:pPr>
              <w:pStyle w:val="Normal"/>
              <w:spacing w:before="0" w:after="160"/>
              <w:rPr>
                <w:b/>
                <w:bCs/>
              </w:rPr>
            </w:pPr>
            <w:r>
              <w:rPr>
                <w:b/>
                <w:bCs/>
              </w:rPr>
              <w:t>Active mitigation and regular review required.</w:t>
            </w:r>
          </w:p>
        </w:tc>
      </w:tr>
      <w:tr>
        <w:trPr/>
        <w:tc>
          <w:tcPr>
            <w:tcW w:w="848" w:type="dxa"/>
            <w:tcBorders/>
            <w:vAlign w:val="center"/>
          </w:tcPr>
          <w:p>
            <w:pPr>
              <w:pStyle w:val="Normal"/>
              <w:spacing w:before="0" w:after="160"/>
              <w:rPr>
                <w:b/>
                <w:bCs/>
              </w:rPr>
            </w:pPr>
            <w:r>
              <w:rPr>
                <w:b/>
                <w:bCs/>
              </w:rPr>
              <w:t>High</w:t>
            </w:r>
          </w:p>
        </w:tc>
        <w:tc>
          <w:tcPr>
            <w:tcW w:w="560" w:type="dxa"/>
            <w:tcBorders/>
            <w:vAlign w:val="center"/>
          </w:tcPr>
          <w:p>
            <w:pPr>
              <w:pStyle w:val="Normal"/>
              <w:spacing w:before="0" w:after="160"/>
              <w:rPr>
                <w:b/>
                <w:bCs/>
              </w:rPr>
            </w:pPr>
            <w:r>
              <w:rPr>
                <w:b/>
                <w:bCs/>
              </w:rPr>
              <w:t>6–9</w:t>
            </w:r>
          </w:p>
        </w:tc>
        <w:tc>
          <w:tcPr>
            <w:tcW w:w="6180" w:type="dxa"/>
            <w:tcBorders/>
            <w:vAlign w:val="center"/>
          </w:tcPr>
          <w:p>
            <w:pPr>
              <w:pStyle w:val="Normal"/>
              <w:spacing w:before="0" w:after="160"/>
              <w:rPr>
                <w:b/>
                <w:bCs/>
              </w:rPr>
            </w:pPr>
            <w:r>
              <w:rPr>
                <w:b/>
                <w:bCs/>
              </w:rPr>
              <w:t>Priority management attention and contingency planning required.</w:t>
            </w:r>
          </w:p>
        </w:tc>
      </w:tr>
    </w:tbl>
    <w:p>
      <w:pPr>
        <w:pStyle w:val="Normal"/>
        <w:rPr>
          <w:b/>
          <w:bCs/>
        </w:rPr>
      </w:pPr>
      <w:r>
        <w:rPr>
          <w:b/>
          <w:bCs/>
        </w:rPr>
      </w:r>
    </w:p>
    <w:p>
      <w:pPr>
        <w:pStyle w:val="Normal"/>
        <w:rPr/>
      </w:pPr>
      <w:r>
        <w:rPr/>
      </w:r>
    </w:p>
    <w:p>
      <w:pPr>
        <w:pStyle w:val="Heading2"/>
        <w:rPr>
          <w:b/>
          <w:bCs/>
        </w:rPr>
      </w:pPr>
      <w:bookmarkStart w:id="101" w:name="__RefHeading___Toc2847_1410408564"/>
      <w:bookmarkStart w:id="102" w:name="_Toc238761847"/>
      <w:bookmarkEnd w:id="101"/>
      <w:r>
        <w:rPr>
          <w:b/>
          <w:bCs/>
        </w:rPr>
        <w:t>Appendix 7 – RACI Matrix</w:t>
      </w:r>
      <w:bookmarkEnd w:id="102"/>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2474"/>
        <w:gridCol w:w="1586"/>
        <w:gridCol w:w="1599"/>
        <w:gridCol w:w="1698"/>
        <w:gridCol w:w="1669"/>
      </w:tblGrid>
      <w:tr>
        <w:trPr>
          <w:tblHeader w:val="true"/>
        </w:trPr>
        <w:tc>
          <w:tcPr>
            <w:tcW w:w="2474" w:type="dxa"/>
            <w:tcBorders/>
            <w:vAlign w:val="center"/>
          </w:tcPr>
          <w:p>
            <w:pPr>
              <w:pStyle w:val="Normal"/>
              <w:spacing w:before="0" w:after="160"/>
              <w:rPr>
                <w:b/>
                <w:bCs/>
              </w:rPr>
            </w:pPr>
            <w:r>
              <w:rPr>
                <w:b/>
                <w:bCs/>
              </w:rPr>
              <w:t>Project Activity</w:t>
            </w:r>
          </w:p>
        </w:tc>
        <w:tc>
          <w:tcPr>
            <w:tcW w:w="1586" w:type="dxa"/>
            <w:tcBorders/>
            <w:vAlign w:val="center"/>
          </w:tcPr>
          <w:p>
            <w:pPr>
              <w:pStyle w:val="Normal"/>
              <w:spacing w:before="0" w:after="160"/>
              <w:rPr>
                <w:b/>
                <w:bCs/>
              </w:rPr>
            </w:pPr>
            <w:r>
              <w:rPr>
                <w:b/>
                <w:bCs/>
              </w:rPr>
              <w:t>Florin – Project Manager</w:t>
            </w:r>
          </w:p>
        </w:tc>
        <w:tc>
          <w:tcPr>
            <w:tcW w:w="1599" w:type="dxa"/>
            <w:tcBorders/>
            <w:vAlign w:val="center"/>
          </w:tcPr>
          <w:p>
            <w:pPr>
              <w:pStyle w:val="Normal"/>
              <w:spacing w:before="0" w:after="160"/>
              <w:rPr>
                <w:b/>
                <w:bCs/>
              </w:rPr>
            </w:pPr>
            <w:r>
              <w:rPr>
                <w:b/>
                <w:bCs/>
              </w:rPr>
              <w:t>Daniela – Project Sponsor</w:t>
            </w:r>
          </w:p>
        </w:tc>
        <w:tc>
          <w:tcPr>
            <w:tcW w:w="1698" w:type="dxa"/>
            <w:tcBorders/>
            <w:vAlign w:val="center"/>
          </w:tcPr>
          <w:p>
            <w:pPr>
              <w:pStyle w:val="Normal"/>
              <w:spacing w:before="0" w:after="160"/>
              <w:rPr>
                <w:b/>
                <w:bCs/>
              </w:rPr>
            </w:pPr>
            <w:r>
              <w:rPr>
                <w:b/>
                <w:bCs/>
              </w:rPr>
              <w:t>Camelia – Financial Adviser</w:t>
            </w:r>
          </w:p>
        </w:tc>
        <w:tc>
          <w:tcPr>
            <w:tcW w:w="1669" w:type="dxa"/>
            <w:tcBorders/>
            <w:vAlign w:val="center"/>
          </w:tcPr>
          <w:p>
            <w:pPr>
              <w:pStyle w:val="Normal"/>
              <w:spacing w:before="0" w:after="160"/>
              <w:rPr>
                <w:b/>
                <w:bCs/>
              </w:rPr>
            </w:pPr>
            <w:r>
              <w:rPr>
                <w:b/>
                <w:bCs/>
              </w:rPr>
              <w:t>Sandra – Financial Adviser</w:t>
            </w:r>
          </w:p>
        </w:tc>
      </w:tr>
      <w:tr>
        <w:trPr/>
        <w:tc>
          <w:tcPr>
            <w:tcW w:w="2474" w:type="dxa"/>
            <w:tcBorders/>
            <w:vAlign w:val="center"/>
          </w:tcPr>
          <w:p>
            <w:pPr>
              <w:pStyle w:val="Normal"/>
              <w:widowControl/>
              <w:suppressAutoHyphens w:val="true"/>
              <w:bidi w:val="0"/>
              <w:spacing w:lineRule="auto" w:line="259" w:before="0" w:after="160"/>
              <w:jc w:val="left"/>
              <w:rPr/>
            </w:pPr>
            <w:r>
              <w:rPr/>
              <w:t>Project planning</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Project requirements and objectives</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Stakeholder identification</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Venue and logistics</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Technology arrangements</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Content development</w:t>
            </w:r>
          </w:p>
        </w:tc>
        <w:tc>
          <w:tcPr>
            <w:tcW w:w="1586" w:type="dxa"/>
            <w:tcBorders/>
            <w:vAlign w:val="center"/>
          </w:tcPr>
          <w:p>
            <w:pPr>
              <w:pStyle w:val="Normal"/>
              <w:widowControl/>
              <w:suppressAutoHyphens w:val="true"/>
              <w:bidi w:val="0"/>
              <w:spacing w:lineRule="auto" w:line="259" w:before="0" w:after="160"/>
              <w:jc w:val="left"/>
              <w:rPr/>
            </w:pPr>
            <w:r>
              <w:rPr/>
              <w:t>C</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b/>
                <w:bCs/>
              </w:rPr>
              <w:t>R</w:t>
            </w:r>
          </w:p>
        </w:tc>
        <w:tc>
          <w:tcPr>
            <w:tcW w:w="1669" w:type="dxa"/>
            <w:tcBorders/>
            <w:vAlign w:val="center"/>
          </w:tcPr>
          <w:p>
            <w:pPr>
              <w:pStyle w:val="Normal"/>
              <w:widowControl/>
              <w:suppressAutoHyphens w:val="true"/>
              <w:bidi w:val="0"/>
              <w:spacing w:lineRule="auto" w:line="259" w:before="0" w:after="160"/>
              <w:jc w:val="left"/>
              <w:rPr/>
            </w:pPr>
            <w:r>
              <w:rPr>
                <w:b/>
                <w:bCs/>
              </w:rPr>
              <w:t>R</w:t>
            </w:r>
          </w:p>
        </w:tc>
      </w:tr>
      <w:tr>
        <w:trPr/>
        <w:tc>
          <w:tcPr>
            <w:tcW w:w="2474" w:type="dxa"/>
            <w:tcBorders/>
            <w:vAlign w:val="center"/>
          </w:tcPr>
          <w:p>
            <w:pPr>
              <w:pStyle w:val="Normal"/>
              <w:widowControl/>
              <w:suppressAutoHyphens w:val="true"/>
              <w:bidi w:val="0"/>
              <w:spacing w:lineRule="auto" w:line="259" w:before="0" w:after="160"/>
              <w:jc w:val="left"/>
              <w:rPr/>
            </w:pPr>
            <w:r>
              <w:rPr/>
              <w:t>Content review</w:t>
            </w:r>
          </w:p>
        </w:tc>
        <w:tc>
          <w:tcPr>
            <w:tcW w:w="1586" w:type="dxa"/>
            <w:tcBorders/>
            <w:vAlign w:val="center"/>
          </w:tcPr>
          <w:p>
            <w:pPr>
              <w:pStyle w:val="Normal"/>
              <w:widowControl/>
              <w:suppressAutoHyphens w:val="true"/>
              <w:bidi w:val="0"/>
              <w:spacing w:lineRule="auto" w:line="259" w:before="0" w:after="160"/>
              <w:jc w:val="left"/>
              <w:rPr/>
            </w:pPr>
            <w:r>
              <w:rPr/>
              <w:t>C</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b/>
                <w:bCs/>
              </w:rPr>
              <w:t>R</w:t>
            </w:r>
          </w:p>
        </w:tc>
        <w:tc>
          <w:tcPr>
            <w:tcW w:w="1669" w:type="dxa"/>
            <w:tcBorders/>
            <w:vAlign w:val="center"/>
          </w:tcPr>
          <w:p>
            <w:pPr>
              <w:pStyle w:val="Normal"/>
              <w:widowControl/>
              <w:suppressAutoHyphens w:val="true"/>
              <w:bidi w:val="0"/>
              <w:spacing w:lineRule="auto" w:line="259" w:before="0" w:after="160"/>
              <w:jc w:val="left"/>
              <w:rPr/>
            </w:pPr>
            <w:r>
              <w:rPr>
                <w:b/>
                <w:bCs/>
              </w:rPr>
              <w:t>R</w:t>
            </w:r>
          </w:p>
        </w:tc>
      </w:tr>
      <w:tr>
        <w:trPr/>
        <w:tc>
          <w:tcPr>
            <w:tcW w:w="2474" w:type="dxa"/>
            <w:tcBorders/>
            <w:vAlign w:val="center"/>
          </w:tcPr>
          <w:p>
            <w:pPr>
              <w:pStyle w:val="Normal"/>
              <w:widowControl/>
              <w:suppressAutoHyphens w:val="true"/>
              <w:bidi w:val="0"/>
              <w:spacing w:lineRule="auto" w:line="259" w:before="0" w:after="160"/>
              <w:jc w:val="left"/>
              <w:rPr/>
            </w:pPr>
            <w:r>
              <w:rPr/>
              <w:t>Invitations and attendee administration</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Workshop delivery</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b/>
                <w:bCs/>
              </w:rPr>
              <w:t>R</w:t>
            </w:r>
          </w:p>
        </w:tc>
        <w:tc>
          <w:tcPr>
            <w:tcW w:w="1669" w:type="dxa"/>
            <w:tcBorders/>
            <w:vAlign w:val="center"/>
          </w:tcPr>
          <w:p>
            <w:pPr>
              <w:pStyle w:val="Normal"/>
              <w:widowControl/>
              <w:suppressAutoHyphens w:val="true"/>
              <w:bidi w:val="0"/>
              <w:spacing w:lineRule="auto" w:line="259" w:before="0" w:after="160"/>
              <w:jc w:val="left"/>
              <w:rPr/>
            </w:pPr>
            <w:r>
              <w:rPr>
                <w:b/>
                <w:bCs/>
              </w:rPr>
              <w:t>R</w:t>
            </w:r>
          </w:p>
        </w:tc>
      </w:tr>
      <w:tr>
        <w:trPr/>
        <w:tc>
          <w:tcPr>
            <w:tcW w:w="2474" w:type="dxa"/>
            <w:tcBorders/>
            <w:vAlign w:val="center"/>
          </w:tcPr>
          <w:p>
            <w:pPr>
              <w:pStyle w:val="Normal"/>
              <w:widowControl/>
              <w:suppressAutoHyphens w:val="true"/>
              <w:bidi w:val="0"/>
              <w:spacing w:lineRule="auto" w:line="259" w:before="0" w:after="160"/>
              <w:jc w:val="left"/>
              <w:rPr/>
            </w:pPr>
            <w:r>
              <w:rPr/>
              <w:t>Participant feedback and evaluation</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Lessons learned</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r>
        <w:trPr/>
        <w:tc>
          <w:tcPr>
            <w:tcW w:w="2474" w:type="dxa"/>
            <w:tcBorders/>
            <w:vAlign w:val="center"/>
          </w:tcPr>
          <w:p>
            <w:pPr>
              <w:pStyle w:val="Normal"/>
              <w:widowControl/>
              <w:suppressAutoHyphens w:val="true"/>
              <w:bidi w:val="0"/>
              <w:spacing w:lineRule="auto" w:line="259" w:before="0" w:after="160"/>
              <w:jc w:val="left"/>
              <w:rPr/>
            </w:pPr>
            <w:r>
              <w:rPr/>
              <w:t>Project closure</w:t>
            </w:r>
          </w:p>
        </w:tc>
        <w:tc>
          <w:tcPr>
            <w:tcW w:w="1586" w:type="dxa"/>
            <w:tcBorders/>
            <w:vAlign w:val="center"/>
          </w:tcPr>
          <w:p>
            <w:pPr>
              <w:pStyle w:val="Normal"/>
              <w:widowControl/>
              <w:suppressAutoHyphens w:val="true"/>
              <w:bidi w:val="0"/>
              <w:spacing w:lineRule="auto" w:line="259" w:before="0" w:after="160"/>
              <w:jc w:val="left"/>
              <w:rPr/>
            </w:pPr>
            <w:r>
              <w:rPr>
                <w:b/>
                <w:bCs/>
              </w:rPr>
              <w:t>R</w:t>
            </w:r>
          </w:p>
        </w:tc>
        <w:tc>
          <w:tcPr>
            <w:tcW w:w="1599" w:type="dxa"/>
            <w:tcBorders/>
            <w:vAlign w:val="center"/>
          </w:tcPr>
          <w:p>
            <w:pPr>
              <w:pStyle w:val="Normal"/>
              <w:widowControl/>
              <w:suppressAutoHyphens w:val="true"/>
              <w:bidi w:val="0"/>
              <w:spacing w:lineRule="auto" w:line="259" w:before="0" w:after="160"/>
              <w:jc w:val="left"/>
              <w:rPr/>
            </w:pPr>
            <w:r>
              <w:rPr>
                <w:b/>
                <w:bCs/>
              </w:rPr>
              <w:t>A</w:t>
            </w:r>
          </w:p>
        </w:tc>
        <w:tc>
          <w:tcPr>
            <w:tcW w:w="1698" w:type="dxa"/>
            <w:tcBorders/>
            <w:vAlign w:val="center"/>
          </w:tcPr>
          <w:p>
            <w:pPr>
              <w:pStyle w:val="Normal"/>
              <w:widowControl/>
              <w:suppressAutoHyphens w:val="true"/>
              <w:bidi w:val="0"/>
              <w:spacing w:lineRule="auto" w:line="259" w:before="0" w:after="160"/>
              <w:jc w:val="left"/>
              <w:rPr/>
            </w:pPr>
            <w:r>
              <w:rPr/>
              <w:t>C</w:t>
            </w:r>
          </w:p>
        </w:tc>
        <w:tc>
          <w:tcPr>
            <w:tcW w:w="1669" w:type="dxa"/>
            <w:tcBorders/>
            <w:vAlign w:val="center"/>
          </w:tcPr>
          <w:p>
            <w:pPr>
              <w:pStyle w:val="Normal"/>
              <w:widowControl/>
              <w:suppressAutoHyphens w:val="true"/>
              <w:bidi w:val="0"/>
              <w:spacing w:lineRule="auto" w:line="259" w:before="0" w:after="160"/>
              <w:jc w:val="left"/>
              <w:rPr/>
            </w:pPr>
            <w:r>
              <w:rPr/>
              <w:t>C</w:t>
            </w:r>
          </w:p>
        </w:tc>
      </w:tr>
    </w:tbl>
    <w:p>
      <w:pPr>
        <w:pStyle w:val="Normal"/>
        <w:rPr>
          <w:b/>
          <w:bCs/>
        </w:rPr>
      </w:pPr>
      <w:r>
        <w:rPr>
          <w:b/>
          <w:bCs/>
        </w:rPr>
        <w:t>RACI Key</w:t>
      </w:r>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1797"/>
        <w:gridCol w:w="7228"/>
      </w:tblGrid>
      <w:tr>
        <w:trPr>
          <w:tblHeader w:val="true"/>
        </w:trPr>
        <w:tc>
          <w:tcPr>
            <w:tcW w:w="1797" w:type="dxa"/>
            <w:tcBorders/>
            <w:vAlign w:val="center"/>
          </w:tcPr>
          <w:p>
            <w:pPr>
              <w:pStyle w:val="Normal"/>
              <w:spacing w:before="0" w:after="160"/>
              <w:rPr>
                <w:b/>
                <w:bCs/>
              </w:rPr>
            </w:pPr>
            <w:r>
              <w:rPr>
                <w:b/>
                <w:bCs/>
              </w:rPr>
              <w:t>Code</w:t>
            </w:r>
          </w:p>
        </w:tc>
        <w:tc>
          <w:tcPr>
            <w:tcW w:w="7228" w:type="dxa"/>
            <w:tcBorders/>
            <w:vAlign w:val="center"/>
          </w:tcPr>
          <w:p>
            <w:pPr>
              <w:pStyle w:val="Normal"/>
              <w:spacing w:before="0" w:after="160"/>
              <w:rPr>
                <w:b/>
                <w:bCs/>
              </w:rPr>
            </w:pPr>
            <w:r>
              <w:rPr>
                <w:b/>
                <w:bCs/>
              </w:rPr>
              <w:t>Meaning</w:t>
            </w:r>
          </w:p>
        </w:tc>
      </w:tr>
      <w:tr>
        <w:trPr/>
        <w:tc>
          <w:tcPr>
            <w:tcW w:w="1797" w:type="dxa"/>
            <w:tcBorders/>
            <w:vAlign w:val="center"/>
          </w:tcPr>
          <w:p>
            <w:pPr>
              <w:pStyle w:val="Normal"/>
              <w:widowControl/>
              <w:suppressAutoHyphens w:val="true"/>
              <w:bidi w:val="0"/>
              <w:spacing w:lineRule="auto" w:line="259" w:before="0" w:after="160"/>
              <w:jc w:val="left"/>
              <w:rPr/>
            </w:pPr>
            <w:r>
              <w:rPr/>
              <w:t>R – Responsible</w:t>
            </w:r>
          </w:p>
        </w:tc>
        <w:tc>
          <w:tcPr>
            <w:tcW w:w="7228" w:type="dxa"/>
            <w:tcBorders/>
            <w:vAlign w:val="center"/>
          </w:tcPr>
          <w:p>
            <w:pPr>
              <w:pStyle w:val="Normal"/>
              <w:widowControl/>
              <w:suppressAutoHyphens w:val="true"/>
              <w:bidi w:val="0"/>
              <w:spacing w:lineRule="auto" w:line="259" w:before="0" w:after="160"/>
              <w:jc w:val="left"/>
              <w:rPr/>
            </w:pPr>
            <w:r>
              <w:rPr/>
              <w:t>Carries out the activity.</w:t>
            </w:r>
          </w:p>
        </w:tc>
      </w:tr>
      <w:tr>
        <w:trPr/>
        <w:tc>
          <w:tcPr>
            <w:tcW w:w="1797" w:type="dxa"/>
            <w:tcBorders/>
            <w:vAlign w:val="center"/>
          </w:tcPr>
          <w:p>
            <w:pPr>
              <w:pStyle w:val="Normal"/>
              <w:widowControl/>
              <w:suppressAutoHyphens w:val="true"/>
              <w:bidi w:val="0"/>
              <w:spacing w:lineRule="auto" w:line="259" w:before="0" w:after="160"/>
              <w:jc w:val="left"/>
              <w:rPr/>
            </w:pPr>
            <w:r>
              <w:rPr/>
              <w:t>A – Accountable</w:t>
            </w:r>
          </w:p>
        </w:tc>
        <w:tc>
          <w:tcPr>
            <w:tcW w:w="7228" w:type="dxa"/>
            <w:tcBorders/>
            <w:vAlign w:val="center"/>
          </w:tcPr>
          <w:p>
            <w:pPr>
              <w:pStyle w:val="Normal"/>
              <w:widowControl/>
              <w:suppressAutoHyphens w:val="true"/>
              <w:bidi w:val="0"/>
              <w:spacing w:lineRule="auto" w:line="259" w:before="0" w:after="160"/>
              <w:jc w:val="left"/>
              <w:rPr/>
            </w:pPr>
            <w:r>
              <w:rPr/>
              <w:t>Has final accountability and approval authority.</w:t>
            </w:r>
          </w:p>
        </w:tc>
      </w:tr>
      <w:tr>
        <w:trPr/>
        <w:tc>
          <w:tcPr>
            <w:tcW w:w="1797" w:type="dxa"/>
            <w:tcBorders/>
            <w:vAlign w:val="center"/>
          </w:tcPr>
          <w:p>
            <w:pPr>
              <w:pStyle w:val="Normal"/>
              <w:widowControl/>
              <w:suppressAutoHyphens w:val="true"/>
              <w:bidi w:val="0"/>
              <w:spacing w:lineRule="auto" w:line="259" w:before="0" w:after="160"/>
              <w:jc w:val="left"/>
              <w:rPr/>
            </w:pPr>
            <w:r>
              <w:rPr/>
              <w:t>C – Consulted</w:t>
            </w:r>
          </w:p>
        </w:tc>
        <w:tc>
          <w:tcPr>
            <w:tcW w:w="7228" w:type="dxa"/>
            <w:tcBorders/>
            <w:vAlign w:val="center"/>
          </w:tcPr>
          <w:p>
            <w:pPr>
              <w:pStyle w:val="Normal"/>
              <w:widowControl/>
              <w:suppressAutoHyphens w:val="true"/>
              <w:bidi w:val="0"/>
              <w:spacing w:lineRule="auto" w:line="259" w:before="0" w:after="160"/>
              <w:jc w:val="left"/>
              <w:rPr/>
            </w:pPr>
            <w:r>
              <w:rPr/>
              <w:t>Provides specialist input or advice.</w:t>
            </w:r>
          </w:p>
        </w:tc>
      </w:tr>
      <w:tr>
        <w:trPr/>
        <w:tc>
          <w:tcPr>
            <w:tcW w:w="1797" w:type="dxa"/>
            <w:tcBorders/>
            <w:vAlign w:val="center"/>
          </w:tcPr>
          <w:p>
            <w:pPr>
              <w:pStyle w:val="Normal"/>
              <w:widowControl/>
              <w:suppressAutoHyphens w:val="true"/>
              <w:bidi w:val="0"/>
              <w:spacing w:lineRule="auto" w:line="259" w:before="0" w:after="160"/>
              <w:jc w:val="left"/>
              <w:rPr/>
            </w:pPr>
            <w:r>
              <w:rPr/>
              <w:t>I – Informed</w:t>
            </w:r>
          </w:p>
        </w:tc>
        <w:tc>
          <w:tcPr>
            <w:tcW w:w="7228" w:type="dxa"/>
            <w:tcBorders/>
            <w:vAlign w:val="center"/>
          </w:tcPr>
          <w:p>
            <w:pPr>
              <w:pStyle w:val="Normal"/>
              <w:widowControl/>
              <w:suppressAutoHyphens w:val="true"/>
              <w:bidi w:val="0"/>
              <w:spacing w:lineRule="auto" w:line="259" w:before="0" w:after="160"/>
              <w:jc w:val="left"/>
              <w:rPr/>
            </w:pPr>
            <w:r>
              <w:rPr/>
              <w:t>Kept updated on progress or outcomes.</w:t>
            </w:r>
          </w:p>
        </w:tc>
      </w:tr>
    </w:tbl>
    <w:p>
      <w:pPr>
        <w:pStyle w:val="Normal"/>
        <w:rPr/>
      </w:pPr>
      <w:r>
        <w:rPr/>
      </w:r>
    </w:p>
    <w:p>
      <w:pPr>
        <w:pStyle w:val="Heading2"/>
        <w:rPr>
          <w:b/>
          <w:bCs/>
        </w:rPr>
      </w:pPr>
      <w:bookmarkStart w:id="103" w:name="__RefHeading___Toc2849_1410408564"/>
      <w:bookmarkStart w:id="104" w:name="_Toc238761848"/>
      <w:bookmarkEnd w:id="103"/>
      <w:r>
        <w:rPr>
          <w:b/>
          <w:bCs/>
        </w:rPr>
        <w:t>Appendix 8 – Communication Plan</w:t>
      </w:r>
      <w:bookmarkEnd w:id="104"/>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1817"/>
        <w:gridCol w:w="2353"/>
        <w:gridCol w:w="2149"/>
        <w:gridCol w:w="1863"/>
        <w:gridCol w:w="844"/>
      </w:tblGrid>
      <w:tr>
        <w:trPr>
          <w:tblHeader w:val="true"/>
        </w:trPr>
        <w:tc>
          <w:tcPr>
            <w:tcW w:w="1817" w:type="dxa"/>
            <w:tcBorders/>
            <w:vAlign w:val="center"/>
          </w:tcPr>
          <w:p>
            <w:pPr>
              <w:pStyle w:val="Normal"/>
              <w:spacing w:before="0" w:after="160"/>
              <w:rPr>
                <w:b/>
                <w:bCs/>
              </w:rPr>
            </w:pPr>
            <w:r>
              <w:rPr>
                <w:b/>
                <w:bCs/>
              </w:rPr>
              <w:t>Stakeholder</w:t>
            </w:r>
          </w:p>
        </w:tc>
        <w:tc>
          <w:tcPr>
            <w:tcW w:w="2353" w:type="dxa"/>
            <w:tcBorders/>
            <w:vAlign w:val="center"/>
          </w:tcPr>
          <w:p>
            <w:pPr>
              <w:pStyle w:val="Normal"/>
              <w:spacing w:before="0" w:after="160"/>
              <w:rPr>
                <w:b/>
                <w:bCs/>
              </w:rPr>
            </w:pPr>
            <w:r>
              <w:rPr>
                <w:b/>
                <w:bCs/>
              </w:rPr>
              <w:t>Information Required</w:t>
            </w:r>
          </w:p>
        </w:tc>
        <w:tc>
          <w:tcPr>
            <w:tcW w:w="2149" w:type="dxa"/>
            <w:tcBorders/>
            <w:vAlign w:val="center"/>
          </w:tcPr>
          <w:p>
            <w:pPr>
              <w:pStyle w:val="Normal"/>
              <w:spacing w:before="0" w:after="160"/>
              <w:rPr>
                <w:b/>
                <w:bCs/>
              </w:rPr>
            </w:pPr>
            <w:r>
              <w:rPr>
                <w:b/>
                <w:bCs/>
              </w:rPr>
              <w:t>Communication Method</w:t>
            </w:r>
          </w:p>
        </w:tc>
        <w:tc>
          <w:tcPr>
            <w:tcW w:w="1863" w:type="dxa"/>
            <w:tcBorders/>
            <w:vAlign w:val="center"/>
          </w:tcPr>
          <w:p>
            <w:pPr>
              <w:pStyle w:val="Normal"/>
              <w:spacing w:before="0" w:after="160"/>
              <w:rPr>
                <w:b/>
                <w:bCs/>
              </w:rPr>
            </w:pPr>
            <w:r>
              <w:rPr>
                <w:b/>
                <w:bCs/>
              </w:rPr>
              <w:t>Frequency / Timing</w:t>
            </w:r>
          </w:p>
        </w:tc>
        <w:tc>
          <w:tcPr>
            <w:tcW w:w="844" w:type="dxa"/>
            <w:tcBorders/>
            <w:vAlign w:val="center"/>
          </w:tcPr>
          <w:p>
            <w:pPr>
              <w:pStyle w:val="Normal"/>
              <w:spacing w:before="0" w:after="160"/>
              <w:rPr>
                <w:b/>
                <w:bCs/>
              </w:rPr>
            </w:pPr>
            <w:r>
              <w:rPr>
                <w:b/>
                <w:bCs/>
              </w:rPr>
              <w:t>Owner</w:t>
            </w:r>
          </w:p>
        </w:tc>
      </w:tr>
      <w:tr>
        <w:trPr/>
        <w:tc>
          <w:tcPr>
            <w:tcW w:w="1817" w:type="dxa"/>
            <w:tcBorders/>
            <w:vAlign w:val="center"/>
          </w:tcPr>
          <w:p>
            <w:pPr>
              <w:pStyle w:val="Normal"/>
              <w:widowControl/>
              <w:suppressAutoHyphens w:val="true"/>
              <w:bidi w:val="0"/>
              <w:spacing w:lineRule="auto" w:line="259" w:before="0" w:after="160"/>
              <w:jc w:val="left"/>
              <w:rPr/>
            </w:pPr>
            <w:r>
              <w:rPr>
                <w:b/>
                <w:bCs/>
              </w:rPr>
              <w:t>Daniela – Project Sponsor</w:t>
            </w:r>
          </w:p>
        </w:tc>
        <w:tc>
          <w:tcPr>
            <w:tcW w:w="2353" w:type="dxa"/>
            <w:tcBorders/>
            <w:vAlign w:val="center"/>
          </w:tcPr>
          <w:p>
            <w:pPr>
              <w:pStyle w:val="Normal"/>
              <w:widowControl/>
              <w:suppressAutoHyphens w:val="true"/>
              <w:bidi w:val="0"/>
              <w:spacing w:lineRule="auto" w:line="259" w:before="0" w:after="160"/>
              <w:jc w:val="left"/>
              <w:rPr/>
            </w:pPr>
            <w:r>
              <w:rPr/>
              <w:t>Project progress, milestones, major risks, significant changes and decisions requiring approval.</w:t>
            </w:r>
          </w:p>
        </w:tc>
        <w:tc>
          <w:tcPr>
            <w:tcW w:w="2149" w:type="dxa"/>
            <w:tcBorders/>
            <w:vAlign w:val="center"/>
          </w:tcPr>
          <w:p>
            <w:pPr>
              <w:pStyle w:val="Normal"/>
              <w:widowControl/>
              <w:suppressAutoHyphens w:val="true"/>
              <w:bidi w:val="0"/>
              <w:spacing w:lineRule="auto" w:line="259" w:before="0" w:after="160"/>
              <w:jc w:val="left"/>
              <w:rPr/>
            </w:pPr>
            <w:r>
              <w:rPr/>
              <w:t>Weekly progress update, email and direct discussion where required.</w:t>
            </w:r>
          </w:p>
        </w:tc>
        <w:tc>
          <w:tcPr>
            <w:tcW w:w="1863" w:type="dxa"/>
            <w:tcBorders/>
            <w:vAlign w:val="center"/>
          </w:tcPr>
          <w:p>
            <w:pPr>
              <w:pStyle w:val="Normal"/>
              <w:widowControl/>
              <w:suppressAutoHyphens w:val="true"/>
              <w:bidi w:val="0"/>
              <w:spacing w:lineRule="auto" w:line="259" w:before="0" w:after="160"/>
              <w:jc w:val="left"/>
              <w:rPr/>
            </w:pPr>
            <w:r>
              <w:rPr/>
              <w:t>Weekly and immediately for significant issues.</w:t>
            </w:r>
          </w:p>
        </w:tc>
        <w:tc>
          <w:tcPr>
            <w:tcW w:w="844" w:type="dxa"/>
            <w:tcBorders/>
            <w:vAlign w:val="center"/>
          </w:tcPr>
          <w:p>
            <w:pPr>
              <w:pStyle w:val="Normal"/>
              <w:widowControl/>
              <w:suppressAutoHyphens w:val="true"/>
              <w:bidi w:val="0"/>
              <w:spacing w:lineRule="auto" w:line="259" w:before="0" w:after="160"/>
              <w:jc w:val="left"/>
              <w:rPr/>
            </w:pPr>
            <w:r>
              <w:rPr/>
              <w:t>Florin</w:t>
            </w:r>
          </w:p>
        </w:tc>
      </w:tr>
      <w:tr>
        <w:trPr/>
        <w:tc>
          <w:tcPr>
            <w:tcW w:w="1817" w:type="dxa"/>
            <w:tcBorders/>
            <w:vAlign w:val="center"/>
          </w:tcPr>
          <w:p>
            <w:pPr>
              <w:pStyle w:val="Normal"/>
              <w:widowControl/>
              <w:suppressAutoHyphens w:val="true"/>
              <w:bidi w:val="0"/>
              <w:spacing w:lineRule="auto" w:line="259" w:before="0" w:after="160"/>
              <w:jc w:val="left"/>
              <w:rPr/>
            </w:pPr>
            <w:r>
              <w:rPr>
                <w:b/>
                <w:bCs/>
              </w:rPr>
              <w:t>Florin – Project Manager</w:t>
            </w:r>
          </w:p>
        </w:tc>
        <w:tc>
          <w:tcPr>
            <w:tcW w:w="2353" w:type="dxa"/>
            <w:tcBorders/>
            <w:vAlign w:val="center"/>
          </w:tcPr>
          <w:p>
            <w:pPr>
              <w:pStyle w:val="Normal"/>
              <w:widowControl/>
              <w:suppressAutoHyphens w:val="true"/>
              <w:bidi w:val="0"/>
              <w:spacing w:lineRule="auto" w:line="259" w:before="0" w:after="160"/>
              <w:jc w:val="left"/>
              <w:rPr/>
            </w:pPr>
            <w:r>
              <w:rPr/>
              <w:t>Updates from all workstreams, task progress, risks, issues and changes.</w:t>
            </w:r>
          </w:p>
        </w:tc>
        <w:tc>
          <w:tcPr>
            <w:tcW w:w="2149" w:type="dxa"/>
            <w:tcBorders/>
            <w:vAlign w:val="center"/>
          </w:tcPr>
          <w:p>
            <w:pPr>
              <w:pStyle w:val="Normal"/>
              <w:widowControl/>
              <w:suppressAutoHyphens w:val="true"/>
              <w:bidi w:val="0"/>
              <w:spacing w:lineRule="auto" w:line="259" w:before="0" w:after="160"/>
              <w:jc w:val="left"/>
              <w:rPr/>
            </w:pPr>
            <w:r>
              <w:rPr/>
              <w:t>Team meetings, email and project documentation.</w:t>
            </w:r>
          </w:p>
        </w:tc>
        <w:tc>
          <w:tcPr>
            <w:tcW w:w="1863" w:type="dxa"/>
            <w:tcBorders/>
            <w:vAlign w:val="center"/>
          </w:tcPr>
          <w:p>
            <w:pPr>
              <w:pStyle w:val="Normal"/>
              <w:widowControl/>
              <w:suppressAutoHyphens w:val="true"/>
              <w:bidi w:val="0"/>
              <w:spacing w:lineRule="auto" w:line="259" w:before="0" w:after="160"/>
              <w:jc w:val="left"/>
              <w:rPr/>
            </w:pPr>
            <w:r>
              <w:rPr/>
              <w:t>Weekly and as required.</w:t>
            </w:r>
          </w:p>
        </w:tc>
        <w:tc>
          <w:tcPr>
            <w:tcW w:w="844" w:type="dxa"/>
            <w:tcBorders/>
            <w:vAlign w:val="center"/>
          </w:tcPr>
          <w:p>
            <w:pPr>
              <w:pStyle w:val="Normal"/>
              <w:widowControl/>
              <w:suppressAutoHyphens w:val="true"/>
              <w:bidi w:val="0"/>
              <w:spacing w:lineRule="auto" w:line="259" w:before="0" w:after="160"/>
              <w:jc w:val="left"/>
              <w:rPr/>
            </w:pPr>
            <w:r>
              <w:rPr/>
              <w:t>Florin</w:t>
            </w:r>
          </w:p>
        </w:tc>
      </w:tr>
      <w:tr>
        <w:trPr/>
        <w:tc>
          <w:tcPr>
            <w:tcW w:w="1817" w:type="dxa"/>
            <w:tcBorders/>
            <w:vAlign w:val="center"/>
          </w:tcPr>
          <w:p>
            <w:pPr>
              <w:pStyle w:val="Normal"/>
              <w:widowControl/>
              <w:suppressAutoHyphens w:val="true"/>
              <w:bidi w:val="0"/>
              <w:spacing w:lineRule="auto" w:line="259" w:before="0" w:after="160"/>
              <w:jc w:val="left"/>
              <w:rPr/>
            </w:pPr>
            <w:r>
              <w:rPr>
                <w:b/>
                <w:bCs/>
              </w:rPr>
              <w:t>Camelia – Financial Adviser</w:t>
            </w:r>
          </w:p>
        </w:tc>
        <w:tc>
          <w:tcPr>
            <w:tcW w:w="2353" w:type="dxa"/>
            <w:tcBorders/>
            <w:vAlign w:val="center"/>
          </w:tcPr>
          <w:p>
            <w:pPr>
              <w:pStyle w:val="Normal"/>
              <w:widowControl/>
              <w:suppressAutoHyphens w:val="true"/>
              <w:bidi w:val="0"/>
              <w:spacing w:lineRule="auto" w:line="259" w:before="0" w:after="160"/>
              <w:jc w:val="left"/>
              <w:rPr/>
            </w:pPr>
            <w:r>
              <w:rPr/>
              <w:t>Content deadlines, project requirements, feedback and workshop arrangements.</w:t>
            </w:r>
          </w:p>
        </w:tc>
        <w:tc>
          <w:tcPr>
            <w:tcW w:w="2149" w:type="dxa"/>
            <w:tcBorders/>
            <w:vAlign w:val="center"/>
          </w:tcPr>
          <w:p>
            <w:pPr>
              <w:pStyle w:val="Normal"/>
              <w:widowControl/>
              <w:suppressAutoHyphens w:val="true"/>
              <w:bidi w:val="0"/>
              <w:spacing w:lineRule="auto" w:line="259" w:before="0" w:after="160"/>
              <w:jc w:val="left"/>
              <w:rPr/>
            </w:pPr>
            <w:r>
              <w:rPr/>
              <w:t>Team meetings, email and direct discussion.</w:t>
            </w:r>
          </w:p>
        </w:tc>
        <w:tc>
          <w:tcPr>
            <w:tcW w:w="1863" w:type="dxa"/>
            <w:tcBorders/>
            <w:vAlign w:val="center"/>
          </w:tcPr>
          <w:p>
            <w:pPr>
              <w:pStyle w:val="Normal"/>
              <w:widowControl/>
              <w:suppressAutoHyphens w:val="true"/>
              <w:bidi w:val="0"/>
              <w:spacing w:lineRule="auto" w:line="259" w:before="0" w:after="160"/>
              <w:jc w:val="left"/>
              <w:rPr/>
            </w:pPr>
            <w:r>
              <w:rPr/>
              <w:t>Weekly during content development; as required thereafter.</w:t>
            </w:r>
          </w:p>
        </w:tc>
        <w:tc>
          <w:tcPr>
            <w:tcW w:w="844" w:type="dxa"/>
            <w:tcBorders/>
            <w:vAlign w:val="center"/>
          </w:tcPr>
          <w:p>
            <w:pPr>
              <w:pStyle w:val="Normal"/>
              <w:widowControl/>
              <w:suppressAutoHyphens w:val="true"/>
              <w:bidi w:val="0"/>
              <w:spacing w:lineRule="auto" w:line="259" w:before="0" w:after="160"/>
              <w:jc w:val="left"/>
              <w:rPr/>
            </w:pPr>
            <w:r>
              <w:rPr/>
              <w:t>Florin</w:t>
            </w:r>
          </w:p>
        </w:tc>
      </w:tr>
      <w:tr>
        <w:trPr/>
        <w:tc>
          <w:tcPr>
            <w:tcW w:w="1817" w:type="dxa"/>
            <w:tcBorders/>
            <w:vAlign w:val="center"/>
          </w:tcPr>
          <w:p>
            <w:pPr>
              <w:pStyle w:val="Normal"/>
              <w:widowControl/>
              <w:suppressAutoHyphens w:val="true"/>
              <w:bidi w:val="0"/>
              <w:spacing w:lineRule="auto" w:line="259" w:before="0" w:after="160"/>
              <w:jc w:val="left"/>
              <w:rPr/>
            </w:pPr>
            <w:r>
              <w:rPr>
                <w:b/>
                <w:bCs/>
              </w:rPr>
              <w:t>Sandra – Financial Adviser</w:t>
            </w:r>
          </w:p>
        </w:tc>
        <w:tc>
          <w:tcPr>
            <w:tcW w:w="2353" w:type="dxa"/>
            <w:tcBorders/>
            <w:vAlign w:val="center"/>
          </w:tcPr>
          <w:p>
            <w:pPr>
              <w:pStyle w:val="Normal"/>
              <w:widowControl/>
              <w:suppressAutoHyphens w:val="true"/>
              <w:bidi w:val="0"/>
              <w:spacing w:lineRule="auto" w:line="259" w:before="0" w:after="160"/>
              <w:jc w:val="left"/>
              <w:rPr/>
            </w:pPr>
            <w:r>
              <w:rPr/>
              <w:t>Content deadlines, project requirements, feedback and workshop arrangements.</w:t>
            </w:r>
          </w:p>
        </w:tc>
        <w:tc>
          <w:tcPr>
            <w:tcW w:w="2149" w:type="dxa"/>
            <w:tcBorders/>
            <w:vAlign w:val="center"/>
          </w:tcPr>
          <w:p>
            <w:pPr>
              <w:pStyle w:val="Normal"/>
              <w:widowControl/>
              <w:suppressAutoHyphens w:val="true"/>
              <w:bidi w:val="0"/>
              <w:spacing w:lineRule="auto" w:line="259" w:before="0" w:after="160"/>
              <w:jc w:val="left"/>
              <w:rPr/>
            </w:pPr>
            <w:r>
              <w:rPr/>
              <w:t>Team meetings, email and direct discussion.</w:t>
            </w:r>
          </w:p>
        </w:tc>
        <w:tc>
          <w:tcPr>
            <w:tcW w:w="1863" w:type="dxa"/>
            <w:tcBorders/>
            <w:vAlign w:val="center"/>
          </w:tcPr>
          <w:p>
            <w:pPr>
              <w:pStyle w:val="Normal"/>
              <w:widowControl/>
              <w:suppressAutoHyphens w:val="true"/>
              <w:bidi w:val="0"/>
              <w:spacing w:lineRule="auto" w:line="259" w:before="0" w:after="160"/>
              <w:jc w:val="left"/>
              <w:rPr/>
            </w:pPr>
            <w:r>
              <w:rPr/>
              <w:t>Weekly during content development; as required thereafter.</w:t>
            </w:r>
          </w:p>
        </w:tc>
        <w:tc>
          <w:tcPr>
            <w:tcW w:w="844" w:type="dxa"/>
            <w:tcBorders/>
            <w:vAlign w:val="center"/>
          </w:tcPr>
          <w:p>
            <w:pPr>
              <w:pStyle w:val="Normal"/>
              <w:widowControl/>
              <w:suppressAutoHyphens w:val="true"/>
              <w:bidi w:val="0"/>
              <w:spacing w:lineRule="auto" w:line="259" w:before="0" w:after="160"/>
              <w:jc w:val="left"/>
              <w:rPr/>
            </w:pPr>
            <w:r>
              <w:rPr/>
              <w:t>Florin</w:t>
            </w:r>
          </w:p>
        </w:tc>
      </w:tr>
      <w:tr>
        <w:trPr/>
        <w:tc>
          <w:tcPr>
            <w:tcW w:w="1817" w:type="dxa"/>
            <w:tcBorders/>
            <w:vAlign w:val="center"/>
          </w:tcPr>
          <w:p>
            <w:pPr>
              <w:pStyle w:val="Normal"/>
              <w:widowControl/>
              <w:suppressAutoHyphens w:val="true"/>
              <w:bidi w:val="0"/>
              <w:spacing w:lineRule="auto" w:line="259" w:before="0" w:after="160"/>
              <w:jc w:val="left"/>
              <w:rPr/>
            </w:pPr>
            <w:r>
              <w:rPr>
                <w:b/>
                <w:bCs/>
              </w:rPr>
              <w:t>Potential Workshop Attendees</w:t>
            </w:r>
          </w:p>
        </w:tc>
        <w:tc>
          <w:tcPr>
            <w:tcW w:w="2353" w:type="dxa"/>
            <w:tcBorders/>
            <w:vAlign w:val="center"/>
          </w:tcPr>
          <w:p>
            <w:pPr>
              <w:pStyle w:val="Normal"/>
              <w:widowControl/>
              <w:suppressAutoHyphens w:val="true"/>
              <w:bidi w:val="0"/>
              <w:spacing w:lineRule="auto" w:line="259" w:before="0" w:after="160"/>
              <w:jc w:val="left"/>
              <w:rPr/>
            </w:pPr>
            <w:r>
              <w:rPr/>
              <w:t>Workshop date, location, purpose, practical information, reminders and feedback arrangements.</w:t>
            </w:r>
          </w:p>
        </w:tc>
        <w:tc>
          <w:tcPr>
            <w:tcW w:w="2149" w:type="dxa"/>
            <w:tcBorders/>
            <w:vAlign w:val="center"/>
          </w:tcPr>
          <w:p>
            <w:pPr>
              <w:pStyle w:val="Normal"/>
              <w:widowControl/>
              <w:suppressAutoHyphens w:val="true"/>
              <w:bidi w:val="0"/>
              <w:spacing w:lineRule="auto" w:line="259" w:before="0" w:after="160"/>
              <w:jc w:val="left"/>
              <w:rPr/>
            </w:pPr>
            <w:r>
              <w:rPr/>
              <w:t>Invitation email and reminder communication.</w:t>
            </w:r>
          </w:p>
        </w:tc>
        <w:tc>
          <w:tcPr>
            <w:tcW w:w="1863" w:type="dxa"/>
            <w:tcBorders/>
            <w:vAlign w:val="center"/>
          </w:tcPr>
          <w:p>
            <w:pPr>
              <w:pStyle w:val="Normal"/>
              <w:widowControl/>
              <w:suppressAutoHyphens w:val="true"/>
              <w:bidi w:val="0"/>
              <w:spacing w:lineRule="auto" w:line="259" w:before="0" w:after="160"/>
              <w:jc w:val="left"/>
              <w:rPr/>
            </w:pPr>
            <w:r>
              <w:rPr/>
              <w:t>Initial invitation followed by reminders before the event.</w:t>
            </w:r>
          </w:p>
        </w:tc>
        <w:tc>
          <w:tcPr>
            <w:tcW w:w="844" w:type="dxa"/>
            <w:tcBorders/>
            <w:vAlign w:val="center"/>
          </w:tcPr>
          <w:p>
            <w:pPr>
              <w:pStyle w:val="Normal"/>
              <w:widowControl/>
              <w:suppressAutoHyphens w:val="true"/>
              <w:bidi w:val="0"/>
              <w:spacing w:lineRule="auto" w:line="259" w:before="0" w:after="160"/>
              <w:jc w:val="left"/>
              <w:rPr/>
            </w:pPr>
            <w:r>
              <w:rPr/>
              <w:t>Florin</w:t>
            </w:r>
          </w:p>
        </w:tc>
      </w:tr>
      <w:tr>
        <w:trPr/>
        <w:tc>
          <w:tcPr>
            <w:tcW w:w="1817" w:type="dxa"/>
            <w:tcBorders/>
            <w:vAlign w:val="center"/>
          </w:tcPr>
          <w:p>
            <w:pPr>
              <w:pStyle w:val="Normal"/>
              <w:widowControl/>
              <w:suppressAutoHyphens w:val="true"/>
              <w:bidi w:val="0"/>
              <w:spacing w:lineRule="auto" w:line="259" w:before="0" w:after="160"/>
              <w:jc w:val="left"/>
              <w:rPr/>
            </w:pPr>
            <w:r>
              <w:rPr>
                <w:b/>
                <w:bCs/>
              </w:rPr>
              <w:t>OWL Financial Management / Compliance Stakeholders</w:t>
            </w:r>
          </w:p>
        </w:tc>
        <w:tc>
          <w:tcPr>
            <w:tcW w:w="2353" w:type="dxa"/>
            <w:tcBorders/>
            <w:vAlign w:val="center"/>
          </w:tcPr>
          <w:p>
            <w:pPr>
              <w:pStyle w:val="Normal"/>
              <w:widowControl/>
              <w:suppressAutoHyphens w:val="true"/>
              <w:bidi w:val="0"/>
              <w:spacing w:lineRule="auto" w:line="259" w:before="0" w:after="160"/>
              <w:jc w:val="left"/>
              <w:rPr/>
            </w:pPr>
            <w:r>
              <w:rPr/>
              <w:t>Relevant project information, compliance matters and significant decisions where appropriate.</w:t>
            </w:r>
          </w:p>
        </w:tc>
        <w:tc>
          <w:tcPr>
            <w:tcW w:w="2149" w:type="dxa"/>
            <w:tcBorders/>
            <w:vAlign w:val="center"/>
          </w:tcPr>
          <w:p>
            <w:pPr>
              <w:pStyle w:val="Normal"/>
              <w:widowControl/>
              <w:suppressAutoHyphens w:val="true"/>
              <w:bidi w:val="0"/>
              <w:spacing w:lineRule="auto" w:line="259" w:before="0" w:after="160"/>
              <w:jc w:val="left"/>
              <w:rPr/>
            </w:pPr>
            <w:r>
              <w:rPr/>
              <w:t>Email, formal documentation and escalation.</w:t>
            </w:r>
          </w:p>
        </w:tc>
        <w:tc>
          <w:tcPr>
            <w:tcW w:w="1863" w:type="dxa"/>
            <w:tcBorders/>
            <w:vAlign w:val="center"/>
          </w:tcPr>
          <w:p>
            <w:pPr>
              <w:pStyle w:val="Normal"/>
              <w:widowControl/>
              <w:suppressAutoHyphens w:val="true"/>
              <w:bidi w:val="0"/>
              <w:spacing w:lineRule="auto" w:line="259" w:before="0" w:after="160"/>
              <w:jc w:val="left"/>
              <w:rPr/>
            </w:pPr>
            <w:r>
              <w:rPr/>
              <w:t>At key approval points or when required.</w:t>
            </w:r>
          </w:p>
        </w:tc>
        <w:tc>
          <w:tcPr>
            <w:tcW w:w="844" w:type="dxa"/>
            <w:tcBorders/>
            <w:vAlign w:val="center"/>
          </w:tcPr>
          <w:p>
            <w:pPr>
              <w:pStyle w:val="Normal"/>
              <w:widowControl/>
              <w:suppressAutoHyphens w:val="true"/>
              <w:bidi w:val="0"/>
              <w:spacing w:lineRule="auto" w:line="259" w:before="0" w:after="160"/>
              <w:jc w:val="left"/>
              <w:rPr/>
            </w:pPr>
            <w:r>
              <w:rPr/>
              <w:t>Florin / Daniela</w:t>
            </w:r>
          </w:p>
        </w:tc>
      </w:tr>
      <w:tr>
        <w:trPr/>
        <w:tc>
          <w:tcPr>
            <w:tcW w:w="1817" w:type="dxa"/>
            <w:tcBorders/>
            <w:vAlign w:val="center"/>
          </w:tcPr>
          <w:p>
            <w:pPr>
              <w:pStyle w:val="Normal"/>
              <w:widowControl/>
              <w:suppressAutoHyphens w:val="true"/>
              <w:bidi w:val="0"/>
              <w:spacing w:lineRule="auto" w:line="259" w:before="0" w:after="160"/>
              <w:jc w:val="left"/>
              <w:rPr/>
            </w:pPr>
            <w:r>
              <w:rPr>
                <w:b/>
                <w:bCs/>
              </w:rPr>
              <w:t>Venue Provider</w:t>
            </w:r>
          </w:p>
        </w:tc>
        <w:tc>
          <w:tcPr>
            <w:tcW w:w="2353" w:type="dxa"/>
            <w:tcBorders/>
            <w:vAlign w:val="center"/>
          </w:tcPr>
          <w:p>
            <w:pPr>
              <w:pStyle w:val="Normal"/>
              <w:widowControl/>
              <w:suppressAutoHyphens w:val="true"/>
              <w:bidi w:val="0"/>
              <w:spacing w:lineRule="auto" w:line="259" w:before="0" w:after="160"/>
              <w:jc w:val="left"/>
              <w:rPr/>
            </w:pPr>
            <w:r>
              <w:rPr/>
              <w:t>Booking requirements, attendance estimate, timing and venue arrangements.</w:t>
            </w:r>
          </w:p>
        </w:tc>
        <w:tc>
          <w:tcPr>
            <w:tcW w:w="2149" w:type="dxa"/>
            <w:tcBorders/>
            <w:vAlign w:val="center"/>
          </w:tcPr>
          <w:p>
            <w:pPr>
              <w:pStyle w:val="Normal"/>
              <w:widowControl/>
              <w:suppressAutoHyphens w:val="true"/>
              <w:bidi w:val="0"/>
              <w:spacing w:lineRule="auto" w:line="259" w:before="0" w:after="160"/>
              <w:jc w:val="left"/>
              <w:rPr/>
            </w:pPr>
            <w:r>
              <w:rPr/>
              <w:t>Email or telephone communication.</w:t>
            </w:r>
          </w:p>
        </w:tc>
        <w:tc>
          <w:tcPr>
            <w:tcW w:w="1863" w:type="dxa"/>
            <w:tcBorders/>
            <w:vAlign w:val="center"/>
          </w:tcPr>
          <w:p>
            <w:pPr>
              <w:pStyle w:val="Normal"/>
              <w:widowControl/>
              <w:suppressAutoHyphens w:val="true"/>
              <w:bidi w:val="0"/>
              <w:spacing w:lineRule="auto" w:line="259" w:before="0" w:after="160"/>
              <w:jc w:val="left"/>
              <w:rPr/>
            </w:pPr>
            <w:r>
              <w:rPr/>
              <w:t>At booking and before the workshop.</w:t>
            </w:r>
          </w:p>
        </w:tc>
        <w:tc>
          <w:tcPr>
            <w:tcW w:w="844" w:type="dxa"/>
            <w:tcBorders/>
            <w:vAlign w:val="center"/>
          </w:tcPr>
          <w:p>
            <w:pPr>
              <w:pStyle w:val="Normal"/>
              <w:widowControl/>
              <w:suppressAutoHyphens w:val="true"/>
              <w:bidi w:val="0"/>
              <w:spacing w:lineRule="auto" w:line="259" w:before="0" w:after="160"/>
              <w:jc w:val="left"/>
              <w:rPr/>
            </w:pPr>
            <w:r>
              <w:rPr/>
              <w:t>Florin</w:t>
            </w:r>
          </w:p>
        </w:tc>
      </w:tr>
      <w:tr>
        <w:trPr/>
        <w:tc>
          <w:tcPr>
            <w:tcW w:w="1817" w:type="dxa"/>
            <w:tcBorders/>
            <w:vAlign w:val="center"/>
          </w:tcPr>
          <w:p>
            <w:pPr>
              <w:pStyle w:val="Normal"/>
              <w:widowControl/>
              <w:suppressAutoHyphens w:val="true"/>
              <w:bidi w:val="0"/>
              <w:spacing w:lineRule="auto" w:line="259" w:before="0" w:after="160"/>
              <w:jc w:val="left"/>
              <w:rPr/>
            </w:pPr>
            <w:r>
              <w:rPr>
                <w:b/>
                <w:bCs/>
              </w:rPr>
              <w:t>Technology Provider / Support</w:t>
            </w:r>
          </w:p>
        </w:tc>
        <w:tc>
          <w:tcPr>
            <w:tcW w:w="2353" w:type="dxa"/>
            <w:tcBorders/>
            <w:vAlign w:val="center"/>
          </w:tcPr>
          <w:p>
            <w:pPr>
              <w:pStyle w:val="Normal"/>
              <w:widowControl/>
              <w:suppressAutoHyphens w:val="true"/>
              <w:bidi w:val="0"/>
              <w:spacing w:lineRule="auto" w:line="259" w:before="0" w:after="160"/>
              <w:jc w:val="left"/>
              <w:rPr/>
            </w:pPr>
            <w:r>
              <w:rPr/>
              <w:t>Equipment, connectivity and technical requirements.</w:t>
            </w:r>
          </w:p>
        </w:tc>
        <w:tc>
          <w:tcPr>
            <w:tcW w:w="2149" w:type="dxa"/>
            <w:tcBorders/>
            <w:vAlign w:val="center"/>
          </w:tcPr>
          <w:p>
            <w:pPr>
              <w:pStyle w:val="Normal"/>
              <w:widowControl/>
              <w:suppressAutoHyphens w:val="true"/>
              <w:bidi w:val="0"/>
              <w:spacing w:lineRule="auto" w:line="259" w:before="0" w:after="160"/>
              <w:jc w:val="left"/>
              <w:rPr/>
            </w:pPr>
            <w:r>
              <w:rPr/>
              <w:t>Email or direct communication.</w:t>
            </w:r>
          </w:p>
        </w:tc>
        <w:tc>
          <w:tcPr>
            <w:tcW w:w="1863" w:type="dxa"/>
            <w:tcBorders/>
            <w:vAlign w:val="center"/>
          </w:tcPr>
          <w:p>
            <w:pPr>
              <w:pStyle w:val="Normal"/>
              <w:widowControl/>
              <w:suppressAutoHyphens w:val="true"/>
              <w:bidi w:val="0"/>
              <w:spacing w:lineRule="auto" w:line="259" w:before="0" w:after="160"/>
              <w:jc w:val="left"/>
              <w:rPr/>
            </w:pPr>
            <w:r>
              <w:rPr/>
              <w:t>During planning and final technical checks.</w:t>
            </w:r>
          </w:p>
        </w:tc>
        <w:tc>
          <w:tcPr>
            <w:tcW w:w="844" w:type="dxa"/>
            <w:tcBorders/>
            <w:vAlign w:val="center"/>
          </w:tcPr>
          <w:p>
            <w:pPr>
              <w:pStyle w:val="Normal"/>
              <w:widowControl/>
              <w:suppressAutoHyphens w:val="true"/>
              <w:bidi w:val="0"/>
              <w:spacing w:lineRule="auto" w:line="259" w:before="0" w:after="160"/>
              <w:jc w:val="left"/>
              <w:rPr/>
            </w:pPr>
            <w:r>
              <w:rPr/>
              <w:t>Florin</w:t>
            </w:r>
          </w:p>
        </w:tc>
      </w:tr>
    </w:tbl>
    <w:p>
      <w:pPr>
        <w:pStyle w:val="Normal"/>
        <w:rPr/>
      </w:pPr>
      <w:r>
        <w:rPr/>
      </w:r>
    </w:p>
    <w:p>
      <w:pPr>
        <w:pStyle w:val="Heading2"/>
        <w:rPr>
          <w:b/>
          <w:bCs/>
        </w:rPr>
      </w:pPr>
      <w:bookmarkStart w:id="105" w:name="__RefHeading___Toc2851_1410408564"/>
      <w:bookmarkStart w:id="106" w:name="_Toc238761849"/>
      <w:bookmarkEnd w:id="105"/>
      <w:r>
        <w:rPr>
          <w:b/>
          <w:bCs/>
        </w:rPr>
        <w:t>Appendix 9 – Change Request / Change Log</w:t>
      </w:r>
      <w:bookmarkEnd w:id="106"/>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639"/>
        <w:gridCol w:w="489"/>
        <w:gridCol w:w="1012"/>
        <w:gridCol w:w="982"/>
        <w:gridCol w:w="1152"/>
        <w:gridCol w:w="591"/>
        <w:gridCol w:w="1215"/>
        <w:gridCol w:w="1194"/>
        <w:gridCol w:w="927"/>
        <w:gridCol w:w="824"/>
      </w:tblGrid>
      <w:tr>
        <w:trPr>
          <w:tblHeader w:val="true"/>
        </w:trPr>
        <w:tc>
          <w:tcPr>
            <w:tcW w:w="639" w:type="dxa"/>
            <w:tcBorders/>
            <w:vAlign w:val="center"/>
          </w:tcPr>
          <w:p>
            <w:pPr>
              <w:pStyle w:val="Normal"/>
              <w:spacing w:before="0" w:after="160"/>
              <w:rPr>
                <w:b/>
                <w:bCs/>
              </w:rPr>
            </w:pPr>
            <w:r>
              <w:rPr>
                <w:b/>
                <w:bCs/>
              </w:rPr>
              <w:t>Change ID</w:t>
            </w:r>
          </w:p>
        </w:tc>
        <w:tc>
          <w:tcPr>
            <w:tcW w:w="489" w:type="dxa"/>
            <w:tcBorders/>
            <w:vAlign w:val="center"/>
          </w:tcPr>
          <w:p>
            <w:pPr>
              <w:pStyle w:val="Normal"/>
              <w:spacing w:before="0" w:after="160"/>
              <w:rPr>
                <w:b/>
                <w:bCs/>
              </w:rPr>
            </w:pPr>
            <w:r>
              <w:rPr>
                <w:b/>
                <w:bCs/>
              </w:rPr>
              <w:t>Date</w:t>
            </w:r>
          </w:p>
        </w:tc>
        <w:tc>
          <w:tcPr>
            <w:tcW w:w="1012" w:type="dxa"/>
            <w:tcBorders/>
            <w:vAlign w:val="center"/>
          </w:tcPr>
          <w:p>
            <w:pPr>
              <w:pStyle w:val="Normal"/>
              <w:spacing w:before="0" w:after="160"/>
              <w:rPr>
                <w:b/>
                <w:bCs/>
              </w:rPr>
            </w:pPr>
            <w:r>
              <w:rPr>
                <w:b/>
                <w:bCs/>
              </w:rPr>
              <w:t>Requested Change</w:t>
            </w:r>
          </w:p>
        </w:tc>
        <w:tc>
          <w:tcPr>
            <w:tcW w:w="982" w:type="dxa"/>
            <w:tcBorders/>
            <w:vAlign w:val="center"/>
          </w:tcPr>
          <w:p>
            <w:pPr>
              <w:pStyle w:val="Normal"/>
              <w:spacing w:before="0" w:after="160"/>
              <w:rPr>
                <w:b/>
                <w:bCs/>
              </w:rPr>
            </w:pPr>
            <w:r>
              <w:rPr>
                <w:b/>
                <w:bCs/>
              </w:rPr>
              <w:t>Reason for Change</w:t>
            </w:r>
          </w:p>
        </w:tc>
        <w:tc>
          <w:tcPr>
            <w:tcW w:w="1152" w:type="dxa"/>
            <w:tcBorders/>
            <w:vAlign w:val="center"/>
          </w:tcPr>
          <w:p>
            <w:pPr>
              <w:pStyle w:val="Normal"/>
              <w:spacing w:before="0" w:after="160"/>
              <w:rPr>
                <w:b/>
                <w:bCs/>
              </w:rPr>
            </w:pPr>
            <w:r>
              <w:rPr>
                <w:b/>
                <w:bCs/>
              </w:rPr>
              <w:t>Scope Impact</w:t>
            </w:r>
          </w:p>
        </w:tc>
        <w:tc>
          <w:tcPr>
            <w:tcW w:w="591" w:type="dxa"/>
            <w:tcBorders/>
            <w:vAlign w:val="center"/>
          </w:tcPr>
          <w:p>
            <w:pPr>
              <w:pStyle w:val="Normal"/>
              <w:spacing w:before="0" w:after="160"/>
              <w:rPr>
                <w:b/>
                <w:bCs/>
              </w:rPr>
            </w:pPr>
            <w:r>
              <w:rPr>
                <w:b/>
                <w:bCs/>
              </w:rPr>
              <w:t>Time Impact</w:t>
            </w:r>
          </w:p>
        </w:tc>
        <w:tc>
          <w:tcPr>
            <w:tcW w:w="1215" w:type="dxa"/>
            <w:tcBorders/>
            <w:vAlign w:val="center"/>
          </w:tcPr>
          <w:p>
            <w:pPr>
              <w:pStyle w:val="Normal"/>
              <w:spacing w:before="0" w:after="160"/>
              <w:rPr>
                <w:b/>
                <w:bCs/>
              </w:rPr>
            </w:pPr>
            <w:r>
              <w:rPr>
                <w:b/>
                <w:bCs/>
              </w:rPr>
              <w:t>Cost Impact</w:t>
            </w:r>
          </w:p>
        </w:tc>
        <w:tc>
          <w:tcPr>
            <w:tcW w:w="1194" w:type="dxa"/>
            <w:tcBorders/>
            <w:vAlign w:val="center"/>
          </w:tcPr>
          <w:p>
            <w:pPr>
              <w:pStyle w:val="Normal"/>
              <w:spacing w:before="0" w:after="160"/>
              <w:rPr>
                <w:b/>
                <w:bCs/>
              </w:rPr>
            </w:pPr>
            <w:r>
              <w:rPr>
                <w:b/>
                <w:bCs/>
              </w:rPr>
              <w:t>Quality / Risk Impact</w:t>
            </w:r>
          </w:p>
        </w:tc>
        <w:tc>
          <w:tcPr>
            <w:tcW w:w="927" w:type="dxa"/>
            <w:tcBorders/>
            <w:vAlign w:val="center"/>
          </w:tcPr>
          <w:p>
            <w:pPr>
              <w:pStyle w:val="Normal"/>
              <w:spacing w:before="0" w:after="160"/>
              <w:rPr>
                <w:b/>
                <w:bCs/>
              </w:rPr>
            </w:pPr>
            <w:r>
              <w:rPr>
                <w:b/>
                <w:bCs/>
              </w:rPr>
              <w:t>Decision</w:t>
            </w:r>
          </w:p>
        </w:tc>
        <w:tc>
          <w:tcPr>
            <w:tcW w:w="824" w:type="dxa"/>
            <w:tcBorders/>
            <w:vAlign w:val="center"/>
          </w:tcPr>
          <w:p>
            <w:pPr>
              <w:pStyle w:val="Normal"/>
              <w:spacing w:before="0" w:after="160"/>
              <w:rPr>
                <w:b/>
                <w:bCs/>
              </w:rPr>
            </w:pPr>
            <w:r>
              <w:rPr>
                <w:b/>
                <w:bCs/>
              </w:rPr>
              <w:t>Approved By</w:t>
            </w:r>
          </w:p>
        </w:tc>
      </w:tr>
      <w:tr>
        <w:trPr/>
        <w:tc>
          <w:tcPr>
            <w:tcW w:w="639" w:type="dxa"/>
            <w:tcBorders/>
            <w:vAlign w:val="center"/>
          </w:tcPr>
          <w:p>
            <w:pPr>
              <w:pStyle w:val="Normal"/>
              <w:widowControl/>
              <w:suppressAutoHyphens w:val="true"/>
              <w:bidi w:val="0"/>
              <w:spacing w:lineRule="auto" w:line="259" w:before="0" w:after="160"/>
              <w:jc w:val="left"/>
              <w:rPr/>
            </w:pPr>
            <w:r>
              <w:rPr/>
              <w:t>CR-001</w:t>
            </w:r>
          </w:p>
        </w:tc>
        <w:tc>
          <w:tcPr>
            <w:tcW w:w="489" w:type="dxa"/>
            <w:tcBorders/>
            <w:vAlign w:val="center"/>
          </w:tcPr>
          <w:p>
            <w:pPr>
              <w:pStyle w:val="Normal"/>
              <w:widowControl/>
              <w:suppressAutoHyphens w:val="true"/>
              <w:bidi w:val="0"/>
              <w:spacing w:lineRule="auto" w:line="259" w:before="0" w:after="160"/>
              <w:jc w:val="left"/>
              <w:rPr/>
            </w:pPr>
            <w:r>
              <w:rPr/>
              <w:t>Week 3</w:t>
            </w:r>
          </w:p>
        </w:tc>
        <w:tc>
          <w:tcPr>
            <w:tcW w:w="1012" w:type="dxa"/>
            <w:tcBorders/>
            <w:vAlign w:val="center"/>
          </w:tcPr>
          <w:p>
            <w:pPr>
              <w:pStyle w:val="Normal"/>
              <w:widowControl/>
              <w:suppressAutoHyphens w:val="true"/>
              <w:bidi w:val="0"/>
              <w:spacing w:lineRule="auto" w:line="259" w:before="0" w:after="160"/>
              <w:jc w:val="left"/>
              <w:rPr/>
            </w:pPr>
            <w:r>
              <w:rPr/>
              <w:t>Increase target workshop capacity from 20 to 25 participants.</w:t>
            </w:r>
          </w:p>
        </w:tc>
        <w:tc>
          <w:tcPr>
            <w:tcW w:w="982" w:type="dxa"/>
            <w:tcBorders/>
            <w:vAlign w:val="center"/>
          </w:tcPr>
          <w:p>
            <w:pPr>
              <w:pStyle w:val="Normal"/>
              <w:widowControl/>
              <w:suppressAutoHyphens w:val="true"/>
              <w:bidi w:val="0"/>
              <w:spacing w:lineRule="auto" w:line="259" w:before="0" w:after="160"/>
              <w:jc w:val="left"/>
              <w:rPr/>
            </w:pPr>
            <w:r>
              <w:rPr/>
              <w:t>Higher-than-expected interest following initial invitations.</w:t>
            </w:r>
          </w:p>
        </w:tc>
        <w:tc>
          <w:tcPr>
            <w:tcW w:w="1152" w:type="dxa"/>
            <w:tcBorders/>
            <w:vAlign w:val="center"/>
          </w:tcPr>
          <w:p>
            <w:pPr>
              <w:pStyle w:val="Normal"/>
              <w:widowControl/>
              <w:suppressAutoHyphens w:val="true"/>
              <w:bidi w:val="0"/>
              <w:spacing w:lineRule="auto" w:line="259" w:before="0" w:after="160"/>
              <w:jc w:val="left"/>
              <w:rPr/>
            </w:pPr>
            <w:r>
              <w:rPr/>
              <w:t>Minor increase in attendee administration and capacity requirements.</w:t>
            </w:r>
          </w:p>
        </w:tc>
        <w:tc>
          <w:tcPr>
            <w:tcW w:w="591" w:type="dxa"/>
            <w:tcBorders/>
            <w:vAlign w:val="center"/>
          </w:tcPr>
          <w:p>
            <w:pPr>
              <w:pStyle w:val="Normal"/>
              <w:widowControl/>
              <w:suppressAutoHyphens w:val="true"/>
              <w:bidi w:val="0"/>
              <w:spacing w:lineRule="auto" w:line="259" w:before="0" w:after="160"/>
              <w:jc w:val="left"/>
              <w:rPr/>
            </w:pPr>
            <w:r>
              <w:rPr/>
              <w:t>Low</w:t>
            </w:r>
          </w:p>
        </w:tc>
        <w:tc>
          <w:tcPr>
            <w:tcW w:w="1215" w:type="dxa"/>
            <w:tcBorders/>
            <w:vAlign w:val="center"/>
          </w:tcPr>
          <w:p>
            <w:pPr>
              <w:pStyle w:val="Normal"/>
              <w:widowControl/>
              <w:suppressAutoHyphens w:val="true"/>
              <w:bidi w:val="0"/>
              <w:spacing w:lineRule="auto" w:line="259" w:before="0" w:after="160"/>
              <w:jc w:val="left"/>
              <w:rPr/>
            </w:pPr>
            <w:r>
              <w:rPr/>
              <w:t>Potential additional venue/material costs.</w:t>
            </w:r>
          </w:p>
        </w:tc>
        <w:tc>
          <w:tcPr>
            <w:tcW w:w="1194" w:type="dxa"/>
            <w:tcBorders/>
            <w:vAlign w:val="center"/>
          </w:tcPr>
          <w:p>
            <w:pPr>
              <w:pStyle w:val="Normal"/>
              <w:widowControl/>
              <w:suppressAutoHyphens w:val="true"/>
              <w:bidi w:val="0"/>
              <w:spacing w:lineRule="auto" w:line="259" w:before="0" w:after="160"/>
              <w:jc w:val="left"/>
              <w:rPr/>
            </w:pPr>
            <w:r>
              <w:rPr/>
              <w:t>Positive opportunity but increased operational and attendance-management risk.</w:t>
            </w:r>
          </w:p>
        </w:tc>
        <w:tc>
          <w:tcPr>
            <w:tcW w:w="927" w:type="dxa"/>
            <w:tcBorders/>
            <w:vAlign w:val="center"/>
          </w:tcPr>
          <w:p>
            <w:pPr>
              <w:pStyle w:val="Normal"/>
              <w:widowControl/>
              <w:suppressAutoHyphens w:val="true"/>
              <w:bidi w:val="0"/>
              <w:spacing w:lineRule="auto" w:line="259" w:before="0" w:after="160"/>
              <w:jc w:val="left"/>
              <w:rPr/>
            </w:pPr>
            <w:r>
              <w:rPr/>
              <w:t>Pending assessment</w:t>
            </w:r>
          </w:p>
        </w:tc>
        <w:tc>
          <w:tcPr>
            <w:tcW w:w="824" w:type="dxa"/>
            <w:tcBorders/>
            <w:vAlign w:val="center"/>
          </w:tcPr>
          <w:p>
            <w:pPr>
              <w:pStyle w:val="Normal"/>
              <w:widowControl/>
              <w:suppressAutoHyphens w:val="true"/>
              <w:bidi w:val="0"/>
              <w:spacing w:lineRule="auto" w:line="259" w:before="0" w:after="160"/>
              <w:jc w:val="left"/>
              <w:rPr/>
            </w:pPr>
            <w:r>
              <w:rPr/>
              <w:t>Daniela</w:t>
            </w:r>
          </w:p>
        </w:tc>
      </w:tr>
      <w:tr>
        <w:trPr/>
        <w:tc>
          <w:tcPr>
            <w:tcW w:w="639" w:type="dxa"/>
            <w:tcBorders/>
            <w:vAlign w:val="center"/>
          </w:tcPr>
          <w:p>
            <w:pPr>
              <w:pStyle w:val="Normal"/>
              <w:widowControl/>
              <w:suppressAutoHyphens w:val="true"/>
              <w:bidi w:val="0"/>
              <w:spacing w:lineRule="auto" w:line="259" w:before="0" w:after="160"/>
              <w:jc w:val="left"/>
              <w:rPr/>
            </w:pPr>
            <w:r>
              <w:rPr/>
              <w:t>CR-002</w:t>
            </w:r>
          </w:p>
        </w:tc>
        <w:tc>
          <w:tcPr>
            <w:tcW w:w="489" w:type="dxa"/>
            <w:tcBorders/>
            <w:vAlign w:val="center"/>
          </w:tcPr>
          <w:p>
            <w:pPr>
              <w:pStyle w:val="Normal"/>
              <w:widowControl/>
              <w:suppressAutoHyphens w:val="true"/>
              <w:bidi w:val="0"/>
              <w:spacing w:lineRule="auto" w:line="259" w:before="0" w:after="160"/>
              <w:jc w:val="left"/>
              <w:rPr/>
            </w:pPr>
            <w:r>
              <w:rPr/>
              <w:t>Week 4</w:t>
            </w:r>
          </w:p>
        </w:tc>
        <w:tc>
          <w:tcPr>
            <w:tcW w:w="1012" w:type="dxa"/>
            <w:tcBorders/>
            <w:vAlign w:val="center"/>
          </w:tcPr>
          <w:p>
            <w:pPr>
              <w:pStyle w:val="Normal"/>
              <w:widowControl/>
              <w:suppressAutoHyphens w:val="true"/>
              <w:bidi w:val="0"/>
              <w:spacing w:lineRule="auto" w:line="259" w:before="0" w:after="160"/>
              <w:jc w:val="left"/>
              <w:rPr/>
            </w:pPr>
            <w:r>
              <w:rPr/>
              <w:t>Add additional practical examples to the income protection section.</w:t>
            </w:r>
          </w:p>
        </w:tc>
        <w:tc>
          <w:tcPr>
            <w:tcW w:w="982" w:type="dxa"/>
            <w:tcBorders/>
            <w:vAlign w:val="center"/>
          </w:tcPr>
          <w:p>
            <w:pPr>
              <w:pStyle w:val="Normal"/>
              <w:widowControl/>
              <w:suppressAutoHyphens w:val="true"/>
              <w:bidi w:val="0"/>
              <w:spacing w:lineRule="auto" w:line="259" w:before="0" w:after="160"/>
              <w:jc w:val="left"/>
              <w:rPr/>
            </w:pPr>
            <w:r>
              <w:rPr/>
              <w:t>Participant feedback indicates that the topic requires greater clarification.</w:t>
            </w:r>
          </w:p>
        </w:tc>
        <w:tc>
          <w:tcPr>
            <w:tcW w:w="1152" w:type="dxa"/>
            <w:tcBorders/>
            <w:vAlign w:val="center"/>
          </w:tcPr>
          <w:p>
            <w:pPr>
              <w:pStyle w:val="Normal"/>
              <w:widowControl/>
              <w:suppressAutoHyphens w:val="true"/>
              <w:bidi w:val="0"/>
              <w:spacing w:lineRule="auto" w:line="259" w:before="0" w:after="160"/>
              <w:jc w:val="left"/>
              <w:rPr/>
            </w:pPr>
            <w:r>
              <w:rPr/>
              <w:t>Minor content expansion.</w:t>
            </w:r>
          </w:p>
        </w:tc>
        <w:tc>
          <w:tcPr>
            <w:tcW w:w="591" w:type="dxa"/>
            <w:tcBorders/>
            <w:vAlign w:val="center"/>
          </w:tcPr>
          <w:p>
            <w:pPr>
              <w:pStyle w:val="Normal"/>
              <w:widowControl/>
              <w:suppressAutoHyphens w:val="true"/>
              <w:bidi w:val="0"/>
              <w:spacing w:lineRule="auto" w:line="259" w:before="0" w:after="160"/>
              <w:jc w:val="left"/>
              <w:rPr/>
            </w:pPr>
            <w:r>
              <w:rPr/>
              <w:t>Low</w:t>
            </w:r>
          </w:p>
        </w:tc>
        <w:tc>
          <w:tcPr>
            <w:tcW w:w="1215" w:type="dxa"/>
            <w:tcBorders/>
            <w:vAlign w:val="center"/>
          </w:tcPr>
          <w:p>
            <w:pPr>
              <w:pStyle w:val="Normal"/>
              <w:widowControl/>
              <w:suppressAutoHyphens w:val="true"/>
              <w:bidi w:val="0"/>
              <w:spacing w:lineRule="auto" w:line="259" w:before="0" w:after="160"/>
              <w:jc w:val="left"/>
              <w:rPr/>
            </w:pPr>
            <w:r>
              <w:rPr/>
              <w:t>None expected.</w:t>
            </w:r>
          </w:p>
        </w:tc>
        <w:tc>
          <w:tcPr>
            <w:tcW w:w="1194" w:type="dxa"/>
            <w:tcBorders/>
            <w:vAlign w:val="center"/>
          </w:tcPr>
          <w:p>
            <w:pPr>
              <w:pStyle w:val="Normal"/>
              <w:widowControl/>
              <w:suppressAutoHyphens w:val="true"/>
              <w:bidi w:val="0"/>
              <w:spacing w:lineRule="auto" w:line="259" w:before="0" w:after="160"/>
              <w:jc w:val="left"/>
              <w:rPr/>
            </w:pPr>
            <w:r>
              <w:rPr/>
              <w:t>Potential improvement in participant understanding; additional preparation required.</w:t>
            </w:r>
          </w:p>
        </w:tc>
        <w:tc>
          <w:tcPr>
            <w:tcW w:w="927" w:type="dxa"/>
            <w:tcBorders/>
            <w:vAlign w:val="center"/>
          </w:tcPr>
          <w:p>
            <w:pPr>
              <w:pStyle w:val="Normal"/>
              <w:widowControl/>
              <w:suppressAutoHyphens w:val="true"/>
              <w:bidi w:val="0"/>
              <w:spacing w:lineRule="auto" w:line="259" w:before="0" w:after="160"/>
              <w:jc w:val="left"/>
              <w:rPr/>
            </w:pPr>
            <w:r>
              <w:rPr/>
              <w:t>Approved subject to content review</w:t>
            </w:r>
          </w:p>
        </w:tc>
        <w:tc>
          <w:tcPr>
            <w:tcW w:w="824" w:type="dxa"/>
            <w:tcBorders/>
            <w:vAlign w:val="center"/>
          </w:tcPr>
          <w:p>
            <w:pPr>
              <w:pStyle w:val="Normal"/>
              <w:widowControl/>
              <w:suppressAutoHyphens w:val="true"/>
              <w:bidi w:val="0"/>
              <w:spacing w:lineRule="auto" w:line="259" w:before="0" w:after="160"/>
              <w:jc w:val="left"/>
              <w:rPr/>
            </w:pPr>
            <w:r>
              <w:rPr/>
              <w:t>Daniela</w:t>
            </w:r>
          </w:p>
        </w:tc>
      </w:tr>
      <w:tr>
        <w:trPr/>
        <w:tc>
          <w:tcPr>
            <w:tcW w:w="639" w:type="dxa"/>
            <w:tcBorders/>
            <w:vAlign w:val="center"/>
          </w:tcPr>
          <w:p>
            <w:pPr>
              <w:pStyle w:val="Normal"/>
              <w:widowControl/>
              <w:suppressAutoHyphens w:val="true"/>
              <w:bidi w:val="0"/>
              <w:spacing w:lineRule="auto" w:line="259" w:before="0" w:after="160"/>
              <w:jc w:val="left"/>
              <w:rPr/>
            </w:pPr>
            <w:r>
              <w:rPr/>
              <w:t>CR-003</w:t>
            </w:r>
          </w:p>
        </w:tc>
        <w:tc>
          <w:tcPr>
            <w:tcW w:w="489" w:type="dxa"/>
            <w:tcBorders/>
            <w:vAlign w:val="center"/>
          </w:tcPr>
          <w:p>
            <w:pPr>
              <w:pStyle w:val="Normal"/>
              <w:widowControl/>
              <w:suppressAutoHyphens w:val="true"/>
              <w:bidi w:val="0"/>
              <w:spacing w:lineRule="auto" w:line="259" w:before="0" w:after="160"/>
              <w:jc w:val="left"/>
              <w:rPr/>
            </w:pPr>
            <w:r>
              <w:rPr/>
              <w:t>Week 5</w:t>
            </w:r>
          </w:p>
        </w:tc>
        <w:tc>
          <w:tcPr>
            <w:tcW w:w="1012" w:type="dxa"/>
            <w:tcBorders/>
            <w:vAlign w:val="center"/>
          </w:tcPr>
          <w:p>
            <w:pPr>
              <w:pStyle w:val="Normal"/>
              <w:widowControl/>
              <w:suppressAutoHyphens w:val="true"/>
              <w:bidi w:val="0"/>
              <w:spacing w:lineRule="auto" w:line="259" w:before="0" w:after="160"/>
              <w:jc w:val="left"/>
              <w:rPr/>
            </w:pPr>
            <w:r>
              <w:rPr/>
              <w:t>Replace planned presentation equipment with backup equipment.</w:t>
            </w:r>
          </w:p>
        </w:tc>
        <w:tc>
          <w:tcPr>
            <w:tcW w:w="982" w:type="dxa"/>
            <w:tcBorders/>
            <w:vAlign w:val="center"/>
          </w:tcPr>
          <w:p>
            <w:pPr>
              <w:pStyle w:val="Normal"/>
              <w:widowControl/>
              <w:suppressAutoHyphens w:val="true"/>
              <w:bidi w:val="0"/>
              <w:spacing w:lineRule="auto" w:line="259" w:before="0" w:after="160"/>
              <w:jc w:val="left"/>
              <w:rPr/>
            </w:pPr>
            <w:r>
              <w:rPr/>
              <w:t>Primary equipment identified as unreliable during final technical testing.</w:t>
            </w:r>
          </w:p>
        </w:tc>
        <w:tc>
          <w:tcPr>
            <w:tcW w:w="1152" w:type="dxa"/>
            <w:tcBorders/>
            <w:vAlign w:val="center"/>
          </w:tcPr>
          <w:p>
            <w:pPr>
              <w:pStyle w:val="Normal"/>
              <w:widowControl/>
              <w:suppressAutoHyphens w:val="true"/>
              <w:bidi w:val="0"/>
              <w:spacing w:lineRule="auto" w:line="259" w:before="0" w:after="160"/>
              <w:jc w:val="left"/>
              <w:rPr/>
            </w:pPr>
            <w:r>
              <w:rPr/>
              <w:t>No material scope change.</w:t>
            </w:r>
          </w:p>
        </w:tc>
        <w:tc>
          <w:tcPr>
            <w:tcW w:w="591" w:type="dxa"/>
            <w:tcBorders/>
            <w:vAlign w:val="center"/>
          </w:tcPr>
          <w:p>
            <w:pPr>
              <w:pStyle w:val="Normal"/>
              <w:widowControl/>
              <w:suppressAutoHyphens w:val="true"/>
              <w:bidi w:val="0"/>
              <w:spacing w:lineRule="auto" w:line="259" w:before="0" w:after="160"/>
              <w:jc w:val="left"/>
              <w:rPr/>
            </w:pPr>
            <w:r>
              <w:rPr/>
              <w:t>Low</w:t>
            </w:r>
          </w:p>
        </w:tc>
        <w:tc>
          <w:tcPr>
            <w:tcW w:w="1215" w:type="dxa"/>
            <w:tcBorders/>
            <w:vAlign w:val="center"/>
          </w:tcPr>
          <w:p>
            <w:pPr>
              <w:pStyle w:val="Normal"/>
              <w:widowControl/>
              <w:suppressAutoHyphens w:val="true"/>
              <w:bidi w:val="0"/>
              <w:spacing w:lineRule="auto" w:line="259" w:before="0" w:after="160"/>
              <w:jc w:val="left"/>
              <w:rPr/>
            </w:pPr>
            <w:r>
              <w:rPr/>
              <w:t>Within contingency allowance.</w:t>
            </w:r>
          </w:p>
        </w:tc>
        <w:tc>
          <w:tcPr>
            <w:tcW w:w="1194" w:type="dxa"/>
            <w:tcBorders/>
            <w:vAlign w:val="center"/>
          </w:tcPr>
          <w:p>
            <w:pPr>
              <w:pStyle w:val="Normal"/>
              <w:widowControl/>
              <w:suppressAutoHyphens w:val="true"/>
              <w:bidi w:val="0"/>
              <w:spacing w:lineRule="auto" w:line="259" w:before="0" w:after="160"/>
              <w:jc w:val="left"/>
              <w:rPr/>
            </w:pPr>
            <w:r>
              <w:rPr/>
              <w:t>Reduces technology-failure risk.</w:t>
            </w:r>
          </w:p>
        </w:tc>
        <w:tc>
          <w:tcPr>
            <w:tcW w:w="927" w:type="dxa"/>
            <w:tcBorders/>
            <w:vAlign w:val="center"/>
          </w:tcPr>
          <w:p>
            <w:pPr>
              <w:pStyle w:val="Normal"/>
              <w:widowControl/>
              <w:suppressAutoHyphens w:val="true"/>
              <w:bidi w:val="0"/>
              <w:spacing w:lineRule="auto" w:line="259" w:before="0" w:after="160"/>
              <w:jc w:val="left"/>
              <w:rPr/>
            </w:pPr>
            <w:r>
              <w:rPr/>
              <w:t>Approved</w:t>
            </w:r>
          </w:p>
        </w:tc>
        <w:tc>
          <w:tcPr>
            <w:tcW w:w="824" w:type="dxa"/>
            <w:tcBorders/>
            <w:vAlign w:val="center"/>
          </w:tcPr>
          <w:p>
            <w:pPr>
              <w:pStyle w:val="Normal"/>
              <w:widowControl/>
              <w:suppressAutoHyphens w:val="true"/>
              <w:bidi w:val="0"/>
              <w:spacing w:lineRule="auto" w:line="259" w:before="0" w:after="160"/>
              <w:jc w:val="left"/>
              <w:rPr/>
            </w:pPr>
            <w:r>
              <w:rPr/>
              <w:t>Florin / Daniela</w:t>
            </w:r>
          </w:p>
        </w:tc>
      </w:tr>
    </w:tbl>
    <w:p>
      <w:pPr>
        <w:pStyle w:val="Normal"/>
        <w:rPr>
          <w:b/>
          <w:bCs/>
        </w:rPr>
      </w:pPr>
      <w:r>
        <w:rPr>
          <w:b/>
          <w:bCs/>
        </w:rPr>
        <w:t>Change Control Process</w:t>
      </w:r>
    </w:p>
    <w:tbl>
      <w:tblPr>
        <w:tblW w:w="9026" w:type="dxa"/>
        <w:jc w:val="left"/>
        <w:tblInd w:w="0" w:type="dxa"/>
        <w:tblLayout w:type="fixed"/>
        <w:tblCellMar>
          <w:top w:w="15" w:type="dxa"/>
          <w:left w:w="15" w:type="dxa"/>
          <w:bottom w:w="15" w:type="dxa"/>
          <w:right w:w="15" w:type="dxa"/>
        </w:tblCellMar>
        <w:tblLook w:val="04a0" w:noHBand="0" w:noVBand="1" w:firstColumn="1" w:lastRow="0" w:lastColumn="0" w:firstRow="1"/>
      </w:tblPr>
      <w:tblGrid>
        <w:gridCol w:w="898"/>
        <w:gridCol w:w="8127"/>
      </w:tblGrid>
      <w:tr>
        <w:trPr>
          <w:tblHeader w:val="true"/>
        </w:trPr>
        <w:tc>
          <w:tcPr>
            <w:tcW w:w="898" w:type="dxa"/>
            <w:tcBorders/>
            <w:vAlign w:val="center"/>
          </w:tcPr>
          <w:p>
            <w:pPr>
              <w:pStyle w:val="Normal"/>
              <w:spacing w:before="0" w:after="160"/>
              <w:rPr>
                <w:b/>
                <w:bCs/>
              </w:rPr>
            </w:pPr>
            <w:r>
              <w:rPr>
                <w:b/>
                <w:bCs/>
              </w:rPr>
              <w:t>Step</w:t>
            </w:r>
          </w:p>
        </w:tc>
        <w:tc>
          <w:tcPr>
            <w:tcW w:w="8127" w:type="dxa"/>
            <w:tcBorders/>
            <w:vAlign w:val="center"/>
          </w:tcPr>
          <w:p>
            <w:pPr>
              <w:pStyle w:val="Normal"/>
              <w:spacing w:before="0" w:after="160"/>
              <w:rPr>
                <w:b/>
                <w:bCs/>
              </w:rPr>
            </w:pPr>
            <w:r>
              <w:rPr>
                <w:b/>
                <w:bCs/>
              </w:rPr>
              <w:t>Action</w:t>
            </w:r>
          </w:p>
        </w:tc>
      </w:tr>
      <w:tr>
        <w:trPr/>
        <w:tc>
          <w:tcPr>
            <w:tcW w:w="898" w:type="dxa"/>
            <w:tcBorders/>
            <w:vAlign w:val="center"/>
          </w:tcPr>
          <w:p>
            <w:pPr>
              <w:pStyle w:val="Normal"/>
              <w:widowControl/>
              <w:suppressAutoHyphens w:val="true"/>
              <w:bidi w:val="0"/>
              <w:spacing w:lineRule="auto" w:line="259" w:before="0" w:after="160"/>
              <w:jc w:val="left"/>
              <w:rPr/>
            </w:pPr>
            <w:r>
              <w:rPr/>
              <w:t>1</w:t>
            </w:r>
          </w:p>
        </w:tc>
        <w:tc>
          <w:tcPr>
            <w:tcW w:w="8127" w:type="dxa"/>
            <w:tcBorders/>
            <w:vAlign w:val="center"/>
          </w:tcPr>
          <w:p>
            <w:pPr>
              <w:pStyle w:val="Normal"/>
              <w:widowControl/>
              <w:suppressAutoHyphens w:val="true"/>
              <w:bidi w:val="0"/>
              <w:spacing w:lineRule="auto" w:line="259" w:before="0" w:after="160"/>
              <w:jc w:val="left"/>
              <w:rPr/>
            </w:pPr>
            <w:r>
              <w:rPr/>
              <w:t>Change request identified and recorded.</w:t>
            </w:r>
          </w:p>
        </w:tc>
      </w:tr>
      <w:tr>
        <w:trPr/>
        <w:tc>
          <w:tcPr>
            <w:tcW w:w="898" w:type="dxa"/>
            <w:tcBorders/>
            <w:vAlign w:val="center"/>
          </w:tcPr>
          <w:p>
            <w:pPr>
              <w:pStyle w:val="Normal"/>
              <w:widowControl/>
              <w:suppressAutoHyphens w:val="true"/>
              <w:bidi w:val="0"/>
              <w:spacing w:lineRule="auto" w:line="259" w:before="0" w:after="160"/>
              <w:jc w:val="left"/>
              <w:rPr/>
            </w:pPr>
            <w:r>
              <w:rPr/>
              <w:t>2</w:t>
            </w:r>
          </w:p>
        </w:tc>
        <w:tc>
          <w:tcPr>
            <w:tcW w:w="8127" w:type="dxa"/>
            <w:tcBorders/>
            <w:vAlign w:val="center"/>
          </w:tcPr>
          <w:p>
            <w:pPr>
              <w:pStyle w:val="Normal"/>
              <w:widowControl/>
              <w:suppressAutoHyphens w:val="true"/>
              <w:bidi w:val="0"/>
              <w:spacing w:lineRule="auto" w:line="259" w:before="0" w:after="160"/>
              <w:jc w:val="left"/>
              <w:rPr/>
            </w:pPr>
            <w:r>
              <w:rPr/>
              <w:t>Reason for the proposed change documented.</w:t>
            </w:r>
          </w:p>
        </w:tc>
      </w:tr>
      <w:tr>
        <w:trPr/>
        <w:tc>
          <w:tcPr>
            <w:tcW w:w="898" w:type="dxa"/>
            <w:tcBorders/>
            <w:vAlign w:val="center"/>
          </w:tcPr>
          <w:p>
            <w:pPr>
              <w:pStyle w:val="Normal"/>
              <w:widowControl/>
              <w:suppressAutoHyphens w:val="true"/>
              <w:bidi w:val="0"/>
              <w:spacing w:lineRule="auto" w:line="259" w:before="0" w:after="160"/>
              <w:jc w:val="left"/>
              <w:rPr/>
            </w:pPr>
            <w:r>
              <w:rPr/>
              <w:t>3</w:t>
            </w:r>
          </w:p>
        </w:tc>
        <w:tc>
          <w:tcPr>
            <w:tcW w:w="8127" w:type="dxa"/>
            <w:tcBorders/>
            <w:vAlign w:val="center"/>
          </w:tcPr>
          <w:p>
            <w:pPr>
              <w:pStyle w:val="Normal"/>
              <w:widowControl/>
              <w:suppressAutoHyphens w:val="true"/>
              <w:bidi w:val="0"/>
              <w:spacing w:lineRule="auto" w:line="259" w:before="0" w:after="160"/>
              <w:jc w:val="left"/>
              <w:rPr/>
            </w:pPr>
            <w:r>
              <w:rPr/>
              <w:t>Impact on scope, time, cost, quality and risk assessed.</w:t>
            </w:r>
          </w:p>
        </w:tc>
      </w:tr>
      <w:tr>
        <w:trPr/>
        <w:tc>
          <w:tcPr>
            <w:tcW w:w="898" w:type="dxa"/>
            <w:tcBorders/>
            <w:vAlign w:val="center"/>
          </w:tcPr>
          <w:p>
            <w:pPr>
              <w:pStyle w:val="Normal"/>
              <w:widowControl/>
              <w:suppressAutoHyphens w:val="true"/>
              <w:bidi w:val="0"/>
              <w:spacing w:lineRule="auto" w:line="259" w:before="0" w:after="160"/>
              <w:jc w:val="left"/>
              <w:rPr/>
            </w:pPr>
            <w:r>
              <w:rPr/>
              <w:t>4</w:t>
            </w:r>
          </w:p>
        </w:tc>
        <w:tc>
          <w:tcPr>
            <w:tcW w:w="8127" w:type="dxa"/>
            <w:tcBorders/>
            <w:vAlign w:val="center"/>
          </w:tcPr>
          <w:p>
            <w:pPr>
              <w:pStyle w:val="Normal"/>
              <w:widowControl/>
              <w:suppressAutoHyphens w:val="true"/>
              <w:bidi w:val="0"/>
              <w:spacing w:lineRule="auto" w:line="259" w:before="0" w:after="160"/>
              <w:jc w:val="left"/>
              <w:rPr/>
            </w:pPr>
            <w:r>
              <w:rPr/>
              <w:t>Recommended action prepared by the Project Manager.</w:t>
            </w:r>
          </w:p>
        </w:tc>
      </w:tr>
      <w:tr>
        <w:trPr/>
        <w:tc>
          <w:tcPr>
            <w:tcW w:w="898" w:type="dxa"/>
            <w:tcBorders/>
            <w:vAlign w:val="center"/>
          </w:tcPr>
          <w:p>
            <w:pPr>
              <w:pStyle w:val="Normal"/>
              <w:widowControl/>
              <w:suppressAutoHyphens w:val="true"/>
              <w:bidi w:val="0"/>
              <w:spacing w:lineRule="auto" w:line="259" w:before="0" w:after="160"/>
              <w:jc w:val="left"/>
              <w:rPr/>
            </w:pPr>
            <w:r>
              <w:rPr/>
              <w:t>5</w:t>
            </w:r>
          </w:p>
        </w:tc>
        <w:tc>
          <w:tcPr>
            <w:tcW w:w="8127" w:type="dxa"/>
            <w:tcBorders/>
            <w:vAlign w:val="center"/>
          </w:tcPr>
          <w:p>
            <w:pPr>
              <w:pStyle w:val="Normal"/>
              <w:widowControl/>
              <w:suppressAutoHyphens w:val="true"/>
              <w:bidi w:val="0"/>
              <w:spacing w:lineRule="auto" w:line="259" w:before="0" w:after="160"/>
              <w:jc w:val="left"/>
              <w:rPr/>
            </w:pPr>
            <w:r>
              <w:rPr/>
              <w:t>Significant change submitted to the Project Sponsor for approval.</w:t>
            </w:r>
          </w:p>
        </w:tc>
      </w:tr>
      <w:tr>
        <w:trPr/>
        <w:tc>
          <w:tcPr>
            <w:tcW w:w="898" w:type="dxa"/>
            <w:tcBorders/>
            <w:vAlign w:val="center"/>
          </w:tcPr>
          <w:p>
            <w:pPr>
              <w:pStyle w:val="Normal"/>
              <w:widowControl/>
              <w:suppressAutoHyphens w:val="true"/>
              <w:bidi w:val="0"/>
              <w:spacing w:lineRule="auto" w:line="259" w:before="0" w:after="160"/>
              <w:jc w:val="left"/>
              <w:rPr/>
            </w:pPr>
            <w:r>
              <w:rPr/>
              <w:t>6</w:t>
            </w:r>
          </w:p>
        </w:tc>
        <w:tc>
          <w:tcPr>
            <w:tcW w:w="8127" w:type="dxa"/>
            <w:tcBorders/>
            <w:vAlign w:val="center"/>
          </w:tcPr>
          <w:p>
            <w:pPr>
              <w:pStyle w:val="Normal"/>
              <w:widowControl/>
              <w:suppressAutoHyphens w:val="true"/>
              <w:bidi w:val="0"/>
              <w:spacing w:lineRule="auto" w:line="259" w:before="0" w:after="160"/>
              <w:jc w:val="left"/>
              <w:rPr/>
            </w:pPr>
            <w:r>
              <w:rPr/>
              <w:t>Approved change incorporated into the project plan.</w:t>
            </w:r>
          </w:p>
        </w:tc>
      </w:tr>
      <w:tr>
        <w:trPr/>
        <w:tc>
          <w:tcPr>
            <w:tcW w:w="898" w:type="dxa"/>
            <w:tcBorders/>
            <w:vAlign w:val="center"/>
          </w:tcPr>
          <w:p>
            <w:pPr>
              <w:pStyle w:val="Normal"/>
              <w:widowControl/>
              <w:suppressAutoHyphens w:val="true"/>
              <w:bidi w:val="0"/>
              <w:spacing w:lineRule="auto" w:line="259" w:before="0" w:after="160"/>
              <w:jc w:val="left"/>
              <w:rPr/>
            </w:pPr>
            <w:r>
              <w:rPr/>
              <w:t>7</w:t>
            </w:r>
          </w:p>
        </w:tc>
        <w:tc>
          <w:tcPr>
            <w:tcW w:w="8127" w:type="dxa"/>
            <w:tcBorders/>
            <w:vAlign w:val="center"/>
          </w:tcPr>
          <w:p>
            <w:pPr>
              <w:pStyle w:val="Normal"/>
              <w:widowControl/>
              <w:suppressAutoHyphens w:val="true"/>
              <w:bidi w:val="0"/>
              <w:spacing w:lineRule="auto" w:line="259" w:before="0" w:after="160"/>
              <w:jc w:val="left"/>
              <w:rPr/>
            </w:pPr>
            <w:r>
              <w:rPr/>
              <w:t>Change communicated to relevant stakeholders.</w:t>
            </w:r>
          </w:p>
        </w:tc>
      </w:tr>
      <w:tr>
        <w:trPr/>
        <w:tc>
          <w:tcPr>
            <w:tcW w:w="898" w:type="dxa"/>
            <w:tcBorders/>
            <w:vAlign w:val="center"/>
          </w:tcPr>
          <w:p>
            <w:pPr>
              <w:pStyle w:val="Normal"/>
              <w:widowControl/>
              <w:suppressAutoHyphens w:val="true"/>
              <w:bidi w:val="0"/>
              <w:spacing w:lineRule="auto" w:line="259" w:before="0" w:after="160"/>
              <w:jc w:val="left"/>
              <w:rPr/>
            </w:pPr>
            <w:r>
              <w:rPr/>
              <w:t>8</w:t>
            </w:r>
          </w:p>
        </w:tc>
        <w:tc>
          <w:tcPr>
            <w:tcW w:w="8127" w:type="dxa"/>
            <w:tcBorders/>
            <w:vAlign w:val="center"/>
          </w:tcPr>
          <w:p>
            <w:pPr>
              <w:pStyle w:val="Normal"/>
              <w:widowControl/>
              <w:suppressAutoHyphens w:val="true"/>
              <w:bidi w:val="0"/>
              <w:spacing w:lineRule="auto" w:line="259" w:before="0" w:after="160"/>
              <w:jc w:val="left"/>
              <w:rPr/>
            </w:pPr>
            <w:r>
              <w:rPr/>
              <w:t>Change log updated and monitored.</w:t>
            </w:r>
          </w:p>
        </w:tc>
      </w:tr>
    </w:tbl>
    <w:p>
      <w:pPr>
        <w:pStyle w:val="Normal"/>
        <w:rPr/>
      </w:pPr>
      <w:r>
        <w:rPr/>
      </w:r>
    </w:p>
    <w:p>
      <w:pPr>
        <w:pStyle w:val="Normal"/>
        <w:widowControl/>
        <w:suppressAutoHyphens w:val="true"/>
        <w:bidi w:val="0"/>
        <w:spacing w:lineRule="auto" w:line="259" w:before="0" w:after="160"/>
        <w:jc w:val="left"/>
        <w:rPr/>
      </w:pPr>
      <w:r>
        <w:rPr/>
      </w:r>
    </w:p>
    <w:sectPr>
      <w:type w:val="nextPage"/>
      <w:pgSz w:w="12240" w:h="15840"/>
      <w:pgMar w:left="1440" w:right="1440" w:gutter="0" w:header="0" w:top="1440" w:footer="0" w:bottom="144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Liberation Sans">
    <w:altName w:val="Arial"/>
    <w:charset w:val="01"/>
    <w:family w:val="roman"/>
    <w:pitch w:val="variable"/>
  </w:font>
  <w:font w:name="Georgia">
    <w:charset w:val="01"/>
    <w:family w:val="roman"/>
    <w:pitch w:val="variable"/>
  </w:font>
  <w:font w:name="Tahoma">
    <w:charset w:val="01"/>
    <w:family w:val="roman"/>
    <w:pitch w:val="variable"/>
  </w:font>
  <w:font w:name="Arial">
    <w:charset w:val="01"/>
    <w:family w:val="roman"/>
    <w:pitch w:val="variable"/>
  </w:font>
  <w:font w:name="MS Gothic">
    <w:charset w:val="01"/>
    <w:family w:val="roman"/>
    <w:pitch w:val="variable"/>
  </w:font>
  <w:font w:name="Cambria Math">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3">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4">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5">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 w:val="22"/>
        <w:szCs w:val="22"/>
        <w:lang w:val="en-GB" w:eastAsia="zh-C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59" w:before="0" w:after="160"/>
      <w:jc w:val="left"/>
    </w:pPr>
    <w:rPr>
      <w:rFonts w:ascii="Calibri" w:hAnsi="Calibri" w:eastAsia="Calibri" w:cs="Calibri"/>
      <w:color w:val="auto"/>
      <w:kern w:val="0"/>
      <w:sz w:val="28"/>
      <w:szCs w:val="28"/>
      <w:lang w:val="en-GB" w:eastAsia="zh-CN" w:bidi="ar-SA"/>
    </w:rPr>
  </w:style>
  <w:style w:type="paragraph" w:styleId="Heading1">
    <w:name w:val="Heading 1"/>
    <w:basedOn w:val="Normal"/>
    <w:next w:val="Normal"/>
    <w:uiPriority w:val="9"/>
    <w:qFormat/>
    <w:pPr>
      <w:keepNext w:val="true"/>
      <w:keepLines/>
      <w:spacing w:before="240" w:after="0"/>
      <w:outlineLvl w:val="0"/>
    </w:pPr>
    <w:rPr>
      <w:color w:val="000000"/>
      <w:sz w:val="34"/>
      <w:szCs w:val="34"/>
    </w:rPr>
  </w:style>
  <w:style w:type="paragraph" w:styleId="Heading2">
    <w:name w:val="Heading 2"/>
    <w:basedOn w:val="Normal"/>
    <w:next w:val="Normal"/>
    <w:uiPriority w:val="9"/>
    <w:unhideWhenUsed/>
    <w:qFormat/>
    <w:pPr>
      <w:keepNext w:val="true"/>
      <w:keepLines/>
      <w:spacing w:before="40" w:after="0"/>
      <w:outlineLvl w:val="1"/>
    </w:pPr>
    <w:rPr>
      <w:color w:val="000000"/>
      <w:sz w:val="30"/>
      <w:szCs w:val="30"/>
    </w:rPr>
  </w:style>
  <w:style w:type="paragraph" w:styleId="Heading3">
    <w:name w:val="Heading 3"/>
    <w:basedOn w:val="Normal"/>
    <w:next w:val="Normal"/>
    <w:uiPriority w:val="9"/>
    <w:semiHidden/>
    <w:unhideWhenUsed/>
    <w:qFormat/>
    <w:pPr>
      <w:keepNext w:val="true"/>
      <w:keepLines/>
      <w:spacing w:before="280" w:after="80"/>
      <w:outlineLvl w:val="2"/>
    </w:pPr>
    <w:rPr>
      <w:b/>
    </w:rPr>
  </w:style>
  <w:style w:type="paragraph" w:styleId="Heading4">
    <w:name w:val="Heading 4"/>
    <w:basedOn w:val="Normal"/>
    <w:next w:val="Normal"/>
    <w:uiPriority w:val="9"/>
    <w:semiHidden/>
    <w:unhideWhenUsed/>
    <w:qFormat/>
    <w:pPr>
      <w:keepNext w:val="true"/>
      <w:keepLines/>
      <w:spacing w:before="240" w:after="40"/>
      <w:outlineLvl w:val="3"/>
    </w:pPr>
    <w:rPr>
      <w:b/>
      <w:sz w:val="24"/>
      <w:szCs w:val="24"/>
    </w:rPr>
  </w:style>
  <w:style w:type="paragraph" w:styleId="Heading5">
    <w:name w:val="Heading 5"/>
    <w:basedOn w:val="Normal"/>
    <w:next w:val="Normal"/>
    <w:uiPriority w:val="9"/>
    <w:semiHidden/>
    <w:unhideWhenUsed/>
    <w:qFormat/>
    <w:pPr>
      <w:keepNext w:val="true"/>
      <w:keepLines/>
      <w:spacing w:before="220" w:after="40"/>
      <w:outlineLvl w:val="4"/>
    </w:pPr>
    <w:rPr>
      <w:b/>
    </w:rPr>
  </w:style>
  <w:style w:type="paragraph" w:styleId="Heading6">
    <w:name w:val="Heading 6"/>
    <w:basedOn w:val="Normal"/>
    <w:next w:val="Normal"/>
    <w:uiPriority w:val="9"/>
    <w:semiHidden/>
    <w:unhideWhenUsed/>
    <w:qFormat/>
    <w:pPr>
      <w:keepNext w:val="true"/>
      <w:keepLines/>
      <w:spacing w:before="200" w:after="40"/>
      <w:outlineLvl w:val="5"/>
    </w:pPr>
    <w:rPr>
      <w:b/>
      <w:sz w:val="20"/>
      <w:szCs w:val="20"/>
    </w:rPr>
  </w:style>
  <w:style w:type="character" w:styleId="DefaultParagraphFont" w:default="1">
    <w:name w:val="Default Paragraph Font"/>
    <w:uiPriority w:val="1"/>
    <w:unhideWhenUsed/>
    <w:qFormat/>
    <w:rPr/>
  </w:style>
  <w:style w:type="character" w:styleId="Hyperlink">
    <w:name w:val="Hyperlink"/>
    <w:basedOn w:val="DefaultParagraphFont"/>
    <w:uiPriority w:val="99"/>
    <w:unhideWhenUsed/>
    <w:rsid w:val="00f867c0"/>
    <w:rPr>
      <w:color w:themeColor="hyperlink" w:val="0000FF"/>
      <w:u w:val="single"/>
    </w:rPr>
  </w:style>
  <w:style w:type="character" w:styleId="HeaderChar" w:customStyle="1">
    <w:name w:val="Header Char"/>
    <w:basedOn w:val="DefaultParagraphFont"/>
    <w:link w:val="Header"/>
    <w:uiPriority w:val="99"/>
    <w:qFormat/>
    <w:rsid w:val="00f23277"/>
    <w:rPr/>
  </w:style>
  <w:style w:type="character" w:styleId="FooterChar" w:customStyle="1">
    <w:name w:val="Footer Char"/>
    <w:basedOn w:val="DefaultParagraphFont"/>
    <w:link w:val="Footer"/>
    <w:uiPriority w:val="99"/>
    <w:qFormat/>
    <w:rsid w:val="00f23277"/>
    <w:rPr/>
  </w:style>
  <w:style w:type="character" w:styleId="IndexLink" w:customStyle="1">
    <w:name w:val="Index Link"/>
    <w:qFormat/>
    <w:rPr/>
  </w:style>
  <w:style w:type="paragraph" w:styleId="Heading" w:customStyle="1">
    <w:name w:val="Heading"/>
    <w:basedOn w:val="Normal"/>
    <w:next w:val="BodyText"/>
    <w:qFormat/>
    <w:pPr>
      <w:keepNext w:val="true"/>
      <w:spacing w:before="240" w:after="120"/>
    </w:pPr>
    <w:rPr>
      <w:rFonts w:ascii="Liberation Sans" w:hAnsi="Liberation Sans" w:eastAsia="Noto Sans CJK SC" w:cs="FreeSans"/>
    </w:rPr>
  </w:style>
  <w:style w:type="paragraph" w:styleId="BodyText">
    <w:name w:val="Body Text"/>
    <w:basedOn w:val="Normal"/>
    <w:pPr>
      <w:spacing w:lineRule="auto" w:line="276" w:before="0" w:after="140"/>
    </w:pPr>
    <w:rPr/>
  </w:style>
  <w:style w:type="paragraph" w:styleId="List">
    <w:name w:val="List"/>
    <w:basedOn w:val="BodyText"/>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customStyle="1">
    <w:name w:val="Index"/>
    <w:basedOn w:val="Normal"/>
    <w:qFormat/>
    <w:pPr>
      <w:suppressLineNumbers/>
    </w:pPr>
    <w:rPr>
      <w:rFonts w:cs="FreeSans"/>
    </w:rPr>
  </w:style>
  <w:style w:type="paragraph" w:styleId="Title">
    <w:name w:val="Title"/>
    <w:basedOn w:val="Normal"/>
    <w:next w:val="Normal"/>
    <w:uiPriority w:val="10"/>
    <w:qFormat/>
    <w:pPr>
      <w:keepNext w:val="true"/>
      <w:keepLines/>
      <w:spacing w:before="480" w:after="120"/>
    </w:pPr>
    <w:rPr>
      <w:b/>
      <w:sz w:val="72"/>
      <w:szCs w:val="72"/>
    </w:rPr>
  </w:style>
  <w:style w:type="paragraph" w:styleId="Subtitle">
    <w:name w:val="Subtitle"/>
    <w:basedOn w:val="Normal"/>
    <w:next w:val="Normal"/>
    <w:uiPriority w:val="11"/>
    <w:qFormat/>
    <w:pPr>
      <w:keepNext w:val="true"/>
      <w:keepLines/>
      <w:spacing w:before="360" w:after="80"/>
    </w:pPr>
    <w:rPr>
      <w:rFonts w:ascii="Georgia" w:hAnsi="Georgia" w:eastAsia="Georgia" w:cs="Georgia"/>
      <w:i/>
      <w:color w:val="666666"/>
      <w:sz w:val="48"/>
      <w:szCs w:val="48"/>
    </w:rPr>
  </w:style>
  <w:style w:type="paragraph" w:styleId="TOC1">
    <w:name w:val="TOC 1"/>
    <w:basedOn w:val="Normal"/>
    <w:next w:val="Normal"/>
    <w:autoRedefine/>
    <w:uiPriority w:val="39"/>
    <w:unhideWhenUsed/>
    <w:rsid w:val="00f867c0"/>
    <w:pPr>
      <w:spacing w:before="0" w:after="100"/>
    </w:pPr>
    <w:rPr/>
  </w:style>
  <w:style w:type="paragraph" w:styleId="TOC2">
    <w:name w:val="TOC 2"/>
    <w:basedOn w:val="Normal"/>
    <w:next w:val="Normal"/>
    <w:autoRedefine/>
    <w:uiPriority w:val="39"/>
    <w:unhideWhenUsed/>
    <w:rsid w:val="00f867c0"/>
    <w:pPr>
      <w:spacing w:before="0" w:after="100"/>
      <w:ind w:left="220"/>
    </w:pPr>
    <w:rPr/>
  </w:style>
  <w:style w:type="paragraph" w:styleId="HeaderandFooter" w:customStyle="1">
    <w:name w:val="Header and Footer"/>
    <w:basedOn w:val="Normal"/>
    <w:qFormat/>
    <w:pPr/>
    <w:rPr/>
  </w:style>
  <w:style w:type="paragraph" w:styleId="Header">
    <w:name w:val="Header"/>
    <w:basedOn w:val="Normal"/>
    <w:link w:val="HeaderChar"/>
    <w:uiPriority w:val="99"/>
    <w:unhideWhenUsed/>
    <w:rsid w:val="00f23277"/>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f23277"/>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022605"/>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doi.org/10.1016/j.ijproman.2007.10.001" TargetMode="External"/><Relationship Id="rId4" Type="http://schemas.openxmlformats.org/officeDocument/2006/relationships/hyperlink" Target="https://doi.org/10.1016/0263-7863(95)00064-X" TargetMode="External"/><Relationship Id="rId5" Type="http://schemas.openxmlformats.org/officeDocument/2006/relationships/hyperlink" Target="https://doi.org/10.1111/jpim.12314" TargetMode="External"/><Relationship Id="rId6" Type="http://schemas.openxmlformats.org/officeDocument/2006/relationships/hyperlink" Target="https://doi.org/10.1016/j.ijproman.2009.07.002" TargetMode="External"/><Relationship Id="rId7" Type="http://schemas.openxmlformats.org/officeDocument/2006/relationships/hyperlink" Target="https://doi.org/10.1108/17538370910930518" TargetMode="External"/><Relationship Id="rId8" Type="http://schemas.openxmlformats.org/officeDocument/2006/relationships/hyperlink" Target="https://doi.org/10.1016/j.ijproman.2015.03.005" TargetMode="External"/><Relationship Id="rId9" Type="http://schemas.openxmlformats.org/officeDocument/2006/relationships/hyperlink" Target="https://doi.org/10.5465/amr.1997.9711022105" TargetMode="External"/><Relationship Id="rId10" Type="http://schemas.openxmlformats.org/officeDocument/2006/relationships/hyperlink" Target="https://doi.org/10.1002/pmj.21432" TargetMode="External"/><Relationship Id="rId11" Type="http://schemas.openxmlformats.org/officeDocument/2006/relationships/hyperlink" Target="https://www.pmi.org/learning/library/agile-versus-waterfall-approach-erp-project-6300" TargetMode="External"/><Relationship Id="rId12" Type="http://schemas.openxmlformats.org/officeDocument/2006/relationships/hyperlink" Target="https://www.pmi.org/learning/library/communication-strategy-stakeholder-generating-reports-6887" TargetMode="External"/><Relationship Id="rId13" Type="http://schemas.openxmlformats.org/officeDocument/2006/relationships/hyperlink" Target="https://www.pmi.org/learning/library/controlling-scope-creep-4614" TargetMode="External"/><Relationship Id="rId14" Type="http://schemas.openxmlformats.org/officeDocument/2006/relationships/hyperlink" Target="https://www.pmi.org/learning/library/moving-work-breakdown-structure-critical-path-6978" TargetMode="External"/><Relationship Id="rId15" Type="http://schemas.openxmlformats.org/officeDocument/2006/relationships/hyperlink" Target="https://www.pmi.org/learning/library/risk-management-9096" TargetMode="External"/><Relationship Id="rId16" Type="http://schemas.openxmlformats.org/officeDocument/2006/relationships/hyperlink" Target="https://www.pmi.org/learning/library/stakeholder-analysis-pivotal-practice-projects-8905" TargetMode="External"/><Relationship Id="rId17" Type="http://schemas.openxmlformats.org/officeDocument/2006/relationships/hyperlink" Target="https://doi.org/10.1016/j.ijproman.2015.01.006" TargetMode="External"/><Relationship Id="rId18" Type="http://schemas.openxmlformats.org/officeDocument/2006/relationships/hyperlink" Target="https://doi.org/10.1016/0263-7863(93)90017-H" TargetMode="External"/><Relationship Id="rId19" Type="http://schemas.openxmlformats.org/officeDocument/2006/relationships/hyperlink" Target="https://doi.org/10.1002/pmj.21289" TargetMode="External"/><Relationship Id="rId20" Type="http://schemas.openxmlformats.org/officeDocument/2006/relationships/hyperlink" Target="https://doi.org/10.1016/j.ijproman.2018.03.006" TargetMode="External"/><Relationship Id="rId21" Type="http://schemas.openxmlformats.org/officeDocument/2006/relationships/hyperlink" Target="https://doi.org/10.1111/j.1467-8551.2012.00823.x" TargetMode="External"/><Relationship Id="rId22" Type="http://schemas.openxmlformats.org/officeDocument/2006/relationships/hyperlink" Target="https://doi.org/10.1080/00207540500536921" TargetMode="External"/><Relationship Id="rId23" Type="http://schemas.openxmlformats.org/officeDocument/2006/relationships/numbering" Target="numbering.xml"/><Relationship Id="rId24" Type="http://schemas.openxmlformats.org/officeDocument/2006/relationships/fontTable" Target="fontTable.xml"/><Relationship Id="rId25" Type="http://schemas.openxmlformats.org/officeDocument/2006/relationships/settings" Target="settings.xml"/><Relationship Id="rId26"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68</TotalTime>
  <Application>LibreOffice/24.2.7.2$Linux_X86_64 LibreOffice_project/420$Build-2</Application>
  <AppVersion>15.0000</AppVersion>
  <Pages>41</Pages>
  <Words>6831</Words>
  <Characters>43426</Characters>
  <CharactersWithSpaces>49485</CharactersWithSpaces>
  <Paragraphs>888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2022-11-07T11:03:00Z</dcterms:created>
  <dc:creator/>
  <dc:description/>
  <dc:language>en-US</dc:language>
  <cp:lastModifiedBy/>
  <dcterms:modified xsi:type="dcterms:W3CDTF">2026-08-27T23:03:42Z</dcterms:modified>
  <cp:revision>13</cp:revision>
  <dc:subject/>
  <dc:title/>
</cp:coreProperties>
</file>

<file path=docProps/custom.xml><?xml version="1.0" encoding="utf-8"?>
<Properties xmlns="http://schemas.openxmlformats.org/officeDocument/2006/custom-properties" xmlns:vt="http://schemas.openxmlformats.org/officeDocument/2006/docPropsVTypes"/>
</file>