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Default Extension="xlsx" ContentType="application/vnd.openxmlformats-officedocument.spreadsheetml.sheet"/>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charts/chart1.xml" ContentType="application/vnd.openxmlformats-officedocument.drawingml.chart+xml"/>
  <Override PartName="/word/charts/style1.xml" ContentType="application/vnd.ms-office.chartstyle+xml"/>
  <Override PartName="/word/charts/colors1.xml" ContentType="application/vnd.ms-office.chartcolorstyle+xml"/>
  <Override PartName="/word/charts/chart2.xml" ContentType="application/vnd.openxmlformats-officedocument.drawingml.chart+xml"/>
  <Override PartName="/word/charts/style2.xml" ContentType="application/vnd.ms-office.chartstyle+xml"/>
  <Override PartName="/word/charts/colors2.xml" ContentType="application/vnd.ms-office.chartcolorstyle+xml"/>
  <Override PartName="/word/charts/chart3.xml" ContentType="application/vnd.openxmlformats-officedocument.drawingml.chart+xml"/>
  <Override PartName="/word/charts/style3.xml" ContentType="application/vnd.ms-office.chartstyle+xml"/>
  <Override PartName="/word/charts/colors3.xml" ContentType="application/vnd.ms-office.chartcolorstyle+xml"/>
  <Override PartName="/word/charts/chart4.xml" ContentType="application/vnd.openxmlformats-officedocument.drawingml.chart+xml"/>
  <Override PartName="/word/charts/style4.xml" ContentType="application/vnd.ms-office.chartstyle+xml"/>
  <Override PartName="/word/charts/colors4.xml" ContentType="application/vnd.ms-office.chartcolorstyle+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body>
    <w:p w:rsidR="00FE3429" w:rsidRPr="00E41467" w:rsidRDefault="00FE3429" w:rsidP="00E41467"/>
    <w:p w:rsidR="007947D7" w:rsidRPr="00E41467" w:rsidRDefault="007947D7" w:rsidP="007947D7">
      <w:pPr>
        <w:widowControl w:val="0"/>
        <w:pBdr>
          <w:top w:val="nil"/>
          <w:left w:val="nil"/>
          <w:bottom w:val="nil"/>
          <w:right w:val="nil"/>
          <w:between w:val="nil"/>
        </w:pBdr>
        <w:spacing w:after="0" w:line="276" w:lineRule="auto"/>
        <w:jc w:val="both"/>
        <w:rPr>
          <w:rFonts w:ascii="Arial" w:eastAsia="Times New Roman" w:hAnsi="Arial" w:cs="Arial"/>
          <w:sz w:val="24"/>
          <w:szCs w:val="24"/>
          <w:lang w:eastAsia="en-GB"/>
        </w:rPr>
      </w:pPr>
    </w:p>
    <w:p w:rsidR="007947D7" w:rsidRPr="00E41467" w:rsidRDefault="007947D7" w:rsidP="007947D7">
      <w:pPr>
        <w:jc w:val="center"/>
        <w:rPr>
          <w:rFonts w:ascii="Arial" w:eastAsia="Times New Roman" w:hAnsi="Arial" w:cs="Arial"/>
          <w:sz w:val="24"/>
          <w:szCs w:val="24"/>
          <w:lang w:eastAsia="en-GB"/>
        </w:rPr>
      </w:pPr>
      <w:r w:rsidRPr="00E41467">
        <w:rPr>
          <w:rFonts w:ascii="Arial" w:eastAsia="Times New Roman" w:hAnsi="Arial" w:cs="Arial"/>
          <w:noProof/>
          <w:sz w:val="24"/>
          <w:szCs w:val="24"/>
        </w:rPr>
        <w:drawing>
          <wp:inline distT="114300" distB="114300" distL="114300" distR="114300" wp14:anchorId="25DB3519" wp14:editId="6590B9C6">
            <wp:extent cx="3321050" cy="1877060"/>
            <wp:effectExtent l="0" t="0" r="0" b="8890"/>
            <wp:docPr id="11"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8"/>
                    <a:srcRect/>
                    <a:stretch>
                      <a:fillRect/>
                    </a:stretch>
                  </pic:blipFill>
                  <pic:spPr>
                    <a:xfrm>
                      <a:off x="0" y="0"/>
                      <a:ext cx="3321698" cy="1877426"/>
                    </a:xfrm>
                    <a:prstGeom prst="rect">
                      <a:avLst/>
                    </a:prstGeom>
                    <a:ln/>
                  </pic:spPr>
                </pic:pic>
              </a:graphicData>
            </a:graphic>
          </wp:inline>
        </w:drawing>
      </w: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r w:rsidRPr="00E41467">
        <w:rPr>
          <w:rFonts w:ascii="Arial" w:eastAsia="Times New Roman" w:hAnsi="Arial" w:cs="Arial"/>
          <w:b/>
          <w:sz w:val="24"/>
          <w:szCs w:val="24"/>
          <w:lang w:eastAsia="en-GB"/>
        </w:rPr>
        <w:t>Programme: Master of Business Administration</w:t>
      </w: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r w:rsidRPr="00E41467">
        <w:rPr>
          <w:rFonts w:ascii="Arial" w:eastAsia="Times New Roman" w:hAnsi="Arial" w:cs="Arial"/>
          <w:b/>
          <w:sz w:val="24"/>
          <w:szCs w:val="24"/>
          <w:lang w:eastAsia="en-GB"/>
        </w:rPr>
        <w:t xml:space="preserve">Student Name: </w:t>
      </w:r>
      <w:r w:rsidR="00E41467" w:rsidRPr="00E41467">
        <w:rPr>
          <w:rFonts w:ascii="Arial" w:eastAsia="Times New Roman" w:hAnsi="Arial" w:cs="Arial"/>
          <w:b/>
          <w:sz w:val="24"/>
          <w:szCs w:val="24"/>
          <w:lang w:eastAsia="en-GB"/>
        </w:rPr>
        <w:t>Fakrul Islam</w:t>
      </w:r>
    </w:p>
    <w:p w:rsidR="007947D7" w:rsidRPr="00E41467" w:rsidRDefault="00E41467" w:rsidP="007947D7">
      <w:pPr>
        <w:widowControl w:val="0"/>
        <w:spacing w:after="0" w:line="360" w:lineRule="auto"/>
        <w:jc w:val="center"/>
        <w:rPr>
          <w:rFonts w:ascii="Arial" w:eastAsia="Times New Roman" w:hAnsi="Arial" w:cs="Arial"/>
          <w:b/>
          <w:sz w:val="24"/>
          <w:szCs w:val="24"/>
          <w:lang w:eastAsia="en-GB"/>
        </w:rPr>
      </w:pPr>
      <w:r>
        <w:rPr>
          <w:rFonts w:ascii="Arial" w:eastAsia="Times New Roman" w:hAnsi="Arial" w:cs="Arial"/>
          <w:b/>
          <w:sz w:val="24"/>
          <w:szCs w:val="24"/>
          <w:lang w:eastAsia="en-GB"/>
        </w:rPr>
        <w:t>Student ID</w:t>
      </w:r>
      <w:r w:rsidR="007947D7" w:rsidRPr="00E41467">
        <w:rPr>
          <w:rFonts w:ascii="Arial" w:eastAsia="Times New Roman" w:hAnsi="Arial" w:cs="Arial"/>
          <w:b/>
          <w:sz w:val="24"/>
          <w:szCs w:val="24"/>
          <w:lang w:eastAsia="en-GB"/>
        </w:rPr>
        <w:t xml:space="preserve">: </w:t>
      </w:r>
      <w:r w:rsidRPr="00E41467">
        <w:rPr>
          <w:rFonts w:ascii="Arial" w:eastAsia="Times New Roman" w:hAnsi="Arial" w:cs="Arial"/>
          <w:b/>
          <w:sz w:val="24"/>
          <w:szCs w:val="24"/>
          <w:lang w:eastAsia="en-GB"/>
        </w:rPr>
        <w:t>2510584</w:t>
      </w: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r w:rsidRPr="00E41467">
        <w:rPr>
          <w:rFonts w:ascii="Arial" w:eastAsia="Times New Roman" w:hAnsi="Arial" w:cs="Arial"/>
          <w:b/>
          <w:sz w:val="24"/>
          <w:szCs w:val="24"/>
          <w:lang w:eastAsia="en-GB"/>
        </w:rPr>
        <w:t>Module &amp; Code: Financial Management (LCMB7002)</w:t>
      </w: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r w:rsidRPr="00E41467">
        <w:rPr>
          <w:rFonts w:ascii="Arial" w:eastAsia="Times New Roman" w:hAnsi="Arial" w:cs="Arial"/>
          <w:b/>
          <w:sz w:val="24"/>
          <w:szCs w:val="24"/>
          <w:lang w:eastAsia="en-GB"/>
        </w:rPr>
        <w:t xml:space="preserve">Lecturer: </w:t>
      </w:r>
      <w:r w:rsidR="00E41467">
        <w:rPr>
          <w:rFonts w:ascii="Arial" w:eastAsia="Times New Roman" w:hAnsi="Arial" w:cs="Arial"/>
          <w:b/>
          <w:sz w:val="24"/>
          <w:szCs w:val="24"/>
          <w:lang w:eastAsia="en-GB"/>
        </w:rPr>
        <w:t>Md Kalam</w:t>
      </w: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r w:rsidRPr="00E41467">
        <w:rPr>
          <w:rFonts w:ascii="Arial" w:eastAsia="Times New Roman" w:hAnsi="Arial" w:cs="Arial"/>
          <w:b/>
          <w:sz w:val="24"/>
          <w:szCs w:val="24"/>
          <w:lang w:eastAsia="en-GB"/>
        </w:rPr>
        <w:t>Word: 6049</w:t>
      </w:r>
    </w:p>
    <w:p w:rsidR="007947D7" w:rsidRPr="00E41467" w:rsidRDefault="007947D7" w:rsidP="007947D7">
      <w:pPr>
        <w:widowControl w:val="0"/>
        <w:spacing w:after="0" w:line="360" w:lineRule="auto"/>
        <w:jc w:val="center"/>
        <w:rPr>
          <w:rFonts w:ascii="Arial" w:eastAsia="Times New Roman" w:hAnsi="Arial" w:cs="Arial"/>
          <w:b/>
          <w:sz w:val="24"/>
          <w:szCs w:val="24"/>
          <w:lang w:eastAsia="en-GB"/>
        </w:rPr>
      </w:pPr>
    </w:p>
    <w:p w:rsidR="007947D7" w:rsidRPr="00E41467" w:rsidRDefault="007947D7" w:rsidP="007947D7">
      <w:pPr>
        <w:jc w:val="center"/>
        <w:rPr>
          <w:rFonts w:ascii="Arial" w:eastAsia="Times New Roman" w:hAnsi="Arial" w:cs="Arial"/>
          <w:b/>
          <w:sz w:val="24"/>
          <w:szCs w:val="24"/>
          <w:lang w:eastAsia="en-GB"/>
        </w:rPr>
      </w:pPr>
      <w:r w:rsidRPr="00E41467">
        <w:rPr>
          <w:rFonts w:ascii="Arial" w:eastAsia="Times New Roman" w:hAnsi="Arial" w:cs="Arial"/>
          <w:b/>
          <w:sz w:val="24"/>
          <w:szCs w:val="24"/>
          <w:lang w:eastAsia="en-GB"/>
        </w:rPr>
        <w:t xml:space="preserve">Date of Submission: </w:t>
      </w:r>
      <w:r w:rsidR="00E41467" w:rsidRPr="006C081F">
        <w:rPr>
          <w:rFonts w:ascii="Arial" w:hAnsi="Arial" w:cs="Arial"/>
          <w:b/>
          <w:sz w:val="28"/>
          <w:szCs w:val="28"/>
        </w:rPr>
        <w:t>22</w:t>
      </w:r>
      <w:r w:rsidR="00E41467" w:rsidRPr="006C081F">
        <w:rPr>
          <w:rFonts w:ascii="Arial" w:hAnsi="Arial" w:cs="Arial"/>
          <w:b/>
          <w:sz w:val="28"/>
          <w:szCs w:val="28"/>
          <w:vertAlign w:val="superscript"/>
        </w:rPr>
        <w:t>nd</w:t>
      </w:r>
      <w:r w:rsidR="00E41467" w:rsidRPr="006C081F">
        <w:rPr>
          <w:rFonts w:ascii="Arial" w:hAnsi="Arial" w:cs="Arial"/>
          <w:b/>
          <w:sz w:val="28"/>
          <w:szCs w:val="28"/>
        </w:rPr>
        <w:t xml:space="preserve"> December 2025</w:t>
      </w:r>
    </w:p>
    <w:p w:rsidR="007947D7" w:rsidRPr="00E41467" w:rsidRDefault="007947D7" w:rsidP="007947D7">
      <w:pPr>
        <w:jc w:val="center"/>
        <w:rPr>
          <w:rFonts w:ascii="Arial" w:eastAsia="Times New Roman" w:hAnsi="Arial" w:cs="Arial"/>
          <w:b/>
          <w:sz w:val="24"/>
          <w:szCs w:val="24"/>
          <w:lang w:eastAsia="en-GB"/>
        </w:rPr>
      </w:pPr>
    </w:p>
    <w:p w:rsidR="007947D7" w:rsidRPr="00E41467" w:rsidRDefault="007947D7" w:rsidP="007947D7">
      <w:pPr>
        <w:jc w:val="center"/>
        <w:rPr>
          <w:rFonts w:ascii="Arial" w:eastAsia="Times New Roman" w:hAnsi="Arial" w:cs="Arial"/>
          <w:b/>
          <w:sz w:val="24"/>
          <w:szCs w:val="24"/>
          <w:lang w:eastAsia="en-GB"/>
        </w:rPr>
      </w:pPr>
    </w:p>
    <w:p w:rsidR="007947D7" w:rsidRPr="00E41467" w:rsidRDefault="007947D7" w:rsidP="007947D7">
      <w:pPr>
        <w:jc w:val="center"/>
        <w:rPr>
          <w:rFonts w:ascii="Arial" w:eastAsia="Times New Roman" w:hAnsi="Arial" w:cs="Arial"/>
          <w:b/>
          <w:sz w:val="24"/>
          <w:szCs w:val="24"/>
          <w:lang w:eastAsia="en-GB"/>
        </w:rPr>
      </w:pPr>
    </w:p>
    <w:p w:rsidR="007947D7" w:rsidRPr="00E41467" w:rsidRDefault="007947D7" w:rsidP="007947D7">
      <w:pPr>
        <w:spacing w:line="360" w:lineRule="auto"/>
        <w:jc w:val="both"/>
        <w:rPr>
          <w:rFonts w:ascii="Arial" w:eastAsia="Times New Roman" w:hAnsi="Arial" w:cs="Arial"/>
          <w:sz w:val="24"/>
          <w:szCs w:val="24"/>
          <w:lang w:eastAsia="en-GB"/>
        </w:rPr>
      </w:pPr>
    </w:p>
    <w:p w:rsidR="007947D7" w:rsidRPr="00E41467" w:rsidRDefault="007947D7" w:rsidP="007947D7">
      <w:pPr>
        <w:spacing w:line="360" w:lineRule="auto"/>
        <w:jc w:val="both"/>
        <w:rPr>
          <w:rFonts w:ascii="Arial" w:eastAsia="Times New Roman" w:hAnsi="Arial" w:cs="Arial"/>
          <w:sz w:val="24"/>
          <w:szCs w:val="24"/>
          <w:lang w:eastAsia="en-GB"/>
        </w:rPr>
      </w:pPr>
    </w:p>
    <w:p w:rsidR="00FE3429" w:rsidRPr="00E41467" w:rsidRDefault="00FE3429" w:rsidP="00FE3429">
      <w:pPr>
        <w:rPr>
          <w:rFonts w:ascii="Arial" w:eastAsiaTheme="majorEastAsia" w:hAnsi="Arial" w:cs="Arial"/>
          <w:sz w:val="32"/>
          <w:szCs w:val="32"/>
        </w:rPr>
      </w:pPr>
      <w:r w:rsidRPr="00E41467">
        <w:rPr>
          <w:rFonts w:ascii="Arial" w:hAnsi="Arial" w:cs="Arial"/>
        </w:rPr>
        <w:br w:type="page"/>
      </w:r>
    </w:p>
    <w:sdt>
      <w:sdtPr>
        <w:rPr>
          <w:rFonts w:ascii="Arial" w:eastAsiaTheme="minorHAnsi" w:hAnsi="Arial" w:cs="Arial"/>
          <w:color w:val="auto"/>
          <w:sz w:val="22"/>
          <w:szCs w:val="22"/>
        </w:rPr>
        <w:id w:val="-1020385398"/>
        <w:docPartObj>
          <w:docPartGallery w:val="Table of Contents"/>
          <w:docPartUnique/>
        </w:docPartObj>
      </w:sdtPr>
      <w:sdtEndPr>
        <w:rPr>
          <w:b/>
          <w:bCs/>
          <w:noProof/>
        </w:rPr>
      </w:sdtEndPr>
      <w:sdtContent>
        <w:bookmarkStart w:id="0" w:name="_GoBack" w:displacedByCustomXml="prev"/>
        <w:bookmarkEnd w:id="0" w:displacedByCustomXml="prev"/>
        <w:p w:rsidR="007947D7" w:rsidRPr="00E41467" w:rsidRDefault="007947D7" w:rsidP="00E41467">
          <w:pPr>
            <w:pStyle w:val="TOCHeading"/>
            <w:spacing w:after="240"/>
            <w:jc w:val="center"/>
            <w:rPr>
              <w:rFonts w:ascii="Arial" w:hAnsi="Arial" w:cs="Arial"/>
              <w:b/>
              <w:color w:val="auto"/>
            </w:rPr>
          </w:pPr>
          <w:r w:rsidRPr="00E41467">
            <w:rPr>
              <w:rFonts w:ascii="Arial" w:hAnsi="Arial" w:cs="Arial"/>
              <w:b/>
              <w:color w:val="auto"/>
            </w:rPr>
            <w:t>Table of Contents</w:t>
          </w:r>
        </w:p>
        <w:p w:rsidR="003F77CA" w:rsidRDefault="007947D7">
          <w:pPr>
            <w:pStyle w:val="TOC1"/>
            <w:tabs>
              <w:tab w:val="right" w:leader="dot" w:pos="9350"/>
            </w:tabs>
            <w:rPr>
              <w:rFonts w:eastAsiaTheme="minorEastAsia"/>
              <w:noProof/>
            </w:rPr>
          </w:pPr>
          <w:r w:rsidRPr="00E41467">
            <w:rPr>
              <w:rFonts w:ascii="Arial" w:hAnsi="Arial" w:cs="Arial"/>
            </w:rPr>
            <w:fldChar w:fldCharType="begin"/>
          </w:r>
          <w:r w:rsidRPr="00E41467">
            <w:rPr>
              <w:rFonts w:ascii="Arial" w:hAnsi="Arial" w:cs="Arial"/>
            </w:rPr>
            <w:instrText xml:space="preserve"> TOC \o "1-3" \h \z \u </w:instrText>
          </w:r>
          <w:r w:rsidRPr="00E41467">
            <w:rPr>
              <w:rFonts w:ascii="Arial" w:hAnsi="Arial" w:cs="Arial"/>
            </w:rPr>
            <w:fldChar w:fldCharType="separate"/>
          </w:r>
          <w:hyperlink w:anchor="_Toc217117649" w:history="1">
            <w:r w:rsidR="003F77CA" w:rsidRPr="007712FE">
              <w:rPr>
                <w:rStyle w:val="Hyperlink"/>
                <w:rFonts w:ascii="Arial" w:hAnsi="Arial" w:cs="Arial"/>
                <w:b/>
                <w:noProof/>
              </w:rPr>
              <w:t>Introduction</w:t>
            </w:r>
            <w:r w:rsidR="003F77CA">
              <w:rPr>
                <w:noProof/>
                <w:webHidden/>
              </w:rPr>
              <w:tab/>
            </w:r>
            <w:r w:rsidR="003F77CA">
              <w:rPr>
                <w:noProof/>
                <w:webHidden/>
              </w:rPr>
              <w:fldChar w:fldCharType="begin"/>
            </w:r>
            <w:r w:rsidR="003F77CA">
              <w:rPr>
                <w:noProof/>
                <w:webHidden/>
              </w:rPr>
              <w:instrText xml:space="preserve"> PAGEREF _Toc217117649 \h </w:instrText>
            </w:r>
            <w:r w:rsidR="003F77CA">
              <w:rPr>
                <w:noProof/>
                <w:webHidden/>
              </w:rPr>
            </w:r>
            <w:r w:rsidR="003F77CA">
              <w:rPr>
                <w:noProof/>
                <w:webHidden/>
              </w:rPr>
              <w:fldChar w:fldCharType="separate"/>
            </w:r>
            <w:r w:rsidR="003F77CA">
              <w:rPr>
                <w:noProof/>
                <w:webHidden/>
              </w:rPr>
              <w:t>1</w:t>
            </w:r>
            <w:r w:rsidR="003F77CA">
              <w:rPr>
                <w:noProof/>
                <w:webHidden/>
              </w:rPr>
              <w:fldChar w:fldCharType="end"/>
            </w:r>
          </w:hyperlink>
        </w:p>
        <w:p w:rsidR="003F77CA" w:rsidRDefault="003F77CA">
          <w:pPr>
            <w:pStyle w:val="TOC1"/>
            <w:tabs>
              <w:tab w:val="right" w:leader="dot" w:pos="9350"/>
            </w:tabs>
            <w:rPr>
              <w:rFonts w:eastAsiaTheme="minorEastAsia"/>
              <w:noProof/>
            </w:rPr>
          </w:pPr>
          <w:hyperlink w:anchor="_Toc217117650" w:history="1">
            <w:r w:rsidRPr="007712FE">
              <w:rPr>
                <w:rStyle w:val="Hyperlink"/>
                <w:rFonts w:ascii="Arial" w:hAnsi="Arial" w:cs="Arial"/>
                <w:b/>
                <w:noProof/>
              </w:rPr>
              <w:t>1. Financial Health Check of General Electronics</w:t>
            </w:r>
            <w:r>
              <w:rPr>
                <w:noProof/>
                <w:webHidden/>
              </w:rPr>
              <w:tab/>
            </w:r>
            <w:r>
              <w:rPr>
                <w:noProof/>
                <w:webHidden/>
              </w:rPr>
              <w:fldChar w:fldCharType="begin"/>
            </w:r>
            <w:r>
              <w:rPr>
                <w:noProof/>
                <w:webHidden/>
              </w:rPr>
              <w:instrText xml:space="preserve"> PAGEREF _Toc217117650 \h </w:instrText>
            </w:r>
            <w:r>
              <w:rPr>
                <w:noProof/>
                <w:webHidden/>
              </w:rPr>
            </w:r>
            <w:r>
              <w:rPr>
                <w:noProof/>
                <w:webHidden/>
              </w:rPr>
              <w:fldChar w:fldCharType="separate"/>
            </w:r>
            <w:r>
              <w:rPr>
                <w:noProof/>
                <w:webHidden/>
              </w:rPr>
              <w:t>2</w:t>
            </w:r>
            <w:r>
              <w:rPr>
                <w:noProof/>
                <w:webHidden/>
              </w:rPr>
              <w:fldChar w:fldCharType="end"/>
            </w:r>
          </w:hyperlink>
        </w:p>
        <w:p w:rsidR="003F77CA" w:rsidRDefault="003F77CA">
          <w:pPr>
            <w:pStyle w:val="TOC2"/>
            <w:tabs>
              <w:tab w:val="right" w:leader="dot" w:pos="9350"/>
            </w:tabs>
            <w:rPr>
              <w:rFonts w:eastAsiaTheme="minorEastAsia"/>
              <w:noProof/>
            </w:rPr>
          </w:pPr>
          <w:hyperlink w:anchor="_Toc217117651" w:history="1">
            <w:r w:rsidRPr="007712FE">
              <w:rPr>
                <w:rStyle w:val="Hyperlink"/>
                <w:rFonts w:ascii="Arial" w:hAnsi="Arial" w:cs="Arial"/>
                <w:b/>
                <w:noProof/>
              </w:rPr>
              <w:t>1.1 Introduction</w:t>
            </w:r>
            <w:r>
              <w:rPr>
                <w:noProof/>
                <w:webHidden/>
              </w:rPr>
              <w:tab/>
            </w:r>
            <w:r>
              <w:rPr>
                <w:noProof/>
                <w:webHidden/>
              </w:rPr>
              <w:fldChar w:fldCharType="begin"/>
            </w:r>
            <w:r>
              <w:rPr>
                <w:noProof/>
                <w:webHidden/>
              </w:rPr>
              <w:instrText xml:space="preserve"> PAGEREF _Toc217117651 \h </w:instrText>
            </w:r>
            <w:r>
              <w:rPr>
                <w:noProof/>
                <w:webHidden/>
              </w:rPr>
            </w:r>
            <w:r>
              <w:rPr>
                <w:noProof/>
                <w:webHidden/>
              </w:rPr>
              <w:fldChar w:fldCharType="separate"/>
            </w:r>
            <w:r>
              <w:rPr>
                <w:noProof/>
                <w:webHidden/>
              </w:rPr>
              <w:t>2</w:t>
            </w:r>
            <w:r>
              <w:rPr>
                <w:noProof/>
                <w:webHidden/>
              </w:rPr>
              <w:fldChar w:fldCharType="end"/>
            </w:r>
          </w:hyperlink>
        </w:p>
        <w:p w:rsidR="003F77CA" w:rsidRDefault="003F77CA">
          <w:pPr>
            <w:pStyle w:val="TOC2"/>
            <w:tabs>
              <w:tab w:val="right" w:leader="dot" w:pos="9350"/>
            </w:tabs>
            <w:rPr>
              <w:rFonts w:eastAsiaTheme="minorEastAsia"/>
              <w:noProof/>
            </w:rPr>
          </w:pPr>
          <w:hyperlink w:anchor="_Toc217117652" w:history="1">
            <w:r w:rsidRPr="007712FE">
              <w:rPr>
                <w:rStyle w:val="Hyperlink"/>
                <w:rFonts w:ascii="Arial" w:hAnsi="Arial" w:cs="Arial"/>
                <w:b/>
                <w:noProof/>
              </w:rPr>
              <w:t>1.2 Profitability Ratios</w:t>
            </w:r>
            <w:r>
              <w:rPr>
                <w:noProof/>
                <w:webHidden/>
              </w:rPr>
              <w:tab/>
            </w:r>
            <w:r>
              <w:rPr>
                <w:noProof/>
                <w:webHidden/>
              </w:rPr>
              <w:fldChar w:fldCharType="begin"/>
            </w:r>
            <w:r>
              <w:rPr>
                <w:noProof/>
                <w:webHidden/>
              </w:rPr>
              <w:instrText xml:space="preserve"> PAGEREF _Toc217117652 \h </w:instrText>
            </w:r>
            <w:r>
              <w:rPr>
                <w:noProof/>
                <w:webHidden/>
              </w:rPr>
            </w:r>
            <w:r>
              <w:rPr>
                <w:noProof/>
                <w:webHidden/>
              </w:rPr>
              <w:fldChar w:fldCharType="separate"/>
            </w:r>
            <w:r>
              <w:rPr>
                <w:noProof/>
                <w:webHidden/>
              </w:rPr>
              <w:t>2</w:t>
            </w:r>
            <w:r>
              <w:rPr>
                <w:noProof/>
                <w:webHidden/>
              </w:rPr>
              <w:fldChar w:fldCharType="end"/>
            </w:r>
          </w:hyperlink>
        </w:p>
        <w:p w:rsidR="003F77CA" w:rsidRDefault="003F77CA">
          <w:pPr>
            <w:pStyle w:val="TOC3"/>
            <w:tabs>
              <w:tab w:val="right" w:leader="dot" w:pos="9350"/>
            </w:tabs>
            <w:rPr>
              <w:rFonts w:eastAsiaTheme="minorEastAsia"/>
              <w:noProof/>
            </w:rPr>
          </w:pPr>
          <w:hyperlink w:anchor="_Toc217117653" w:history="1">
            <w:r w:rsidRPr="007712FE">
              <w:rPr>
                <w:rStyle w:val="Hyperlink"/>
                <w:rFonts w:ascii="Arial" w:hAnsi="Arial" w:cs="Arial"/>
                <w:b/>
                <w:noProof/>
              </w:rPr>
              <w:t>1.2.1 Gross Profit Margin (GPM)</w:t>
            </w:r>
            <w:r>
              <w:rPr>
                <w:noProof/>
                <w:webHidden/>
              </w:rPr>
              <w:tab/>
            </w:r>
            <w:r>
              <w:rPr>
                <w:noProof/>
                <w:webHidden/>
              </w:rPr>
              <w:fldChar w:fldCharType="begin"/>
            </w:r>
            <w:r>
              <w:rPr>
                <w:noProof/>
                <w:webHidden/>
              </w:rPr>
              <w:instrText xml:space="preserve"> PAGEREF _Toc217117653 \h </w:instrText>
            </w:r>
            <w:r>
              <w:rPr>
                <w:noProof/>
                <w:webHidden/>
              </w:rPr>
            </w:r>
            <w:r>
              <w:rPr>
                <w:noProof/>
                <w:webHidden/>
              </w:rPr>
              <w:fldChar w:fldCharType="separate"/>
            </w:r>
            <w:r>
              <w:rPr>
                <w:noProof/>
                <w:webHidden/>
              </w:rPr>
              <w:t>2</w:t>
            </w:r>
            <w:r>
              <w:rPr>
                <w:noProof/>
                <w:webHidden/>
              </w:rPr>
              <w:fldChar w:fldCharType="end"/>
            </w:r>
          </w:hyperlink>
        </w:p>
        <w:p w:rsidR="003F77CA" w:rsidRDefault="003F77CA">
          <w:pPr>
            <w:pStyle w:val="TOC3"/>
            <w:tabs>
              <w:tab w:val="right" w:leader="dot" w:pos="9350"/>
            </w:tabs>
            <w:rPr>
              <w:rFonts w:eastAsiaTheme="minorEastAsia"/>
              <w:noProof/>
            </w:rPr>
          </w:pPr>
          <w:hyperlink w:anchor="_Toc217117654" w:history="1">
            <w:r w:rsidRPr="007712FE">
              <w:rPr>
                <w:rStyle w:val="Hyperlink"/>
                <w:rFonts w:ascii="Arial" w:hAnsi="Arial" w:cs="Arial"/>
                <w:b/>
                <w:noProof/>
                <w:lang w:val="en-GB" w:eastAsia="en-GB"/>
              </w:rPr>
              <w:t>1.2.2 Net Profit Margin (NPM)</w:t>
            </w:r>
            <w:r>
              <w:rPr>
                <w:noProof/>
                <w:webHidden/>
              </w:rPr>
              <w:tab/>
            </w:r>
            <w:r>
              <w:rPr>
                <w:noProof/>
                <w:webHidden/>
              </w:rPr>
              <w:fldChar w:fldCharType="begin"/>
            </w:r>
            <w:r>
              <w:rPr>
                <w:noProof/>
                <w:webHidden/>
              </w:rPr>
              <w:instrText xml:space="preserve"> PAGEREF _Toc217117654 \h </w:instrText>
            </w:r>
            <w:r>
              <w:rPr>
                <w:noProof/>
                <w:webHidden/>
              </w:rPr>
            </w:r>
            <w:r>
              <w:rPr>
                <w:noProof/>
                <w:webHidden/>
              </w:rPr>
              <w:fldChar w:fldCharType="separate"/>
            </w:r>
            <w:r>
              <w:rPr>
                <w:noProof/>
                <w:webHidden/>
              </w:rPr>
              <w:t>3</w:t>
            </w:r>
            <w:r>
              <w:rPr>
                <w:noProof/>
                <w:webHidden/>
              </w:rPr>
              <w:fldChar w:fldCharType="end"/>
            </w:r>
          </w:hyperlink>
        </w:p>
        <w:p w:rsidR="003F77CA" w:rsidRDefault="003F77CA">
          <w:pPr>
            <w:pStyle w:val="TOC3"/>
            <w:tabs>
              <w:tab w:val="right" w:leader="dot" w:pos="9350"/>
            </w:tabs>
            <w:rPr>
              <w:rFonts w:eastAsiaTheme="minorEastAsia"/>
              <w:noProof/>
            </w:rPr>
          </w:pPr>
          <w:hyperlink w:anchor="_Toc217117655" w:history="1">
            <w:r w:rsidRPr="007712FE">
              <w:rPr>
                <w:rStyle w:val="Hyperlink"/>
                <w:rFonts w:ascii="Arial" w:hAnsi="Arial" w:cs="Arial"/>
                <w:b/>
                <w:noProof/>
              </w:rPr>
              <w:t>1.2.3 Return on Assets (ROA)</w:t>
            </w:r>
            <w:r>
              <w:rPr>
                <w:noProof/>
                <w:webHidden/>
              </w:rPr>
              <w:tab/>
            </w:r>
            <w:r>
              <w:rPr>
                <w:noProof/>
                <w:webHidden/>
              </w:rPr>
              <w:fldChar w:fldCharType="begin"/>
            </w:r>
            <w:r>
              <w:rPr>
                <w:noProof/>
                <w:webHidden/>
              </w:rPr>
              <w:instrText xml:space="preserve"> PAGEREF _Toc217117655 \h </w:instrText>
            </w:r>
            <w:r>
              <w:rPr>
                <w:noProof/>
                <w:webHidden/>
              </w:rPr>
            </w:r>
            <w:r>
              <w:rPr>
                <w:noProof/>
                <w:webHidden/>
              </w:rPr>
              <w:fldChar w:fldCharType="separate"/>
            </w:r>
            <w:r>
              <w:rPr>
                <w:noProof/>
                <w:webHidden/>
              </w:rPr>
              <w:t>3</w:t>
            </w:r>
            <w:r>
              <w:rPr>
                <w:noProof/>
                <w:webHidden/>
              </w:rPr>
              <w:fldChar w:fldCharType="end"/>
            </w:r>
          </w:hyperlink>
        </w:p>
        <w:p w:rsidR="003F77CA" w:rsidRDefault="003F77CA">
          <w:pPr>
            <w:pStyle w:val="TOC3"/>
            <w:tabs>
              <w:tab w:val="right" w:leader="dot" w:pos="9350"/>
            </w:tabs>
            <w:rPr>
              <w:rFonts w:eastAsiaTheme="minorEastAsia"/>
              <w:noProof/>
            </w:rPr>
          </w:pPr>
          <w:hyperlink w:anchor="_Toc217117656" w:history="1">
            <w:r w:rsidRPr="007712FE">
              <w:rPr>
                <w:rStyle w:val="Hyperlink"/>
                <w:rFonts w:ascii="Arial" w:hAnsi="Arial" w:cs="Arial"/>
                <w:b/>
                <w:noProof/>
              </w:rPr>
              <w:t>1.2.4 Return on Equity (ROE)</w:t>
            </w:r>
            <w:r>
              <w:rPr>
                <w:noProof/>
                <w:webHidden/>
              </w:rPr>
              <w:tab/>
            </w:r>
            <w:r>
              <w:rPr>
                <w:noProof/>
                <w:webHidden/>
              </w:rPr>
              <w:fldChar w:fldCharType="begin"/>
            </w:r>
            <w:r>
              <w:rPr>
                <w:noProof/>
                <w:webHidden/>
              </w:rPr>
              <w:instrText xml:space="preserve"> PAGEREF _Toc217117656 \h </w:instrText>
            </w:r>
            <w:r>
              <w:rPr>
                <w:noProof/>
                <w:webHidden/>
              </w:rPr>
            </w:r>
            <w:r>
              <w:rPr>
                <w:noProof/>
                <w:webHidden/>
              </w:rPr>
              <w:fldChar w:fldCharType="separate"/>
            </w:r>
            <w:r>
              <w:rPr>
                <w:noProof/>
                <w:webHidden/>
              </w:rPr>
              <w:t>4</w:t>
            </w:r>
            <w:r>
              <w:rPr>
                <w:noProof/>
                <w:webHidden/>
              </w:rPr>
              <w:fldChar w:fldCharType="end"/>
            </w:r>
          </w:hyperlink>
        </w:p>
        <w:p w:rsidR="003F77CA" w:rsidRDefault="003F77CA">
          <w:pPr>
            <w:pStyle w:val="TOC2"/>
            <w:tabs>
              <w:tab w:val="right" w:leader="dot" w:pos="9350"/>
            </w:tabs>
            <w:rPr>
              <w:rFonts w:eastAsiaTheme="minorEastAsia"/>
              <w:noProof/>
            </w:rPr>
          </w:pPr>
          <w:hyperlink w:anchor="_Toc217117657" w:history="1">
            <w:r w:rsidRPr="007712FE">
              <w:rPr>
                <w:rStyle w:val="Hyperlink"/>
                <w:rFonts w:ascii="Arial" w:hAnsi="Arial" w:cs="Arial"/>
                <w:b/>
                <w:noProof/>
              </w:rPr>
              <w:t>1.3 Liquidity Ratios</w:t>
            </w:r>
            <w:r>
              <w:rPr>
                <w:noProof/>
                <w:webHidden/>
              </w:rPr>
              <w:tab/>
            </w:r>
            <w:r>
              <w:rPr>
                <w:noProof/>
                <w:webHidden/>
              </w:rPr>
              <w:fldChar w:fldCharType="begin"/>
            </w:r>
            <w:r>
              <w:rPr>
                <w:noProof/>
                <w:webHidden/>
              </w:rPr>
              <w:instrText xml:space="preserve"> PAGEREF _Toc217117657 \h </w:instrText>
            </w:r>
            <w:r>
              <w:rPr>
                <w:noProof/>
                <w:webHidden/>
              </w:rPr>
            </w:r>
            <w:r>
              <w:rPr>
                <w:noProof/>
                <w:webHidden/>
              </w:rPr>
              <w:fldChar w:fldCharType="separate"/>
            </w:r>
            <w:r>
              <w:rPr>
                <w:noProof/>
                <w:webHidden/>
              </w:rPr>
              <w:t>5</w:t>
            </w:r>
            <w:r>
              <w:rPr>
                <w:noProof/>
                <w:webHidden/>
              </w:rPr>
              <w:fldChar w:fldCharType="end"/>
            </w:r>
          </w:hyperlink>
        </w:p>
        <w:p w:rsidR="003F77CA" w:rsidRDefault="003F77CA">
          <w:pPr>
            <w:pStyle w:val="TOC3"/>
            <w:tabs>
              <w:tab w:val="right" w:leader="dot" w:pos="9350"/>
            </w:tabs>
            <w:rPr>
              <w:rFonts w:eastAsiaTheme="minorEastAsia"/>
              <w:noProof/>
            </w:rPr>
          </w:pPr>
          <w:hyperlink w:anchor="_Toc217117658" w:history="1">
            <w:r w:rsidRPr="007712FE">
              <w:rPr>
                <w:rStyle w:val="Hyperlink"/>
                <w:rFonts w:ascii="Arial" w:hAnsi="Arial" w:cs="Arial"/>
                <w:b/>
                <w:noProof/>
              </w:rPr>
              <w:t>1.3.1 Current Ratio</w:t>
            </w:r>
            <w:r>
              <w:rPr>
                <w:noProof/>
                <w:webHidden/>
              </w:rPr>
              <w:tab/>
            </w:r>
            <w:r>
              <w:rPr>
                <w:noProof/>
                <w:webHidden/>
              </w:rPr>
              <w:fldChar w:fldCharType="begin"/>
            </w:r>
            <w:r>
              <w:rPr>
                <w:noProof/>
                <w:webHidden/>
              </w:rPr>
              <w:instrText xml:space="preserve"> PAGEREF _Toc217117658 \h </w:instrText>
            </w:r>
            <w:r>
              <w:rPr>
                <w:noProof/>
                <w:webHidden/>
              </w:rPr>
            </w:r>
            <w:r>
              <w:rPr>
                <w:noProof/>
                <w:webHidden/>
              </w:rPr>
              <w:fldChar w:fldCharType="separate"/>
            </w:r>
            <w:r>
              <w:rPr>
                <w:noProof/>
                <w:webHidden/>
              </w:rPr>
              <w:t>5</w:t>
            </w:r>
            <w:r>
              <w:rPr>
                <w:noProof/>
                <w:webHidden/>
              </w:rPr>
              <w:fldChar w:fldCharType="end"/>
            </w:r>
          </w:hyperlink>
        </w:p>
        <w:p w:rsidR="003F77CA" w:rsidRDefault="003F77CA">
          <w:pPr>
            <w:pStyle w:val="TOC3"/>
            <w:tabs>
              <w:tab w:val="right" w:leader="dot" w:pos="9350"/>
            </w:tabs>
            <w:rPr>
              <w:rFonts w:eastAsiaTheme="minorEastAsia"/>
              <w:noProof/>
            </w:rPr>
          </w:pPr>
          <w:hyperlink w:anchor="_Toc217117659" w:history="1">
            <w:r w:rsidRPr="007712FE">
              <w:rPr>
                <w:rStyle w:val="Hyperlink"/>
                <w:rFonts w:ascii="Arial" w:hAnsi="Arial" w:cs="Arial"/>
                <w:b/>
                <w:noProof/>
              </w:rPr>
              <w:t>1.3.2 Quick Ratio</w:t>
            </w:r>
            <w:r>
              <w:rPr>
                <w:noProof/>
                <w:webHidden/>
              </w:rPr>
              <w:tab/>
            </w:r>
            <w:r>
              <w:rPr>
                <w:noProof/>
                <w:webHidden/>
              </w:rPr>
              <w:fldChar w:fldCharType="begin"/>
            </w:r>
            <w:r>
              <w:rPr>
                <w:noProof/>
                <w:webHidden/>
              </w:rPr>
              <w:instrText xml:space="preserve"> PAGEREF _Toc217117659 \h </w:instrText>
            </w:r>
            <w:r>
              <w:rPr>
                <w:noProof/>
                <w:webHidden/>
              </w:rPr>
            </w:r>
            <w:r>
              <w:rPr>
                <w:noProof/>
                <w:webHidden/>
              </w:rPr>
              <w:fldChar w:fldCharType="separate"/>
            </w:r>
            <w:r>
              <w:rPr>
                <w:noProof/>
                <w:webHidden/>
              </w:rPr>
              <w:t>6</w:t>
            </w:r>
            <w:r>
              <w:rPr>
                <w:noProof/>
                <w:webHidden/>
              </w:rPr>
              <w:fldChar w:fldCharType="end"/>
            </w:r>
          </w:hyperlink>
        </w:p>
        <w:p w:rsidR="003F77CA" w:rsidRDefault="003F77CA">
          <w:pPr>
            <w:pStyle w:val="TOC2"/>
            <w:tabs>
              <w:tab w:val="right" w:leader="dot" w:pos="9350"/>
            </w:tabs>
            <w:rPr>
              <w:rFonts w:eastAsiaTheme="minorEastAsia"/>
              <w:noProof/>
            </w:rPr>
          </w:pPr>
          <w:hyperlink w:anchor="_Toc217117660" w:history="1">
            <w:r w:rsidRPr="007712FE">
              <w:rPr>
                <w:rStyle w:val="Hyperlink"/>
                <w:rFonts w:ascii="Arial" w:hAnsi="Arial" w:cs="Arial"/>
                <w:b/>
                <w:noProof/>
              </w:rPr>
              <w:t>1.4 Efficiency Ratios</w:t>
            </w:r>
            <w:r>
              <w:rPr>
                <w:noProof/>
                <w:webHidden/>
              </w:rPr>
              <w:tab/>
            </w:r>
            <w:r>
              <w:rPr>
                <w:noProof/>
                <w:webHidden/>
              </w:rPr>
              <w:fldChar w:fldCharType="begin"/>
            </w:r>
            <w:r>
              <w:rPr>
                <w:noProof/>
                <w:webHidden/>
              </w:rPr>
              <w:instrText xml:space="preserve"> PAGEREF _Toc217117660 \h </w:instrText>
            </w:r>
            <w:r>
              <w:rPr>
                <w:noProof/>
                <w:webHidden/>
              </w:rPr>
            </w:r>
            <w:r>
              <w:rPr>
                <w:noProof/>
                <w:webHidden/>
              </w:rPr>
              <w:fldChar w:fldCharType="separate"/>
            </w:r>
            <w:r>
              <w:rPr>
                <w:noProof/>
                <w:webHidden/>
              </w:rPr>
              <w:t>6</w:t>
            </w:r>
            <w:r>
              <w:rPr>
                <w:noProof/>
                <w:webHidden/>
              </w:rPr>
              <w:fldChar w:fldCharType="end"/>
            </w:r>
          </w:hyperlink>
        </w:p>
        <w:p w:rsidR="003F77CA" w:rsidRDefault="003F77CA">
          <w:pPr>
            <w:pStyle w:val="TOC3"/>
            <w:tabs>
              <w:tab w:val="right" w:leader="dot" w:pos="9350"/>
            </w:tabs>
            <w:rPr>
              <w:rFonts w:eastAsiaTheme="minorEastAsia"/>
              <w:noProof/>
            </w:rPr>
          </w:pPr>
          <w:hyperlink w:anchor="_Toc217117661" w:history="1">
            <w:r w:rsidRPr="007712FE">
              <w:rPr>
                <w:rStyle w:val="Hyperlink"/>
                <w:rFonts w:ascii="Arial" w:hAnsi="Arial" w:cs="Arial"/>
                <w:b/>
                <w:noProof/>
              </w:rPr>
              <w:t>1.4.1 Inventory Turnover</w:t>
            </w:r>
            <w:r>
              <w:rPr>
                <w:noProof/>
                <w:webHidden/>
              </w:rPr>
              <w:tab/>
            </w:r>
            <w:r>
              <w:rPr>
                <w:noProof/>
                <w:webHidden/>
              </w:rPr>
              <w:fldChar w:fldCharType="begin"/>
            </w:r>
            <w:r>
              <w:rPr>
                <w:noProof/>
                <w:webHidden/>
              </w:rPr>
              <w:instrText xml:space="preserve"> PAGEREF _Toc217117661 \h </w:instrText>
            </w:r>
            <w:r>
              <w:rPr>
                <w:noProof/>
                <w:webHidden/>
              </w:rPr>
            </w:r>
            <w:r>
              <w:rPr>
                <w:noProof/>
                <w:webHidden/>
              </w:rPr>
              <w:fldChar w:fldCharType="separate"/>
            </w:r>
            <w:r>
              <w:rPr>
                <w:noProof/>
                <w:webHidden/>
              </w:rPr>
              <w:t>6</w:t>
            </w:r>
            <w:r>
              <w:rPr>
                <w:noProof/>
                <w:webHidden/>
              </w:rPr>
              <w:fldChar w:fldCharType="end"/>
            </w:r>
          </w:hyperlink>
        </w:p>
        <w:p w:rsidR="003F77CA" w:rsidRDefault="003F77CA">
          <w:pPr>
            <w:pStyle w:val="TOC3"/>
            <w:tabs>
              <w:tab w:val="right" w:leader="dot" w:pos="9350"/>
            </w:tabs>
            <w:rPr>
              <w:rFonts w:eastAsiaTheme="minorEastAsia"/>
              <w:noProof/>
            </w:rPr>
          </w:pPr>
          <w:hyperlink w:anchor="_Toc217117662" w:history="1">
            <w:r w:rsidRPr="007712FE">
              <w:rPr>
                <w:rStyle w:val="Hyperlink"/>
                <w:rFonts w:ascii="Arial" w:eastAsia="Times New Roman" w:hAnsi="Arial" w:cs="Arial"/>
                <w:b/>
                <w:bCs/>
                <w:noProof/>
                <w:lang w:val="en-GB" w:eastAsia="en-GB"/>
              </w:rPr>
              <w:t>1.4.2 Receivables Turnover (RT)</w:t>
            </w:r>
            <w:r>
              <w:rPr>
                <w:noProof/>
                <w:webHidden/>
              </w:rPr>
              <w:tab/>
            </w:r>
            <w:r>
              <w:rPr>
                <w:noProof/>
                <w:webHidden/>
              </w:rPr>
              <w:fldChar w:fldCharType="begin"/>
            </w:r>
            <w:r>
              <w:rPr>
                <w:noProof/>
                <w:webHidden/>
              </w:rPr>
              <w:instrText xml:space="preserve"> PAGEREF _Toc217117662 \h </w:instrText>
            </w:r>
            <w:r>
              <w:rPr>
                <w:noProof/>
                <w:webHidden/>
              </w:rPr>
            </w:r>
            <w:r>
              <w:rPr>
                <w:noProof/>
                <w:webHidden/>
              </w:rPr>
              <w:fldChar w:fldCharType="separate"/>
            </w:r>
            <w:r>
              <w:rPr>
                <w:noProof/>
                <w:webHidden/>
              </w:rPr>
              <w:t>7</w:t>
            </w:r>
            <w:r>
              <w:rPr>
                <w:noProof/>
                <w:webHidden/>
              </w:rPr>
              <w:fldChar w:fldCharType="end"/>
            </w:r>
          </w:hyperlink>
        </w:p>
        <w:p w:rsidR="003F77CA" w:rsidRDefault="003F77CA">
          <w:pPr>
            <w:pStyle w:val="TOC3"/>
            <w:tabs>
              <w:tab w:val="right" w:leader="dot" w:pos="9350"/>
            </w:tabs>
            <w:rPr>
              <w:rFonts w:eastAsiaTheme="minorEastAsia"/>
              <w:noProof/>
            </w:rPr>
          </w:pPr>
          <w:hyperlink w:anchor="_Toc217117663" w:history="1">
            <w:r w:rsidRPr="007712FE">
              <w:rPr>
                <w:rStyle w:val="Hyperlink"/>
                <w:rFonts w:ascii="Arial" w:eastAsia="Times New Roman" w:hAnsi="Arial" w:cs="Arial"/>
                <w:b/>
                <w:noProof/>
                <w:lang w:val="en-GB" w:eastAsia="en-GB"/>
              </w:rPr>
              <w:t>1.4.3 Total Asset Turnover (TAT)</w:t>
            </w:r>
            <w:r>
              <w:rPr>
                <w:noProof/>
                <w:webHidden/>
              </w:rPr>
              <w:tab/>
            </w:r>
            <w:r>
              <w:rPr>
                <w:noProof/>
                <w:webHidden/>
              </w:rPr>
              <w:fldChar w:fldCharType="begin"/>
            </w:r>
            <w:r>
              <w:rPr>
                <w:noProof/>
                <w:webHidden/>
              </w:rPr>
              <w:instrText xml:space="preserve"> PAGEREF _Toc217117663 \h </w:instrText>
            </w:r>
            <w:r>
              <w:rPr>
                <w:noProof/>
                <w:webHidden/>
              </w:rPr>
            </w:r>
            <w:r>
              <w:rPr>
                <w:noProof/>
                <w:webHidden/>
              </w:rPr>
              <w:fldChar w:fldCharType="separate"/>
            </w:r>
            <w:r>
              <w:rPr>
                <w:noProof/>
                <w:webHidden/>
              </w:rPr>
              <w:t>8</w:t>
            </w:r>
            <w:r>
              <w:rPr>
                <w:noProof/>
                <w:webHidden/>
              </w:rPr>
              <w:fldChar w:fldCharType="end"/>
            </w:r>
          </w:hyperlink>
        </w:p>
        <w:p w:rsidR="003F77CA" w:rsidRDefault="003F77CA">
          <w:pPr>
            <w:pStyle w:val="TOC2"/>
            <w:tabs>
              <w:tab w:val="right" w:leader="dot" w:pos="9350"/>
            </w:tabs>
            <w:rPr>
              <w:rFonts w:eastAsiaTheme="minorEastAsia"/>
              <w:noProof/>
            </w:rPr>
          </w:pPr>
          <w:hyperlink w:anchor="_Toc217117664" w:history="1">
            <w:r w:rsidRPr="007712FE">
              <w:rPr>
                <w:rStyle w:val="Hyperlink"/>
                <w:rFonts w:ascii="Arial" w:eastAsia="Times New Roman" w:hAnsi="Arial" w:cs="Arial"/>
                <w:b/>
                <w:noProof/>
                <w:lang w:val="en-GB" w:eastAsia="en-GB"/>
              </w:rPr>
              <w:t>1.5 Gearing Ratios</w:t>
            </w:r>
            <w:r>
              <w:rPr>
                <w:noProof/>
                <w:webHidden/>
              </w:rPr>
              <w:tab/>
            </w:r>
            <w:r>
              <w:rPr>
                <w:noProof/>
                <w:webHidden/>
              </w:rPr>
              <w:fldChar w:fldCharType="begin"/>
            </w:r>
            <w:r>
              <w:rPr>
                <w:noProof/>
                <w:webHidden/>
              </w:rPr>
              <w:instrText xml:space="preserve"> PAGEREF _Toc217117664 \h </w:instrText>
            </w:r>
            <w:r>
              <w:rPr>
                <w:noProof/>
                <w:webHidden/>
              </w:rPr>
            </w:r>
            <w:r>
              <w:rPr>
                <w:noProof/>
                <w:webHidden/>
              </w:rPr>
              <w:fldChar w:fldCharType="separate"/>
            </w:r>
            <w:r>
              <w:rPr>
                <w:noProof/>
                <w:webHidden/>
              </w:rPr>
              <w:t>8</w:t>
            </w:r>
            <w:r>
              <w:rPr>
                <w:noProof/>
                <w:webHidden/>
              </w:rPr>
              <w:fldChar w:fldCharType="end"/>
            </w:r>
          </w:hyperlink>
        </w:p>
        <w:p w:rsidR="003F77CA" w:rsidRDefault="003F77CA">
          <w:pPr>
            <w:pStyle w:val="TOC3"/>
            <w:tabs>
              <w:tab w:val="right" w:leader="dot" w:pos="9350"/>
            </w:tabs>
            <w:rPr>
              <w:rFonts w:eastAsiaTheme="minorEastAsia"/>
              <w:noProof/>
            </w:rPr>
          </w:pPr>
          <w:hyperlink w:anchor="_Toc217117665" w:history="1">
            <w:r w:rsidRPr="007712FE">
              <w:rPr>
                <w:rStyle w:val="Hyperlink"/>
                <w:rFonts w:ascii="Arial" w:eastAsia="Times New Roman" w:hAnsi="Arial" w:cs="Arial"/>
                <w:b/>
                <w:noProof/>
                <w:lang w:val="en-GB" w:eastAsia="en-GB"/>
              </w:rPr>
              <w:t>1.5.1 Debt-to-Equity Ratio (D/E)</w:t>
            </w:r>
            <w:r>
              <w:rPr>
                <w:noProof/>
                <w:webHidden/>
              </w:rPr>
              <w:tab/>
            </w:r>
            <w:r>
              <w:rPr>
                <w:noProof/>
                <w:webHidden/>
              </w:rPr>
              <w:fldChar w:fldCharType="begin"/>
            </w:r>
            <w:r>
              <w:rPr>
                <w:noProof/>
                <w:webHidden/>
              </w:rPr>
              <w:instrText xml:space="preserve"> PAGEREF _Toc217117665 \h </w:instrText>
            </w:r>
            <w:r>
              <w:rPr>
                <w:noProof/>
                <w:webHidden/>
              </w:rPr>
            </w:r>
            <w:r>
              <w:rPr>
                <w:noProof/>
                <w:webHidden/>
              </w:rPr>
              <w:fldChar w:fldCharType="separate"/>
            </w:r>
            <w:r>
              <w:rPr>
                <w:noProof/>
                <w:webHidden/>
              </w:rPr>
              <w:t>9</w:t>
            </w:r>
            <w:r>
              <w:rPr>
                <w:noProof/>
                <w:webHidden/>
              </w:rPr>
              <w:fldChar w:fldCharType="end"/>
            </w:r>
          </w:hyperlink>
        </w:p>
        <w:p w:rsidR="003F77CA" w:rsidRDefault="003F77CA">
          <w:pPr>
            <w:pStyle w:val="TOC3"/>
            <w:tabs>
              <w:tab w:val="right" w:leader="dot" w:pos="9350"/>
            </w:tabs>
            <w:rPr>
              <w:rFonts w:eastAsiaTheme="minorEastAsia"/>
              <w:noProof/>
            </w:rPr>
          </w:pPr>
          <w:hyperlink w:anchor="_Toc217117666" w:history="1">
            <w:r w:rsidRPr="007712FE">
              <w:rPr>
                <w:rStyle w:val="Hyperlink"/>
                <w:rFonts w:ascii="Arial" w:eastAsia="Times New Roman" w:hAnsi="Arial" w:cs="Arial"/>
                <w:b/>
                <w:bCs/>
                <w:noProof/>
                <w:lang w:val="en-GB" w:eastAsia="en-GB"/>
              </w:rPr>
              <w:t>1.5.2 Interest Coverage Ratio (ICR)</w:t>
            </w:r>
            <w:r>
              <w:rPr>
                <w:noProof/>
                <w:webHidden/>
              </w:rPr>
              <w:tab/>
            </w:r>
            <w:r>
              <w:rPr>
                <w:noProof/>
                <w:webHidden/>
              </w:rPr>
              <w:fldChar w:fldCharType="begin"/>
            </w:r>
            <w:r>
              <w:rPr>
                <w:noProof/>
                <w:webHidden/>
              </w:rPr>
              <w:instrText xml:space="preserve"> PAGEREF _Toc217117666 \h </w:instrText>
            </w:r>
            <w:r>
              <w:rPr>
                <w:noProof/>
                <w:webHidden/>
              </w:rPr>
            </w:r>
            <w:r>
              <w:rPr>
                <w:noProof/>
                <w:webHidden/>
              </w:rPr>
              <w:fldChar w:fldCharType="separate"/>
            </w:r>
            <w:r>
              <w:rPr>
                <w:noProof/>
                <w:webHidden/>
              </w:rPr>
              <w:t>9</w:t>
            </w:r>
            <w:r>
              <w:rPr>
                <w:noProof/>
                <w:webHidden/>
              </w:rPr>
              <w:fldChar w:fldCharType="end"/>
            </w:r>
          </w:hyperlink>
        </w:p>
        <w:p w:rsidR="003F77CA" w:rsidRDefault="003F77CA">
          <w:pPr>
            <w:pStyle w:val="TOC2"/>
            <w:tabs>
              <w:tab w:val="right" w:leader="dot" w:pos="9350"/>
            </w:tabs>
            <w:rPr>
              <w:rFonts w:eastAsiaTheme="minorEastAsia"/>
              <w:noProof/>
            </w:rPr>
          </w:pPr>
          <w:hyperlink w:anchor="_Toc217117667" w:history="1">
            <w:r w:rsidRPr="007712FE">
              <w:rPr>
                <w:rStyle w:val="Hyperlink"/>
                <w:rFonts w:ascii="Arial" w:eastAsia="Times New Roman" w:hAnsi="Arial" w:cs="Arial"/>
                <w:b/>
                <w:noProof/>
                <w:lang w:val="en-GB" w:eastAsia="en-GB"/>
              </w:rPr>
              <w:t>1.6 Cash Flow Ratios</w:t>
            </w:r>
            <w:r>
              <w:rPr>
                <w:noProof/>
                <w:webHidden/>
              </w:rPr>
              <w:tab/>
            </w:r>
            <w:r>
              <w:rPr>
                <w:noProof/>
                <w:webHidden/>
              </w:rPr>
              <w:fldChar w:fldCharType="begin"/>
            </w:r>
            <w:r>
              <w:rPr>
                <w:noProof/>
                <w:webHidden/>
              </w:rPr>
              <w:instrText xml:space="preserve"> PAGEREF _Toc217117667 \h </w:instrText>
            </w:r>
            <w:r>
              <w:rPr>
                <w:noProof/>
                <w:webHidden/>
              </w:rPr>
            </w:r>
            <w:r>
              <w:rPr>
                <w:noProof/>
                <w:webHidden/>
              </w:rPr>
              <w:fldChar w:fldCharType="separate"/>
            </w:r>
            <w:r>
              <w:rPr>
                <w:noProof/>
                <w:webHidden/>
              </w:rPr>
              <w:t>10</w:t>
            </w:r>
            <w:r>
              <w:rPr>
                <w:noProof/>
                <w:webHidden/>
              </w:rPr>
              <w:fldChar w:fldCharType="end"/>
            </w:r>
          </w:hyperlink>
        </w:p>
        <w:p w:rsidR="003F77CA" w:rsidRDefault="003F77CA">
          <w:pPr>
            <w:pStyle w:val="TOC2"/>
            <w:tabs>
              <w:tab w:val="right" w:leader="dot" w:pos="9350"/>
            </w:tabs>
            <w:rPr>
              <w:rFonts w:eastAsiaTheme="minorEastAsia"/>
              <w:noProof/>
            </w:rPr>
          </w:pPr>
          <w:hyperlink w:anchor="_Toc217117668" w:history="1">
            <w:r w:rsidRPr="007712FE">
              <w:rPr>
                <w:rStyle w:val="Hyperlink"/>
                <w:rFonts w:ascii="Arial" w:hAnsi="Arial" w:cs="Arial"/>
                <w:b/>
                <w:noProof/>
              </w:rPr>
              <w:t>1.7 Corporate Failure Prediction: The Altman Z-Score</w:t>
            </w:r>
            <w:r>
              <w:rPr>
                <w:noProof/>
                <w:webHidden/>
              </w:rPr>
              <w:tab/>
            </w:r>
            <w:r>
              <w:rPr>
                <w:noProof/>
                <w:webHidden/>
              </w:rPr>
              <w:fldChar w:fldCharType="begin"/>
            </w:r>
            <w:r>
              <w:rPr>
                <w:noProof/>
                <w:webHidden/>
              </w:rPr>
              <w:instrText xml:space="preserve"> PAGEREF _Toc217117668 \h </w:instrText>
            </w:r>
            <w:r>
              <w:rPr>
                <w:noProof/>
                <w:webHidden/>
              </w:rPr>
            </w:r>
            <w:r>
              <w:rPr>
                <w:noProof/>
                <w:webHidden/>
              </w:rPr>
              <w:fldChar w:fldCharType="separate"/>
            </w:r>
            <w:r>
              <w:rPr>
                <w:noProof/>
                <w:webHidden/>
              </w:rPr>
              <w:t>11</w:t>
            </w:r>
            <w:r>
              <w:rPr>
                <w:noProof/>
                <w:webHidden/>
              </w:rPr>
              <w:fldChar w:fldCharType="end"/>
            </w:r>
          </w:hyperlink>
        </w:p>
        <w:p w:rsidR="003F77CA" w:rsidRDefault="003F77CA">
          <w:pPr>
            <w:pStyle w:val="TOC2"/>
            <w:tabs>
              <w:tab w:val="right" w:leader="dot" w:pos="9350"/>
            </w:tabs>
            <w:rPr>
              <w:rFonts w:eastAsiaTheme="minorEastAsia"/>
              <w:noProof/>
            </w:rPr>
          </w:pPr>
          <w:hyperlink w:anchor="_Toc217117669" w:history="1">
            <w:r w:rsidRPr="007712FE">
              <w:rPr>
                <w:rStyle w:val="Hyperlink"/>
                <w:rFonts w:ascii="Arial" w:hAnsi="Arial" w:cs="Arial"/>
                <w:b/>
                <w:noProof/>
              </w:rPr>
              <w:t>1.8 Benchmarking and Trend Analysis</w:t>
            </w:r>
            <w:r>
              <w:rPr>
                <w:noProof/>
                <w:webHidden/>
              </w:rPr>
              <w:tab/>
            </w:r>
            <w:r>
              <w:rPr>
                <w:noProof/>
                <w:webHidden/>
              </w:rPr>
              <w:fldChar w:fldCharType="begin"/>
            </w:r>
            <w:r>
              <w:rPr>
                <w:noProof/>
                <w:webHidden/>
              </w:rPr>
              <w:instrText xml:space="preserve"> PAGEREF _Toc217117669 \h </w:instrText>
            </w:r>
            <w:r>
              <w:rPr>
                <w:noProof/>
                <w:webHidden/>
              </w:rPr>
            </w:r>
            <w:r>
              <w:rPr>
                <w:noProof/>
                <w:webHidden/>
              </w:rPr>
              <w:fldChar w:fldCharType="separate"/>
            </w:r>
            <w:r>
              <w:rPr>
                <w:noProof/>
                <w:webHidden/>
              </w:rPr>
              <w:t>12</w:t>
            </w:r>
            <w:r>
              <w:rPr>
                <w:noProof/>
                <w:webHidden/>
              </w:rPr>
              <w:fldChar w:fldCharType="end"/>
            </w:r>
          </w:hyperlink>
        </w:p>
        <w:p w:rsidR="003F77CA" w:rsidRDefault="003F77CA">
          <w:pPr>
            <w:pStyle w:val="TOC1"/>
            <w:tabs>
              <w:tab w:val="right" w:leader="dot" w:pos="9350"/>
            </w:tabs>
            <w:rPr>
              <w:rFonts w:eastAsiaTheme="minorEastAsia"/>
              <w:noProof/>
            </w:rPr>
          </w:pPr>
          <w:hyperlink w:anchor="_Toc217117670" w:history="1">
            <w:r w:rsidRPr="007712FE">
              <w:rPr>
                <w:rStyle w:val="Hyperlink"/>
                <w:rFonts w:ascii="Arial" w:hAnsi="Arial" w:cs="Arial"/>
                <w:b/>
                <w:noProof/>
              </w:rPr>
              <w:t>2. Working Capital Management Analysis</w:t>
            </w:r>
            <w:r>
              <w:rPr>
                <w:noProof/>
                <w:webHidden/>
              </w:rPr>
              <w:tab/>
            </w:r>
            <w:r>
              <w:rPr>
                <w:noProof/>
                <w:webHidden/>
              </w:rPr>
              <w:fldChar w:fldCharType="begin"/>
            </w:r>
            <w:r>
              <w:rPr>
                <w:noProof/>
                <w:webHidden/>
              </w:rPr>
              <w:instrText xml:space="preserve"> PAGEREF _Toc217117670 \h </w:instrText>
            </w:r>
            <w:r>
              <w:rPr>
                <w:noProof/>
                <w:webHidden/>
              </w:rPr>
            </w:r>
            <w:r>
              <w:rPr>
                <w:noProof/>
                <w:webHidden/>
              </w:rPr>
              <w:fldChar w:fldCharType="separate"/>
            </w:r>
            <w:r>
              <w:rPr>
                <w:noProof/>
                <w:webHidden/>
              </w:rPr>
              <w:t>12</w:t>
            </w:r>
            <w:r>
              <w:rPr>
                <w:noProof/>
                <w:webHidden/>
              </w:rPr>
              <w:fldChar w:fldCharType="end"/>
            </w:r>
          </w:hyperlink>
        </w:p>
        <w:p w:rsidR="003F77CA" w:rsidRDefault="003F77CA">
          <w:pPr>
            <w:pStyle w:val="TOC2"/>
            <w:tabs>
              <w:tab w:val="right" w:leader="dot" w:pos="9350"/>
            </w:tabs>
            <w:rPr>
              <w:rFonts w:eastAsiaTheme="minorEastAsia"/>
              <w:noProof/>
            </w:rPr>
          </w:pPr>
          <w:hyperlink w:anchor="_Toc217117671" w:history="1">
            <w:r w:rsidRPr="007712FE">
              <w:rPr>
                <w:rStyle w:val="Hyperlink"/>
                <w:rFonts w:ascii="Arial" w:hAnsi="Arial" w:cs="Arial"/>
                <w:b/>
                <w:noProof/>
              </w:rPr>
              <w:t>2.1 Introduction</w:t>
            </w:r>
            <w:r>
              <w:rPr>
                <w:noProof/>
                <w:webHidden/>
              </w:rPr>
              <w:tab/>
            </w:r>
            <w:r>
              <w:rPr>
                <w:noProof/>
                <w:webHidden/>
              </w:rPr>
              <w:fldChar w:fldCharType="begin"/>
            </w:r>
            <w:r>
              <w:rPr>
                <w:noProof/>
                <w:webHidden/>
              </w:rPr>
              <w:instrText xml:space="preserve"> PAGEREF _Toc217117671 \h </w:instrText>
            </w:r>
            <w:r>
              <w:rPr>
                <w:noProof/>
                <w:webHidden/>
              </w:rPr>
            </w:r>
            <w:r>
              <w:rPr>
                <w:noProof/>
                <w:webHidden/>
              </w:rPr>
              <w:fldChar w:fldCharType="separate"/>
            </w:r>
            <w:r>
              <w:rPr>
                <w:noProof/>
                <w:webHidden/>
              </w:rPr>
              <w:t>12</w:t>
            </w:r>
            <w:r>
              <w:rPr>
                <w:noProof/>
                <w:webHidden/>
              </w:rPr>
              <w:fldChar w:fldCharType="end"/>
            </w:r>
          </w:hyperlink>
        </w:p>
        <w:p w:rsidR="003F77CA" w:rsidRDefault="003F77CA">
          <w:pPr>
            <w:pStyle w:val="TOC2"/>
            <w:tabs>
              <w:tab w:val="right" w:leader="dot" w:pos="9350"/>
            </w:tabs>
            <w:rPr>
              <w:rFonts w:eastAsiaTheme="minorEastAsia"/>
              <w:noProof/>
            </w:rPr>
          </w:pPr>
          <w:hyperlink w:anchor="_Toc217117672" w:history="1">
            <w:r w:rsidRPr="007712FE">
              <w:rPr>
                <w:rStyle w:val="Hyperlink"/>
                <w:rFonts w:ascii="Arial" w:hAnsi="Arial" w:cs="Arial"/>
                <w:b/>
                <w:noProof/>
              </w:rPr>
              <w:t>2.2 Assessing the Cash Operating Cycle</w:t>
            </w:r>
            <w:r>
              <w:rPr>
                <w:noProof/>
                <w:webHidden/>
              </w:rPr>
              <w:tab/>
            </w:r>
            <w:r>
              <w:rPr>
                <w:noProof/>
                <w:webHidden/>
              </w:rPr>
              <w:fldChar w:fldCharType="begin"/>
            </w:r>
            <w:r>
              <w:rPr>
                <w:noProof/>
                <w:webHidden/>
              </w:rPr>
              <w:instrText xml:space="preserve"> PAGEREF _Toc217117672 \h </w:instrText>
            </w:r>
            <w:r>
              <w:rPr>
                <w:noProof/>
                <w:webHidden/>
              </w:rPr>
            </w:r>
            <w:r>
              <w:rPr>
                <w:noProof/>
                <w:webHidden/>
              </w:rPr>
              <w:fldChar w:fldCharType="separate"/>
            </w:r>
            <w:r>
              <w:rPr>
                <w:noProof/>
                <w:webHidden/>
              </w:rPr>
              <w:t>13</w:t>
            </w:r>
            <w:r>
              <w:rPr>
                <w:noProof/>
                <w:webHidden/>
              </w:rPr>
              <w:fldChar w:fldCharType="end"/>
            </w:r>
          </w:hyperlink>
        </w:p>
        <w:p w:rsidR="003F77CA" w:rsidRDefault="003F77CA">
          <w:pPr>
            <w:pStyle w:val="TOC2"/>
            <w:tabs>
              <w:tab w:val="right" w:leader="dot" w:pos="9350"/>
            </w:tabs>
            <w:rPr>
              <w:rFonts w:eastAsiaTheme="minorEastAsia"/>
              <w:noProof/>
            </w:rPr>
          </w:pPr>
          <w:hyperlink w:anchor="_Toc217117673" w:history="1">
            <w:r w:rsidRPr="007712FE">
              <w:rPr>
                <w:rStyle w:val="Hyperlink"/>
                <w:rFonts w:ascii="Arial" w:hAnsi="Arial" w:cs="Arial"/>
                <w:b/>
                <w:noProof/>
              </w:rPr>
              <w:t>2.3 Working Capital Challenges</w:t>
            </w:r>
            <w:r>
              <w:rPr>
                <w:noProof/>
                <w:webHidden/>
              </w:rPr>
              <w:tab/>
            </w:r>
            <w:r>
              <w:rPr>
                <w:noProof/>
                <w:webHidden/>
              </w:rPr>
              <w:fldChar w:fldCharType="begin"/>
            </w:r>
            <w:r>
              <w:rPr>
                <w:noProof/>
                <w:webHidden/>
              </w:rPr>
              <w:instrText xml:space="preserve"> PAGEREF _Toc217117673 \h </w:instrText>
            </w:r>
            <w:r>
              <w:rPr>
                <w:noProof/>
                <w:webHidden/>
              </w:rPr>
            </w:r>
            <w:r>
              <w:rPr>
                <w:noProof/>
                <w:webHidden/>
              </w:rPr>
              <w:fldChar w:fldCharType="separate"/>
            </w:r>
            <w:r>
              <w:rPr>
                <w:noProof/>
                <w:webHidden/>
              </w:rPr>
              <w:t>13</w:t>
            </w:r>
            <w:r>
              <w:rPr>
                <w:noProof/>
                <w:webHidden/>
              </w:rPr>
              <w:fldChar w:fldCharType="end"/>
            </w:r>
          </w:hyperlink>
        </w:p>
        <w:p w:rsidR="003F77CA" w:rsidRDefault="003F77CA">
          <w:pPr>
            <w:pStyle w:val="TOC2"/>
            <w:tabs>
              <w:tab w:val="right" w:leader="dot" w:pos="9350"/>
            </w:tabs>
            <w:rPr>
              <w:rFonts w:eastAsiaTheme="minorEastAsia"/>
              <w:noProof/>
            </w:rPr>
          </w:pPr>
          <w:hyperlink w:anchor="_Toc217117674" w:history="1">
            <w:r w:rsidRPr="007712FE">
              <w:rPr>
                <w:rStyle w:val="Hyperlink"/>
                <w:rFonts w:ascii="Arial" w:hAnsi="Arial" w:cs="Arial"/>
                <w:b/>
                <w:noProof/>
              </w:rPr>
              <w:t>2.4 Strategies to Improve Liquidity</w:t>
            </w:r>
            <w:r>
              <w:rPr>
                <w:noProof/>
                <w:webHidden/>
              </w:rPr>
              <w:tab/>
            </w:r>
            <w:r>
              <w:rPr>
                <w:noProof/>
                <w:webHidden/>
              </w:rPr>
              <w:fldChar w:fldCharType="begin"/>
            </w:r>
            <w:r>
              <w:rPr>
                <w:noProof/>
                <w:webHidden/>
              </w:rPr>
              <w:instrText xml:space="preserve"> PAGEREF _Toc217117674 \h </w:instrText>
            </w:r>
            <w:r>
              <w:rPr>
                <w:noProof/>
                <w:webHidden/>
              </w:rPr>
            </w:r>
            <w:r>
              <w:rPr>
                <w:noProof/>
                <w:webHidden/>
              </w:rPr>
              <w:fldChar w:fldCharType="separate"/>
            </w:r>
            <w:r>
              <w:rPr>
                <w:noProof/>
                <w:webHidden/>
              </w:rPr>
              <w:t>14</w:t>
            </w:r>
            <w:r>
              <w:rPr>
                <w:noProof/>
                <w:webHidden/>
              </w:rPr>
              <w:fldChar w:fldCharType="end"/>
            </w:r>
          </w:hyperlink>
        </w:p>
        <w:p w:rsidR="003F77CA" w:rsidRDefault="003F77CA">
          <w:pPr>
            <w:pStyle w:val="TOC3"/>
            <w:tabs>
              <w:tab w:val="right" w:leader="dot" w:pos="9350"/>
            </w:tabs>
            <w:rPr>
              <w:rFonts w:eastAsiaTheme="minorEastAsia"/>
              <w:noProof/>
            </w:rPr>
          </w:pPr>
          <w:hyperlink w:anchor="_Toc217117675" w:history="1">
            <w:r w:rsidRPr="007712FE">
              <w:rPr>
                <w:rStyle w:val="Hyperlink"/>
                <w:rFonts w:ascii="Arial" w:hAnsi="Arial" w:cs="Arial"/>
                <w:b/>
                <w:noProof/>
              </w:rPr>
              <w:t>2.4.1 Inventory Optimisation</w:t>
            </w:r>
            <w:r>
              <w:rPr>
                <w:noProof/>
                <w:webHidden/>
              </w:rPr>
              <w:tab/>
            </w:r>
            <w:r>
              <w:rPr>
                <w:noProof/>
                <w:webHidden/>
              </w:rPr>
              <w:fldChar w:fldCharType="begin"/>
            </w:r>
            <w:r>
              <w:rPr>
                <w:noProof/>
                <w:webHidden/>
              </w:rPr>
              <w:instrText xml:space="preserve"> PAGEREF _Toc217117675 \h </w:instrText>
            </w:r>
            <w:r>
              <w:rPr>
                <w:noProof/>
                <w:webHidden/>
              </w:rPr>
            </w:r>
            <w:r>
              <w:rPr>
                <w:noProof/>
                <w:webHidden/>
              </w:rPr>
              <w:fldChar w:fldCharType="separate"/>
            </w:r>
            <w:r>
              <w:rPr>
                <w:noProof/>
                <w:webHidden/>
              </w:rPr>
              <w:t>14</w:t>
            </w:r>
            <w:r>
              <w:rPr>
                <w:noProof/>
                <w:webHidden/>
              </w:rPr>
              <w:fldChar w:fldCharType="end"/>
            </w:r>
          </w:hyperlink>
        </w:p>
        <w:p w:rsidR="003F77CA" w:rsidRDefault="003F77CA">
          <w:pPr>
            <w:pStyle w:val="TOC3"/>
            <w:tabs>
              <w:tab w:val="right" w:leader="dot" w:pos="9350"/>
            </w:tabs>
            <w:rPr>
              <w:rFonts w:eastAsiaTheme="minorEastAsia"/>
              <w:noProof/>
            </w:rPr>
          </w:pPr>
          <w:hyperlink w:anchor="_Toc217117676" w:history="1">
            <w:r w:rsidRPr="007712FE">
              <w:rPr>
                <w:rStyle w:val="Hyperlink"/>
                <w:rFonts w:ascii="Arial" w:hAnsi="Arial" w:cs="Arial"/>
                <w:b/>
                <w:noProof/>
              </w:rPr>
              <w:t>2.4.2 Receivables Management</w:t>
            </w:r>
            <w:r>
              <w:rPr>
                <w:noProof/>
                <w:webHidden/>
              </w:rPr>
              <w:tab/>
            </w:r>
            <w:r>
              <w:rPr>
                <w:noProof/>
                <w:webHidden/>
              </w:rPr>
              <w:fldChar w:fldCharType="begin"/>
            </w:r>
            <w:r>
              <w:rPr>
                <w:noProof/>
                <w:webHidden/>
              </w:rPr>
              <w:instrText xml:space="preserve"> PAGEREF _Toc217117676 \h </w:instrText>
            </w:r>
            <w:r>
              <w:rPr>
                <w:noProof/>
                <w:webHidden/>
              </w:rPr>
            </w:r>
            <w:r>
              <w:rPr>
                <w:noProof/>
                <w:webHidden/>
              </w:rPr>
              <w:fldChar w:fldCharType="separate"/>
            </w:r>
            <w:r>
              <w:rPr>
                <w:noProof/>
                <w:webHidden/>
              </w:rPr>
              <w:t>14</w:t>
            </w:r>
            <w:r>
              <w:rPr>
                <w:noProof/>
                <w:webHidden/>
              </w:rPr>
              <w:fldChar w:fldCharType="end"/>
            </w:r>
          </w:hyperlink>
        </w:p>
        <w:p w:rsidR="003F77CA" w:rsidRDefault="003F77CA">
          <w:pPr>
            <w:pStyle w:val="TOC3"/>
            <w:tabs>
              <w:tab w:val="right" w:leader="dot" w:pos="9350"/>
            </w:tabs>
            <w:rPr>
              <w:rFonts w:eastAsiaTheme="minorEastAsia"/>
              <w:noProof/>
            </w:rPr>
          </w:pPr>
          <w:hyperlink w:anchor="_Toc217117677" w:history="1">
            <w:r w:rsidRPr="007712FE">
              <w:rPr>
                <w:rStyle w:val="Hyperlink"/>
                <w:rFonts w:ascii="Arial" w:hAnsi="Arial" w:cs="Arial"/>
                <w:b/>
                <w:noProof/>
              </w:rPr>
              <w:t>2.4.3 Payables and Supplier Financing</w:t>
            </w:r>
            <w:r>
              <w:rPr>
                <w:noProof/>
                <w:webHidden/>
              </w:rPr>
              <w:tab/>
            </w:r>
            <w:r>
              <w:rPr>
                <w:noProof/>
                <w:webHidden/>
              </w:rPr>
              <w:fldChar w:fldCharType="begin"/>
            </w:r>
            <w:r>
              <w:rPr>
                <w:noProof/>
                <w:webHidden/>
              </w:rPr>
              <w:instrText xml:space="preserve"> PAGEREF _Toc217117677 \h </w:instrText>
            </w:r>
            <w:r>
              <w:rPr>
                <w:noProof/>
                <w:webHidden/>
              </w:rPr>
            </w:r>
            <w:r>
              <w:rPr>
                <w:noProof/>
                <w:webHidden/>
              </w:rPr>
              <w:fldChar w:fldCharType="separate"/>
            </w:r>
            <w:r>
              <w:rPr>
                <w:noProof/>
                <w:webHidden/>
              </w:rPr>
              <w:t>15</w:t>
            </w:r>
            <w:r>
              <w:rPr>
                <w:noProof/>
                <w:webHidden/>
              </w:rPr>
              <w:fldChar w:fldCharType="end"/>
            </w:r>
          </w:hyperlink>
        </w:p>
        <w:p w:rsidR="003F77CA" w:rsidRDefault="003F77CA">
          <w:pPr>
            <w:pStyle w:val="TOC3"/>
            <w:tabs>
              <w:tab w:val="right" w:leader="dot" w:pos="9350"/>
            </w:tabs>
            <w:rPr>
              <w:rFonts w:eastAsiaTheme="minorEastAsia"/>
              <w:noProof/>
            </w:rPr>
          </w:pPr>
          <w:hyperlink w:anchor="_Toc217117678" w:history="1">
            <w:r w:rsidRPr="007712FE">
              <w:rPr>
                <w:rStyle w:val="Hyperlink"/>
                <w:rFonts w:ascii="Arial" w:hAnsi="Arial" w:cs="Arial"/>
                <w:b/>
                <w:noProof/>
              </w:rPr>
              <w:t>2.4.4 Concentrated Cash Management</w:t>
            </w:r>
            <w:r>
              <w:rPr>
                <w:noProof/>
                <w:webHidden/>
              </w:rPr>
              <w:tab/>
            </w:r>
            <w:r>
              <w:rPr>
                <w:noProof/>
                <w:webHidden/>
              </w:rPr>
              <w:fldChar w:fldCharType="begin"/>
            </w:r>
            <w:r>
              <w:rPr>
                <w:noProof/>
                <w:webHidden/>
              </w:rPr>
              <w:instrText xml:space="preserve"> PAGEREF _Toc217117678 \h </w:instrText>
            </w:r>
            <w:r>
              <w:rPr>
                <w:noProof/>
                <w:webHidden/>
              </w:rPr>
            </w:r>
            <w:r>
              <w:rPr>
                <w:noProof/>
                <w:webHidden/>
              </w:rPr>
              <w:fldChar w:fldCharType="separate"/>
            </w:r>
            <w:r>
              <w:rPr>
                <w:noProof/>
                <w:webHidden/>
              </w:rPr>
              <w:t>15</w:t>
            </w:r>
            <w:r>
              <w:rPr>
                <w:noProof/>
                <w:webHidden/>
              </w:rPr>
              <w:fldChar w:fldCharType="end"/>
            </w:r>
          </w:hyperlink>
        </w:p>
        <w:p w:rsidR="003F77CA" w:rsidRDefault="003F77CA">
          <w:pPr>
            <w:pStyle w:val="TOC2"/>
            <w:tabs>
              <w:tab w:val="right" w:leader="dot" w:pos="9350"/>
            </w:tabs>
            <w:rPr>
              <w:rFonts w:eastAsiaTheme="minorEastAsia"/>
              <w:noProof/>
            </w:rPr>
          </w:pPr>
          <w:hyperlink w:anchor="_Toc217117679" w:history="1">
            <w:r w:rsidRPr="007712FE">
              <w:rPr>
                <w:rStyle w:val="Hyperlink"/>
                <w:rFonts w:ascii="Arial" w:hAnsi="Arial" w:cs="Arial"/>
                <w:b/>
                <w:noProof/>
              </w:rPr>
              <w:t>2.5 Comparison of Short-Term and Long-Term Financing Options</w:t>
            </w:r>
            <w:r>
              <w:rPr>
                <w:noProof/>
                <w:webHidden/>
              </w:rPr>
              <w:tab/>
            </w:r>
            <w:r>
              <w:rPr>
                <w:noProof/>
                <w:webHidden/>
              </w:rPr>
              <w:fldChar w:fldCharType="begin"/>
            </w:r>
            <w:r>
              <w:rPr>
                <w:noProof/>
                <w:webHidden/>
              </w:rPr>
              <w:instrText xml:space="preserve"> PAGEREF _Toc217117679 \h </w:instrText>
            </w:r>
            <w:r>
              <w:rPr>
                <w:noProof/>
                <w:webHidden/>
              </w:rPr>
            </w:r>
            <w:r>
              <w:rPr>
                <w:noProof/>
                <w:webHidden/>
              </w:rPr>
              <w:fldChar w:fldCharType="separate"/>
            </w:r>
            <w:r>
              <w:rPr>
                <w:noProof/>
                <w:webHidden/>
              </w:rPr>
              <w:t>15</w:t>
            </w:r>
            <w:r>
              <w:rPr>
                <w:noProof/>
                <w:webHidden/>
              </w:rPr>
              <w:fldChar w:fldCharType="end"/>
            </w:r>
          </w:hyperlink>
        </w:p>
        <w:p w:rsidR="003F77CA" w:rsidRDefault="003F77CA">
          <w:pPr>
            <w:pStyle w:val="TOC3"/>
            <w:tabs>
              <w:tab w:val="right" w:leader="dot" w:pos="9350"/>
            </w:tabs>
            <w:rPr>
              <w:rFonts w:eastAsiaTheme="minorEastAsia"/>
              <w:noProof/>
            </w:rPr>
          </w:pPr>
          <w:hyperlink w:anchor="_Toc217117680" w:history="1">
            <w:r w:rsidRPr="007712FE">
              <w:rPr>
                <w:rStyle w:val="Hyperlink"/>
                <w:rFonts w:ascii="Arial" w:hAnsi="Arial" w:cs="Arial"/>
                <w:b/>
                <w:noProof/>
              </w:rPr>
              <w:t>2.5.1 Short-term Financing Alternatives</w:t>
            </w:r>
            <w:r>
              <w:rPr>
                <w:noProof/>
                <w:webHidden/>
              </w:rPr>
              <w:tab/>
            </w:r>
            <w:r>
              <w:rPr>
                <w:noProof/>
                <w:webHidden/>
              </w:rPr>
              <w:fldChar w:fldCharType="begin"/>
            </w:r>
            <w:r>
              <w:rPr>
                <w:noProof/>
                <w:webHidden/>
              </w:rPr>
              <w:instrText xml:space="preserve"> PAGEREF _Toc217117680 \h </w:instrText>
            </w:r>
            <w:r>
              <w:rPr>
                <w:noProof/>
                <w:webHidden/>
              </w:rPr>
            </w:r>
            <w:r>
              <w:rPr>
                <w:noProof/>
                <w:webHidden/>
              </w:rPr>
              <w:fldChar w:fldCharType="separate"/>
            </w:r>
            <w:r>
              <w:rPr>
                <w:noProof/>
                <w:webHidden/>
              </w:rPr>
              <w:t>15</w:t>
            </w:r>
            <w:r>
              <w:rPr>
                <w:noProof/>
                <w:webHidden/>
              </w:rPr>
              <w:fldChar w:fldCharType="end"/>
            </w:r>
          </w:hyperlink>
        </w:p>
        <w:p w:rsidR="003F77CA" w:rsidRDefault="003F77CA">
          <w:pPr>
            <w:pStyle w:val="TOC3"/>
            <w:tabs>
              <w:tab w:val="right" w:leader="dot" w:pos="9350"/>
            </w:tabs>
            <w:rPr>
              <w:rFonts w:eastAsiaTheme="minorEastAsia"/>
              <w:noProof/>
            </w:rPr>
          </w:pPr>
          <w:hyperlink w:anchor="_Toc217117681" w:history="1">
            <w:r w:rsidRPr="007712FE">
              <w:rPr>
                <w:rStyle w:val="Hyperlink"/>
                <w:rFonts w:ascii="Arial" w:hAnsi="Arial" w:cs="Arial"/>
                <w:b/>
                <w:noProof/>
              </w:rPr>
              <w:t>2.5.2 Long-Term Financing Options</w:t>
            </w:r>
            <w:r>
              <w:rPr>
                <w:noProof/>
                <w:webHidden/>
              </w:rPr>
              <w:tab/>
            </w:r>
            <w:r>
              <w:rPr>
                <w:noProof/>
                <w:webHidden/>
              </w:rPr>
              <w:fldChar w:fldCharType="begin"/>
            </w:r>
            <w:r>
              <w:rPr>
                <w:noProof/>
                <w:webHidden/>
              </w:rPr>
              <w:instrText xml:space="preserve"> PAGEREF _Toc217117681 \h </w:instrText>
            </w:r>
            <w:r>
              <w:rPr>
                <w:noProof/>
                <w:webHidden/>
              </w:rPr>
            </w:r>
            <w:r>
              <w:rPr>
                <w:noProof/>
                <w:webHidden/>
              </w:rPr>
              <w:fldChar w:fldCharType="separate"/>
            </w:r>
            <w:r>
              <w:rPr>
                <w:noProof/>
                <w:webHidden/>
              </w:rPr>
              <w:t>15</w:t>
            </w:r>
            <w:r>
              <w:rPr>
                <w:noProof/>
                <w:webHidden/>
              </w:rPr>
              <w:fldChar w:fldCharType="end"/>
            </w:r>
          </w:hyperlink>
        </w:p>
        <w:p w:rsidR="003F77CA" w:rsidRDefault="003F77CA">
          <w:pPr>
            <w:pStyle w:val="TOC2"/>
            <w:tabs>
              <w:tab w:val="right" w:leader="dot" w:pos="9350"/>
            </w:tabs>
            <w:rPr>
              <w:rFonts w:eastAsiaTheme="minorEastAsia"/>
              <w:noProof/>
            </w:rPr>
          </w:pPr>
          <w:hyperlink w:anchor="_Toc217117682" w:history="1">
            <w:r w:rsidRPr="007712FE">
              <w:rPr>
                <w:rStyle w:val="Hyperlink"/>
                <w:rFonts w:ascii="Arial" w:hAnsi="Arial" w:cs="Arial"/>
                <w:b/>
                <w:noProof/>
              </w:rPr>
              <w:t>2.6 Global Considerations in Working Capital Management</w:t>
            </w:r>
            <w:r>
              <w:rPr>
                <w:noProof/>
                <w:webHidden/>
              </w:rPr>
              <w:tab/>
            </w:r>
            <w:r>
              <w:rPr>
                <w:noProof/>
                <w:webHidden/>
              </w:rPr>
              <w:fldChar w:fldCharType="begin"/>
            </w:r>
            <w:r>
              <w:rPr>
                <w:noProof/>
                <w:webHidden/>
              </w:rPr>
              <w:instrText xml:space="preserve"> PAGEREF _Toc217117682 \h </w:instrText>
            </w:r>
            <w:r>
              <w:rPr>
                <w:noProof/>
                <w:webHidden/>
              </w:rPr>
            </w:r>
            <w:r>
              <w:rPr>
                <w:noProof/>
                <w:webHidden/>
              </w:rPr>
              <w:fldChar w:fldCharType="separate"/>
            </w:r>
            <w:r>
              <w:rPr>
                <w:noProof/>
                <w:webHidden/>
              </w:rPr>
              <w:t>16</w:t>
            </w:r>
            <w:r>
              <w:rPr>
                <w:noProof/>
                <w:webHidden/>
              </w:rPr>
              <w:fldChar w:fldCharType="end"/>
            </w:r>
          </w:hyperlink>
        </w:p>
        <w:p w:rsidR="003F77CA" w:rsidRDefault="003F77CA">
          <w:pPr>
            <w:pStyle w:val="TOC1"/>
            <w:tabs>
              <w:tab w:val="right" w:leader="dot" w:pos="9350"/>
            </w:tabs>
            <w:rPr>
              <w:rFonts w:eastAsiaTheme="minorEastAsia"/>
              <w:noProof/>
            </w:rPr>
          </w:pPr>
          <w:hyperlink w:anchor="_Toc217117683" w:history="1">
            <w:r w:rsidRPr="007712FE">
              <w:rPr>
                <w:rStyle w:val="Hyperlink"/>
                <w:rFonts w:ascii="Arial" w:hAnsi="Arial" w:cs="Arial"/>
                <w:b/>
                <w:noProof/>
              </w:rPr>
              <w:t>3. Strategic Financial Restructuring Plan for General Electronics</w:t>
            </w:r>
            <w:r>
              <w:rPr>
                <w:noProof/>
                <w:webHidden/>
              </w:rPr>
              <w:tab/>
            </w:r>
            <w:r>
              <w:rPr>
                <w:noProof/>
                <w:webHidden/>
              </w:rPr>
              <w:fldChar w:fldCharType="begin"/>
            </w:r>
            <w:r>
              <w:rPr>
                <w:noProof/>
                <w:webHidden/>
              </w:rPr>
              <w:instrText xml:space="preserve"> PAGEREF _Toc217117683 \h </w:instrText>
            </w:r>
            <w:r>
              <w:rPr>
                <w:noProof/>
                <w:webHidden/>
              </w:rPr>
            </w:r>
            <w:r>
              <w:rPr>
                <w:noProof/>
                <w:webHidden/>
              </w:rPr>
              <w:fldChar w:fldCharType="separate"/>
            </w:r>
            <w:r>
              <w:rPr>
                <w:noProof/>
                <w:webHidden/>
              </w:rPr>
              <w:t>16</w:t>
            </w:r>
            <w:r>
              <w:rPr>
                <w:noProof/>
                <w:webHidden/>
              </w:rPr>
              <w:fldChar w:fldCharType="end"/>
            </w:r>
          </w:hyperlink>
        </w:p>
        <w:p w:rsidR="003F77CA" w:rsidRDefault="003F77CA">
          <w:pPr>
            <w:pStyle w:val="TOC2"/>
            <w:tabs>
              <w:tab w:val="right" w:leader="dot" w:pos="9350"/>
            </w:tabs>
            <w:rPr>
              <w:rFonts w:eastAsiaTheme="minorEastAsia"/>
              <w:noProof/>
            </w:rPr>
          </w:pPr>
          <w:hyperlink w:anchor="_Toc217117684" w:history="1">
            <w:r w:rsidRPr="007712FE">
              <w:rPr>
                <w:rStyle w:val="Hyperlink"/>
                <w:rFonts w:ascii="Arial" w:hAnsi="Arial" w:cs="Arial"/>
                <w:b/>
                <w:noProof/>
              </w:rPr>
              <w:t>3.1 Introduction</w:t>
            </w:r>
            <w:r>
              <w:rPr>
                <w:noProof/>
                <w:webHidden/>
              </w:rPr>
              <w:tab/>
            </w:r>
            <w:r>
              <w:rPr>
                <w:noProof/>
                <w:webHidden/>
              </w:rPr>
              <w:fldChar w:fldCharType="begin"/>
            </w:r>
            <w:r>
              <w:rPr>
                <w:noProof/>
                <w:webHidden/>
              </w:rPr>
              <w:instrText xml:space="preserve"> PAGEREF _Toc217117684 \h </w:instrText>
            </w:r>
            <w:r>
              <w:rPr>
                <w:noProof/>
                <w:webHidden/>
              </w:rPr>
            </w:r>
            <w:r>
              <w:rPr>
                <w:noProof/>
                <w:webHidden/>
              </w:rPr>
              <w:fldChar w:fldCharType="separate"/>
            </w:r>
            <w:r>
              <w:rPr>
                <w:noProof/>
                <w:webHidden/>
              </w:rPr>
              <w:t>16</w:t>
            </w:r>
            <w:r>
              <w:rPr>
                <w:noProof/>
                <w:webHidden/>
              </w:rPr>
              <w:fldChar w:fldCharType="end"/>
            </w:r>
          </w:hyperlink>
        </w:p>
        <w:p w:rsidR="003F77CA" w:rsidRDefault="003F77CA">
          <w:pPr>
            <w:pStyle w:val="TOC2"/>
            <w:tabs>
              <w:tab w:val="right" w:leader="dot" w:pos="9350"/>
            </w:tabs>
            <w:rPr>
              <w:rFonts w:eastAsiaTheme="minorEastAsia"/>
              <w:noProof/>
            </w:rPr>
          </w:pPr>
          <w:hyperlink w:anchor="_Toc217117685" w:history="1">
            <w:r w:rsidRPr="007712FE">
              <w:rPr>
                <w:rStyle w:val="Hyperlink"/>
                <w:rFonts w:ascii="Arial" w:hAnsi="Arial" w:cs="Arial"/>
                <w:b/>
                <w:noProof/>
              </w:rPr>
              <w:t>3.2 Financial Restructuring Alternatives</w:t>
            </w:r>
            <w:r>
              <w:rPr>
                <w:noProof/>
                <w:webHidden/>
              </w:rPr>
              <w:tab/>
            </w:r>
            <w:r>
              <w:rPr>
                <w:noProof/>
                <w:webHidden/>
              </w:rPr>
              <w:fldChar w:fldCharType="begin"/>
            </w:r>
            <w:r>
              <w:rPr>
                <w:noProof/>
                <w:webHidden/>
              </w:rPr>
              <w:instrText xml:space="preserve"> PAGEREF _Toc217117685 \h </w:instrText>
            </w:r>
            <w:r>
              <w:rPr>
                <w:noProof/>
                <w:webHidden/>
              </w:rPr>
            </w:r>
            <w:r>
              <w:rPr>
                <w:noProof/>
                <w:webHidden/>
              </w:rPr>
              <w:fldChar w:fldCharType="separate"/>
            </w:r>
            <w:r>
              <w:rPr>
                <w:noProof/>
                <w:webHidden/>
              </w:rPr>
              <w:t>17</w:t>
            </w:r>
            <w:r>
              <w:rPr>
                <w:noProof/>
                <w:webHidden/>
              </w:rPr>
              <w:fldChar w:fldCharType="end"/>
            </w:r>
          </w:hyperlink>
        </w:p>
        <w:p w:rsidR="003F77CA" w:rsidRDefault="003F77CA">
          <w:pPr>
            <w:pStyle w:val="TOC3"/>
            <w:tabs>
              <w:tab w:val="right" w:leader="dot" w:pos="9350"/>
            </w:tabs>
            <w:rPr>
              <w:rFonts w:eastAsiaTheme="minorEastAsia"/>
              <w:noProof/>
            </w:rPr>
          </w:pPr>
          <w:hyperlink w:anchor="_Toc217117686" w:history="1">
            <w:r w:rsidRPr="007712FE">
              <w:rPr>
                <w:rStyle w:val="Hyperlink"/>
                <w:rFonts w:ascii="Arial" w:hAnsi="Arial" w:cs="Arial"/>
                <w:b/>
                <w:noProof/>
              </w:rPr>
              <w:t>3.2.1 Divestiture and Asset Rationalisation</w:t>
            </w:r>
            <w:r>
              <w:rPr>
                <w:noProof/>
                <w:webHidden/>
              </w:rPr>
              <w:tab/>
            </w:r>
            <w:r>
              <w:rPr>
                <w:noProof/>
                <w:webHidden/>
              </w:rPr>
              <w:fldChar w:fldCharType="begin"/>
            </w:r>
            <w:r>
              <w:rPr>
                <w:noProof/>
                <w:webHidden/>
              </w:rPr>
              <w:instrText xml:space="preserve"> PAGEREF _Toc217117686 \h </w:instrText>
            </w:r>
            <w:r>
              <w:rPr>
                <w:noProof/>
                <w:webHidden/>
              </w:rPr>
            </w:r>
            <w:r>
              <w:rPr>
                <w:noProof/>
                <w:webHidden/>
              </w:rPr>
              <w:fldChar w:fldCharType="separate"/>
            </w:r>
            <w:r>
              <w:rPr>
                <w:noProof/>
                <w:webHidden/>
              </w:rPr>
              <w:t>17</w:t>
            </w:r>
            <w:r>
              <w:rPr>
                <w:noProof/>
                <w:webHidden/>
              </w:rPr>
              <w:fldChar w:fldCharType="end"/>
            </w:r>
          </w:hyperlink>
        </w:p>
        <w:p w:rsidR="003F77CA" w:rsidRDefault="003F77CA">
          <w:pPr>
            <w:pStyle w:val="TOC3"/>
            <w:tabs>
              <w:tab w:val="right" w:leader="dot" w:pos="9350"/>
            </w:tabs>
            <w:rPr>
              <w:rFonts w:eastAsiaTheme="minorEastAsia"/>
              <w:noProof/>
            </w:rPr>
          </w:pPr>
          <w:hyperlink w:anchor="_Toc217117687" w:history="1">
            <w:r w:rsidRPr="007712FE">
              <w:rPr>
                <w:rStyle w:val="Hyperlink"/>
                <w:rFonts w:ascii="Arial" w:hAnsi="Arial" w:cs="Arial"/>
                <w:b/>
                <w:noProof/>
              </w:rPr>
              <w:t>3.2.2 Mergers, Strategic Alliances and Acquisitions</w:t>
            </w:r>
            <w:r>
              <w:rPr>
                <w:noProof/>
                <w:webHidden/>
              </w:rPr>
              <w:tab/>
            </w:r>
            <w:r>
              <w:rPr>
                <w:noProof/>
                <w:webHidden/>
              </w:rPr>
              <w:fldChar w:fldCharType="begin"/>
            </w:r>
            <w:r>
              <w:rPr>
                <w:noProof/>
                <w:webHidden/>
              </w:rPr>
              <w:instrText xml:space="preserve"> PAGEREF _Toc217117687 \h </w:instrText>
            </w:r>
            <w:r>
              <w:rPr>
                <w:noProof/>
                <w:webHidden/>
              </w:rPr>
            </w:r>
            <w:r>
              <w:rPr>
                <w:noProof/>
                <w:webHidden/>
              </w:rPr>
              <w:fldChar w:fldCharType="separate"/>
            </w:r>
            <w:r>
              <w:rPr>
                <w:noProof/>
                <w:webHidden/>
              </w:rPr>
              <w:t>17</w:t>
            </w:r>
            <w:r>
              <w:rPr>
                <w:noProof/>
                <w:webHidden/>
              </w:rPr>
              <w:fldChar w:fldCharType="end"/>
            </w:r>
          </w:hyperlink>
        </w:p>
        <w:p w:rsidR="003F77CA" w:rsidRDefault="003F77CA">
          <w:pPr>
            <w:pStyle w:val="TOC3"/>
            <w:tabs>
              <w:tab w:val="right" w:leader="dot" w:pos="9350"/>
            </w:tabs>
            <w:rPr>
              <w:rFonts w:eastAsiaTheme="minorEastAsia"/>
              <w:noProof/>
            </w:rPr>
          </w:pPr>
          <w:hyperlink w:anchor="_Toc217117688" w:history="1">
            <w:r w:rsidRPr="007712FE">
              <w:rPr>
                <w:rStyle w:val="Hyperlink"/>
                <w:rFonts w:ascii="Arial" w:hAnsi="Arial" w:cs="Arial"/>
                <w:b/>
                <w:noProof/>
              </w:rPr>
              <w:t>3.2.3 Equity Injection and Recapitalisation</w:t>
            </w:r>
            <w:r>
              <w:rPr>
                <w:noProof/>
                <w:webHidden/>
              </w:rPr>
              <w:tab/>
            </w:r>
            <w:r>
              <w:rPr>
                <w:noProof/>
                <w:webHidden/>
              </w:rPr>
              <w:fldChar w:fldCharType="begin"/>
            </w:r>
            <w:r>
              <w:rPr>
                <w:noProof/>
                <w:webHidden/>
              </w:rPr>
              <w:instrText xml:space="preserve"> PAGEREF _Toc217117688 \h </w:instrText>
            </w:r>
            <w:r>
              <w:rPr>
                <w:noProof/>
                <w:webHidden/>
              </w:rPr>
            </w:r>
            <w:r>
              <w:rPr>
                <w:noProof/>
                <w:webHidden/>
              </w:rPr>
              <w:fldChar w:fldCharType="separate"/>
            </w:r>
            <w:r>
              <w:rPr>
                <w:noProof/>
                <w:webHidden/>
              </w:rPr>
              <w:t>18</w:t>
            </w:r>
            <w:r>
              <w:rPr>
                <w:noProof/>
                <w:webHidden/>
              </w:rPr>
              <w:fldChar w:fldCharType="end"/>
            </w:r>
          </w:hyperlink>
        </w:p>
        <w:p w:rsidR="003F77CA" w:rsidRDefault="003F77CA">
          <w:pPr>
            <w:pStyle w:val="TOC2"/>
            <w:tabs>
              <w:tab w:val="right" w:leader="dot" w:pos="9350"/>
            </w:tabs>
            <w:rPr>
              <w:rFonts w:eastAsiaTheme="minorEastAsia"/>
              <w:noProof/>
            </w:rPr>
          </w:pPr>
          <w:hyperlink w:anchor="_Toc217117689" w:history="1">
            <w:r w:rsidRPr="007712FE">
              <w:rPr>
                <w:rStyle w:val="Hyperlink"/>
                <w:rFonts w:ascii="Arial" w:hAnsi="Arial" w:cs="Arial"/>
                <w:b/>
                <w:noProof/>
              </w:rPr>
              <w:t>3.3 Evaluating the Impact of Restructuring Options</w:t>
            </w:r>
            <w:r>
              <w:rPr>
                <w:noProof/>
                <w:webHidden/>
              </w:rPr>
              <w:tab/>
            </w:r>
            <w:r>
              <w:rPr>
                <w:noProof/>
                <w:webHidden/>
              </w:rPr>
              <w:fldChar w:fldCharType="begin"/>
            </w:r>
            <w:r>
              <w:rPr>
                <w:noProof/>
                <w:webHidden/>
              </w:rPr>
              <w:instrText xml:space="preserve"> PAGEREF _Toc217117689 \h </w:instrText>
            </w:r>
            <w:r>
              <w:rPr>
                <w:noProof/>
                <w:webHidden/>
              </w:rPr>
            </w:r>
            <w:r>
              <w:rPr>
                <w:noProof/>
                <w:webHidden/>
              </w:rPr>
              <w:fldChar w:fldCharType="separate"/>
            </w:r>
            <w:r>
              <w:rPr>
                <w:noProof/>
                <w:webHidden/>
              </w:rPr>
              <w:t>18</w:t>
            </w:r>
            <w:r>
              <w:rPr>
                <w:noProof/>
                <w:webHidden/>
              </w:rPr>
              <w:fldChar w:fldCharType="end"/>
            </w:r>
          </w:hyperlink>
        </w:p>
        <w:p w:rsidR="003F77CA" w:rsidRDefault="003F77CA">
          <w:pPr>
            <w:pStyle w:val="TOC2"/>
            <w:tabs>
              <w:tab w:val="right" w:leader="dot" w:pos="9350"/>
            </w:tabs>
            <w:rPr>
              <w:rFonts w:eastAsiaTheme="minorEastAsia"/>
              <w:noProof/>
            </w:rPr>
          </w:pPr>
          <w:hyperlink w:anchor="_Toc217117690" w:history="1">
            <w:r w:rsidRPr="007712FE">
              <w:rPr>
                <w:rStyle w:val="Hyperlink"/>
                <w:rFonts w:ascii="Arial" w:hAnsi="Arial" w:cs="Arial"/>
                <w:b/>
                <w:noProof/>
              </w:rPr>
              <w:t>3.4 International and Ethical Concerns</w:t>
            </w:r>
            <w:r>
              <w:rPr>
                <w:noProof/>
                <w:webHidden/>
              </w:rPr>
              <w:tab/>
            </w:r>
            <w:r>
              <w:rPr>
                <w:noProof/>
                <w:webHidden/>
              </w:rPr>
              <w:fldChar w:fldCharType="begin"/>
            </w:r>
            <w:r>
              <w:rPr>
                <w:noProof/>
                <w:webHidden/>
              </w:rPr>
              <w:instrText xml:space="preserve"> PAGEREF _Toc217117690 \h </w:instrText>
            </w:r>
            <w:r>
              <w:rPr>
                <w:noProof/>
                <w:webHidden/>
              </w:rPr>
            </w:r>
            <w:r>
              <w:rPr>
                <w:noProof/>
                <w:webHidden/>
              </w:rPr>
              <w:fldChar w:fldCharType="separate"/>
            </w:r>
            <w:r>
              <w:rPr>
                <w:noProof/>
                <w:webHidden/>
              </w:rPr>
              <w:t>20</w:t>
            </w:r>
            <w:r>
              <w:rPr>
                <w:noProof/>
                <w:webHidden/>
              </w:rPr>
              <w:fldChar w:fldCharType="end"/>
            </w:r>
          </w:hyperlink>
        </w:p>
        <w:p w:rsidR="003F77CA" w:rsidRDefault="003F77CA">
          <w:pPr>
            <w:pStyle w:val="TOC3"/>
            <w:tabs>
              <w:tab w:val="right" w:leader="dot" w:pos="9350"/>
            </w:tabs>
            <w:rPr>
              <w:rFonts w:eastAsiaTheme="minorEastAsia"/>
              <w:noProof/>
            </w:rPr>
          </w:pPr>
          <w:hyperlink w:anchor="_Toc217117691" w:history="1">
            <w:r w:rsidRPr="007712FE">
              <w:rPr>
                <w:rStyle w:val="Hyperlink"/>
                <w:rFonts w:ascii="Arial" w:hAnsi="Arial" w:cs="Arial"/>
                <w:b/>
                <w:noProof/>
              </w:rPr>
              <w:t>3.4.1 Cross-border Structures and Taxation</w:t>
            </w:r>
            <w:r>
              <w:rPr>
                <w:noProof/>
                <w:webHidden/>
              </w:rPr>
              <w:tab/>
            </w:r>
            <w:r>
              <w:rPr>
                <w:noProof/>
                <w:webHidden/>
              </w:rPr>
              <w:fldChar w:fldCharType="begin"/>
            </w:r>
            <w:r>
              <w:rPr>
                <w:noProof/>
                <w:webHidden/>
              </w:rPr>
              <w:instrText xml:space="preserve"> PAGEREF _Toc217117691 \h </w:instrText>
            </w:r>
            <w:r>
              <w:rPr>
                <w:noProof/>
                <w:webHidden/>
              </w:rPr>
            </w:r>
            <w:r>
              <w:rPr>
                <w:noProof/>
                <w:webHidden/>
              </w:rPr>
              <w:fldChar w:fldCharType="separate"/>
            </w:r>
            <w:r>
              <w:rPr>
                <w:noProof/>
                <w:webHidden/>
              </w:rPr>
              <w:t>20</w:t>
            </w:r>
            <w:r>
              <w:rPr>
                <w:noProof/>
                <w:webHidden/>
              </w:rPr>
              <w:fldChar w:fldCharType="end"/>
            </w:r>
          </w:hyperlink>
        </w:p>
        <w:p w:rsidR="003F77CA" w:rsidRDefault="003F77CA">
          <w:pPr>
            <w:pStyle w:val="TOC3"/>
            <w:tabs>
              <w:tab w:val="right" w:leader="dot" w:pos="9350"/>
            </w:tabs>
            <w:rPr>
              <w:rFonts w:eastAsiaTheme="minorEastAsia"/>
              <w:noProof/>
            </w:rPr>
          </w:pPr>
          <w:hyperlink w:anchor="_Toc217117692" w:history="1">
            <w:r w:rsidRPr="007712FE">
              <w:rPr>
                <w:rStyle w:val="Hyperlink"/>
                <w:rFonts w:ascii="Arial" w:hAnsi="Arial" w:cs="Arial"/>
                <w:b/>
                <w:noProof/>
              </w:rPr>
              <w:t>3.4.2 Currency Risk Management</w:t>
            </w:r>
            <w:r>
              <w:rPr>
                <w:noProof/>
                <w:webHidden/>
              </w:rPr>
              <w:tab/>
            </w:r>
            <w:r>
              <w:rPr>
                <w:noProof/>
                <w:webHidden/>
              </w:rPr>
              <w:fldChar w:fldCharType="begin"/>
            </w:r>
            <w:r>
              <w:rPr>
                <w:noProof/>
                <w:webHidden/>
              </w:rPr>
              <w:instrText xml:space="preserve"> PAGEREF _Toc217117692 \h </w:instrText>
            </w:r>
            <w:r>
              <w:rPr>
                <w:noProof/>
                <w:webHidden/>
              </w:rPr>
            </w:r>
            <w:r>
              <w:rPr>
                <w:noProof/>
                <w:webHidden/>
              </w:rPr>
              <w:fldChar w:fldCharType="separate"/>
            </w:r>
            <w:r>
              <w:rPr>
                <w:noProof/>
                <w:webHidden/>
              </w:rPr>
              <w:t>21</w:t>
            </w:r>
            <w:r>
              <w:rPr>
                <w:noProof/>
                <w:webHidden/>
              </w:rPr>
              <w:fldChar w:fldCharType="end"/>
            </w:r>
          </w:hyperlink>
        </w:p>
        <w:p w:rsidR="003F77CA" w:rsidRDefault="003F77CA">
          <w:pPr>
            <w:pStyle w:val="TOC3"/>
            <w:tabs>
              <w:tab w:val="right" w:leader="dot" w:pos="9350"/>
            </w:tabs>
            <w:rPr>
              <w:rFonts w:eastAsiaTheme="minorEastAsia"/>
              <w:noProof/>
            </w:rPr>
          </w:pPr>
          <w:hyperlink w:anchor="_Toc217117693" w:history="1">
            <w:r w:rsidRPr="007712FE">
              <w:rPr>
                <w:rStyle w:val="Hyperlink"/>
                <w:rFonts w:ascii="Arial" w:hAnsi="Arial" w:cs="Arial"/>
                <w:b/>
                <w:noProof/>
              </w:rPr>
              <w:t>3.4.3 Corporate Social Responsibility (CSR) and Ethical Finance</w:t>
            </w:r>
            <w:r>
              <w:rPr>
                <w:noProof/>
                <w:webHidden/>
              </w:rPr>
              <w:tab/>
            </w:r>
            <w:r>
              <w:rPr>
                <w:noProof/>
                <w:webHidden/>
              </w:rPr>
              <w:fldChar w:fldCharType="begin"/>
            </w:r>
            <w:r>
              <w:rPr>
                <w:noProof/>
                <w:webHidden/>
              </w:rPr>
              <w:instrText xml:space="preserve"> PAGEREF _Toc217117693 \h </w:instrText>
            </w:r>
            <w:r>
              <w:rPr>
                <w:noProof/>
                <w:webHidden/>
              </w:rPr>
            </w:r>
            <w:r>
              <w:rPr>
                <w:noProof/>
                <w:webHidden/>
              </w:rPr>
              <w:fldChar w:fldCharType="separate"/>
            </w:r>
            <w:r>
              <w:rPr>
                <w:noProof/>
                <w:webHidden/>
              </w:rPr>
              <w:t>21</w:t>
            </w:r>
            <w:r>
              <w:rPr>
                <w:noProof/>
                <w:webHidden/>
              </w:rPr>
              <w:fldChar w:fldCharType="end"/>
            </w:r>
          </w:hyperlink>
        </w:p>
        <w:p w:rsidR="003F77CA" w:rsidRDefault="003F77CA">
          <w:pPr>
            <w:pStyle w:val="TOC2"/>
            <w:tabs>
              <w:tab w:val="right" w:leader="dot" w:pos="9350"/>
            </w:tabs>
            <w:rPr>
              <w:rFonts w:eastAsiaTheme="minorEastAsia"/>
              <w:noProof/>
            </w:rPr>
          </w:pPr>
          <w:hyperlink w:anchor="_Toc217117694" w:history="1">
            <w:r w:rsidRPr="007712FE">
              <w:rPr>
                <w:rStyle w:val="Hyperlink"/>
                <w:rFonts w:ascii="Arial" w:hAnsi="Arial" w:cs="Arial"/>
                <w:b/>
                <w:noProof/>
              </w:rPr>
              <w:t>3.5 Recommended Restructuring Strategy</w:t>
            </w:r>
            <w:r>
              <w:rPr>
                <w:noProof/>
                <w:webHidden/>
              </w:rPr>
              <w:tab/>
            </w:r>
            <w:r>
              <w:rPr>
                <w:noProof/>
                <w:webHidden/>
              </w:rPr>
              <w:fldChar w:fldCharType="begin"/>
            </w:r>
            <w:r>
              <w:rPr>
                <w:noProof/>
                <w:webHidden/>
              </w:rPr>
              <w:instrText xml:space="preserve"> PAGEREF _Toc217117694 \h </w:instrText>
            </w:r>
            <w:r>
              <w:rPr>
                <w:noProof/>
                <w:webHidden/>
              </w:rPr>
            </w:r>
            <w:r>
              <w:rPr>
                <w:noProof/>
                <w:webHidden/>
              </w:rPr>
              <w:fldChar w:fldCharType="separate"/>
            </w:r>
            <w:r>
              <w:rPr>
                <w:noProof/>
                <w:webHidden/>
              </w:rPr>
              <w:t>21</w:t>
            </w:r>
            <w:r>
              <w:rPr>
                <w:noProof/>
                <w:webHidden/>
              </w:rPr>
              <w:fldChar w:fldCharType="end"/>
            </w:r>
          </w:hyperlink>
        </w:p>
        <w:p w:rsidR="003F77CA" w:rsidRDefault="003F77CA">
          <w:pPr>
            <w:pStyle w:val="TOC2"/>
            <w:tabs>
              <w:tab w:val="right" w:leader="dot" w:pos="9350"/>
            </w:tabs>
            <w:rPr>
              <w:rFonts w:eastAsiaTheme="minorEastAsia"/>
              <w:noProof/>
            </w:rPr>
          </w:pPr>
          <w:hyperlink w:anchor="_Toc217117695" w:history="1">
            <w:r w:rsidRPr="007712FE">
              <w:rPr>
                <w:rStyle w:val="Hyperlink"/>
                <w:rFonts w:ascii="Arial" w:hAnsi="Arial" w:cs="Arial"/>
                <w:b/>
                <w:noProof/>
              </w:rPr>
              <w:t>3.6 Conclusion</w:t>
            </w:r>
            <w:r>
              <w:rPr>
                <w:noProof/>
                <w:webHidden/>
              </w:rPr>
              <w:tab/>
            </w:r>
            <w:r>
              <w:rPr>
                <w:noProof/>
                <w:webHidden/>
              </w:rPr>
              <w:fldChar w:fldCharType="begin"/>
            </w:r>
            <w:r>
              <w:rPr>
                <w:noProof/>
                <w:webHidden/>
              </w:rPr>
              <w:instrText xml:space="preserve"> PAGEREF _Toc217117695 \h </w:instrText>
            </w:r>
            <w:r>
              <w:rPr>
                <w:noProof/>
                <w:webHidden/>
              </w:rPr>
            </w:r>
            <w:r>
              <w:rPr>
                <w:noProof/>
                <w:webHidden/>
              </w:rPr>
              <w:fldChar w:fldCharType="separate"/>
            </w:r>
            <w:r>
              <w:rPr>
                <w:noProof/>
                <w:webHidden/>
              </w:rPr>
              <w:t>22</w:t>
            </w:r>
            <w:r>
              <w:rPr>
                <w:noProof/>
                <w:webHidden/>
              </w:rPr>
              <w:fldChar w:fldCharType="end"/>
            </w:r>
          </w:hyperlink>
        </w:p>
        <w:p w:rsidR="003F77CA" w:rsidRDefault="003F77CA">
          <w:pPr>
            <w:pStyle w:val="TOC1"/>
            <w:tabs>
              <w:tab w:val="right" w:leader="dot" w:pos="9350"/>
            </w:tabs>
            <w:rPr>
              <w:rFonts w:eastAsiaTheme="minorEastAsia"/>
              <w:noProof/>
            </w:rPr>
          </w:pPr>
          <w:hyperlink w:anchor="_Toc217117696" w:history="1">
            <w:r w:rsidRPr="007712FE">
              <w:rPr>
                <w:rStyle w:val="Hyperlink"/>
                <w:rFonts w:ascii="Arial" w:eastAsia="Times New Roman" w:hAnsi="Arial" w:cs="Arial"/>
                <w:b/>
                <w:noProof/>
                <w:lang w:val="en-GB" w:eastAsia="en-GB"/>
              </w:rPr>
              <w:t>4. Investment Appraisal and Capital Budgeting</w:t>
            </w:r>
            <w:r>
              <w:rPr>
                <w:noProof/>
                <w:webHidden/>
              </w:rPr>
              <w:tab/>
            </w:r>
            <w:r>
              <w:rPr>
                <w:noProof/>
                <w:webHidden/>
              </w:rPr>
              <w:fldChar w:fldCharType="begin"/>
            </w:r>
            <w:r>
              <w:rPr>
                <w:noProof/>
                <w:webHidden/>
              </w:rPr>
              <w:instrText xml:space="preserve"> PAGEREF _Toc217117696 \h </w:instrText>
            </w:r>
            <w:r>
              <w:rPr>
                <w:noProof/>
                <w:webHidden/>
              </w:rPr>
            </w:r>
            <w:r>
              <w:rPr>
                <w:noProof/>
                <w:webHidden/>
              </w:rPr>
              <w:fldChar w:fldCharType="separate"/>
            </w:r>
            <w:r>
              <w:rPr>
                <w:noProof/>
                <w:webHidden/>
              </w:rPr>
              <w:t>22</w:t>
            </w:r>
            <w:r>
              <w:rPr>
                <w:noProof/>
                <w:webHidden/>
              </w:rPr>
              <w:fldChar w:fldCharType="end"/>
            </w:r>
          </w:hyperlink>
        </w:p>
        <w:p w:rsidR="003F77CA" w:rsidRDefault="003F77CA">
          <w:pPr>
            <w:pStyle w:val="TOC2"/>
            <w:tabs>
              <w:tab w:val="right" w:leader="dot" w:pos="9350"/>
            </w:tabs>
            <w:rPr>
              <w:rFonts w:eastAsiaTheme="minorEastAsia"/>
              <w:noProof/>
            </w:rPr>
          </w:pPr>
          <w:hyperlink w:anchor="_Toc217117697" w:history="1">
            <w:r w:rsidRPr="007712FE">
              <w:rPr>
                <w:rStyle w:val="Hyperlink"/>
                <w:rFonts w:ascii="Arial" w:eastAsia="Times New Roman" w:hAnsi="Arial" w:cs="Arial"/>
                <w:b/>
                <w:noProof/>
                <w:lang w:val="en-GB" w:eastAsia="en-GB"/>
              </w:rPr>
              <w:t>4.1 Introduction</w:t>
            </w:r>
            <w:r>
              <w:rPr>
                <w:noProof/>
                <w:webHidden/>
              </w:rPr>
              <w:tab/>
            </w:r>
            <w:r>
              <w:rPr>
                <w:noProof/>
                <w:webHidden/>
              </w:rPr>
              <w:fldChar w:fldCharType="begin"/>
            </w:r>
            <w:r>
              <w:rPr>
                <w:noProof/>
                <w:webHidden/>
              </w:rPr>
              <w:instrText xml:space="preserve"> PAGEREF _Toc217117697 \h </w:instrText>
            </w:r>
            <w:r>
              <w:rPr>
                <w:noProof/>
                <w:webHidden/>
              </w:rPr>
            </w:r>
            <w:r>
              <w:rPr>
                <w:noProof/>
                <w:webHidden/>
              </w:rPr>
              <w:fldChar w:fldCharType="separate"/>
            </w:r>
            <w:r>
              <w:rPr>
                <w:noProof/>
                <w:webHidden/>
              </w:rPr>
              <w:t>22</w:t>
            </w:r>
            <w:r>
              <w:rPr>
                <w:noProof/>
                <w:webHidden/>
              </w:rPr>
              <w:fldChar w:fldCharType="end"/>
            </w:r>
          </w:hyperlink>
        </w:p>
        <w:p w:rsidR="003F77CA" w:rsidRDefault="003F77CA">
          <w:pPr>
            <w:pStyle w:val="TOC2"/>
            <w:tabs>
              <w:tab w:val="right" w:leader="dot" w:pos="9350"/>
            </w:tabs>
            <w:rPr>
              <w:rFonts w:eastAsiaTheme="minorEastAsia"/>
              <w:noProof/>
            </w:rPr>
          </w:pPr>
          <w:hyperlink w:anchor="_Toc217117698" w:history="1">
            <w:r w:rsidRPr="007712FE">
              <w:rPr>
                <w:rStyle w:val="Hyperlink"/>
                <w:rFonts w:ascii="Arial" w:eastAsia="Times New Roman" w:hAnsi="Arial" w:cs="Arial"/>
                <w:b/>
                <w:noProof/>
                <w:lang w:val="en-GB" w:eastAsia="en-GB"/>
              </w:rPr>
              <w:t>4.2 Project Overview</w:t>
            </w:r>
            <w:r>
              <w:rPr>
                <w:noProof/>
                <w:webHidden/>
              </w:rPr>
              <w:tab/>
            </w:r>
            <w:r>
              <w:rPr>
                <w:noProof/>
                <w:webHidden/>
              </w:rPr>
              <w:fldChar w:fldCharType="begin"/>
            </w:r>
            <w:r>
              <w:rPr>
                <w:noProof/>
                <w:webHidden/>
              </w:rPr>
              <w:instrText xml:space="preserve"> PAGEREF _Toc217117698 \h </w:instrText>
            </w:r>
            <w:r>
              <w:rPr>
                <w:noProof/>
                <w:webHidden/>
              </w:rPr>
            </w:r>
            <w:r>
              <w:rPr>
                <w:noProof/>
                <w:webHidden/>
              </w:rPr>
              <w:fldChar w:fldCharType="separate"/>
            </w:r>
            <w:r>
              <w:rPr>
                <w:noProof/>
                <w:webHidden/>
              </w:rPr>
              <w:t>23</w:t>
            </w:r>
            <w:r>
              <w:rPr>
                <w:noProof/>
                <w:webHidden/>
              </w:rPr>
              <w:fldChar w:fldCharType="end"/>
            </w:r>
          </w:hyperlink>
        </w:p>
        <w:p w:rsidR="003F77CA" w:rsidRDefault="003F77CA">
          <w:pPr>
            <w:pStyle w:val="TOC2"/>
            <w:tabs>
              <w:tab w:val="right" w:leader="dot" w:pos="9350"/>
            </w:tabs>
            <w:rPr>
              <w:rFonts w:eastAsiaTheme="minorEastAsia"/>
              <w:noProof/>
            </w:rPr>
          </w:pPr>
          <w:hyperlink w:anchor="_Toc217117699" w:history="1">
            <w:r w:rsidRPr="007712FE">
              <w:rPr>
                <w:rStyle w:val="Hyperlink"/>
                <w:rFonts w:ascii="Arial" w:eastAsia="Times New Roman" w:hAnsi="Arial" w:cs="Arial"/>
                <w:b/>
                <w:noProof/>
                <w:lang w:val="en-GB" w:eastAsia="en-GB"/>
              </w:rPr>
              <w:t>4.3 Payback Period (PBP)</w:t>
            </w:r>
            <w:r>
              <w:rPr>
                <w:noProof/>
                <w:webHidden/>
              </w:rPr>
              <w:tab/>
            </w:r>
            <w:r>
              <w:rPr>
                <w:noProof/>
                <w:webHidden/>
              </w:rPr>
              <w:fldChar w:fldCharType="begin"/>
            </w:r>
            <w:r>
              <w:rPr>
                <w:noProof/>
                <w:webHidden/>
              </w:rPr>
              <w:instrText xml:space="preserve"> PAGEREF _Toc217117699 \h </w:instrText>
            </w:r>
            <w:r>
              <w:rPr>
                <w:noProof/>
                <w:webHidden/>
              </w:rPr>
            </w:r>
            <w:r>
              <w:rPr>
                <w:noProof/>
                <w:webHidden/>
              </w:rPr>
              <w:fldChar w:fldCharType="separate"/>
            </w:r>
            <w:r>
              <w:rPr>
                <w:noProof/>
                <w:webHidden/>
              </w:rPr>
              <w:t>23</w:t>
            </w:r>
            <w:r>
              <w:rPr>
                <w:noProof/>
                <w:webHidden/>
              </w:rPr>
              <w:fldChar w:fldCharType="end"/>
            </w:r>
          </w:hyperlink>
        </w:p>
        <w:p w:rsidR="003F77CA" w:rsidRDefault="003F77CA">
          <w:pPr>
            <w:pStyle w:val="TOC2"/>
            <w:tabs>
              <w:tab w:val="right" w:leader="dot" w:pos="9350"/>
            </w:tabs>
            <w:rPr>
              <w:rFonts w:eastAsiaTheme="minorEastAsia"/>
              <w:noProof/>
            </w:rPr>
          </w:pPr>
          <w:hyperlink w:anchor="_Toc217117700" w:history="1">
            <w:r w:rsidRPr="007712FE">
              <w:rPr>
                <w:rStyle w:val="Hyperlink"/>
                <w:rFonts w:ascii="Arial" w:eastAsia="Times New Roman" w:hAnsi="Arial" w:cs="Arial"/>
                <w:b/>
                <w:noProof/>
                <w:lang w:val="en-GB" w:eastAsia="en-GB"/>
              </w:rPr>
              <w:t>4.4 Accounting Rate of Return (ARR)</w:t>
            </w:r>
            <w:r>
              <w:rPr>
                <w:noProof/>
                <w:webHidden/>
              </w:rPr>
              <w:tab/>
            </w:r>
            <w:r>
              <w:rPr>
                <w:noProof/>
                <w:webHidden/>
              </w:rPr>
              <w:fldChar w:fldCharType="begin"/>
            </w:r>
            <w:r>
              <w:rPr>
                <w:noProof/>
                <w:webHidden/>
              </w:rPr>
              <w:instrText xml:space="preserve"> PAGEREF _Toc217117700 \h </w:instrText>
            </w:r>
            <w:r>
              <w:rPr>
                <w:noProof/>
                <w:webHidden/>
              </w:rPr>
            </w:r>
            <w:r>
              <w:rPr>
                <w:noProof/>
                <w:webHidden/>
              </w:rPr>
              <w:fldChar w:fldCharType="separate"/>
            </w:r>
            <w:r>
              <w:rPr>
                <w:noProof/>
                <w:webHidden/>
              </w:rPr>
              <w:t>24</w:t>
            </w:r>
            <w:r>
              <w:rPr>
                <w:noProof/>
                <w:webHidden/>
              </w:rPr>
              <w:fldChar w:fldCharType="end"/>
            </w:r>
          </w:hyperlink>
        </w:p>
        <w:p w:rsidR="003F77CA" w:rsidRDefault="003F77CA">
          <w:pPr>
            <w:pStyle w:val="TOC2"/>
            <w:tabs>
              <w:tab w:val="right" w:leader="dot" w:pos="9350"/>
            </w:tabs>
            <w:rPr>
              <w:rFonts w:eastAsiaTheme="minorEastAsia"/>
              <w:noProof/>
            </w:rPr>
          </w:pPr>
          <w:hyperlink w:anchor="_Toc217117701" w:history="1">
            <w:r w:rsidRPr="007712FE">
              <w:rPr>
                <w:rStyle w:val="Hyperlink"/>
                <w:rFonts w:ascii="Arial" w:eastAsia="Times New Roman" w:hAnsi="Arial" w:cs="Arial"/>
                <w:b/>
                <w:noProof/>
                <w:lang w:val="en-GB" w:eastAsia="en-GB"/>
              </w:rPr>
              <w:t>4.5 Net Present Value (NPV)</w:t>
            </w:r>
            <w:r>
              <w:rPr>
                <w:noProof/>
                <w:webHidden/>
              </w:rPr>
              <w:tab/>
            </w:r>
            <w:r>
              <w:rPr>
                <w:noProof/>
                <w:webHidden/>
              </w:rPr>
              <w:fldChar w:fldCharType="begin"/>
            </w:r>
            <w:r>
              <w:rPr>
                <w:noProof/>
                <w:webHidden/>
              </w:rPr>
              <w:instrText xml:space="preserve"> PAGEREF _Toc217117701 \h </w:instrText>
            </w:r>
            <w:r>
              <w:rPr>
                <w:noProof/>
                <w:webHidden/>
              </w:rPr>
            </w:r>
            <w:r>
              <w:rPr>
                <w:noProof/>
                <w:webHidden/>
              </w:rPr>
              <w:fldChar w:fldCharType="separate"/>
            </w:r>
            <w:r>
              <w:rPr>
                <w:noProof/>
                <w:webHidden/>
              </w:rPr>
              <w:t>25</w:t>
            </w:r>
            <w:r>
              <w:rPr>
                <w:noProof/>
                <w:webHidden/>
              </w:rPr>
              <w:fldChar w:fldCharType="end"/>
            </w:r>
          </w:hyperlink>
        </w:p>
        <w:p w:rsidR="003F77CA" w:rsidRDefault="003F77CA">
          <w:pPr>
            <w:pStyle w:val="TOC2"/>
            <w:tabs>
              <w:tab w:val="right" w:leader="dot" w:pos="9350"/>
            </w:tabs>
            <w:rPr>
              <w:rFonts w:eastAsiaTheme="minorEastAsia"/>
              <w:noProof/>
            </w:rPr>
          </w:pPr>
          <w:hyperlink w:anchor="_Toc217117702" w:history="1">
            <w:r w:rsidRPr="007712FE">
              <w:rPr>
                <w:rStyle w:val="Hyperlink"/>
                <w:rFonts w:ascii="Arial" w:eastAsia="Times New Roman" w:hAnsi="Arial" w:cs="Arial"/>
                <w:b/>
                <w:noProof/>
                <w:lang w:val="en-GB" w:eastAsia="en-GB"/>
              </w:rPr>
              <w:t>4.6 Profitability Index (PI)</w:t>
            </w:r>
            <w:r>
              <w:rPr>
                <w:noProof/>
                <w:webHidden/>
              </w:rPr>
              <w:tab/>
            </w:r>
            <w:r>
              <w:rPr>
                <w:noProof/>
                <w:webHidden/>
              </w:rPr>
              <w:fldChar w:fldCharType="begin"/>
            </w:r>
            <w:r>
              <w:rPr>
                <w:noProof/>
                <w:webHidden/>
              </w:rPr>
              <w:instrText xml:space="preserve"> PAGEREF _Toc217117702 \h </w:instrText>
            </w:r>
            <w:r>
              <w:rPr>
                <w:noProof/>
                <w:webHidden/>
              </w:rPr>
            </w:r>
            <w:r>
              <w:rPr>
                <w:noProof/>
                <w:webHidden/>
              </w:rPr>
              <w:fldChar w:fldCharType="separate"/>
            </w:r>
            <w:r>
              <w:rPr>
                <w:noProof/>
                <w:webHidden/>
              </w:rPr>
              <w:t>25</w:t>
            </w:r>
            <w:r>
              <w:rPr>
                <w:noProof/>
                <w:webHidden/>
              </w:rPr>
              <w:fldChar w:fldCharType="end"/>
            </w:r>
          </w:hyperlink>
        </w:p>
        <w:p w:rsidR="003F77CA" w:rsidRDefault="003F77CA">
          <w:pPr>
            <w:pStyle w:val="TOC2"/>
            <w:tabs>
              <w:tab w:val="right" w:leader="dot" w:pos="9350"/>
            </w:tabs>
            <w:rPr>
              <w:rFonts w:eastAsiaTheme="minorEastAsia"/>
              <w:noProof/>
            </w:rPr>
          </w:pPr>
          <w:hyperlink w:anchor="_Toc217117703" w:history="1">
            <w:r w:rsidRPr="007712FE">
              <w:rPr>
                <w:rStyle w:val="Hyperlink"/>
                <w:rFonts w:ascii="Arial" w:eastAsia="Times New Roman" w:hAnsi="Arial" w:cs="Arial"/>
                <w:b/>
                <w:bCs/>
                <w:noProof/>
                <w:lang w:val="en-GB" w:eastAsia="en-GB"/>
              </w:rPr>
              <w:t>4.7 Internal Rate of Return (IRR)</w:t>
            </w:r>
            <w:r>
              <w:rPr>
                <w:noProof/>
                <w:webHidden/>
              </w:rPr>
              <w:tab/>
            </w:r>
            <w:r>
              <w:rPr>
                <w:noProof/>
                <w:webHidden/>
              </w:rPr>
              <w:fldChar w:fldCharType="begin"/>
            </w:r>
            <w:r>
              <w:rPr>
                <w:noProof/>
                <w:webHidden/>
              </w:rPr>
              <w:instrText xml:space="preserve"> PAGEREF _Toc217117703 \h </w:instrText>
            </w:r>
            <w:r>
              <w:rPr>
                <w:noProof/>
                <w:webHidden/>
              </w:rPr>
            </w:r>
            <w:r>
              <w:rPr>
                <w:noProof/>
                <w:webHidden/>
              </w:rPr>
              <w:fldChar w:fldCharType="separate"/>
            </w:r>
            <w:r>
              <w:rPr>
                <w:noProof/>
                <w:webHidden/>
              </w:rPr>
              <w:t>26</w:t>
            </w:r>
            <w:r>
              <w:rPr>
                <w:noProof/>
                <w:webHidden/>
              </w:rPr>
              <w:fldChar w:fldCharType="end"/>
            </w:r>
          </w:hyperlink>
        </w:p>
        <w:p w:rsidR="003F77CA" w:rsidRDefault="003F77CA">
          <w:pPr>
            <w:pStyle w:val="TOC2"/>
            <w:tabs>
              <w:tab w:val="right" w:leader="dot" w:pos="9350"/>
            </w:tabs>
            <w:rPr>
              <w:rFonts w:eastAsiaTheme="minorEastAsia"/>
              <w:noProof/>
            </w:rPr>
          </w:pPr>
          <w:hyperlink w:anchor="_Toc217117704" w:history="1">
            <w:r w:rsidRPr="007712FE">
              <w:rPr>
                <w:rStyle w:val="Hyperlink"/>
                <w:rFonts w:ascii="Arial" w:eastAsia="Times New Roman" w:hAnsi="Arial" w:cs="Arial"/>
                <w:b/>
                <w:bCs/>
                <w:noProof/>
                <w:lang w:val="en-GB" w:eastAsia="en-GB"/>
              </w:rPr>
              <w:t>4.8 Capital Rationing Analysis</w:t>
            </w:r>
            <w:r>
              <w:rPr>
                <w:noProof/>
                <w:webHidden/>
              </w:rPr>
              <w:tab/>
            </w:r>
            <w:r>
              <w:rPr>
                <w:noProof/>
                <w:webHidden/>
              </w:rPr>
              <w:fldChar w:fldCharType="begin"/>
            </w:r>
            <w:r>
              <w:rPr>
                <w:noProof/>
                <w:webHidden/>
              </w:rPr>
              <w:instrText xml:space="preserve"> PAGEREF _Toc217117704 \h </w:instrText>
            </w:r>
            <w:r>
              <w:rPr>
                <w:noProof/>
                <w:webHidden/>
              </w:rPr>
            </w:r>
            <w:r>
              <w:rPr>
                <w:noProof/>
                <w:webHidden/>
              </w:rPr>
              <w:fldChar w:fldCharType="separate"/>
            </w:r>
            <w:r>
              <w:rPr>
                <w:noProof/>
                <w:webHidden/>
              </w:rPr>
              <w:t>27</w:t>
            </w:r>
            <w:r>
              <w:rPr>
                <w:noProof/>
                <w:webHidden/>
              </w:rPr>
              <w:fldChar w:fldCharType="end"/>
            </w:r>
          </w:hyperlink>
        </w:p>
        <w:p w:rsidR="003F77CA" w:rsidRDefault="003F77CA">
          <w:pPr>
            <w:pStyle w:val="TOC1"/>
            <w:tabs>
              <w:tab w:val="right" w:leader="dot" w:pos="9350"/>
            </w:tabs>
            <w:rPr>
              <w:rFonts w:eastAsiaTheme="minorEastAsia"/>
              <w:noProof/>
            </w:rPr>
          </w:pPr>
          <w:hyperlink w:anchor="_Toc217117705" w:history="1">
            <w:r w:rsidRPr="007712FE">
              <w:rPr>
                <w:rStyle w:val="Hyperlink"/>
                <w:rFonts w:ascii="Arial" w:eastAsia="Times New Roman" w:hAnsi="Arial" w:cs="Arial"/>
                <w:b/>
                <w:noProof/>
                <w:lang w:val="en-GB" w:eastAsia="en-GB"/>
              </w:rPr>
              <w:t>5. Conclusion</w:t>
            </w:r>
            <w:r>
              <w:rPr>
                <w:noProof/>
                <w:webHidden/>
              </w:rPr>
              <w:tab/>
            </w:r>
            <w:r>
              <w:rPr>
                <w:noProof/>
                <w:webHidden/>
              </w:rPr>
              <w:fldChar w:fldCharType="begin"/>
            </w:r>
            <w:r>
              <w:rPr>
                <w:noProof/>
                <w:webHidden/>
              </w:rPr>
              <w:instrText xml:space="preserve"> PAGEREF _Toc217117705 \h </w:instrText>
            </w:r>
            <w:r>
              <w:rPr>
                <w:noProof/>
                <w:webHidden/>
              </w:rPr>
            </w:r>
            <w:r>
              <w:rPr>
                <w:noProof/>
                <w:webHidden/>
              </w:rPr>
              <w:fldChar w:fldCharType="separate"/>
            </w:r>
            <w:r>
              <w:rPr>
                <w:noProof/>
                <w:webHidden/>
              </w:rPr>
              <w:t>29</w:t>
            </w:r>
            <w:r>
              <w:rPr>
                <w:noProof/>
                <w:webHidden/>
              </w:rPr>
              <w:fldChar w:fldCharType="end"/>
            </w:r>
          </w:hyperlink>
        </w:p>
        <w:p w:rsidR="003F77CA" w:rsidRDefault="003F77CA">
          <w:pPr>
            <w:pStyle w:val="TOC1"/>
            <w:tabs>
              <w:tab w:val="right" w:leader="dot" w:pos="9350"/>
            </w:tabs>
            <w:rPr>
              <w:rFonts w:eastAsiaTheme="minorEastAsia"/>
              <w:noProof/>
            </w:rPr>
          </w:pPr>
          <w:hyperlink w:anchor="_Toc217117706" w:history="1">
            <w:r w:rsidRPr="007712FE">
              <w:rPr>
                <w:rStyle w:val="Hyperlink"/>
                <w:rFonts w:ascii="Arial" w:hAnsi="Arial" w:cs="Arial"/>
                <w:b/>
                <w:noProof/>
              </w:rPr>
              <w:t>6. References</w:t>
            </w:r>
            <w:r>
              <w:rPr>
                <w:noProof/>
                <w:webHidden/>
              </w:rPr>
              <w:tab/>
            </w:r>
            <w:r>
              <w:rPr>
                <w:noProof/>
                <w:webHidden/>
              </w:rPr>
              <w:fldChar w:fldCharType="begin"/>
            </w:r>
            <w:r>
              <w:rPr>
                <w:noProof/>
                <w:webHidden/>
              </w:rPr>
              <w:instrText xml:space="preserve"> PAGEREF _Toc217117706 \h </w:instrText>
            </w:r>
            <w:r>
              <w:rPr>
                <w:noProof/>
                <w:webHidden/>
              </w:rPr>
            </w:r>
            <w:r>
              <w:rPr>
                <w:noProof/>
                <w:webHidden/>
              </w:rPr>
              <w:fldChar w:fldCharType="separate"/>
            </w:r>
            <w:r>
              <w:rPr>
                <w:noProof/>
                <w:webHidden/>
              </w:rPr>
              <w:t>30</w:t>
            </w:r>
            <w:r>
              <w:rPr>
                <w:noProof/>
                <w:webHidden/>
              </w:rPr>
              <w:fldChar w:fldCharType="end"/>
            </w:r>
          </w:hyperlink>
        </w:p>
        <w:p w:rsidR="003F77CA" w:rsidRDefault="003F77CA">
          <w:pPr>
            <w:pStyle w:val="TOC1"/>
            <w:tabs>
              <w:tab w:val="right" w:leader="dot" w:pos="9350"/>
            </w:tabs>
            <w:rPr>
              <w:rFonts w:eastAsiaTheme="minorEastAsia"/>
              <w:noProof/>
            </w:rPr>
          </w:pPr>
          <w:hyperlink w:anchor="_Toc217117707" w:history="1">
            <w:r w:rsidRPr="007712FE">
              <w:rPr>
                <w:rStyle w:val="Hyperlink"/>
                <w:rFonts w:ascii="Arial" w:hAnsi="Arial" w:cs="Arial"/>
                <w:b/>
                <w:noProof/>
              </w:rPr>
              <w:t>7. Appendices</w:t>
            </w:r>
            <w:r>
              <w:rPr>
                <w:noProof/>
                <w:webHidden/>
              </w:rPr>
              <w:tab/>
            </w:r>
            <w:r>
              <w:rPr>
                <w:noProof/>
                <w:webHidden/>
              </w:rPr>
              <w:fldChar w:fldCharType="begin"/>
            </w:r>
            <w:r>
              <w:rPr>
                <w:noProof/>
                <w:webHidden/>
              </w:rPr>
              <w:instrText xml:space="preserve"> PAGEREF _Toc217117707 \h </w:instrText>
            </w:r>
            <w:r>
              <w:rPr>
                <w:noProof/>
                <w:webHidden/>
              </w:rPr>
            </w:r>
            <w:r>
              <w:rPr>
                <w:noProof/>
                <w:webHidden/>
              </w:rPr>
              <w:fldChar w:fldCharType="separate"/>
            </w:r>
            <w:r>
              <w:rPr>
                <w:noProof/>
                <w:webHidden/>
              </w:rPr>
              <w:t>34</w:t>
            </w:r>
            <w:r>
              <w:rPr>
                <w:noProof/>
                <w:webHidden/>
              </w:rPr>
              <w:fldChar w:fldCharType="end"/>
            </w:r>
          </w:hyperlink>
        </w:p>
        <w:p w:rsidR="007947D7" w:rsidRPr="00E41467" w:rsidRDefault="007947D7">
          <w:pPr>
            <w:rPr>
              <w:rFonts w:ascii="Arial" w:hAnsi="Arial" w:cs="Arial"/>
            </w:rPr>
          </w:pPr>
          <w:r w:rsidRPr="00E41467">
            <w:rPr>
              <w:rFonts w:ascii="Arial" w:hAnsi="Arial" w:cs="Arial"/>
              <w:b/>
              <w:bCs/>
              <w:noProof/>
            </w:rPr>
            <w:fldChar w:fldCharType="end"/>
          </w:r>
        </w:p>
      </w:sdtContent>
    </w:sdt>
    <w:p w:rsidR="00FE3429" w:rsidRPr="00E41467" w:rsidRDefault="00FE3429" w:rsidP="00E41467">
      <w:pPr>
        <w:rPr>
          <w:rFonts w:ascii="Arial" w:hAnsi="Arial" w:cs="Arial"/>
        </w:rPr>
      </w:pPr>
    </w:p>
    <w:p w:rsidR="00FE3429" w:rsidRPr="00E41467" w:rsidRDefault="00FE3429" w:rsidP="00FE3429">
      <w:pPr>
        <w:rPr>
          <w:rFonts w:ascii="Arial" w:eastAsiaTheme="majorEastAsia" w:hAnsi="Arial" w:cs="Arial"/>
          <w:sz w:val="32"/>
          <w:szCs w:val="32"/>
        </w:rPr>
      </w:pPr>
      <w:r w:rsidRPr="00E41467">
        <w:rPr>
          <w:rFonts w:ascii="Arial" w:hAnsi="Arial" w:cs="Arial"/>
        </w:rPr>
        <w:br w:type="page"/>
      </w:r>
    </w:p>
    <w:p w:rsidR="00E41467" w:rsidRDefault="00E41467" w:rsidP="00E41467">
      <w:pPr>
        <w:pStyle w:val="Heading1"/>
        <w:spacing w:after="240"/>
        <w:rPr>
          <w:rFonts w:ascii="Arial" w:hAnsi="Arial" w:cs="Arial"/>
          <w:b/>
          <w:color w:val="auto"/>
        </w:rPr>
        <w:sectPr w:rsidR="00E41467">
          <w:footerReference w:type="default" r:id="rId9"/>
          <w:pgSz w:w="12240" w:h="15840"/>
          <w:pgMar w:top="1440" w:right="1440" w:bottom="1440" w:left="1440" w:header="720" w:footer="720" w:gutter="0"/>
          <w:cols w:space="720"/>
          <w:docGrid w:linePitch="360"/>
        </w:sectPr>
      </w:pPr>
    </w:p>
    <w:p w:rsidR="00BB7BA8" w:rsidRPr="00E41467" w:rsidRDefault="00BB7BA8" w:rsidP="00E41467">
      <w:pPr>
        <w:pStyle w:val="Heading1"/>
        <w:spacing w:after="240"/>
        <w:rPr>
          <w:rFonts w:ascii="Arial" w:hAnsi="Arial" w:cs="Arial"/>
          <w:b/>
          <w:color w:val="auto"/>
        </w:rPr>
      </w:pPr>
      <w:bookmarkStart w:id="1" w:name="_Toc217117649"/>
      <w:r w:rsidRPr="00E41467">
        <w:rPr>
          <w:rFonts w:ascii="Arial" w:hAnsi="Arial" w:cs="Arial"/>
          <w:b/>
          <w:color w:val="auto"/>
        </w:rPr>
        <w:lastRenderedPageBreak/>
        <w:t>Introduction</w:t>
      </w:r>
      <w:bookmarkEnd w:id="1"/>
    </w:p>
    <w:p w:rsidR="00A83A14" w:rsidRPr="00E41467" w:rsidRDefault="00A83A14" w:rsidP="00E41467">
      <w:pPr>
        <w:spacing w:after="240" w:line="360" w:lineRule="auto"/>
        <w:jc w:val="both"/>
        <w:rPr>
          <w:rFonts w:ascii="Arial" w:hAnsi="Arial" w:cs="Arial"/>
          <w:sz w:val="24"/>
          <w:szCs w:val="24"/>
        </w:rPr>
      </w:pPr>
      <w:r w:rsidRPr="00E41467">
        <w:rPr>
          <w:rFonts w:ascii="Arial" w:hAnsi="Arial" w:cs="Arial"/>
          <w:sz w:val="24"/>
          <w:szCs w:val="24"/>
        </w:rPr>
        <w:t>A successful financial management is a core pillar to business continuity and development in the modern unpredictable business environment in the global economy. The Chief Financial Officer (CFO) position is more than a typical accounting position by incorporating strategic decision-making, risk management, and value creation (Brealey, Myers and Allen, 2020). The contemporary CFO has to juggle profitability, liquidity, shareholder expectations, through macroeconomic volatility, technological upset, and worldwide competition (Atrill &amp; McLaney, 2022).</w:t>
      </w:r>
    </w:p>
    <w:p w:rsidR="00A83A14" w:rsidRPr="00E41467" w:rsidRDefault="00A83A14" w:rsidP="00170687">
      <w:pPr>
        <w:spacing w:line="360" w:lineRule="auto"/>
        <w:jc w:val="both"/>
        <w:rPr>
          <w:rFonts w:ascii="Arial" w:hAnsi="Arial" w:cs="Arial"/>
          <w:sz w:val="24"/>
          <w:szCs w:val="24"/>
        </w:rPr>
      </w:pPr>
      <w:r w:rsidRPr="00E41467">
        <w:rPr>
          <w:rFonts w:ascii="Arial" w:hAnsi="Arial" w:cs="Arial"/>
          <w:sz w:val="24"/>
          <w:szCs w:val="24"/>
        </w:rPr>
        <w:t xml:space="preserve">The assignment focuses on an in-depth analysis of the financial health of the firm in terms of ratio analysis and failure prediction techniques including Altman Z-Score, which evaluates the risk of solvency, and financial strength (Altman, 1968). It further examines how the working capital reforms can be used to maximise the liquidity and operational efficiency (Deloof, 2003). </w:t>
      </w:r>
    </w:p>
    <w:p w:rsidR="006647DE" w:rsidRPr="00E41467" w:rsidRDefault="006647DE" w:rsidP="00170687">
      <w:pPr>
        <w:spacing w:line="360" w:lineRule="auto"/>
        <w:jc w:val="both"/>
        <w:rPr>
          <w:rFonts w:ascii="Arial" w:hAnsi="Arial" w:cs="Arial"/>
          <w:b/>
          <w:sz w:val="24"/>
          <w:szCs w:val="24"/>
        </w:rPr>
      </w:pPr>
    </w:p>
    <w:p w:rsidR="006647DE" w:rsidRPr="00E41467" w:rsidRDefault="006647DE" w:rsidP="00170687">
      <w:pPr>
        <w:spacing w:line="360" w:lineRule="auto"/>
        <w:jc w:val="both"/>
        <w:rPr>
          <w:rFonts w:ascii="Arial" w:hAnsi="Arial" w:cs="Arial"/>
          <w:b/>
          <w:sz w:val="24"/>
          <w:szCs w:val="24"/>
        </w:rPr>
      </w:pPr>
    </w:p>
    <w:p w:rsidR="006647DE" w:rsidRPr="00E41467" w:rsidRDefault="006647DE" w:rsidP="00170687">
      <w:pPr>
        <w:spacing w:line="360" w:lineRule="auto"/>
        <w:jc w:val="both"/>
        <w:rPr>
          <w:rFonts w:ascii="Arial" w:hAnsi="Arial" w:cs="Arial"/>
          <w:b/>
          <w:sz w:val="24"/>
          <w:szCs w:val="24"/>
        </w:rPr>
      </w:pPr>
    </w:p>
    <w:p w:rsidR="00E41467" w:rsidRDefault="00E41467">
      <w:pPr>
        <w:rPr>
          <w:rFonts w:ascii="Arial" w:eastAsiaTheme="majorEastAsia" w:hAnsi="Arial" w:cs="Arial"/>
          <w:b/>
          <w:sz w:val="32"/>
          <w:szCs w:val="32"/>
        </w:rPr>
      </w:pPr>
      <w:r>
        <w:rPr>
          <w:rFonts w:ascii="Arial" w:hAnsi="Arial" w:cs="Arial"/>
          <w:b/>
        </w:rPr>
        <w:br w:type="page"/>
      </w:r>
    </w:p>
    <w:p w:rsidR="00CB687A" w:rsidRPr="004B2484" w:rsidRDefault="00CC05ED" w:rsidP="004B2484">
      <w:pPr>
        <w:pStyle w:val="Heading1"/>
        <w:spacing w:after="240"/>
        <w:rPr>
          <w:rFonts w:ascii="Arial" w:hAnsi="Arial" w:cs="Arial"/>
          <w:b/>
          <w:color w:val="auto"/>
        </w:rPr>
      </w:pPr>
      <w:bookmarkStart w:id="2" w:name="_Toc217117650"/>
      <w:r w:rsidRPr="00E41467">
        <w:rPr>
          <w:rFonts w:ascii="Arial" w:hAnsi="Arial" w:cs="Arial"/>
          <w:b/>
          <w:color w:val="auto"/>
        </w:rPr>
        <w:lastRenderedPageBreak/>
        <w:t xml:space="preserve">1. Financial Health Check </w:t>
      </w:r>
      <w:r w:rsidR="00170687" w:rsidRPr="00E41467">
        <w:rPr>
          <w:rFonts w:ascii="Arial" w:hAnsi="Arial" w:cs="Arial"/>
          <w:b/>
          <w:color w:val="auto"/>
        </w:rPr>
        <w:t>of General Electronics</w:t>
      </w:r>
      <w:bookmarkEnd w:id="2"/>
    </w:p>
    <w:p w:rsidR="00CB687A" w:rsidRPr="004B2484" w:rsidRDefault="00CB687A" w:rsidP="004B2484">
      <w:pPr>
        <w:pStyle w:val="Heading2"/>
        <w:spacing w:after="240"/>
        <w:rPr>
          <w:rFonts w:ascii="Arial" w:hAnsi="Arial" w:cs="Arial"/>
          <w:b/>
          <w:color w:val="auto"/>
        </w:rPr>
      </w:pPr>
      <w:bookmarkStart w:id="3" w:name="_Toc217117651"/>
      <w:r w:rsidRPr="00E41467">
        <w:rPr>
          <w:rFonts w:ascii="Arial" w:hAnsi="Arial" w:cs="Arial"/>
          <w:b/>
          <w:color w:val="auto"/>
        </w:rPr>
        <w:t xml:space="preserve">1.1 </w:t>
      </w:r>
      <w:r w:rsidR="00CC05ED" w:rsidRPr="00E41467">
        <w:rPr>
          <w:rFonts w:ascii="Arial" w:hAnsi="Arial" w:cs="Arial"/>
          <w:b/>
          <w:color w:val="auto"/>
        </w:rPr>
        <w:t>Introduction</w:t>
      </w:r>
      <w:bookmarkEnd w:id="3"/>
    </w:p>
    <w:p w:rsidR="007E3A57" w:rsidRPr="00E41467" w:rsidRDefault="007E3A57" w:rsidP="004B2484">
      <w:pPr>
        <w:spacing w:after="240" w:line="360" w:lineRule="auto"/>
        <w:jc w:val="both"/>
        <w:rPr>
          <w:rFonts w:ascii="Arial" w:hAnsi="Arial" w:cs="Arial"/>
          <w:sz w:val="24"/>
          <w:szCs w:val="24"/>
        </w:rPr>
      </w:pPr>
      <w:r w:rsidRPr="00E41467">
        <w:rPr>
          <w:rFonts w:ascii="Arial" w:hAnsi="Arial" w:cs="Arial"/>
          <w:sz w:val="24"/>
          <w:szCs w:val="24"/>
        </w:rPr>
        <w:t xml:space="preserve">The analytical pillar of any corporate </w:t>
      </w:r>
      <w:r w:rsidR="00170687" w:rsidRPr="00E41467">
        <w:rPr>
          <w:rFonts w:ascii="Arial" w:hAnsi="Arial" w:cs="Arial"/>
          <w:sz w:val="24"/>
          <w:szCs w:val="24"/>
        </w:rPr>
        <w:t>turnaround</w:t>
      </w:r>
      <w:r w:rsidRPr="00E41467">
        <w:rPr>
          <w:rFonts w:ascii="Arial" w:hAnsi="Arial" w:cs="Arial"/>
          <w:sz w:val="24"/>
          <w:szCs w:val="24"/>
        </w:rPr>
        <w:t xml:space="preserve"> strategy is a financial health cheque that enables the Chief Financial Officer (CFO) to identify the root of the financial distress. In the case of General Electronics, a multinational corporation in the consumer electronics business, the determination of financial health needs to be performed systematically through the evaluation of past financial statements, ratio analysis, and failure predictive models. </w:t>
      </w:r>
    </w:p>
    <w:p w:rsidR="00CB687A" w:rsidRPr="004B2484" w:rsidRDefault="00CC05ED" w:rsidP="004B2484">
      <w:pPr>
        <w:pStyle w:val="Heading2"/>
        <w:spacing w:after="240"/>
        <w:rPr>
          <w:rFonts w:ascii="Arial" w:hAnsi="Arial" w:cs="Arial"/>
          <w:b/>
          <w:color w:val="auto"/>
        </w:rPr>
      </w:pPr>
      <w:bookmarkStart w:id="4" w:name="_Toc217117652"/>
      <w:r w:rsidRPr="00E41467">
        <w:rPr>
          <w:rFonts w:ascii="Arial" w:hAnsi="Arial" w:cs="Arial"/>
          <w:b/>
          <w:color w:val="auto"/>
        </w:rPr>
        <w:t>1.</w:t>
      </w:r>
      <w:r w:rsidR="00170687" w:rsidRPr="00E41467">
        <w:rPr>
          <w:rFonts w:ascii="Arial" w:hAnsi="Arial" w:cs="Arial"/>
          <w:b/>
          <w:color w:val="auto"/>
        </w:rPr>
        <w:t>2</w:t>
      </w:r>
      <w:r w:rsidRPr="00E41467">
        <w:rPr>
          <w:rFonts w:ascii="Arial" w:hAnsi="Arial" w:cs="Arial"/>
          <w:b/>
          <w:color w:val="auto"/>
        </w:rPr>
        <w:t xml:space="preserve"> Profitability Ratios</w:t>
      </w:r>
      <w:bookmarkEnd w:id="4"/>
    </w:p>
    <w:p w:rsidR="0031680F" w:rsidRPr="00E41467" w:rsidRDefault="007E3A57" w:rsidP="004B2484">
      <w:pPr>
        <w:spacing w:after="240" w:line="360" w:lineRule="auto"/>
        <w:jc w:val="both"/>
        <w:rPr>
          <w:rFonts w:ascii="Arial" w:hAnsi="Arial" w:cs="Arial"/>
          <w:sz w:val="24"/>
          <w:szCs w:val="24"/>
        </w:rPr>
      </w:pPr>
      <w:r w:rsidRPr="00E41467">
        <w:rPr>
          <w:rFonts w:ascii="Arial" w:hAnsi="Arial" w:cs="Arial"/>
          <w:sz w:val="24"/>
          <w:szCs w:val="24"/>
        </w:rPr>
        <w:t>Profitability ratios assess the capacity of the firm to earn revenues as compared to sales, assets, and equity, which gives an understanding of the overall performance and managerial capacity (Atrill and McLaney, 2022).</w:t>
      </w:r>
    </w:p>
    <w:p w:rsidR="00CB687A" w:rsidRPr="004B2484" w:rsidRDefault="004202C7" w:rsidP="004B2484">
      <w:pPr>
        <w:pStyle w:val="Heading3"/>
        <w:spacing w:after="240"/>
        <w:rPr>
          <w:rFonts w:ascii="Arial" w:hAnsi="Arial" w:cs="Arial"/>
          <w:b/>
          <w:color w:val="auto"/>
        </w:rPr>
      </w:pPr>
      <w:bookmarkStart w:id="5" w:name="_Toc217117653"/>
      <w:r w:rsidRPr="00E41467">
        <w:rPr>
          <w:rFonts w:ascii="Arial" w:hAnsi="Arial" w:cs="Arial"/>
          <w:b/>
          <w:color w:val="auto"/>
        </w:rPr>
        <w:t>1.2.1 Gross Profit Margin (GPM)</w:t>
      </w:r>
      <w:bookmarkEnd w:id="5"/>
    </w:p>
    <w:p w:rsidR="00CC05ED" w:rsidRPr="004B2484" w:rsidRDefault="00CC05ED" w:rsidP="004B2484">
      <w:pPr>
        <w:spacing w:after="240" w:line="360" w:lineRule="auto"/>
        <w:jc w:val="both"/>
        <w:rPr>
          <w:rFonts w:ascii="Arial" w:hAnsi="Arial" w:cs="Arial"/>
          <w:sz w:val="24"/>
          <w:szCs w:val="24"/>
        </w:rPr>
      </w:pPr>
      <w:r w:rsidRPr="00E41467">
        <w:rPr>
          <w:rFonts w:ascii="Arial" w:hAnsi="Arial" w:cs="Arial"/>
          <w:sz w:val="24"/>
          <w:szCs w:val="24"/>
        </w:rPr>
        <w:t>Gross Profit Margin (GPM) = (Gross Profit ÷</w:t>
      </w:r>
      <w:r w:rsidR="004B2484">
        <w:rPr>
          <w:rFonts w:ascii="Arial" w:hAnsi="Arial" w:cs="Arial"/>
          <w:sz w:val="24"/>
          <w:szCs w:val="24"/>
        </w:rPr>
        <w:t xml:space="preserve"> Revenue) × 100</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80"/>
        <w:gridCol w:w="1620"/>
        <w:gridCol w:w="2070"/>
        <w:gridCol w:w="4316"/>
      </w:tblGrid>
      <w:tr w:rsidR="00E41467" w:rsidRPr="00E41467" w:rsidTr="004B2484">
        <w:trPr>
          <w:tblHeader/>
          <w:tblCellSpacing w:w="15" w:type="dxa"/>
        </w:trPr>
        <w:tc>
          <w:tcPr>
            <w:tcW w:w="1035" w:type="dxa"/>
            <w:vAlign w:val="center"/>
            <w:hideMark/>
          </w:tcPr>
          <w:p w:rsidR="00CC05ED" w:rsidRPr="00E41467" w:rsidRDefault="00CC05ED" w:rsidP="00CC20E9">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Year</w:t>
            </w:r>
          </w:p>
        </w:tc>
        <w:tc>
          <w:tcPr>
            <w:tcW w:w="1590" w:type="dxa"/>
            <w:vAlign w:val="center"/>
            <w:hideMark/>
          </w:tcPr>
          <w:p w:rsidR="00CC05ED" w:rsidRPr="00E41467" w:rsidRDefault="00CC05ED" w:rsidP="00CC20E9">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Revenue (£m)</w:t>
            </w:r>
          </w:p>
        </w:tc>
        <w:tc>
          <w:tcPr>
            <w:tcW w:w="2040" w:type="dxa"/>
            <w:vAlign w:val="center"/>
            <w:hideMark/>
          </w:tcPr>
          <w:p w:rsidR="00CC05ED" w:rsidRPr="00E41467" w:rsidRDefault="00CC05ED" w:rsidP="00CC20E9">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Gross Profit (£m)</w:t>
            </w:r>
          </w:p>
        </w:tc>
        <w:tc>
          <w:tcPr>
            <w:tcW w:w="4271" w:type="dxa"/>
            <w:vAlign w:val="center"/>
            <w:hideMark/>
          </w:tcPr>
          <w:p w:rsidR="00CC05ED" w:rsidRPr="00E41467" w:rsidRDefault="00CC05ED" w:rsidP="00CC20E9">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GPM (%) = (Gross Profit ÷ Revenue) × 100</w:t>
            </w:r>
          </w:p>
        </w:tc>
      </w:tr>
      <w:tr w:rsidR="00E41467" w:rsidRPr="00E41467" w:rsidTr="004B2484">
        <w:trPr>
          <w:tblCellSpacing w:w="15" w:type="dxa"/>
        </w:trPr>
        <w:tc>
          <w:tcPr>
            <w:tcW w:w="1035"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2020</w:t>
            </w:r>
          </w:p>
        </w:tc>
        <w:tc>
          <w:tcPr>
            <w:tcW w:w="159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1,000</w:t>
            </w:r>
          </w:p>
        </w:tc>
        <w:tc>
          <w:tcPr>
            <w:tcW w:w="204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400</w:t>
            </w:r>
          </w:p>
        </w:tc>
        <w:tc>
          <w:tcPr>
            <w:tcW w:w="4271"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40.0%</w:t>
            </w:r>
          </w:p>
        </w:tc>
      </w:tr>
      <w:tr w:rsidR="00E41467" w:rsidRPr="00E41467" w:rsidTr="004B2484">
        <w:trPr>
          <w:tblCellSpacing w:w="15" w:type="dxa"/>
        </w:trPr>
        <w:tc>
          <w:tcPr>
            <w:tcW w:w="1035"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2021</w:t>
            </w:r>
          </w:p>
        </w:tc>
        <w:tc>
          <w:tcPr>
            <w:tcW w:w="159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1,050</w:t>
            </w:r>
          </w:p>
        </w:tc>
        <w:tc>
          <w:tcPr>
            <w:tcW w:w="204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410</w:t>
            </w:r>
          </w:p>
        </w:tc>
        <w:tc>
          <w:tcPr>
            <w:tcW w:w="4271"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39.0%</w:t>
            </w:r>
          </w:p>
        </w:tc>
      </w:tr>
      <w:tr w:rsidR="00E41467" w:rsidRPr="00E41467" w:rsidTr="004B2484">
        <w:trPr>
          <w:tblCellSpacing w:w="15" w:type="dxa"/>
        </w:trPr>
        <w:tc>
          <w:tcPr>
            <w:tcW w:w="1035"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2022</w:t>
            </w:r>
          </w:p>
        </w:tc>
        <w:tc>
          <w:tcPr>
            <w:tcW w:w="159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1,100</w:t>
            </w:r>
          </w:p>
        </w:tc>
        <w:tc>
          <w:tcPr>
            <w:tcW w:w="204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410</w:t>
            </w:r>
          </w:p>
        </w:tc>
        <w:tc>
          <w:tcPr>
            <w:tcW w:w="4271"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37.3%</w:t>
            </w:r>
          </w:p>
        </w:tc>
      </w:tr>
      <w:tr w:rsidR="00E41467" w:rsidRPr="00E41467" w:rsidTr="004B2484">
        <w:trPr>
          <w:tblCellSpacing w:w="15" w:type="dxa"/>
        </w:trPr>
        <w:tc>
          <w:tcPr>
            <w:tcW w:w="1035"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2023</w:t>
            </w:r>
          </w:p>
        </w:tc>
        <w:tc>
          <w:tcPr>
            <w:tcW w:w="159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1,150</w:t>
            </w:r>
          </w:p>
        </w:tc>
        <w:tc>
          <w:tcPr>
            <w:tcW w:w="204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400</w:t>
            </w:r>
          </w:p>
        </w:tc>
        <w:tc>
          <w:tcPr>
            <w:tcW w:w="4271"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34.8%</w:t>
            </w:r>
          </w:p>
        </w:tc>
      </w:tr>
      <w:tr w:rsidR="00E41467" w:rsidRPr="00E41467" w:rsidTr="004B2484">
        <w:trPr>
          <w:tblCellSpacing w:w="15" w:type="dxa"/>
        </w:trPr>
        <w:tc>
          <w:tcPr>
            <w:tcW w:w="1035"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2024</w:t>
            </w:r>
          </w:p>
        </w:tc>
        <w:tc>
          <w:tcPr>
            <w:tcW w:w="159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1,200</w:t>
            </w:r>
          </w:p>
        </w:tc>
        <w:tc>
          <w:tcPr>
            <w:tcW w:w="2040"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390</w:t>
            </w:r>
          </w:p>
        </w:tc>
        <w:tc>
          <w:tcPr>
            <w:tcW w:w="4271" w:type="dxa"/>
            <w:vAlign w:val="center"/>
            <w:hideMark/>
          </w:tcPr>
          <w:p w:rsidR="00CC05ED" w:rsidRPr="00E41467" w:rsidRDefault="00CC05ED" w:rsidP="00CC20E9">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32.5%</w:t>
            </w:r>
          </w:p>
        </w:tc>
      </w:tr>
    </w:tbl>
    <w:p w:rsidR="00CC05ED" w:rsidRPr="00E41467" w:rsidRDefault="00CC05ED" w:rsidP="00170687">
      <w:pPr>
        <w:spacing w:line="360" w:lineRule="auto"/>
        <w:jc w:val="both"/>
        <w:rPr>
          <w:rFonts w:ascii="Arial" w:hAnsi="Arial" w:cs="Arial"/>
          <w:b/>
          <w:sz w:val="24"/>
          <w:szCs w:val="24"/>
          <w:lang w:val="en-GB" w:eastAsia="en-GB"/>
        </w:rPr>
      </w:pPr>
      <w:r w:rsidRPr="00E41467">
        <w:rPr>
          <w:rFonts w:ascii="Arial" w:hAnsi="Arial" w:cs="Arial"/>
          <w:b/>
          <w:sz w:val="24"/>
          <w:szCs w:val="24"/>
          <w:lang w:val="en-GB" w:eastAsia="en-GB"/>
        </w:rPr>
        <w:t>Interpretation:</w:t>
      </w:r>
    </w:p>
    <w:p w:rsidR="00170687" w:rsidRPr="00E41467" w:rsidRDefault="007E3A57" w:rsidP="00170687">
      <w:pPr>
        <w:spacing w:line="360" w:lineRule="auto"/>
        <w:jc w:val="both"/>
        <w:rPr>
          <w:rFonts w:ascii="Arial" w:hAnsi="Arial" w:cs="Arial"/>
          <w:sz w:val="24"/>
          <w:szCs w:val="24"/>
          <w:lang w:val="en-GB" w:eastAsia="en-GB"/>
        </w:rPr>
      </w:pPr>
      <w:r w:rsidRPr="00E41467">
        <w:rPr>
          <w:rFonts w:ascii="Arial" w:hAnsi="Arial" w:cs="Arial"/>
          <w:sz w:val="24"/>
          <w:szCs w:val="24"/>
          <w:lang w:val="en-GB" w:eastAsia="en-GB"/>
        </w:rPr>
        <w:t xml:space="preserve">The Gross Profit Margin (GPM) indicates a constant reduction of 40 percent in 2020 to 32.5 percent in 2024 that can either imply more cost of production and operation or price </w:t>
      </w:r>
      <w:r w:rsidRPr="00E41467">
        <w:rPr>
          <w:rFonts w:ascii="Arial" w:hAnsi="Arial" w:cs="Arial"/>
          <w:sz w:val="24"/>
          <w:szCs w:val="24"/>
          <w:lang w:val="en-GB" w:eastAsia="en-GB"/>
        </w:rPr>
        <w:lastRenderedPageBreak/>
        <w:t>rivalry. This negative trend implies that General Electronics is struggling with efficiency issues and cost-related factors, which negatively affect the level of profitability and need to be addressed by reorganising the cost management process.</w:t>
      </w:r>
    </w:p>
    <w:p w:rsidR="00170687" w:rsidRPr="004B2484" w:rsidRDefault="004202C7" w:rsidP="004B2484">
      <w:pPr>
        <w:pStyle w:val="Heading3"/>
        <w:spacing w:after="240"/>
        <w:rPr>
          <w:rFonts w:ascii="Arial" w:hAnsi="Arial" w:cs="Arial"/>
          <w:b/>
          <w:color w:val="auto"/>
          <w:lang w:val="en-GB" w:eastAsia="en-GB"/>
        </w:rPr>
      </w:pPr>
      <w:bookmarkStart w:id="6" w:name="_Toc217117654"/>
      <w:r w:rsidRPr="00E41467">
        <w:rPr>
          <w:rFonts w:ascii="Arial" w:hAnsi="Arial" w:cs="Arial"/>
          <w:b/>
          <w:color w:val="auto"/>
          <w:lang w:val="en-GB" w:eastAsia="en-GB"/>
        </w:rPr>
        <w:t>1.2.2 Net Profit Margin (NPM)</w:t>
      </w:r>
      <w:bookmarkEnd w:id="6"/>
    </w:p>
    <w:p w:rsidR="004202C7" w:rsidRPr="004B2484" w:rsidRDefault="004202C7" w:rsidP="004B2484">
      <w:pPr>
        <w:spacing w:after="240" w:line="360" w:lineRule="auto"/>
        <w:jc w:val="both"/>
        <w:rPr>
          <w:rFonts w:ascii="Arial" w:hAnsi="Arial" w:cs="Arial"/>
          <w:sz w:val="24"/>
          <w:szCs w:val="24"/>
        </w:rPr>
      </w:pPr>
      <w:r w:rsidRPr="00E41467">
        <w:rPr>
          <w:rFonts w:ascii="Arial" w:hAnsi="Arial" w:cs="Arial"/>
          <w:sz w:val="24"/>
          <w:szCs w:val="24"/>
        </w:rPr>
        <w:t>Net Profit Margin (NPM)</w:t>
      </w:r>
      <w:r w:rsidR="004B2484">
        <w:rPr>
          <w:rFonts w:ascii="Arial" w:hAnsi="Arial" w:cs="Arial"/>
          <w:sz w:val="24"/>
          <w:szCs w:val="24"/>
        </w:rPr>
        <w:t xml:space="preserve"> = (Net Profit ÷ Revenue) × 100</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79"/>
        <w:gridCol w:w="1917"/>
        <w:gridCol w:w="1692"/>
        <w:gridCol w:w="1579"/>
      </w:tblGrid>
      <w:tr w:rsidR="00E41467" w:rsidRPr="00E41467" w:rsidTr="004B2484">
        <w:trPr>
          <w:trHeight w:val="944"/>
          <w:tblHeader/>
          <w:tblCellSpacing w:w="15" w:type="dxa"/>
          <w:jc w:val="center"/>
        </w:trPr>
        <w:tc>
          <w:tcPr>
            <w:tcW w:w="1534" w:type="dxa"/>
            <w:vAlign w:val="center"/>
            <w:hideMark/>
          </w:tcPr>
          <w:p w:rsidR="004202C7" w:rsidRPr="00E41467" w:rsidRDefault="004202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1887" w:type="dxa"/>
            <w:vAlign w:val="center"/>
            <w:hideMark/>
          </w:tcPr>
          <w:p w:rsidR="004202C7" w:rsidRPr="00E41467" w:rsidRDefault="004202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Net Profit (£m)</w:t>
            </w:r>
          </w:p>
        </w:tc>
        <w:tc>
          <w:tcPr>
            <w:tcW w:w="1662" w:type="dxa"/>
            <w:vAlign w:val="center"/>
            <w:hideMark/>
          </w:tcPr>
          <w:p w:rsidR="004202C7" w:rsidRPr="00E41467" w:rsidRDefault="004202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Revenue (£m)</w:t>
            </w:r>
          </w:p>
        </w:tc>
        <w:tc>
          <w:tcPr>
            <w:tcW w:w="1534" w:type="dxa"/>
            <w:vAlign w:val="center"/>
            <w:hideMark/>
          </w:tcPr>
          <w:p w:rsidR="004202C7" w:rsidRPr="00E41467" w:rsidRDefault="004202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NPM (%)</w:t>
            </w:r>
          </w:p>
        </w:tc>
      </w:tr>
      <w:tr w:rsidR="00E41467" w:rsidRPr="00E41467" w:rsidTr="004B2484">
        <w:trPr>
          <w:trHeight w:val="543"/>
          <w:tblCellSpacing w:w="15" w:type="dxa"/>
          <w:jc w:val="center"/>
        </w:trPr>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1887"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w:t>
            </w:r>
          </w:p>
        </w:tc>
        <w:tc>
          <w:tcPr>
            <w:tcW w:w="1662"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2,000</w:t>
            </w:r>
          </w:p>
        </w:tc>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w:t>
            </w:r>
          </w:p>
        </w:tc>
      </w:tr>
      <w:tr w:rsidR="00E41467" w:rsidRPr="00E41467" w:rsidTr="004B2484">
        <w:trPr>
          <w:trHeight w:val="543"/>
          <w:tblCellSpacing w:w="15" w:type="dxa"/>
          <w:jc w:val="center"/>
        </w:trPr>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1887"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100</w:t>
            </w:r>
          </w:p>
        </w:tc>
        <w:tc>
          <w:tcPr>
            <w:tcW w:w="1662"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2,100</w:t>
            </w:r>
          </w:p>
        </w:tc>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4.8</w:t>
            </w:r>
          </w:p>
        </w:tc>
      </w:tr>
      <w:tr w:rsidR="00E41467" w:rsidRPr="00E41467" w:rsidTr="004B2484">
        <w:trPr>
          <w:trHeight w:val="558"/>
          <w:tblCellSpacing w:w="15" w:type="dxa"/>
          <w:jc w:val="center"/>
        </w:trPr>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1887"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85</w:t>
            </w:r>
          </w:p>
        </w:tc>
        <w:tc>
          <w:tcPr>
            <w:tcW w:w="1662"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2,200</w:t>
            </w:r>
          </w:p>
        </w:tc>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3.9</w:t>
            </w:r>
          </w:p>
        </w:tc>
      </w:tr>
      <w:tr w:rsidR="00E41467" w:rsidRPr="00E41467" w:rsidTr="004B2484">
        <w:trPr>
          <w:trHeight w:val="543"/>
          <w:tblCellSpacing w:w="15" w:type="dxa"/>
          <w:jc w:val="center"/>
        </w:trPr>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1887"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w:t>
            </w:r>
          </w:p>
        </w:tc>
        <w:tc>
          <w:tcPr>
            <w:tcW w:w="1662"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2,300</w:t>
            </w:r>
          </w:p>
        </w:tc>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3.0</w:t>
            </w:r>
          </w:p>
        </w:tc>
      </w:tr>
      <w:tr w:rsidR="00E41467" w:rsidRPr="00E41467" w:rsidTr="004B2484">
        <w:trPr>
          <w:trHeight w:val="543"/>
          <w:tblCellSpacing w:w="15" w:type="dxa"/>
          <w:jc w:val="center"/>
        </w:trPr>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1887"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65</w:t>
            </w:r>
          </w:p>
        </w:tc>
        <w:tc>
          <w:tcPr>
            <w:tcW w:w="1662"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2,400</w:t>
            </w:r>
          </w:p>
        </w:tc>
        <w:tc>
          <w:tcPr>
            <w:tcW w:w="1534"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2.7</w:t>
            </w:r>
          </w:p>
        </w:tc>
      </w:tr>
    </w:tbl>
    <w:p w:rsidR="00735D00" w:rsidRPr="00E41467" w:rsidRDefault="00735D00" w:rsidP="00170687">
      <w:pPr>
        <w:spacing w:line="360" w:lineRule="auto"/>
        <w:jc w:val="both"/>
        <w:rPr>
          <w:rFonts w:ascii="Arial" w:eastAsia="Times New Roman" w:hAnsi="Arial" w:cs="Arial"/>
          <w:bCs/>
          <w:sz w:val="24"/>
          <w:szCs w:val="24"/>
          <w:lang w:val="en-GB" w:eastAsia="en-GB"/>
        </w:rPr>
      </w:pPr>
    </w:p>
    <w:p w:rsidR="004202C7" w:rsidRPr="00E41467" w:rsidRDefault="004202C7" w:rsidP="00170687">
      <w:pPr>
        <w:spacing w:line="360" w:lineRule="auto"/>
        <w:jc w:val="both"/>
        <w:rPr>
          <w:rFonts w:ascii="Arial" w:eastAsia="Times New Roman" w:hAnsi="Arial" w:cs="Arial"/>
          <w:b/>
          <w:sz w:val="24"/>
          <w:szCs w:val="24"/>
          <w:lang w:val="en-GB" w:eastAsia="en-GB"/>
        </w:rPr>
      </w:pPr>
      <w:r w:rsidRPr="00E41467">
        <w:rPr>
          <w:rFonts w:ascii="Arial" w:eastAsia="Times New Roman" w:hAnsi="Arial" w:cs="Arial"/>
          <w:b/>
          <w:bCs/>
          <w:sz w:val="24"/>
          <w:szCs w:val="24"/>
          <w:lang w:val="en-GB" w:eastAsia="en-GB"/>
        </w:rPr>
        <w:t xml:space="preserve">Interpretation </w:t>
      </w:r>
    </w:p>
    <w:p w:rsidR="004B2484" w:rsidRPr="00E41467" w:rsidRDefault="007E3A57" w:rsidP="00170687">
      <w:pPr>
        <w:spacing w:line="360" w:lineRule="auto"/>
        <w:jc w:val="both"/>
        <w:rPr>
          <w:rFonts w:ascii="Arial" w:hAnsi="Arial" w:cs="Arial"/>
          <w:sz w:val="24"/>
          <w:szCs w:val="24"/>
        </w:rPr>
      </w:pPr>
      <w:r w:rsidRPr="00E41467">
        <w:rPr>
          <w:rFonts w:ascii="Arial" w:hAnsi="Arial" w:cs="Arial"/>
          <w:sz w:val="24"/>
          <w:szCs w:val="24"/>
        </w:rPr>
        <w:t>The Net Profit Margin of General Electronics decreased continuously since 6.0% in 2020 to 2.7% in 2024, which indicates a worsening profitability. This development indicates an increase in operating expenses, poor pricing policy, and the potential increase of interest or taxes. The negative trend implies the loss of cost management and decreased operational performance (Brigham and Ehrhardt, 2019).</w:t>
      </w:r>
    </w:p>
    <w:p w:rsidR="00CB687A" w:rsidRPr="004B2484" w:rsidRDefault="004202C7" w:rsidP="004B2484">
      <w:pPr>
        <w:pStyle w:val="Heading3"/>
        <w:spacing w:after="240"/>
        <w:rPr>
          <w:rFonts w:ascii="Arial" w:hAnsi="Arial" w:cs="Arial"/>
          <w:b/>
          <w:color w:val="auto"/>
        </w:rPr>
      </w:pPr>
      <w:bookmarkStart w:id="7" w:name="_Toc217117655"/>
      <w:r w:rsidRPr="00E41467">
        <w:rPr>
          <w:rFonts w:ascii="Arial" w:hAnsi="Arial" w:cs="Arial"/>
          <w:b/>
          <w:color w:val="auto"/>
        </w:rPr>
        <w:t>1.2.3 Return on Assets (ROA)</w:t>
      </w:r>
      <w:bookmarkEnd w:id="7"/>
    </w:p>
    <w:p w:rsidR="004202C7" w:rsidRPr="004B2484" w:rsidRDefault="007E3A57" w:rsidP="004B2484">
      <w:pPr>
        <w:spacing w:after="240" w:line="360" w:lineRule="auto"/>
        <w:jc w:val="both"/>
        <w:rPr>
          <w:rFonts w:ascii="Arial" w:hAnsi="Arial" w:cs="Arial"/>
          <w:sz w:val="24"/>
          <w:szCs w:val="24"/>
        </w:rPr>
      </w:pPr>
      <w:r w:rsidRPr="00E41467">
        <w:rPr>
          <w:rFonts w:ascii="Arial" w:hAnsi="Arial" w:cs="Arial"/>
          <w:sz w:val="24"/>
          <w:szCs w:val="24"/>
        </w:rPr>
        <w:t>Return on Assets (ROA) = (N</w:t>
      </w:r>
      <w:r w:rsidR="004B2484">
        <w:rPr>
          <w:rFonts w:ascii="Arial" w:hAnsi="Arial" w:cs="Arial"/>
          <w:sz w:val="24"/>
          <w:szCs w:val="24"/>
        </w:rPr>
        <w:t>et Profit ÷ Total Assets) × 100</w:t>
      </w:r>
    </w:p>
    <w:tbl>
      <w:tblPr>
        <w:tblW w:w="7145"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70"/>
        <w:gridCol w:w="1882"/>
        <w:gridCol w:w="2710"/>
        <w:gridCol w:w="1383"/>
      </w:tblGrid>
      <w:tr w:rsidR="00E41467" w:rsidRPr="00E41467" w:rsidTr="004B2484">
        <w:trPr>
          <w:trHeight w:val="511"/>
          <w:tblHeader/>
          <w:tblCellSpacing w:w="15" w:type="dxa"/>
          <w:jc w:val="center"/>
        </w:trPr>
        <w:tc>
          <w:tcPr>
            <w:tcW w:w="1125" w:type="dxa"/>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1852" w:type="dxa"/>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Net Profit (£m)</w:t>
            </w:r>
          </w:p>
        </w:tc>
        <w:tc>
          <w:tcPr>
            <w:tcW w:w="0" w:type="auto"/>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Total Assets (£m)</w:t>
            </w:r>
          </w:p>
        </w:tc>
        <w:tc>
          <w:tcPr>
            <w:tcW w:w="0" w:type="auto"/>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ROA (%)</w:t>
            </w:r>
          </w:p>
        </w:tc>
      </w:tr>
      <w:tr w:rsidR="00E41467" w:rsidRPr="00E41467" w:rsidTr="004B2484">
        <w:trPr>
          <w:trHeight w:val="525"/>
          <w:tblCellSpacing w:w="15" w:type="dxa"/>
          <w:jc w:val="center"/>
        </w:trPr>
        <w:tc>
          <w:tcPr>
            <w:tcW w:w="112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1852"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w:t>
            </w:r>
          </w:p>
        </w:tc>
      </w:tr>
      <w:tr w:rsidR="00E41467" w:rsidRPr="00E41467" w:rsidTr="004B2484">
        <w:trPr>
          <w:trHeight w:val="511"/>
          <w:tblCellSpacing w:w="15" w:type="dxa"/>
          <w:jc w:val="center"/>
        </w:trPr>
        <w:tc>
          <w:tcPr>
            <w:tcW w:w="112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lastRenderedPageBreak/>
              <w:t>2021</w:t>
            </w:r>
          </w:p>
        </w:tc>
        <w:tc>
          <w:tcPr>
            <w:tcW w:w="1852"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2,200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5.0</w:t>
            </w:r>
          </w:p>
        </w:tc>
      </w:tr>
      <w:tr w:rsidR="00E41467" w:rsidRPr="00E41467" w:rsidTr="004B2484">
        <w:trPr>
          <w:trHeight w:val="511"/>
          <w:tblCellSpacing w:w="15" w:type="dxa"/>
          <w:jc w:val="center"/>
        </w:trPr>
        <w:tc>
          <w:tcPr>
            <w:tcW w:w="112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1852"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95</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2,400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r>
      <w:tr w:rsidR="00E41467" w:rsidRPr="00E41467" w:rsidTr="004B2484">
        <w:trPr>
          <w:trHeight w:val="511"/>
          <w:tblCellSpacing w:w="15" w:type="dxa"/>
          <w:jc w:val="center"/>
        </w:trPr>
        <w:tc>
          <w:tcPr>
            <w:tcW w:w="112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1852"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2,600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3.1</w:t>
            </w:r>
          </w:p>
        </w:tc>
      </w:tr>
      <w:tr w:rsidR="00E41467" w:rsidRPr="00E41467" w:rsidTr="004B2484">
        <w:trPr>
          <w:trHeight w:val="525"/>
          <w:tblCellSpacing w:w="15" w:type="dxa"/>
          <w:jc w:val="center"/>
        </w:trPr>
        <w:tc>
          <w:tcPr>
            <w:tcW w:w="112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1852"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2,800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2.5</w:t>
            </w:r>
          </w:p>
        </w:tc>
      </w:tr>
    </w:tbl>
    <w:p w:rsidR="004202C7" w:rsidRPr="00E41467" w:rsidRDefault="004202C7" w:rsidP="00170687">
      <w:pPr>
        <w:spacing w:line="360" w:lineRule="auto"/>
        <w:jc w:val="both"/>
        <w:rPr>
          <w:rFonts w:ascii="Arial" w:hAnsi="Arial" w:cs="Arial"/>
          <w:b/>
          <w:sz w:val="24"/>
          <w:szCs w:val="24"/>
        </w:rPr>
      </w:pPr>
    </w:p>
    <w:p w:rsidR="004202C7" w:rsidRPr="00E41467" w:rsidRDefault="004202C7" w:rsidP="00170687">
      <w:pPr>
        <w:spacing w:line="360" w:lineRule="auto"/>
        <w:jc w:val="both"/>
        <w:rPr>
          <w:rFonts w:ascii="Arial" w:hAnsi="Arial" w:cs="Arial"/>
          <w:b/>
          <w:sz w:val="24"/>
          <w:szCs w:val="24"/>
        </w:rPr>
      </w:pPr>
      <w:r w:rsidRPr="00E41467">
        <w:rPr>
          <w:rFonts w:ascii="Arial" w:hAnsi="Arial" w:cs="Arial"/>
          <w:b/>
          <w:sz w:val="24"/>
          <w:szCs w:val="24"/>
        </w:rPr>
        <w:t xml:space="preserve">Interpretation </w:t>
      </w:r>
    </w:p>
    <w:p w:rsidR="004202C7" w:rsidRPr="004B2484" w:rsidRDefault="007E3A57" w:rsidP="00170687">
      <w:pPr>
        <w:spacing w:line="360" w:lineRule="auto"/>
        <w:jc w:val="both"/>
        <w:rPr>
          <w:rFonts w:ascii="Arial" w:hAnsi="Arial" w:cs="Arial"/>
          <w:sz w:val="24"/>
          <w:szCs w:val="24"/>
        </w:rPr>
      </w:pPr>
      <w:r w:rsidRPr="00E41467">
        <w:rPr>
          <w:rFonts w:ascii="Arial" w:hAnsi="Arial" w:cs="Arial"/>
          <w:sz w:val="24"/>
          <w:szCs w:val="24"/>
        </w:rPr>
        <w:t>The ROA of General Electronics fell continuously in 2020 (6.0) to 2024 (2.5) which shows that the company loses its ability to use its assets effectively and become less profitable. It is an indication of a trend that the assets of this firm are yielding increasingly lower returns, presumably because of a poor-performing investment, increasing costs, or falling sales (Ross et al., 2021).</w:t>
      </w:r>
    </w:p>
    <w:p w:rsidR="00CB687A" w:rsidRPr="004B2484" w:rsidRDefault="004202C7" w:rsidP="004B2484">
      <w:pPr>
        <w:pStyle w:val="Heading3"/>
        <w:spacing w:after="240"/>
        <w:rPr>
          <w:rFonts w:ascii="Arial" w:hAnsi="Arial" w:cs="Arial"/>
          <w:b/>
          <w:color w:val="auto"/>
        </w:rPr>
      </w:pPr>
      <w:bookmarkStart w:id="8" w:name="_Toc217117656"/>
      <w:r w:rsidRPr="00E41467">
        <w:rPr>
          <w:rFonts w:ascii="Arial" w:hAnsi="Arial" w:cs="Arial"/>
          <w:b/>
          <w:color w:val="auto"/>
        </w:rPr>
        <w:t>1.2.4 Return on Equity (ROE)</w:t>
      </w:r>
      <w:bookmarkEnd w:id="8"/>
    </w:p>
    <w:p w:rsidR="004202C7" w:rsidRPr="004B2484" w:rsidRDefault="004202C7" w:rsidP="004B2484">
      <w:pPr>
        <w:spacing w:after="240" w:line="360" w:lineRule="auto"/>
        <w:jc w:val="both"/>
        <w:rPr>
          <w:rFonts w:ascii="Arial" w:hAnsi="Arial" w:cs="Arial"/>
          <w:sz w:val="24"/>
          <w:szCs w:val="24"/>
        </w:rPr>
      </w:pPr>
      <w:r w:rsidRPr="00E41467">
        <w:rPr>
          <w:rFonts w:ascii="Arial" w:hAnsi="Arial" w:cs="Arial"/>
          <w:sz w:val="24"/>
          <w:szCs w:val="24"/>
        </w:rPr>
        <w:t>Return on Equity (ROE) = (Net Profit ÷ Shareholders’ Equity) × 100</w:t>
      </w:r>
    </w:p>
    <w:tbl>
      <w:tblPr>
        <w:tblW w:w="836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530"/>
        <w:gridCol w:w="1800"/>
        <w:gridCol w:w="3683"/>
        <w:gridCol w:w="1347"/>
      </w:tblGrid>
      <w:tr w:rsidR="00E41467" w:rsidRPr="00E41467" w:rsidTr="004B2484">
        <w:trPr>
          <w:trHeight w:val="527"/>
          <w:tblHeader/>
          <w:tblCellSpacing w:w="15" w:type="dxa"/>
          <w:jc w:val="center"/>
        </w:trPr>
        <w:tc>
          <w:tcPr>
            <w:tcW w:w="1485" w:type="dxa"/>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1770" w:type="dxa"/>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Net Profit (£m)</w:t>
            </w:r>
          </w:p>
        </w:tc>
        <w:tc>
          <w:tcPr>
            <w:tcW w:w="3653" w:type="dxa"/>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Shareholders’ Equity (£m)</w:t>
            </w:r>
          </w:p>
        </w:tc>
        <w:tc>
          <w:tcPr>
            <w:tcW w:w="0" w:type="auto"/>
            <w:vAlign w:val="center"/>
            <w:hideMark/>
          </w:tcPr>
          <w:p w:rsidR="004202C7" w:rsidRPr="00E41467" w:rsidRDefault="004202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ROE (%)</w:t>
            </w:r>
          </w:p>
        </w:tc>
      </w:tr>
      <w:tr w:rsidR="00E41467" w:rsidRPr="00E41467" w:rsidTr="004B2484">
        <w:trPr>
          <w:trHeight w:val="541"/>
          <w:tblCellSpacing w:w="15" w:type="dxa"/>
          <w:jc w:val="center"/>
        </w:trPr>
        <w:tc>
          <w:tcPr>
            <w:tcW w:w="148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1770"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w:t>
            </w:r>
          </w:p>
        </w:tc>
        <w:tc>
          <w:tcPr>
            <w:tcW w:w="3653"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w:t>
            </w:r>
          </w:p>
        </w:tc>
      </w:tr>
      <w:tr w:rsidR="00E41467" w:rsidRPr="00E41467" w:rsidTr="004B2484">
        <w:trPr>
          <w:trHeight w:val="527"/>
          <w:tblCellSpacing w:w="15" w:type="dxa"/>
          <w:jc w:val="center"/>
        </w:trPr>
        <w:tc>
          <w:tcPr>
            <w:tcW w:w="148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1770"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110</w:t>
            </w:r>
          </w:p>
        </w:tc>
        <w:tc>
          <w:tcPr>
            <w:tcW w:w="3653"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1,050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10.5</w:t>
            </w:r>
          </w:p>
        </w:tc>
      </w:tr>
      <w:tr w:rsidR="00E41467" w:rsidRPr="00E41467" w:rsidTr="004B2484">
        <w:trPr>
          <w:trHeight w:val="527"/>
          <w:tblCellSpacing w:w="15" w:type="dxa"/>
          <w:jc w:val="center"/>
        </w:trPr>
        <w:tc>
          <w:tcPr>
            <w:tcW w:w="1485"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1770"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90</w:t>
            </w:r>
          </w:p>
        </w:tc>
        <w:tc>
          <w:tcPr>
            <w:tcW w:w="3653" w:type="dxa"/>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1,100</w:t>
            </w:r>
          </w:p>
        </w:tc>
        <w:tc>
          <w:tcPr>
            <w:tcW w:w="0" w:type="auto"/>
            <w:vAlign w:val="center"/>
            <w:hideMark/>
          </w:tcPr>
          <w:p w:rsidR="004202C7" w:rsidRPr="00E41467" w:rsidRDefault="004202C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8.2</w:t>
            </w:r>
          </w:p>
        </w:tc>
      </w:tr>
      <w:tr w:rsidR="00E41467" w:rsidRPr="00E41467" w:rsidTr="004B2484">
        <w:trPr>
          <w:trHeight w:val="527"/>
          <w:tblCellSpacing w:w="15" w:type="dxa"/>
          <w:jc w:val="center"/>
        </w:trPr>
        <w:tc>
          <w:tcPr>
            <w:tcW w:w="1485"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1770"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80</w:t>
            </w:r>
          </w:p>
        </w:tc>
        <w:tc>
          <w:tcPr>
            <w:tcW w:w="3653"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1,150</w:t>
            </w:r>
          </w:p>
        </w:tc>
        <w:tc>
          <w:tcPr>
            <w:tcW w:w="0" w:type="auto"/>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w:t>
            </w:r>
          </w:p>
        </w:tc>
      </w:tr>
      <w:tr w:rsidR="00E41467" w:rsidRPr="00E41467" w:rsidTr="004B2484">
        <w:trPr>
          <w:trHeight w:val="541"/>
          <w:tblCellSpacing w:w="15" w:type="dxa"/>
          <w:jc w:val="center"/>
        </w:trPr>
        <w:tc>
          <w:tcPr>
            <w:tcW w:w="1485"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1770"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95</w:t>
            </w:r>
          </w:p>
        </w:tc>
        <w:tc>
          <w:tcPr>
            <w:tcW w:w="3653" w:type="dxa"/>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1,200</w:t>
            </w:r>
          </w:p>
        </w:tc>
        <w:tc>
          <w:tcPr>
            <w:tcW w:w="0" w:type="auto"/>
            <w:vAlign w:val="center"/>
            <w:hideMark/>
          </w:tcPr>
          <w:p w:rsidR="004202C7" w:rsidRPr="00E41467" w:rsidRDefault="004202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7.9</w:t>
            </w:r>
          </w:p>
        </w:tc>
      </w:tr>
    </w:tbl>
    <w:p w:rsidR="00735D00" w:rsidRPr="00E41467" w:rsidRDefault="00735D00" w:rsidP="00170687">
      <w:pPr>
        <w:spacing w:line="360" w:lineRule="auto"/>
        <w:jc w:val="both"/>
        <w:rPr>
          <w:rFonts w:ascii="Arial" w:eastAsia="Times New Roman" w:hAnsi="Arial" w:cs="Arial"/>
          <w:b/>
          <w:bCs/>
          <w:sz w:val="24"/>
          <w:szCs w:val="24"/>
          <w:lang w:val="en-GB" w:eastAsia="en-GB"/>
        </w:rPr>
      </w:pPr>
    </w:p>
    <w:p w:rsidR="004202C7" w:rsidRPr="00E41467" w:rsidRDefault="004202C7" w:rsidP="00170687">
      <w:pPr>
        <w:spacing w:line="360" w:lineRule="auto"/>
        <w:jc w:val="both"/>
        <w:rPr>
          <w:rFonts w:ascii="Arial" w:eastAsia="Times New Roman" w:hAnsi="Arial" w:cs="Arial"/>
          <w:b/>
          <w:sz w:val="24"/>
          <w:szCs w:val="24"/>
          <w:lang w:val="en-GB" w:eastAsia="en-GB"/>
        </w:rPr>
      </w:pPr>
      <w:r w:rsidRPr="00E41467">
        <w:rPr>
          <w:rFonts w:ascii="Arial" w:eastAsia="Times New Roman" w:hAnsi="Arial" w:cs="Arial"/>
          <w:b/>
          <w:bCs/>
          <w:sz w:val="24"/>
          <w:szCs w:val="24"/>
          <w:lang w:val="en-GB" w:eastAsia="en-GB"/>
        </w:rPr>
        <w:t xml:space="preserve">Interpretation </w:t>
      </w:r>
    </w:p>
    <w:p w:rsidR="007E3A57" w:rsidRPr="00E41467" w:rsidRDefault="007E3A5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lastRenderedPageBreak/>
        <w:t>The ROE of the firm has been steadily decreasing since 12.0% in 2020 as of 2023 up to 7.0 before slightly recovering to 7.9 in 2024. This negative movement shows falling in profitability and wasteful utilisation of equity capital. The weak margin, an increase in the cost of operation, and a decrease in the shareholder value creation are possible (Brealey, Myers and Allen, 2020).</w:t>
      </w:r>
    </w:p>
    <w:p w:rsidR="00735D00" w:rsidRPr="00E41467" w:rsidRDefault="00735D00" w:rsidP="00E41467">
      <w:pPr>
        <w:rPr>
          <w:rFonts w:ascii="Arial" w:hAnsi="Arial" w:cs="Arial"/>
          <w:lang w:val="en-GB" w:eastAsia="en-GB"/>
        </w:rPr>
      </w:pPr>
    </w:p>
    <w:p w:rsidR="00CB687A" w:rsidRPr="004B2484" w:rsidRDefault="00A60B13" w:rsidP="004B2484">
      <w:pPr>
        <w:pStyle w:val="Heading2"/>
        <w:spacing w:after="240"/>
        <w:rPr>
          <w:rFonts w:ascii="Arial" w:hAnsi="Arial" w:cs="Arial"/>
          <w:b/>
          <w:color w:val="auto"/>
        </w:rPr>
      </w:pPr>
      <w:bookmarkStart w:id="9" w:name="_Toc217117657"/>
      <w:r w:rsidRPr="00E41467">
        <w:rPr>
          <w:rFonts w:ascii="Arial" w:hAnsi="Arial" w:cs="Arial"/>
          <w:b/>
          <w:color w:val="auto"/>
        </w:rPr>
        <w:t>1.</w:t>
      </w:r>
      <w:r w:rsidR="00735D00" w:rsidRPr="00E41467">
        <w:rPr>
          <w:rFonts w:ascii="Arial" w:hAnsi="Arial" w:cs="Arial"/>
          <w:b/>
          <w:color w:val="auto"/>
        </w:rPr>
        <w:t>3</w:t>
      </w:r>
      <w:r w:rsidRPr="00E41467">
        <w:rPr>
          <w:rFonts w:ascii="Arial" w:hAnsi="Arial" w:cs="Arial"/>
          <w:b/>
          <w:color w:val="auto"/>
        </w:rPr>
        <w:t xml:space="preserve"> Liquidity Ratios</w:t>
      </w:r>
      <w:bookmarkEnd w:id="9"/>
    </w:p>
    <w:p w:rsidR="00A60B13" w:rsidRPr="00E41467" w:rsidRDefault="007E3A57" w:rsidP="004B2484">
      <w:pPr>
        <w:spacing w:after="240" w:line="360" w:lineRule="auto"/>
        <w:jc w:val="both"/>
        <w:rPr>
          <w:rFonts w:ascii="Arial" w:hAnsi="Arial" w:cs="Arial"/>
          <w:sz w:val="24"/>
          <w:szCs w:val="24"/>
        </w:rPr>
      </w:pPr>
      <w:r w:rsidRPr="00E41467">
        <w:rPr>
          <w:rFonts w:ascii="Arial" w:hAnsi="Arial" w:cs="Arial"/>
          <w:sz w:val="24"/>
          <w:szCs w:val="24"/>
        </w:rPr>
        <w:t>The liquidity ratios determine the ability of the company to fulfil the immediate financial obligations, which is a serious issue during the financial crisis. Weak liquidity may lead to solvency crisis, pressure among suppliers, and poor credit ratings (Hillier et al., 2021).</w:t>
      </w:r>
    </w:p>
    <w:p w:rsidR="00CB687A" w:rsidRPr="004B2484" w:rsidRDefault="00A60B13" w:rsidP="004B2484">
      <w:pPr>
        <w:pStyle w:val="Heading3"/>
        <w:spacing w:after="240"/>
        <w:rPr>
          <w:rFonts w:ascii="Arial" w:hAnsi="Arial" w:cs="Arial"/>
          <w:b/>
          <w:color w:val="auto"/>
        </w:rPr>
      </w:pPr>
      <w:bookmarkStart w:id="10" w:name="_Toc217117658"/>
      <w:r w:rsidRPr="00E41467">
        <w:rPr>
          <w:rFonts w:ascii="Arial" w:hAnsi="Arial" w:cs="Arial"/>
          <w:b/>
          <w:color w:val="auto"/>
        </w:rPr>
        <w:t>1.3.1 Current Ratio</w:t>
      </w:r>
      <w:bookmarkEnd w:id="10"/>
    </w:p>
    <w:p w:rsidR="00A60B13" w:rsidRPr="004B2484" w:rsidRDefault="00A60B13" w:rsidP="004B2484">
      <w:pPr>
        <w:spacing w:after="240" w:line="360" w:lineRule="auto"/>
        <w:jc w:val="both"/>
        <w:rPr>
          <w:rFonts w:ascii="Arial" w:hAnsi="Arial" w:cs="Arial"/>
          <w:sz w:val="24"/>
          <w:szCs w:val="24"/>
        </w:rPr>
      </w:pPr>
      <w:r w:rsidRPr="00E41467">
        <w:rPr>
          <w:rFonts w:ascii="Arial" w:hAnsi="Arial" w:cs="Arial"/>
          <w:sz w:val="24"/>
          <w:szCs w:val="24"/>
        </w:rPr>
        <w:t>Current Ratio (CR) = Curre</w:t>
      </w:r>
      <w:r w:rsidR="004B2484">
        <w:rPr>
          <w:rFonts w:ascii="Arial" w:hAnsi="Arial" w:cs="Arial"/>
          <w:sz w:val="24"/>
          <w:szCs w:val="24"/>
        </w:rPr>
        <w:t>nt Assets ÷ Current Liabilities</w:t>
      </w:r>
    </w:p>
    <w:tbl>
      <w:tblPr>
        <w:tblW w:w="8839"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00"/>
        <w:gridCol w:w="2658"/>
        <w:gridCol w:w="3017"/>
        <w:gridCol w:w="2464"/>
      </w:tblGrid>
      <w:tr w:rsidR="00E41467" w:rsidRPr="00E41467" w:rsidTr="004B2484">
        <w:trPr>
          <w:trHeight w:val="531"/>
          <w:tblHeader/>
          <w:tblCellSpacing w:w="15" w:type="dxa"/>
          <w:jc w:val="center"/>
        </w:trPr>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Current Assets (£m)</w:t>
            </w:r>
          </w:p>
        </w:tc>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Current Liabilities (£m)</w:t>
            </w:r>
          </w:p>
        </w:tc>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Current Ratio (CR)</w:t>
            </w:r>
          </w:p>
        </w:tc>
      </w:tr>
      <w:tr w:rsidR="00E41467" w:rsidRPr="00E41467" w:rsidTr="004B2484">
        <w:trPr>
          <w:trHeight w:val="545"/>
          <w:tblCellSpacing w:w="15" w:type="dxa"/>
          <w:jc w:val="center"/>
        </w:trPr>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480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1.50</w:t>
            </w:r>
          </w:p>
        </w:tc>
      </w:tr>
      <w:tr w:rsidR="00E41467" w:rsidRPr="00E41467" w:rsidTr="004B2484">
        <w:trPr>
          <w:trHeight w:val="531"/>
          <w:tblCellSpacing w:w="15" w:type="dxa"/>
          <w:jc w:val="center"/>
        </w:trPr>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340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1.53</w:t>
            </w:r>
          </w:p>
        </w:tc>
      </w:tr>
      <w:tr w:rsidR="00E41467" w:rsidRPr="00E41467" w:rsidTr="004B2484">
        <w:trPr>
          <w:trHeight w:val="545"/>
          <w:tblCellSpacing w:w="15" w:type="dxa"/>
          <w:jc w:val="center"/>
        </w:trPr>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560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390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1.44</w:t>
            </w:r>
          </w:p>
        </w:tc>
      </w:tr>
      <w:tr w:rsidR="00E41467" w:rsidRPr="00E41467" w:rsidTr="004B2484">
        <w:trPr>
          <w:trHeight w:val="531"/>
          <w:tblCellSpacing w:w="15" w:type="dxa"/>
          <w:jc w:val="center"/>
        </w:trPr>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580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1.38</w:t>
            </w:r>
          </w:p>
        </w:tc>
      </w:tr>
      <w:tr w:rsidR="00E41467" w:rsidRPr="00E41467" w:rsidTr="004B2484">
        <w:trPr>
          <w:trHeight w:val="531"/>
          <w:tblCellSpacing w:w="15" w:type="dxa"/>
          <w:jc w:val="center"/>
        </w:trPr>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460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1.30</w:t>
            </w:r>
          </w:p>
        </w:tc>
      </w:tr>
    </w:tbl>
    <w:p w:rsidR="00735D00" w:rsidRPr="00E41467" w:rsidRDefault="00735D00" w:rsidP="00170687">
      <w:pPr>
        <w:spacing w:line="360" w:lineRule="auto"/>
        <w:jc w:val="both"/>
        <w:rPr>
          <w:rFonts w:ascii="Arial" w:eastAsia="Times New Roman" w:hAnsi="Arial" w:cs="Arial"/>
          <w:b/>
          <w:bCs/>
          <w:sz w:val="24"/>
          <w:szCs w:val="24"/>
          <w:lang w:val="en-GB" w:eastAsia="en-GB"/>
        </w:rPr>
      </w:pPr>
    </w:p>
    <w:p w:rsidR="00A60B13" w:rsidRPr="00E41467" w:rsidRDefault="00A60B13" w:rsidP="00170687">
      <w:pPr>
        <w:spacing w:line="360" w:lineRule="auto"/>
        <w:jc w:val="both"/>
        <w:rPr>
          <w:rFonts w:ascii="Arial" w:eastAsia="Times New Roman" w:hAnsi="Arial" w:cs="Arial"/>
          <w:b/>
          <w:sz w:val="24"/>
          <w:szCs w:val="24"/>
          <w:lang w:val="en-GB" w:eastAsia="en-GB"/>
        </w:rPr>
      </w:pPr>
      <w:r w:rsidRPr="00E41467">
        <w:rPr>
          <w:rFonts w:ascii="Arial" w:eastAsia="Times New Roman" w:hAnsi="Arial" w:cs="Arial"/>
          <w:b/>
          <w:bCs/>
          <w:sz w:val="24"/>
          <w:szCs w:val="24"/>
          <w:lang w:val="en-GB" w:eastAsia="en-GB"/>
        </w:rPr>
        <w:t xml:space="preserve">Interpretation </w:t>
      </w:r>
    </w:p>
    <w:p w:rsidR="007E3A57" w:rsidRPr="00E41467" w:rsidRDefault="007E3A57"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The General Electronics current ratio shows a downward trend, since its value was 1.50 in 2020 and 1.30 in 2024, which means that the liquidity is gradually constrained. Such a decrease indicates the growing amount of short-term liabilities in comparison to the current assets indicating potential inefficiency in the working capital management and the </w:t>
      </w:r>
      <w:r w:rsidRPr="00E41467">
        <w:rPr>
          <w:rFonts w:ascii="Arial" w:eastAsia="Times New Roman" w:hAnsi="Arial" w:cs="Arial"/>
          <w:sz w:val="24"/>
          <w:szCs w:val="24"/>
          <w:lang w:val="en-GB" w:eastAsia="en-GB"/>
        </w:rPr>
        <w:lastRenderedPageBreak/>
        <w:t>increased reliance on short-term sources of funds to cover the operations (Atrill &amp; McLaney, 2022).</w:t>
      </w:r>
    </w:p>
    <w:p w:rsidR="00CB687A" w:rsidRPr="004B2484" w:rsidRDefault="00A60B13" w:rsidP="004B2484">
      <w:pPr>
        <w:pStyle w:val="Heading3"/>
        <w:spacing w:after="240"/>
        <w:rPr>
          <w:rFonts w:ascii="Arial" w:hAnsi="Arial" w:cs="Arial"/>
          <w:b/>
          <w:color w:val="auto"/>
        </w:rPr>
      </w:pPr>
      <w:r w:rsidRPr="00E41467">
        <w:rPr>
          <w:rFonts w:ascii="Arial" w:eastAsia="Times New Roman" w:hAnsi="Arial" w:cs="Arial"/>
          <w:b/>
          <w:color w:val="auto"/>
          <w:lang w:val="en-GB" w:eastAsia="en-GB"/>
        </w:rPr>
        <w:br/>
      </w:r>
      <w:bookmarkStart w:id="11" w:name="_Toc217117659"/>
      <w:r w:rsidRPr="00E41467">
        <w:rPr>
          <w:rFonts w:ascii="Arial" w:hAnsi="Arial" w:cs="Arial"/>
          <w:b/>
          <w:color w:val="auto"/>
        </w:rPr>
        <w:t>1.3.2 Quick Ratio</w:t>
      </w:r>
      <w:bookmarkEnd w:id="11"/>
    </w:p>
    <w:p w:rsidR="00A60B13" w:rsidRPr="004B2484" w:rsidRDefault="00A60B13" w:rsidP="004B2484">
      <w:pPr>
        <w:spacing w:after="240" w:line="360" w:lineRule="auto"/>
        <w:jc w:val="both"/>
        <w:rPr>
          <w:rFonts w:ascii="Arial" w:hAnsi="Arial" w:cs="Arial"/>
          <w:sz w:val="24"/>
          <w:szCs w:val="24"/>
        </w:rPr>
      </w:pPr>
      <w:r w:rsidRPr="00E41467">
        <w:rPr>
          <w:rFonts w:ascii="Arial" w:hAnsi="Arial" w:cs="Arial"/>
          <w:sz w:val="24"/>
          <w:szCs w:val="24"/>
        </w:rPr>
        <w:t>Quick Ratio (QR) = (Current Assets – I</w:t>
      </w:r>
      <w:r w:rsidR="004B2484">
        <w:rPr>
          <w:rFonts w:ascii="Arial" w:hAnsi="Arial" w:cs="Arial"/>
          <w:sz w:val="24"/>
          <w:szCs w:val="24"/>
        </w:rPr>
        <w:t>nventory) ÷ Current Liabilities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0"/>
        <w:gridCol w:w="2063"/>
        <w:gridCol w:w="1734"/>
        <w:gridCol w:w="2694"/>
        <w:gridCol w:w="1429"/>
      </w:tblGrid>
      <w:tr w:rsidR="00E41467" w:rsidRPr="00E41467" w:rsidTr="004B2484">
        <w:trPr>
          <w:tblHeader/>
          <w:tblCellSpacing w:w="15" w:type="dxa"/>
        </w:trPr>
        <w:tc>
          <w:tcPr>
            <w:tcW w:w="855" w:type="dxa"/>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2033" w:type="dxa"/>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Current Assets (£m)</w:t>
            </w:r>
          </w:p>
        </w:tc>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Inventory (£m)</w:t>
            </w:r>
          </w:p>
        </w:tc>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Current Liabilities (£m)</w:t>
            </w:r>
          </w:p>
        </w:tc>
        <w:tc>
          <w:tcPr>
            <w:tcW w:w="0" w:type="auto"/>
            <w:vAlign w:val="center"/>
            <w:hideMark/>
          </w:tcPr>
          <w:p w:rsidR="00A60B13" w:rsidRPr="00E41467" w:rsidRDefault="00A60B13"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Quick Ratio</w:t>
            </w:r>
          </w:p>
        </w:tc>
      </w:tr>
      <w:tr w:rsidR="00E41467" w:rsidRPr="00E41467" w:rsidTr="004B2484">
        <w:trPr>
          <w:tblCellSpacing w:w="15" w:type="dxa"/>
        </w:trPr>
        <w:tc>
          <w:tcPr>
            <w:tcW w:w="855"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2033"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550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0.73</w:t>
            </w:r>
          </w:p>
        </w:tc>
      </w:tr>
      <w:tr w:rsidR="00E41467" w:rsidRPr="00E41467" w:rsidTr="004B2484">
        <w:trPr>
          <w:tblCellSpacing w:w="15" w:type="dxa"/>
        </w:trPr>
        <w:tc>
          <w:tcPr>
            <w:tcW w:w="855"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2033"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640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0.85</w:t>
            </w:r>
          </w:p>
        </w:tc>
      </w:tr>
      <w:tr w:rsidR="00E41467" w:rsidRPr="00E41467" w:rsidTr="004B2484">
        <w:trPr>
          <w:tblCellSpacing w:w="15" w:type="dxa"/>
        </w:trPr>
        <w:tc>
          <w:tcPr>
            <w:tcW w:w="855"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2033"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230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560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0.84</w:t>
            </w:r>
          </w:p>
        </w:tc>
      </w:tr>
      <w:tr w:rsidR="00E41467" w:rsidRPr="00E41467" w:rsidTr="004B2484">
        <w:trPr>
          <w:tblCellSpacing w:w="15" w:type="dxa"/>
        </w:trPr>
        <w:tc>
          <w:tcPr>
            <w:tcW w:w="855"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2033"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750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240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590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0.86</w:t>
            </w:r>
          </w:p>
        </w:tc>
      </w:tr>
      <w:tr w:rsidR="00E41467" w:rsidRPr="00E41467" w:rsidTr="004B2484">
        <w:trPr>
          <w:tblCellSpacing w:w="15" w:type="dxa"/>
        </w:trPr>
        <w:tc>
          <w:tcPr>
            <w:tcW w:w="855"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2033" w:type="dxa"/>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820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250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600</w:t>
            </w:r>
          </w:p>
        </w:tc>
        <w:tc>
          <w:tcPr>
            <w:tcW w:w="0" w:type="auto"/>
            <w:vAlign w:val="center"/>
            <w:hideMark/>
          </w:tcPr>
          <w:p w:rsidR="00A60B13" w:rsidRPr="00E41467" w:rsidRDefault="00A60B1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0.95</w:t>
            </w:r>
          </w:p>
        </w:tc>
      </w:tr>
    </w:tbl>
    <w:p w:rsidR="00735D00" w:rsidRPr="00E41467" w:rsidRDefault="00735D00" w:rsidP="00170687">
      <w:pPr>
        <w:spacing w:line="360" w:lineRule="auto"/>
        <w:jc w:val="both"/>
        <w:rPr>
          <w:rFonts w:ascii="Arial" w:eastAsia="Times New Roman" w:hAnsi="Arial" w:cs="Arial"/>
          <w:bCs/>
          <w:sz w:val="24"/>
          <w:szCs w:val="24"/>
          <w:lang w:val="en-GB" w:eastAsia="en-GB"/>
        </w:rPr>
      </w:pPr>
    </w:p>
    <w:p w:rsidR="00411002" w:rsidRPr="004B2484" w:rsidRDefault="00A60B13" w:rsidP="004B2484">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Interpretation</w:t>
      </w:r>
      <w:r w:rsidRPr="00E41467">
        <w:rPr>
          <w:rFonts w:ascii="Arial" w:eastAsia="Times New Roman" w:hAnsi="Arial" w:cs="Arial"/>
          <w:sz w:val="24"/>
          <w:szCs w:val="24"/>
          <w:lang w:val="en-GB" w:eastAsia="en-GB"/>
        </w:rPr>
        <w:br/>
      </w:r>
      <w:r w:rsidR="008C22D6" w:rsidRPr="00E41467">
        <w:rPr>
          <w:rFonts w:ascii="Arial" w:hAnsi="Arial" w:cs="Arial"/>
          <w:sz w:val="24"/>
          <w:szCs w:val="24"/>
        </w:rPr>
        <w:t>Quick Ratio kept on improving since 0.73 in 2020 to 0.95 in 2024, which demonstrates a positive but gradual change in liquidity management. Nevertheless, the ratio of less than 1 at the period of this development indicates that General Electronics is under mild liquidity pressure and partially relies on external funding to meet its short-term liabilities (Atrill &amp; McLaney, 2022).</w:t>
      </w:r>
    </w:p>
    <w:p w:rsidR="00CB687A" w:rsidRPr="004B2484" w:rsidRDefault="00411002" w:rsidP="004B2484">
      <w:pPr>
        <w:pStyle w:val="Heading2"/>
        <w:spacing w:after="240"/>
        <w:rPr>
          <w:rFonts w:ascii="Arial" w:hAnsi="Arial" w:cs="Arial"/>
          <w:b/>
          <w:color w:val="auto"/>
        </w:rPr>
      </w:pPr>
      <w:bookmarkStart w:id="12" w:name="_Toc217117660"/>
      <w:r w:rsidRPr="00E41467">
        <w:rPr>
          <w:rFonts w:ascii="Arial" w:hAnsi="Arial" w:cs="Arial"/>
          <w:b/>
          <w:color w:val="auto"/>
        </w:rPr>
        <w:t>1.</w:t>
      </w:r>
      <w:r w:rsidR="00735D00" w:rsidRPr="00E41467">
        <w:rPr>
          <w:rFonts w:ascii="Arial" w:hAnsi="Arial" w:cs="Arial"/>
          <w:b/>
          <w:color w:val="auto"/>
        </w:rPr>
        <w:t>4</w:t>
      </w:r>
      <w:r w:rsidRPr="00E41467">
        <w:rPr>
          <w:rFonts w:ascii="Arial" w:hAnsi="Arial" w:cs="Arial"/>
          <w:b/>
          <w:color w:val="auto"/>
        </w:rPr>
        <w:t xml:space="preserve"> Efficiency Ratios</w:t>
      </w:r>
      <w:bookmarkEnd w:id="12"/>
    </w:p>
    <w:p w:rsidR="00411002" w:rsidRPr="00E41467" w:rsidRDefault="008C22D6" w:rsidP="004B2484">
      <w:pPr>
        <w:spacing w:after="240" w:line="360" w:lineRule="auto"/>
        <w:jc w:val="both"/>
        <w:rPr>
          <w:rFonts w:ascii="Arial" w:hAnsi="Arial" w:cs="Arial"/>
          <w:sz w:val="24"/>
          <w:szCs w:val="24"/>
        </w:rPr>
      </w:pPr>
      <w:r w:rsidRPr="00E41467">
        <w:rPr>
          <w:rFonts w:ascii="Arial" w:hAnsi="Arial" w:cs="Arial"/>
          <w:sz w:val="24"/>
          <w:szCs w:val="24"/>
        </w:rPr>
        <w:t>Efficiency ratios, or activity or turnover ratios, assess the efficiency with which a firm uses its resources to make revenues. These ratios determine how fast and efficient the conversion of assets to cash flows is (Arnold and Lewis, 2019).</w:t>
      </w:r>
    </w:p>
    <w:p w:rsidR="00CB687A" w:rsidRPr="004B2484" w:rsidRDefault="00411002" w:rsidP="004B2484">
      <w:pPr>
        <w:pStyle w:val="Heading3"/>
        <w:spacing w:after="240"/>
        <w:rPr>
          <w:rFonts w:ascii="Arial" w:hAnsi="Arial" w:cs="Arial"/>
          <w:b/>
          <w:color w:val="auto"/>
        </w:rPr>
      </w:pPr>
      <w:bookmarkStart w:id="13" w:name="_Toc217117661"/>
      <w:r w:rsidRPr="00E41467">
        <w:rPr>
          <w:rFonts w:ascii="Arial" w:hAnsi="Arial" w:cs="Arial"/>
          <w:b/>
          <w:color w:val="auto"/>
        </w:rPr>
        <w:t>1.4.1 Inventory Turnover</w:t>
      </w:r>
      <w:bookmarkEnd w:id="13"/>
    </w:p>
    <w:p w:rsidR="001544C7" w:rsidRPr="004B2484" w:rsidRDefault="00411002" w:rsidP="004B2484">
      <w:pPr>
        <w:spacing w:after="240" w:line="360" w:lineRule="auto"/>
        <w:jc w:val="both"/>
        <w:rPr>
          <w:rFonts w:ascii="Arial" w:hAnsi="Arial" w:cs="Arial"/>
          <w:sz w:val="24"/>
          <w:szCs w:val="24"/>
        </w:rPr>
      </w:pPr>
      <w:r w:rsidRPr="00E41467">
        <w:rPr>
          <w:rFonts w:ascii="Arial" w:hAnsi="Arial" w:cs="Arial"/>
          <w:sz w:val="24"/>
          <w:szCs w:val="24"/>
        </w:rPr>
        <w:t>Inventory Turnover (IT) = Cost of</w:t>
      </w:r>
      <w:r w:rsidR="004B2484">
        <w:rPr>
          <w:rFonts w:ascii="Arial" w:hAnsi="Arial" w:cs="Arial"/>
          <w:sz w:val="24"/>
          <w:szCs w:val="24"/>
        </w:rPr>
        <w:t xml:space="preserve"> Goods Sold ÷ Average Inventory</w:t>
      </w:r>
    </w:p>
    <w:tbl>
      <w:tblPr>
        <w:tblW w:w="933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0"/>
        <w:gridCol w:w="3521"/>
        <w:gridCol w:w="3602"/>
        <w:gridCol w:w="1309"/>
      </w:tblGrid>
      <w:tr w:rsidR="00E41467" w:rsidRPr="00E41467" w:rsidTr="004B2484">
        <w:trPr>
          <w:trHeight w:val="555"/>
          <w:tblHeader/>
          <w:tblCellSpacing w:w="15" w:type="dxa"/>
        </w:trPr>
        <w:tc>
          <w:tcPr>
            <w:tcW w:w="855" w:type="dxa"/>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lastRenderedPageBreak/>
              <w:t>Year</w:t>
            </w:r>
          </w:p>
        </w:tc>
        <w:tc>
          <w:tcPr>
            <w:tcW w:w="3491" w:type="dxa"/>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Cost of Goods Sold ($ million)</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Average Inventory ($ million)</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IT (Times)</w:t>
            </w:r>
          </w:p>
        </w:tc>
      </w:tr>
      <w:tr w:rsidR="00E41467" w:rsidRPr="00E41467" w:rsidTr="004B2484">
        <w:trPr>
          <w:trHeight w:val="569"/>
          <w:tblCellSpacing w:w="15" w:type="dxa"/>
        </w:trPr>
        <w:tc>
          <w:tcPr>
            <w:tcW w:w="855"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3491"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r>
      <w:tr w:rsidR="00E41467" w:rsidRPr="00E41467" w:rsidTr="004B2484">
        <w:trPr>
          <w:trHeight w:val="555"/>
          <w:tblCellSpacing w:w="15" w:type="dxa"/>
        </w:trPr>
        <w:tc>
          <w:tcPr>
            <w:tcW w:w="855"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3491"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1,350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320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4.2</w:t>
            </w:r>
          </w:p>
        </w:tc>
      </w:tr>
      <w:tr w:rsidR="00E41467" w:rsidRPr="00E41467" w:rsidTr="004B2484">
        <w:trPr>
          <w:trHeight w:val="555"/>
          <w:tblCellSpacing w:w="15" w:type="dxa"/>
        </w:trPr>
        <w:tc>
          <w:tcPr>
            <w:tcW w:w="855"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3491"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1,480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370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r>
      <w:tr w:rsidR="00E41467" w:rsidRPr="00E41467" w:rsidTr="004B2484">
        <w:trPr>
          <w:trHeight w:val="555"/>
          <w:tblCellSpacing w:w="15" w:type="dxa"/>
        </w:trPr>
        <w:tc>
          <w:tcPr>
            <w:tcW w:w="855"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3491"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1,520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420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3.6</w:t>
            </w:r>
          </w:p>
        </w:tc>
      </w:tr>
      <w:tr w:rsidR="00E41467" w:rsidRPr="00E41467" w:rsidTr="004B2484">
        <w:trPr>
          <w:trHeight w:val="555"/>
          <w:tblCellSpacing w:w="15" w:type="dxa"/>
        </w:trPr>
        <w:tc>
          <w:tcPr>
            <w:tcW w:w="855"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3491" w:type="dxa"/>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1,560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480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3.3</w:t>
            </w:r>
          </w:p>
        </w:tc>
      </w:tr>
    </w:tbl>
    <w:p w:rsidR="00735D00" w:rsidRPr="00E41467" w:rsidRDefault="00735D00" w:rsidP="00170687">
      <w:pPr>
        <w:spacing w:line="360" w:lineRule="auto"/>
        <w:jc w:val="both"/>
        <w:rPr>
          <w:rFonts w:ascii="Arial" w:eastAsia="Times New Roman" w:hAnsi="Arial" w:cs="Arial"/>
          <w:bCs/>
          <w:sz w:val="24"/>
          <w:szCs w:val="24"/>
          <w:lang w:val="en-GB" w:eastAsia="en-GB"/>
        </w:rPr>
      </w:pPr>
    </w:p>
    <w:p w:rsidR="001544C7" w:rsidRPr="00E41467" w:rsidRDefault="001544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 xml:space="preserve">Interpretation </w:t>
      </w:r>
    </w:p>
    <w:p w:rsidR="008C22D6" w:rsidRPr="00E41467" w:rsidRDefault="008C22D6"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Inventory Turnover ratio decreased to 3.3 times </w:t>
      </w:r>
      <w:r w:rsidR="004B2484" w:rsidRPr="00E41467">
        <w:rPr>
          <w:rFonts w:ascii="Arial" w:eastAsia="Times New Roman" w:hAnsi="Arial" w:cs="Arial"/>
          <w:sz w:val="24"/>
          <w:szCs w:val="24"/>
          <w:lang w:val="en-GB" w:eastAsia="en-GB"/>
        </w:rPr>
        <w:t>compare</w:t>
      </w:r>
      <w:r w:rsidRPr="00E41467">
        <w:rPr>
          <w:rFonts w:ascii="Arial" w:eastAsia="Times New Roman" w:hAnsi="Arial" w:cs="Arial"/>
          <w:sz w:val="24"/>
          <w:szCs w:val="24"/>
          <w:lang w:val="en-GB" w:eastAsia="en-GB"/>
        </w:rPr>
        <w:t xml:space="preserve"> to 4.0 times, which means that there was slow inventory movement. This tendency implies that the inventory will rise in comparison with the sales, which can be explained by overstocking or out-of-date products. </w:t>
      </w:r>
    </w:p>
    <w:p w:rsidR="00735D00" w:rsidRPr="00E41467" w:rsidRDefault="00735D00" w:rsidP="00E41467">
      <w:pPr>
        <w:rPr>
          <w:rFonts w:ascii="Arial" w:hAnsi="Arial" w:cs="Arial"/>
          <w:lang w:val="en-GB" w:eastAsia="en-GB"/>
        </w:rPr>
      </w:pPr>
    </w:p>
    <w:p w:rsidR="00CB687A" w:rsidRPr="004B2484" w:rsidRDefault="00735D00" w:rsidP="004B2484">
      <w:pPr>
        <w:pStyle w:val="Heading3"/>
        <w:spacing w:after="240"/>
        <w:rPr>
          <w:rFonts w:ascii="Arial" w:eastAsia="Times New Roman" w:hAnsi="Arial" w:cs="Arial"/>
          <w:b/>
          <w:bCs/>
          <w:color w:val="auto"/>
          <w:lang w:val="en-GB" w:eastAsia="en-GB"/>
        </w:rPr>
      </w:pPr>
      <w:bookmarkStart w:id="14" w:name="_Toc217117662"/>
      <w:r w:rsidRPr="00E41467">
        <w:rPr>
          <w:rFonts w:ascii="Arial" w:eastAsia="Times New Roman" w:hAnsi="Arial" w:cs="Arial"/>
          <w:b/>
          <w:bCs/>
          <w:color w:val="auto"/>
          <w:lang w:val="en-GB" w:eastAsia="en-GB"/>
        </w:rPr>
        <w:t>1.4.</w:t>
      </w:r>
      <w:r w:rsidR="001544C7" w:rsidRPr="00E41467">
        <w:rPr>
          <w:rFonts w:ascii="Arial" w:eastAsia="Times New Roman" w:hAnsi="Arial" w:cs="Arial"/>
          <w:b/>
          <w:bCs/>
          <w:color w:val="auto"/>
          <w:lang w:val="en-GB" w:eastAsia="en-GB"/>
        </w:rPr>
        <w:t>2</w:t>
      </w:r>
      <w:r w:rsidRPr="00E41467">
        <w:rPr>
          <w:rFonts w:ascii="Arial" w:eastAsia="Times New Roman" w:hAnsi="Arial" w:cs="Arial"/>
          <w:b/>
          <w:bCs/>
          <w:color w:val="auto"/>
          <w:lang w:val="en-GB" w:eastAsia="en-GB"/>
        </w:rPr>
        <w:t xml:space="preserve"> </w:t>
      </w:r>
      <w:r w:rsidR="001544C7" w:rsidRPr="00E41467">
        <w:rPr>
          <w:rFonts w:ascii="Arial" w:eastAsia="Times New Roman" w:hAnsi="Arial" w:cs="Arial"/>
          <w:b/>
          <w:bCs/>
          <w:color w:val="auto"/>
          <w:lang w:val="en-GB" w:eastAsia="en-GB"/>
        </w:rPr>
        <w:t>Receivables Turnover (RT)</w:t>
      </w:r>
      <w:bookmarkEnd w:id="14"/>
    </w:p>
    <w:p w:rsidR="001544C7" w:rsidRPr="00E41467" w:rsidRDefault="001544C7" w:rsidP="004B2484">
      <w:pPr>
        <w:spacing w:after="240" w:line="360" w:lineRule="auto"/>
        <w:jc w:val="both"/>
        <w:rPr>
          <w:rFonts w:ascii="Arial" w:eastAsia="Times New Roman" w:hAnsi="Arial" w:cs="Arial"/>
          <w:bCs/>
          <w:sz w:val="24"/>
          <w:szCs w:val="24"/>
          <w:lang w:val="en-GB" w:eastAsia="en-GB"/>
        </w:rPr>
      </w:pPr>
      <w:r w:rsidRPr="00E41467">
        <w:rPr>
          <w:rFonts w:ascii="Arial" w:eastAsia="Times New Roman" w:hAnsi="Arial" w:cs="Arial"/>
          <w:bCs/>
          <w:sz w:val="24"/>
          <w:szCs w:val="24"/>
          <w:lang w:val="en-GB" w:eastAsia="en-GB"/>
        </w:rPr>
        <w:t>Receivables Turnover (RT) = Credit Sale</w:t>
      </w:r>
      <w:r w:rsidR="004B2484">
        <w:rPr>
          <w:rFonts w:ascii="Arial" w:eastAsia="Times New Roman" w:hAnsi="Arial" w:cs="Arial"/>
          <w:bCs/>
          <w:sz w:val="24"/>
          <w:szCs w:val="24"/>
          <w:lang w:val="en-GB" w:eastAsia="en-GB"/>
        </w:rPr>
        <w:t>s ÷ Average Accounts Receivable</w:t>
      </w:r>
    </w:p>
    <w:tbl>
      <w:tblPr>
        <w:tblW w:w="9695"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51"/>
        <w:gridCol w:w="2769"/>
        <w:gridCol w:w="4889"/>
        <w:gridCol w:w="1386"/>
      </w:tblGrid>
      <w:tr w:rsidR="00E41467" w:rsidRPr="00E41467" w:rsidTr="004B2484">
        <w:trPr>
          <w:trHeight w:val="565"/>
          <w:tblHeader/>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Credit Sales ($ million)</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Average Accounts Receivable ($ million)</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RT (Times)</w:t>
            </w:r>
          </w:p>
        </w:tc>
      </w:tr>
      <w:tr w:rsidR="00E41467" w:rsidRPr="00E41467" w:rsidTr="004B2484">
        <w:trPr>
          <w:trHeight w:val="580"/>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125</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8.0</w:t>
            </w:r>
          </w:p>
        </w:tc>
      </w:tr>
      <w:tr w:rsidR="00E41467" w:rsidRPr="00E41467" w:rsidTr="004B2484">
        <w:trPr>
          <w:trHeight w:val="565"/>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1,150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145</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7.9</w:t>
            </w:r>
          </w:p>
        </w:tc>
      </w:tr>
      <w:tr w:rsidR="00E41467" w:rsidRPr="00E41467" w:rsidTr="004B2484">
        <w:trPr>
          <w:trHeight w:val="565"/>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175</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7.4</w:t>
            </w:r>
          </w:p>
        </w:tc>
      </w:tr>
      <w:tr w:rsidR="00E41467" w:rsidRPr="00E41467" w:rsidTr="004B2484">
        <w:trPr>
          <w:trHeight w:val="565"/>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1,420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210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6.8</w:t>
            </w:r>
          </w:p>
        </w:tc>
      </w:tr>
      <w:tr w:rsidR="00E41467" w:rsidRPr="00E41467" w:rsidTr="004B2484">
        <w:trPr>
          <w:trHeight w:val="580"/>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250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w:t>
            </w:r>
          </w:p>
        </w:tc>
      </w:tr>
    </w:tbl>
    <w:p w:rsidR="00CC20E9" w:rsidRDefault="00CC20E9" w:rsidP="00170687">
      <w:pPr>
        <w:spacing w:line="360" w:lineRule="auto"/>
        <w:jc w:val="both"/>
        <w:rPr>
          <w:rFonts w:ascii="Arial" w:eastAsia="Times New Roman" w:hAnsi="Arial" w:cs="Arial"/>
          <w:b/>
          <w:bCs/>
          <w:sz w:val="24"/>
          <w:szCs w:val="24"/>
          <w:lang w:val="en-GB" w:eastAsia="en-GB"/>
        </w:rPr>
      </w:pPr>
    </w:p>
    <w:p w:rsidR="001544C7" w:rsidRPr="00E41467" w:rsidRDefault="001544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lastRenderedPageBreak/>
        <w:t xml:space="preserve">Interpretation </w:t>
      </w:r>
    </w:p>
    <w:p w:rsidR="00735D00" w:rsidRPr="004B2484" w:rsidRDefault="008C22D6"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The Receivables Turnover decreased to 6.0 times in five years as it could be seen that the company was slower in collecting receivables and possible credit control problems. This downward trend indicates that the customers are paying slower and this is raising the credit risk that the company is exposed to and restricting liquidity. </w:t>
      </w:r>
    </w:p>
    <w:p w:rsidR="00CB687A" w:rsidRPr="004B2484" w:rsidRDefault="00735D00" w:rsidP="004B2484">
      <w:pPr>
        <w:pStyle w:val="Heading3"/>
        <w:spacing w:after="240"/>
        <w:rPr>
          <w:rFonts w:ascii="Arial" w:eastAsia="Times New Roman" w:hAnsi="Arial" w:cs="Arial"/>
          <w:b/>
          <w:color w:val="auto"/>
          <w:lang w:val="en-GB" w:eastAsia="en-GB"/>
        </w:rPr>
      </w:pPr>
      <w:bookmarkStart w:id="15" w:name="_Toc217117663"/>
      <w:r w:rsidRPr="00E41467">
        <w:rPr>
          <w:rFonts w:ascii="Arial" w:eastAsia="Times New Roman" w:hAnsi="Arial" w:cs="Arial"/>
          <w:b/>
          <w:color w:val="auto"/>
          <w:lang w:val="en-GB" w:eastAsia="en-GB"/>
        </w:rPr>
        <w:t>1.4.</w:t>
      </w:r>
      <w:r w:rsidR="001544C7" w:rsidRPr="00E41467">
        <w:rPr>
          <w:rFonts w:ascii="Arial" w:eastAsia="Times New Roman" w:hAnsi="Arial" w:cs="Arial"/>
          <w:b/>
          <w:color w:val="auto"/>
          <w:lang w:val="en-GB" w:eastAsia="en-GB"/>
        </w:rPr>
        <w:t>3</w:t>
      </w:r>
      <w:r w:rsidRPr="00E41467">
        <w:rPr>
          <w:rFonts w:ascii="Arial" w:eastAsia="Times New Roman" w:hAnsi="Arial" w:cs="Arial"/>
          <w:b/>
          <w:color w:val="auto"/>
          <w:lang w:val="en-GB" w:eastAsia="en-GB"/>
        </w:rPr>
        <w:t xml:space="preserve"> </w:t>
      </w:r>
      <w:r w:rsidR="001544C7" w:rsidRPr="00E41467">
        <w:rPr>
          <w:rFonts w:ascii="Arial" w:eastAsia="Times New Roman" w:hAnsi="Arial" w:cs="Arial"/>
          <w:b/>
          <w:color w:val="auto"/>
          <w:lang w:val="en-GB" w:eastAsia="en-GB"/>
        </w:rPr>
        <w:t>Total Asset Turnover (TAT)</w:t>
      </w:r>
      <w:bookmarkEnd w:id="15"/>
    </w:p>
    <w:p w:rsidR="001544C7" w:rsidRPr="00E41467" w:rsidRDefault="001544C7" w:rsidP="004B2484">
      <w:pPr>
        <w:spacing w:after="240" w:line="360" w:lineRule="auto"/>
        <w:jc w:val="both"/>
        <w:rPr>
          <w:rFonts w:ascii="Arial" w:eastAsia="Times New Roman" w:hAnsi="Arial" w:cs="Arial"/>
          <w:bCs/>
          <w:sz w:val="24"/>
          <w:szCs w:val="24"/>
          <w:lang w:val="en-GB" w:eastAsia="en-GB"/>
        </w:rPr>
      </w:pPr>
      <w:r w:rsidRPr="00E41467">
        <w:rPr>
          <w:rFonts w:ascii="Arial" w:eastAsia="Times New Roman" w:hAnsi="Arial" w:cs="Arial"/>
          <w:bCs/>
          <w:sz w:val="24"/>
          <w:szCs w:val="24"/>
          <w:lang w:val="en-GB" w:eastAsia="en-GB"/>
        </w:rPr>
        <w:t>Total Asset Turnover (TAT) = Revenue ÷ Tot</w:t>
      </w:r>
      <w:r w:rsidR="004B2484">
        <w:rPr>
          <w:rFonts w:ascii="Arial" w:eastAsia="Times New Roman" w:hAnsi="Arial" w:cs="Arial"/>
          <w:bCs/>
          <w:sz w:val="24"/>
          <w:szCs w:val="24"/>
          <w:lang w:val="en-GB" w:eastAsia="en-GB"/>
        </w:rPr>
        <w:t>al Assets</w:t>
      </w:r>
    </w:p>
    <w:tbl>
      <w:tblPr>
        <w:tblW w:w="831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31"/>
        <w:gridCol w:w="2675"/>
        <w:gridCol w:w="3177"/>
        <w:gridCol w:w="1733"/>
      </w:tblGrid>
      <w:tr w:rsidR="00E41467" w:rsidRPr="00E41467" w:rsidTr="004B2484">
        <w:trPr>
          <w:trHeight w:val="523"/>
          <w:tblHeader/>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Revenue ($ million)</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Total Assets ($ million)</w:t>
            </w:r>
          </w:p>
        </w:tc>
        <w:tc>
          <w:tcPr>
            <w:tcW w:w="0" w:type="auto"/>
            <w:vAlign w:val="center"/>
            <w:hideMark/>
          </w:tcPr>
          <w:p w:rsidR="001544C7" w:rsidRPr="00E41467" w:rsidRDefault="001544C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TAT (Times)</w:t>
            </w:r>
          </w:p>
        </w:tc>
      </w:tr>
      <w:tr w:rsidR="00E41467" w:rsidRPr="00E41467" w:rsidTr="004B2484">
        <w:trPr>
          <w:trHeight w:val="536"/>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1,800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1.50</w:t>
            </w:r>
          </w:p>
        </w:tc>
      </w:tr>
      <w:tr w:rsidR="00E41467" w:rsidRPr="00E41467" w:rsidTr="004B2484">
        <w:trPr>
          <w:trHeight w:val="523"/>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1.43</w:t>
            </w:r>
          </w:p>
        </w:tc>
      </w:tr>
      <w:tr w:rsidR="00E41467" w:rsidRPr="00E41467" w:rsidTr="004B2484">
        <w:trPr>
          <w:trHeight w:val="523"/>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2,100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1,600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1.31</w:t>
            </w:r>
          </w:p>
        </w:tc>
      </w:tr>
      <w:tr w:rsidR="00E41467" w:rsidRPr="00E41467" w:rsidTr="004B2484">
        <w:trPr>
          <w:trHeight w:val="523"/>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2,250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1,850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1.22</w:t>
            </w:r>
          </w:p>
        </w:tc>
      </w:tr>
      <w:tr w:rsidR="00E41467" w:rsidRPr="00E41467" w:rsidTr="004B2484">
        <w:trPr>
          <w:trHeight w:val="536"/>
          <w:tblCellSpacing w:w="15" w:type="dxa"/>
        </w:trPr>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2,300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2,100</w:t>
            </w:r>
          </w:p>
        </w:tc>
        <w:tc>
          <w:tcPr>
            <w:tcW w:w="0" w:type="auto"/>
            <w:vAlign w:val="center"/>
            <w:hideMark/>
          </w:tcPr>
          <w:p w:rsidR="001544C7" w:rsidRPr="00E41467" w:rsidRDefault="001544C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1.10</w:t>
            </w:r>
          </w:p>
        </w:tc>
      </w:tr>
    </w:tbl>
    <w:p w:rsidR="00735D00" w:rsidRPr="00E41467" w:rsidRDefault="00735D00" w:rsidP="00170687">
      <w:pPr>
        <w:spacing w:line="360" w:lineRule="auto"/>
        <w:jc w:val="both"/>
        <w:rPr>
          <w:rFonts w:ascii="Arial" w:eastAsia="Times New Roman" w:hAnsi="Arial" w:cs="Arial"/>
          <w:b/>
          <w:bCs/>
          <w:sz w:val="24"/>
          <w:szCs w:val="24"/>
          <w:lang w:val="en-GB" w:eastAsia="en-GB"/>
        </w:rPr>
      </w:pPr>
    </w:p>
    <w:p w:rsidR="00C213F7" w:rsidRPr="00E41467" w:rsidRDefault="001544C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 xml:space="preserve">Interpretation </w:t>
      </w:r>
    </w:p>
    <w:p w:rsidR="00C17C86" w:rsidRPr="00E41467" w:rsidRDefault="008C22D6" w:rsidP="00170687">
      <w:pPr>
        <w:spacing w:line="360" w:lineRule="auto"/>
        <w:jc w:val="both"/>
        <w:rPr>
          <w:rFonts w:ascii="Arial" w:hAnsi="Arial" w:cs="Arial"/>
          <w:sz w:val="24"/>
          <w:szCs w:val="24"/>
        </w:rPr>
      </w:pPr>
      <w:r w:rsidRPr="00E41467">
        <w:rPr>
          <w:rFonts w:ascii="Arial" w:hAnsi="Arial" w:cs="Arial"/>
          <w:sz w:val="24"/>
          <w:szCs w:val="24"/>
        </w:rPr>
        <w:t xml:space="preserve">The change in the Total Asset Turnover was down to 1.10 as compared to 1.50 in 2020 to 2024, which suggests inefficiency in asset utilisation. Although the revenues increased, the increase in asset was higher, indicating that it was overinvested or not utilised. This trend may reflect over capacity or ineffective utilisation of resources. Similar to Ross et al. (2021), the deteriorating TAT indicates the necessity of more efficient asset management and improvement of productivity. </w:t>
      </w:r>
    </w:p>
    <w:p w:rsidR="00CB687A" w:rsidRPr="004B2484" w:rsidRDefault="00C213F7" w:rsidP="004B2484">
      <w:pPr>
        <w:pStyle w:val="Heading2"/>
        <w:spacing w:after="240"/>
        <w:rPr>
          <w:rFonts w:ascii="Arial" w:eastAsia="Times New Roman" w:hAnsi="Arial" w:cs="Arial"/>
          <w:b/>
          <w:color w:val="auto"/>
          <w:lang w:val="en-GB" w:eastAsia="en-GB"/>
        </w:rPr>
      </w:pPr>
      <w:bookmarkStart w:id="16" w:name="_Toc217117664"/>
      <w:r w:rsidRPr="00E41467">
        <w:rPr>
          <w:rFonts w:ascii="Arial" w:eastAsia="Times New Roman" w:hAnsi="Arial" w:cs="Arial"/>
          <w:b/>
          <w:color w:val="auto"/>
          <w:lang w:val="en-GB" w:eastAsia="en-GB"/>
        </w:rPr>
        <w:t>1.</w:t>
      </w:r>
      <w:r w:rsidR="00735D00" w:rsidRPr="00E41467">
        <w:rPr>
          <w:rFonts w:ascii="Arial" w:eastAsia="Times New Roman" w:hAnsi="Arial" w:cs="Arial"/>
          <w:b/>
          <w:color w:val="auto"/>
          <w:lang w:val="en-GB" w:eastAsia="en-GB"/>
        </w:rPr>
        <w:t>5</w:t>
      </w:r>
      <w:r w:rsidRPr="00E41467">
        <w:rPr>
          <w:rFonts w:ascii="Arial" w:eastAsia="Times New Roman" w:hAnsi="Arial" w:cs="Arial"/>
          <w:b/>
          <w:color w:val="auto"/>
          <w:lang w:val="en-GB" w:eastAsia="en-GB"/>
        </w:rPr>
        <w:t xml:space="preserve"> Gearing Ratios</w:t>
      </w:r>
      <w:bookmarkEnd w:id="16"/>
    </w:p>
    <w:p w:rsidR="00C213F7" w:rsidRPr="00E41467" w:rsidRDefault="008C22D6" w:rsidP="004B2484">
      <w:pPr>
        <w:spacing w:after="240" w:line="360" w:lineRule="auto"/>
        <w:jc w:val="both"/>
        <w:rPr>
          <w:rFonts w:ascii="Arial" w:eastAsia="Times New Roman" w:hAnsi="Arial" w:cs="Arial"/>
          <w:bCs/>
          <w:sz w:val="24"/>
          <w:szCs w:val="24"/>
          <w:lang w:val="en-GB" w:eastAsia="en-GB"/>
        </w:rPr>
      </w:pPr>
      <w:r w:rsidRPr="00E41467">
        <w:rPr>
          <w:rFonts w:ascii="Arial" w:eastAsia="Times New Roman" w:hAnsi="Arial" w:cs="Arial"/>
          <w:bCs/>
          <w:sz w:val="24"/>
          <w:szCs w:val="24"/>
          <w:lang w:val="en-GB" w:eastAsia="en-GB"/>
        </w:rPr>
        <w:t xml:space="preserve">Gearing ratios or leverage ratios are used to evaluate the capital structure of the firm in terms of debt and equity funding. High gearing exposes the company to greater financial </w:t>
      </w:r>
      <w:r w:rsidRPr="00E41467">
        <w:rPr>
          <w:rFonts w:ascii="Arial" w:eastAsia="Times New Roman" w:hAnsi="Arial" w:cs="Arial"/>
          <w:bCs/>
          <w:sz w:val="24"/>
          <w:szCs w:val="24"/>
          <w:lang w:val="en-GB" w:eastAsia="en-GB"/>
        </w:rPr>
        <w:lastRenderedPageBreak/>
        <w:t xml:space="preserve">risk particularly when the economy is experiencing recession, since it involves fixed </w:t>
      </w:r>
      <w:r w:rsidR="00735D00" w:rsidRPr="00E41467">
        <w:rPr>
          <w:rFonts w:ascii="Arial" w:eastAsia="Times New Roman" w:hAnsi="Arial" w:cs="Arial"/>
          <w:bCs/>
          <w:sz w:val="24"/>
          <w:szCs w:val="24"/>
          <w:lang w:val="en-GB" w:eastAsia="en-GB"/>
        </w:rPr>
        <w:t>interests’</w:t>
      </w:r>
      <w:r w:rsidRPr="00E41467">
        <w:rPr>
          <w:rFonts w:ascii="Arial" w:eastAsia="Times New Roman" w:hAnsi="Arial" w:cs="Arial"/>
          <w:bCs/>
          <w:sz w:val="24"/>
          <w:szCs w:val="24"/>
          <w:lang w:val="en-GB" w:eastAsia="en-GB"/>
        </w:rPr>
        <w:t xml:space="preserve"> payments (Brigham &amp; Ehrhardt, 2019).</w:t>
      </w:r>
    </w:p>
    <w:p w:rsidR="00CB687A" w:rsidRPr="004B2484" w:rsidRDefault="00735D00" w:rsidP="004B2484">
      <w:pPr>
        <w:pStyle w:val="Heading3"/>
        <w:spacing w:after="240"/>
        <w:rPr>
          <w:rFonts w:ascii="Arial" w:eastAsia="Times New Roman" w:hAnsi="Arial" w:cs="Arial"/>
          <w:b/>
          <w:color w:val="auto"/>
          <w:lang w:val="en-GB" w:eastAsia="en-GB"/>
        </w:rPr>
      </w:pPr>
      <w:bookmarkStart w:id="17" w:name="_Toc217117665"/>
      <w:r w:rsidRPr="00E41467">
        <w:rPr>
          <w:rFonts w:ascii="Arial" w:eastAsia="Times New Roman" w:hAnsi="Arial" w:cs="Arial"/>
          <w:b/>
          <w:color w:val="auto"/>
          <w:lang w:val="en-GB" w:eastAsia="en-GB"/>
        </w:rPr>
        <w:t xml:space="preserve">1.5.1 </w:t>
      </w:r>
      <w:r w:rsidR="00C213F7" w:rsidRPr="00E41467">
        <w:rPr>
          <w:rFonts w:ascii="Arial" w:eastAsia="Times New Roman" w:hAnsi="Arial" w:cs="Arial"/>
          <w:b/>
          <w:color w:val="auto"/>
          <w:lang w:val="en-GB" w:eastAsia="en-GB"/>
        </w:rPr>
        <w:t>Debt-to-Equity Ratio (D/E)</w:t>
      </w:r>
      <w:bookmarkEnd w:id="17"/>
    </w:p>
    <w:p w:rsidR="00C213F7" w:rsidRPr="00E41467" w:rsidRDefault="00C213F7" w:rsidP="004B2484">
      <w:pPr>
        <w:spacing w:after="240" w:line="360" w:lineRule="auto"/>
        <w:jc w:val="both"/>
        <w:rPr>
          <w:rFonts w:ascii="Arial" w:eastAsia="Times New Roman" w:hAnsi="Arial" w:cs="Arial"/>
          <w:bCs/>
          <w:sz w:val="24"/>
          <w:szCs w:val="24"/>
          <w:lang w:val="en-GB" w:eastAsia="en-GB"/>
        </w:rPr>
      </w:pPr>
      <w:r w:rsidRPr="00E41467">
        <w:rPr>
          <w:rFonts w:ascii="Arial" w:eastAsia="Times New Roman" w:hAnsi="Arial" w:cs="Arial"/>
          <w:bCs/>
          <w:sz w:val="24"/>
          <w:szCs w:val="24"/>
          <w:lang w:val="en-GB" w:eastAsia="en-GB"/>
        </w:rPr>
        <w:t>Debt-to-Equity Ratio (D/E) = To</w:t>
      </w:r>
      <w:r w:rsidR="004B2484">
        <w:rPr>
          <w:rFonts w:ascii="Arial" w:eastAsia="Times New Roman" w:hAnsi="Arial" w:cs="Arial"/>
          <w:bCs/>
          <w:sz w:val="24"/>
          <w:szCs w:val="24"/>
          <w:lang w:val="en-GB" w:eastAsia="en-GB"/>
        </w:rPr>
        <w:t>tal Debt ÷ Shareholders’ Equity</w:t>
      </w:r>
    </w:p>
    <w:tbl>
      <w:tblPr>
        <w:tblW w:w="9497"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746"/>
        <w:gridCol w:w="2944"/>
        <w:gridCol w:w="4419"/>
        <w:gridCol w:w="1388"/>
      </w:tblGrid>
      <w:tr w:rsidR="00E41467" w:rsidRPr="00E41467" w:rsidTr="004B2484">
        <w:trPr>
          <w:trHeight w:val="467"/>
          <w:tblHeader/>
          <w:tblCellSpacing w:w="15" w:type="dxa"/>
        </w:trPr>
        <w:tc>
          <w:tcPr>
            <w:tcW w:w="0" w:type="auto"/>
            <w:vAlign w:val="center"/>
            <w:hideMark/>
          </w:tcPr>
          <w:p w:rsidR="00C213F7"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vAlign w:val="center"/>
            <w:hideMark/>
          </w:tcPr>
          <w:p w:rsidR="00C213F7"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Total Debt ($ million)</w:t>
            </w:r>
          </w:p>
        </w:tc>
        <w:tc>
          <w:tcPr>
            <w:tcW w:w="0" w:type="auto"/>
            <w:vAlign w:val="center"/>
            <w:hideMark/>
          </w:tcPr>
          <w:p w:rsidR="00C213F7"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Shareholders’ Equity ($ million)</w:t>
            </w:r>
          </w:p>
        </w:tc>
        <w:tc>
          <w:tcPr>
            <w:tcW w:w="0" w:type="auto"/>
            <w:vAlign w:val="center"/>
            <w:hideMark/>
          </w:tcPr>
          <w:p w:rsidR="00C213F7"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D/E Ratio</w:t>
            </w:r>
          </w:p>
        </w:tc>
      </w:tr>
      <w:tr w:rsidR="00E41467" w:rsidRPr="00E41467" w:rsidTr="004B2484">
        <w:trPr>
          <w:trHeight w:val="479"/>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0.86</w:t>
            </w:r>
          </w:p>
        </w:tc>
      </w:tr>
      <w:tr w:rsidR="00E41467" w:rsidRPr="00E41467" w:rsidTr="004B2484">
        <w:trPr>
          <w:trHeight w:val="467"/>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750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0.96</w:t>
            </w:r>
          </w:p>
        </w:tc>
      </w:tr>
      <w:tr w:rsidR="00E41467" w:rsidRPr="00E41467" w:rsidTr="004B2484">
        <w:trPr>
          <w:trHeight w:val="467"/>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880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780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1.13</w:t>
            </w:r>
          </w:p>
        </w:tc>
      </w:tr>
      <w:tr w:rsidR="00E41467" w:rsidRPr="00E41467" w:rsidTr="004B2484">
        <w:trPr>
          <w:trHeight w:val="467"/>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1,000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1.22</w:t>
            </w:r>
          </w:p>
        </w:tc>
      </w:tr>
      <w:tr w:rsidR="00E41467" w:rsidRPr="00E41467" w:rsidTr="004B2484">
        <w:trPr>
          <w:trHeight w:val="479"/>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850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1.32</w:t>
            </w:r>
          </w:p>
        </w:tc>
      </w:tr>
    </w:tbl>
    <w:p w:rsidR="00735D00" w:rsidRPr="00E41467" w:rsidRDefault="00735D00" w:rsidP="00170687">
      <w:pPr>
        <w:spacing w:line="360" w:lineRule="auto"/>
        <w:jc w:val="both"/>
        <w:rPr>
          <w:rFonts w:ascii="Arial" w:eastAsia="Times New Roman" w:hAnsi="Arial" w:cs="Arial"/>
          <w:bCs/>
          <w:sz w:val="24"/>
          <w:szCs w:val="24"/>
          <w:lang w:val="en-GB" w:eastAsia="en-GB"/>
        </w:rPr>
      </w:pPr>
    </w:p>
    <w:p w:rsidR="00C213F7"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 xml:space="preserve">Interpretation </w:t>
      </w:r>
    </w:p>
    <w:p w:rsidR="00933FFC" w:rsidRPr="004B2484" w:rsidRDefault="00EE0875" w:rsidP="004B2484">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The number of D/E ratio was growing consistently 0.86 in 2020 through 1.32 in 2024, implying an upward financial leverage. The trend is an upward movement, which means the use of more debt financing compared to equity, growth in interest payments, and risky exposure to the financial risk. As Brigham and Ehrhardt (2019) further state, an excessive dependence on borrowed capital is reflected by a D/E ratio of above 1, and thus it may limit the ability to finance it in the fut</w:t>
      </w:r>
      <w:r w:rsidR="004B2484">
        <w:rPr>
          <w:rFonts w:ascii="Arial" w:eastAsia="Times New Roman" w:hAnsi="Arial" w:cs="Arial"/>
          <w:sz w:val="24"/>
          <w:szCs w:val="24"/>
          <w:lang w:val="en-GB" w:eastAsia="en-GB"/>
        </w:rPr>
        <w:t xml:space="preserve">ure. </w:t>
      </w:r>
    </w:p>
    <w:p w:rsidR="00CB687A" w:rsidRPr="004B2484" w:rsidRDefault="00735D00" w:rsidP="004B2484">
      <w:pPr>
        <w:pStyle w:val="Heading3"/>
        <w:spacing w:after="240"/>
        <w:rPr>
          <w:rFonts w:ascii="Arial" w:eastAsia="Times New Roman" w:hAnsi="Arial" w:cs="Arial"/>
          <w:b/>
          <w:bCs/>
          <w:color w:val="auto"/>
          <w:lang w:val="en-GB" w:eastAsia="en-GB"/>
        </w:rPr>
      </w:pPr>
      <w:bookmarkStart w:id="18" w:name="_Toc217117666"/>
      <w:r w:rsidRPr="00E41467">
        <w:rPr>
          <w:rFonts w:ascii="Arial" w:eastAsia="Times New Roman" w:hAnsi="Arial" w:cs="Arial"/>
          <w:b/>
          <w:bCs/>
          <w:color w:val="auto"/>
          <w:lang w:val="en-GB" w:eastAsia="en-GB"/>
        </w:rPr>
        <w:t xml:space="preserve">1.5.2 </w:t>
      </w:r>
      <w:r w:rsidR="00C213F7" w:rsidRPr="00E41467">
        <w:rPr>
          <w:rFonts w:ascii="Arial" w:eastAsia="Times New Roman" w:hAnsi="Arial" w:cs="Arial"/>
          <w:b/>
          <w:bCs/>
          <w:color w:val="auto"/>
          <w:lang w:val="en-GB" w:eastAsia="en-GB"/>
        </w:rPr>
        <w:t>Interest Coverage Ratio (ICR)</w:t>
      </w:r>
      <w:bookmarkEnd w:id="18"/>
    </w:p>
    <w:p w:rsidR="00C213F7" w:rsidRPr="00E41467" w:rsidRDefault="00C213F7" w:rsidP="004B2484">
      <w:pPr>
        <w:spacing w:after="240" w:line="360" w:lineRule="auto"/>
        <w:jc w:val="both"/>
        <w:rPr>
          <w:rFonts w:ascii="Arial" w:eastAsia="Times New Roman" w:hAnsi="Arial" w:cs="Arial"/>
          <w:bCs/>
          <w:sz w:val="24"/>
          <w:szCs w:val="24"/>
          <w:lang w:val="en-GB" w:eastAsia="en-GB"/>
        </w:rPr>
      </w:pPr>
      <w:r w:rsidRPr="00E41467">
        <w:rPr>
          <w:rFonts w:ascii="Arial" w:eastAsia="Times New Roman" w:hAnsi="Arial" w:cs="Arial"/>
          <w:bCs/>
          <w:sz w:val="24"/>
          <w:szCs w:val="24"/>
          <w:lang w:val="en-GB" w:eastAsia="en-GB"/>
        </w:rPr>
        <w:t>Interest Coverage Ratio (ICR) = Oper</w:t>
      </w:r>
      <w:r w:rsidR="004B2484">
        <w:rPr>
          <w:rFonts w:ascii="Arial" w:eastAsia="Times New Roman" w:hAnsi="Arial" w:cs="Arial"/>
          <w:bCs/>
          <w:sz w:val="24"/>
          <w:szCs w:val="24"/>
          <w:lang w:val="en-GB" w:eastAsia="en-GB"/>
        </w:rPr>
        <w:t>ating Profit ÷ Interest Expense</w:t>
      </w:r>
    </w:p>
    <w:tbl>
      <w:tblPr>
        <w:tblW w:w="9126"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83"/>
        <w:gridCol w:w="3392"/>
        <w:gridCol w:w="3494"/>
        <w:gridCol w:w="1557"/>
      </w:tblGrid>
      <w:tr w:rsidR="00E41467" w:rsidRPr="00E41467" w:rsidTr="004B2484">
        <w:trPr>
          <w:trHeight w:val="574"/>
          <w:tblHeade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Operating Profit ($ million)</w:t>
            </w:r>
          </w:p>
        </w:tc>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Interest Expense ($ million)</w:t>
            </w:r>
          </w:p>
        </w:tc>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ICR (Times)</w:t>
            </w:r>
          </w:p>
        </w:tc>
      </w:tr>
      <w:tr w:rsidR="00E41467" w:rsidRPr="00E41467" w:rsidTr="004B2484">
        <w:trPr>
          <w:trHeight w:val="589"/>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240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r>
      <w:tr w:rsidR="00E41467" w:rsidRPr="00E41467" w:rsidTr="004B2484">
        <w:trPr>
          <w:trHeight w:val="574"/>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lastRenderedPageBreak/>
              <w:t>2021</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250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3.6</w:t>
            </w:r>
          </w:p>
        </w:tc>
      </w:tr>
      <w:tr w:rsidR="00E41467" w:rsidRPr="00E41467" w:rsidTr="004B2484">
        <w:trPr>
          <w:trHeight w:val="574"/>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240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3.0</w:t>
            </w:r>
          </w:p>
        </w:tc>
      </w:tr>
      <w:tr w:rsidR="00E41467" w:rsidRPr="00E41467" w:rsidTr="004B2484">
        <w:trPr>
          <w:trHeight w:val="574"/>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85</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2.6</w:t>
            </w:r>
          </w:p>
        </w:tc>
      </w:tr>
      <w:tr w:rsidR="00E41467" w:rsidRPr="00E41467" w:rsidTr="004B2484">
        <w:trPr>
          <w:trHeight w:val="589"/>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210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2.3</w:t>
            </w:r>
          </w:p>
        </w:tc>
      </w:tr>
    </w:tbl>
    <w:p w:rsidR="00735D00" w:rsidRPr="00E41467" w:rsidRDefault="00735D00" w:rsidP="00170687">
      <w:pPr>
        <w:spacing w:line="360" w:lineRule="auto"/>
        <w:jc w:val="both"/>
        <w:rPr>
          <w:rFonts w:ascii="Arial" w:eastAsia="Times New Roman" w:hAnsi="Arial" w:cs="Arial"/>
          <w:b/>
          <w:bCs/>
          <w:sz w:val="24"/>
          <w:szCs w:val="24"/>
          <w:lang w:val="en-GB" w:eastAsia="en-GB"/>
        </w:rPr>
      </w:pPr>
    </w:p>
    <w:p w:rsidR="00C213F7"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 xml:space="preserve">Interpretation </w:t>
      </w:r>
    </w:p>
    <w:p w:rsidR="00EE0875" w:rsidRPr="00E41467" w:rsidRDefault="00EE0875"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ICR decreased by 4.0 to 2.3 times between 2020 and 2024, which reflected the dwindling ability to meet the interest requirements using operating income. The drop to the mark below 2.5 in 2024 (Brealey, Myers and Allen, 2020) can forecast the possibility of financial pressure, particularly during the period of high gearing. Less coverage will raise the risk of default and can discourage lenders. </w:t>
      </w:r>
    </w:p>
    <w:p w:rsidR="00CB687A" w:rsidRPr="004B2484" w:rsidRDefault="00C213F7" w:rsidP="004B2484">
      <w:pPr>
        <w:pStyle w:val="Heading2"/>
        <w:spacing w:after="240"/>
        <w:rPr>
          <w:rFonts w:ascii="Arial" w:eastAsia="Times New Roman" w:hAnsi="Arial" w:cs="Arial"/>
          <w:b/>
          <w:color w:val="auto"/>
          <w:lang w:val="en-GB" w:eastAsia="en-GB"/>
        </w:rPr>
      </w:pPr>
      <w:bookmarkStart w:id="19" w:name="_Toc217117667"/>
      <w:r w:rsidRPr="00E41467">
        <w:rPr>
          <w:rFonts w:ascii="Arial" w:eastAsia="Times New Roman" w:hAnsi="Arial" w:cs="Arial"/>
          <w:b/>
          <w:color w:val="auto"/>
          <w:lang w:val="en-GB" w:eastAsia="en-GB"/>
        </w:rPr>
        <w:t>1.6 Cash Flow Ratios</w:t>
      </w:r>
      <w:bookmarkEnd w:id="19"/>
    </w:p>
    <w:p w:rsidR="00C213F7" w:rsidRPr="00E41467" w:rsidRDefault="00C213F7" w:rsidP="004B2484">
      <w:pPr>
        <w:spacing w:after="240"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Free Cash Flow (FCF)</w:t>
      </w:r>
    </w:p>
    <w:p w:rsidR="00EE0875" w:rsidRPr="00E41467" w:rsidRDefault="00C213F7" w:rsidP="00170687">
      <w:pPr>
        <w:spacing w:line="360" w:lineRule="auto"/>
        <w:jc w:val="both"/>
        <w:rPr>
          <w:rFonts w:ascii="Arial" w:eastAsia="Times New Roman" w:hAnsi="Arial" w:cs="Arial"/>
          <w:bCs/>
          <w:sz w:val="24"/>
          <w:szCs w:val="24"/>
          <w:lang w:val="en-GB" w:eastAsia="en-GB"/>
        </w:rPr>
      </w:pPr>
      <w:r w:rsidRPr="00E41467">
        <w:rPr>
          <w:rFonts w:ascii="Arial" w:eastAsia="Times New Roman" w:hAnsi="Arial" w:cs="Arial"/>
          <w:bCs/>
          <w:sz w:val="24"/>
          <w:szCs w:val="24"/>
          <w:lang w:val="en-GB" w:eastAsia="en-GB"/>
        </w:rPr>
        <w:t xml:space="preserve">Free Cash Flow (FCF) = Operating </w:t>
      </w:r>
      <w:r w:rsidR="004B2484">
        <w:rPr>
          <w:rFonts w:ascii="Arial" w:eastAsia="Times New Roman" w:hAnsi="Arial" w:cs="Arial"/>
          <w:bCs/>
          <w:sz w:val="24"/>
          <w:szCs w:val="24"/>
          <w:lang w:val="en-GB" w:eastAsia="en-GB"/>
        </w:rPr>
        <w:t>Cash Flow – Capital Expenditure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3563"/>
        <w:gridCol w:w="3435"/>
        <w:gridCol w:w="1723"/>
      </w:tblGrid>
      <w:tr w:rsidR="00E41467" w:rsidRPr="00E41467" w:rsidTr="004B2484">
        <w:trPr>
          <w:tblHeade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Operating Cash Flow ($ million)</w:t>
            </w:r>
          </w:p>
        </w:tc>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Capital Expenditure ($ million)</w:t>
            </w:r>
          </w:p>
        </w:tc>
        <w:tc>
          <w:tcPr>
            <w:tcW w:w="0" w:type="auto"/>
            <w:vAlign w:val="center"/>
            <w:hideMark/>
          </w:tcPr>
          <w:p w:rsidR="00C213F7" w:rsidRPr="00E41467" w:rsidRDefault="00C213F7"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FCF ($ million)</w:t>
            </w:r>
          </w:p>
        </w:tc>
      </w:tr>
      <w:tr w:rsidR="00E41467" w:rsidRPr="00E41467" w:rsidTr="004B2484">
        <w:trP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260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140</w:t>
            </w:r>
          </w:p>
        </w:tc>
      </w:tr>
      <w:tr w:rsidR="00E41467" w:rsidRPr="00E41467" w:rsidTr="004B2484">
        <w:trP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2021</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270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130</w:t>
            </w:r>
          </w:p>
        </w:tc>
      </w:tr>
      <w:tr w:rsidR="00E41467" w:rsidRPr="00E41467" w:rsidTr="004B2484">
        <w:trP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2022</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265</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115</w:t>
            </w:r>
          </w:p>
        </w:tc>
      </w:tr>
      <w:tr w:rsidR="00E41467" w:rsidRPr="00E41467" w:rsidTr="004B2484">
        <w:trP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2023</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260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170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90</w:t>
            </w:r>
          </w:p>
        </w:tc>
      </w:tr>
      <w:tr w:rsidR="00E41467" w:rsidRPr="00E41467" w:rsidTr="004B2484">
        <w:trPr>
          <w:tblCellSpacing w:w="15" w:type="dxa"/>
        </w:trPr>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2024</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250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180</w:t>
            </w:r>
          </w:p>
        </w:tc>
        <w:tc>
          <w:tcPr>
            <w:tcW w:w="0" w:type="auto"/>
            <w:vAlign w:val="center"/>
            <w:hideMark/>
          </w:tcPr>
          <w:p w:rsidR="00C213F7" w:rsidRPr="00E41467" w:rsidRDefault="00C213F7"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w:t>
            </w:r>
          </w:p>
        </w:tc>
      </w:tr>
    </w:tbl>
    <w:p w:rsidR="00EE0875" w:rsidRPr="00E41467" w:rsidRDefault="00C213F7"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lastRenderedPageBreak/>
        <w:t xml:space="preserve">Interpretation </w:t>
      </w:r>
    </w:p>
    <w:p w:rsidR="004B2484" w:rsidRPr="00CC20E9" w:rsidRDefault="00EE0875" w:rsidP="00CC20E9">
      <w:pPr>
        <w:spacing w:line="360" w:lineRule="auto"/>
        <w:jc w:val="both"/>
        <w:rPr>
          <w:rFonts w:ascii="Arial" w:hAnsi="Arial" w:cs="Arial"/>
          <w:sz w:val="24"/>
          <w:szCs w:val="24"/>
        </w:rPr>
      </w:pPr>
      <w:r w:rsidRPr="00E41467">
        <w:rPr>
          <w:rFonts w:ascii="Arial" w:hAnsi="Arial" w:cs="Arial"/>
          <w:sz w:val="24"/>
          <w:szCs w:val="24"/>
        </w:rPr>
        <w:t>Financial flexibility was lower with Free Cash Flow deteriorating by 70 million as compared to 140 million in 2020 and 2024, respectively. The steady increase in the capital expenditure rate was seen to exceed the operating cash inflows, which might have been cau</w:t>
      </w:r>
      <w:r w:rsidR="00CC20E9">
        <w:rPr>
          <w:rFonts w:ascii="Arial" w:hAnsi="Arial" w:cs="Arial"/>
          <w:sz w:val="24"/>
          <w:szCs w:val="24"/>
        </w:rPr>
        <w:t>sed by the expansion or modernis</w:t>
      </w:r>
      <w:r w:rsidRPr="00E41467">
        <w:rPr>
          <w:rFonts w:ascii="Arial" w:hAnsi="Arial" w:cs="Arial"/>
          <w:sz w:val="24"/>
          <w:szCs w:val="24"/>
        </w:rPr>
        <w:t xml:space="preserve">ation efforts (Brigham &amp; Ehrhardt, 2019). </w:t>
      </w:r>
    </w:p>
    <w:p w:rsidR="00CB687A" w:rsidRPr="004B2484" w:rsidRDefault="00C213F7" w:rsidP="004B2484">
      <w:pPr>
        <w:pStyle w:val="Heading2"/>
        <w:spacing w:after="240"/>
        <w:rPr>
          <w:rFonts w:ascii="Arial" w:hAnsi="Arial" w:cs="Arial"/>
          <w:b/>
          <w:color w:val="auto"/>
        </w:rPr>
      </w:pPr>
      <w:bookmarkStart w:id="20" w:name="_Toc217117668"/>
      <w:r w:rsidRPr="00E41467">
        <w:rPr>
          <w:rFonts w:ascii="Arial" w:hAnsi="Arial" w:cs="Arial"/>
          <w:b/>
          <w:color w:val="auto"/>
        </w:rPr>
        <w:t>1.7 Corporate Failure Prediction: The Altman Z-Score</w:t>
      </w:r>
      <w:bookmarkEnd w:id="20"/>
    </w:p>
    <w:p w:rsidR="00C213F7" w:rsidRPr="00E41467" w:rsidRDefault="00EE0875" w:rsidP="004B2484">
      <w:pPr>
        <w:spacing w:after="240" w:line="360" w:lineRule="auto"/>
        <w:jc w:val="both"/>
        <w:rPr>
          <w:rFonts w:ascii="Arial" w:hAnsi="Arial" w:cs="Arial"/>
          <w:sz w:val="24"/>
          <w:szCs w:val="24"/>
        </w:rPr>
      </w:pPr>
      <w:r w:rsidRPr="00E41467">
        <w:rPr>
          <w:rFonts w:ascii="Arial" w:hAnsi="Arial" w:cs="Arial"/>
          <w:sz w:val="24"/>
          <w:szCs w:val="24"/>
        </w:rPr>
        <w:t>The Altman Z-Score model is a model used to measure the financial risk of distress by combining various financial ratios into a composite measure which forecasts the probability of bankruptcy (Altman, 1968). The formula is:</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Z = 1.2X</w:t>
      </w:r>
      <w:r w:rsidRPr="00E41467">
        <w:rPr>
          <w:rFonts w:ascii="Cambria Math" w:hAnsi="Cambria Math" w:cs="Cambria Math"/>
          <w:sz w:val="24"/>
          <w:szCs w:val="24"/>
        </w:rPr>
        <w:t>₁</w:t>
      </w:r>
      <w:r w:rsidRPr="00E41467">
        <w:rPr>
          <w:rFonts w:ascii="Arial" w:hAnsi="Arial" w:cs="Arial"/>
          <w:sz w:val="24"/>
          <w:szCs w:val="24"/>
        </w:rPr>
        <w:t xml:space="preserve"> + 1.4X</w:t>
      </w:r>
      <w:r w:rsidRPr="00E41467">
        <w:rPr>
          <w:rFonts w:ascii="Cambria Math" w:hAnsi="Cambria Math" w:cs="Cambria Math"/>
          <w:sz w:val="24"/>
          <w:szCs w:val="24"/>
        </w:rPr>
        <w:t>₂</w:t>
      </w:r>
      <w:r w:rsidRPr="00E41467">
        <w:rPr>
          <w:rFonts w:ascii="Arial" w:hAnsi="Arial" w:cs="Arial"/>
          <w:sz w:val="24"/>
          <w:szCs w:val="24"/>
        </w:rPr>
        <w:t xml:space="preserve"> + 3.3X</w:t>
      </w:r>
      <w:r w:rsidRPr="00E41467">
        <w:rPr>
          <w:rFonts w:ascii="Cambria Math" w:hAnsi="Cambria Math" w:cs="Cambria Math"/>
          <w:sz w:val="24"/>
          <w:szCs w:val="24"/>
        </w:rPr>
        <w:t>₃</w:t>
      </w:r>
      <w:r w:rsidRPr="00E41467">
        <w:rPr>
          <w:rFonts w:ascii="Arial" w:hAnsi="Arial" w:cs="Arial"/>
          <w:sz w:val="24"/>
          <w:szCs w:val="24"/>
        </w:rPr>
        <w:t xml:space="preserve"> + 0.6X</w:t>
      </w:r>
      <w:r w:rsidRPr="00E41467">
        <w:rPr>
          <w:rFonts w:ascii="Cambria Math" w:hAnsi="Cambria Math" w:cs="Cambria Math"/>
          <w:sz w:val="24"/>
          <w:szCs w:val="24"/>
        </w:rPr>
        <w:t>₄</w:t>
      </w:r>
      <w:r w:rsidRPr="00E41467">
        <w:rPr>
          <w:rFonts w:ascii="Arial" w:hAnsi="Arial" w:cs="Arial"/>
          <w:sz w:val="24"/>
          <w:szCs w:val="24"/>
        </w:rPr>
        <w:t xml:space="preserve"> + 1.0X</w:t>
      </w:r>
      <w:r w:rsidRPr="00E41467">
        <w:rPr>
          <w:rFonts w:ascii="Cambria Math" w:hAnsi="Cambria Math" w:cs="Cambria Math"/>
          <w:sz w:val="24"/>
          <w:szCs w:val="24"/>
        </w:rPr>
        <w:t>₅</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Where:</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X</w:t>
      </w:r>
      <w:r w:rsidRPr="00E41467">
        <w:rPr>
          <w:rFonts w:ascii="Cambria Math" w:hAnsi="Cambria Math" w:cs="Cambria Math"/>
          <w:sz w:val="24"/>
          <w:szCs w:val="24"/>
        </w:rPr>
        <w:t>₁</w:t>
      </w:r>
      <w:r w:rsidRPr="00E41467">
        <w:rPr>
          <w:rFonts w:ascii="Arial" w:hAnsi="Arial" w:cs="Arial"/>
          <w:sz w:val="24"/>
          <w:szCs w:val="24"/>
        </w:rPr>
        <w:t xml:space="preserve"> = Working Capital / Total Assets</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X</w:t>
      </w:r>
      <w:r w:rsidRPr="00E41467">
        <w:rPr>
          <w:rFonts w:ascii="Cambria Math" w:hAnsi="Cambria Math" w:cs="Cambria Math"/>
          <w:sz w:val="24"/>
          <w:szCs w:val="24"/>
        </w:rPr>
        <w:t>₂</w:t>
      </w:r>
      <w:r w:rsidRPr="00E41467">
        <w:rPr>
          <w:rFonts w:ascii="Arial" w:hAnsi="Arial" w:cs="Arial"/>
          <w:sz w:val="24"/>
          <w:szCs w:val="24"/>
        </w:rPr>
        <w:t xml:space="preserve"> = Retained Earnings / Total Assets</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X</w:t>
      </w:r>
      <w:r w:rsidRPr="00E41467">
        <w:rPr>
          <w:rFonts w:ascii="Cambria Math" w:hAnsi="Cambria Math" w:cs="Cambria Math"/>
          <w:sz w:val="24"/>
          <w:szCs w:val="24"/>
        </w:rPr>
        <w:t>₃</w:t>
      </w:r>
      <w:r w:rsidRPr="00E41467">
        <w:rPr>
          <w:rFonts w:ascii="Arial" w:hAnsi="Arial" w:cs="Arial"/>
          <w:sz w:val="24"/>
          <w:szCs w:val="24"/>
        </w:rPr>
        <w:t xml:space="preserve"> = EBIT / Total Assets</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X</w:t>
      </w:r>
      <w:r w:rsidRPr="00E41467">
        <w:rPr>
          <w:rFonts w:ascii="Cambria Math" w:hAnsi="Cambria Math" w:cs="Cambria Math"/>
          <w:sz w:val="24"/>
          <w:szCs w:val="24"/>
        </w:rPr>
        <w:t>₄</w:t>
      </w:r>
      <w:r w:rsidRPr="00E41467">
        <w:rPr>
          <w:rFonts w:ascii="Arial" w:hAnsi="Arial" w:cs="Arial"/>
          <w:sz w:val="24"/>
          <w:szCs w:val="24"/>
        </w:rPr>
        <w:t xml:space="preserve"> = Market Value of Equity / Book Value of Total Liabilities</w:t>
      </w:r>
    </w:p>
    <w:p w:rsidR="00933FFC" w:rsidRPr="004B2484" w:rsidRDefault="00C213F7" w:rsidP="00170687">
      <w:pPr>
        <w:spacing w:line="360" w:lineRule="auto"/>
        <w:jc w:val="both"/>
        <w:rPr>
          <w:rFonts w:ascii="Arial" w:hAnsi="Arial" w:cs="Arial"/>
          <w:sz w:val="24"/>
          <w:szCs w:val="24"/>
        </w:rPr>
      </w:pPr>
      <w:r w:rsidRPr="00E41467">
        <w:rPr>
          <w:rFonts w:ascii="Arial" w:hAnsi="Arial" w:cs="Arial"/>
          <w:sz w:val="24"/>
          <w:szCs w:val="24"/>
        </w:rPr>
        <w:t>X</w:t>
      </w:r>
      <w:r w:rsidRPr="00E41467">
        <w:rPr>
          <w:rFonts w:ascii="Cambria Math" w:hAnsi="Cambria Math" w:cs="Cambria Math"/>
          <w:sz w:val="24"/>
          <w:szCs w:val="24"/>
        </w:rPr>
        <w:t>₅</w:t>
      </w:r>
      <w:r w:rsidR="004B2484">
        <w:rPr>
          <w:rFonts w:ascii="Arial" w:hAnsi="Arial" w:cs="Arial"/>
          <w:sz w:val="24"/>
          <w:szCs w:val="24"/>
        </w:rPr>
        <w:t xml:space="preserve"> = Sales / Total Assets</w:t>
      </w:r>
    </w:p>
    <w:p w:rsidR="00C213F7" w:rsidRPr="00E41467" w:rsidRDefault="00C213F7" w:rsidP="00170687">
      <w:pPr>
        <w:spacing w:line="360" w:lineRule="auto"/>
        <w:jc w:val="both"/>
        <w:rPr>
          <w:rFonts w:ascii="Arial" w:hAnsi="Arial" w:cs="Arial"/>
          <w:b/>
          <w:sz w:val="24"/>
          <w:szCs w:val="24"/>
        </w:rPr>
      </w:pPr>
      <w:r w:rsidRPr="00E41467">
        <w:rPr>
          <w:rFonts w:ascii="Arial" w:hAnsi="Arial" w:cs="Arial"/>
          <w:b/>
          <w:sz w:val="24"/>
          <w:szCs w:val="24"/>
        </w:rPr>
        <w:t>Interpretation:</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Z &lt; 1.8 → Financial Distress Zone</w:t>
      </w:r>
    </w:p>
    <w:p w:rsidR="00C213F7" w:rsidRPr="00E41467" w:rsidRDefault="00C213F7" w:rsidP="00170687">
      <w:pPr>
        <w:spacing w:line="360" w:lineRule="auto"/>
        <w:jc w:val="both"/>
        <w:rPr>
          <w:rFonts w:ascii="Arial" w:hAnsi="Arial" w:cs="Arial"/>
          <w:sz w:val="24"/>
          <w:szCs w:val="24"/>
        </w:rPr>
      </w:pPr>
      <w:r w:rsidRPr="00E41467">
        <w:rPr>
          <w:rFonts w:ascii="Arial" w:hAnsi="Arial" w:cs="Arial"/>
          <w:sz w:val="24"/>
          <w:szCs w:val="24"/>
        </w:rPr>
        <w:t>1.8 ≤ Z ≤ 3.0 → Grey Zone</w:t>
      </w:r>
    </w:p>
    <w:p w:rsidR="00C213F7" w:rsidRPr="00E41467" w:rsidRDefault="004B2484" w:rsidP="00170687">
      <w:pPr>
        <w:spacing w:line="360" w:lineRule="auto"/>
        <w:jc w:val="both"/>
        <w:rPr>
          <w:rFonts w:ascii="Arial" w:hAnsi="Arial" w:cs="Arial"/>
          <w:sz w:val="24"/>
          <w:szCs w:val="24"/>
        </w:rPr>
      </w:pPr>
      <w:r>
        <w:rPr>
          <w:rFonts w:ascii="Arial" w:hAnsi="Arial" w:cs="Arial"/>
          <w:sz w:val="24"/>
          <w:szCs w:val="24"/>
        </w:rPr>
        <w:t>Z &gt; 3.0 → Safe Zone</w:t>
      </w:r>
    </w:p>
    <w:p w:rsidR="00EE0875" w:rsidRPr="00E41467" w:rsidRDefault="00EE0875" w:rsidP="00170687">
      <w:pPr>
        <w:spacing w:line="360" w:lineRule="auto"/>
        <w:jc w:val="both"/>
        <w:rPr>
          <w:rFonts w:ascii="Arial" w:hAnsi="Arial" w:cs="Arial"/>
          <w:sz w:val="24"/>
          <w:szCs w:val="24"/>
        </w:rPr>
      </w:pPr>
      <w:r w:rsidRPr="00E41467">
        <w:rPr>
          <w:rFonts w:ascii="Arial" w:hAnsi="Arial" w:cs="Arial"/>
          <w:sz w:val="24"/>
          <w:szCs w:val="24"/>
        </w:rPr>
        <w:t>Using this model will enable the CFO to determine the likelihood of insolvency and come up with preventive strategies. A falling Z-Score of General Electronics would imply the necessity to perform urgent debt restructuring, cost management, and capital op</w:t>
      </w:r>
      <w:r w:rsidR="004B2484">
        <w:rPr>
          <w:rFonts w:ascii="Arial" w:hAnsi="Arial" w:cs="Arial"/>
          <w:sz w:val="24"/>
          <w:szCs w:val="24"/>
        </w:rPr>
        <w:t>timisation (Ross et al., 2021).</w:t>
      </w:r>
    </w:p>
    <w:p w:rsidR="0073060F" w:rsidRPr="004B2484" w:rsidRDefault="0088121F" w:rsidP="004B2484">
      <w:pPr>
        <w:pStyle w:val="Heading2"/>
        <w:spacing w:after="240"/>
        <w:rPr>
          <w:rFonts w:ascii="Arial" w:hAnsi="Arial" w:cs="Arial"/>
          <w:b/>
          <w:color w:val="auto"/>
        </w:rPr>
      </w:pPr>
      <w:bookmarkStart w:id="21" w:name="_Toc217117669"/>
      <w:r w:rsidRPr="00E41467">
        <w:rPr>
          <w:rFonts w:ascii="Arial" w:hAnsi="Arial" w:cs="Arial"/>
          <w:b/>
          <w:color w:val="auto"/>
        </w:rPr>
        <w:lastRenderedPageBreak/>
        <w:t>1.8 Benchmarking and Trend Analysis</w:t>
      </w:r>
      <w:bookmarkEnd w:id="21"/>
    </w:p>
    <w:p w:rsidR="0014763F" w:rsidRPr="00E41467" w:rsidRDefault="0014763F" w:rsidP="004B2484">
      <w:pPr>
        <w:spacing w:after="240" w:line="360" w:lineRule="auto"/>
        <w:jc w:val="both"/>
        <w:rPr>
          <w:rFonts w:ascii="Arial" w:hAnsi="Arial" w:cs="Arial"/>
          <w:b/>
          <w:sz w:val="24"/>
          <w:szCs w:val="24"/>
        </w:rPr>
      </w:pPr>
      <w:r w:rsidRPr="00E41467">
        <w:rPr>
          <w:rFonts w:ascii="Arial" w:hAnsi="Arial" w:cs="Arial"/>
          <w:b/>
          <w:sz w:val="24"/>
          <w:szCs w:val="24"/>
        </w:rPr>
        <w:t>Key Trends:</w:t>
      </w:r>
    </w:p>
    <w:p w:rsidR="0014763F" w:rsidRPr="00E41467" w:rsidRDefault="0014763F" w:rsidP="00933FFC">
      <w:pPr>
        <w:pStyle w:val="ListParagraph"/>
        <w:numPr>
          <w:ilvl w:val="0"/>
          <w:numId w:val="4"/>
        </w:numPr>
        <w:spacing w:line="360" w:lineRule="auto"/>
        <w:jc w:val="both"/>
        <w:rPr>
          <w:rFonts w:ascii="Arial" w:hAnsi="Arial" w:cs="Arial"/>
          <w:sz w:val="24"/>
          <w:szCs w:val="24"/>
        </w:rPr>
      </w:pPr>
      <w:r w:rsidRPr="00E41467">
        <w:rPr>
          <w:rFonts w:ascii="Arial" w:hAnsi="Arial" w:cs="Arial"/>
          <w:sz w:val="24"/>
          <w:szCs w:val="24"/>
        </w:rPr>
        <w:t>The rising leverage and the decreasing interest coverage point to the rising financial risk.</w:t>
      </w:r>
    </w:p>
    <w:p w:rsidR="0014763F" w:rsidRPr="00E41467" w:rsidRDefault="0014763F" w:rsidP="00933FFC">
      <w:pPr>
        <w:pStyle w:val="ListParagraph"/>
        <w:numPr>
          <w:ilvl w:val="0"/>
          <w:numId w:val="4"/>
        </w:numPr>
        <w:spacing w:line="360" w:lineRule="auto"/>
        <w:jc w:val="both"/>
        <w:rPr>
          <w:rFonts w:ascii="Arial" w:hAnsi="Arial" w:cs="Arial"/>
          <w:sz w:val="24"/>
          <w:szCs w:val="24"/>
        </w:rPr>
      </w:pPr>
      <w:r w:rsidRPr="00E41467">
        <w:rPr>
          <w:rFonts w:ascii="Arial" w:hAnsi="Arial" w:cs="Arial"/>
          <w:sz w:val="24"/>
          <w:szCs w:val="24"/>
        </w:rPr>
        <w:t>Profitability and EPS are decreasing.</w:t>
      </w:r>
    </w:p>
    <w:p w:rsidR="0014763F" w:rsidRPr="00E41467" w:rsidRDefault="0014763F" w:rsidP="00933FFC">
      <w:pPr>
        <w:pStyle w:val="ListParagraph"/>
        <w:numPr>
          <w:ilvl w:val="0"/>
          <w:numId w:val="4"/>
        </w:numPr>
        <w:spacing w:line="360" w:lineRule="auto"/>
        <w:jc w:val="both"/>
        <w:rPr>
          <w:rFonts w:ascii="Arial" w:hAnsi="Arial" w:cs="Arial"/>
          <w:sz w:val="24"/>
          <w:szCs w:val="24"/>
        </w:rPr>
      </w:pPr>
      <w:r w:rsidRPr="00E41467">
        <w:rPr>
          <w:rFonts w:ascii="Arial" w:hAnsi="Arial" w:cs="Arial"/>
          <w:sz w:val="24"/>
          <w:szCs w:val="24"/>
        </w:rPr>
        <w:t>The efficiency of liquidity and cash flow is declining.</w:t>
      </w:r>
    </w:p>
    <w:p w:rsidR="0014763F" w:rsidRPr="004B2484" w:rsidRDefault="0014763F" w:rsidP="00170687">
      <w:pPr>
        <w:pStyle w:val="ListParagraph"/>
        <w:numPr>
          <w:ilvl w:val="0"/>
          <w:numId w:val="4"/>
        </w:numPr>
        <w:spacing w:line="360" w:lineRule="auto"/>
        <w:jc w:val="both"/>
        <w:rPr>
          <w:rFonts w:ascii="Arial" w:hAnsi="Arial" w:cs="Arial"/>
          <w:sz w:val="24"/>
          <w:szCs w:val="24"/>
        </w:rPr>
      </w:pPr>
      <w:r w:rsidRPr="00E41467">
        <w:rPr>
          <w:rFonts w:ascii="Arial" w:hAnsi="Arial" w:cs="Arial"/>
          <w:sz w:val="24"/>
          <w:szCs w:val="24"/>
        </w:rPr>
        <w:t>The asset utilisation (TAG) is decreasing, and it would mean that the resources are not deployed effectively.</w:t>
      </w:r>
    </w:p>
    <w:p w:rsidR="0014763F" w:rsidRPr="00E41467" w:rsidRDefault="0014763F" w:rsidP="00170687">
      <w:pPr>
        <w:spacing w:line="360" w:lineRule="auto"/>
        <w:jc w:val="both"/>
        <w:rPr>
          <w:rFonts w:ascii="Arial" w:hAnsi="Arial" w:cs="Arial"/>
          <w:b/>
          <w:sz w:val="24"/>
          <w:szCs w:val="24"/>
        </w:rPr>
      </w:pPr>
      <w:r w:rsidRPr="00E41467">
        <w:rPr>
          <w:rFonts w:ascii="Arial" w:hAnsi="Arial" w:cs="Arial"/>
          <w:b/>
          <w:sz w:val="24"/>
          <w:szCs w:val="24"/>
        </w:rPr>
        <w:t>Strengths:</w:t>
      </w:r>
    </w:p>
    <w:p w:rsidR="0014763F" w:rsidRPr="00E41467" w:rsidRDefault="0014763F" w:rsidP="00933FFC">
      <w:pPr>
        <w:pStyle w:val="ListParagraph"/>
        <w:numPr>
          <w:ilvl w:val="0"/>
          <w:numId w:val="3"/>
        </w:numPr>
        <w:spacing w:line="360" w:lineRule="auto"/>
        <w:jc w:val="both"/>
        <w:rPr>
          <w:rFonts w:ascii="Arial" w:hAnsi="Arial" w:cs="Arial"/>
          <w:sz w:val="24"/>
          <w:szCs w:val="24"/>
        </w:rPr>
      </w:pPr>
      <w:r w:rsidRPr="00E41467">
        <w:rPr>
          <w:rFonts w:ascii="Arial" w:hAnsi="Arial" w:cs="Arial"/>
          <w:sz w:val="24"/>
          <w:szCs w:val="24"/>
        </w:rPr>
        <w:t>Stable revenue growth.</w:t>
      </w:r>
    </w:p>
    <w:p w:rsidR="0014763F" w:rsidRPr="00E41467" w:rsidRDefault="0014763F" w:rsidP="00933FFC">
      <w:pPr>
        <w:pStyle w:val="ListParagraph"/>
        <w:numPr>
          <w:ilvl w:val="0"/>
          <w:numId w:val="3"/>
        </w:numPr>
        <w:spacing w:line="360" w:lineRule="auto"/>
        <w:jc w:val="both"/>
        <w:rPr>
          <w:rFonts w:ascii="Arial" w:hAnsi="Arial" w:cs="Arial"/>
          <w:sz w:val="24"/>
          <w:szCs w:val="24"/>
        </w:rPr>
      </w:pPr>
      <w:r w:rsidRPr="00E41467">
        <w:rPr>
          <w:rFonts w:ascii="Arial" w:hAnsi="Arial" w:cs="Arial"/>
          <w:sz w:val="24"/>
          <w:szCs w:val="24"/>
        </w:rPr>
        <w:t>Reinvestment by way of capital expenditure.</w:t>
      </w:r>
    </w:p>
    <w:p w:rsidR="0014763F" w:rsidRPr="004B2484" w:rsidRDefault="0014763F" w:rsidP="00170687">
      <w:pPr>
        <w:pStyle w:val="ListParagraph"/>
        <w:numPr>
          <w:ilvl w:val="0"/>
          <w:numId w:val="3"/>
        </w:numPr>
        <w:spacing w:line="360" w:lineRule="auto"/>
        <w:jc w:val="both"/>
        <w:rPr>
          <w:rFonts w:ascii="Arial" w:hAnsi="Arial" w:cs="Arial"/>
          <w:sz w:val="24"/>
          <w:szCs w:val="24"/>
        </w:rPr>
      </w:pPr>
      <w:r w:rsidRPr="00E41467">
        <w:rPr>
          <w:rFonts w:ascii="Arial" w:hAnsi="Arial" w:cs="Arial"/>
          <w:sz w:val="24"/>
          <w:szCs w:val="24"/>
        </w:rPr>
        <w:t>Medium dividend policy indicates a possible reinvestment.</w:t>
      </w:r>
    </w:p>
    <w:p w:rsidR="0014763F" w:rsidRPr="00E41467" w:rsidRDefault="0014763F" w:rsidP="00170687">
      <w:pPr>
        <w:spacing w:line="360" w:lineRule="auto"/>
        <w:jc w:val="both"/>
        <w:rPr>
          <w:rFonts w:ascii="Arial" w:hAnsi="Arial" w:cs="Arial"/>
          <w:b/>
          <w:sz w:val="24"/>
          <w:szCs w:val="24"/>
        </w:rPr>
      </w:pPr>
      <w:r w:rsidRPr="00E41467">
        <w:rPr>
          <w:rFonts w:ascii="Arial" w:hAnsi="Arial" w:cs="Arial"/>
          <w:b/>
          <w:sz w:val="24"/>
          <w:szCs w:val="24"/>
        </w:rPr>
        <w:t>Threats:</w:t>
      </w:r>
    </w:p>
    <w:p w:rsidR="0014763F" w:rsidRPr="00E41467" w:rsidRDefault="0014763F" w:rsidP="00933FFC">
      <w:pPr>
        <w:pStyle w:val="ListParagraph"/>
        <w:numPr>
          <w:ilvl w:val="0"/>
          <w:numId w:val="5"/>
        </w:numPr>
        <w:spacing w:line="360" w:lineRule="auto"/>
        <w:jc w:val="both"/>
        <w:rPr>
          <w:rFonts w:ascii="Arial" w:hAnsi="Arial" w:cs="Arial"/>
          <w:sz w:val="24"/>
          <w:szCs w:val="24"/>
        </w:rPr>
      </w:pPr>
      <w:r w:rsidRPr="00E41467">
        <w:rPr>
          <w:rFonts w:ascii="Arial" w:hAnsi="Arial" w:cs="Arial"/>
          <w:sz w:val="24"/>
          <w:szCs w:val="24"/>
        </w:rPr>
        <w:t>Reduced free cash flow and lowering Z-Score.</w:t>
      </w:r>
    </w:p>
    <w:p w:rsidR="0014763F" w:rsidRPr="004B2484" w:rsidRDefault="0014763F" w:rsidP="00E41467">
      <w:pPr>
        <w:pStyle w:val="ListParagraph"/>
        <w:numPr>
          <w:ilvl w:val="0"/>
          <w:numId w:val="5"/>
        </w:numPr>
        <w:spacing w:line="360" w:lineRule="auto"/>
        <w:jc w:val="both"/>
        <w:rPr>
          <w:rFonts w:ascii="Arial" w:hAnsi="Arial" w:cs="Arial"/>
          <w:sz w:val="24"/>
          <w:szCs w:val="24"/>
        </w:rPr>
      </w:pPr>
      <w:r w:rsidRPr="00E41467">
        <w:rPr>
          <w:rFonts w:ascii="Arial" w:hAnsi="Arial" w:cs="Arial"/>
          <w:sz w:val="24"/>
          <w:szCs w:val="24"/>
        </w:rPr>
        <w:t>The possibility of loss of investor confidence because of declining EPS and dividend yield.</w:t>
      </w:r>
    </w:p>
    <w:p w:rsidR="00CB687A" w:rsidRPr="004B2484" w:rsidRDefault="0014763F" w:rsidP="004B2484">
      <w:pPr>
        <w:pStyle w:val="Heading1"/>
        <w:spacing w:after="240"/>
        <w:rPr>
          <w:rFonts w:ascii="Arial" w:hAnsi="Arial" w:cs="Arial"/>
          <w:b/>
          <w:color w:val="auto"/>
        </w:rPr>
      </w:pPr>
      <w:bookmarkStart w:id="22" w:name="_Toc217117670"/>
      <w:r w:rsidRPr="00E41467">
        <w:rPr>
          <w:rFonts w:ascii="Arial" w:hAnsi="Arial" w:cs="Arial"/>
          <w:b/>
          <w:color w:val="auto"/>
        </w:rPr>
        <w:t>2. Working Capital Management Analysis</w:t>
      </w:r>
      <w:bookmarkEnd w:id="22"/>
    </w:p>
    <w:p w:rsidR="00CB687A" w:rsidRPr="004B2484" w:rsidRDefault="00933FFC" w:rsidP="004B2484">
      <w:pPr>
        <w:pStyle w:val="Heading2"/>
        <w:spacing w:after="240"/>
        <w:rPr>
          <w:rFonts w:ascii="Arial" w:hAnsi="Arial" w:cs="Arial"/>
          <w:b/>
          <w:color w:val="auto"/>
        </w:rPr>
      </w:pPr>
      <w:bookmarkStart w:id="23" w:name="_Toc217117671"/>
      <w:r w:rsidRPr="00E41467">
        <w:rPr>
          <w:rFonts w:ascii="Arial" w:hAnsi="Arial" w:cs="Arial"/>
          <w:b/>
          <w:color w:val="auto"/>
        </w:rPr>
        <w:t>2.1 Introduction</w:t>
      </w:r>
      <w:bookmarkEnd w:id="23"/>
    </w:p>
    <w:p w:rsidR="0014763F" w:rsidRPr="004B2484" w:rsidRDefault="0014763F" w:rsidP="004B2484">
      <w:pPr>
        <w:spacing w:after="240" w:line="360" w:lineRule="auto"/>
        <w:jc w:val="both"/>
        <w:rPr>
          <w:rFonts w:ascii="Arial" w:hAnsi="Arial" w:cs="Arial"/>
          <w:sz w:val="24"/>
          <w:szCs w:val="24"/>
        </w:rPr>
      </w:pPr>
      <w:r w:rsidRPr="00E41467">
        <w:rPr>
          <w:rFonts w:ascii="Arial" w:hAnsi="Arial" w:cs="Arial"/>
          <w:sz w:val="24"/>
          <w:szCs w:val="24"/>
        </w:rPr>
        <w:t xml:space="preserve">The operational resilience and financial sustainability of any firm is largely dependent on effective working capital management. In the case of General Electronics which is a multinational consumer electronics company that is currently experiencing low performance and liquidity stress, a working capital optimisation is the only method to survive and rejuvenate its strategies. Working capital defines how the firm can finance its daily operations, fulfil short-term liabilities, and provide uninterrupted production and sales (Arnold and Lewis, 2019). </w:t>
      </w:r>
    </w:p>
    <w:p w:rsidR="00CB687A" w:rsidRPr="004B2484" w:rsidRDefault="0014763F" w:rsidP="004B2484">
      <w:pPr>
        <w:pStyle w:val="Heading2"/>
        <w:spacing w:after="240"/>
        <w:rPr>
          <w:rFonts w:ascii="Arial" w:hAnsi="Arial" w:cs="Arial"/>
          <w:b/>
          <w:color w:val="auto"/>
        </w:rPr>
      </w:pPr>
      <w:bookmarkStart w:id="24" w:name="_Toc217117672"/>
      <w:r w:rsidRPr="00E41467">
        <w:rPr>
          <w:rFonts w:ascii="Arial" w:hAnsi="Arial" w:cs="Arial"/>
          <w:b/>
          <w:color w:val="auto"/>
        </w:rPr>
        <w:lastRenderedPageBreak/>
        <w:t>2.</w:t>
      </w:r>
      <w:r w:rsidR="00933FFC" w:rsidRPr="00E41467">
        <w:rPr>
          <w:rFonts w:ascii="Arial" w:hAnsi="Arial" w:cs="Arial"/>
          <w:b/>
          <w:color w:val="auto"/>
        </w:rPr>
        <w:t>2</w:t>
      </w:r>
      <w:r w:rsidRPr="00E41467">
        <w:rPr>
          <w:rFonts w:ascii="Arial" w:hAnsi="Arial" w:cs="Arial"/>
          <w:b/>
          <w:color w:val="auto"/>
        </w:rPr>
        <w:t xml:space="preserve"> Assessing the Cash Operating Cycle</w:t>
      </w:r>
      <w:bookmarkEnd w:id="24"/>
    </w:p>
    <w:p w:rsidR="0014763F" w:rsidRPr="00E41467" w:rsidRDefault="0014763F" w:rsidP="004B2484">
      <w:pPr>
        <w:spacing w:after="240" w:line="360" w:lineRule="auto"/>
        <w:jc w:val="both"/>
        <w:rPr>
          <w:rFonts w:ascii="Arial" w:hAnsi="Arial" w:cs="Arial"/>
          <w:sz w:val="24"/>
          <w:szCs w:val="24"/>
        </w:rPr>
      </w:pPr>
      <w:r w:rsidRPr="00E41467">
        <w:rPr>
          <w:rFonts w:ascii="Arial" w:hAnsi="Arial" w:cs="Arial"/>
          <w:sz w:val="24"/>
          <w:szCs w:val="24"/>
        </w:rPr>
        <w:t>Cash conversion cycle (CCC) as an indicator of working capital efficiency measures the number of days the cash is outlayed to purchase inventory and received as cash. It is calculated as:</w:t>
      </w:r>
    </w:p>
    <w:p w:rsidR="0014763F" w:rsidRPr="00E41467" w:rsidRDefault="0014763F" w:rsidP="00170687">
      <w:pPr>
        <w:spacing w:line="360" w:lineRule="auto"/>
        <w:jc w:val="both"/>
        <w:rPr>
          <w:rFonts w:ascii="Arial" w:hAnsi="Arial" w:cs="Arial"/>
          <w:sz w:val="24"/>
          <w:szCs w:val="24"/>
        </w:rPr>
      </w:pPr>
      <w:r w:rsidRPr="00E41467">
        <w:rPr>
          <w:rFonts w:ascii="Arial" w:hAnsi="Arial" w:cs="Arial"/>
          <w:sz w:val="24"/>
          <w:szCs w:val="24"/>
        </w:rPr>
        <w:t>CCC = Inventory Days + Receivables Days minus Payable Days (Deloof, 2003).</w:t>
      </w:r>
    </w:p>
    <w:p w:rsidR="0014763F" w:rsidRPr="00E41467" w:rsidRDefault="0014763F" w:rsidP="00170687">
      <w:pPr>
        <w:spacing w:line="360" w:lineRule="auto"/>
        <w:jc w:val="both"/>
        <w:rPr>
          <w:rFonts w:ascii="Arial" w:hAnsi="Arial" w:cs="Arial"/>
          <w:sz w:val="24"/>
          <w:szCs w:val="24"/>
        </w:rPr>
      </w:pPr>
      <w:r w:rsidRPr="00E41467">
        <w:rPr>
          <w:rFonts w:ascii="Arial" w:hAnsi="Arial" w:cs="Arial"/>
          <w:sz w:val="24"/>
          <w:szCs w:val="24"/>
        </w:rPr>
        <w:t>This ratio measures the duration of time that the cash of a company is held in the operational process but is not converted into a liquid form. A less long CCC means that it has well managed its working capital and a longer CCC means that it has inefficiencies in its cash flow that can limit its liquidity and dependence on external bor</w:t>
      </w:r>
      <w:r w:rsidR="004B2484">
        <w:rPr>
          <w:rFonts w:ascii="Arial" w:hAnsi="Arial" w:cs="Arial"/>
          <w:sz w:val="24"/>
          <w:szCs w:val="24"/>
        </w:rPr>
        <w:t>rowing (Shin and Soenen, 1998).</w:t>
      </w:r>
    </w:p>
    <w:p w:rsidR="0014763F" w:rsidRPr="00E41467" w:rsidRDefault="0014763F" w:rsidP="00170687">
      <w:pPr>
        <w:spacing w:line="360" w:lineRule="auto"/>
        <w:jc w:val="both"/>
        <w:rPr>
          <w:rFonts w:ascii="Arial" w:hAnsi="Arial" w:cs="Arial"/>
          <w:sz w:val="24"/>
          <w:szCs w:val="24"/>
        </w:rPr>
      </w:pPr>
      <w:r w:rsidRPr="00E41467">
        <w:rPr>
          <w:rFonts w:ascii="Arial" w:hAnsi="Arial" w:cs="Arial"/>
          <w:sz w:val="24"/>
          <w:szCs w:val="24"/>
        </w:rPr>
        <w:t xml:space="preserve">In the case of General Electronics, the more recent financial performance shows that the CCC is becoming longer mainly because of the slower inventory turnover and the longer time taken to collect the receivables. Electronics business is characterised with high technological change and obsolescence of products; therefore, long inventories may cause value erosion/write-offs (Fullerton, McWatters and Fawson, 2003). </w:t>
      </w:r>
    </w:p>
    <w:p w:rsidR="00933FFC" w:rsidRPr="00E41467" w:rsidRDefault="0014763F" w:rsidP="00170687">
      <w:pPr>
        <w:spacing w:line="360" w:lineRule="auto"/>
        <w:jc w:val="both"/>
        <w:rPr>
          <w:rFonts w:ascii="Arial" w:hAnsi="Arial" w:cs="Arial"/>
          <w:sz w:val="24"/>
          <w:szCs w:val="24"/>
        </w:rPr>
      </w:pPr>
      <w:r w:rsidRPr="00E41467">
        <w:rPr>
          <w:rFonts w:ascii="Arial" w:hAnsi="Arial" w:cs="Arial"/>
          <w:sz w:val="24"/>
          <w:szCs w:val="24"/>
        </w:rPr>
        <w:t>As an example, assuming the CCC of the firm has increased to 90 days in the last five years, it means that the cash is held in the operations of the firm almost an extra month, increasing the liquidity risk. Thus, the strategic goal that should be pursued by CFO is to reduce the CCC by increasing the inventory turnover, by tightening up the receivable management, and maximising the payables deferral without adversely affect</w:t>
      </w:r>
      <w:r w:rsidR="004B2484">
        <w:rPr>
          <w:rFonts w:ascii="Arial" w:hAnsi="Arial" w:cs="Arial"/>
          <w:sz w:val="24"/>
          <w:szCs w:val="24"/>
        </w:rPr>
        <w:t>ing the supplier relationships.</w:t>
      </w:r>
    </w:p>
    <w:p w:rsidR="00FE3429" w:rsidRPr="004B2484" w:rsidRDefault="0014763F" w:rsidP="004B2484">
      <w:pPr>
        <w:pStyle w:val="Heading2"/>
        <w:spacing w:after="240"/>
        <w:rPr>
          <w:rFonts w:ascii="Arial" w:hAnsi="Arial" w:cs="Arial"/>
          <w:b/>
          <w:color w:val="auto"/>
        </w:rPr>
      </w:pPr>
      <w:bookmarkStart w:id="25" w:name="_Toc217117673"/>
      <w:r w:rsidRPr="00E41467">
        <w:rPr>
          <w:rFonts w:ascii="Arial" w:hAnsi="Arial" w:cs="Arial"/>
          <w:b/>
          <w:color w:val="auto"/>
        </w:rPr>
        <w:t>2.</w:t>
      </w:r>
      <w:r w:rsidR="00933FFC" w:rsidRPr="00E41467">
        <w:rPr>
          <w:rFonts w:ascii="Arial" w:hAnsi="Arial" w:cs="Arial"/>
          <w:b/>
          <w:color w:val="auto"/>
        </w:rPr>
        <w:t>3</w:t>
      </w:r>
      <w:r w:rsidRPr="00E41467">
        <w:rPr>
          <w:rFonts w:ascii="Arial" w:hAnsi="Arial" w:cs="Arial"/>
          <w:b/>
          <w:color w:val="auto"/>
        </w:rPr>
        <w:t xml:space="preserve"> Working Capital Challenges</w:t>
      </w:r>
      <w:bookmarkEnd w:id="25"/>
    </w:p>
    <w:p w:rsidR="0014763F" w:rsidRPr="00E41467" w:rsidRDefault="0014763F" w:rsidP="004B2484">
      <w:pPr>
        <w:spacing w:after="240" w:line="360" w:lineRule="auto"/>
        <w:jc w:val="both"/>
        <w:rPr>
          <w:rFonts w:ascii="Arial" w:hAnsi="Arial" w:cs="Arial"/>
          <w:b/>
          <w:sz w:val="24"/>
          <w:szCs w:val="24"/>
        </w:rPr>
      </w:pPr>
      <w:r w:rsidRPr="00E41467">
        <w:rPr>
          <w:rFonts w:ascii="Arial" w:hAnsi="Arial" w:cs="Arial"/>
          <w:b/>
          <w:sz w:val="24"/>
          <w:szCs w:val="24"/>
        </w:rPr>
        <w:t>a. Excessive Inventory Levels</w:t>
      </w:r>
    </w:p>
    <w:p w:rsidR="0014763F" w:rsidRPr="00E41467" w:rsidRDefault="0014763F" w:rsidP="004B2484">
      <w:pPr>
        <w:spacing w:after="240" w:line="360" w:lineRule="auto"/>
        <w:jc w:val="both"/>
        <w:rPr>
          <w:rFonts w:ascii="Arial" w:hAnsi="Arial" w:cs="Arial"/>
          <w:sz w:val="24"/>
          <w:szCs w:val="24"/>
        </w:rPr>
      </w:pPr>
      <w:r w:rsidRPr="00E41467">
        <w:rPr>
          <w:rFonts w:ascii="Arial" w:hAnsi="Arial" w:cs="Arial"/>
          <w:sz w:val="24"/>
          <w:szCs w:val="24"/>
        </w:rPr>
        <w:t xml:space="preserve">One of the most important challenges is inventory management. The competitive pressures and product diversification have resulted in the company having a huge number of stocks in different regions. This results in stocking up which is overstocking especially on goods that are not moving (Atrill and McLaney, 2022). </w:t>
      </w:r>
    </w:p>
    <w:p w:rsidR="0014763F" w:rsidRPr="00E41467" w:rsidRDefault="0014763F" w:rsidP="00170687">
      <w:pPr>
        <w:spacing w:line="360" w:lineRule="auto"/>
        <w:jc w:val="both"/>
        <w:rPr>
          <w:rFonts w:ascii="Arial" w:hAnsi="Arial" w:cs="Arial"/>
          <w:b/>
          <w:sz w:val="24"/>
          <w:szCs w:val="24"/>
        </w:rPr>
      </w:pPr>
      <w:r w:rsidRPr="00E41467">
        <w:rPr>
          <w:rFonts w:ascii="Arial" w:hAnsi="Arial" w:cs="Arial"/>
          <w:b/>
          <w:sz w:val="24"/>
          <w:szCs w:val="24"/>
        </w:rPr>
        <w:lastRenderedPageBreak/>
        <w:t>b. Sluggish Collection of Receivables</w:t>
      </w:r>
    </w:p>
    <w:p w:rsidR="00CC20E9" w:rsidRDefault="0014763F" w:rsidP="00170687">
      <w:pPr>
        <w:spacing w:line="360" w:lineRule="auto"/>
        <w:jc w:val="both"/>
        <w:rPr>
          <w:rFonts w:ascii="Arial" w:hAnsi="Arial" w:cs="Arial"/>
          <w:sz w:val="24"/>
          <w:szCs w:val="24"/>
        </w:rPr>
      </w:pPr>
      <w:r w:rsidRPr="00E41467">
        <w:rPr>
          <w:rFonts w:ascii="Arial" w:hAnsi="Arial" w:cs="Arial"/>
          <w:sz w:val="24"/>
          <w:szCs w:val="24"/>
        </w:rPr>
        <w:t xml:space="preserve">The decreasing value of the current ratio of receivables 8.0 to 6.0 times between 2020 and 2024 indicates that it is worsening in terms of credit control (Petersen and Rajan, 1997). Extensive credit periods being granted to wholesalers or retailers decreases the cash inflows in the short run and can increase the risk of bad debts. </w:t>
      </w:r>
    </w:p>
    <w:p w:rsidR="0073060F" w:rsidRPr="00E41467" w:rsidRDefault="0073060F" w:rsidP="00170687">
      <w:pPr>
        <w:spacing w:line="360" w:lineRule="auto"/>
        <w:jc w:val="both"/>
        <w:rPr>
          <w:rFonts w:ascii="Arial" w:hAnsi="Arial" w:cs="Arial"/>
          <w:b/>
          <w:sz w:val="24"/>
          <w:szCs w:val="24"/>
        </w:rPr>
      </w:pPr>
      <w:r w:rsidRPr="00E41467">
        <w:rPr>
          <w:rFonts w:ascii="Arial" w:hAnsi="Arial" w:cs="Arial"/>
          <w:b/>
          <w:sz w:val="24"/>
          <w:szCs w:val="24"/>
        </w:rPr>
        <w:t>c. Limited Payables Optimisation</w:t>
      </w:r>
    </w:p>
    <w:p w:rsidR="0073060F" w:rsidRPr="00E41467" w:rsidRDefault="0014763F" w:rsidP="00170687">
      <w:pPr>
        <w:spacing w:line="360" w:lineRule="auto"/>
        <w:jc w:val="both"/>
        <w:rPr>
          <w:rFonts w:ascii="Arial" w:hAnsi="Arial" w:cs="Arial"/>
          <w:sz w:val="24"/>
          <w:szCs w:val="24"/>
        </w:rPr>
      </w:pPr>
      <w:r w:rsidRPr="00E41467">
        <w:rPr>
          <w:rFonts w:ascii="Arial" w:hAnsi="Arial" w:cs="Arial"/>
          <w:sz w:val="24"/>
          <w:szCs w:val="24"/>
        </w:rPr>
        <w:t xml:space="preserve">Although paying the supplier late will enhance short-term liquidity, too much deferral will harm the relationship between the supplier, and this could cripple the supply chain (Lamberson, 1995). </w:t>
      </w:r>
    </w:p>
    <w:p w:rsidR="0073060F" w:rsidRPr="00E41467" w:rsidRDefault="0073060F" w:rsidP="004B2484">
      <w:pPr>
        <w:pStyle w:val="Heading2"/>
        <w:spacing w:after="240"/>
        <w:rPr>
          <w:rFonts w:ascii="Arial" w:hAnsi="Arial" w:cs="Arial"/>
          <w:b/>
          <w:color w:val="auto"/>
        </w:rPr>
      </w:pPr>
      <w:bookmarkStart w:id="26" w:name="_Toc217117674"/>
      <w:r w:rsidRPr="00E41467">
        <w:rPr>
          <w:rFonts w:ascii="Arial" w:hAnsi="Arial" w:cs="Arial"/>
          <w:b/>
          <w:color w:val="auto"/>
        </w:rPr>
        <w:t>2.</w:t>
      </w:r>
      <w:r w:rsidR="00933FFC" w:rsidRPr="00E41467">
        <w:rPr>
          <w:rFonts w:ascii="Arial" w:hAnsi="Arial" w:cs="Arial"/>
          <w:b/>
          <w:color w:val="auto"/>
        </w:rPr>
        <w:t>4</w:t>
      </w:r>
      <w:r w:rsidRPr="00E41467">
        <w:rPr>
          <w:rFonts w:ascii="Arial" w:hAnsi="Arial" w:cs="Arial"/>
          <w:b/>
          <w:color w:val="auto"/>
        </w:rPr>
        <w:t xml:space="preserve"> Strategies to Improve Liquidity</w:t>
      </w:r>
      <w:bookmarkEnd w:id="26"/>
      <w:r w:rsidRPr="00E41467">
        <w:rPr>
          <w:rFonts w:ascii="Arial" w:hAnsi="Arial" w:cs="Arial"/>
          <w:b/>
          <w:color w:val="auto"/>
        </w:rPr>
        <w:t xml:space="preserve"> </w:t>
      </w:r>
    </w:p>
    <w:p w:rsidR="00FE3429" w:rsidRPr="004B2484" w:rsidRDefault="003817A9" w:rsidP="004B2484">
      <w:pPr>
        <w:pStyle w:val="Heading3"/>
        <w:spacing w:after="240"/>
        <w:rPr>
          <w:rFonts w:ascii="Arial" w:hAnsi="Arial" w:cs="Arial"/>
          <w:b/>
          <w:color w:val="auto"/>
        </w:rPr>
      </w:pPr>
      <w:bookmarkStart w:id="27" w:name="_Toc217117675"/>
      <w:r w:rsidRPr="00E41467">
        <w:rPr>
          <w:rFonts w:ascii="Arial" w:hAnsi="Arial" w:cs="Arial"/>
          <w:b/>
          <w:color w:val="auto"/>
        </w:rPr>
        <w:t>2.4.1</w:t>
      </w:r>
      <w:r w:rsidR="0073060F" w:rsidRPr="00E41467">
        <w:rPr>
          <w:rFonts w:ascii="Arial" w:hAnsi="Arial" w:cs="Arial"/>
          <w:b/>
          <w:color w:val="auto"/>
        </w:rPr>
        <w:t xml:space="preserve"> Inventory Optimisation</w:t>
      </w:r>
      <w:bookmarkEnd w:id="27"/>
    </w:p>
    <w:p w:rsidR="0014763F" w:rsidRPr="004B2484" w:rsidRDefault="0014763F" w:rsidP="004B2484">
      <w:pPr>
        <w:spacing w:after="240" w:line="360" w:lineRule="auto"/>
        <w:jc w:val="both"/>
        <w:rPr>
          <w:rFonts w:ascii="Arial" w:hAnsi="Arial" w:cs="Arial"/>
          <w:sz w:val="24"/>
          <w:szCs w:val="24"/>
        </w:rPr>
      </w:pPr>
      <w:r w:rsidRPr="00E41467">
        <w:rPr>
          <w:rFonts w:ascii="Arial" w:hAnsi="Arial" w:cs="Arial"/>
          <w:sz w:val="24"/>
          <w:szCs w:val="24"/>
        </w:rPr>
        <w:t>Implementation of Just-in-Time (JIT), and lean inventory management methods may help eliminate holding costs significantly and avoid obsolescences. JIT passes production plans and demand projections and makes sure that raw materials are received when required (Hillier et al., 2021). This strategy though demands good suppliers and strong logistics systems. Even more accuracy and a decrease in safety stock can be achieved by the implementation of demand forecasting tools and predictive analytics based on real-time sales information (Fullerton, McWatters and Fawson, 2003).</w:t>
      </w:r>
    </w:p>
    <w:p w:rsidR="00FE3429" w:rsidRPr="004B2484" w:rsidRDefault="003817A9" w:rsidP="004B2484">
      <w:pPr>
        <w:pStyle w:val="Heading3"/>
        <w:spacing w:after="240"/>
        <w:rPr>
          <w:rFonts w:ascii="Arial" w:hAnsi="Arial" w:cs="Arial"/>
          <w:b/>
          <w:color w:val="auto"/>
        </w:rPr>
      </w:pPr>
      <w:bookmarkStart w:id="28" w:name="_Toc217117676"/>
      <w:r w:rsidRPr="00E41467">
        <w:rPr>
          <w:rFonts w:ascii="Arial" w:hAnsi="Arial" w:cs="Arial"/>
          <w:b/>
          <w:color w:val="auto"/>
        </w:rPr>
        <w:t xml:space="preserve">2.4.2 </w:t>
      </w:r>
      <w:r w:rsidR="0073060F" w:rsidRPr="00E41467">
        <w:rPr>
          <w:rFonts w:ascii="Arial" w:hAnsi="Arial" w:cs="Arial"/>
          <w:b/>
          <w:color w:val="auto"/>
        </w:rPr>
        <w:t>Receivables Management</w:t>
      </w:r>
      <w:bookmarkEnd w:id="28"/>
    </w:p>
    <w:p w:rsidR="003817A9" w:rsidRPr="00E41467" w:rsidRDefault="0014763F" w:rsidP="00CC20E9">
      <w:pPr>
        <w:spacing w:after="240" w:line="360" w:lineRule="auto"/>
        <w:jc w:val="both"/>
        <w:rPr>
          <w:rFonts w:ascii="Arial" w:hAnsi="Arial" w:cs="Arial"/>
          <w:sz w:val="24"/>
          <w:szCs w:val="24"/>
        </w:rPr>
      </w:pPr>
      <w:r w:rsidRPr="00E41467">
        <w:rPr>
          <w:rFonts w:ascii="Arial" w:hAnsi="Arial" w:cs="Arial"/>
          <w:sz w:val="24"/>
          <w:szCs w:val="24"/>
        </w:rPr>
        <w:t>Better cash can be made by enhanced receivables management. The CFO must adopt stringent credit policies, creditworthiness cheques and automated invoicing platforms to quicken bills. Dynamic discounting is another technique that can be used to encourage early payment with small discounts on early payment (Hillier et al., 2021). Although factoring minimises administrative costs, it should not be relied upon without restraint so that it does not generate finance costs that are too high (Petersen and Rajan, 1997).</w:t>
      </w:r>
    </w:p>
    <w:p w:rsidR="00FE3429" w:rsidRPr="004B2484" w:rsidRDefault="003817A9" w:rsidP="004B2484">
      <w:pPr>
        <w:pStyle w:val="Heading3"/>
        <w:spacing w:after="240"/>
        <w:rPr>
          <w:rFonts w:ascii="Arial" w:hAnsi="Arial" w:cs="Arial"/>
          <w:b/>
          <w:color w:val="auto"/>
        </w:rPr>
      </w:pPr>
      <w:bookmarkStart w:id="29" w:name="_Toc217117677"/>
      <w:r w:rsidRPr="00E41467">
        <w:rPr>
          <w:rFonts w:ascii="Arial" w:hAnsi="Arial" w:cs="Arial"/>
          <w:b/>
          <w:color w:val="auto"/>
        </w:rPr>
        <w:lastRenderedPageBreak/>
        <w:t xml:space="preserve">2.4.3 </w:t>
      </w:r>
      <w:r w:rsidR="0073060F" w:rsidRPr="00E41467">
        <w:rPr>
          <w:rFonts w:ascii="Arial" w:hAnsi="Arial" w:cs="Arial"/>
          <w:b/>
          <w:color w:val="auto"/>
        </w:rPr>
        <w:t>Payables and Supplier Financing</w:t>
      </w:r>
      <w:bookmarkEnd w:id="29"/>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 xml:space="preserve">Optimisation of payables can be as a result of negotiating a longer credit period or using reverse factoring. In reverse factoring, the bank makes advance payments to the suppliers on behalf of the buyer, and the company settles the bank in the future, at agreed rates (Brealey, Myers and Allen, 2020). </w:t>
      </w:r>
    </w:p>
    <w:p w:rsidR="005C7C55" w:rsidRPr="00E41467" w:rsidRDefault="003817A9" w:rsidP="004B2484">
      <w:pPr>
        <w:pStyle w:val="Heading3"/>
        <w:spacing w:after="240"/>
        <w:rPr>
          <w:rFonts w:ascii="Arial" w:hAnsi="Arial" w:cs="Arial"/>
          <w:b/>
          <w:color w:val="auto"/>
        </w:rPr>
      </w:pPr>
      <w:bookmarkStart w:id="30" w:name="_Toc217117678"/>
      <w:r w:rsidRPr="00E41467">
        <w:rPr>
          <w:rFonts w:ascii="Arial" w:hAnsi="Arial" w:cs="Arial"/>
          <w:b/>
          <w:color w:val="auto"/>
        </w:rPr>
        <w:t xml:space="preserve">2.4.4 </w:t>
      </w:r>
      <w:r w:rsidR="005C7C55" w:rsidRPr="00E41467">
        <w:rPr>
          <w:rFonts w:ascii="Arial" w:hAnsi="Arial" w:cs="Arial"/>
          <w:b/>
          <w:color w:val="auto"/>
        </w:rPr>
        <w:t>Concentrated Cash Management</w:t>
      </w:r>
      <w:bookmarkEnd w:id="30"/>
    </w:p>
    <w:p w:rsidR="003817A9" w:rsidRPr="004B2484" w:rsidRDefault="005C7C55" w:rsidP="004B2484">
      <w:pPr>
        <w:spacing w:after="240" w:line="360" w:lineRule="auto"/>
        <w:jc w:val="both"/>
        <w:rPr>
          <w:rFonts w:ascii="Arial" w:hAnsi="Arial" w:cs="Arial"/>
          <w:sz w:val="24"/>
          <w:szCs w:val="24"/>
        </w:rPr>
      </w:pPr>
      <w:r w:rsidRPr="00E41467">
        <w:rPr>
          <w:rFonts w:ascii="Arial" w:hAnsi="Arial" w:cs="Arial"/>
          <w:sz w:val="24"/>
          <w:szCs w:val="24"/>
        </w:rPr>
        <w:t>Establishing a centralised treasury will enable General Electronics to consolidate cash assets across the globe and distribute the liquidity accordingly. This will limit free cash reserves in certain areas and eliminate shortages elsewhere. Netting and multicurrency cash pooling arrangements can reduce the transaction expenses and avoid foreign exchange risk (A</w:t>
      </w:r>
      <w:r w:rsidR="004B2484">
        <w:rPr>
          <w:rFonts w:ascii="Arial" w:hAnsi="Arial" w:cs="Arial"/>
          <w:sz w:val="24"/>
          <w:szCs w:val="24"/>
        </w:rPr>
        <w:t>rnold and Lewis, 2019).</w:t>
      </w:r>
    </w:p>
    <w:p w:rsidR="00FE3429" w:rsidRPr="004B2484" w:rsidRDefault="005C7C55" w:rsidP="004B2484">
      <w:pPr>
        <w:pStyle w:val="Heading2"/>
        <w:spacing w:after="240"/>
        <w:rPr>
          <w:rFonts w:ascii="Arial" w:hAnsi="Arial" w:cs="Arial"/>
          <w:b/>
          <w:color w:val="auto"/>
        </w:rPr>
      </w:pPr>
      <w:bookmarkStart w:id="31" w:name="_Toc217117679"/>
      <w:r w:rsidRPr="00E41467">
        <w:rPr>
          <w:rFonts w:ascii="Arial" w:hAnsi="Arial" w:cs="Arial"/>
          <w:b/>
          <w:color w:val="auto"/>
        </w:rPr>
        <w:t>2.</w:t>
      </w:r>
      <w:r w:rsidR="003817A9" w:rsidRPr="00E41467">
        <w:rPr>
          <w:rFonts w:ascii="Arial" w:hAnsi="Arial" w:cs="Arial"/>
          <w:b/>
          <w:color w:val="auto"/>
        </w:rPr>
        <w:t>5</w:t>
      </w:r>
      <w:r w:rsidRPr="00E41467">
        <w:rPr>
          <w:rFonts w:ascii="Arial" w:hAnsi="Arial" w:cs="Arial"/>
          <w:b/>
          <w:color w:val="auto"/>
        </w:rPr>
        <w:t xml:space="preserve"> Comparison of Short-Term and Long-Term Financing Options</w:t>
      </w:r>
      <w:bookmarkEnd w:id="31"/>
    </w:p>
    <w:p w:rsidR="00FE3429" w:rsidRPr="004B2484" w:rsidRDefault="003817A9" w:rsidP="004B2484">
      <w:pPr>
        <w:pStyle w:val="Heading3"/>
        <w:spacing w:after="240"/>
        <w:rPr>
          <w:rFonts w:ascii="Arial" w:hAnsi="Arial" w:cs="Arial"/>
          <w:b/>
          <w:color w:val="auto"/>
        </w:rPr>
      </w:pPr>
      <w:bookmarkStart w:id="32" w:name="_Toc217117680"/>
      <w:r w:rsidRPr="00E41467">
        <w:rPr>
          <w:rFonts w:ascii="Arial" w:hAnsi="Arial" w:cs="Arial"/>
          <w:b/>
          <w:color w:val="auto"/>
        </w:rPr>
        <w:t xml:space="preserve">2.5.1 </w:t>
      </w:r>
      <w:r w:rsidR="005C7C55" w:rsidRPr="00E41467">
        <w:rPr>
          <w:rFonts w:ascii="Arial" w:hAnsi="Arial" w:cs="Arial"/>
          <w:b/>
          <w:color w:val="auto"/>
        </w:rPr>
        <w:t>Short-term Financing Alternatives</w:t>
      </w:r>
      <w:bookmarkEnd w:id="32"/>
    </w:p>
    <w:p w:rsidR="0073060F"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 xml:space="preserve">Short-term financing gives instant liquidity and comprises of bank overdrafts, trade credit and commercial papers. These tools are versatile and appropriate in addressing temporary cash shortages (Ross et al., 2021). Nevertheless, they are associated with risks like changes in interest rates, the pressure to refinance, and unavailability of credit in recession periods. </w:t>
      </w:r>
    </w:p>
    <w:p w:rsidR="00FE3429" w:rsidRPr="004B2484" w:rsidRDefault="003817A9" w:rsidP="004B2484">
      <w:pPr>
        <w:pStyle w:val="Heading3"/>
        <w:spacing w:after="240"/>
        <w:rPr>
          <w:rFonts w:ascii="Arial" w:hAnsi="Arial" w:cs="Arial"/>
          <w:b/>
          <w:color w:val="auto"/>
        </w:rPr>
      </w:pPr>
      <w:bookmarkStart w:id="33" w:name="_Toc217117681"/>
      <w:r w:rsidRPr="00E41467">
        <w:rPr>
          <w:rFonts w:ascii="Arial" w:hAnsi="Arial" w:cs="Arial"/>
          <w:b/>
          <w:color w:val="auto"/>
        </w:rPr>
        <w:t xml:space="preserve">2.5.2 </w:t>
      </w:r>
      <w:r w:rsidR="005C7C55" w:rsidRPr="00E41467">
        <w:rPr>
          <w:rFonts w:ascii="Arial" w:hAnsi="Arial" w:cs="Arial"/>
          <w:b/>
          <w:color w:val="auto"/>
        </w:rPr>
        <w:t>Long-Term Financing Options</w:t>
      </w:r>
      <w:bookmarkEnd w:id="33"/>
    </w:p>
    <w:p w:rsidR="005C7C55" w:rsidRPr="00E41467" w:rsidRDefault="005C7C55" w:rsidP="00CC20E9">
      <w:pPr>
        <w:spacing w:after="240" w:line="360" w:lineRule="auto"/>
        <w:jc w:val="both"/>
        <w:rPr>
          <w:rFonts w:ascii="Arial" w:hAnsi="Arial" w:cs="Arial"/>
          <w:sz w:val="24"/>
          <w:szCs w:val="24"/>
        </w:rPr>
      </w:pPr>
      <w:r w:rsidRPr="00E41467">
        <w:rPr>
          <w:rFonts w:ascii="Arial" w:hAnsi="Arial" w:cs="Arial"/>
          <w:sz w:val="24"/>
          <w:szCs w:val="24"/>
        </w:rPr>
        <w:t>Stability comes with long-term financing such as issuing bonds, long-term loans, or infusion of equity (Brigham and Ehrhardt, 2019). Bonds suit refinancing the current high cost debt whereas equity issue improves liquidity without high leverage. Equity financing, however, can dilute the ownership and possibly lower the earnings per share, which may impact the mood of investors (Hillier et al., 2021).</w:t>
      </w:r>
    </w:p>
    <w:p w:rsidR="005C7C55" w:rsidRPr="00CC20E9" w:rsidRDefault="005C7C55" w:rsidP="00CC20E9">
      <w:pPr>
        <w:spacing w:line="360" w:lineRule="auto"/>
        <w:jc w:val="both"/>
        <w:rPr>
          <w:rFonts w:ascii="Arial" w:hAnsi="Arial" w:cs="Arial"/>
          <w:sz w:val="24"/>
          <w:szCs w:val="24"/>
        </w:rPr>
      </w:pPr>
      <w:r w:rsidRPr="00E41467">
        <w:rPr>
          <w:rFonts w:ascii="Arial" w:hAnsi="Arial" w:cs="Arial"/>
          <w:sz w:val="24"/>
          <w:szCs w:val="24"/>
        </w:rPr>
        <w:t xml:space="preserve">An ideal financing structure is one that is balanced. Short-term facilities can help the firm to deal with seasonal changes, but long-term capital can be used to conduct strategic restructuring or settle debts. </w:t>
      </w:r>
    </w:p>
    <w:p w:rsidR="00FE3429" w:rsidRPr="004B2484" w:rsidRDefault="005C7C55" w:rsidP="004B2484">
      <w:pPr>
        <w:pStyle w:val="Heading2"/>
        <w:spacing w:before="240"/>
        <w:rPr>
          <w:rFonts w:ascii="Arial" w:hAnsi="Arial" w:cs="Arial"/>
          <w:b/>
          <w:color w:val="auto"/>
        </w:rPr>
      </w:pPr>
      <w:bookmarkStart w:id="34" w:name="_Toc217117682"/>
      <w:r w:rsidRPr="00E41467">
        <w:rPr>
          <w:rFonts w:ascii="Arial" w:hAnsi="Arial" w:cs="Arial"/>
          <w:b/>
          <w:color w:val="auto"/>
        </w:rPr>
        <w:lastRenderedPageBreak/>
        <w:t>2.</w:t>
      </w:r>
      <w:r w:rsidR="003817A9" w:rsidRPr="00E41467">
        <w:rPr>
          <w:rFonts w:ascii="Arial" w:hAnsi="Arial" w:cs="Arial"/>
          <w:b/>
          <w:color w:val="auto"/>
        </w:rPr>
        <w:t>6</w:t>
      </w:r>
      <w:r w:rsidRPr="00E41467">
        <w:rPr>
          <w:rFonts w:ascii="Arial" w:hAnsi="Arial" w:cs="Arial"/>
          <w:b/>
          <w:color w:val="auto"/>
        </w:rPr>
        <w:t xml:space="preserve"> Global Considerations in Working Capital Management</w:t>
      </w:r>
      <w:bookmarkEnd w:id="34"/>
    </w:p>
    <w:p w:rsidR="005C7C55" w:rsidRPr="00E41467" w:rsidRDefault="005C7C55" w:rsidP="004B2484">
      <w:pPr>
        <w:spacing w:before="240" w:line="360" w:lineRule="auto"/>
        <w:jc w:val="both"/>
        <w:rPr>
          <w:rFonts w:ascii="Arial" w:hAnsi="Arial" w:cs="Arial"/>
          <w:b/>
          <w:sz w:val="24"/>
          <w:szCs w:val="24"/>
        </w:rPr>
      </w:pPr>
      <w:r w:rsidRPr="00E41467">
        <w:rPr>
          <w:rFonts w:ascii="Arial" w:hAnsi="Arial" w:cs="Arial"/>
          <w:b/>
          <w:sz w:val="24"/>
          <w:szCs w:val="24"/>
        </w:rPr>
        <w:t>a. Exchange Rate Risk and Currency Risk</w:t>
      </w:r>
    </w:p>
    <w:p w:rsidR="005C7C55" w:rsidRPr="00E41467" w:rsidRDefault="005C7C55" w:rsidP="004B2484">
      <w:pPr>
        <w:spacing w:before="240" w:line="360" w:lineRule="auto"/>
        <w:jc w:val="both"/>
        <w:rPr>
          <w:rFonts w:ascii="Arial" w:hAnsi="Arial" w:cs="Arial"/>
          <w:sz w:val="24"/>
          <w:szCs w:val="24"/>
        </w:rPr>
      </w:pPr>
      <w:r w:rsidRPr="00E41467">
        <w:rPr>
          <w:rFonts w:ascii="Arial" w:hAnsi="Arial" w:cs="Arial"/>
          <w:sz w:val="24"/>
          <w:szCs w:val="24"/>
        </w:rPr>
        <w:t>The value of receivables or the cost of paying the payables in other currencies may be eroded or heightened by fluctuations in the exchange rates. To control these exposures, the CFO should use hedging tools like forward contracts, and currency swaps (Arnold and Lewis, 2019).</w:t>
      </w:r>
    </w:p>
    <w:p w:rsidR="005C7C55" w:rsidRPr="00E41467" w:rsidRDefault="005C7C55" w:rsidP="00170687">
      <w:pPr>
        <w:spacing w:line="360" w:lineRule="auto"/>
        <w:jc w:val="both"/>
        <w:rPr>
          <w:rFonts w:ascii="Arial" w:hAnsi="Arial" w:cs="Arial"/>
          <w:b/>
          <w:sz w:val="24"/>
          <w:szCs w:val="24"/>
        </w:rPr>
      </w:pPr>
      <w:r w:rsidRPr="00E41467">
        <w:rPr>
          <w:rFonts w:ascii="Arial" w:hAnsi="Arial" w:cs="Arial"/>
          <w:b/>
          <w:sz w:val="24"/>
          <w:szCs w:val="24"/>
        </w:rPr>
        <w:t>b. Regulation and Tax Differentiations</w:t>
      </w:r>
    </w:p>
    <w:p w:rsidR="005C7C55"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 xml:space="preserve">Various legal jurisdictions have different tax policies, importation taxes, and restrictions on the movement of capital. These are able to postpone cross-border cash transactions or turn an intercompany loan to be expensive. </w:t>
      </w:r>
    </w:p>
    <w:p w:rsidR="0073060F" w:rsidRPr="00E41467" w:rsidRDefault="0073060F" w:rsidP="00170687">
      <w:pPr>
        <w:spacing w:line="360" w:lineRule="auto"/>
        <w:jc w:val="both"/>
        <w:rPr>
          <w:rFonts w:ascii="Arial" w:hAnsi="Arial" w:cs="Arial"/>
          <w:b/>
          <w:sz w:val="24"/>
          <w:szCs w:val="24"/>
        </w:rPr>
      </w:pPr>
      <w:r w:rsidRPr="00E41467">
        <w:rPr>
          <w:rFonts w:ascii="Arial" w:hAnsi="Arial" w:cs="Arial"/>
          <w:b/>
          <w:sz w:val="24"/>
          <w:szCs w:val="24"/>
        </w:rPr>
        <w:t>c. Cultural and Market Differences</w:t>
      </w:r>
    </w:p>
    <w:p w:rsidR="0073060F"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The customer payment behaviour and supplier credit practises are different in the world market. In the emerging markets, the payment cycle is usually longer, and specific credit policy is needed. The CFO has to develop region-based working capital policies with global control and local adaptable policies (Hillier et al., 2021).</w:t>
      </w:r>
    </w:p>
    <w:p w:rsidR="00A1357E" w:rsidRDefault="00A1357E" w:rsidP="00170687">
      <w:pPr>
        <w:spacing w:line="360" w:lineRule="auto"/>
        <w:jc w:val="both"/>
        <w:rPr>
          <w:rFonts w:ascii="Arial" w:hAnsi="Arial" w:cs="Arial"/>
          <w:b/>
          <w:sz w:val="24"/>
          <w:szCs w:val="24"/>
        </w:rPr>
      </w:pPr>
    </w:p>
    <w:p w:rsidR="004B2484" w:rsidRPr="00E41467" w:rsidRDefault="004B2484" w:rsidP="00170687">
      <w:pPr>
        <w:spacing w:line="360" w:lineRule="auto"/>
        <w:jc w:val="both"/>
        <w:rPr>
          <w:rFonts w:ascii="Arial" w:hAnsi="Arial" w:cs="Arial"/>
          <w:b/>
          <w:sz w:val="24"/>
          <w:szCs w:val="24"/>
        </w:rPr>
      </w:pPr>
    </w:p>
    <w:p w:rsidR="00FE3429" w:rsidRPr="004B2484" w:rsidRDefault="003817A9" w:rsidP="004B2484">
      <w:pPr>
        <w:pStyle w:val="Heading1"/>
        <w:spacing w:after="240"/>
        <w:rPr>
          <w:rFonts w:ascii="Arial" w:hAnsi="Arial" w:cs="Arial"/>
          <w:b/>
          <w:color w:val="auto"/>
        </w:rPr>
      </w:pPr>
      <w:bookmarkStart w:id="35" w:name="_Toc217117683"/>
      <w:r w:rsidRPr="00E41467">
        <w:rPr>
          <w:rFonts w:ascii="Arial" w:hAnsi="Arial" w:cs="Arial"/>
          <w:b/>
          <w:color w:val="auto"/>
        </w:rPr>
        <w:t>3. Strategic Financial Restructuring Plan for General Electronics</w:t>
      </w:r>
      <w:bookmarkEnd w:id="35"/>
    </w:p>
    <w:p w:rsidR="00FE3429" w:rsidRPr="004B2484" w:rsidRDefault="005C7C55" w:rsidP="004B2484">
      <w:pPr>
        <w:pStyle w:val="Heading2"/>
        <w:spacing w:after="240"/>
        <w:rPr>
          <w:rFonts w:ascii="Arial" w:hAnsi="Arial" w:cs="Arial"/>
          <w:b/>
          <w:color w:val="auto"/>
        </w:rPr>
      </w:pPr>
      <w:bookmarkStart w:id="36" w:name="_Toc217117684"/>
      <w:r w:rsidRPr="00E41467">
        <w:rPr>
          <w:rFonts w:ascii="Arial" w:hAnsi="Arial" w:cs="Arial"/>
          <w:b/>
          <w:color w:val="auto"/>
        </w:rPr>
        <w:t>3.1 Introduction</w:t>
      </w:r>
      <w:bookmarkEnd w:id="36"/>
    </w:p>
    <w:p w:rsidR="005C7C55" w:rsidRPr="004B2484" w:rsidRDefault="005C7C55" w:rsidP="004B2484">
      <w:pPr>
        <w:spacing w:after="240" w:line="360" w:lineRule="auto"/>
        <w:jc w:val="both"/>
        <w:rPr>
          <w:rFonts w:ascii="Arial" w:hAnsi="Arial" w:cs="Arial"/>
          <w:sz w:val="24"/>
          <w:szCs w:val="24"/>
        </w:rPr>
      </w:pPr>
      <w:r w:rsidRPr="00E41467">
        <w:rPr>
          <w:rFonts w:ascii="Arial" w:hAnsi="Arial" w:cs="Arial"/>
          <w:sz w:val="24"/>
          <w:szCs w:val="24"/>
        </w:rPr>
        <w:t xml:space="preserve">Restructuring of finances is vital in recovery of solvency, competitiveness, and sustainability of a distressed firm. The overall objective as the new Chief Financial Officer (CFO) of General Electronics is to formulate a restructuring strategy that will rebalance the capital structure of the firm, increase liquidity, and restore confidence of the shareholders. </w:t>
      </w:r>
    </w:p>
    <w:p w:rsidR="00FE3429" w:rsidRPr="004B2484" w:rsidRDefault="005C7C55" w:rsidP="004B2484">
      <w:pPr>
        <w:pStyle w:val="Heading2"/>
        <w:spacing w:after="240"/>
        <w:rPr>
          <w:rFonts w:ascii="Arial" w:hAnsi="Arial" w:cs="Arial"/>
          <w:b/>
          <w:color w:val="auto"/>
        </w:rPr>
      </w:pPr>
      <w:bookmarkStart w:id="37" w:name="_Toc217117685"/>
      <w:r w:rsidRPr="00E41467">
        <w:rPr>
          <w:rFonts w:ascii="Arial" w:hAnsi="Arial" w:cs="Arial"/>
          <w:b/>
          <w:color w:val="auto"/>
        </w:rPr>
        <w:lastRenderedPageBreak/>
        <w:t>3.2 Financial Restructuring Alternatives</w:t>
      </w:r>
      <w:bookmarkEnd w:id="37"/>
    </w:p>
    <w:p w:rsidR="00FE3429" w:rsidRPr="004B2484" w:rsidRDefault="005C7C55" w:rsidP="004B2484">
      <w:pPr>
        <w:pStyle w:val="Heading3"/>
        <w:spacing w:after="240"/>
        <w:rPr>
          <w:rFonts w:ascii="Arial" w:hAnsi="Arial" w:cs="Arial"/>
          <w:b/>
          <w:color w:val="auto"/>
        </w:rPr>
      </w:pPr>
      <w:bookmarkStart w:id="38" w:name="_Toc217117686"/>
      <w:r w:rsidRPr="00E41467">
        <w:rPr>
          <w:rFonts w:ascii="Arial" w:hAnsi="Arial" w:cs="Arial"/>
          <w:b/>
          <w:color w:val="auto"/>
        </w:rPr>
        <w:t>3.2.1 Divestiture and Asset Rationalisation</w:t>
      </w:r>
      <w:bookmarkEnd w:id="38"/>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One of them is a divestiture, which is a strategic sale or spin-off of non-core or low performing assets to simplify operations and increase liquidity (Brealey, Myers and Allen, 2020). In the case of General Electronics, the cash outlay can be realised by selling unprofitable units like old product lines or those that have low margins in the geographical markets, to generate instant cash to pay off the deb</w:t>
      </w:r>
      <w:r w:rsidR="004B2484">
        <w:rPr>
          <w:rFonts w:ascii="Arial" w:hAnsi="Arial" w:cs="Arial"/>
          <w:sz w:val="24"/>
          <w:szCs w:val="24"/>
        </w:rPr>
        <w:t>ts and build the balance sheet.</w:t>
      </w:r>
    </w:p>
    <w:p w:rsidR="00DD2146"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Divestiture further allows the management to concentrate on profitable core activities especially emerging segments such as smart home systems and sustainable consumer technologies. Nevertheless, the strategy of divestment should be well-thought to prevent selling of strategic assets at low prices at a time of a decline in the market (Ross et al., 2021).</w:t>
      </w:r>
    </w:p>
    <w:p w:rsidR="005C7C55" w:rsidRPr="004B2484" w:rsidRDefault="005C7C55" w:rsidP="004B2484">
      <w:pPr>
        <w:spacing w:line="360" w:lineRule="auto"/>
        <w:jc w:val="both"/>
        <w:rPr>
          <w:rFonts w:ascii="Arial" w:hAnsi="Arial" w:cs="Arial"/>
          <w:sz w:val="24"/>
          <w:szCs w:val="24"/>
        </w:rPr>
      </w:pPr>
      <w:r w:rsidRPr="00E41467">
        <w:rPr>
          <w:rFonts w:ascii="Arial" w:hAnsi="Arial" w:cs="Arial"/>
          <w:sz w:val="24"/>
          <w:szCs w:val="24"/>
        </w:rPr>
        <w:t>An effective divestiture must entail a proper asset valuation through the discounted cash flow (DCF) and market multiples to realise fair values. It has been observed that some historical evidence indicates that companies that conduct well-planned divestitures tend to get a positive abnormal return because of enhanced focus and capital all</w:t>
      </w:r>
      <w:r w:rsidR="004B2484">
        <w:rPr>
          <w:rFonts w:ascii="Arial" w:hAnsi="Arial" w:cs="Arial"/>
          <w:sz w:val="24"/>
          <w:szCs w:val="24"/>
        </w:rPr>
        <w:t>ocation (Hillier et al., 2021).</w:t>
      </w:r>
    </w:p>
    <w:p w:rsidR="005C7C55" w:rsidRPr="004B2484" w:rsidRDefault="005C7C55" w:rsidP="004B2484">
      <w:pPr>
        <w:pStyle w:val="Heading3"/>
        <w:spacing w:after="240"/>
        <w:rPr>
          <w:rFonts w:ascii="Arial" w:hAnsi="Arial" w:cs="Arial"/>
          <w:b/>
          <w:color w:val="auto"/>
        </w:rPr>
      </w:pPr>
      <w:bookmarkStart w:id="39" w:name="_Toc217117687"/>
      <w:r w:rsidRPr="00E41467">
        <w:rPr>
          <w:rFonts w:ascii="Arial" w:hAnsi="Arial" w:cs="Arial"/>
          <w:b/>
          <w:color w:val="auto"/>
        </w:rPr>
        <w:t>3.2.2 Mergers, Strategic Alliances and Acquisitions</w:t>
      </w:r>
      <w:bookmarkEnd w:id="39"/>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 xml:space="preserve">Some of the synergetic benefits that can be realised on a merger or strategic alliance include sharing of technology, reduction of costs and expansion of the market. </w:t>
      </w:r>
      <w:r w:rsidR="00C17C86" w:rsidRPr="00E41467">
        <w:rPr>
          <w:rFonts w:ascii="Arial" w:hAnsi="Arial" w:cs="Arial"/>
          <w:sz w:val="24"/>
          <w:szCs w:val="24"/>
        </w:rPr>
        <w:t>T</w:t>
      </w:r>
      <w:r w:rsidRPr="00E41467">
        <w:rPr>
          <w:rFonts w:ascii="Arial" w:hAnsi="Arial" w:cs="Arial"/>
          <w:sz w:val="24"/>
          <w:szCs w:val="24"/>
        </w:rPr>
        <w:t>here is the possibility of a horizontal merger with another international electronics manufacturer that would help in better economies of scale, lessening of the need to duplicate R&amp;D, and greater bargaining power with the supplier. Vertical integration, including acquisition of a supplier of semiconductors, would also stabilise the input costs and enhance the supply chain resilienc</w:t>
      </w:r>
      <w:r w:rsidR="004B2484">
        <w:rPr>
          <w:rFonts w:ascii="Arial" w:hAnsi="Arial" w:cs="Arial"/>
          <w:sz w:val="24"/>
          <w:szCs w:val="24"/>
        </w:rPr>
        <w:t>e (Brigham and Ehrhardt, 2019).</w:t>
      </w:r>
    </w:p>
    <w:p w:rsidR="006647DE"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 xml:space="preserve">Mergers open the way to reorganise the activities, streamline production and capitalise on merged distribution channels. Nevertheless, alignment of governance and cultural integration are still the most important success factors. It has been found that more than </w:t>
      </w:r>
      <w:r w:rsidRPr="00E41467">
        <w:rPr>
          <w:rFonts w:ascii="Arial" w:hAnsi="Arial" w:cs="Arial"/>
          <w:sz w:val="24"/>
          <w:szCs w:val="24"/>
        </w:rPr>
        <w:lastRenderedPageBreak/>
        <w:t>60 percent of mergers fail to achieve anticipated synergies because of integration issues and ineffective due dilig</w:t>
      </w:r>
      <w:r w:rsidR="004B2484">
        <w:rPr>
          <w:rFonts w:ascii="Arial" w:hAnsi="Arial" w:cs="Arial"/>
          <w:sz w:val="24"/>
          <w:szCs w:val="24"/>
        </w:rPr>
        <w:t xml:space="preserve">ence (Arnold and Lewis, 2019). </w:t>
      </w:r>
    </w:p>
    <w:p w:rsidR="005C7C55" w:rsidRPr="004B2484" w:rsidRDefault="005C7C55" w:rsidP="004B2484">
      <w:pPr>
        <w:pStyle w:val="Heading3"/>
        <w:spacing w:after="240"/>
        <w:rPr>
          <w:rFonts w:ascii="Arial" w:hAnsi="Arial" w:cs="Arial"/>
          <w:b/>
          <w:color w:val="auto"/>
        </w:rPr>
      </w:pPr>
      <w:bookmarkStart w:id="40" w:name="_Toc217117688"/>
      <w:r w:rsidRPr="00E41467">
        <w:rPr>
          <w:rFonts w:ascii="Arial" w:hAnsi="Arial" w:cs="Arial"/>
          <w:b/>
          <w:color w:val="auto"/>
        </w:rPr>
        <w:t>3.2.3 Equity Injection and Recapitalisation</w:t>
      </w:r>
      <w:bookmarkEnd w:id="40"/>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 xml:space="preserve">Equity injection </w:t>
      </w:r>
      <w:r w:rsidR="004B2484" w:rsidRPr="00E41467">
        <w:rPr>
          <w:rFonts w:ascii="Arial" w:hAnsi="Arial" w:cs="Arial"/>
          <w:sz w:val="24"/>
          <w:szCs w:val="24"/>
        </w:rPr>
        <w:t>this</w:t>
      </w:r>
      <w:r w:rsidRPr="00E41467">
        <w:rPr>
          <w:rFonts w:ascii="Arial" w:hAnsi="Arial" w:cs="Arial"/>
          <w:sz w:val="24"/>
          <w:szCs w:val="24"/>
        </w:rPr>
        <w:t xml:space="preserve"> is where capital is raised by means of new share issues or a private placement or other strategic investor relations. This strategy can play an important role in enhancing the financial status of General Electronics as it will decrease leverage and increase the debt-to-equity ratio (Hillier et al., 2021). </w:t>
      </w:r>
    </w:p>
    <w:p w:rsidR="005C7C55"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There are various ways of organising an equity injection:</w:t>
      </w:r>
    </w:p>
    <w:p w:rsidR="005C7C55" w:rsidRPr="00E41467" w:rsidRDefault="005C7C55" w:rsidP="00170687">
      <w:pPr>
        <w:spacing w:line="360" w:lineRule="auto"/>
        <w:jc w:val="both"/>
        <w:rPr>
          <w:rFonts w:ascii="Arial" w:hAnsi="Arial" w:cs="Arial"/>
          <w:sz w:val="24"/>
          <w:szCs w:val="24"/>
        </w:rPr>
      </w:pPr>
      <w:r w:rsidRPr="00E41467">
        <w:rPr>
          <w:rFonts w:ascii="Arial" w:hAnsi="Arial" w:cs="Arial"/>
          <w:b/>
          <w:sz w:val="24"/>
          <w:szCs w:val="24"/>
        </w:rPr>
        <w:t>Right issues:</w:t>
      </w:r>
      <w:r w:rsidRPr="00E41467">
        <w:rPr>
          <w:rFonts w:ascii="Arial" w:hAnsi="Arial" w:cs="Arial"/>
          <w:sz w:val="24"/>
          <w:szCs w:val="24"/>
        </w:rPr>
        <w:t xml:space="preserve"> in this case, current shareholders are able to retain a corresponding amount of stock.</w:t>
      </w:r>
    </w:p>
    <w:p w:rsidR="005C7C55" w:rsidRPr="00E41467" w:rsidRDefault="005C7C55" w:rsidP="00170687">
      <w:pPr>
        <w:spacing w:line="360" w:lineRule="auto"/>
        <w:jc w:val="both"/>
        <w:rPr>
          <w:rFonts w:ascii="Arial" w:hAnsi="Arial" w:cs="Arial"/>
          <w:sz w:val="24"/>
          <w:szCs w:val="24"/>
        </w:rPr>
      </w:pPr>
      <w:r w:rsidRPr="00E41467">
        <w:rPr>
          <w:rFonts w:ascii="Arial" w:hAnsi="Arial" w:cs="Arial"/>
          <w:b/>
          <w:sz w:val="24"/>
          <w:szCs w:val="24"/>
        </w:rPr>
        <w:t>Partnership with private equity:</w:t>
      </w:r>
      <w:r w:rsidRPr="00E41467">
        <w:rPr>
          <w:rFonts w:ascii="Arial" w:hAnsi="Arial" w:cs="Arial"/>
          <w:sz w:val="24"/>
          <w:szCs w:val="24"/>
        </w:rPr>
        <w:t xml:space="preserve"> brings external investors who have knowledge in operation.</w:t>
      </w:r>
    </w:p>
    <w:p w:rsidR="00DD2146" w:rsidRPr="004B2484" w:rsidRDefault="005C7C55" w:rsidP="004B2484">
      <w:pPr>
        <w:spacing w:line="360" w:lineRule="auto"/>
        <w:jc w:val="both"/>
        <w:rPr>
          <w:rFonts w:ascii="Arial" w:hAnsi="Arial" w:cs="Arial"/>
          <w:sz w:val="24"/>
          <w:szCs w:val="24"/>
        </w:rPr>
      </w:pPr>
      <w:r w:rsidRPr="00E41467">
        <w:rPr>
          <w:rFonts w:ascii="Arial" w:hAnsi="Arial" w:cs="Arial"/>
          <w:b/>
          <w:sz w:val="24"/>
          <w:szCs w:val="24"/>
        </w:rPr>
        <w:t>Government or institutional funding:</w:t>
      </w:r>
      <w:r w:rsidRPr="00E41467">
        <w:rPr>
          <w:rFonts w:ascii="Arial" w:hAnsi="Arial" w:cs="Arial"/>
          <w:sz w:val="24"/>
          <w:szCs w:val="24"/>
        </w:rPr>
        <w:t xml:space="preserve"> can be given to technology-oriented companies that aim at innovations and gre</w:t>
      </w:r>
      <w:r w:rsidR="004B2484">
        <w:rPr>
          <w:rFonts w:ascii="Arial" w:hAnsi="Arial" w:cs="Arial"/>
          <w:sz w:val="24"/>
          <w:szCs w:val="24"/>
        </w:rPr>
        <w:t>en transformation (OECD, 2020).</w:t>
      </w:r>
    </w:p>
    <w:p w:rsidR="00DD2146" w:rsidRPr="004B2484" w:rsidRDefault="00DD2146" w:rsidP="004B2484">
      <w:pPr>
        <w:pStyle w:val="Heading2"/>
        <w:spacing w:after="240"/>
        <w:rPr>
          <w:rFonts w:ascii="Arial" w:hAnsi="Arial" w:cs="Arial"/>
          <w:b/>
          <w:color w:val="auto"/>
        </w:rPr>
      </w:pPr>
      <w:bookmarkStart w:id="41" w:name="_Toc217117689"/>
      <w:r w:rsidRPr="00E41467">
        <w:rPr>
          <w:rFonts w:ascii="Arial" w:hAnsi="Arial" w:cs="Arial"/>
          <w:b/>
          <w:color w:val="auto"/>
        </w:rPr>
        <w:t>3.3 Evaluating the Impact of Restructuring Options</w:t>
      </w:r>
      <w:bookmarkEnd w:id="41"/>
    </w:p>
    <w:tbl>
      <w:tblPr>
        <w:tblW w:w="9775"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ayout w:type="fixed"/>
        <w:tblCellMar>
          <w:top w:w="15" w:type="dxa"/>
          <w:left w:w="15" w:type="dxa"/>
          <w:bottom w:w="15" w:type="dxa"/>
          <w:right w:w="15" w:type="dxa"/>
        </w:tblCellMar>
        <w:tblLook w:val="04A0" w:firstRow="1" w:lastRow="0" w:firstColumn="1" w:lastColumn="0" w:noHBand="0" w:noVBand="1"/>
      </w:tblPr>
      <w:tblGrid>
        <w:gridCol w:w="1404"/>
        <w:gridCol w:w="1440"/>
        <w:gridCol w:w="1422"/>
        <w:gridCol w:w="1599"/>
        <w:gridCol w:w="2044"/>
        <w:gridCol w:w="1866"/>
      </w:tblGrid>
      <w:tr w:rsidR="00E41467" w:rsidRPr="00E41467" w:rsidTr="004B2484">
        <w:trPr>
          <w:trHeight w:val="957"/>
          <w:tblHeader/>
          <w:tblCellSpacing w:w="15" w:type="dxa"/>
          <w:jc w:val="center"/>
        </w:trPr>
        <w:tc>
          <w:tcPr>
            <w:tcW w:w="1359" w:type="dxa"/>
            <w:vAlign w:val="center"/>
            <w:hideMark/>
          </w:tcPr>
          <w:p w:rsidR="00DB04A3" w:rsidRPr="00E41467" w:rsidRDefault="00DB04A3" w:rsidP="004B2484">
            <w:pPr>
              <w:spacing w:after="240"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Restructuring Option</w:t>
            </w:r>
          </w:p>
        </w:tc>
        <w:tc>
          <w:tcPr>
            <w:tcW w:w="1410" w:type="dxa"/>
            <w:vAlign w:val="center"/>
            <w:hideMark/>
          </w:tcPr>
          <w:p w:rsidR="00DB04A3" w:rsidRPr="00E41467" w:rsidRDefault="00DB04A3" w:rsidP="004B2484">
            <w:pPr>
              <w:spacing w:after="240"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Impact on Shareholder Value</w:t>
            </w:r>
          </w:p>
        </w:tc>
        <w:tc>
          <w:tcPr>
            <w:tcW w:w="1392" w:type="dxa"/>
            <w:vAlign w:val="center"/>
            <w:hideMark/>
          </w:tcPr>
          <w:p w:rsidR="00DB04A3" w:rsidRPr="00E41467" w:rsidRDefault="00DB04A3" w:rsidP="004B2484">
            <w:pPr>
              <w:spacing w:after="240"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Impact on Debt Structure</w:t>
            </w:r>
          </w:p>
        </w:tc>
        <w:tc>
          <w:tcPr>
            <w:tcW w:w="1569" w:type="dxa"/>
            <w:vAlign w:val="center"/>
            <w:hideMark/>
          </w:tcPr>
          <w:p w:rsidR="00DB04A3" w:rsidRPr="00E41467" w:rsidRDefault="00DB04A3" w:rsidP="004B2484">
            <w:pPr>
              <w:spacing w:after="240"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Impact on Operational Flexibility</w:t>
            </w:r>
          </w:p>
        </w:tc>
        <w:tc>
          <w:tcPr>
            <w:tcW w:w="2014" w:type="dxa"/>
            <w:vAlign w:val="center"/>
            <w:hideMark/>
          </w:tcPr>
          <w:p w:rsidR="00DB04A3" w:rsidRPr="00E41467" w:rsidRDefault="00DB04A3" w:rsidP="004B2484">
            <w:pPr>
              <w:spacing w:after="240"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Potential Risks/Limitations</w:t>
            </w:r>
          </w:p>
        </w:tc>
        <w:tc>
          <w:tcPr>
            <w:tcW w:w="1821" w:type="dxa"/>
            <w:vAlign w:val="center"/>
            <w:hideMark/>
          </w:tcPr>
          <w:p w:rsidR="00DB04A3" w:rsidRPr="00E41467" w:rsidRDefault="00DB04A3" w:rsidP="004B2484">
            <w:pPr>
              <w:spacing w:after="240"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Supporting References</w:t>
            </w:r>
          </w:p>
        </w:tc>
      </w:tr>
      <w:tr w:rsidR="00E41467" w:rsidRPr="00E41467" w:rsidTr="004B2484">
        <w:trPr>
          <w:trHeight w:val="2177"/>
          <w:tblCellSpacing w:w="15" w:type="dxa"/>
          <w:jc w:val="center"/>
        </w:trPr>
        <w:tc>
          <w:tcPr>
            <w:tcW w:w="1359"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Divestiture</w:t>
            </w:r>
          </w:p>
        </w:tc>
        <w:tc>
          <w:tcPr>
            <w:tcW w:w="1410"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Enhances value through selling off those assets that are not performing as well thus inflating the </w:t>
            </w:r>
            <w:r w:rsidRPr="00E41467">
              <w:rPr>
                <w:rFonts w:ascii="Arial" w:eastAsia="Times New Roman" w:hAnsi="Arial" w:cs="Arial"/>
                <w:sz w:val="24"/>
                <w:szCs w:val="24"/>
                <w:lang w:val="en-GB" w:eastAsia="en-GB"/>
              </w:rPr>
              <w:lastRenderedPageBreak/>
              <w:t>returns on capital and confidence among investors.</w:t>
            </w:r>
          </w:p>
        </w:tc>
        <w:tc>
          <w:tcPr>
            <w:tcW w:w="1392"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lastRenderedPageBreak/>
              <w:t xml:space="preserve">Improves leverage reduction by the sale proceeds which was leveraged to repay high interest debt </w:t>
            </w:r>
            <w:r w:rsidRPr="00E41467">
              <w:rPr>
                <w:rFonts w:ascii="Arial" w:eastAsia="Times New Roman" w:hAnsi="Arial" w:cs="Arial"/>
                <w:sz w:val="24"/>
                <w:szCs w:val="24"/>
                <w:lang w:val="en-GB" w:eastAsia="en-GB"/>
              </w:rPr>
              <w:lastRenderedPageBreak/>
              <w:t>to improve the gearing and interest coverage ratios.</w:t>
            </w:r>
          </w:p>
        </w:tc>
        <w:tc>
          <w:tcPr>
            <w:tcW w:w="1569"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lastRenderedPageBreak/>
              <w:t xml:space="preserve">Makes the business lean, and focuses the management on the business areas; increases </w:t>
            </w:r>
            <w:r w:rsidRPr="00E41467">
              <w:rPr>
                <w:rFonts w:ascii="Arial" w:eastAsia="Times New Roman" w:hAnsi="Arial" w:cs="Arial"/>
                <w:sz w:val="24"/>
                <w:szCs w:val="24"/>
                <w:lang w:val="en-GB" w:eastAsia="en-GB"/>
              </w:rPr>
              <w:lastRenderedPageBreak/>
              <w:t>agility in decision making.</w:t>
            </w:r>
          </w:p>
        </w:tc>
        <w:tc>
          <w:tcPr>
            <w:tcW w:w="2014"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lastRenderedPageBreak/>
              <w:t>Underestimating in challenged markets is a possibility; there is even a possibility of losing strategic assets.</w:t>
            </w:r>
          </w:p>
          <w:p w:rsidR="00DB04A3" w:rsidRPr="00E41467" w:rsidRDefault="00DB04A3" w:rsidP="004B2484">
            <w:pPr>
              <w:spacing w:line="360" w:lineRule="auto"/>
              <w:jc w:val="center"/>
              <w:rPr>
                <w:rFonts w:ascii="Arial" w:eastAsia="Times New Roman" w:hAnsi="Arial" w:cs="Arial"/>
                <w:sz w:val="24"/>
                <w:szCs w:val="24"/>
                <w:lang w:val="en-GB" w:eastAsia="en-GB"/>
              </w:rPr>
            </w:pPr>
          </w:p>
        </w:tc>
        <w:tc>
          <w:tcPr>
            <w:tcW w:w="1821"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Brealey, Myers &amp; Allen (2020); Hillier et al. (2021)</w:t>
            </w:r>
          </w:p>
        </w:tc>
      </w:tr>
      <w:tr w:rsidR="00E41467" w:rsidRPr="00E41467" w:rsidTr="004B2484">
        <w:trPr>
          <w:trHeight w:val="3080"/>
          <w:tblCellSpacing w:w="15" w:type="dxa"/>
          <w:jc w:val="center"/>
        </w:trPr>
        <w:tc>
          <w:tcPr>
            <w:tcW w:w="1359"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lastRenderedPageBreak/>
              <w:t>Strategic Alliance</w:t>
            </w:r>
          </w:p>
        </w:tc>
        <w:tc>
          <w:tcPr>
            <w:tcW w:w="1410"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Creation of long-term shareholder value by liaising synergies in costs, market expansion and joint innovation.</w:t>
            </w:r>
          </w:p>
        </w:tc>
        <w:tc>
          <w:tcPr>
            <w:tcW w:w="1392"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May merge holdings, advance the creditworthiness and conditions of refinance; can create economies of scale of financing.</w:t>
            </w:r>
          </w:p>
        </w:tc>
        <w:tc>
          <w:tcPr>
            <w:tcW w:w="1569"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Increases flexibility in terms of resourcepooling and market penetration but integration may restrain operations initially.</w:t>
            </w:r>
          </w:p>
        </w:tc>
        <w:tc>
          <w:tcPr>
            <w:tcW w:w="2014"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Integration, cultural risk is high; power of synergy is unpredictable.</w:t>
            </w:r>
          </w:p>
        </w:tc>
        <w:tc>
          <w:tcPr>
            <w:tcW w:w="1821"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Brigham &amp; Ehrhardt (2019); Arnold &amp; Lewis (2019)</w:t>
            </w:r>
          </w:p>
        </w:tc>
      </w:tr>
      <w:tr w:rsidR="00E41467" w:rsidRPr="00E41467" w:rsidTr="004B2484">
        <w:trPr>
          <w:trHeight w:val="6459"/>
          <w:tblCellSpacing w:w="15" w:type="dxa"/>
          <w:jc w:val="center"/>
        </w:trPr>
        <w:tc>
          <w:tcPr>
            <w:tcW w:w="1359"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lastRenderedPageBreak/>
              <w:t>Equity Injection</w:t>
            </w:r>
          </w:p>
        </w:tc>
        <w:tc>
          <w:tcPr>
            <w:tcW w:w="1410"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Increases the investor confidence because the degree of solvency is increased and the degree of financial distress decreases; possible growth in market value in the long-term.</w:t>
            </w:r>
          </w:p>
        </w:tc>
        <w:tc>
          <w:tcPr>
            <w:tcW w:w="1392"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Strengthens the equity base, decreases the D/E ratio and payment of interest; increases borrowing capacity.</w:t>
            </w:r>
          </w:p>
        </w:tc>
        <w:tc>
          <w:tcPr>
            <w:tcW w:w="1569"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Borrows money to finance innovation and restructuring which cannot be repaid but with new investors it can be enforced.</w:t>
            </w:r>
          </w:p>
        </w:tc>
        <w:tc>
          <w:tcPr>
            <w:tcW w:w="2014"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p>
        </w:tc>
        <w:tc>
          <w:tcPr>
            <w:tcW w:w="1821" w:type="dxa"/>
            <w:vAlign w:val="center"/>
            <w:hideMark/>
          </w:tcPr>
          <w:p w:rsidR="00DB04A3" w:rsidRPr="00E41467" w:rsidRDefault="00DB04A3" w:rsidP="004B2484">
            <w:pPr>
              <w:spacing w:line="360" w:lineRule="auto"/>
              <w:jc w:val="center"/>
              <w:rPr>
                <w:rFonts w:ascii="Arial" w:eastAsia="Times New Roman" w:hAnsi="Arial" w:cs="Arial"/>
                <w:sz w:val="24"/>
                <w:szCs w:val="24"/>
                <w:lang w:val="en-GB" w:eastAsia="en-GB"/>
              </w:rPr>
            </w:pPr>
          </w:p>
        </w:tc>
      </w:tr>
    </w:tbl>
    <w:p w:rsidR="00DD2146" w:rsidRPr="00E41467" w:rsidRDefault="00DD2146" w:rsidP="00170687">
      <w:pPr>
        <w:spacing w:line="360" w:lineRule="auto"/>
        <w:jc w:val="both"/>
        <w:rPr>
          <w:rFonts w:ascii="Arial" w:hAnsi="Arial" w:cs="Arial"/>
          <w:sz w:val="24"/>
          <w:szCs w:val="24"/>
        </w:rPr>
      </w:pPr>
    </w:p>
    <w:p w:rsidR="00FE3429" w:rsidRPr="004B2484" w:rsidRDefault="005C7C55" w:rsidP="004B2484">
      <w:pPr>
        <w:pStyle w:val="Heading2"/>
        <w:spacing w:after="240"/>
        <w:rPr>
          <w:rFonts w:ascii="Arial" w:hAnsi="Arial" w:cs="Arial"/>
          <w:b/>
          <w:color w:val="auto"/>
        </w:rPr>
      </w:pPr>
      <w:bookmarkStart w:id="42" w:name="_Toc217117690"/>
      <w:r w:rsidRPr="00E41467">
        <w:rPr>
          <w:rFonts w:ascii="Arial" w:hAnsi="Arial" w:cs="Arial"/>
          <w:b/>
          <w:color w:val="auto"/>
        </w:rPr>
        <w:t>3.4 International and Ethical Concerns</w:t>
      </w:r>
      <w:bookmarkEnd w:id="42"/>
    </w:p>
    <w:p w:rsidR="00FE3429" w:rsidRPr="004B2484" w:rsidRDefault="005C7C55" w:rsidP="004B2484">
      <w:pPr>
        <w:pStyle w:val="Heading3"/>
        <w:spacing w:after="240"/>
        <w:rPr>
          <w:rFonts w:ascii="Arial" w:hAnsi="Arial" w:cs="Arial"/>
          <w:b/>
          <w:color w:val="auto"/>
        </w:rPr>
      </w:pPr>
      <w:bookmarkStart w:id="43" w:name="_Toc217117691"/>
      <w:r w:rsidRPr="00E41467">
        <w:rPr>
          <w:rFonts w:ascii="Arial" w:hAnsi="Arial" w:cs="Arial"/>
          <w:b/>
          <w:color w:val="auto"/>
        </w:rPr>
        <w:t>3.4.1 Cross-border Structures and Taxation</w:t>
      </w:r>
      <w:bookmarkEnd w:id="43"/>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The ability to operate in various jurisdictions makes General Electronics vulnerable to confusing tax systems. The decisions to restructure, e.g., mergers or divestitures, should consider the tax effects, i.e., capital gains taxes, withholding taxes, and transfer pricing regula</w:t>
      </w:r>
      <w:r w:rsidR="004B2484">
        <w:rPr>
          <w:rFonts w:ascii="Arial" w:hAnsi="Arial" w:cs="Arial"/>
          <w:sz w:val="24"/>
          <w:szCs w:val="24"/>
        </w:rPr>
        <w:t>tions (Arnold and Lewis, 2019).</w:t>
      </w:r>
    </w:p>
    <w:p w:rsidR="00DD2146" w:rsidRPr="004B2484" w:rsidRDefault="005C7C55" w:rsidP="00170687">
      <w:pPr>
        <w:spacing w:line="360" w:lineRule="auto"/>
        <w:jc w:val="both"/>
        <w:rPr>
          <w:rFonts w:ascii="Arial" w:hAnsi="Arial" w:cs="Arial"/>
          <w:sz w:val="24"/>
          <w:szCs w:val="24"/>
        </w:rPr>
      </w:pPr>
      <w:r w:rsidRPr="00E41467">
        <w:rPr>
          <w:rFonts w:ascii="Arial" w:hAnsi="Arial" w:cs="Arial"/>
          <w:sz w:val="24"/>
          <w:szCs w:val="24"/>
        </w:rPr>
        <w:lastRenderedPageBreak/>
        <w:t>Transparency and corporate integrity require the CFO to make sure that OECD Base Erosion and Profit Shifting (BEPS) requireme</w:t>
      </w:r>
      <w:r w:rsidR="004B2484">
        <w:rPr>
          <w:rFonts w:ascii="Arial" w:hAnsi="Arial" w:cs="Arial"/>
          <w:sz w:val="24"/>
          <w:szCs w:val="24"/>
        </w:rPr>
        <w:t>nts are fulfilled (OECD, 2020).</w:t>
      </w:r>
    </w:p>
    <w:p w:rsidR="00FE3429" w:rsidRPr="004B2484" w:rsidRDefault="005C7C55" w:rsidP="004B2484">
      <w:pPr>
        <w:pStyle w:val="Heading3"/>
        <w:spacing w:after="240"/>
        <w:rPr>
          <w:rFonts w:ascii="Arial" w:hAnsi="Arial" w:cs="Arial"/>
          <w:b/>
          <w:color w:val="auto"/>
        </w:rPr>
      </w:pPr>
      <w:bookmarkStart w:id="44" w:name="_Toc217117692"/>
      <w:r w:rsidRPr="00E41467">
        <w:rPr>
          <w:rFonts w:ascii="Arial" w:hAnsi="Arial" w:cs="Arial"/>
          <w:b/>
          <w:color w:val="auto"/>
        </w:rPr>
        <w:t>3.4.2 Currency Risk Management</w:t>
      </w:r>
      <w:bookmarkEnd w:id="44"/>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Due to its international presence, General Electronics is very sensitive to currency volatility particularly when its revenues and costs are made in various currencies. Reported earnings and cash flows may be inaccurate due to currency fluctuations. These risks can be eliminated with the use of hedging instruments, including forward contracts, options, and currenc</w:t>
      </w:r>
      <w:r w:rsidR="004B2484">
        <w:rPr>
          <w:rFonts w:ascii="Arial" w:hAnsi="Arial" w:cs="Arial"/>
          <w:sz w:val="24"/>
          <w:szCs w:val="24"/>
        </w:rPr>
        <w:t>y swaps (Hillier et al., 2021).</w:t>
      </w:r>
    </w:p>
    <w:p w:rsidR="005C7C55"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The CFO is advised to entrench the risk management policies into the wider restructuring process to stabilise the performance in terms of global financials.</w:t>
      </w:r>
    </w:p>
    <w:p w:rsidR="00DA1A6B" w:rsidRPr="00E41467" w:rsidRDefault="00DA1A6B" w:rsidP="00E41467">
      <w:pPr>
        <w:rPr>
          <w:rFonts w:ascii="Arial" w:hAnsi="Arial" w:cs="Arial"/>
        </w:rPr>
      </w:pPr>
    </w:p>
    <w:p w:rsidR="00FE3429" w:rsidRPr="004B2484" w:rsidRDefault="005C7C55" w:rsidP="004B2484">
      <w:pPr>
        <w:pStyle w:val="Heading3"/>
        <w:spacing w:after="240"/>
        <w:rPr>
          <w:rFonts w:ascii="Arial" w:hAnsi="Arial" w:cs="Arial"/>
          <w:b/>
          <w:color w:val="auto"/>
        </w:rPr>
      </w:pPr>
      <w:bookmarkStart w:id="45" w:name="_Toc217117693"/>
      <w:r w:rsidRPr="00E41467">
        <w:rPr>
          <w:rFonts w:ascii="Arial" w:hAnsi="Arial" w:cs="Arial"/>
          <w:b/>
          <w:color w:val="auto"/>
        </w:rPr>
        <w:t>3.4.</w:t>
      </w:r>
      <w:r w:rsidR="00DA1A6B" w:rsidRPr="00E41467">
        <w:rPr>
          <w:rFonts w:ascii="Arial" w:hAnsi="Arial" w:cs="Arial"/>
          <w:b/>
          <w:color w:val="auto"/>
        </w:rPr>
        <w:t>3</w:t>
      </w:r>
      <w:r w:rsidRPr="00E41467">
        <w:rPr>
          <w:rFonts w:ascii="Arial" w:hAnsi="Arial" w:cs="Arial"/>
          <w:b/>
          <w:color w:val="auto"/>
        </w:rPr>
        <w:t xml:space="preserve"> Corporate Social Responsibility (CSR) and Ethical Finance</w:t>
      </w:r>
      <w:bookmarkEnd w:id="45"/>
    </w:p>
    <w:p w:rsidR="005C7C55" w:rsidRPr="00E41467" w:rsidRDefault="005C7C55" w:rsidP="004B2484">
      <w:pPr>
        <w:spacing w:after="240" w:line="360" w:lineRule="auto"/>
        <w:jc w:val="both"/>
        <w:rPr>
          <w:rFonts w:ascii="Arial" w:hAnsi="Arial" w:cs="Arial"/>
          <w:sz w:val="24"/>
          <w:szCs w:val="24"/>
        </w:rPr>
      </w:pPr>
      <w:r w:rsidRPr="00E41467">
        <w:rPr>
          <w:rFonts w:ascii="Arial" w:hAnsi="Arial" w:cs="Arial"/>
          <w:sz w:val="24"/>
          <w:szCs w:val="24"/>
        </w:rPr>
        <w:t>Restructuring cannot be based on financial revival only, but it must also be guided by ethical and sustainable points. Shareholders are becoming more interested in companies that have high levels of ESG (Atrill and McLaney, 2022). The CFO needs to make CSR a part of the restructuring plan by:</w:t>
      </w:r>
    </w:p>
    <w:p w:rsidR="005C7C55" w:rsidRPr="00E41467" w:rsidRDefault="005C7C55" w:rsidP="00CB687A">
      <w:pPr>
        <w:pStyle w:val="ListParagraph"/>
        <w:numPr>
          <w:ilvl w:val="0"/>
          <w:numId w:val="6"/>
        </w:numPr>
        <w:spacing w:line="360" w:lineRule="auto"/>
        <w:jc w:val="both"/>
        <w:rPr>
          <w:rFonts w:ascii="Arial" w:hAnsi="Arial" w:cs="Arial"/>
          <w:sz w:val="24"/>
          <w:szCs w:val="24"/>
        </w:rPr>
      </w:pPr>
      <w:r w:rsidRPr="00E41467">
        <w:rPr>
          <w:rFonts w:ascii="Arial" w:hAnsi="Arial" w:cs="Arial"/>
          <w:sz w:val="24"/>
          <w:szCs w:val="24"/>
        </w:rPr>
        <w:t>Investment in environmentally friendly technologies;</w:t>
      </w:r>
    </w:p>
    <w:p w:rsidR="005C7C55" w:rsidRPr="00E41467" w:rsidRDefault="005C7C55" w:rsidP="00CB687A">
      <w:pPr>
        <w:pStyle w:val="ListParagraph"/>
        <w:numPr>
          <w:ilvl w:val="0"/>
          <w:numId w:val="6"/>
        </w:numPr>
        <w:spacing w:line="360" w:lineRule="auto"/>
        <w:jc w:val="both"/>
        <w:rPr>
          <w:rFonts w:ascii="Arial" w:hAnsi="Arial" w:cs="Arial"/>
          <w:sz w:val="24"/>
          <w:szCs w:val="24"/>
        </w:rPr>
      </w:pPr>
      <w:r w:rsidRPr="00E41467">
        <w:rPr>
          <w:rFonts w:ascii="Arial" w:hAnsi="Arial" w:cs="Arial"/>
          <w:sz w:val="24"/>
          <w:szCs w:val="24"/>
        </w:rPr>
        <w:t>Supply chains: fair labour practises;</w:t>
      </w:r>
    </w:p>
    <w:p w:rsidR="005C7C55" w:rsidRPr="00CC20E9" w:rsidRDefault="005C7C55" w:rsidP="00170687">
      <w:pPr>
        <w:pStyle w:val="ListParagraph"/>
        <w:numPr>
          <w:ilvl w:val="0"/>
          <w:numId w:val="6"/>
        </w:numPr>
        <w:spacing w:line="360" w:lineRule="auto"/>
        <w:jc w:val="both"/>
        <w:rPr>
          <w:rFonts w:ascii="Arial" w:hAnsi="Arial" w:cs="Arial"/>
          <w:sz w:val="24"/>
          <w:szCs w:val="24"/>
        </w:rPr>
      </w:pPr>
      <w:r w:rsidRPr="00E41467">
        <w:rPr>
          <w:rFonts w:ascii="Arial" w:hAnsi="Arial" w:cs="Arial"/>
          <w:sz w:val="24"/>
          <w:szCs w:val="24"/>
        </w:rPr>
        <w:t>Ensuring clear communication with the stakeholders.</w:t>
      </w:r>
    </w:p>
    <w:p w:rsidR="005C7C55" w:rsidRPr="00E41467" w:rsidRDefault="005C7C55" w:rsidP="00170687">
      <w:pPr>
        <w:spacing w:line="360" w:lineRule="auto"/>
        <w:jc w:val="both"/>
        <w:rPr>
          <w:rFonts w:ascii="Arial" w:hAnsi="Arial" w:cs="Arial"/>
          <w:sz w:val="24"/>
          <w:szCs w:val="24"/>
        </w:rPr>
      </w:pPr>
      <w:r w:rsidRPr="00E41467">
        <w:rPr>
          <w:rFonts w:ascii="Arial" w:hAnsi="Arial" w:cs="Arial"/>
          <w:sz w:val="24"/>
          <w:szCs w:val="24"/>
        </w:rPr>
        <w:t xml:space="preserve">Ethical governance also helps create trust in the long-run between the shareholders and boosts brand image, especially in a sector that has been condemned over electronic waste and consumption of resources. </w:t>
      </w:r>
    </w:p>
    <w:p w:rsidR="00DA1A6B" w:rsidRPr="004B2484" w:rsidRDefault="00DD2146" w:rsidP="004B2484">
      <w:pPr>
        <w:pStyle w:val="Heading2"/>
        <w:spacing w:after="240"/>
        <w:rPr>
          <w:rFonts w:ascii="Arial" w:hAnsi="Arial" w:cs="Arial"/>
          <w:b/>
          <w:color w:val="auto"/>
        </w:rPr>
      </w:pPr>
      <w:bookmarkStart w:id="46" w:name="_Toc217117694"/>
      <w:r w:rsidRPr="00E41467">
        <w:rPr>
          <w:rFonts w:ascii="Arial" w:hAnsi="Arial" w:cs="Arial"/>
          <w:b/>
          <w:color w:val="auto"/>
        </w:rPr>
        <w:t>3.5 Recommended Restructuring Strategy</w:t>
      </w:r>
      <w:bookmarkEnd w:id="46"/>
    </w:p>
    <w:p w:rsidR="00F806DA" w:rsidRPr="00E41467" w:rsidRDefault="00F806DA" w:rsidP="004B2484">
      <w:pPr>
        <w:spacing w:after="240" w:line="360" w:lineRule="auto"/>
        <w:jc w:val="both"/>
        <w:rPr>
          <w:rFonts w:ascii="Arial" w:hAnsi="Arial" w:cs="Arial"/>
          <w:sz w:val="24"/>
          <w:szCs w:val="24"/>
        </w:rPr>
      </w:pPr>
      <w:r w:rsidRPr="00E41467">
        <w:rPr>
          <w:rFonts w:ascii="Arial" w:hAnsi="Arial" w:cs="Arial"/>
          <w:b/>
          <w:sz w:val="24"/>
          <w:szCs w:val="24"/>
        </w:rPr>
        <w:t>Restructuring:</w:t>
      </w:r>
      <w:r w:rsidRPr="00E41467">
        <w:rPr>
          <w:rFonts w:ascii="Arial" w:hAnsi="Arial" w:cs="Arial"/>
          <w:sz w:val="24"/>
          <w:szCs w:val="24"/>
        </w:rPr>
        <w:t xml:space="preserve"> It is proposed that a hybrid restructuring strategy will be implemented:</w:t>
      </w:r>
    </w:p>
    <w:p w:rsidR="00F806DA" w:rsidRPr="00E41467" w:rsidRDefault="00F806DA" w:rsidP="00170687">
      <w:pPr>
        <w:spacing w:line="360" w:lineRule="auto"/>
        <w:jc w:val="both"/>
        <w:rPr>
          <w:rFonts w:ascii="Arial" w:hAnsi="Arial" w:cs="Arial"/>
          <w:sz w:val="24"/>
          <w:szCs w:val="24"/>
        </w:rPr>
      </w:pPr>
      <w:r w:rsidRPr="00E41467">
        <w:rPr>
          <w:rFonts w:ascii="Arial" w:hAnsi="Arial" w:cs="Arial"/>
          <w:b/>
          <w:sz w:val="24"/>
          <w:szCs w:val="24"/>
        </w:rPr>
        <w:t>Sell Non-Core Divisions:</w:t>
      </w:r>
      <w:r w:rsidRPr="00E41467">
        <w:rPr>
          <w:rFonts w:ascii="Arial" w:hAnsi="Arial" w:cs="Arial"/>
          <w:sz w:val="24"/>
          <w:szCs w:val="24"/>
        </w:rPr>
        <w:t xml:space="preserve"> Sell non-performing business units to raise money to settle debt and invest in innovation.</w:t>
      </w:r>
    </w:p>
    <w:p w:rsidR="00F806DA" w:rsidRPr="00E41467" w:rsidRDefault="00F806DA" w:rsidP="00170687">
      <w:pPr>
        <w:spacing w:line="360" w:lineRule="auto"/>
        <w:jc w:val="both"/>
        <w:rPr>
          <w:rFonts w:ascii="Arial" w:hAnsi="Arial" w:cs="Arial"/>
          <w:sz w:val="24"/>
          <w:szCs w:val="24"/>
        </w:rPr>
      </w:pPr>
      <w:r w:rsidRPr="00E41467">
        <w:rPr>
          <w:rFonts w:ascii="Arial" w:hAnsi="Arial" w:cs="Arial"/>
          <w:b/>
          <w:sz w:val="24"/>
          <w:szCs w:val="24"/>
        </w:rPr>
        <w:lastRenderedPageBreak/>
        <w:t>Introduce Equity Infusion:</w:t>
      </w:r>
      <w:r w:rsidRPr="00E41467">
        <w:rPr>
          <w:rFonts w:ascii="Arial" w:hAnsi="Arial" w:cs="Arial"/>
          <w:sz w:val="24"/>
          <w:szCs w:val="24"/>
        </w:rPr>
        <w:t xml:space="preserve"> Issue a rights issue to strategic ESG investors in order to reinforce equity and establish a message of confidence.</w:t>
      </w:r>
    </w:p>
    <w:p w:rsidR="00F806DA" w:rsidRPr="00E41467" w:rsidRDefault="00F806DA" w:rsidP="00170687">
      <w:pPr>
        <w:spacing w:line="360" w:lineRule="auto"/>
        <w:jc w:val="both"/>
        <w:rPr>
          <w:rFonts w:ascii="Arial" w:hAnsi="Arial" w:cs="Arial"/>
          <w:sz w:val="24"/>
          <w:szCs w:val="24"/>
        </w:rPr>
      </w:pPr>
      <w:r w:rsidRPr="00E41467">
        <w:rPr>
          <w:rFonts w:ascii="Arial" w:hAnsi="Arial" w:cs="Arial"/>
          <w:b/>
          <w:sz w:val="24"/>
          <w:szCs w:val="24"/>
        </w:rPr>
        <w:t>Seek Strategic Alliance:</w:t>
      </w:r>
      <w:r w:rsidRPr="00E41467">
        <w:rPr>
          <w:rFonts w:ascii="Arial" w:hAnsi="Arial" w:cs="Arial"/>
          <w:sz w:val="24"/>
          <w:szCs w:val="24"/>
        </w:rPr>
        <w:t xml:space="preserve"> Form a joint venture with a technology player to share the benefits of innovation and joint R&amp;D without the risks of complete merger.</w:t>
      </w:r>
    </w:p>
    <w:p w:rsidR="00F806DA" w:rsidRPr="00E41467" w:rsidRDefault="00F806DA" w:rsidP="00170687">
      <w:pPr>
        <w:spacing w:line="360" w:lineRule="auto"/>
        <w:jc w:val="both"/>
        <w:rPr>
          <w:rFonts w:ascii="Arial" w:hAnsi="Arial" w:cs="Arial"/>
          <w:sz w:val="24"/>
          <w:szCs w:val="24"/>
        </w:rPr>
      </w:pPr>
      <w:r w:rsidRPr="00E41467">
        <w:rPr>
          <w:rFonts w:ascii="Arial" w:hAnsi="Arial" w:cs="Arial"/>
          <w:b/>
          <w:sz w:val="24"/>
          <w:szCs w:val="24"/>
        </w:rPr>
        <w:t>Restructure Debt Portfolio:</w:t>
      </w:r>
      <w:r w:rsidRPr="00E41467">
        <w:rPr>
          <w:rFonts w:ascii="Arial" w:hAnsi="Arial" w:cs="Arial"/>
          <w:sz w:val="24"/>
          <w:szCs w:val="24"/>
        </w:rPr>
        <w:t xml:space="preserve"> Refinance the high interest liabilities through the long-term fixed rate instrument to minimise interest and inflation risk.</w:t>
      </w:r>
    </w:p>
    <w:p w:rsidR="00F806DA" w:rsidRPr="00E41467" w:rsidRDefault="00F806DA" w:rsidP="00170687">
      <w:pPr>
        <w:spacing w:line="360" w:lineRule="auto"/>
        <w:jc w:val="both"/>
        <w:rPr>
          <w:rFonts w:ascii="Arial" w:hAnsi="Arial" w:cs="Arial"/>
          <w:sz w:val="24"/>
          <w:szCs w:val="24"/>
        </w:rPr>
      </w:pPr>
      <w:r w:rsidRPr="00E41467">
        <w:rPr>
          <w:rFonts w:ascii="Arial" w:hAnsi="Arial" w:cs="Arial"/>
          <w:b/>
          <w:sz w:val="24"/>
          <w:szCs w:val="24"/>
        </w:rPr>
        <w:t>Enhance Global Governance:</w:t>
      </w:r>
      <w:r w:rsidRPr="00E41467">
        <w:rPr>
          <w:rFonts w:ascii="Arial" w:hAnsi="Arial" w:cs="Arial"/>
          <w:sz w:val="24"/>
          <w:szCs w:val="24"/>
        </w:rPr>
        <w:t xml:space="preserve"> In order to manage both currency and liquidity risks, establish a central treasury position and a risk management mechanism.</w:t>
      </w:r>
    </w:p>
    <w:p w:rsidR="00F806DA" w:rsidRPr="00E41467" w:rsidRDefault="00F806DA" w:rsidP="00170687">
      <w:pPr>
        <w:spacing w:line="360" w:lineRule="auto"/>
        <w:jc w:val="both"/>
        <w:rPr>
          <w:rFonts w:ascii="Arial" w:hAnsi="Arial" w:cs="Arial"/>
          <w:sz w:val="24"/>
          <w:szCs w:val="24"/>
        </w:rPr>
      </w:pPr>
    </w:p>
    <w:p w:rsidR="00F806DA" w:rsidRPr="004B2484" w:rsidRDefault="00F806DA" w:rsidP="004B2484">
      <w:pPr>
        <w:pStyle w:val="Heading2"/>
        <w:spacing w:after="240"/>
        <w:rPr>
          <w:rFonts w:ascii="Arial" w:hAnsi="Arial" w:cs="Arial"/>
          <w:b/>
          <w:color w:val="auto"/>
        </w:rPr>
      </w:pPr>
      <w:bookmarkStart w:id="47" w:name="_Toc217117695"/>
      <w:r w:rsidRPr="00E41467">
        <w:rPr>
          <w:rFonts w:ascii="Arial" w:hAnsi="Arial" w:cs="Arial"/>
          <w:b/>
          <w:color w:val="auto"/>
        </w:rPr>
        <w:t>3.6 Conclusion</w:t>
      </w:r>
      <w:bookmarkEnd w:id="47"/>
    </w:p>
    <w:p w:rsidR="00F806DA" w:rsidRPr="00E41467" w:rsidRDefault="00F806DA" w:rsidP="00CC20E9">
      <w:pPr>
        <w:spacing w:after="240" w:line="360" w:lineRule="auto"/>
        <w:jc w:val="both"/>
        <w:rPr>
          <w:rFonts w:ascii="Arial" w:hAnsi="Arial" w:cs="Arial"/>
          <w:sz w:val="24"/>
          <w:szCs w:val="24"/>
        </w:rPr>
      </w:pPr>
      <w:r w:rsidRPr="00E41467">
        <w:rPr>
          <w:rFonts w:ascii="Arial" w:hAnsi="Arial" w:cs="Arial"/>
          <w:sz w:val="24"/>
          <w:szCs w:val="24"/>
        </w:rPr>
        <w:t xml:space="preserve">General Electric restocking of its finances must not be limited to the restoration of its balance sheet, its financial, operational and moral realignment is needed. The firm can use divestiture, equity recapitalisation and targeted alliances in restoring the firm to its solvency and rewining the confidence of the market. </w:t>
      </w:r>
    </w:p>
    <w:p w:rsidR="00FE3429" w:rsidRPr="004B2484" w:rsidRDefault="00337500" w:rsidP="004B2484">
      <w:pPr>
        <w:pStyle w:val="Heading1"/>
        <w:spacing w:after="240"/>
        <w:rPr>
          <w:rFonts w:ascii="Arial" w:eastAsia="Times New Roman" w:hAnsi="Arial" w:cs="Arial"/>
          <w:b/>
          <w:color w:val="auto"/>
          <w:lang w:val="en-GB" w:eastAsia="en-GB"/>
        </w:rPr>
      </w:pPr>
      <w:bookmarkStart w:id="48" w:name="_Toc217117696"/>
      <w:r w:rsidRPr="00E41467">
        <w:rPr>
          <w:rFonts w:ascii="Arial" w:eastAsia="Times New Roman" w:hAnsi="Arial" w:cs="Arial"/>
          <w:b/>
          <w:color w:val="auto"/>
          <w:lang w:val="en-GB" w:eastAsia="en-GB"/>
        </w:rPr>
        <w:t>4. Investment Appraisal and Capital Budgeting</w:t>
      </w:r>
      <w:bookmarkEnd w:id="48"/>
    </w:p>
    <w:p w:rsidR="00FE3429" w:rsidRPr="004B2484" w:rsidRDefault="00337500" w:rsidP="004B2484">
      <w:pPr>
        <w:pStyle w:val="Heading2"/>
        <w:spacing w:after="240"/>
        <w:rPr>
          <w:rFonts w:ascii="Arial" w:eastAsia="Times New Roman" w:hAnsi="Arial" w:cs="Arial"/>
          <w:b/>
          <w:color w:val="auto"/>
          <w:lang w:val="en-GB" w:eastAsia="en-GB"/>
        </w:rPr>
      </w:pPr>
      <w:bookmarkStart w:id="49" w:name="_Toc217117697"/>
      <w:r w:rsidRPr="00E41467">
        <w:rPr>
          <w:rFonts w:ascii="Arial" w:eastAsia="Times New Roman" w:hAnsi="Arial" w:cs="Arial"/>
          <w:b/>
          <w:color w:val="auto"/>
          <w:lang w:val="en-GB" w:eastAsia="en-GB"/>
        </w:rPr>
        <w:t>4.1 Introduction</w:t>
      </w:r>
      <w:bookmarkEnd w:id="49"/>
    </w:p>
    <w:p w:rsidR="00F806DA" w:rsidRPr="00E41467" w:rsidRDefault="00F806DA" w:rsidP="004B2484">
      <w:pPr>
        <w:spacing w:after="240"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The critical element of corporate financial management is investment appraisal, which gives analytical foundation in the decisions of capital allocation (Arnold and Lewis, 2019). This is aimed at ensuring that the projects are discovered to maximise shareholder value without jeopardising financial stability. Being a new CFO of a General Electronics, a financially troubled multinational, it is necessary to use the strict capital budgeting methods to make the limited financial resources better allocation. The section compares three competing investment projects, which are Projects A, B, and C, with the help of various appraisal techniques Payback Period (PBP), Accounting rate of return (ARR), </w:t>
      </w:r>
      <w:r w:rsidR="00CC20E9" w:rsidRPr="00E41467">
        <w:rPr>
          <w:rFonts w:ascii="Arial" w:eastAsia="Times New Roman" w:hAnsi="Arial" w:cs="Arial"/>
          <w:sz w:val="24"/>
          <w:szCs w:val="24"/>
          <w:lang w:val="en-GB" w:eastAsia="en-GB"/>
        </w:rPr>
        <w:t>and Net</w:t>
      </w:r>
      <w:r w:rsidRPr="00E41467">
        <w:rPr>
          <w:rFonts w:ascii="Arial" w:eastAsia="Times New Roman" w:hAnsi="Arial" w:cs="Arial"/>
          <w:sz w:val="24"/>
          <w:szCs w:val="24"/>
          <w:lang w:val="en-GB" w:eastAsia="en-GB"/>
        </w:rPr>
        <w:t xml:space="preserve"> Present Value (NPV), Profitability Index (PI), and Internal rate of return (IRR).</w:t>
      </w:r>
    </w:p>
    <w:p w:rsidR="00337500" w:rsidRPr="00E41467" w:rsidRDefault="00F806DA"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The analysis will assume a 10 percent discount rate, which represents a weighted average of the cost of capital (WACC) in the firm, and depreciation to zero at a straight </w:t>
      </w:r>
      <w:r w:rsidRPr="00E41467">
        <w:rPr>
          <w:rFonts w:ascii="Arial" w:eastAsia="Times New Roman" w:hAnsi="Arial" w:cs="Arial"/>
          <w:sz w:val="24"/>
          <w:szCs w:val="24"/>
          <w:lang w:val="en-GB" w:eastAsia="en-GB"/>
        </w:rPr>
        <w:lastRenderedPageBreak/>
        <w:t>line over the five years. Due to the liquidity position of the company, a capital rationing limit of £60 million is applied. The analysis will determine the best combination of projects that is value-accretive to be done with this financial constraint.</w:t>
      </w:r>
    </w:p>
    <w:p w:rsidR="00337500" w:rsidRPr="00E41467" w:rsidRDefault="00337500" w:rsidP="00FE3429">
      <w:pPr>
        <w:pStyle w:val="Heading2"/>
        <w:rPr>
          <w:rFonts w:ascii="Arial" w:eastAsia="Times New Roman" w:hAnsi="Arial" w:cs="Arial"/>
          <w:b/>
          <w:color w:val="auto"/>
          <w:lang w:val="en-GB" w:eastAsia="en-GB"/>
        </w:rPr>
      </w:pPr>
      <w:bookmarkStart w:id="50" w:name="_Toc217117698"/>
      <w:r w:rsidRPr="00E41467">
        <w:rPr>
          <w:rFonts w:ascii="Arial" w:eastAsia="Times New Roman" w:hAnsi="Arial" w:cs="Arial"/>
          <w:b/>
          <w:color w:val="auto"/>
          <w:lang w:val="en-GB" w:eastAsia="en-GB"/>
        </w:rPr>
        <w:t>4.2 Project Overview</w:t>
      </w:r>
      <w:bookmarkEnd w:id="50"/>
    </w:p>
    <w:p w:rsidR="00DA1A6B" w:rsidRPr="00E41467" w:rsidRDefault="00DA1A6B" w:rsidP="00170687">
      <w:pPr>
        <w:spacing w:line="360" w:lineRule="auto"/>
        <w:jc w:val="both"/>
        <w:rPr>
          <w:rFonts w:ascii="Arial" w:eastAsia="Times New Roman" w:hAnsi="Arial" w:cs="Arial"/>
          <w:b/>
          <w:bCs/>
          <w:sz w:val="24"/>
          <w:szCs w:val="24"/>
          <w:lang w:val="en-GB" w:eastAsia="en-GB"/>
        </w:rPr>
      </w:pP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10"/>
        <w:gridCol w:w="2318"/>
        <w:gridCol w:w="754"/>
        <w:gridCol w:w="754"/>
        <w:gridCol w:w="754"/>
        <w:gridCol w:w="754"/>
        <w:gridCol w:w="754"/>
        <w:gridCol w:w="2352"/>
      </w:tblGrid>
      <w:tr w:rsidR="00E41467" w:rsidRPr="00E41467" w:rsidTr="004B2484">
        <w:trPr>
          <w:tblHeader/>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Initial Investment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 1</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 2</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 3</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 4</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 5</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Total Cash Inflows (£m)</w:t>
            </w:r>
          </w:p>
        </w:tc>
      </w:tr>
      <w:tr w:rsidR="00E41467" w:rsidRPr="00E41467" w:rsidTr="004B2484">
        <w:trPr>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12</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14</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54</w:t>
            </w:r>
          </w:p>
        </w:tc>
      </w:tr>
      <w:tr w:rsidR="00E41467" w:rsidRPr="00E41467" w:rsidTr="004B2484">
        <w:trPr>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B</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30</w:t>
            </w:r>
          </w:p>
        </w:tc>
      </w:tr>
      <w:tr w:rsidR="00E41467" w:rsidRPr="00E41467" w:rsidTr="004B2484">
        <w:trPr>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C</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25</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75</w:t>
            </w:r>
          </w:p>
        </w:tc>
      </w:tr>
    </w:tbl>
    <w:p w:rsidR="00337500" w:rsidRPr="00E41467" w:rsidRDefault="00337500" w:rsidP="00170687">
      <w:pPr>
        <w:spacing w:line="360" w:lineRule="auto"/>
        <w:jc w:val="both"/>
        <w:rPr>
          <w:rFonts w:ascii="Arial" w:eastAsia="Times New Roman" w:hAnsi="Arial" w:cs="Arial"/>
          <w:sz w:val="24"/>
          <w:szCs w:val="24"/>
          <w:lang w:val="en-GB" w:eastAsia="en-GB"/>
        </w:rPr>
      </w:pPr>
    </w:p>
    <w:p w:rsidR="00F806DA" w:rsidRPr="00E41467" w:rsidRDefault="00F806DA"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The characteristics of risk-return in each project are different. In project A, there is a gradual yet average cash inflow, which indicates that the operations are stable. Project B is a low-volatility investment of constant returns and low risk. On the other hand, the Project C is back-loaded and produces substantial cash flows over the years, which is characteristic of greater risk but greater reward (Hillier et al., 2021).</w:t>
      </w:r>
    </w:p>
    <w:p w:rsidR="00DA1A6B" w:rsidRPr="00E41467" w:rsidRDefault="00DA1A6B" w:rsidP="00170687">
      <w:pPr>
        <w:spacing w:line="360" w:lineRule="auto"/>
        <w:jc w:val="both"/>
        <w:rPr>
          <w:rFonts w:ascii="Arial" w:eastAsia="Times New Roman" w:hAnsi="Arial" w:cs="Arial"/>
          <w:bCs/>
          <w:sz w:val="24"/>
          <w:szCs w:val="24"/>
          <w:lang w:val="en-GB" w:eastAsia="en-GB"/>
        </w:rPr>
      </w:pPr>
    </w:p>
    <w:p w:rsidR="00337500" w:rsidRPr="00E41467" w:rsidRDefault="00337500" w:rsidP="00FE3429">
      <w:pPr>
        <w:pStyle w:val="Heading2"/>
        <w:rPr>
          <w:rFonts w:ascii="Arial" w:eastAsia="Times New Roman" w:hAnsi="Arial" w:cs="Arial"/>
          <w:b/>
          <w:color w:val="auto"/>
          <w:lang w:val="en-GB" w:eastAsia="en-GB"/>
        </w:rPr>
      </w:pPr>
      <w:bookmarkStart w:id="51" w:name="_Toc217117699"/>
      <w:r w:rsidRPr="00E41467">
        <w:rPr>
          <w:rFonts w:ascii="Arial" w:eastAsia="Times New Roman" w:hAnsi="Arial" w:cs="Arial"/>
          <w:b/>
          <w:color w:val="auto"/>
          <w:lang w:val="en-GB" w:eastAsia="en-GB"/>
        </w:rPr>
        <w:t>4.3 Payback Period (PBP)</w:t>
      </w:r>
      <w:bookmarkEnd w:id="51"/>
    </w:p>
    <w:p w:rsidR="00FE3429" w:rsidRPr="00E41467" w:rsidRDefault="00FE3429" w:rsidP="00170687">
      <w:pPr>
        <w:spacing w:line="360" w:lineRule="auto"/>
        <w:jc w:val="both"/>
        <w:rPr>
          <w:rFonts w:ascii="Arial" w:eastAsia="Times New Roman" w:hAnsi="Arial" w:cs="Arial"/>
          <w:sz w:val="24"/>
          <w:szCs w:val="24"/>
          <w:lang w:val="en-GB" w:eastAsia="en-GB"/>
        </w:rPr>
      </w:pPr>
    </w:p>
    <w:p w:rsidR="00F806DA" w:rsidRPr="00E41467" w:rsidRDefault="00F806DA"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The PBP is the time taken to have cumulative cash inflows that are equivalent to the initial investment. It is a liquidity-oriented, which is favoured in the conditions of uncertainty due to its ability to determine how the capital can be restored in a short time (Atrill &amp; McLaney, 2022).</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4016"/>
        <w:gridCol w:w="3737"/>
      </w:tblGrid>
      <w:tr w:rsidR="00E41467" w:rsidRPr="00E41467" w:rsidTr="004B2484">
        <w:trPr>
          <w:tblHeade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Cumulative Cash Flow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Payback Period</w:t>
            </w:r>
          </w:p>
        </w:tc>
      </w:tr>
      <w:tr w:rsidR="00E41467" w:rsidRPr="00E41467" w:rsidTr="004B2484">
        <w:trP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Yr1:10, Yr2:22, Yr3:36, Yr4:46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Between Yr3 and Yr4 → </w:t>
            </w:r>
            <w:r w:rsidRPr="00E41467">
              <w:rPr>
                <w:rFonts w:ascii="Arial" w:eastAsia="Times New Roman" w:hAnsi="Arial" w:cs="Arial"/>
                <w:bCs/>
                <w:sz w:val="24"/>
                <w:szCs w:val="24"/>
                <w:lang w:val="en-GB" w:eastAsia="en-GB"/>
              </w:rPr>
              <w:t>3.3 years</w:t>
            </w:r>
          </w:p>
        </w:tc>
      </w:tr>
      <w:tr w:rsidR="00E41467" w:rsidRPr="00E41467" w:rsidTr="004B2484">
        <w:trP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lastRenderedPageBreak/>
              <w:t>B</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Yr1:6, Yr2:12, Yr3:18, Yr4:24, Yr5:30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5 years</w:t>
            </w:r>
          </w:p>
        </w:tc>
      </w:tr>
      <w:tr w:rsidR="00E41467" w:rsidRPr="00E41467" w:rsidTr="004B2484">
        <w:trP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C</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Yr1:5, Yr2:15, Yr3:35, Yr4:60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Between Yr3 and Yr4 → </w:t>
            </w:r>
            <w:r w:rsidRPr="00E41467">
              <w:rPr>
                <w:rFonts w:ascii="Arial" w:eastAsia="Times New Roman" w:hAnsi="Arial" w:cs="Arial"/>
                <w:bCs/>
                <w:sz w:val="24"/>
                <w:szCs w:val="24"/>
                <w:lang w:val="en-GB" w:eastAsia="en-GB"/>
              </w:rPr>
              <w:t>3.6 years</w:t>
            </w:r>
          </w:p>
        </w:tc>
      </w:tr>
    </w:tbl>
    <w:p w:rsidR="00DA1A6B" w:rsidRPr="00E41467" w:rsidRDefault="00DA1A6B" w:rsidP="00170687">
      <w:pPr>
        <w:spacing w:line="360" w:lineRule="auto"/>
        <w:jc w:val="both"/>
        <w:rPr>
          <w:rFonts w:ascii="Arial" w:eastAsia="Times New Roman" w:hAnsi="Arial" w:cs="Arial"/>
          <w:bCs/>
          <w:sz w:val="24"/>
          <w:szCs w:val="24"/>
          <w:lang w:val="en-GB" w:eastAsia="en-GB"/>
        </w:rPr>
      </w:pPr>
    </w:p>
    <w:p w:rsidR="00337500" w:rsidRPr="00E41467" w:rsidRDefault="00337500" w:rsidP="00170687">
      <w:pPr>
        <w:spacing w:line="360" w:lineRule="auto"/>
        <w:jc w:val="both"/>
        <w:rPr>
          <w:rFonts w:ascii="Arial" w:eastAsia="Times New Roman" w:hAnsi="Arial" w:cs="Arial"/>
          <w:b/>
          <w:sz w:val="24"/>
          <w:szCs w:val="24"/>
          <w:lang w:val="en-GB" w:eastAsia="en-GB"/>
        </w:rPr>
      </w:pPr>
      <w:r w:rsidRPr="00E41467">
        <w:rPr>
          <w:rFonts w:ascii="Arial" w:eastAsia="Times New Roman" w:hAnsi="Arial" w:cs="Arial"/>
          <w:b/>
          <w:bCs/>
          <w:sz w:val="24"/>
          <w:szCs w:val="24"/>
          <w:lang w:val="en-GB" w:eastAsia="en-GB"/>
        </w:rPr>
        <w:t>Interpretation:</w:t>
      </w:r>
    </w:p>
    <w:p w:rsidR="00DA1A6B" w:rsidRPr="004B2484" w:rsidRDefault="00F806DA"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Project </w:t>
      </w:r>
      <w:r w:rsidR="004B2484" w:rsidRPr="00E41467">
        <w:rPr>
          <w:rFonts w:ascii="Arial" w:eastAsia="Times New Roman" w:hAnsi="Arial" w:cs="Arial"/>
          <w:sz w:val="24"/>
          <w:szCs w:val="24"/>
          <w:lang w:val="en-GB" w:eastAsia="en-GB"/>
        </w:rPr>
        <w:t>a</w:t>
      </w:r>
      <w:r w:rsidRPr="00E41467">
        <w:rPr>
          <w:rFonts w:ascii="Arial" w:eastAsia="Times New Roman" w:hAnsi="Arial" w:cs="Arial"/>
          <w:sz w:val="24"/>
          <w:szCs w:val="24"/>
          <w:lang w:val="en-GB" w:eastAsia="en-GB"/>
        </w:rPr>
        <w:t xml:space="preserve"> breaks even within the least amount of time (3.3 years), and closely after it is Project C (3.6 years). Project B is also not attractive during liquidity stress because it has a longer recovery period (5 years). PBP, however, does not take into consideration post-payback cash flows and time value of money, which restricts its applicability in strategic and long-term decisions (B</w:t>
      </w:r>
      <w:r w:rsidR="004B2484">
        <w:rPr>
          <w:rFonts w:ascii="Arial" w:eastAsia="Times New Roman" w:hAnsi="Arial" w:cs="Arial"/>
          <w:sz w:val="24"/>
          <w:szCs w:val="24"/>
          <w:lang w:val="en-GB" w:eastAsia="en-GB"/>
        </w:rPr>
        <w:t>realey, Myers and Allen, 2020).</w:t>
      </w:r>
    </w:p>
    <w:p w:rsidR="00337500" w:rsidRPr="00E41467" w:rsidRDefault="00337500" w:rsidP="00FE3429">
      <w:pPr>
        <w:pStyle w:val="Heading2"/>
        <w:rPr>
          <w:rFonts w:ascii="Arial" w:eastAsia="Times New Roman" w:hAnsi="Arial" w:cs="Arial"/>
          <w:b/>
          <w:color w:val="auto"/>
          <w:lang w:val="en-GB" w:eastAsia="en-GB"/>
        </w:rPr>
      </w:pPr>
      <w:bookmarkStart w:id="52" w:name="_Toc217117700"/>
      <w:r w:rsidRPr="00E41467">
        <w:rPr>
          <w:rFonts w:ascii="Arial" w:eastAsia="Times New Roman" w:hAnsi="Arial" w:cs="Arial"/>
          <w:b/>
          <w:color w:val="auto"/>
          <w:lang w:val="en-GB" w:eastAsia="en-GB"/>
        </w:rPr>
        <w:t>4.4 Accounting Rate of Return (ARR)</w:t>
      </w:r>
      <w:bookmarkEnd w:id="52"/>
    </w:p>
    <w:p w:rsidR="00FE3429" w:rsidRPr="00E41467" w:rsidRDefault="00FE3429" w:rsidP="00DA1A6B">
      <w:pPr>
        <w:spacing w:line="360" w:lineRule="auto"/>
        <w:jc w:val="center"/>
        <w:rPr>
          <w:rFonts w:ascii="Arial" w:hAnsi="Arial" w:cs="Arial"/>
          <w:sz w:val="24"/>
        </w:rPr>
      </w:pPr>
    </w:p>
    <w:p w:rsidR="00DA1A6B" w:rsidRPr="00E41467" w:rsidRDefault="00DA1A6B" w:rsidP="00DA1A6B">
      <w:pPr>
        <w:spacing w:line="360" w:lineRule="auto"/>
        <w:jc w:val="center"/>
        <w:rPr>
          <w:rFonts w:ascii="Arial" w:hAnsi="Arial" w:cs="Arial"/>
          <w:sz w:val="24"/>
          <w:szCs w:val="24"/>
          <w:lang w:eastAsia="en-GB"/>
        </w:rPr>
      </w:pPr>
      <w:r w:rsidRPr="00E41467">
        <w:rPr>
          <w:rFonts w:ascii="Arial" w:hAnsi="Arial" w:cs="Arial"/>
          <w:sz w:val="24"/>
        </w:rPr>
        <w:t xml:space="preserve">ARR= </w:t>
      </w:r>
      <m:oMath>
        <m:f>
          <m:fPr>
            <m:ctrlPr>
              <w:rPr>
                <w:rFonts w:ascii="Cambria Math" w:hAnsi="Cambria Math" w:cs="Arial"/>
                <w:i/>
                <w:sz w:val="24"/>
                <w:szCs w:val="24"/>
              </w:rPr>
            </m:ctrlPr>
          </m:fPr>
          <m:num>
            <m:r>
              <w:rPr>
                <w:rFonts w:ascii="Cambria Math" w:hAnsi="Cambria Math" w:cs="Arial"/>
                <w:sz w:val="24"/>
                <w:szCs w:val="24"/>
              </w:rPr>
              <m:t xml:space="preserve">Average Accounting Profit </m:t>
            </m:r>
          </m:num>
          <m:den>
            <m:r>
              <w:rPr>
                <w:rFonts w:ascii="Cambria Math" w:hAnsi="Cambria Math" w:cs="Arial"/>
                <w:sz w:val="24"/>
                <w:szCs w:val="24"/>
              </w:rPr>
              <m:t>Initial Investment</m:t>
            </m:r>
          </m:den>
        </m:f>
        <m:r>
          <w:rPr>
            <w:rFonts w:ascii="Cambria Math" w:hAnsi="Cambria Math" w:cs="Arial"/>
            <w:sz w:val="24"/>
            <w:szCs w:val="24"/>
          </w:rPr>
          <m:t>x100</m:t>
        </m:r>
      </m:oMath>
    </w:p>
    <w:p w:rsidR="00DA1A6B" w:rsidRPr="00E41467" w:rsidRDefault="00DA1A6B" w:rsidP="00170687">
      <w:pPr>
        <w:spacing w:line="360" w:lineRule="auto"/>
        <w:jc w:val="both"/>
        <w:rPr>
          <w:rFonts w:ascii="Arial" w:eastAsia="Times New Roman" w:hAnsi="Arial" w:cs="Arial"/>
          <w:sz w:val="24"/>
          <w:szCs w:val="24"/>
          <w:lang w:val="en-GB" w:eastAsia="en-GB"/>
        </w:rPr>
      </w:pPr>
    </w:p>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Assuming straight-line depreciation:</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909"/>
        <w:gridCol w:w="3319"/>
        <w:gridCol w:w="2017"/>
        <w:gridCol w:w="2094"/>
        <w:gridCol w:w="1011"/>
      </w:tblGrid>
      <w:tr w:rsidR="00E41467" w:rsidRPr="00E41467" w:rsidTr="004B2484">
        <w:trPr>
          <w:tblHeade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Average Annual Cash Flow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Depreciation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Average Profit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ARR (%)</w:t>
            </w:r>
          </w:p>
        </w:tc>
      </w:tr>
      <w:tr w:rsidR="00E41467" w:rsidRPr="00E41467" w:rsidTr="004B2484">
        <w:trP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10.8</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2.8</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7.0%</w:t>
            </w:r>
          </w:p>
        </w:tc>
      </w:tr>
      <w:tr w:rsidR="00E41467" w:rsidRPr="00E41467" w:rsidTr="004B2484">
        <w:trP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B</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w:t>
            </w:r>
          </w:p>
        </w:tc>
      </w:tr>
      <w:tr w:rsidR="00E41467" w:rsidRPr="00E41467" w:rsidTr="004B2484">
        <w:trPr>
          <w:tblCellSpacing w:w="15" w:type="dxa"/>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C</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10.0%</w:t>
            </w:r>
          </w:p>
        </w:tc>
      </w:tr>
    </w:tbl>
    <w:p w:rsidR="00DA1A6B" w:rsidRPr="00E41467" w:rsidRDefault="00DA1A6B" w:rsidP="00170687">
      <w:pPr>
        <w:spacing w:line="360" w:lineRule="auto"/>
        <w:jc w:val="both"/>
        <w:rPr>
          <w:rFonts w:ascii="Arial" w:eastAsia="Times New Roman" w:hAnsi="Arial" w:cs="Arial"/>
          <w:bCs/>
          <w:sz w:val="24"/>
          <w:szCs w:val="24"/>
          <w:lang w:val="en-GB" w:eastAsia="en-GB"/>
        </w:rPr>
      </w:pPr>
    </w:p>
    <w:p w:rsidR="00337500" w:rsidRPr="004B2484" w:rsidRDefault="00337500"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Interpretation:</w:t>
      </w:r>
      <w:r w:rsidRPr="00E41467">
        <w:rPr>
          <w:rFonts w:ascii="Arial" w:eastAsia="Times New Roman" w:hAnsi="Arial" w:cs="Arial"/>
          <w:sz w:val="24"/>
          <w:szCs w:val="24"/>
          <w:lang w:val="en-GB" w:eastAsia="en-GB"/>
        </w:rPr>
        <w:br/>
      </w:r>
      <w:r w:rsidR="00F806DA" w:rsidRPr="00E41467">
        <w:rPr>
          <w:rFonts w:ascii="Arial" w:eastAsia="Times New Roman" w:hAnsi="Arial" w:cs="Arial"/>
          <w:sz w:val="24"/>
          <w:szCs w:val="24"/>
          <w:lang w:val="en-GB" w:eastAsia="en-GB"/>
        </w:rPr>
        <w:t xml:space="preserve">Project C has the best ARR (10 percent) which is higher than the cost of capital and has a better accounting profitability. The ARR of 7% in Project A is moderate whereas in </w:t>
      </w:r>
      <w:r w:rsidR="00F806DA" w:rsidRPr="00E41467">
        <w:rPr>
          <w:rFonts w:ascii="Arial" w:eastAsia="Times New Roman" w:hAnsi="Arial" w:cs="Arial"/>
          <w:sz w:val="24"/>
          <w:szCs w:val="24"/>
          <w:lang w:val="en-GB" w:eastAsia="en-GB"/>
        </w:rPr>
        <w:lastRenderedPageBreak/>
        <w:t>Project B, ARR is 0% and is therefore not an accounting gain. Despite being easy to comprehend, ARR is less effective to appraise investment because it is based on accounting numbers and not cash flows (Ross et al., 2021).</w:t>
      </w:r>
    </w:p>
    <w:p w:rsidR="00FE3429" w:rsidRPr="004B2484" w:rsidRDefault="00337500" w:rsidP="004B2484">
      <w:pPr>
        <w:pStyle w:val="Heading2"/>
        <w:spacing w:after="240"/>
        <w:rPr>
          <w:rFonts w:ascii="Arial" w:eastAsia="Times New Roman" w:hAnsi="Arial" w:cs="Arial"/>
          <w:b/>
          <w:color w:val="auto"/>
          <w:lang w:val="en-GB" w:eastAsia="en-GB"/>
        </w:rPr>
      </w:pPr>
      <w:bookmarkStart w:id="53" w:name="_Toc217117701"/>
      <w:r w:rsidRPr="00E41467">
        <w:rPr>
          <w:rFonts w:ascii="Arial" w:eastAsia="Times New Roman" w:hAnsi="Arial" w:cs="Arial"/>
          <w:b/>
          <w:color w:val="auto"/>
          <w:lang w:val="en-GB" w:eastAsia="en-GB"/>
        </w:rPr>
        <w:t>4.5 Net Present Value (NPV)</w:t>
      </w:r>
      <w:bookmarkEnd w:id="53"/>
    </w:p>
    <w:p w:rsidR="00337500" w:rsidRPr="00E41467" w:rsidRDefault="00337500" w:rsidP="004B2484">
      <w:pPr>
        <w:spacing w:after="240"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NPV discounts future cash inflows to their present value using the 10% discount rate:</w:t>
      </w:r>
    </w:p>
    <w:p w:rsidR="00DA1A6B" w:rsidRPr="004B2484" w:rsidRDefault="00DA1A6B" w:rsidP="004B2484">
      <w:pPr>
        <w:spacing w:line="360" w:lineRule="auto"/>
        <w:jc w:val="center"/>
        <w:rPr>
          <w:rFonts w:ascii="Arial" w:hAnsi="Arial" w:cs="Arial"/>
          <w:sz w:val="32"/>
        </w:rPr>
      </w:pPr>
      <w:r w:rsidRPr="00E41467">
        <w:rPr>
          <w:rFonts w:ascii="Arial" w:hAnsi="Arial" w:cs="Arial"/>
          <w:sz w:val="32"/>
        </w:rPr>
        <w:t xml:space="preserve">NPV= </w:t>
      </w:r>
      <m:oMath>
        <m:nary>
          <m:naryPr>
            <m:chr m:val="∑"/>
            <m:limLoc m:val="undOvr"/>
            <m:ctrlPr>
              <w:rPr>
                <w:rFonts w:ascii="Cambria Math" w:hAnsi="Cambria Math" w:cs="Arial"/>
                <w:i/>
                <w:sz w:val="32"/>
              </w:rPr>
            </m:ctrlPr>
          </m:naryPr>
          <m:sub>
            <m:r>
              <w:rPr>
                <w:rFonts w:ascii="Cambria Math" w:hAnsi="Cambria Math" w:cs="Arial"/>
                <w:sz w:val="32"/>
              </w:rPr>
              <m:t>t=1</m:t>
            </m:r>
          </m:sub>
          <m:sup>
            <m:r>
              <w:rPr>
                <w:rFonts w:ascii="Cambria Math" w:hAnsi="Cambria Math" w:cs="Arial"/>
                <w:sz w:val="32"/>
              </w:rPr>
              <m:t>n</m:t>
            </m:r>
          </m:sup>
          <m:e>
            <m:f>
              <m:fPr>
                <m:ctrlPr>
                  <w:rPr>
                    <w:rFonts w:ascii="Cambria Math" w:hAnsi="Cambria Math" w:cs="Arial"/>
                    <w:i/>
                    <w:sz w:val="32"/>
                  </w:rPr>
                </m:ctrlPr>
              </m:fPr>
              <m:num>
                <m:r>
                  <w:rPr>
                    <w:rFonts w:ascii="Cambria Math" w:hAnsi="Cambria Math" w:cs="Arial"/>
                    <w:sz w:val="32"/>
                  </w:rPr>
                  <m:t>CFt</m:t>
                </m:r>
              </m:num>
              <m:den>
                <m:d>
                  <m:dPr>
                    <m:ctrlPr>
                      <w:rPr>
                        <w:rFonts w:ascii="Cambria Math" w:hAnsi="Cambria Math" w:cs="Arial"/>
                        <w:i/>
                        <w:sz w:val="32"/>
                      </w:rPr>
                    </m:ctrlPr>
                  </m:dPr>
                  <m:e>
                    <m:r>
                      <w:rPr>
                        <w:rFonts w:ascii="Cambria Math" w:hAnsi="Cambria Math" w:cs="Arial"/>
                        <w:sz w:val="32"/>
                      </w:rPr>
                      <m:t>1+r</m:t>
                    </m:r>
                  </m:e>
                </m:d>
                <m:r>
                  <w:rPr>
                    <w:rFonts w:ascii="Cambria Math" w:hAnsi="Cambria Math" w:cs="Arial"/>
                    <w:sz w:val="32"/>
                  </w:rPr>
                  <m:t>t</m:t>
                </m:r>
              </m:den>
            </m:f>
          </m:e>
        </m:nary>
        <m:r>
          <m:rPr>
            <m:sty m:val="b"/>
          </m:rPr>
          <w:rPr>
            <w:rStyle w:val="mbin"/>
            <w:rFonts w:ascii="Cambria Math" w:hAnsi="Cambria Math" w:cs="Arial"/>
            <w:sz w:val="28"/>
          </w:rPr>
          <m:t>-</m:t>
        </m:r>
        <m:r>
          <m:rPr>
            <m:sty m:val="p"/>
          </m:rPr>
          <w:rPr>
            <w:rStyle w:val="mord"/>
            <w:rFonts w:ascii="Cambria Math" w:hAnsi="Cambria Math" w:cs="Arial"/>
            <w:sz w:val="28"/>
          </w:rPr>
          <m:t>Initial Investment</m:t>
        </m:r>
      </m:oMath>
    </w:p>
    <w:tbl>
      <w:tblPr>
        <w:tblW w:w="936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073"/>
        <w:gridCol w:w="89"/>
        <w:gridCol w:w="2765"/>
        <w:gridCol w:w="1806"/>
        <w:gridCol w:w="1806"/>
        <w:gridCol w:w="1821"/>
      </w:tblGrid>
      <w:tr w:rsidR="004B2484" w:rsidRPr="00E41467" w:rsidTr="004B2484">
        <w:trPr>
          <w:trHeight w:val="563"/>
          <w:tblHeader/>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Year</w:t>
            </w:r>
          </w:p>
        </w:tc>
        <w:tc>
          <w:tcPr>
            <w:tcW w:w="0" w:type="auto"/>
          </w:tcPr>
          <w:p w:rsidR="004B2484" w:rsidRPr="00E41467" w:rsidRDefault="004B2484" w:rsidP="004B2484">
            <w:pPr>
              <w:spacing w:line="360" w:lineRule="auto"/>
              <w:jc w:val="center"/>
              <w:rPr>
                <w:rFonts w:ascii="Arial" w:eastAsia="Times New Roman" w:hAnsi="Arial" w:cs="Arial"/>
                <w:b/>
                <w:bCs/>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Discount Factor (10%)</w:t>
            </w:r>
          </w:p>
        </w:tc>
        <w:tc>
          <w:tcPr>
            <w:tcW w:w="0" w:type="auto"/>
            <w:vAlign w:val="center"/>
            <w:hideMark/>
          </w:tcPr>
          <w:p w:rsidR="004B2484" w:rsidRPr="00E41467" w:rsidRDefault="004B2484"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 A (£m)</w:t>
            </w:r>
          </w:p>
        </w:tc>
        <w:tc>
          <w:tcPr>
            <w:tcW w:w="0" w:type="auto"/>
            <w:vAlign w:val="center"/>
            <w:hideMark/>
          </w:tcPr>
          <w:p w:rsidR="004B2484" w:rsidRPr="00E41467" w:rsidRDefault="004B2484"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 B (£m)</w:t>
            </w:r>
          </w:p>
        </w:tc>
        <w:tc>
          <w:tcPr>
            <w:tcW w:w="0" w:type="auto"/>
            <w:vAlign w:val="center"/>
            <w:hideMark/>
          </w:tcPr>
          <w:p w:rsidR="004B2484" w:rsidRPr="00E41467" w:rsidRDefault="004B2484"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 C (£m)</w:t>
            </w:r>
          </w:p>
        </w:tc>
      </w:tr>
      <w:tr w:rsidR="004B2484" w:rsidRPr="00E41467" w:rsidTr="004B2484">
        <w:trPr>
          <w:trHeight w:val="578"/>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0.909</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9.09</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5.45</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4.55</w:t>
            </w:r>
          </w:p>
        </w:tc>
      </w:tr>
      <w:tr w:rsidR="004B2484" w:rsidRPr="00E41467" w:rsidTr="004B2484">
        <w:trPr>
          <w:trHeight w:val="563"/>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0.826</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9.91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4.96</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8.26</w:t>
            </w:r>
          </w:p>
        </w:tc>
      </w:tr>
      <w:tr w:rsidR="004B2484" w:rsidRPr="00E41467" w:rsidTr="004B2484">
        <w:trPr>
          <w:trHeight w:val="563"/>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0.751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10.51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4.51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15.02</w:t>
            </w:r>
          </w:p>
        </w:tc>
      </w:tr>
      <w:tr w:rsidR="004B2484" w:rsidRPr="00E41467" w:rsidTr="004B2484">
        <w:trPr>
          <w:trHeight w:val="563"/>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0.683</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6.83</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4.10</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17.08</w:t>
            </w:r>
          </w:p>
        </w:tc>
      </w:tr>
      <w:tr w:rsidR="004B2484" w:rsidRPr="00E41467" w:rsidTr="004B2484">
        <w:trPr>
          <w:trHeight w:val="578"/>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0.621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4.97</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3.73</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9.32</w:t>
            </w:r>
          </w:p>
        </w:tc>
      </w:tr>
      <w:tr w:rsidR="004B2484" w:rsidRPr="00E41467" w:rsidTr="004B2484">
        <w:trPr>
          <w:trHeight w:val="563"/>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Total PV</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41.31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22.75</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54.23</w:t>
            </w:r>
          </w:p>
        </w:tc>
      </w:tr>
      <w:tr w:rsidR="004B2484" w:rsidRPr="00E41467" w:rsidTr="004B2484">
        <w:trPr>
          <w:trHeight w:val="563"/>
          <w:tblCellSpacing w:w="15" w:type="dxa"/>
          <w:jc w:val="center"/>
        </w:trPr>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NPV</w:t>
            </w:r>
          </w:p>
        </w:tc>
        <w:tc>
          <w:tcPr>
            <w:tcW w:w="0" w:type="auto"/>
          </w:tcPr>
          <w:p w:rsidR="004B2484" w:rsidRPr="00E41467" w:rsidRDefault="004B2484" w:rsidP="004B2484">
            <w:pPr>
              <w:spacing w:line="360" w:lineRule="auto"/>
              <w:jc w:val="center"/>
              <w:rPr>
                <w:rFonts w:ascii="Arial" w:eastAsia="Times New Roman" w:hAnsi="Arial" w:cs="Arial"/>
                <w:sz w:val="24"/>
                <w:szCs w:val="24"/>
                <w:lang w:val="en-GB" w:eastAsia="en-GB"/>
              </w:rPr>
            </w:pP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+1.31</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–7.25</w:t>
            </w:r>
          </w:p>
        </w:tc>
        <w:tc>
          <w:tcPr>
            <w:tcW w:w="0" w:type="auto"/>
            <w:vAlign w:val="center"/>
            <w:hideMark/>
          </w:tcPr>
          <w:p w:rsidR="004B2484" w:rsidRPr="00E41467" w:rsidRDefault="004B2484"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+4.23</w:t>
            </w:r>
          </w:p>
        </w:tc>
      </w:tr>
    </w:tbl>
    <w:p w:rsidR="00DA1A6B" w:rsidRPr="00E41467" w:rsidRDefault="00DA1A6B" w:rsidP="00170687">
      <w:pPr>
        <w:spacing w:line="360" w:lineRule="auto"/>
        <w:jc w:val="both"/>
        <w:rPr>
          <w:rFonts w:ascii="Arial" w:eastAsia="Times New Roman" w:hAnsi="Arial" w:cs="Arial"/>
          <w:bCs/>
          <w:sz w:val="24"/>
          <w:szCs w:val="24"/>
          <w:lang w:val="en-GB" w:eastAsia="en-GB"/>
        </w:rPr>
      </w:pPr>
    </w:p>
    <w:p w:rsidR="00337500" w:rsidRPr="004B2484" w:rsidRDefault="00337500"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Interpretation:</w:t>
      </w:r>
      <w:r w:rsidRPr="00E41467">
        <w:rPr>
          <w:rFonts w:ascii="Arial" w:eastAsia="Times New Roman" w:hAnsi="Arial" w:cs="Arial"/>
          <w:sz w:val="24"/>
          <w:szCs w:val="24"/>
          <w:lang w:val="en-GB" w:eastAsia="en-GB"/>
        </w:rPr>
        <w:br/>
      </w:r>
      <w:r w:rsidR="00F806DA" w:rsidRPr="00E41467">
        <w:rPr>
          <w:rFonts w:ascii="Arial" w:eastAsia="Times New Roman" w:hAnsi="Arial" w:cs="Arial"/>
          <w:sz w:val="24"/>
          <w:szCs w:val="24"/>
          <w:lang w:val="en-GB" w:eastAsia="en-GB"/>
        </w:rPr>
        <w:t>Project C generates the most NPV (£4.23m) and then Project A (£1.31m). Project B has a negative NPV and this implies value destruction. He ascertains wealth creation directly, and thus must be the main criterion of decision (Brealey, Myers and Allen, 2020).</w:t>
      </w:r>
    </w:p>
    <w:p w:rsidR="00FE3429" w:rsidRPr="004B2484" w:rsidRDefault="00337500" w:rsidP="004B2484">
      <w:pPr>
        <w:pStyle w:val="Heading2"/>
        <w:spacing w:after="240"/>
        <w:rPr>
          <w:rFonts w:ascii="Arial" w:eastAsia="Times New Roman" w:hAnsi="Arial" w:cs="Arial"/>
          <w:b/>
          <w:color w:val="auto"/>
          <w:lang w:val="en-GB" w:eastAsia="en-GB"/>
        </w:rPr>
      </w:pPr>
      <w:bookmarkStart w:id="54" w:name="_Toc217117702"/>
      <w:r w:rsidRPr="00E41467">
        <w:rPr>
          <w:rFonts w:ascii="Arial" w:eastAsia="Times New Roman" w:hAnsi="Arial" w:cs="Arial"/>
          <w:b/>
          <w:color w:val="auto"/>
          <w:lang w:val="en-GB" w:eastAsia="en-GB"/>
        </w:rPr>
        <w:t>4.6 Profitability Index (PI)</w:t>
      </w:r>
      <w:bookmarkEnd w:id="54"/>
    </w:p>
    <w:p w:rsidR="00337500" w:rsidRPr="00E41467" w:rsidRDefault="00337500" w:rsidP="004B2484">
      <w:pPr>
        <w:spacing w:after="240"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PI measures value created per pound invested:</w:t>
      </w:r>
    </w:p>
    <w:p w:rsidR="00DA1A6B" w:rsidRPr="00E41467" w:rsidRDefault="00DA1A6B" w:rsidP="00DA1A6B">
      <w:pPr>
        <w:spacing w:line="360" w:lineRule="auto"/>
        <w:jc w:val="center"/>
        <w:rPr>
          <w:rFonts w:ascii="Arial" w:hAnsi="Arial" w:cs="Arial"/>
          <w:sz w:val="28"/>
          <w:szCs w:val="28"/>
        </w:rPr>
      </w:pPr>
      <w:r w:rsidRPr="00E41467">
        <w:rPr>
          <w:rFonts w:ascii="Arial" w:hAnsi="Arial" w:cs="Arial"/>
          <w:sz w:val="28"/>
          <w:szCs w:val="28"/>
        </w:rPr>
        <w:t xml:space="preserve">PI= </w:t>
      </w:r>
      <m:oMath>
        <m:f>
          <m:fPr>
            <m:ctrlPr>
              <w:rPr>
                <w:rFonts w:ascii="Cambria Math" w:hAnsi="Cambria Math" w:cs="Arial"/>
                <w:i/>
                <w:sz w:val="28"/>
                <w:szCs w:val="28"/>
              </w:rPr>
            </m:ctrlPr>
          </m:fPr>
          <m:num>
            <m:r>
              <w:rPr>
                <w:rFonts w:ascii="Cambria Math" w:hAnsi="Cambria Math" w:cs="Arial"/>
                <w:sz w:val="28"/>
                <w:szCs w:val="28"/>
              </w:rPr>
              <m:t>PV of cash inflows</m:t>
            </m:r>
          </m:num>
          <m:den>
            <m:r>
              <w:rPr>
                <w:rFonts w:ascii="Cambria Math" w:hAnsi="Cambria Math" w:cs="Arial"/>
                <w:sz w:val="28"/>
                <w:szCs w:val="28"/>
              </w:rPr>
              <m:t>Initial Investment</m:t>
            </m:r>
          </m:den>
        </m:f>
      </m:oMath>
    </w:p>
    <w:p w:rsidR="00F806DA" w:rsidRPr="00E41467" w:rsidRDefault="00F806DA" w:rsidP="00170687">
      <w:pPr>
        <w:spacing w:line="360" w:lineRule="auto"/>
        <w:jc w:val="both"/>
        <w:rPr>
          <w:rFonts w:ascii="Arial" w:eastAsia="Times New Roman" w:hAnsi="Arial" w:cs="Arial"/>
          <w:sz w:val="24"/>
          <w:szCs w:val="24"/>
          <w:lang w:val="en-GB" w:eastAsia="en-GB"/>
        </w:rPr>
      </w:pPr>
    </w:p>
    <w:tbl>
      <w:tblPr>
        <w:tblW w:w="8270"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96"/>
        <w:gridCol w:w="2868"/>
        <w:gridCol w:w="3471"/>
        <w:gridCol w:w="735"/>
      </w:tblGrid>
      <w:tr w:rsidR="00E41467" w:rsidRPr="00E41467" w:rsidTr="004B2484">
        <w:trPr>
          <w:trHeight w:val="462"/>
          <w:tblHeader/>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PV of Inflows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Initial Investment (£m)</w:t>
            </w:r>
          </w:p>
        </w:tc>
        <w:tc>
          <w:tcPr>
            <w:tcW w:w="0" w:type="auto"/>
            <w:vAlign w:val="center"/>
            <w:hideMark/>
          </w:tcPr>
          <w:p w:rsidR="00337500" w:rsidRPr="00E41467" w:rsidRDefault="00337500"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PI</w:t>
            </w:r>
          </w:p>
        </w:tc>
      </w:tr>
      <w:tr w:rsidR="00E41467" w:rsidRPr="00E41467" w:rsidTr="004B2484">
        <w:trPr>
          <w:trHeight w:val="474"/>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41.31</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1.03</w:t>
            </w:r>
          </w:p>
        </w:tc>
      </w:tr>
      <w:tr w:rsidR="00E41467" w:rsidRPr="00E41467" w:rsidTr="004B2484">
        <w:trPr>
          <w:trHeight w:val="462"/>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B</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22.75</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30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0.76</w:t>
            </w:r>
          </w:p>
        </w:tc>
      </w:tr>
      <w:tr w:rsidR="00E41467" w:rsidRPr="00E41467" w:rsidTr="004B2484">
        <w:trPr>
          <w:trHeight w:val="462"/>
          <w:tblCellSpacing w:w="15" w:type="dxa"/>
          <w:jc w:val="center"/>
        </w:trPr>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C</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54.23</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50</w:t>
            </w:r>
          </w:p>
        </w:tc>
        <w:tc>
          <w:tcPr>
            <w:tcW w:w="0" w:type="auto"/>
            <w:vAlign w:val="center"/>
            <w:hideMark/>
          </w:tcPr>
          <w:p w:rsidR="00337500" w:rsidRPr="00E41467" w:rsidRDefault="00337500"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1.08</w:t>
            </w:r>
          </w:p>
        </w:tc>
      </w:tr>
    </w:tbl>
    <w:p w:rsidR="00DA1A6B" w:rsidRPr="00E41467" w:rsidRDefault="00DA1A6B" w:rsidP="00170687">
      <w:pPr>
        <w:spacing w:line="360" w:lineRule="auto"/>
        <w:jc w:val="both"/>
        <w:rPr>
          <w:rFonts w:ascii="Arial" w:eastAsia="Times New Roman" w:hAnsi="Arial" w:cs="Arial"/>
          <w:bCs/>
          <w:sz w:val="24"/>
          <w:szCs w:val="24"/>
          <w:lang w:val="en-GB" w:eastAsia="en-GB"/>
        </w:rPr>
      </w:pPr>
    </w:p>
    <w:p w:rsidR="00337500" w:rsidRPr="004B2484" w:rsidRDefault="00337500"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Interpretation</w:t>
      </w:r>
      <w:r w:rsidR="00CC20E9" w:rsidRPr="00E41467">
        <w:rPr>
          <w:rFonts w:ascii="Arial" w:eastAsia="Times New Roman" w:hAnsi="Arial" w:cs="Arial"/>
          <w:b/>
          <w:bCs/>
          <w:sz w:val="24"/>
          <w:szCs w:val="24"/>
          <w:lang w:val="en-GB" w:eastAsia="en-GB"/>
        </w:rPr>
        <w:t xml:space="preserve">: </w:t>
      </w:r>
      <w:r w:rsidRPr="00E41467">
        <w:rPr>
          <w:rFonts w:ascii="Arial" w:eastAsia="Times New Roman" w:hAnsi="Arial" w:cs="Arial"/>
          <w:sz w:val="24"/>
          <w:szCs w:val="24"/>
          <w:lang w:val="en-GB" w:eastAsia="en-GB"/>
        </w:rPr>
        <w:br/>
      </w:r>
      <w:r w:rsidR="00F806DA" w:rsidRPr="00E41467">
        <w:rPr>
          <w:rFonts w:ascii="Arial" w:eastAsia="Times New Roman" w:hAnsi="Arial" w:cs="Arial"/>
          <w:sz w:val="24"/>
          <w:szCs w:val="24"/>
          <w:lang w:val="en-GB" w:eastAsia="en-GB"/>
        </w:rPr>
        <w:t>Projects A and C are greater than 1.0 which is an indication of a positive value creation. The larger PI of project C (1.08) demonstrates greater effectiveness in creating a value-per-pound investment whereas the 0.76 of project B supports the rejection. PI especially comes in handy under capital rationing to prioritise projects in terms of relative efficiency of returns (Hillier et al., 2021).</w:t>
      </w:r>
    </w:p>
    <w:p w:rsidR="00337500" w:rsidRPr="00E41467" w:rsidRDefault="00337500" w:rsidP="00E41467">
      <w:pPr>
        <w:rPr>
          <w:rFonts w:ascii="Arial" w:hAnsi="Arial" w:cs="Arial"/>
          <w:lang w:val="en-GB" w:eastAsia="en-GB"/>
        </w:rPr>
      </w:pPr>
    </w:p>
    <w:p w:rsidR="00FE3429" w:rsidRPr="004B2484" w:rsidRDefault="00337500" w:rsidP="004B2484">
      <w:pPr>
        <w:pStyle w:val="Heading2"/>
        <w:spacing w:after="240"/>
        <w:rPr>
          <w:rFonts w:ascii="Arial" w:eastAsia="Times New Roman" w:hAnsi="Arial" w:cs="Arial"/>
          <w:b/>
          <w:bCs/>
          <w:color w:val="auto"/>
          <w:lang w:val="en-GB" w:eastAsia="en-GB"/>
        </w:rPr>
      </w:pPr>
      <w:bookmarkStart w:id="55" w:name="_Toc217117703"/>
      <w:r w:rsidRPr="00E41467">
        <w:rPr>
          <w:rFonts w:ascii="Arial" w:eastAsia="Times New Roman" w:hAnsi="Arial" w:cs="Arial"/>
          <w:b/>
          <w:bCs/>
          <w:color w:val="auto"/>
          <w:lang w:val="en-GB" w:eastAsia="en-GB"/>
        </w:rPr>
        <w:t>4.7 Internal Rate of Return (IRR)</w:t>
      </w:r>
      <w:bookmarkEnd w:id="55"/>
    </w:p>
    <w:p w:rsidR="00337500" w:rsidRPr="00E41467" w:rsidRDefault="00337500" w:rsidP="004B2484">
      <w:pPr>
        <w:spacing w:after="240"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IRR represents the discount rate that equates NPV to zero:</w:t>
      </w:r>
    </w:p>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0=∑CFt(1+</w:t>
      </w:r>
      <w:r w:rsidR="00F806DA" w:rsidRPr="00E41467">
        <w:rPr>
          <w:rFonts w:ascii="Arial" w:eastAsia="Times New Roman" w:hAnsi="Arial" w:cs="Arial"/>
          <w:sz w:val="24"/>
          <w:szCs w:val="24"/>
          <w:lang w:val="en-GB" w:eastAsia="en-GB"/>
        </w:rPr>
        <w:t>IRR) t</w:t>
      </w:r>
      <w:r w:rsidRPr="00E41467">
        <w:rPr>
          <w:rFonts w:ascii="Arial" w:eastAsia="Times New Roman" w:hAnsi="Arial" w:cs="Arial"/>
          <w:sz w:val="24"/>
          <w:szCs w:val="24"/>
          <w:lang w:val="en-GB" w:eastAsia="en-GB"/>
        </w:rPr>
        <w:t>−Initial Investment0 = \sum \</w:t>
      </w:r>
      <w:r w:rsidR="00DA1A6B" w:rsidRPr="00E41467">
        <w:rPr>
          <w:rFonts w:ascii="Arial" w:eastAsia="Times New Roman" w:hAnsi="Arial" w:cs="Arial"/>
          <w:sz w:val="24"/>
          <w:szCs w:val="24"/>
          <w:lang w:val="en-GB" w:eastAsia="en-GB"/>
        </w:rPr>
        <w:t>frac {</w:t>
      </w:r>
      <w:r w:rsidRPr="00E41467">
        <w:rPr>
          <w:rFonts w:ascii="Arial" w:eastAsia="Times New Roman" w:hAnsi="Arial" w:cs="Arial"/>
          <w:sz w:val="24"/>
          <w:szCs w:val="24"/>
          <w:lang w:val="en-GB" w:eastAsia="en-GB"/>
        </w:rPr>
        <w:t xml:space="preserve">CF_t}{(1 + IRR)^t} - \text{Initial Investment}0=∑(1+IRR)tCFt​​−Initial Investment </w:t>
      </w:r>
    </w:p>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Using interpolation:</w:t>
      </w:r>
    </w:p>
    <w:tbl>
      <w:tblPr>
        <w:tblW w:w="7675" w:type="dxa"/>
        <w:tblCellSpacing w:w="15" w:type="dxa"/>
        <w:tblCellMar>
          <w:top w:w="15" w:type="dxa"/>
          <w:left w:w="15" w:type="dxa"/>
          <w:bottom w:w="15" w:type="dxa"/>
          <w:right w:w="15" w:type="dxa"/>
        </w:tblCellMar>
        <w:tblLook w:val="04A0" w:firstRow="1" w:lastRow="0" w:firstColumn="1" w:lastColumn="0" w:noHBand="0" w:noVBand="1"/>
      </w:tblPr>
      <w:tblGrid>
        <w:gridCol w:w="3510"/>
        <w:gridCol w:w="4165"/>
      </w:tblGrid>
      <w:tr w:rsidR="00E41467" w:rsidRPr="00E41467" w:rsidTr="00DA1A6B">
        <w:trPr>
          <w:trHeight w:val="348"/>
          <w:tblHeader/>
          <w:tblCellSpacing w:w="15" w:type="dxa"/>
        </w:trPr>
        <w:tc>
          <w:tcPr>
            <w:tcW w:w="3465" w:type="dxa"/>
            <w:vAlign w:val="center"/>
            <w:hideMark/>
          </w:tcPr>
          <w:p w:rsidR="00337500" w:rsidRPr="00E41467" w:rsidRDefault="00337500"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w:t>
            </w:r>
          </w:p>
        </w:tc>
        <w:tc>
          <w:tcPr>
            <w:tcW w:w="4120" w:type="dxa"/>
            <w:vAlign w:val="center"/>
            <w:hideMark/>
          </w:tcPr>
          <w:p w:rsidR="00337500" w:rsidRPr="00E41467" w:rsidRDefault="00337500" w:rsidP="00170687">
            <w:pPr>
              <w:spacing w:line="360" w:lineRule="auto"/>
              <w:jc w:val="both"/>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Approx. IRR (%)</w:t>
            </w:r>
          </w:p>
        </w:tc>
      </w:tr>
      <w:tr w:rsidR="00E41467" w:rsidRPr="00E41467" w:rsidTr="00DA1A6B">
        <w:trPr>
          <w:trHeight w:val="357"/>
          <w:tblCellSpacing w:w="15" w:type="dxa"/>
        </w:trPr>
        <w:tc>
          <w:tcPr>
            <w:tcW w:w="3465" w:type="dxa"/>
            <w:vAlign w:val="center"/>
            <w:hideMark/>
          </w:tcPr>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w:t>
            </w:r>
          </w:p>
        </w:tc>
        <w:tc>
          <w:tcPr>
            <w:tcW w:w="4120" w:type="dxa"/>
            <w:vAlign w:val="center"/>
            <w:hideMark/>
          </w:tcPr>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11.5%</w:t>
            </w:r>
          </w:p>
        </w:tc>
      </w:tr>
      <w:tr w:rsidR="00E41467" w:rsidRPr="00E41467" w:rsidTr="00DA1A6B">
        <w:trPr>
          <w:trHeight w:val="348"/>
          <w:tblCellSpacing w:w="15" w:type="dxa"/>
        </w:trPr>
        <w:tc>
          <w:tcPr>
            <w:tcW w:w="3465" w:type="dxa"/>
            <w:vAlign w:val="center"/>
            <w:hideMark/>
          </w:tcPr>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B</w:t>
            </w:r>
          </w:p>
        </w:tc>
        <w:tc>
          <w:tcPr>
            <w:tcW w:w="4120" w:type="dxa"/>
            <w:vAlign w:val="center"/>
            <w:hideMark/>
          </w:tcPr>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8.0%</w:t>
            </w:r>
          </w:p>
        </w:tc>
      </w:tr>
      <w:tr w:rsidR="00E41467" w:rsidRPr="00E41467" w:rsidTr="00DA1A6B">
        <w:trPr>
          <w:trHeight w:val="348"/>
          <w:tblCellSpacing w:w="15" w:type="dxa"/>
        </w:trPr>
        <w:tc>
          <w:tcPr>
            <w:tcW w:w="3465" w:type="dxa"/>
            <w:vAlign w:val="center"/>
            <w:hideMark/>
          </w:tcPr>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C</w:t>
            </w:r>
          </w:p>
        </w:tc>
        <w:tc>
          <w:tcPr>
            <w:tcW w:w="4120" w:type="dxa"/>
            <w:vAlign w:val="center"/>
            <w:hideMark/>
          </w:tcPr>
          <w:p w:rsidR="00337500" w:rsidRPr="00E41467" w:rsidRDefault="00337500"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13.2%</w:t>
            </w:r>
          </w:p>
        </w:tc>
      </w:tr>
    </w:tbl>
    <w:p w:rsidR="00DA1A6B" w:rsidRPr="00E41467" w:rsidRDefault="00DA1A6B" w:rsidP="00170687">
      <w:pPr>
        <w:spacing w:line="360" w:lineRule="auto"/>
        <w:jc w:val="both"/>
        <w:rPr>
          <w:rFonts w:ascii="Arial" w:eastAsia="Times New Roman" w:hAnsi="Arial" w:cs="Arial"/>
          <w:bCs/>
          <w:sz w:val="24"/>
          <w:szCs w:val="24"/>
          <w:lang w:val="en-GB" w:eastAsia="en-GB"/>
        </w:rPr>
      </w:pPr>
    </w:p>
    <w:p w:rsidR="00337500" w:rsidRPr="00E41467" w:rsidRDefault="00337500" w:rsidP="00170687">
      <w:pPr>
        <w:spacing w:line="360" w:lineRule="auto"/>
        <w:jc w:val="both"/>
        <w:rPr>
          <w:rFonts w:ascii="Arial" w:eastAsia="Times New Roman" w:hAnsi="Arial" w:cs="Arial"/>
          <w:b/>
          <w:sz w:val="24"/>
          <w:szCs w:val="24"/>
          <w:lang w:val="en-GB" w:eastAsia="en-GB"/>
        </w:rPr>
      </w:pPr>
      <w:r w:rsidRPr="00E41467">
        <w:rPr>
          <w:rFonts w:ascii="Arial" w:eastAsia="Times New Roman" w:hAnsi="Arial" w:cs="Arial"/>
          <w:b/>
          <w:bCs/>
          <w:sz w:val="24"/>
          <w:szCs w:val="24"/>
          <w:lang w:val="en-GB" w:eastAsia="en-GB"/>
        </w:rPr>
        <w:lastRenderedPageBreak/>
        <w:t>Interpretation:</w:t>
      </w:r>
    </w:p>
    <w:p w:rsidR="00F806DA" w:rsidRPr="00E41467" w:rsidRDefault="00F806DA"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Project C once again performs better with IRR of 13.2 which is much higher than 10% hurdle rate thus high profitability. Project A is slightly above the benchmark (11.5%), whereas Project B does not reach the benchmark (8%). IRR is a supplement to NPV, which quantifies returns in the form of a rate, but it is inaccurate in comparing projects of different sizes or atypical cash flows (Brigham and Ehrhardt, 2019).</w:t>
      </w:r>
    </w:p>
    <w:p w:rsidR="004B2484" w:rsidRPr="00E41467" w:rsidRDefault="004B2484" w:rsidP="00E41467">
      <w:pPr>
        <w:rPr>
          <w:rFonts w:ascii="Arial" w:hAnsi="Arial" w:cs="Arial"/>
          <w:lang w:val="en-GB" w:eastAsia="en-GB"/>
        </w:rPr>
      </w:pPr>
    </w:p>
    <w:p w:rsidR="00FE3429" w:rsidRPr="004B2484" w:rsidRDefault="00337500" w:rsidP="004B2484">
      <w:pPr>
        <w:pStyle w:val="Heading2"/>
        <w:spacing w:after="240"/>
        <w:rPr>
          <w:rFonts w:ascii="Arial" w:eastAsia="Times New Roman" w:hAnsi="Arial" w:cs="Arial"/>
          <w:b/>
          <w:bCs/>
          <w:color w:val="auto"/>
          <w:lang w:val="en-GB" w:eastAsia="en-GB"/>
        </w:rPr>
      </w:pPr>
      <w:bookmarkStart w:id="56" w:name="_Toc217117704"/>
      <w:r w:rsidRPr="00E41467">
        <w:rPr>
          <w:rFonts w:ascii="Arial" w:eastAsia="Times New Roman" w:hAnsi="Arial" w:cs="Arial"/>
          <w:b/>
          <w:bCs/>
          <w:color w:val="auto"/>
          <w:lang w:val="en-GB" w:eastAsia="en-GB"/>
        </w:rPr>
        <w:t>4.8 Capital Rationing Analysis</w:t>
      </w:r>
      <w:bookmarkEnd w:id="56"/>
    </w:p>
    <w:p w:rsidR="00337500" w:rsidRPr="00E41467" w:rsidRDefault="00337500" w:rsidP="004B2484">
      <w:pPr>
        <w:spacing w:after="240"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Given the </w:t>
      </w:r>
      <w:r w:rsidRPr="00E41467">
        <w:rPr>
          <w:rFonts w:ascii="Arial" w:eastAsia="Times New Roman" w:hAnsi="Arial" w:cs="Arial"/>
          <w:bCs/>
          <w:sz w:val="24"/>
          <w:szCs w:val="24"/>
          <w:lang w:val="en-GB" w:eastAsia="en-GB"/>
        </w:rPr>
        <w:t>£60 million capital constraint</w:t>
      </w:r>
      <w:r w:rsidRPr="00E41467">
        <w:rPr>
          <w:rFonts w:ascii="Arial" w:eastAsia="Times New Roman" w:hAnsi="Arial" w:cs="Arial"/>
          <w:sz w:val="24"/>
          <w:szCs w:val="24"/>
          <w:lang w:val="en-GB" w:eastAsia="en-GB"/>
        </w:rPr>
        <w:t>, the objective is to maximise total NPV within this limit:</w:t>
      </w:r>
    </w:p>
    <w:tbl>
      <w:tblPr>
        <w:tblW w:w="0" w:type="auto"/>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115"/>
        <w:gridCol w:w="2221"/>
        <w:gridCol w:w="2507"/>
        <w:gridCol w:w="2507"/>
      </w:tblGrid>
      <w:tr w:rsidR="00E41467" w:rsidRPr="00E41467" w:rsidTr="004B2484">
        <w:trPr>
          <w:tblHeade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Project Combination</w:t>
            </w:r>
          </w:p>
        </w:tc>
        <w:tc>
          <w:tcPr>
            <w:tcW w:w="2193" w:type="dxa"/>
            <w:vAlign w:val="center"/>
            <w:hideMark/>
          </w:tcPr>
          <w:p w:rsidR="00DA1A6B" w:rsidRPr="00E41467" w:rsidRDefault="00DA1A6B"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Total Investment (£m)</w:t>
            </w:r>
          </w:p>
        </w:tc>
        <w:tc>
          <w:tcPr>
            <w:tcW w:w="2480" w:type="dxa"/>
            <w:vAlign w:val="center"/>
            <w:hideMark/>
          </w:tcPr>
          <w:p w:rsidR="00DA1A6B" w:rsidRPr="00E41467" w:rsidRDefault="00DA1A6B"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Total NPV (£m)</w:t>
            </w:r>
          </w:p>
        </w:tc>
        <w:tc>
          <w:tcPr>
            <w:tcW w:w="2465" w:type="dxa"/>
          </w:tcPr>
          <w:p w:rsidR="00DA1A6B" w:rsidRPr="00E41467" w:rsidRDefault="0031680F" w:rsidP="004B2484">
            <w:pPr>
              <w:spacing w:line="360" w:lineRule="auto"/>
              <w:jc w:val="center"/>
              <w:rPr>
                <w:rFonts w:ascii="Arial" w:eastAsia="Times New Roman" w:hAnsi="Arial" w:cs="Arial"/>
                <w:b/>
                <w:bCs/>
                <w:sz w:val="24"/>
                <w:szCs w:val="24"/>
                <w:lang w:val="en-GB" w:eastAsia="en-GB"/>
              </w:rPr>
            </w:pPr>
            <w:r w:rsidRPr="00E41467">
              <w:rPr>
                <w:rFonts w:ascii="Arial" w:eastAsia="Times New Roman" w:hAnsi="Arial" w:cs="Arial"/>
                <w:b/>
                <w:bCs/>
                <w:sz w:val="24"/>
                <w:szCs w:val="24"/>
                <w:lang w:val="en-GB" w:eastAsia="en-GB"/>
              </w:rPr>
              <w:t>Feasible?</w:t>
            </w:r>
          </w:p>
        </w:tc>
      </w:tr>
      <w:tr w:rsidR="00E41467" w:rsidRPr="00E41467" w:rsidTr="004B2484">
        <w:trP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 + B</w:t>
            </w:r>
          </w:p>
        </w:tc>
        <w:tc>
          <w:tcPr>
            <w:tcW w:w="2193"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70</w:t>
            </w:r>
          </w:p>
        </w:tc>
        <w:tc>
          <w:tcPr>
            <w:tcW w:w="2480"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Exceeds budget</w:t>
            </w:r>
          </w:p>
        </w:tc>
        <w:tc>
          <w:tcPr>
            <w:tcW w:w="2465" w:type="dxa"/>
          </w:tcPr>
          <w:p w:rsidR="00DA1A6B" w:rsidRPr="00E41467" w:rsidRDefault="0031680F"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No</w:t>
            </w:r>
          </w:p>
        </w:tc>
      </w:tr>
      <w:tr w:rsidR="00E41467" w:rsidRPr="00E41467" w:rsidTr="004B2484">
        <w:trP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 + C</w:t>
            </w:r>
          </w:p>
        </w:tc>
        <w:tc>
          <w:tcPr>
            <w:tcW w:w="2193"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90</w:t>
            </w:r>
          </w:p>
        </w:tc>
        <w:tc>
          <w:tcPr>
            <w:tcW w:w="2480"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Exceeds budget</w:t>
            </w:r>
          </w:p>
        </w:tc>
        <w:tc>
          <w:tcPr>
            <w:tcW w:w="2465" w:type="dxa"/>
          </w:tcPr>
          <w:p w:rsidR="00DA1A6B" w:rsidRPr="00E41467" w:rsidRDefault="0031680F"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No</w:t>
            </w:r>
          </w:p>
        </w:tc>
      </w:tr>
      <w:tr w:rsidR="00E41467" w:rsidRPr="00E41467" w:rsidTr="004B2484">
        <w:trP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B + C</w:t>
            </w:r>
          </w:p>
        </w:tc>
        <w:tc>
          <w:tcPr>
            <w:tcW w:w="2193"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80</w:t>
            </w:r>
          </w:p>
        </w:tc>
        <w:tc>
          <w:tcPr>
            <w:tcW w:w="2480"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Exceeds budget</w:t>
            </w:r>
          </w:p>
        </w:tc>
        <w:tc>
          <w:tcPr>
            <w:tcW w:w="2465" w:type="dxa"/>
          </w:tcPr>
          <w:p w:rsidR="00DA1A6B" w:rsidRPr="00E41467" w:rsidRDefault="0031680F"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No</w:t>
            </w:r>
          </w:p>
        </w:tc>
      </w:tr>
      <w:tr w:rsidR="00E41467" w:rsidRPr="00E41467" w:rsidTr="004B2484">
        <w:trP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 only</w:t>
            </w:r>
          </w:p>
        </w:tc>
        <w:tc>
          <w:tcPr>
            <w:tcW w:w="2193"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40</w:t>
            </w:r>
          </w:p>
        </w:tc>
        <w:tc>
          <w:tcPr>
            <w:tcW w:w="2480"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+1.31</w:t>
            </w:r>
          </w:p>
        </w:tc>
        <w:tc>
          <w:tcPr>
            <w:tcW w:w="2465" w:type="dxa"/>
          </w:tcPr>
          <w:p w:rsidR="00DA1A6B" w:rsidRPr="00E41467" w:rsidRDefault="0031680F"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Yes</w:t>
            </w:r>
          </w:p>
        </w:tc>
      </w:tr>
      <w:tr w:rsidR="00E41467" w:rsidRPr="00E41467" w:rsidTr="004B2484">
        <w:trP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C only</w:t>
            </w:r>
          </w:p>
        </w:tc>
        <w:tc>
          <w:tcPr>
            <w:tcW w:w="2193"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50</w:t>
            </w:r>
          </w:p>
        </w:tc>
        <w:tc>
          <w:tcPr>
            <w:tcW w:w="2480"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+4.23</w:t>
            </w:r>
          </w:p>
        </w:tc>
        <w:tc>
          <w:tcPr>
            <w:tcW w:w="2465" w:type="dxa"/>
          </w:tcPr>
          <w:p w:rsidR="00DA1A6B" w:rsidRPr="00E41467" w:rsidRDefault="0031680F"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Yes</w:t>
            </w:r>
          </w:p>
        </w:tc>
      </w:tr>
      <w:tr w:rsidR="00E41467" w:rsidRPr="00E41467" w:rsidTr="004B2484">
        <w:trPr>
          <w:tblCellSpacing w:w="15" w:type="dxa"/>
          <w:jc w:val="center"/>
        </w:trPr>
        <w:tc>
          <w:tcPr>
            <w:tcW w:w="2072"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bCs/>
                <w:sz w:val="24"/>
                <w:szCs w:val="24"/>
                <w:lang w:val="en-GB" w:eastAsia="en-GB"/>
              </w:rPr>
              <w:t>A + part of B</w:t>
            </w:r>
          </w:p>
        </w:tc>
        <w:tc>
          <w:tcPr>
            <w:tcW w:w="2193"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60</w:t>
            </w:r>
          </w:p>
        </w:tc>
        <w:tc>
          <w:tcPr>
            <w:tcW w:w="2480" w:type="dxa"/>
            <w:vAlign w:val="center"/>
            <w:hideMark/>
          </w:tcPr>
          <w:p w:rsidR="00DA1A6B" w:rsidRPr="00E41467" w:rsidRDefault="00DA1A6B"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Approx. +1.31 (A) + proportional NPV (–3) = –1.7</w:t>
            </w:r>
          </w:p>
        </w:tc>
        <w:tc>
          <w:tcPr>
            <w:tcW w:w="2465" w:type="dxa"/>
          </w:tcPr>
          <w:p w:rsidR="00DA1A6B" w:rsidRPr="00E41467" w:rsidRDefault="0031680F" w:rsidP="004B2484">
            <w:pPr>
              <w:spacing w:line="360" w:lineRule="auto"/>
              <w:jc w:val="center"/>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No</w:t>
            </w:r>
          </w:p>
        </w:tc>
      </w:tr>
    </w:tbl>
    <w:p w:rsidR="0031680F" w:rsidRPr="00E41467" w:rsidRDefault="0031680F" w:rsidP="00170687">
      <w:pPr>
        <w:spacing w:line="360" w:lineRule="auto"/>
        <w:jc w:val="both"/>
        <w:rPr>
          <w:rFonts w:ascii="Arial" w:eastAsia="Times New Roman" w:hAnsi="Arial" w:cs="Arial"/>
          <w:bCs/>
          <w:sz w:val="24"/>
          <w:szCs w:val="24"/>
          <w:lang w:val="en-GB" w:eastAsia="en-GB"/>
        </w:rPr>
      </w:pPr>
    </w:p>
    <w:p w:rsidR="00337500" w:rsidRPr="00E41467" w:rsidRDefault="00337500" w:rsidP="00170687">
      <w:pPr>
        <w:spacing w:line="360" w:lineRule="auto"/>
        <w:jc w:val="both"/>
        <w:rPr>
          <w:rFonts w:ascii="Arial" w:eastAsia="Times New Roman" w:hAnsi="Arial" w:cs="Arial"/>
          <w:b/>
          <w:sz w:val="24"/>
          <w:szCs w:val="24"/>
          <w:lang w:val="en-GB" w:eastAsia="en-GB"/>
        </w:rPr>
      </w:pPr>
      <w:r w:rsidRPr="00E41467">
        <w:rPr>
          <w:rFonts w:ascii="Arial" w:eastAsia="Times New Roman" w:hAnsi="Arial" w:cs="Arial"/>
          <w:b/>
          <w:bCs/>
          <w:sz w:val="24"/>
          <w:szCs w:val="24"/>
          <w:lang w:val="en-GB" w:eastAsia="en-GB"/>
        </w:rPr>
        <w:t>Result:</w:t>
      </w:r>
    </w:p>
    <w:p w:rsidR="00F806DA" w:rsidRPr="00E41467" w:rsidRDefault="00F806DA"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Project C alone offers the best NPV (£4.23m) and PI (1.08) in the constraint with the limited funds of only 60 million. It also shows excellent performance of ARR and IRR. </w:t>
      </w:r>
      <w:r w:rsidRPr="00E41467">
        <w:rPr>
          <w:rFonts w:ascii="Arial" w:eastAsia="Times New Roman" w:hAnsi="Arial" w:cs="Arial"/>
          <w:sz w:val="24"/>
          <w:szCs w:val="24"/>
          <w:lang w:val="en-GB" w:eastAsia="en-GB"/>
        </w:rPr>
        <w:lastRenderedPageBreak/>
        <w:t>Project C has more profitability which justifies prioritisation, although it should be ensured that the concentration of its cash flow at a later time is done by liquidity planning as the Project A is acceptable enough.</w:t>
      </w:r>
    </w:p>
    <w:p w:rsidR="00337500" w:rsidRPr="00E41467" w:rsidRDefault="00337500" w:rsidP="00170687">
      <w:pPr>
        <w:spacing w:line="360" w:lineRule="auto"/>
        <w:jc w:val="both"/>
        <w:rPr>
          <w:rFonts w:ascii="Arial" w:eastAsia="Times New Roman" w:hAnsi="Arial" w:cs="Arial"/>
          <w:sz w:val="24"/>
          <w:szCs w:val="24"/>
          <w:lang w:val="en-GB" w:eastAsia="en-GB"/>
        </w:rPr>
      </w:pPr>
    </w:p>
    <w:p w:rsidR="00FE3429" w:rsidRDefault="00FE3429" w:rsidP="00170687">
      <w:pPr>
        <w:spacing w:line="360" w:lineRule="auto"/>
        <w:jc w:val="both"/>
        <w:rPr>
          <w:rFonts w:ascii="Arial" w:eastAsia="Times New Roman" w:hAnsi="Arial" w:cs="Arial"/>
          <w:sz w:val="24"/>
          <w:szCs w:val="24"/>
          <w:lang w:val="en-GB" w:eastAsia="en-GB"/>
        </w:rPr>
      </w:pPr>
    </w:p>
    <w:p w:rsidR="00CC20E9" w:rsidRDefault="00CC20E9" w:rsidP="00170687">
      <w:pPr>
        <w:spacing w:line="360" w:lineRule="auto"/>
        <w:jc w:val="both"/>
        <w:rPr>
          <w:rFonts w:ascii="Arial" w:eastAsia="Times New Roman" w:hAnsi="Arial" w:cs="Arial"/>
          <w:sz w:val="24"/>
          <w:szCs w:val="24"/>
          <w:lang w:val="en-GB" w:eastAsia="en-GB"/>
        </w:rPr>
      </w:pPr>
    </w:p>
    <w:p w:rsidR="00CC20E9" w:rsidRPr="00E41467" w:rsidRDefault="00CC20E9" w:rsidP="00170687">
      <w:pPr>
        <w:spacing w:line="360" w:lineRule="auto"/>
        <w:jc w:val="both"/>
        <w:rPr>
          <w:rFonts w:ascii="Arial" w:eastAsia="Times New Roman" w:hAnsi="Arial" w:cs="Arial"/>
          <w:sz w:val="24"/>
          <w:szCs w:val="24"/>
          <w:lang w:val="en-GB" w:eastAsia="en-GB"/>
        </w:rPr>
      </w:pPr>
    </w:p>
    <w:p w:rsidR="00FE3429" w:rsidRPr="00E41467" w:rsidRDefault="00FE3429" w:rsidP="00170687">
      <w:pPr>
        <w:spacing w:line="360" w:lineRule="auto"/>
        <w:jc w:val="both"/>
        <w:rPr>
          <w:rFonts w:ascii="Arial" w:eastAsia="Times New Roman" w:hAnsi="Arial" w:cs="Arial"/>
          <w:sz w:val="24"/>
          <w:szCs w:val="24"/>
          <w:lang w:val="en-GB" w:eastAsia="en-GB"/>
        </w:rPr>
      </w:pPr>
    </w:p>
    <w:p w:rsidR="00FE3429" w:rsidRPr="00E41467" w:rsidRDefault="00FE3429" w:rsidP="00170687">
      <w:pPr>
        <w:spacing w:line="360" w:lineRule="auto"/>
        <w:jc w:val="both"/>
        <w:rPr>
          <w:rFonts w:ascii="Arial" w:eastAsia="Times New Roman" w:hAnsi="Arial" w:cs="Arial"/>
          <w:sz w:val="24"/>
          <w:szCs w:val="24"/>
          <w:lang w:val="en-GB" w:eastAsia="en-GB"/>
        </w:rPr>
      </w:pPr>
    </w:p>
    <w:p w:rsidR="00CC20E9" w:rsidRDefault="00CC20E9">
      <w:pPr>
        <w:rPr>
          <w:rFonts w:ascii="Arial" w:eastAsia="Times New Roman" w:hAnsi="Arial" w:cs="Arial"/>
          <w:b/>
          <w:sz w:val="32"/>
          <w:szCs w:val="32"/>
          <w:lang w:val="en-GB" w:eastAsia="en-GB"/>
        </w:rPr>
      </w:pPr>
      <w:r>
        <w:rPr>
          <w:rFonts w:ascii="Arial" w:eastAsia="Times New Roman" w:hAnsi="Arial" w:cs="Arial"/>
          <w:b/>
          <w:lang w:val="en-GB" w:eastAsia="en-GB"/>
        </w:rPr>
        <w:br w:type="page"/>
      </w:r>
    </w:p>
    <w:p w:rsidR="00337500" w:rsidRPr="00E41467" w:rsidRDefault="003B4016" w:rsidP="00FE3429">
      <w:pPr>
        <w:pStyle w:val="Heading1"/>
        <w:rPr>
          <w:rFonts w:ascii="Arial" w:eastAsia="Times New Roman" w:hAnsi="Arial" w:cs="Arial"/>
          <w:b/>
          <w:color w:val="auto"/>
          <w:lang w:val="en-GB" w:eastAsia="en-GB"/>
        </w:rPr>
      </w:pPr>
      <w:bookmarkStart w:id="57" w:name="_Toc217117705"/>
      <w:r w:rsidRPr="00E41467">
        <w:rPr>
          <w:rFonts w:ascii="Arial" w:eastAsia="Times New Roman" w:hAnsi="Arial" w:cs="Arial"/>
          <w:b/>
          <w:color w:val="auto"/>
          <w:lang w:val="en-GB" w:eastAsia="en-GB"/>
        </w:rPr>
        <w:lastRenderedPageBreak/>
        <w:t xml:space="preserve">5. </w:t>
      </w:r>
      <w:r w:rsidR="00337500" w:rsidRPr="00E41467">
        <w:rPr>
          <w:rFonts w:ascii="Arial" w:eastAsia="Times New Roman" w:hAnsi="Arial" w:cs="Arial"/>
          <w:b/>
          <w:color w:val="auto"/>
          <w:lang w:val="en-GB" w:eastAsia="en-GB"/>
        </w:rPr>
        <w:t>Conclusion</w:t>
      </w:r>
      <w:bookmarkEnd w:id="57"/>
    </w:p>
    <w:p w:rsidR="00337500" w:rsidRPr="00E41467" w:rsidRDefault="00337500" w:rsidP="00170687">
      <w:pPr>
        <w:spacing w:line="360" w:lineRule="auto"/>
        <w:jc w:val="both"/>
        <w:rPr>
          <w:rFonts w:ascii="Arial" w:eastAsia="Times New Roman" w:hAnsi="Arial" w:cs="Arial"/>
          <w:sz w:val="24"/>
          <w:szCs w:val="24"/>
          <w:lang w:val="en-GB" w:eastAsia="en-GB"/>
        </w:rPr>
      </w:pPr>
    </w:p>
    <w:p w:rsidR="00337500" w:rsidRPr="00E41467" w:rsidRDefault="003B4016" w:rsidP="00170687">
      <w:pPr>
        <w:spacing w:line="360" w:lineRule="auto"/>
        <w:jc w:val="both"/>
        <w:rPr>
          <w:rFonts w:ascii="Arial" w:eastAsia="Times New Roman" w:hAnsi="Arial" w:cs="Arial"/>
          <w:sz w:val="24"/>
          <w:szCs w:val="24"/>
          <w:lang w:val="en-GB" w:eastAsia="en-GB"/>
        </w:rPr>
      </w:pPr>
      <w:r w:rsidRPr="00E41467">
        <w:rPr>
          <w:rFonts w:ascii="Arial" w:eastAsia="Times New Roman" w:hAnsi="Arial" w:cs="Arial"/>
          <w:sz w:val="24"/>
          <w:szCs w:val="24"/>
          <w:lang w:val="en-GB" w:eastAsia="en-GB"/>
        </w:rPr>
        <w:t xml:space="preserve">The General Electronics financial turnaround will need a short term and a </w:t>
      </w:r>
      <w:r w:rsidR="00F806DA" w:rsidRPr="00E41467">
        <w:rPr>
          <w:rFonts w:ascii="Arial" w:eastAsia="Times New Roman" w:hAnsi="Arial" w:cs="Arial"/>
          <w:sz w:val="24"/>
          <w:szCs w:val="24"/>
          <w:lang w:val="en-GB" w:eastAsia="en-GB"/>
        </w:rPr>
        <w:t>long-term</w:t>
      </w:r>
      <w:r w:rsidRPr="00E41467">
        <w:rPr>
          <w:rFonts w:ascii="Arial" w:eastAsia="Times New Roman" w:hAnsi="Arial" w:cs="Arial"/>
          <w:sz w:val="24"/>
          <w:szCs w:val="24"/>
          <w:lang w:val="en-GB" w:eastAsia="en-GB"/>
        </w:rPr>
        <w:t xml:space="preserve"> response to both recover liquidity and strategic renewal respectively. It has been pointed out in the review that the working capital management had structural weaknesses that were excessive reliance on debts financing and low usage of assets that contributed to serious weakened profitability and solvency. The investment will help the company to increase its cash flow and the resilience of its business, particularly during times of crisis due to effective working capital reforms, such as inventory rationalisation, receivables tightening, and optimisation of payables (Deloof, 2003; Hillier et al., 2021).</w:t>
      </w:r>
      <w:r w:rsidR="00A1357E" w:rsidRPr="00E41467">
        <w:rPr>
          <w:rFonts w:ascii="Arial" w:eastAsia="Times New Roman" w:hAnsi="Arial" w:cs="Arial"/>
          <w:sz w:val="24"/>
          <w:szCs w:val="24"/>
          <w:lang w:val="en-GB" w:eastAsia="en-GB"/>
        </w:rPr>
        <w:t xml:space="preserve"> </w:t>
      </w:r>
      <w:r w:rsidRPr="00E41467">
        <w:rPr>
          <w:rFonts w:ascii="Arial" w:eastAsia="Times New Roman" w:hAnsi="Arial" w:cs="Arial"/>
          <w:sz w:val="24"/>
          <w:szCs w:val="24"/>
          <w:lang w:val="en-GB" w:eastAsia="en-GB"/>
        </w:rPr>
        <w:t>The investment appraisal selected Project C as the most valuable one based on the NPV and the highest IRR; it creates the highest value under the conditions of a capital rationing constraint, which is associated with a sustainable profitability objective (Brealey, Myers and Allen, 2020). General Electronics can overcome the crisis and transition to the competitiveness with the expertise of finances and the skills of strategy to ensure that the stakeholders regain market credibility and value in the long-term.</w:t>
      </w:r>
    </w:p>
    <w:p w:rsidR="00DD2146" w:rsidRPr="00E41467" w:rsidRDefault="00DD2146" w:rsidP="00170687">
      <w:pPr>
        <w:spacing w:line="360" w:lineRule="auto"/>
        <w:jc w:val="both"/>
        <w:rPr>
          <w:rFonts w:ascii="Arial" w:hAnsi="Arial" w:cs="Arial"/>
          <w:sz w:val="24"/>
          <w:szCs w:val="24"/>
        </w:rPr>
      </w:pPr>
    </w:p>
    <w:p w:rsidR="00A1357E" w:rsidRPr="00E41467" w:rsidRDefault="00A1357E"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FE3429" w:rsidRPr="00E41467" w:rsidRDefault="00FE3429" w:rsidP="00170687">
      <w:pPr>
        <w:spacing w:line="360" w:lineRule="auto"/>
        <w:jc w:val="both"/>
        <w:rPr>
          <w:rFonts w:ascii="Arial" w:hAnsi="Arial" w:cs="Arial"/>
          <w:sz w:val="24"/>
          <w:szCs w:val="24"/>
        </w:rPr>
      </w:pPr>
    </w:p>
    <w:p w:rsidR="00A1357E" w:rsidRPr="00E41467" w:rsidRDefault="00A1357E" w:rsidP="00170687">
      <w:pPr>
        <w:spacing w:line="360" w:lineRule="auto"/>
        <w:jc w:val="both"/>
        <w:rPr>
          <w:rFonts w:ascii="Arial" w:hAnsi="Arial" w:cs="Arial"/>
          <w:sz w:val="24"/>
          <w:szCs w:val="24"/>
        </w:rPr>
      </w:pPr>
    </w:p>
    <w:p w:rsidR="00BB7BA8" w:rsidRPr="00E41467" w:rsidRDefault="007947D7" w:rsidP="00FE3429">
      <w:pPr>
        <w:pStyle w:val="Heading1"/>
        <w:rPr>
          <w:rFonts w:ascii="Arial" w:hAnsi="Arial" w:cs="Arial"/>
          <w:b/>
          <w:color w:val="auto"/>
        </w:rPr>
      </w:pPr>
      <w:bookmarkStart w:id="58" w:name="_Toc217117706"/>
      <w:r w:rsidRPr="00E41467">
        <w:rPr>
          <w:rFonts w:ascii="Arial" w:hAnsi="Arial" w:cs="Arial"/>
          <w:b/>
          <w:color w:val="auto"/>
        </w:rPr>
        <w:lastRenderedPageBreak/>
        <w:t xml:space="preserve">6. </w:t>
      </w:r>
      <w:r w:rsidR="00BB7BA8" w:rsidRPr="00E41467">
        <w:rPr>
          <w:rFonts w:ascii="Arial" w:hAnsi="Arial" w:cs="Arial"/>
          <w:b/>
          <w:color w:val="auto"/>
        </w:rPr>
        <w:t>References</w:t>
      </w:r>
      <w:bookmarkEnd w:id="58"/>
      <w:r w:rsidR="00BB7BA8" w:rsidRPr="00E41467">
        <w:rPr>
          <w:rFonts w:ascii="Arial" w:hAnsi="Arial" w:cs="Arial"/>
          <w:b/>
          <w:color w:val="auto"/>
        </w:rPr>
        <w:t xml:space="preserve"> </w:t>
      </w:r>
    </w:p>
    <w:p w:rsidR="00BB7BA8" w:rsidRPr="00E41467" w:rsidRDefault="00BB7BA8" w:rsidP="00170687">
      <w:pPr>
        <w:spacing w:line="360" w:lineRule="auto"/>
        <w:jc w:val="both"/>
        <w:rPr>
          <w:rFonts w:ascii="Arial" w:hAnsi="Arial" w:cs="Arial"/>
          <w:sz w:val="24"/>
          <w:szCs w:val="24"/>
        </w:rPr>
      </w:pP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Altman, E.I. (1968) ‘Financial ratios, discriminant analysis and the prediction of corporate bankruptcy’, The Journal of F</w:t>
      </w:r>
      <w:r>
        <w:rPr>
          <w:rFonts w:ascii="Arial" w:hAnsi="Arial" w:cs="Arial"/>
          <w:sz w:val="24"/>
          <w:szCs w:val="24"/>
        </w:rPr>
        <w:t xml:space="preserve">inance, 23(4), pp. 589–609. </w:t>
      </w:r>
      <w:r w:rsidRPr="009D5058">
        <w:rPr>
          <w:rFonts w:ascii="Arial" w:hAnsi="Arial" w:cs="Arial"/>
          <w:sz w:val="24"/>
          <w:szCs w:val="24"/>
        </w:rPr>
        <w:t xml:space="preserve">Available at: </w:t>
      </w:r>
      <w:hyperlink r:id="rId10" w:history="1">
        <w:r w:rsidRPr="00344423">
          <w:rPr>
            <w:rStyle w:val="Hyperlink"/>
            <w:rFonts w:ascii="Arial" w:hAnsi="Arial" w:cs="Arial"/>
            <w:sz w:val="24"/>
            <w:szCs w:val="24"/>
          </w:rPr>
          <w:t>https://onlinelibrary.wiley.com/doi/10.1111/j.1540-6261.1968.tb00843.x</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Arnold, G. and Lewis, D. (2019) Corporate Financial Management. 7th </w:t>
      </w:r>
      <w:r>
        <w:rPr>
          <w:rFonts w:ascii="Arial" w:hAnsi="Arial" w:cs="Arial"/>
          <w:sz w:val="24"/>
          <w:szCs w:val="24"/>
        </w:rPr>
        <w:t xml:space="preserve">edn. Harlow: Pearson Education. </w:t>
      </w:r>
      <w:r w:rsidRPr="009D5058">
        <w:rPr>
          <w:rFonts w:ascii="Arial" w:hAnsi="Arial" w:cs="Arial"/>
          <w:sz w:val="24"/>
          <w:szCs w:val="24"/>
        </w:rPr>
        <w:t xml:space="preserve">Available at: </w:t>
      </w:r>
      <w:hyperlink r:id="rId11" w:history="1">
        <w:r w:rsidRPr="00344423">
          <w:rPr>
            <w:rStyle w:val="Hyperlink"/>
            <w:rFonts w:ascii="Arial" w:hAnsi="Arial" w:cs="Arial"/>
            <w:sz w:val="24"/>
            <w:szCs w:val="24"/>
          </w:rPr>
          <w:t>https://www.pearson.com/en-gb/subject-catalog/p/corporate-financial-management/P200000006468</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Atrill, P. and McLaney, E. (2022) Accounting and Finance for Non-Specialists. 12th </w:t>
      </w:r>
      <w:r>
        <w:rPr>
          <w:rFonts w:ascii="Arial" w:hAnsi="Arial" w:cs="Arial"/>
          <w:sz w:val="24"/>
          <w:szCs w:val="24"/>
        </w:rPr>
        <w:t xml:space="preserve">edn. Harlow: Pearson Education. </w:t>
      </w:r>
      <w:r w:rsidRPr="009D5058">
        <w:rPr>
          <w:rFonts w:ascii="Arial" w:hAnsi="Arial" w:cs="Arial"/>
          <w:sz w:val="24"/>
          <w:szCs w:val="24"/>
        </w:rPr>
        <w:t>Available at:</w:t>
      </w:r>
      <w:r>
        <w:rPr>
          <w:rFonts w:ascii="Arial" w:hAnsi="Arial" w:cs="Arial"/>
          <w:sz w:val="24"/>
          <w:szCs w:val="24"/>
        </w:rPr>
        <w:t xml:space="preserve"> </w:t>
      </w:r>
      <w:hyperlink r:id="rId12" w:history="1">
        <w:r w:rsidRPr="00344423">
          <w:rPr>
            <w:rStyle w:val="Hyperlink"/>
            <w:rFonts w:ascii="Arial" w:hAnsi="Arial" w:cs="Arial"/>
            <w:sz w:val="24"/>
            <w:szCs w:val="24"/>
          </w:rPr>
          <w:t>https://www.pearson.com/en-gb/subject-catalog/p/accounting-and-finance-for-non-specialists/P200000006482</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Brealey, R.A., Myers, S.C. and Allen, F. (2020) Principles of Corporate Finance. 13th edn. New York: McGraw-Hill Educa</w:t>
      </w:r>
      <w:r>
        <w:rPr>
          <w:rFonts w:ascii="Arial" w:hAnsi="Arial" w:cs="Arial"/>
          <w:sz w:val="24"/>
          <w:szCs w:val="24"/>
        </w:rPr>
        <w:t xml:space="preserve">tion. </w:t>
      </w:r>
      <w:r w:rsidRPr="009D5058">
        <w:rPr>
          <w:rFonts w:ascii="Arial" w:hAnsi="Arial" w:cs="Arial"/>
          <w:sz w:val="24"/>
          <w:szCs w:val="24"/>
        </w:rPr>
        <w:t xml:space="preserve">Available at: </w:t>
      </w:r>
      <w:hyperlink r:id="rId13" w:history="1">
        <w:r w:rsidRPr="00344423">
          <w:rPr>
            <w:rStyle w:val="Hyperlink"/>
            <w:rFonts w:ascii="Arial" w:hAnsi="Arial" w:cs="Arial"/>
            <w:sz w:val="24"/>
            <w:szCs w:val="24"/>
          </w:rPr>
          <w:t>https://www.mheducation.com/highered/product/principles-corporate-finance-brealey/M9781260565553.html</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Brealey, R.A., Myers, S.C. and Allen, F. (2020) Principles of Corporate Finance. 14th edn. New York: M</w:t>
      </w:r>
      <w:r>
        <w:rPr>
          <w:rFonts w:ascii="Arial" w:hAnsi="Arial" w:cs="Arial"/>
          <w:sz w:val="24"/>
          <w:szCs w:val="24"/>
        </w:rPr>
        <w:t xml:space="preserve">cGraw-Hill Education. </w:t>
      </w:r>
      <w:r w:rsidRPr="009D5058">
        <w:rPr>
          <w:rFonts w:ascii="Arial" w:hAnsi="Arial" w:cs="Arial"/>
          <w:sz w:val="24"/>
          <w:szCs w:val="24"/>
        </w:rPr>
        <w:t xml:space="preserve">Available at: </w:t>
      </w:r>
      <w:hyperlink r:id="rId14" w:history="1">
        <w:r w:rsidRPr="00344423">
          <w:rPr>
            <w:rStyle w:val="Hyperlink"/>
            <w:rFonts w:ascii="Arial" w:hAnsi="Arial" w:cs="Arial"/>
            <w:sz w:val="24"/>
            <w:szCs w:val="24"/>
          </w:rPr>
          <w:t>https://www.mheducation.com/highered/product/principles-corporate-finance-brealey/M9781264101573.html</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Brigham, E.F. and Ehrhardt, M.C. (2019) Financial Management: Theory and Practice. 16th</w:t>
      </w:r>
      <w:r>
        <w:rPr>
          <w:rFonts w:ascii="Arial" w:hAnsi="Arial" w:cs="Arial"/>
          <w:sz w:val="24"/>
          <w:szCs w:val="24"/>
        </w:rPr>
        <w:t xml:space="preserve"> edn. Boston: Cengage Learning. </w:t>
      </w:r>
      <w:r w:rsidRPr="009D5058">
        <w:rPr>
          <w:rFonts w:ascii="Arial" w:hAnsi="Arial" w:cs="Arial"/>
          <w:sz w:val="24"/>
          <w:szCs w:val="24"/>
        </w:rPr>
        <w:t xml:space="preserve">Available at: </w:t>
      </w:r>
      <w:hyperlink r:id="rId15" w:history="1">
        <w:r w:rsidRPr="00344423">
          <w:rPr>
            <w:rStyle w:val="Hyperlink"/>
            <w:rFonts w:ascii="Arial" w:hAnsi="Arial" w:cs="Arial"/>
            <w:sz w:val="24"/>
            <w:szCs w:val="24"/>
          </w:rPr>
          <w:t>https://www.cengage.com/c/financial-management-theory-and-practice-16e-brigham/</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Crane, A. and Matten, D. (2021) Business Ethics: Managing Corporate Citizenship and Sustainability in the Age of Globalization. 6th edn. O</w:t>
      </w:r>
      <w:r>
        <w:rPr>
          <w:rFonts w:ascii="Arial" w:hAnsi="Arial" w:cs="Arial"/>
          <w:sz w:val="24"/>
          <w:szCs w:val="24"/>
        </w:rPr>
        <w:t xml:space="preserve">xford: Oxford University Press. </w:t>
      </w:r>
      <w:r w:rsidRPr="009D5058">
        <w:rPr>
          <w:rFonts w:ascii="Arial" w:hAnsi="Arial" w:cs="Arial"/>
          <w:sz w:val="24"/>
          <w:szCs w:val="24"/>
        </w:rPr>
        <w:lastRenderedPageBreak/>
        <w:t xml:space="preserve">Available at: </w:t>
      </w:r>
      <w:hyperlink r:id="rId16" w:history="1">
        <w:r w:rsidRPr="00344423">
          <w:rPr>
            <w:rStyle w:val="Hyperlink"/>
            <w:rFonts w:ascii="Arial" w:hAnsi="Arial" w:cs="Arial"/>
            <w:sz w:val="24"/>
            <w:szCs w:val="24"/>
          </w:rPr>
          <w:t>https://global.oup.com/academic/product/business-ethics-9780198864981</w:t>
        </w:r>
      </w:hyperlink>
      <w:r>
        <w:rPr>
          <w:rFonts w:ascii="Arial" w:hAnsi="Arial" w:cs="Arial"/>
          <w:sz w:val="24"/>
          <w:szCs w:val="24"/>
        </w:rPr>
        <w:t xml:space="preserve"> </w:t>
      </w:r>
      <w:r w:rsidRPr="009D5058">
        <w:rPr>
          <w:rFonts w:ascii="Arial" w:hAnsi="Arial" w:cs="Arial"/>
          <w:sz w:val="24"/>
          <w:szCs w:val="24"/>
        </w:rPr>
        <w:t>(</w:t>
      </w:r>
      <w:r>
        <w:rPr>
          <w:rFonts w:ascii="Arial" w:hAnsi="Arial" w:cs="Arial"/>
          <w:sz w:val="24"/>
          <w:szCs w:val="24"/>
        </w:rPr>
        <w:t>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Deloof, M. (2003) ‘Does working capital management affect profitability of Belgian firms?’,Journal of Business Finance &amp; Ac</w:t>
      </w:r>
      <w:r>
        <w:rPr>
          <w:rFonts w:ascii="Arial" w:hAnsi="Arial" w:cs="Arial"/>
          <w:sz w:val="24"/>
          <w:szCs w:val="24"/>
        </w:rPr>
        <w:t xml:space="preserve">counting, 30(3–4), pp. 573–588. </w:t>
      </w:r>
      <w:r w:rsidRPr="009D5058">
        <w:rPr>
          <w:rFonts w:ascii="Arial" w:hAnsi="Arial" w:cs="Arial"/>
          <w:sz w:val="24"/>
          <w:szCs w:val="24"/>
        </w:rPr>
        <w:t xml:space="preserve">Available at: </w:t>
      </w:r>
      <w:hyperlink r:id="rId17" w:history="1">
        <w:r w:rsidRPr="00344423">
          <w:rPr>
            <w:rStyle w:val="Hyperlink"/>
            <w:rFonts w:ascii="Arial" w:hAnsi="Arial" w:cs="Arial"/>
            <w:sz w:val="24"/>
            <w:szCs w:val="24"/>
          </w:rPr>
          <w:t>https://onlinelibrary.wiley.com/doi/10.1111/1468-5957.00008</w:t>
        </w:r>
      </w:hyperlink>
      <w:r>
        <w:rPr>
          <w:rFonts w:ascii="Arial" w:hAnsi="Arial" w:cs="Arial"/>
          <w:sz w:val="24"/>
          <w:szCs w:val="24"/>
        </w:rPr>
        <w:t xml:space="preserve"> (Accessed: 20 December 2025).</w:t>
      </w:r>
    </w:p>
    <w:p w:rsidR="009D5058" w:rsidRDefault="009D5058" w:rsidP="009D5058">
      <w:pPr>
        <w:spacing w:line="360" w:lineRule="auto"/>
        <w:jc w:val="both"/>
        <w:rPr>
          <w:rFonts w:ascii="Arial" w:hAnsi="Arial" w:cs="Arial"/>
          <w:sz w:val="24"/>
          <w:szCs w:val="24"/>
        </w:rPr>
      </w:pPr>
      <w:r w:rsidRPr="009D5058">
        <w:rPr>
          <w:rFonts w:ascii="Arial" w:hAnsi="Arial" w:cs="Arial"/>
          <w:sz w:val="24"/>
          <w:szCs w:val="24"/>
        </w:rPr>
        <w:t>Ross, S.A., Westerfield, R.W., Jaffe, J. and Jordan, B.D. (2021) Essentials of Corporate Finance. 10th edn. N</w:t>
      </w:r>
      <w:r>
        <w:rPr>
          <w:rFonts w:ascii="Arial" w:hAnsi="Arial" w:cs="Arial"/>
          <w:sz w:val="24"/>
          <w:szCs w:val="24"/>
        </w:rPr>
        <w:t xml:space="preserve">ew York: McGraw-Hill Education. </w:t>
      </w:r>
      <w:r w:rsidRPr="009D5058">
        <w:rPr>
          <w:rFonts w:ascii="Arial" w:hAnsi="Arial" w:cs="Arial"/>
          <w:sz w:val="24"/>
          <w:szCs w:val="24"/>
        </w:rPr>
        <w:t xml:space="preserve">Available at: </w:t>
      </w:r>
      <w:hyperlink r:id="rId18" w:history="1">
        <w:r w:rsidRPr="00344423">
          <w:rPr>
            <w:rStyle w:val="Hyperlink"/>
            <w:rFonts w:ascii="Arial" w:hAnsi="Arial" w:cs="Arial"/>
            <w:sz w:val="24"/>
            <w:szCs w:val="24"/>
          </w:rPr>
          <w:t>https://www.mheducation.com/highered/product/essentials-corporate-finance-ross/M9781260571356.html</w:t>
        </w:r>
      </w:hyperlink>
      <w:r>
        <w:rPr>
          <w:rFonts w:ascii="Arial" w:hAnsi="Arial" w:cs="Arial"/>
          <w:sz w:val="24"/>
          <w:szCs w:val="24"/>
        </w:rPr>
        <w:t xml:space="preserve"> </w:t>
      </w:r>
      <w:r w:rsidRPr="009D5058">
        <w:rPr>
          <w:rFonts w:ascii="Arial" w:hAnsi="Arial" w:cs="Arial"/>
          <w:sz w:val="24"/>
          <w:szCs w:val="24"/>
        </w:rPr>
        <w:t>(Accessed: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Arnold, G. and Lewis, D. (2019) Corporate Financial Management. 6th </w:t>
      </w:r>
      <w:r>
        <w:rPr>
          <w:rFonts w:ascii="Arial" w:hAnsi="Arial" w:cs="Arial"/>
          <w:sz w:val="24"/>
          <w:szCs w:val="24"/>
        </w:rPr>
        <w:t xml:space="preserve">edn. Harlow: Pearson Education. </w:t>
      </w:r>
      <w:r w:rsidRPr="009D5058">
        <w:rPr>
          <w:rFonts w:ascii="Arial" w:hAnsi="Arial" w:cs="Arial"/>
          <w:sz w:val="24"/>
          <w:szCs w:val="24"/>
        </w:rPr>
        <w:t xml:space="preserve">Available at: </w:t>
      </w:r>
      <w:hyperlink r:id="rId19" w:history="1">
        <w:r w:rsidRPr="00344423">
          <w:rPr>
            <w:rStyle w:val="Hyperlink"/>
            <w:rFonts w:ascii="Arial" w:hAnsi="Arial" w:cs="Arial"/>
            <w:sz w:val="24"/>
            <w:szCs w:val="24"/>
          </w:rPr>
          <w:t>https://www.pearson.com/en-gb/subject-catalog/p/corporate-financial-management/P200000006468</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Deloof, M. (2003) ‘Does working capital management affect profitability of Belgian firms?’, Journal of Business Finance &amp; Ac</w:t>
      </w:r>
      <w:r>
        <w:rPr>
          <w:rFonts w:ascii="Arial" w:hAnsi="Arial" w:cs="Arial"/>
          <w:sz w:val="24"/>
          <w:szCs w:val="24"/>
        </w:rPr>
        <w:t xml:space="preserve">counting, 30(3–4), pp. 573–588. </w:t>
      </w:r>
      <w:r w:rsidRPr="009D5058">
        <w:rPr>
          <w:rFonts w:ascii="Arial" w:hAnsi="Arial" w:cs="Arial"/>
          <w:sz w:val="24"/>
          <w:szCs w:val="24"/>
        </w:rPr>
        <w:t xml:space="preserve">Available at: </w:t>
      </w:r>
      <w:hyperlink r:id="rId20" w:history="1">
        <w:r w:rsidRPr="00344423">
          <w:rPr>
            <w:rStyle w:val="Hyperlink"/>
            <w:rFonts w:ascii="Arial" w:hAnsi="Arial" w:cs="Arial"/>
            <w:sz w:val="24"/>
            <w:szCs w:val="24"/>
          </w:rPr>
          <w:t>https://onlinelibrary.wiley.com/doi/10.1111/1468-5957.00008</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Fullerton, R.R., McWatters, C.S. and Fawson, C. (2003) ‘An examination of the relationships between JIT and financial performance’, Journal of Operations </w:t>
      </w:r>
      <w:r>
        <w:rPr>
          <w:rFonts w:ascii="Arial" w:hAnsi="Arial" w:cs="Arial"/>
          <w:sz w:val="24"/>
          <w:szCs w:val="24"/>
        </w:rPr>
        <w:t xml:space="preserve">Management, 21(4), pp. 383–404. </w:t>
      </w:r>
      <w:r w:rsidRPr="009D5058">
        <w:rPr>
          <w:rFonts w:ascii="Arial" w:hAnsi="Arial" w:cs="Arial"/>
          <w:sz w:val="24"/>
          <w:szCs w:val="24"/>
        </w:rPr>
        <w:t xml:space="preserve">Available at: </w:t>
      </w:r>
      <w:hyperlink r:id="rId21" w:history="1">
        <w:r w:rsidRPr="00344423">
          <w:rPr>
            <w:rStyle w:val="Hyperlink"/>
            <w:rFonts w:ascii="Arial" w:hAnsi="Arial" w:cs="Arial"/>
            <w:sz w:val="24"/>
            <w:szCs w:val="24"/>
          </w:rPr>
          <w:t>https://doi.org/10.1016/S0272-6963(03)00008-0</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Hillier, D., Grinblatt, M., Titman, S. and Brooks, C. (2021) Financial Markets and Corporate Strategy. 4th European edn. Mai</w:t>
      </w:r>
      <w:r>
        <w:rPr>
          <w:rFonts w:ascii="Arial" w:hAnsi="Arial" w:cs="Arial"/>
          <w:sz w:val="24"/>
          <w:szCs w:val="24"/>
        </w:rPr>
        <w:t xml:space="preserve">denhead: McGraw-Hill Education. </w:t>
      </w:r>
      <w:r w:rsidRPr="009D5058">
        <w:rPr>
          <w:rFonts w:ascii="Arial" w:hAnsi="Arial" w:cs="Arial"/>
          <w:sz w:val="24"/>
          <w:szCs w:val="24"/>
        </w:rPr>
        <w:t>Available at:</w:t>
      </w:r>
      <w:hyperlink r:id="rId22" w:history="1">
        <w:r w:rsidRPr="00344423">
          <w:rPr>
            <w:rStyle w:val="Hyperlink"/>
            <w:rFonts w:ascii="Arial" w:hAnsi="Arial" w:cs="Arial"/>
            <w:sz w:val="24"/>
            <w:szCs w:val="24"/>
          </w:rPr>
          <w:t>https://www.mheducation.co.uk/financial-markets-and-corporate-strategy-9781526847720-emea</w:t>
        </w:r>
      </w:hyperlink>
      <w:r>
        <w:rPr>
          <w:rFonts w:ascii="Arial" w:hAnsi="Arial" w:cs="Arial"/>
          <w:sz w:val="24"/>
          <w:szCs w:val="24"/>
        </w:rPr>
        <w:t xml:space="preserve"> </w:t>
      </w:r>
      <w:r w:rsidRPr="009D5058">
        <w:rPr>
          <w:rFonts w:ascii="Arial" w:hAnsi="Arial" w:cs="Arial"/>
          <w:sz w:val="24"/>
          <w:szCs w:val="24"/>
        </w:rPr>
        <w:t>(Accessed: 20 December 2025).</w:t>
      </w:r>
    </w:p>
    <w:p w:rsidR="009D5058" w:rsidRPr="009D5058" w:rsidRDefault="009D5058" w:rsidP="009D5058">
      <w:pPr>
        <w:spacing w:line="360" w:lineRule="auto"/>
        <w:jc w:val="both"/>
        <w:rPr>
          <w:rFonts w:ascii="Arial" w:hAnsi="Arial" w:cs="Arial"/>
          <w:sz w:val="24"/>
          <w:szCs w:val="24"/>
        </w:rPr>
      </w:pP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lastRenderedPageBreak/>
        <w:t>Lamberson, M. (1995) ‘Changes in working capital of small firms in relation to changes in economic activity’, American Journal</w:t>
      </w:r>
      <w:r>
        <w:rPr>
          <w:rFonts w:ascii="Arial" w:hAnsi="Arial" w:cs="Arial"/>
          <w:sz w:val="24"/>
          <w:szCs w:val="24"/>
        </w:rPr>
        <w:t xml:space="preserve"> of Business, 10(2), pp. 45–50. </w:t>
      </w:r>
      <w:r w:rsidRPr="009D5058">
        <w:rPr>
          <w:rFonts w:ascii="Arial" w:hAnsi="Arial" w:cs="Arial"/>
          <w:sz w:val="24"/>
          <w:szCs w:val="24"/>
        </w:rPr>
        <w:t xml:space="preserve">Available at: </w:t>
      </w:r>
      <w:hyperlink r:id="rId23" w:history="1">
        <w:r w:rsidRPr="00344423">
          <w:rPr>
            <w:rStyle w:val="Hyperlink"/>
            <w:rFonts w:ascii="Arial" w:hAnsi="Arial" w:cs="Arial"/>
            <w:sz w:val="24"/>
            <w:szCs w:val="24"/>
          </w:rPr>
          <w:t>https://doi.org/10.1108/19355181199500009</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Petersen, M.A. and Rajan, R.G. (1997) ‘Trade credit: Theories and evidence’, Review of Financi</w:t>
      </w:r>
      <w:r>
        <w:rPr>
          <w:rFonts w:ascii="Arial" w:hAnsi="Arial" w:cs="Arial"/>
          <w:sz w:val="24"/>
          <w:szCs w:val="24"/>
        </w:rPr>
        <w:t xml:space="preserve">al Studies, 10(3), pp. 661–691 </w:t>
      </w:r>
      <w:r w:rsidRPr="009D5058">
        <w:rPr>
          <w:rFonts w:ascii="Arial" w:hAnsi="Arial" w:cs="Arial"/>
          <w:sz w:val="24"/>
          <w:szCs w:val="24"/>
        </w:rPr>
        <w:t xml:space="preserve">Available at: </w:t>
      </w:r>
      <w:hyperlink r:id="rId24" w:history="1">
        <w:r w:rsidRPr="00344423">
          <w:rPr>
            <w:rStyle w:val="Hyperlink"/>
            <w:rFonts w:ascii="Arial" w:hAnsi="Arial" w:cs="Arial"/>
            <w:sz w:val="24"/>
            <w:szCs w:val="24"/>
          </w:rPr>
          <w:t>https://doi.org/10.1093/rfs/10.3.661</w:t>
        </w:r>
      </w:hyperlink>
      <w:r>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Ross, S.A., Westerfield, R.W., Jaffe, J. and Jordan, B.D. (2021) Corporate Finance. 13th edn. N</w:t>
      </w:r>
      <w:r>
        <w:rPr>
          <w:rFonts w:ascii="Arial" w:hAnsi="Arial" w:cs="Arial"/>
          <w:sz w:val="24"/>
          <w:szCs w:val="24"/>
        </w:rPr>
        <w:t xml:space="preserve">ew York: McGraw-Hill Education. </w:t>
      </w:r>
      <w:r w:rsidRPr="009D5058">
        <w:rPr>
          <w:rFonts w:ascii="Arial" w:hAnsi="Arial" w:cs="Arial"/>
          <w:sz w:val="24"/>
          <w:szCs w:val="24"/>
        </w:rPr>
        <w:t xml:space="preserve">Available at: </w:t>
      </w:r>
      <w:hyperlink r:id="rId25" w:history="1">
        <w:r w:rsidRPr="00344423">
          <w:rPr>
            <w:rStyle w:val="Hyperlink"/>
            <w:rFonts w:ascii="Arial" w:hAnsi="Arial" w:cs="Arial"/>
            <w:sz w:val="24"/>
            <w:szCs w:val="24"/>
          </w:rPr>
          <w:t>https://www.mheducation.com/highered/product/corporate-finance-ross/M9781260565546.html</w:t>
        </w:r>
      </w:hyperlink>
      <w:r>
        <w:rPr>
          <w:rFonts w:ascii="Arial" w:hAnsi="Arial" w:cs="Arial"/>
          <w:sz w:val="24"/>
          <w:szCs w:val="24"/>
        </w:rPr>
        <w:t xml:space="preserve"> (Accessed: 20 December 2025).</w:t>
      </w:r>
    </w:p>
    <w:p w:rsid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Shin, H.H. and Soenen, L. (1998) ‘Efficiency of working capital management and corporate profitability’, Financial Practice </w:t>
      </w:r>
      <w:r>
        <w:rPr>
          <w:rFonts w:ascii="Arial" w:hAnsi="Arial" w:cs="Arial"/>
          <w:sz w:val="24"/>
          <w:szCs w:val="24"/>
        </w:rPr>
        <w:t xml:space="preserve">and Education, 8(2), pp. 37–45. </w:t>
      </w:r>
      <w:r w:rsidRPr="009D5058">
        <w:rPr>
          <w:rFonts w:ascii="Arial" w:hAnsi="Arial" w:cs="Arial"/>
          <w:sz w:val="24"/>
          <w:szCs w:val="24"/>
        </w:rPr>
        <w:t xml:space="preserve">Available at: </w:t>
      </w:r>
      <w:hyperlink r:id="rId26" w:history="1">
        <w:r w:rsidRPr="00344423">
          <w:rPr>
            <w:rStyle w:val="Hyperlink"/>
            <w:rFonts w:ascii="Arial" w:hAnsi="Arial" w:cs="Arial"/>
            <w:sz w:val="24"/>
            <w:szCs w:val="24"/>
          </w:rPr>
          <w:t>https://papers.ssrn.com/sol3/papers.cfm?abstract_id=100109</w:t>
        </w:r>
      </w:hyperlink>
      <w:r>
        <w:rPr>
          <w:rFonts w:ascii="Arial" w:hAnsi="Arial" w:cs="Arial"/>
          <w:sz w:val="24"/>
          <w:szCs w:val="24"/>
        </w:rPr>
        <w:t xml:space="preserve"> </w:t>
      </w:r>
      <w:r w:rsidRPr="009D5058">
        <w:rPr>
          <w:rFonts w:ascii="Arial" w:hAnsi="Arial" w:cs="Arial"/>
          <w:sz w:val="24"/>
          <w:szCs w:val="24"/>
        </w:rPr>
        <w:t>(Accessed: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Arnold, G. and Lewis, D. (2019) </w:t>
      </w:r>
      <w:r w:rsidRPr="009D5058">
        <w:rPr>
          <w:rFonts w:ascii="Arial" w:hAnsi="Arial" w:cs="Arial"/>
          <w:i/>
          <w:iCs/>
          <w:sz w:val="24"/>
          <w:szCs w:val="24"/>
        </w:rPr>
        <w:t>Corporate Financial Management</w:t>
      </w:r>
      <w:r>
        <w:rPr>
          <w:rFonts w:ascii="Arial" w:hAnsi="Arial" w:cs="Arial"/>
          <w:sz w:val="24"/>
          <w:szCs w:val="24"/>
        </w:rPr>
        <w:t xml:space="preserve">. 6th edn. Harlow: Pearson Education. </w:t>
      </w:r>
      <w:r w:rsidRPr="009D5058">
        <w:rPr>
          <w:rFonts w:ascii="Arial" w:hAnsi="Arial" w:cs="Arial"/>
          <w:sz w:val="24"/>
          <w:szCs w:val="24"/>
        </w:rPr>
        <w:t xml:space="preserve">Available at: </w:t>
      </w:r>
      <w:hyperlink r:id="rId27" w:history="1">
        <w:r w:rsidRPr="009D5058">
          <w:rPr>
            <w:rStyle w:val="Hyperlink"/>
            <w:rFonts w:ascii="Arial" w:hAnsi="Arial" w:cs="Arial"/>
            <w:sz w:val="24"/>
            <w:szCs w:val="24"/>
          </w:rPr>
          <w:t>https://www.pearson.com/en-gb/subject-catalog/p/corporate-financial-management/P200000006468</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Atrill, P. and McLaney, E. (2022) </w:t>
      </w:r>
      <w:r w:rsidRPr="009D5058">
        <w:rPr>
          <w:rFonts w:ascii="Arial" w:hAnsi="Arial" w:cs="Arial"/>
          <w:i/>
          <w:iCs/>
          <w:sz w:val="24"/>
          <w:szCs w:val="24"/>
        </w:rPr>
        <w:t>Accounting and Finance for Non-Specialists</w:t>
      </w:r>
      <w:r w:rsidRPr="009D5058">
        <w:rPr>
          <w:rFonts w:ascii="Arial" w:hAnsi="Arial" w:cs="Arial"/>
          <w:sz w:val="24"/>
          <w:szCs w:val="24"/>
        </w:rPr>
        <w:t xml:space="preserve">. 12th </w:t>
      </w:r>
      <w:r>
        <w:rPr>
          <w:rFonts w:ascii="Arial" w:hAnsi="Arial" w:cs="Arial"/>
          <w:sz w:val="24"/>
          <w:szCs w:val="24"/>
        </w:rPr>
        <w:t xml:space="preserve">edn. Harlow: Pearson Education. </w:t>
      </w:r>
      <w:r w:rsidRPr="009D5058">
        <w:rPr>
          <w:rFonts w:ascii="Arial" w:hAnsi="Arial" w:cs="Arial"/>
          <w:sz w:val="24"/>
          <w:szCs w:val="24"/>
        </w:rPr>
        <w:t xml:space="preserve">Available at: </w:t>
      </w:r>
      <w:hyperlink r:id="rId28" w:history="1">
        <w:r w:rsidRPr="009D5058">
          <w:rPr>
            <w:rStyle w:val="Hyperlink"/>
            <w:rFonts w:ascii="Arial" w:hAnsi="Arial" w:cs="Arial"/>
            <w:sz w:val="24"/>
            <w:szCs w:val="24"/>
          </w:rPr>
          <w:t>https://www.pearson.com/en-gb/subject-catalog/p/accounting-and-finance-for-non-specialists/P200000006482</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Brealey, R.A., Myers, S.C. and Allen, F. (2020) </w:t>
      </w:r>
      <w:r w:rsidRPr="009D5058">
        <w:rPr>
          <w:rFonts w:ascii="Arial" w:hAnsi="Arial" w:cs="Arial"/>
          <w:i/>
          <w:iCs/>
          <w:sz w:val="24"/>
          <w:szCs w:val="24"/>
        </w:rPr>
        <w:t>Principles of Corporate Finance</w:t>
      </w:r>
      <w:r w:rsidRPr="009D5058">
        <w:rPr>
          <w:rFonts w:ascii="Arial" w:hAnsi="Arial" w:cs="Arial"/>
          <w:sz w:val="24"/>
          <w:szCs w:val="24"/>
        </w:rPr>
        <w:t>. 14th edn. N</w:t>
      </w:r>
      <w:r>
        <w:rPr>
          <w:rFonts w:ascii="Arial" w:hAnsi="Arial" w:cs="Arial"/>
          <w:sz w:val="24"/>
          <w:szCs w:val="24"/>
        </w:rPr>
        <w:t xml:space="preserve">ew York: McGraw-Hill Education. </w:t>
      </w:r>
      <w:r w:rsidRPr="009D5058">
        <w:rPr>
          <w:rFonts w:ascii="Arial" w:hAnsi="Arial" w:cs="Arial"/>
          <w:sz w:val="24"/>
          <w:szCs w:val="24"/>
        </w:rPr>
        <w:t xml:space="preserve">Available at: </w:t>
      </w:r>
      <w:hyperlink r:id="rId29" w:history="1">
        <w:r w:rsidRPr="009D5058">
          <w:rPr>
            <w:rStyle w:val="Hyperlink"/>
            <w:rFonts w:ascii="Arial" w:hAnsi="Arial" w:cs="Arial"/>
            <w:sz w:val="24"/>
            <w:szCs w:val="24"/>
          </w:rPr>
          <w:t>https://www.mheducation.com/highered/product/principles-corporate-finance-brealey/M9781264101573.html</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lastRenderedPageBreak/>
        <w:t xml:space="preserve">Brigham, E.F. and Ehrhardt, M.C. (2019) </w:t>
      </w:r>
      <w:r w:rsidRPr="009D5058">
        <w:rPr>
          <w:rFonts w:ascii="Arial" w:hAnsi="Arial" w:cs="Arial"/>
          <w:i/>
          <w:iCs/>
          <w:sz w:val="24"/>
          <w:szCs w:val="24"/>
        </w:rPr>
        <w:t>Financial Management: Theory and Practice</w:t>
      </w:r>
      <w:r w:rsidRPr="009D5058">
        <w:rPr>
          <w:rFonts w:ascii="Arial" w:hAnsi="Arial" w:cs="Arial"/>
          <w:sz w:val="24"/>
          <w:szCs w:val="24"/>
        </w:rPr>
        <w:t>. 16th edn. Boston: Cengage Learning.</w:t>
      </w:r>
      <w:r>
        <w:rPr>
          <w:rFonts w:ascii="Arial" w:hAnsi="Arial" w:cs="Arial"/>
          <w:sz w:val="24"/>
          <w:szCs w:val="24"/>
        </w:rPr>
        <w:t xml:space="preserve"> </w:t>
      </w:r>
      <w:r w:rsidRPr="009D5058">
        <w:rPr>
          <w:rFonts w:ascii="Arial" w:hAnsi="Arial" w:cs="Arial"/>
          <w:sz w:val="24"/>
          <w:szCs w:val="24"/>
        </w:rPr>
        <w:t xml:space="preserve">Available at: </w:t>
      </w:r>
      <w:hyperlink r:id="rId30" w:history="1">
        <w:r w:rsidRPr="009D5058">
          <w:rPr>
            <w:rStyle w:val="Hyperlink"/>
            <w:rFonts w:ascii="Arial" w:hAnsi="Arial" w:cs="Arial"/>
            <w:sz w:val="24"/>
            <w:szCs w:val="24"/>
          </w:rPr>
          <w:t>https://www.cengage.com/c/financial-management-theory-and-practice-16e-brigham/</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Copeland, T., Koller, T. and Murrin, J. (2015) </w:t>
      </w:r>
      <w:r w:rsidRPr="009D5058">
        <w:rPr>
          <w:rFonts w:ascii="Arial" w:hAnsi="Arial" w:cs="Arial"/>
          <w:i/>
          <w:iCs/>
          <w:sz w:val="24"/>
          <w:szCs w:val="24"/>
        </w:rPr>
        <w:t>Valuation: Measuring and Managing the Value of Companies</w:t>
      </w:r>
      <w:r>
        <w:rPr>
          <w:rFonts w:ascii="Arial" w:hAnsi="Arial" w:cs="Arial"/>
          <w:sz w:val="24"/>
          <w:szCs w:val="24"/>
        </w:rPr>
        <w:t xml:space="preserve">. 6th edn. Hoboken, NJ: Wiley. </w:t>
      </w:r>
      <w:r w:rsidRPr="009D5058">
        <w:rPr>
          <w:rFonts w:ascii="Arial" w:hAnsi="Arial" w:cs="Arial"/>
          <w:sz w:val="24"/>
          <w:szCs w:val="24"/>
        </w:rPr>
        <w:t xml:space="preserve">Available at: </w:t>
      </w:r>
      <w:hyperlink r:id="rId31" w:history="1">
        <w:r w:rsidRPr="009D5058">
          <w:rPr>
            <w:rStyle w:val="Hyperlink"/>
            <w:rFonts w:ascii="Arial" w:hAnsi="Arial" w:cs="Arial"/>
            <w:sz w:val="24"/>
            <w:szCs w:val="24"/>
          </w:rPr>
          <w:t>https://www.wiley.com/en-us/Valuation%3A+Measuring+and+Managing+the+Value+of+Companies%2C+6th+Edition-p-9781118873651</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Deloof, M. (2003) ‘Does working capital management affect profitability of Belgian firms?’, </w:t>
      </w:r>
      <w:r w:rsidRPr="009D5058">
        <w:rPr>
          <w:rFonts w:ascii="Arial" w:hAnsi="Arial" w:cs="Arial"/>
          <w:i/>
          <w:iCs/>
          <w:sz w:val="24"/>
          <w:szCs w:val="24"/>
        </w:rPr>
        <w:t>Journal of Business Finance &amp; Accounting</w:t>
      </w:r>
      <w:r w:rsidRPr="009D5058">
        <w:rPr>
          <w:rFonts w:ascii="Arial" w:hAnsi="Arial" w:cs="Arial"/>
          <w:sz w:val="24"/>
          <w:szCs w:val="24"/>
        </w:rPr>
        <w:t>, 30(3–4), pp. 573–588.</w:t>
      </w:r>
      <w:r w:rsidRPr="009D5058">
        <w:rPr>
          <w:rFonts w:ascii="Arial" w:hAnsi="Arial" w:cs="Arial"/>
          <w:sz w:val="24"/>
          <w:szCs w:val="24"/>
        </w:rPr>
        <w:br/>
        <w:t xml:space="preserve">Available at: </w:t>
      </w:r>
      <w:hyperlink r:id="rId32" w:history="1">
        <w:r w:rsidRPr="009D5058">
          <w:rPr>
            <w:rStyle w:val="Hyperlink"/>
            <w:rFonts w:ascii="Arial" w:hAnsi="Arial" w:cs="Arial"/>
            <w:sz w:val="24"/>
            <w:szCs w:val="24"/>
          </w:rPr>
          <w:t>https://onlinelibrary.wiley.com/doi/10.1111/1468-5957.00008</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Hillier, D., Grinblatt, M., Titman, S. and Brooks, C. (2021) </w:t>
      </w:r>
      <w:r w:rsidRPr="009D5058">
        <w:rPr>
          <w:rFonts w:ascii="Arial" w:hAnsi="Arial" w:cs="Arial"/>
          <w:i/>
          <w:iCs/>
          <w:sz w:val="24"/>
          <w:szCs w:val="24"/>
        </w:rPr>
        <w:t>Financial Markets and Corporate Strategy</w:t>
      </w:r>
      <w:r w:rsidRPr="009D5058">
        <w:rPr>
          <w:rFonts w:ascii="Arial" w:hAnsi="Arial" w:cs="Arial"/>
          <w:sz w:val="24"/>
          <w:szCs w:val="24"/>
        </w:rPr>
        <w:t>. 4th European edn. Maidenhead: McGraw-Hill Education.</w:t>
      </w:r>
      <w:r w:rsidRPr="009D5058">
        <w:rPr>
          <w:rFonts w:ascii="Arial" w:hAnsi="Arial" w:cs="Arial"/>
          <w:sz w:val="24"/>
          <w:szCs w:val="24"/>
        </w:rPr>
        <w:br/>
        <w:t xml:space="preserve">Available at: </w:t>
      </w:r>
      <w:hyperlink r:id="rId33" w:history="1">
        <w:r w:rsidRPr="009D5058">
          <w:rPr>
            <w:rStyle w:val="Hyperlink"/>
            <w:rFonts w:ascii="Arial" w:hAnsi="Arial" w:cs="Arial"/>
            <w:sz w:val="24"/>
            <w:szCs w:val="24"/>
          </w:rPr>
          <w:t>https://www.mheducation.co.uk/financial-markets-and-corporate-strategy-9781526847720-emea</w:t>
        </w:r>
      </w:hyperlink>
      <w:r w:rsidRPr="009D5058">
        <w:rPr>
          <w:rFonts w:ascii="Arial" w:hAnsi="Arial" w:cs="Arial"/>
          <w:sz w:val="24"/>
          <w:szCs w:val="24"/>
        </w:rPr>
        <w:t xml:space="preserve"> (Accessed: 20 December 2025).</w:t>
      </w:r>
    </w:p>
    <w:p w:rsidR="009D5058" w:rsidRPr="009D5058" w:rsidRDefault="009D5058" w:rsidP="009D5058">
      <w:pPr>
        <w:spacing w:line="360" w:lineRule="auto"/>
        <w:jc w:val="both"/>
        <w:rPr>
          <w:rFonts w:ascii="Arial" w:hAnsi="Arial" w:cs="Arial"/>
          <w:sz w:val="24"/>
          <w:szCs w:val="24"/>
        </w:rPr>
      </w:pPr>
      <w:r w:rsidRPr="009D5058">
        <w:rPr>
          <w:rFonts w:ascii="Arial" w:hAnsi="Arial" w:cs="Arial"/>
          <w:sz w:val="24"/>
          <w:szCs w:val="24"/>
        </w:rPr>
        <w:t xml:space="preserve">OECD (2020) </w:t>
      </w:r>
      <w:r w:rsidRPr="009D5058">
        <w:rPr>
          <w:rFonts w:ascii="Arial" w:hAnsi="Arial" w:cs="Arial"/>
          <w:i/>
          <w:iCs/>
          <w:sz w:val="24"/>
          <w:szCs w:val="24"/>
        </w:rPr>
        <w:t>OECD/G20 Inclusive Framework on BEPS: Progress Report 2019–2020</w:t>
      </w:r>
      <w:r>
        <w:rPr>
          <w:rFonts w:ascii="Arial" w:hAnsi="Arial" w:cs="Arial"/>
          <w:sz w:val="24"/>
          <w:szCs w:val="24"/>
        </w:rPr>
        <w:t xml:space="preserve">. Paris: OECD Publishing. </w:t>
      </w:r>
      <w:r w:rsidRPr="009D5058">
        <w:rPr>
          <w:rFonts w:ascii="Arial" w:hAnsi="Arial" w:cs="Arial"/>
          <w:sz w:val="24"/>
          <w:szCs w:val="24"/>
        </w:rPr>
        <w:t xml:space="preserve">Available at: </w:t>
      </w:r>
      <w:hyperlink r:id="rId34" w:history="1">
        <w:r w:rsidRPr="009D5058">
          <w:rPr>
            <w:rStyle w:val="Hyperlink"/>
            <w:rFonts w:ascii="Arial" w:hAnsi="Arial" w:cs="Arial"/>
            <w:sz w:val="24"/>
            <w:szCs w:val="24"/>
          </w:rPr>
          <w:t>https://www.oecd.org/tax/beps/oecd-g20-inclusive-framework-on-beps-progress-report-2019-2020.pdf</w:t>
        </w:r>
      </w:hyperlink>
      <w:r w:rsidRPr="009D5058">
        <w:rPr>
          <w:rFonts w:ascii="Arial" w:hAnsi="Arial" w:cs="Arial"/>
          <w:sz w:val="24"/>
          <w:szCs w:val="24"/>
        </w:rPr>
        <w:t xml:space="preserve"> (Accessed: 20 December 2025).</w:t>
      </w:r>
    </w:p>
    <w:p w:rsidR="009D5058" w:rsidRDefault="009D5058" w:rsidP="00170687">
      <w:pPr>
        <w:spacing w:line="360" w:lineRule="auto"/>
        <w:jc w:val="both"/>
        <w:rPr>
          <w:rFonts w:ascii="Arial" w:hAnsi="Arial" w:cs="Arial"/>
          <w:sz w:val="24"/>
          <w:szCs w:val="24"/>
        </w:rPr>
      </w:pPr>
      <w:r w:rsidRPr="009D5058">
        <w:rPr>
          <w:rFonts w:ascii="Arial" w:hAnsi="Arial" w:cs="Arial"/>
          <w:sz w:val="24"/>
          <w:szCs w:val="24"/>
        </w:rPr>
        <w:t xml:space="preserve">Ross, S.A., Westerfield, R.W., Jaffe, J. and Jordan, B.D. (2021) </w:t>
      </w:r>
      <w:r w:rsidRPr="009D5058">
        <w:rPr>
          <w:rFonts w:ascii="Arial" w:hAnsi="Arial" w:cs="Arial"/>
          <w:i/>
          <w:iCs/>
          <w:sz w:val="24"/>
          <w:szCs w:val="24"/>
        </w:rPr>
        <w:t>Corporate Finance</w:t>
      </w:r>
      <w:r w:rsidRPr="009D5058">
        <w:rPr>
          <w:rFonts w:ascii="Arial" w:hAnsi="Arial" w:cs="Arial"/>
          <w:sz w:val="24"/>
          <w:szCs w:val="24"/>
        </w:rPr>
        <w:t>. 13th edn. N</w:t>
      </w:r>
      <w:r>
        <w:rPr>
          <w:rFonts w:ascii="Arial" w:hAnsi="Arial" w:cs="Arial"/>
          <w:sz w:val="24"/>
          <w:szCs w:val="24"/>
        </w:rPr>
        <w:t xml:space="preserve">ew York: McGraw-Hill Education. </w:t>
      </w:r>
      <w:r w:rsidRPr="009D5058">
        <w:rPr>
          <w:rFonts w:ascii="Arial" w:hAnsi="Arial" w:cs="Arial"/>
          <w:sz w:val="24"/>
          <w:szCs w:val="24"/>
        </w:rPr>
        <w:t xml:space="preserve">Available at: </w:t>
      </w:r>
      <w:hyperlink r:id="rId35" w:history="1">
        <w:r w:rsidRPr="009D5058">
          <w:rPr>
            <w:rStyle w:val="Hyperlink"/>
            <w:rFonts w:ascii="Arial" w:hAnsi="Arial" w:cs="Arial"/>
            <w:sz w:val="24"/>
            <w:szCs w:val="24"/>
          </w:rPr>
          <w:t>https://www.mheducation.com/highered/product/corporate-finance-ross/M9781260565546.html</w:t>
        </w:r>
      </w:hyperlink>
      <w:r w:rsidRPr="009D5058">
        <w:rPr>
          <w:rFonts w:ascii="Arial" w:hAnsi="Arial" w:cs="Arial"/>
          <w:sz w:val="24"/>
          <w:szCs w:val="24"/>
        </w:rPr>
        <w:t xml:space="preserve"> (Accessed: 20 December 2025).</w:t>
      </w:r>
    </w:p>
    <w:p w:rsidR="009D5058" w:rsidRDefault="009D5058" w:rsidP="00170687">
      <w:pPr>
        <w:spacing w:line="360" w:lineRule="auto"/>
        <w:jc w:val="both"/>
        <w:rPr>
          <w:rFonts w:ascii="Arial" w:hAnsi="Arial" w:cs="Arial"/>
          <w:sz w:val="24"/>
          <w:szCs w:val="24"/>
        </w:rPr>
      </w:pPr>
    </w:p>
    <w:p w:rsidR="009D5058" w:rsidRDefault="009D5058" w:rsidP="00170687">
      <w:pPr>
        <w:spacing w:line="360" w:lineRule="auto"/>
        <w:jc w:val="both"/>
        <w:rPr>
          <w:rFonts w:ascii="Arial" w:hAnsi="Arial" w:cs="Arial"/>
          <w:sz w:val="24"/>
          <w:szCs w:val="24"/>
        </w:rPr>
      </w:pPr>
    </w:p>
    <w:p w:rsidR="009D5058" w:rsidRDefault="009D5058" w:rsidP="00170687">
      <w:pPr>
        <w:spacing w:line="360" w:lineRule="auto"/>
        <w:jc w:val="both"/>
        <w:rPr>
          <w:rFonts w:ascii="Arial" w:hAnsi="Arial" w:cs="Arial"/>
          <w:sz w:val="24"/>
          <w:szCs w:val="24"/>
        </w:rPr>
      </w:pPr>
    </w:p>
    <w:p w:rsidR="009D5058" w:rsidRPr="00E41467" w:rsidRDefault="009D5058" w:rsidP="00170687">
      <w:pPr>
        <w:spacing w:line="360" w:lineRule="auto"/>
        <w:jc w:val="both"/>
        <w:rPr>
          <w:rFonts w:ascii="Arial" w:hAnsi="Arial" w:cs="Arial"/>
          <w:sz w:val="24"/>
          <w:szCs w:val="24"/>
        </w:rPr>
      </w:pPr>
    </w:p>
    <w:p w:rsidR="007947D7" w:rsidRPr="009D5058" w:rsidRDefault="00835A0D" w:rsidP="009D5058">
      <w:pPr>
        <w:pStyle w:val="Heading1"/>
        <w:spacing w:after="240"/>
        <w:rPr>
          <w:rFonts w:ascii="Arial" w:hAnsi="Arial" w:cs="Arial"/>
          <w:b/>
          <w:color w:val="auto"/>
        </w:rPr>
      </w:pPr>
      <w:bookmarkStart w:id="59" w:name="_Toc217117707"/>
      <w:r w:rsidRPr="00E41467">
        <w:rPr>
          <w:rFonts w:ascii="Arial" w:hAnsi="Arial" w:cs="Arial"/>
          <w:b/>
          <w:color w:val="auto"/>
        </w:rPr>
        <w:lastRenderedPageBreak/>
        <w:t xml:space="preserve">7. </w:t>
      </w:r>
      <w:r w:rsidR="007947D7" w:rsidRPr="00E41467">
        <w:rPr>
          <w:rFonts w:ascii="Arial" w:hAnsi="Arial" w:cs="Arial"/>
          <w:b/>
          <w:color w:val="auto"/>
        </w:rPr>
        <w:t>Appendic</w:t>
      </w:r>
      <w:r w:rsidRPr="00E41467">
        <w:rPr>
          <w:rFonts w:ascii="Arial" w:hAnsi="Arial" w:cs="Arial"/>
          <w:b/>
          <w:color w:val="auto"/>
        </w:rPr>
        <w:t>e</w:t>
      </w:r>
      <w:r w:rsidR="007947D7" w:rsidRPr="00E41467">
        <w:rPr>
          <w:rFonts w:ascii="Arial" w:hAnsi="Arial" w:cs="Arial"/>
          <w:b/>
          <w:color w:val="auto"/>
        </w:rPr>
        <w:t>s</w:t>
      </w:r>
      <w:bookmarkEnd w:id="59"/>
    </w:p>
    <w:p w:rsidR="00172030" w:rsidRPr="00E41467" w:rsidRDefault="00172030" w:rsidP="009D5058">
      <w:pPr>
        <w:spacing w:after="240" w:line="360" w:lineRule="auto"/>
        <w:rPr>
          <w:rFonts w:ascii="Arial" w:hAnsi="Arial" w:cs="Arial"/>
          <w:b/>
          <w:sz w:val="24"/>
          <w:szCs w:val="24"/>
          <w:lang w:val="en-GB" w:eastAsia="en-GB"/>
        </w:rPr>
      </w:pPr>
      <w:r w:rsidRPr="00E41467">
        <w:rPr>
          <w:rFonts w:ascii="Arial" w:hAnsi="Arial" w:cs="Arial"/>
          <w:b/>
          <w:sz w:val="24"/>
          <w:szCs w:val="24"/>
          <w:lang w:val="en-GB" w:eastAsia="en-GB"/>
        </w:rPr>
        <w:t>7.1 Ratio Tables</w:t>
      </w: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Profitability Ratios</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29"/>
        <w:gridCol w:w="1985"/>
        <w:gridCol w:w="2386"/>
        <w:gridCol w:w="2190"/>
        <w:gridCol w:w="2160"/>
      </w:tblGrid>
      <w:tr w:rsidR="00E41467" w:rsidRPr="00E41467" w:rsidTr="009D5058">
        <w:trPr>
          <w:tblHeader/>
          <w:tblCellSpacing w:w="15" w:type="dxa"/>
        </w:trPr>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Year</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Gross Profit Margin (%)</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Operating Profit Margin (%)</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Return on Assets (ROA %)</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Return on Equity (ROE %)</w:t>
            </w:r>
          </w:p>
        </w:tc>
      </w:tr>
      <w:tr w:rsidR="00E41467" w:rsidRPr="00E41467" w:rsidTr="009D5058">
        <w:trPr>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28.7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7.6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12.3</w:t>
            </w:r>
          </w:p>
        </w:tc>
      </w:tr>
      <w:tr w:rsidR="00E41467" w:rsidRPr="00E41467" w:rsidTr="009D5058">
        <w:trPr>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28.7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1.9</w:t>
            </w:r>
          </w:p>
        </w:tc>
      </w:tr>
      <w:tr w:rsidR="00E41467" w:rsidRPr="00E41467" w:rsidTr="009D5058">
        <w:trPr>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2022</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28.1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0.2</w:t>
            </w:r>
          </w:p>
        </w:tc>
      </w:tr>
      <w:tr w:rsidR="00E41467" w:rsidRPr="00E41467" w:rsidTr="009D5058">
        <w:trPr>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23.2</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-27.6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-54.9</w:t>
            </w:r>
          </w:p>
        </w:tc>
      </w:tr>
      <w:tr w:rsidR="00E41467" w:rsidRPr="00E41467" w:rsidTr="009D5058">
        <w:trPr>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2024</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28.9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-15.7</w:t>
            </w:r>
          </w:p>
        </w:tc>
      </w:tr>
    </w:tbl>
    <w:p w:rsidR="00172030" w:rsidRPr="00E41467" w:rsidRDefault="00172030" w:rsidP="00172030">
      <w:pPr>
        <w:spacing w:line="360" w:lineRule="auto"/>
        <w:rPr>
          <w:rFonts w:ascii="Arial" w:hAnsi="Arial" w:cs="Arial"/>
          <w:sz w:val="24"/>
          <w:szCs w:val="24"/>
          <w:lang w:val="en-GB" w:eastAsia="en-GB"/>
        </w:rPr>
      </w:pP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Liquidity Ratios</w:t>
      </w:r>
    </w:p>
    <w:tbl>
      <w:tblPr>
        <w:tblW w:w="9469"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980"/>
        <w:gridCol w:w="2272"/>
        <w:gridCol w:w="2678"/>
        <w:gridCol w:w="2539"/>
      </w:tblGrid>
      <w:tr w:rsidR="00E41467" w:rsidRPr="00E41467" w:rsidTr="009D5058">
        <w:trPr>
          <w:trHeight w:val="449"/>
          <w:tblHeader/>
          <w:tblCellSpacing w:w="15" w:type="dxa"/>
        </w:trPr>
        <w:tc>
          <w:tcPr>
            <w:tcW w:w="1935" w:type="dxa"/>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Year</w:t>
            </w:r>
          </w:p>
        </w:tc>
        <w:tc>
          <w:tcPr>
            <w:tcW w:w="2242" w:type="dxa"/>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Current Ratio</w:t>
            </w:r>
          </w:p>
        </w:tc>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Quick Ratio</w:t>
            </w:r>
          </w:p>
        </w:tc>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Cash Ratio</w:t>
            </w:r>
          </w:p>
        </w:tc>
      </w:tr>
      <w:tr w:rsidR="00E41467" w:rsidRPr="00E41467" w:rsidTr="009D5058">
        <w:trPr>
          <w:trHeight w:val="461"/>
          <w:tblCellSpacing w:w="15" w:type="dxa"/>
        </w:trPr>
        <w:tc>
          <w:tcPr>
            <w:tcW w:w="193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2020</w:t>
            </w:r>
          </w:p>
        </w:tc>
        <w:tc>
          <w:tcPr>
            <w:tcW w:w="2242"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1.82</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1.12</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0.32</w:t>
            </w:r>
          </w:p>
        </w:tc>
      </w:tr>
      <w:tr w:rsidR="00E41467" w:rsidRPr="00E41467" w:rsidTr="009D5058">
        <w:trPr>
          <w:trHeight w:val="449"/>
          <w:tblCellSpacing w:w="15" w:type="dxa"/>
        </w:trPr>
        <w:tc>
          <w:tcPr>
            <w:tcW w:w="193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2021</w:t>
            </w:r>
          </w:p>
        </w:tc>
        <w:tc>
          <w:tcPr>
            <w:tcW w:w="2242"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1.55</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0.28</w:t>
            </w:r>
          </w:p>
        </w:tc>
      </w:tr>
      <w:tr w:rsidR="00E41467" w:rsidRPr="00E41467" w:rsidTr="009D5058">
        <w:trPr>
          <w:trHeight w:val="449"/>
          <w:tblCellSpacing w:w="15" w:type="dxa"/>
        </w:trPr>
        <w:tc>
          <w:tcPr>
            <w:tcW w:w="193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2022</w:t>
            </w:r>
          </w:p>
        </w:tc>
        <w:tc>
          <w:tcPr>
            <w:tcW w:w="2242"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0.91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0.31</w:t>
            </w:r>
          </w:p>
        </w:tc>
      </w:tr>
      <w:tr w:rsidR="00E41467" w:rsidRPr="00E41467" w:rsidTr="009D5058">
        <w:trPr>
          <w:trHeight w:val="449"/>
          <w:tblCellSpacing w:w="15" w:type="dxa"/>
        </w:trPr>
        <w:tc>
          <w:tcPr>
            <w:tcW w:w="193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2023</w:t>
            </w:r>
          </w:p>
        </w:tc>
        <w:tc>
          <w:tcPr>
            <w:tcW w:w="2242"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1.61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0.96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0.27</w:t>
            </w:r>
          </w:p>
        </w:tc>
      </w:tr>
      <w:tr w:rsidR="00E41467" w:rsidRPr="00E41467" w:rsidTr="009D5058">
        <w:trPr>
          <w:trHeight w:val="461"/>
          <w:tblCellSpacing w:w="15" w:type="dxa"/>
        </w:trPr>
        <w:tc>
          <w:tcPr>
            <w:tcW w:w="193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2024</w:t>
            </w:r>
          </w:p>
        </w:tc>
        <w:tc>
          <w:tcPr>
            <w:tcW w:w="2242"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0.87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0.17</w:t>
            </w:r>
          </w:p>
        </w:tc>
      </w:tr>
    </w:tbl>
    <w:p w:rsidR="00172030" w:rsidRDefault="00172030" w:rsidP="00172030">
      <w:pPr>
        <w:spacing w:line="360" w:lineRule="auto"/>
        <w:rPr>
          <w:rFonts w:ascii="Arial" w:hAnsi="Arial" w:cs="Arial"/>
          <w:sz w:val="24"/>
          <w:szCs w:val="24"/>
          <w:lang w:val="en-GB" w:eastAsia="en-GB"/>
        </w:rPr>
      </w:pPr>
    </w:p>
    <w:p w:rsidR="009D5058" w:rsidRDefault="009D5058" w:rsidP="00172030">
      <w:pPr>
        <w:spacing w:line="360" w:lineRule="auto"/>
        <w:rPr>
          <w:rFonts w:ascii="Arial" w:hAnsi="Arial" w:cs="Arial"/>
          <w:sz w:val="24"/>
          <w:szCs w:val="24"/>
          <w:lang w:val="en-GB" w:eastAsia="en-GB"/>
        </w:rPr>
      </w:pPr>
    </w:p>
    <w:p w:rsidR="009D5058" w:rsidRPr="00E41467" w:rsidRDefault="009D5058" w:rsidP="00172030">
      <w:pPr>
        <w:spacing w:line="360" w:lineRule="auto"/>
        <w:rPr>
          <w:rFonts w:ascii="Arial" w:hAnsi="Arial" w:cs="Arial"/>
          <w:sz w:val="24"/>
          <w:szCs w:val="24"/>
          <w:lang w:val="en-GB" w:eastAsia="en-GB"/>
        </w:rPr>
      </w:pP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lastRenderedPageBreak/>
        <w:t>Efficiency Ratios</w:t>
      </w:r>
    </w:p>
    <w:tbl>
      <w:tblPr>
        <w:tblW w:w="9396" w:type="dxa"/>
        <w:jc w:val="center"/>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350"/>
        <w:gridCol w:w="2028"/>
        <w:gridCol w:w="3050"/>
        <w:gridCol w:w="2968"/>
      </w:tblGrid>
      <w:tr w:rsidR="00E41467" w:rsidRPr="00E41467" w:rsidTr="009D5058">
        <w:trPr>
          <w:trHeight w:val="563"/>
          <w:tblHeader/>
          <w:tblCellSpacing w:w="15" w:type="dxa"/>
          <w:jc w:val="center"/>
        </w:trPr>
        <w:tc>
          <w:tcPr>
            <w:tcW w:w="1305" w:type="dxa"/>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Year</w:t>
            </w:r>
          </w:p>
        </w:tc>
        <w:tc>
          <w:tcPr>
            <w:tcW w:w="1998" w:type="dxa"/>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Inventory Turnover (x)</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Receivables Turnover (x)</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Total Asset Turnover (x)</w:t>
            </w:r>
          </w:p>
        </w:tc>
      </w:tr>
      <w:tr w:rsidR="00E41467" w:rsidRPr="00E41467" w:rsidTr="009D5058">
        <w:trPr>
          <w:trHeight w:val="578"/>
          <w:tblCellSpacing w:w="15" w:type="dxa"/>
          <w:jc w:val="center"/>
        </w:trPr>
        <w:tc>
          <w:tcPr>
            <w:tcW w:w="130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2020</w:t>
            </w:r>
          </w:p>
        </w:tc>
        <w:tc>
          <w:tcPr>
            <w:tcW w:w="1998"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3.64</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4.75</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1.20</w:t>
            </w:r>
          </w:p>
        </w:tc>
      </w:tr>
      <w:tr w:rsidR="00E41467" w:rsidRPr="00E41467" w:rsidTr="009D5058">
        <w:trPr>
          <w:trHeight w:val="563"/>
          <w:tblCellSpacing w:w="15" w:type="dxa"/>
          <w:jc w:val="center"/>
        </w:trPr>
        <w:tc>
          <w:tcPr>
            <w:tcW w:w="130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2021</w:t>
            </w:r>
          </w:p>
        </w:tc>
        <w:tc>
          <w:tcPr>
            <w:tcW w:w="1998"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4.48</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4.67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1.18</w:t>
            </w:r>
          </w:p>
        </w:tc>
      </w:tr>
      <w:tr w:rsidR="00E41467" w:rsidRPr="00E41467" w:rsidTr="009D5058">
        <w:trPr>
          <w:trHeight w:val="563"/>
          <w:tblCellSpacing w:w="15" w:type="dxa"/>
          <w:jc w:val="center"/>
        </w:trPr>
        <w:tc>
          <w:tcPr>
            <w:tcW w:w="130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2022</w:t>
            </w:r>
          </w:p>
        </w:tc>
        <w:tc>
          <w:tcPr>
            <w:tcW w:w="1998"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2.79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4.83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1.08</w:t>
            </w:r>
          </w:p>
        </w:tc>
      </w:tr>
      <w:tr w:rsidR="00E41467" w:rsidRPr="00E41467" w:rsidTr="009D5058">
        <w:trPr>
          <w:trHeight w:val="563"/>
          <w:tblCellSpacing w:w="15" w:type="dxa"/>
          <w:jc w:val="center"/>
        </w:trPr>
        <w:tc>
          <w:tcPr>
            <w:tcW w:w="130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2023</w:t>
            </w:r>
          </w:p>
        </w:tc>
        <w:tc>
          <w:tcPr>
            <w:tcW w:w="1998"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3.63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3.73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1.18</w:t>
            </w:r>
          </w:p>
        </w:tc>
      </w:tr>
      <w:tr w:rsidR="00E41467" w:rsidRPr="00E41467" w:rsidTr="009D5058">
        <w:trPr>
          <w:trHeight w:val="578"/>
          <w:tblCellSpacing w:w="15" w:type="dxa"/>
          <w:jc w:val="center"/>
        </w:trPr>
        <w:tc>
          <w:tcPr>
            <w:tcW w:w="130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2024</w:t>
            </w:r>
          </w:p>
        </w:tc>
        <w:tc>
          <w:tcPr>
            <w:tcW w:w="1998"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3.54</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3.46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1.22</w:t>
            </w:r>
          </w:p>
        </w:tc>
      </w:tr>
    </w:tbl>
    <w:p w:rsidR="00172030" w:rsidRPr="00E41467" w:rsidRDefault="00172030" w:rsidP="00172030">
      <w:pPr>
        <w:spacing w:line="360" w:lineRule="auto"/>
        <w:rPr>
          <w:rFonts w:ascii="Arial" w:hAnsi="Arial" w:cs="Arial"/>
          <w:sz w:val="24"/>
          <w:szCs w:val="24"/>
          <w:lang w:val="en-GB" w:eastAsia="en-GB"/>
        </w:rPr>
      </w:pPr>
    </w:p>
    <w:p w:rsidR="00172030" w:rsidRPr="00E41467" w:rsidRDefault="00172030" w:rsidP="00172030">
      <w:pPr>
        <w:spacing w:line="360" w:lineRule="auto"/>
        <w:rPr>
          <w:rFonts w:ascii="Arial" w:hAnsi="Arial" w:cs="Arial"/>
          <w:sz w:val="24"/>
          <w:szCs w:val="24"/>
          <w:lang w:val="en-GB" w:eastAsia="en-GB"/>
        </w:rPr>
      </w:pPr>
      <w:r w:rsidRPr="00E41467">
        <w:rPr>
          <w:rFonts w:ascii="Arial" w:hAnsi="Arial" w:cs="Arial"/>
          <w:b/>
          <w:sz w:val="24"/>
          <w:szCs w:val="24"/>
          <w:lang w:val="en-GB" w:eastAsia="en-GB"/>
        </w:rPr>
        <w:t>Gearing Ratios</w:t>
      </w:r>
    </w:p>
    <w:tbl>
      <w:tblPr>
        <w:tblW w:w="934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40"/>
        <w:gridCol w:w="2716"/>
        <w:gridCol w:w="3407"/>
        <w:gridCol w:w="1777"/>
      </w:tblGrid>
      <w:tr w:rsidR="00E41467" w:rsidRPr="00E41467" w:rsidTr="009D5058">
        <w:trPr>
          <w:trHeight w:val="507"/>
          <w:tblHeader/>
          <w:tblCellSpacing w:w="15" w:type="dxa"/>
        </w:trPr>
        <w:tc>
          <w:tcPr>
            <w:tcW w:w="1395" w:type="dxa"/>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Year</w:t>
            </w:r>
          </w:p>
        </w:tc>
        <w:tc>
          <w:tcPr>
            <w:tcW w:w="2686" w:type="dxa"/>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Debt-to-Equity Ratio</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Interest Coverage (x)</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Debt Ratio</w:t>
            </w:r>
          </w:p>
        </w:tc>
      </w:tr>
      <w:tr w:rsidR="00E41467" w:rsidRPr="00E41467" w:rsidTr="009D5058">
        <w:trPr>
          <w:trHeight w:val="520"/>
          <w:tblCellSpacing w:w="15" w:type="dxa"/>
        </w:trPr>
        <w:tc>
          <w:tcPr>
            <w:tcW w:w="139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2020</w:t>
            </w:r>
          </w:p>
        </w:tc>
        <w:tc>
          <w:tcPr>
            <w:tcW w:w="2686"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0.63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26.2</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0.39</w:t>
            </w:r>
          </w:p>
        </w:tc>
      </w:tr>
      <w:tr w:rsidR="00E41467" w:rsidRPr="00E41467" w:rsidTr="009D5058">
        <w:trPr>
          <w:trHeight w:val="507"/>
          <w:tblCellSpacing w:w="15" w:type="dxa"/>
        </w:trPr>
        <w:tc>
          <w:tcPr>
            <w:tcW w:w="139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2021</w:t>
            </w:r>
          </w:p>
        </w:tc>
        <w:tc>
          <w:tcPr>
            <w:tcW w:w="2686"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0.63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41.1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0.46</w:t>
            </w:r>
          </w:p>
        </w:tc>
      </w:tr>
      <w:tr w:rsidR="00E41467" w:rsidRPr="00E41467" w:rsidTr="009D5058">
        <w:trPr>
          <w:trHeight w:val="507"/>
          <w:tblCellSpacing w:w="15" w:type="dxa"/>
        </w:trPr>
        <w:tc>
          <w:tcPr>
            <w:tcW w:w="139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2022</w:t>
            </w:r>
          </w:p>
        </w:tc>
        <w:tc>
          <w:tcPr>
            <w:tcW w:w="2686"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0.88</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7.0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0.47</w:t>
            </w:r>
          </w:p>
        </w:tc>
      </w:tr>
      <w:tr w:rsidR="00E41467" w:rsidRPr="00E41467" w:rsidTr="009D5058">
        <w:trPr>
          <w:trHeight w:val="507"/>
          <w:tblCellSpacing w:w="15" w:type="dxa"/>
        </w:trPr>
        <w:tc>
          <w:tcPr>
            <w:tcW w:w="139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2023</w:t>
            </w:r>
          </w:p>
        </w:tc>
        <w:tc>
          <w:tcPr>
            <w:tcW w:w="2686"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0.99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-19.7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0.50</w:t>
            </w:r>
          </w:p>
        </w:tc>
      </w:tr>
      <w:tr w:rsidR="00E41467" w:rsidRPr="00E41467" w:rsidTr="009D5058">
        <w:trPr>
          <w:trHeight w:val="520"/>
          <w:tblCellSpacing w:w="15" w:type="dxa"/>
        </w:trPr>
        <w:tc>
          <w:tcPr>
            <w:tcW w:w="139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2024</w:t>
            </w:r>
          </w:p>
        </w:tc>
        <w:tc>
          <w:tcPr>
            <w:tcW w:w="2686"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1.11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0.53</w:t>
            </w:r>
          </w:p>
        </w:tc>
      </w:tr>
    </w:tbl>
    <w:p w:rsidR="00172030" w:rsidRPr="00E41467" w:rsidRDefault="00172030" w:rsidP="00172030">
      <w:pPr>
        <w:spacing w:line="360" w:lineRule="auto"/>
        <w:rPr>
          <w:rFonts w:ascii="Arial" w:hAnsi="Arial" w:cs="Arial"/>
          <w:sz w:val="24"/>
          <w:szCs w:val="24"/>
          <w:lang w:val="en-GB" w:eastAsia="en-GB"/>
        </w:rPr>
      </w:pPr>
    </w:p>
    <w:p w:rsidR="006647DE" w:rsidRPr="00E41467" w:rsidRDefault="006647DE" w:rsidP="00172030">
      <w:pPr>
        <w:spacing w:line="360" w:lineRule="auto"/>
        <w:rPr>
          <w:rFonts w:ascii="Arial" w:hAnsi="Arial" w:cs="Arial"/>
          <w:sz w:val="24"/>
          <w:szCs w:val="24"/>
          <w:lang w:val="en-GB" w:eastAsia="en-GB"/>
        </w:rPr>
      </w:pPr>
    </w:p>
    <w:p w:rsidR="006647DE" w:rsidRPr="00E41467" w:rsidRDefault="006647DE" w:rsidP="00172030">
      <w:pPr>
        <w:spacing w:line="360" w:lineRule="auto"/>
        <w:rPr>
          <w:rFonts w:ascii="Arial" w:hAnsi="Arial" w:cs="Arial"/>
          <w:sz w:val="24"/>
          <w:szCs w:val="24"/>
          <w:lang w:val="en-GB" w:eastAsia="en-GB"/>
        </w:rPr>
      </w:pPr>
    </w:p>
    <w:p w:rsidR="006647DE" w:rsidRPr="00E41467" w:rsidRDefault="006647DE" w:rsidP="00172030">
      <w:pPr>
        <w:spacing w:line="360" w:lineRule="auto"/>
        <w:rPr>
          <w:rFonts w:ascii="Arial" w:hAnsi="Arial" w:cs="Arial"/>
          <w:sz w:val="24"/>
          <w:szCs w:val="24"/>
          <w:lang w:val="en-GB" w:eastAsia="en-GB"/>
        </w:rPr>
      </w:pPr>
    </w:p>
    <w:p w:rsidR="006647DE" w:rsidRPr="00E41467" w:rsidRDefault="006647DE" w:rsidP="00172030">
      <w:pPr>
        <w:spacing w:line="360" w:lineRule="auto"/>
        <w:rPr>
          <w:rFonts w:ascii="Arial" w:hAnsi="Arial" w:cs="Arial"/>
          <w:sz w:val="24"/>
          <w:szCs w:val="24"/>
          <w:lang w:val="en-GB" w:eastAsia="en-GB"/>
        </w:rPr>
      </w:pP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lastRenderedPageBreak/>
        <w:t>7.2 Graphs</w:t>
      </w:r>
    </w:p>
    <w:p w:rsidR="00BD53C7" w:rsidRPr="00E41467" w:rsidRDefault="00BD53C7"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1.</w:t>
      </w:r>
      <w:r w:rsidRPr="00E41467">
        <w:rPr>
          <w:rFonts w:ascii="Arial" w:hAnsi="Arial" w:cs="Arial"/>
          <w:b/>
          <w:sz w:val="24"/>
          <w:szCs w:val="24"/>
          <w:lang w:val="en-GB" w:eastAsia="en-GB"/>
        </w:rPr>
        <w:tab/>
        <w:t>Profitability Trends (ROA &amp; ROE)</w:t>
      </w:r>
    </w:p>
    <w:p w:rsidR="00BD53C7" w:rsidRPr="00E41467" w:rsidRDefault="006647DE" w:rsidP="00172030">
      <w:pPr>
        <w:spacing w:line="360" w:lineRule="auto"/>
        <w:rPr>
          <w:rFonts w:ascii="Arial" w:hAnsi="Arial" w:cs="Arial"/>
          <w:sz w:val="24"/>
          <w:szCs w:val="24"/>
          <w:lang w:val="en-GB" w:eastAsia="en-GB"/>
        </w:rPr>
      </w:pPr>
      <w:r w:rsidRPr="00E41467">
        <w:rPr>
          <w:rFonts w:ascii="Arial" w:hAnsi="Arial" w:cs="Arial"/>
          <w:noProof/>
          <w:sz w:val="24"/>
          <w:szCs w:val="24"/>
        </w:rPr>
        <w:drawing>
          <wp:inline distT="0" distB="0" distL="0" distR="0" wp14:anchorId="7C33DBE2" wp14:editId="6C877013">
            <wp:extent cx="5229225" cy="2543175"/>
            <wp:effectExtent l="0" t="0" r="9525" b="9525"/>
            <wp:docPr id="1" name="Chart 1"/>
            <wp:cNvGraphicFramePr/>
            <a:graphic xmlns:a="http://schemas.openxmlformats.org/drawingml/2006/main">
              <a:graphicData uri="http://schemas.openxmlformats.org/drawingml/2006/chart">
                <c:chart xmlns:c="http://schemas.openxmlformats.org/drawingml/2006/chart" xmlns:r="http://schemas.openxmlformats.org/officeDocument/2006/relationships" r:id="rId36"/>
              </a:graphicData>
            </a:graphic>
          </wp:inline>
        </w:drawing>
      </w:r>
    </w:p>
    <w:p w:rsidR="00BD53C7" w:rsidRPr="00E41467" w:rsidRDefault="006647DE"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Line chart showing declining ROA and ROE from 2020 to 2024</w:t>
      </w:r>
    </w:p>
    <w:p w:rsidR="006647DE" w:rsidRPr="00E41467" w:rsidRDefault="006647DE" w:rsidP="00172030">
      <w:pPr>
        <w:spacing w:line="360" w:lineRule="auto"/>
        <w:rPr>
          <w:rFonts w:ascii="Arial" w:hAnsi="Arial" w:cs="Arial"/>
          <w:b/>
          <w:sz w:val="24"/>
          <w:szCs w:val="24"/>
          <w:lang w:val="en-GB" w:eastAsia="en-GB"/>
        </w:rPr>
      </w:pPr>
    </w:p>
    <w:p w:rsidR="006647DE" w:rsidRPr="00E41467" w:rsidRDefault="006647DE"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2.</w:t>
      </w:r>
      <w:r w:rsidRPr="00E41467">
        <w:rPr>
          <w:rFonts w:ascii="Arial" w:hAnsi="Arial" w:cs="Arial"/>
          <w:b/>
          <w:sz w:val="24"/>
          <w:szCs w:val="24"/>
          <w:lang w:val="en-GB" w:eastAsia="en-GB"/>
        </w:rPr>
        <w:tab/>
        <w:t>Liquidity Trends (Current &amp; Quick Ratios)</w:t>
      </w:r>
    </w:p>
    <w:p w:rsidR="006647DE" w:rsidRPr="00E41467" w:rsidRDefault="006647DE" w:rsidP="00172030">
      <w:pPr>
        <w:spacing w:line="360" w:lineRule="auto"/>
        <w:rPr>
          <w:rFonts w:ascii="Arial" w:hAnsi="Arial" w:cs="Arial"/>
          <w:sz w:val="24"/>
          <w:szCs w:val="24"/>
          <w:lang w:val="en-GB" w:eastAsia="en-GB"/>
        </w:rPr>
      </w:pPr>
      <w:r w:rsidRPr="00E41467">
        <w:rPr>
          <w:rFonts w:ascii="Arial" w:hAnsi="Arial" w:cs="Arial"/>
          <w:noProof/>
          <w:sz w:val="24"/>
          <w:szCs w:val="24"/>
        </w:rPr>
        <w:drawing>
          <wp:inline distT="0" distB="0" distL="0" distR="0" wp14:anchorId="22E3763A" wp14:editId="0B3B4326">
            <wp:extent cx="5105400" cy="2733675"/>
            <wp:effectExtent l="0" t="0" r="0" b="9525"/>
            <wp:docPr id="2" name="Chart 2"/>
            <wp:cNvGraphicFramePr/>
            <a:graphic xmlns:a="http://schemas.openxmlformats.org/drawingml/2006/main">
              <a:graphicData uri="http://schemas.openxmlformats.org/drawingml/2006/chart">
                <c:chart xmlns:c="http://schemas.openxmlformats.org/drawingml/2006/chart" xmlns:r="http://schemas.openxmlformats.org/officeDocument/2006/relationships" r:id="rId37"/>
              </a:graphicData>
            </a:graphic>
          </wp:inline>
        </w:drawing>
      </w:r>
    </w:p>
    <w:p w:rsidR="006647DE" w:rsidRPr="00E41467" w:rsidRDefault="006647DE"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Bar chart comparing current and quick ratios over five years to indicate liquidity constraints.</w:t>
      </w:r>
    </w:p>
    <w:p w:rsidR="006647DE" w:rsidRPr="009D5058" w:rsidRDefault="006647DE"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lastRenderedPageBreak/>
        <w:t>3.</w:t>
      </w:r>
      <w:r w:rsidRPr="00E41467">
        <w:rPr>
          <w:rFonts w:ascii="Arial" w:hAnsi="Arial" w:cs="Arial"/>
          <w:b/>
          <w:sz w:val="24"/>
          <w:szCs w:val="24"/>
          <w:lang w:val="en-GB" w:eastAsia="en-GB"/>
        </w:rPr>
        <w:tab/>
        <w:t xml:space="preserve">Efficiency Ratios (Inventory &amp; Receivables </w:t>
      </w:r>
      <w:r w:rsidR="009D5058">
        <w:rPr>
          <w:rFonts w:ascii="Arial" w:hAnsi="Arial" w:cs="Arial"/>
          <w:b/>
          <w:sz w:val="24"/>
          <w:szCs w:val="24"/>
          <w:lang w:val="en-GB" w:eastAsia="en-GB"/>
        </w:rPr>
        <w:t>Turnover)</w:t>
      </w:r>
    </w:p>
    <w:p w:rsidR="006647DE" w:rsidRPr="00E41467" w:rsidRDefault="006647DE" w:rsidP="00172030">
      <w:pPr>
        <w:spacing w:line="360" w:lineRule="auto"/>
        <w:rPr>
          <w:rFonts w:ascii="Arial" w:hAnsi="Arial" w:cs="Arial"/>
          <w:sz w:val="24"/>
          <w:szCs w:val="24"/>
          <w:lang w:val="en-GB" w:eastAsia="en-GB"/>
        </w:rPr>
      </w:pPr>
      <w:r w:rsidRPr="00E41467">
        <w:rPr>
          <w:rFonts w:ascii="Arial" w:hAnsi="Arial" w:cs="Arial"/>
          <w:noProof/>
          <w:sz w:val="24"/>
          <w:szCs w:val="24"/>
        </w:rPr>
        <w:drawing>
          <wp:inline distT="0" distB="0" distL="0" distR="0" wp14:anchorId="7B8BC57E" wp14:editId="3C2477EC">
            <wp:extent cx="5019675" cy="2209800"/>
            <wp:effectExtent l="0" t="0" r="9525" b="0"/>
            <wp:docPr id="3" name="Chart 3"/>
            <wp:cNvGraphicFramePr/>
            <a:graphic xmlns:a="http://schemas.openxmlformats.org/drawingml/2006/main">
              <a:graphicData uri="http://schemas.openxmlformats.org/drawingml/2006/chart">
                <c:chart xmlns:c="http://schemas.openxmlformats.org/drawingml/2006/chart" xmlns:r="http://schemas.openxmlformats.org/officeDocument/2006/relationships" r:id="rId38"/>
              </a:graphicData>
            </a:graphic>
          </wp:inline>
        </w:drawing>
      </w:r>
    </w:p>
    <w:p w:rsidR="006647DE" w:rsidRPr="00E41467" w:rsidRDefault="006647DE"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Line chart highlighting operational efficiency trends.</w:t>
      </w:r>
    </w:p>
    <w:p w:rsidR="006647DE" w:rsidRPr="00E41467" w:rsidRDefault="006647DE" w:rsidP="00172030">
      <w:pPr>
        <w:spacing w:line="360" w:lineRule="auto"/>
        <w:rPr>
          <w:rFonts w:ascii="Arial" w:hAnsi="Arial" w:cs="Arial"/>
          <w:sz w:val="24"/>
          <w:szCs w:val="24"/>
          <w:lang w:val="en-GB" w:eastAsia="en-GB"/>
        </w:rPr>
      </w:pPr>
    </w:p>
    <w:p w:rsidR="006647DE" w:rsidRPr="00E41467" w:rsidRDefault="006647DE"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4.</w:t>
      </w:r>
      <w:r w:rsidRPr="00E41467">
        <w:rPr>
          <w:rFonts w:ascii="Arial" w:hAnsi="Arial" w:cs="Arial"/>
          <w:b/>
          <w:sz w:val="24"/>
          <w:szCs w:val="24"/>
          <w:lang w:val="en-GB" w:eastAsia="en-GB"/>
        </w:rPr>
        <w:tab/>
        <w:t>Gearing and Interest Coverage</w:t>
      </w:r>
    </w:p>
    <w:p w:rsidR="006647DE" w:rsidRPr="00E41467" w:rsidRDefault="006647DE" w:rsidP="00172030">
      <w:pPr>
        <w:spacing w:line="360" w:lineRule="auto"/>
        <w:rPr>
          <w:rFonts w:ascii="Arial" w:hAnsi="Arial" w:cs="Arial"/>
          <w:b/>
          <w:sz w:val="24"/>
          <w:szCs w:val="24"/>
          <w:lang w:val="en-GB" w:eastAsia="en-GB"/>
        </w:rPr>
      </w:pPr>
    </w:p>
    <w:p w:rsidR="006647DE" w:rsidRPr="00E41467" w:rsidRDefault="006647DE" w:rsidP="00172030">
      <w:pPr>
        <w:spacing w:line="360" w:lineRule="auto"/>
        <w:rPr>
          <w:rFonts w:ascii="Arial" w:hAnsi="Arial" w:cs="Arial"/>
          <w:b/>
          <w:sz w:val="24"/>
          <w:szCs w:val="24"/>
          <w:lang w:val="en-GB" w:eastAsia="en-GB"/>
        </w:rPr>
      </w:pPr>
      <w:r w:rsidRPr="00E41467">
        <w:rPr>
          <w:rFonts w:ascii="Arial" w:hAnsi="Arial" w:cs="Arial"/>
          <w:b/>
          <w:noProof/>
          <w:sz w:val="24"/>
          <w:szCs w:val="24"/>
        </w:rPr>
        <w:drawing>
          <wp:inline distT="0" distB="0" distL="0" distR="0" wp14:anchorId="5E196A08" wp14:editId="100591D2">
            <wp:extent cx="5133975" cy="2428875"/>
            <wp:effectExtent l="0" t="0" r="9525" b="9525"/>
            <wp:docPr id="4" name="Chart 4"/>
            <wp:cNvGraphicFramePr/>
            <a:graphic xmlns:a="http://schemas.openxmlformats.org/drawingml/2006/main">
              <a:graphicData uri="http://schemas.openxmlformats.org/drawingml/2006/chart">
                <c:chart xmlns:c="http://schemas.openxmlformats.org/drawingml/2006/chart" xmlns:r="http://schemas.openxmlformats.org/officeDocument/2006/relationships" r:id="rId39"/>
              </a:graphicData>
            </a:graphic>
          </wp:inline>
        </w:drawing>
      </w:r>
    </w:p>
    <w:p w:rsidR="006647DE" w:rsidRPr="00E41467" w:rsidRDefault="006647DE"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Dual-axis chart showing rising debt-to-equity and falling interest coverage, illustrating increasing financial risk.</w:t>
      </w:r>
    </w:p>
    <w:p w:rsidR="006647DE" w:rsidRDefault="006647DE" w:rsidP="00172030">
      <w:pPr>
        <w:spacing w:line="360" w:lineRule="auto"/>
        <w:rPr>
          <w:rFonts w:ascii="Arial" w:hAnsi="Arial" w:cs="Arial"/>
          <w:b/>
          <w:sz w:val="24"/>
          <w:szCs w:val="24"/>
          <w:lang w:val="en-GB" w:eastAsia="en-GB"/>
        </w:rPr>
      </w:pPr>
    </w:p>
    <w:p w:rsidR="009D5058" w:rsidRPr="00E41467" w:rsidRDefault="009D5058" w:rsidP="00172030">
      <w:pPr>
        <w:spacing w:line="360" w:lineRule="auto"/>
        <w:rPr>
          <w:rFonts w:ascii="Arial" w:hAnsi="Arial" w:cs="Arial"/>
          <w:b/>
          <w:sz w:val="24"/>
          <w:szCs w:val="24"/>
          <w:lang w:val="en-GB" w:eastAsia="en-GB"/>
        </w:rPr>
      </w:pPr>
    </w:p>
    <w:p w:rsidR="00172030" w:rsidRPr="00E41467" w:rsidRDefault="00BD53C7"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lastRenderedPageBreak/>
        <w:t>7.3</w:t>
      </w:r>
      <w:r w:rsidR="00172030" w:rsidRPr="00E41467">
        <w:rPr>
          <w:rFonts w:ascii="Arial" w:hAnsi="Arial" w:cs="Arial"/>
          <w:b/>
          <w:sz w:val="24"/>
          <w:szCs w:val="24"/>
          <w:lang w:val="en-GB" w:eastAsia="en-GB"/>
        </w:rPr>
        <w:t xml:space="preserve"> Investment Appraisal Calculations</w:t>
      </w: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Investment Project Details</w:t>
      </w:r>
    </w:p>
    <w:tbl>
      <w:tblPr>
        <w:tblW w:w="952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800"/>
        <w:gridCol w:w="2655"/>
        <w:gridCol w:w="5066"/>
      </w:tblGrid>
      <w:tr w:rsidR="00E41467" w:rsidRPr="00E41467" w:rsidTr="009D5058">
        <w:trPr>
          <w:trHeight w:val="509"/>
          <w:tblHeader/>
          <w:tblCellSpacing w:w="15" w:type="dxa"/>
        </w:trPr>
        <w:tc>
          <w:tcPr>
            <w:tcW w:w="1755" w:type="dxa"/>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Project</w:t>
            </w:r>
          </w:p>
        </w:tc>
        <w:tc>
          <w:tcPr>
            <w:tcW w:w="2625" w:type="dxa"/>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Initial Investment (£m)</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Net Cash Inflows (£m, Years 1–5)</w:t>
            </w:r>
          </w:p>
        </w:tc>
      </w:tr>
      <w:tr w:rsidR="00E41467" w:rsidRPr="00E41467" w:rsidTr="009D5058">
        <w:trPr>
          <w:trHeight w:val="523"/>
          <w:tblCellSpacing w:w="15" w:type="dxa"/>
        </w:trPr>
        <w:tc>
          <w:tcPr>
            <w:tcW w:w="175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A</w:t>
            </w:r>
          </w:p>
        </w:tc>
        <w:tc>
          <w:tcPr>
            <w:tcW w:w="262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10, 12, 14, 10, 8</w:t>
            </w:r>
          </w:p>
        </w:tc>
      </w:tr>
      <w:tr w:rsidR="00E41467" w:rsidRPr="00E41467" w:rsidTr="009D5058">
        <w:trPr>
          <w:trHeight w:val="509"/>
          <w:tblCellSpacing w:w="15" w:type="dxa"/>
        </w:trPr>
        <w:tc>
          <w:tcPr>
            <w:tcW w:w="175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B</w:t>
            </w:r>
          </w:p>
        </w:tc>
        <w:tc>
          <w:tcPr>
            <w:tcW w:w="262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6, 6, 6, 6, 6</w:t>
            </w:r>
          </w:p>
        </w:tc>
      </w:tr>
      <w:tr w:rsidR="00E41467" w:rsidRPr="00E41467" w:rsidTr="009D5058">
        <w:trPr>
          <w:trHeight w:val="509"/>
          <w:tblCellSpacing w:w="15" w:type="dxa"/>
        </w:trPr>
        <w:tc>
          <w:tcPr>
            <w:tcW w:w="175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C</w:t>
            </w:r>
          </w:p>
        </w:tc>
        <w:tc>
          <w:tcPr>
            <w:tcW w:w="262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5, 10, 20, 25, 15</w:t>
            </w:r>
          </w:p>
        </w:tc>
      </w:tr>
    </w:tbl>
    <w:p w:rsidR="00172030" w:rsidRPr="00E41467" w:rsidRDefault="00172030"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Discount rate = 10%</w:t>
      </w:r>
      <w:r w:rsidRPr="00E41467">
        <w:rPr>
          <w:rFonts w:ascii="Arial" w:hAnsi="Arial" w:cs="Arial"/>
          <w:sz w:val="24"/>
          <w:szCs w:val="24"/>
          <w:lang w:val="en-GB" w:eastAsia="en-GB"/>
        </w:rPr>
        <w:br/>
        <w:t>Depreciation = Straight-line to zero.</w:t>
      </w:r>
    </w:p>
    <w:p w:rsidR="00172030" w:rsidRPr="00E41467" w:rsidRDefault="00172030" w:rsidP="00172030">
      <w:pPr>
        <w:spacing w:line="360" w:lineRule="auto"/>
        <w:rPr>
          <w:rFonts w:ascii="Arial" w:hAnsi="Arial" w:cs="Arial"/>
          <w:sz w:val="24"/>
          <w:szCs w:val="24"/>
          <w:lang w:val="en-GB" w:eastAsia="en-GB"/>
        </w:rPr>
      </w:pP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1. Payback Period (PBP)</w:t>
      </w:r>
    </w:p>
    <w:tbl>
      <w:tblPr>
        <w:tblW w:w="9420"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2940"/>
        <w:gridCol w:w="30"/>
        <w:gridCol w:w="6450"/>
      </w:tblGrid>
      <w:tr w:rsidR="00E41467" w:rsidRPr="00E41467" w:rsidTr="009D5058">
        <w:trPr>
          <w:trHeight w:val="462"/>
          <w:tblHeader/>
          <w:tblCellSpacing w:w="15" w:type="dxa"/>
        </w:trPr>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Project</w:t>
            </w:r>
          </w:p>
        </w:tc>
        <w:tc>
          <w:tcPr>
            <w:tcW w:w="0" w:type="auto"/>
            <w:gridSpan w:val="2"/>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Payback Period (Years)</w:t>
            </w:r>
          </w:p>
        </w:tc>
      </w:tr>
      <w:tr w:rsidR="00E41467" w:rsidRPr="00E41467" w:rsidTr="009D5058">
        <w:trPr>
          <w:trHeight w:val="474"/>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A</w:t>
            </w:r>
          </w:p>
        </w:tc>
        <w:tc>
          <w:tcPr>
            <w:tcW w:w="0" w:type="auto"/>
            <w:gridSpan w:val="2"/>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3.6</w:t>
            </w:r>
          </w:p>
        </w:tc>
      </w:tr>
      <w:tr w:rsidR="00E41467" w:rsidRPr="00E41467" w:rsidTr="009D5058">
        <w:trPr>
          <w:trHeight w:val="462"/>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B</w:t>
            </w:r>
          </w:p>
        </w:tc>
        <w:tc>
          <w:tcPr>
            <w:tcW w:w="0" w:type="auto"/>
            <w:gridSpan w:val="2"/>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5.0</w:t>
            </w:r>
          </w:p>
        </w:tc>
      </w:tr>
      <w:tr w:rsidR="00E41467" w:rsidRPr="00E41467" w:rsidTr="009D5058">
        <w:trPr>
          <w:trHeight w:val="462"/>
          <w:tblCellSpacing w:w="15" w:type="dxa"/>
        </w:trPr>
        <w:tc>
          <w:tcPr>
            <w:tcW w:w="2925" w:type="dxa"/>
            <w:gridSpan w:val="2"/>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C</w:t>
            </w:r>
          </w:p>
        </w:tc>
        <w:tc>
          <w:tcPr>
            <w:tcW w:w="6405" w:type="dxa"/>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3.4</w:t>
            </w:r>
          </w:p>
        </w:tc>
      </w:tr>
    </w:tbl>
    <w:p w:rsidR="00172030" w:rsidRPr="00E41467" w:rsidRDefault="00172030"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Interpretation: Project C has the shortest payback period, enhancin</w:t>
      </w:r>
      <w:r w:rsidR="009D5058">
        <w:rPr>
          <w:rFonts w:ascii="Arial" w:hAnsi="Arial" w:cs="Arial"/>
          <w:sz w:val="24"/>
          <w:szCs w:val="24"/>
          <w:lang w:val="en-GB" w:eastAsia="en-GB"/>
        </w:rPr>
        <w:t>g liquidity recovery potential.</w:t>
      </w:r>
    </w:p>
    <w:p w:rsidR="00172030" w:rsidRPr="009D5058"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 xml:space="preserve">2. </w:t>
      </w:r>
      <w:r w:rsidR="009D5058">
        <w:rPr>
          <w:rFonts w:ascii="Arial" w:hAnsi="Arial" w:cs="Arial"/>
          <w:b/>
          <w:sz w:val="24"/>
          <w:szCs w:val="24"/>
          <w:lang w:val="en-GB" w:eastAsia="en-GB"/>
        </w:rPr>
        <w:t>Accounting Rate of Return (ARR)</w:t>
      </w:r>
    </w:p>
    <w:tbl>
      <w:tblPr>
        <w:tblW w:w="8591"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459"/>
        <w:gridCol w:w="5435"/>
        <w:gridCol w:w="1697"/>
      </w:tblGrid>
      <w:tr w:rsidR="00E41467" w:rsidRPr="00E41467" w:rsidTr="009D5058">
        <w:trPr>
          <w:trHeight w:val="643"/>
          <w:tblHeader/>
          <w:tblCellSpacing w:w="15" w:type="dxa"/>
        </w:trPr>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Project</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Average Annual Profit (£</w:t>
            </w:r>
            <w:r w:rsidR="00BD53C7" w:rsidRPr="00E41467">
              <w:rPr>
                <w:rFonts w:ascii="Arial" w:hAnsi="Arial" w:cs="Arial"/>
                <w:b/>
                <w:sz w:val="24"/>
                <w:szCs w:val="24"/>
                <w:lang w:val="en-GB" w:eastAsia="en-GB"/>
              </w:rPr>
              <w:t>m) *</w:t>
            </w:r>
          </w:p>
        </w:tc>
        <w:tc>
          <w:tcPr>
            <w:tcW w:w="0" w:type="auto"/>
            <w:vAlign w:val="center"/>
            <w:hideMark/>
          </w:tcPr>
          <w:p w:rsidR="00172030" w:rsidRPr="00E41467" w:rsidRDefault="00172030"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ARR (%)</w:t>
            </w:r>
          </w:p>
        </w:tc>
      </w:tr>
      <w:tr w:rsidR="00E41467" w:rsidRPr="00E41467" w:rsidTr="009D5058">
        <w:trPr>
          <w:trHeight w:val="660"/>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A</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10.8</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27.0</w:t>
            </w:r>
          </w:p>
        </w:tc>
      </w:tr>
      <w:tr w:rsidR="00E41467" w:rsidRPr="00E41467" w:rsidTr="009D5058">
        <w:trPr>
          <w:trHeight w:val="643"/>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B</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20.0</w:t>
            </w:r>
          </w:p>
        </w:tc>
      </w:tr>
      <w:tr w:rsidR="00E41467" w:rsidRPr="00E41467" w:rsidTr="009D5058">
        <w:trPr>
          <w:trHeight w:val="643"/>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lastRenderedPageBreak/>
              <w:t>C</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30.0</w:t>
            </w:r>
          </w:p>
        </w:tc>
      </w:tr>
    </w:tbl>
    <w:p w:rsidR="00172030" w:rsidRPr="00E41467" w:rsidRDefault="00172030" w:rsidP="00172030">
      <w:pPr>
        <w:spacing w:line="360" w:lineRule="auto"/>
        <w:rPr>
          <w:rFonts w:ascii="Arial" w:hAnsi="Arial" w:cs="Arial"/>
          <w:sz w:val="24"/>
          <w:szCs w:val="24"/>
          <w:lang w:val="en-GB" w:eastAsia="en-GB"/>
        </w:rPr>
      </w:pPr>
      <w:r w:rsidRPr="00E41467">
        <w:rPr>
          <w:rFonts w:ascii="Arial" w:hAnsi="Arial" w:cs="Arial"/>
          <w:i/>
          <w:iCs/>
          <w:sz w:val="24"/>
          <w:szCs w:val="24"/>
          <w:lang w:val="en-GB" w:eastAsia="en-GB"/>
        </w:rPr>
        <w:t>Assumes depreciation charged equally across five years.</w:t>
      </w:r>
    </w:p>
    <w:p w:rsidR="00172030" w:rsidRPr="00E41467" w:rsidRDefault="00172030" w:rsidP="00172030">
      <w:pPr>
        <w:spacing w:line="360" w:lineRule="auto"/>
        <w:rPr>
          <w:rFonts w:ascii="Arial" w:hAnsi="Arial" w:cs="Arial"/>
          <w:sz w:val="24"/>
          <w:szCs w:val="24"/>
          <w:lang w:val="en-GB" w:eastAsia="en-GB"/>
        </w:rPr>
      </w:pPr>
    </w:p>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3. Net Present Value (NPV)</w:t>
      </w:r>
    </w:p>
    <w:tbl>
      <w:tblPr>
        <w:tblW w:w="9302" w:type="dxa"/>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1199"/>
        <w:gridCol w:w="2733"/>
        <w:gridCol w:w="1785"/>
        <w:gridCol w:w="1785"/>
        <w:gridCol w:w="1800"/>
      </w:tblGrid>
      <w:tr w:rsidR="00E41467" w:rsidRPr="00E41467" w:rsidTr="009D5058">
        <w:trPr>
          <w:trHeight w:val="568"/>
          <w:tblHeader/>
          <w:tblCellSpacing w:w="15" w:type="dxa"/>
        </w:trPr>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Year</w:t>
            </w:r>
          </w:p>
        </w:tc>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Discount Factor (10%)</w:t>
            </w:r>
          </w:p>
        </w:tc>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Project A (£m)</w:t>
            </w:r>
          </w:p>
        </w:tc>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Project B (£m)</w:t>
            </w:r>
          </w:p>
        </w:tc>
        <w:tc>
          <w:tcPr>
            <w:tcW w:w="0" w:type="auto"/>
            <w:vAlign w:val="center"/>
            <w:hideMark/>
          </w:tcPr>
          <w:p w:rsidR="00172030" w:rsidRPr="00E41467" w:rsidRDefault="00172030" w:rsidP="00172030">
            <w:pPr>
              <w:spacing w:line="360" w:lineRule="auto"/>
              <w:rPr>
                <w:rFonts w:ascii="Arial" w:hAnsi="Arial" w:cs="Arial"/>
                <w:b/>
                <w:sz w:val="24"/>
                <w:szCs w:val="24"/>
                <w:lang w:val="en-GB" w:eastAsia="en-GB"/>
              </w:rPr>
            </w:pPr>
            <w:r w:rsidRPr="00E41467">
              <w:rPr>
                <w:rFonts w:ascii="Arial" w:hAnsi="Arial" w:cs="Arial"/>
                <w:b/>
                <w:sz w:val="24"/>
                <w:szCs w:val="24"/>
                <w:lang w:val="en-GB" w:eastAsia="en-GB"/>
              </w:rPr>
              <w:t>Project C (£m)</w:t>
            </w:r>
          </w:p>
        </w:tc>
      </w:tr>
      <w:tr w:rsidR="00E41467" w:rsidRPr="00E41467" w:rsidTr="009D5058">
        <w:trPr>
          <w:trHeight w:val="583"/>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0.909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9.09</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5.45</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4.55</w:t>
            </w:r>
          </w:p>
        </w:tc>
      </w:tr>
      <w:tr w:rsidR="00E41467" w:rsidRPr="00E41467" w:rsidTr="009D5058">
        <w:trPr>
          <w:trHeight w:val="568"/>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0.826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9.91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4.96</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8.26</w:t>
            </w:r>
          </w:p>
        </w:tc>
      </w:tr>
      <w:tr w:rsidR="00E41467" w:rsidRPr="00E41467" w:rsidTr="009D5058">
        <w:trPr>
          <w:trHeight w:val="568"/>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0.751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10.51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4.51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15.02</w:t>
            </w:r>
          </w:p>
        </w:tc>
      </w:tr>
      <w:tr w:rsidR="00E41467" w:rsidRPr="00E41467" w:rsidTr="009D5058">
        <w:trPr>
          <w:trHeight w:val="568"/>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0.683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6.83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4.10</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17.08</w:t>
            </w:r>
          </w:p>
        </w:tc>
      </w:tr>
      <w:tr w:rsidR="00E41467" w:rsidRPr="00E41467" w:rsidTr="009D5058">
        <w:trPr>
          <w:trHeight w:val="583"/>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0.621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4.97</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3.73</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9.32</w:t>
            </w:r>
          </w:p>
        </w:tc>
      </w:tr>
      <w:tr w:rsidR="00E41467" w:rsidRPr="00E41467" w:rsidTr="009D5058">
        <w:trPr>
          <w:trHeight w:val="568"/>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Total PV</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41.31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22.75</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54.23</w:t>
            </w:r>
          </w:p>
        </w:tc>
      </w:tr>
      <w:tr w:rsidR="00E41467" w:rsidRPr="00E41467" w:rsidTr="009D5058">
        <w:trPr>
          <w:trHeight w:val="568"/>
          <w:tblCellSpacing w:w="15" w:type="dxa"/>
        </w:trPr>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NPV (£m)</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+1.31</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-7.25</w:t>
            </w:r>
          </w:p>
        </w:tc>
        <w:tc>
          <w:tcPr>
            <w:tcW w:w="0" w:type="auto"/>
            <w:vAlign w:val="center"/>
            <w:hideMark/>
          </w:tcPr>
          <w:p w:rsidR="00172030" w:rsidRPr="00E41467" w:rsidRDefault="00172030"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+4.23</w:t>
            </w:r>
          </w:p>
        </w:tc>
      </w:tr>
    </w:tbl>
    <w:p w:rsidR="00172030" w:rsidRPr="00E41467" w:rsidRDefault="00172030" w:rsidP="00172030">
      <w:pPr>
        <w:spacing w:line="360" w:lineRule="auto"/>
        <w:rPr>
          <w:rFonts w:ascii="Arial" w:hAnsi="Arial" w:cs="Arial"/>
          <w:sz w:val="24"/>
          <w:szCs w:val="24"/>
          <w:lang w:val="en-GB" w:eastAsia="en-GB"/>
        </w:rPr>
      </w:pPr>
      <w:r w:rsidRPr="00E41467">
        <w:rPr>
          <w:rFonts w:ascii="Arial" w:hAnsi="Arial" w:cs="Arial"/>
          <w:sz w:val="24"/>
          <w:szCs w:val="24"/>
          <w:lang w:val="en-GB" w:eastAsia="en-GB"/>
        </w:rPr>
        <w:t>Interpretation</w:t>
      </w:r>
      <w:r w:rsidR="009D5058" w:rsidRPr="00E41467">
        <w:rPr>
          <w:rFonts w:ascii="Arial" w:hAnsi="Arial" w:cs="Arial"/>
          <w:sz w:val="24"/>
          <w:szCs w:val="24"/>
          <w:lang w:val="en-GB" w:eastAsia="en-GB"/>
        </w:rPr>
        <w:t xml:space="preserve">: </w:t>
      </w:r>
      <w:r w:rsidRPr="00E41467">
        <w:rPr>
          <w:rFonts w:ascii="Arial" w:hAnsi="Arial" w:cs="Arial"/>
          <w:sz w:val="24"/>
          <w:szCs w:val="24"/>
          <w:lang w:val="en-GB" w:eastAsia="en-GB"/>
        </w:rPr>
        <w:br/>
        <w:t>Projects A and C yield positive NPVs, while B is financially unviable. Project C provides the highest value addition.</w:t>
      </w:r>
    </w:p>
    <w:p w:rsidR="00172030" w:rsidRDefault="00172030" w:rsidP="00172030">
      <w:pPr>
        <w:spacing w:line="360" w:lineRule="auto"/>
        <w:rPr>
          <w:rFonts w:ascii="Arial" w:hAnsi="Arial" w:cs="Arial"/>
          <w:sz w:val="24"/>
          <w:szCs w:val="24"/>
          <w:lang w:val="en-GB" w:eastAsia="en-GB"/>
        </w:rPr>
      </w:pPr>
    </w:p>
    <w:p w:rsidR="009D5058" w:rsidRDefault="009D5058" w:rsidP="00172030">
      <w:pPr>
        <w:spacing w:line="360" w:lineRule="auto"/>
        <w:rPr>
          <w:rFonts w:ascii="Arial" w:hAnsi="Arial" w:cs="Arial"/>
          <w:sz w:val="24"/>
          <w:szCs w:val="24"/>
          <w:lang w:val="en-GB" w:eastAsia="en-GB"/>
        </w:rPr>
      </w:pPr>
    </w:p>
    <w:p w:rsidR="009D5058" w:rsidRDefault="009D5058" w:rsidP="00172030">
      <w:pPr>
        <w:spacing w:line="360" w:lineRule="auto"/>
        <w:rPr>
          <w:rFonts w:ascii="Arial" w:hAnsi="Arial" w:cs="Arial"/>
          <w:sz w:val="24"/>
          <w:szCs w:val="24"/>
          <w:lang w:val="en-GB" w:eastAsia="en-GB"/>
        </w:rPr>
      </w:pPr>
    </w:p>
    <w:p w:rsidR="009D5058" w:rsidRDefault="009D5058" w:rsidP="00172030">
      <w:pPr>
        <w:spacing w:line="360" w:lineRule="auto"/>
        <w:rPr>
          <w:rFonts w:ascii="Arial" w:hAnsi="Arial" w:cs="Arial"/>
          <w:sz w:val="24"/>
          <w:szCs w:val="24"/>
          <w:lang w:val="en-GB" w:eastAsia="en-GB"/>
        </w:rPr>
      </w:pPr>
    </w:p>
    <w:p w:rsidR="009D5058" w:rsidRPr="00E41467" w:rsidRDefault="009D5058" w:rsidP="00172030">
      <w:pPr>
        <w:spacing w:line="360" w:lineRule="auto"/>
        <w:rPr>
          <w:rFonts w:ascii="Arial" w:hAnsi="Arial" w:cs="Arial"/>
          <w:sz w:val="24"/>
          <w:szCs w:val="24"/>
          <w:lang w:val="en-GB" w:eastAsia="en-GB"/>
        </w:rPr>
      </w:pPr>
    </w:p>
    <w:p w:rsidR="00BD53C7" w:rsidRPr="00E41467" w:rsidRDefault="00BD53C7" w:rsidP="00BD53C7">
      <w:pPr>
        <w:spacing w:line="360" w:lineRule="auto"/>
        <w:rPr>
          <w:rFonts w:ascii="Arial" w:hAnsi="Arial" w:cs="Arial"/>
          <w:b/>
          <w:sz w:val="24"/>
          <w:szCs w:val="24"/>
          <w:lang w:val="en-GB" w:eastAsia="en-GB"/>
        </w:rPr>
      </w:pPr>
      <w:r w:rsidRPr="00E41467">
        <w:rPr>
          <w:rFonts w:ascii="Arial" w:hAnsi="Arial" w:cs="Arial"/>
          <w:b/>
          <w:sz w:val="24"/>
          <w:szCs w:val="24"/>
          <w:lang w:val="en-GB" w:eastAsia="en-GB"/>
        </w:rPr>
        <w:lastRenderedPageBreak/>
        <w:t>4.</w:t>
      </w:r>
      <w:r w:rsidRPr="00E41467">
        <w:rPr>
          <w:rFonts w:ascii="Arial" w:hAnsi="Arial" w:cs="Arial"/>
          <w:sz w:val="24"/>
          <w:szCs w:val="24"/>
          <w:lang w:val="en-GB" w:eastAsia="en-GB"/>
        </w:rPr>
        <w:t xml:space="preserve"> </w:t>
      </w:r>
      <w:r w:rsidRPr="00E41467">
        <w:rPr>
          <w:rFonts w:ascii="Arial" w:hAnsi="Arial" w:cs="Arial"/>
          <w:b/>
          <w:sz w:val="24"/>
          <w:szCs w:val="24"/>
          <w:lang w:val="en-GB" w:eastAsia="en-GB"/>
        </w:rPr>
        <w:t>Cumulative Cash Flow (CCF) Schedule</w:t>
      </w:r>
    </w:p>
    <w:tbl>
      <w:tblPr>
        <w:tblW w:w="0" w:type="auto"/>
        <w:tblCellSpacing w:w="15"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CellMar>
          <w:top w:w="15" w:type="dxa"/>
          <w:left w:w="15" w:type="dxa"/>
          <w:bottom w:w="15" w:type="dxa"/>
          <w:right w:w="15" w:type="dxa"/>
        </w:tblCellMar>
        <w:tblLook w:val="04A0" w:firstRow="1" w:lastRow="0" w:firstColumn="1" w:lastColumn="0" w:noHBand="0" w:noVBand="1"/>
      </w:tblPr>
      <w:tblGrid>
        <w:gridCol w:w="617"/>
        <w:gridCol w:w="1213"/>
        <w:gridCol w:w="1693"/>
        <w:gridCol w:w="1213"/>
        <w:gridCol w:w="1693"/>
        <w:gridCol w:w="1213"/>
        <w:gridCol w:w="1708"/>
      </w:tblGrid>
      <w:tr w:rsidR="00E41467" w:rsidRPr="00E41467" w:rsidTr="009D5058">
        <w:trPr>
          <w:tblHeader/>
          <w:tblCellSpacing w:w="15" w:type="dxa"/>
        </w:trPr>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Year</w:t>
            </w:r>
          </w:p>
        </w:tc>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Project A (£m)</w:t>
            </w:r>
          </w:p>
        </w:tc>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Cumulative A (£m)</w:t>
            </w:r>
          </w:p>
        </w:tc>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Project B (£m)</w:t>
            </w:r>
          </w:p>
        </w:tc>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Cumulative B (£m)</w:t>
            </w:r>
          </w:p>
        </w:tc>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Project C (£m)</w:t>
            </w:r>
          </w:p>
        </w:tc>
        <w:tc>
          <w:tcPr>
            <w:tcW w:w="0" w:type="auto"/>
            <w:vAlign w:val="center"/>
            <w:hideMark/>
          </w:tcPr>
          <w:p w:rsidR="00BD53C7" w:rsidRPr="00E41467" w:rsidRDefault="00BD53C7" w:rsidP="009D5058">
            <w:pPr>
              <w:spacing w:line="360" w:lineRule="auto"/>
              <w:jc w:val="center"/>
              <w:rPr>
                <w:rFonts w:ascii="Arial" w:hAnsi="Arial" w:cs="Arial"/>
                <w:b/>
                <w:sz w:val="24"/>
                <w:szCs w:val="24"/>
                <w:lang w:val="en-GB" w:eastAsia="en-GB"/>
              </w:rPr>
            </w:pPr>
            <w:r w:rsidRPr="00E41467">
              <w:rPr>
                <w:rFonts w:ascii="Arial" w:hAnsi="Arial" w:cs="Arial"/>
                <w:b/>
                <w:sz w:val="24"/>
                <w:szCs w:val="24"/>
                <w:lang w:val="en-GB" w:eastAsia="en-GB"/>
              </w:rPr>
              <w:t>Cumulative C (£m)</w:t>
            </w:r>
          </w:p>
        </w:tc>
      </w:tr>
      <w:tr w:rsidR="00E41467" w:rsidRPr="00E41467" w:rsidTr="009D5058">
        <w:trPr>
          <w:tblCellSpacing w:w="15" w:type="dxa"/>
        </w:trPr>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(50)</w:t>
            </w:r>
          </w:p>
        </w:tc>
      </w:tr>
      <w:tr w:rsidR="00E41467" w:rsidRPr="00E41467" w:rsidTr="009D5058">
        <w:trPr>
          <w:tblCellSpacing w:w="15" w:type="dxa"/>
        </w:trPr>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(24)</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(45)</w:t>
            </w:r>
          </w:p>
        </w:tc>
      </w:tr>
      <w:tr w:rsidR="00E41467" w:rsidRPr="00E41467" w:rsidTr="009D5058">
        <w:trPr>
          <w:tblCellSpacing w:w="15" w:type="dxa"/>
        </w:trPr>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12</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(18)</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(18)</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(35)</w:t>
            </w:r>
          </w:p>
        </w:tc>
      </w:tr>
      <w:tr w:rsidR="00E41467" w:rsidRPr="00E41467" w:rsidTr="009D5058">
        <w:trPr>
          <w:tblCellSpacing w:w="15" w:type="dxa"/>
        </w:trPr>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3</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14</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(12)</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w:t>
            </w:r>
          </w:p>
        </w:tc>
      </w:tr>
      <w:tr w:rsidR="00E41467" w:rsidRPr="00E41467" w:rsidTr="009D5058">
        <w:trPr>
          <w:tblCellSpacing w:w="15" w:type="dxa"/>
        </w:trPr>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4</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25</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+10</w:t>
            </w:r>
          </w:p>
        </w:tc>
      </w:tr>
      <w:tr w:rsidR="00E41467" w:rsidRPr="00E41467" w:rsidTr="009D5058">
        <w:trPr>
          <w:tblCellSpacing w:w="15" w:type="dxa"/>
        </w:trPr>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5</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8</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+14</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6</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0</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15</w:t>
            </w:r>
          </w:p>
        </w:tc>
        <w:tc>
          <w:tcPr>
            <w:tcW w:w="0" w:type="auto"/>
            <w:vAlign w:val="center"/>
            <w:hideMark/>
          </w:tcPr>
          <w:p w:rsidR="00BD53C7" w:rsidRPr="00E41467" w:rsidRDefault="00BD53C7" w:rsidP="009D5058">
            <w:pPr>
              <w:spacing w:line="360" w:lineRule="auto"/>
              <w:jc w:val="center"/>
              <w:rPr>
                <w:rFonts w:ascii="Arial" w:hAnsi="Arial" w:cs="Arial"/>
                <w:sz w:val="24"/>
                <w:szCs w:val="24"/>
                <w:lang w:val="en-GB" w:eastAsia="en-GB"/>
              </w:rPr>
            </w:pPr>
            <w:r w:rsidRPr="00E41467">
              <w:rPr>
                <w:rFonts w:ascii="Arial" w:hAnsi="Arial" w:cs="Arial"/>
                <w:sz w:val="24"/>
                <w:szCs w:val="24"/>
                <w:lang w:val="en-GB" w:eastAsia="en-GB"/>
              </w:rPr>
              <w:t>+25</w:t>
            </w:r>
          </w:p>
        </w:tc>
      </w:tr>
    </w:tbl>
    <w:p w:rsidR="00172030" w:rsidRPr="00E41467" w:rsidRDefault="00172030" w:rsidP="00172030">
      <w:pPr>
        <w:spacing w:line="360" w:lineRule="auto"/>
        <w:rPr>
          <w:rFonts w:ascii="Arial" w:hAnsi="Arial" w:cs="Arial"/>
          <w:sz w:val="24"/>
          <w:szCs w:val="24"/>
        </w:rPr>
      </w:pPr>
    </w:p>
    <w:sectPr w:rsidR="00172030" w:rsidRPr="00E41467" w:rsidSect="00E41467">
      <w:footerReference w:type="default" r:id="rId40"/>
      <w:pgSz w:w="12240" w:h="15840"/>
      <w:pgMar w:top="1440" w:right="1440" w:bottom="1440" w:left="1440" w:header="720" w:footer="720" w:gutter="0"/>
      <w:pgNumType w:start="1"/>
      <w:cols w:space="720"/>
      <w:docGrid w:linePitch="36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endnote w:type="separator" w:id="-1">
    <w:p w:rsidR="00E92C19" w:rsidRDefault="00E92C19" w:rsidP="00E41467">
      <w:pPr>
        <w:spacing w:after="0" w:line="240" w:lineRule="auto"/>
      </w:pPr>
      <w:r>
        <w:separator/>
      </w:r>
    </w:p>
  </w:endnote>
  <w:endnote w:type="continuationSeparator" w:id="0">
    <w:p w:rsidR="00E92C19" w:rsidRDefault="00E92C19" w:rsidP="00E4146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p w:rsidR="009D5058" w:rsidRDefault="009D5058">
    <w:pPr>
      <w:pStyle w:val="Footer"/>
      <w:jc w:val="center"/>
    </w:pPr>
  </w:p>
  <w:p w:rsidR="009D5058" w:rsidRDefault="009D5058">
    <w:pPr>
      <w:pStyle w:val="Footer"/>
    </w:pPr>
  </w:p>
</w:ftr>
</file>

<file path=word/footer2.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sdt>
    <w:sdtPr>
      <w:id w:val="-1416230489"/>
      <w:docPartObj>
        <w:docPartGallery w:val="Page Numbers (Bottom of Page)"/>
        <w:docPartUnique/>
      </w:docPartObj>
    </w:sdtPr>
    <w:sdtEndPr>
      <w:rPr>
        <w:noProof/>
      </w:rPr>
    </w:sdtEndPr>
    <w:sdtContent>
      <w:p w:rsidR="009D5058" w:rsidRDefault="009D5058">
        <w:pPr>
          <w:pStyle w:val="Footer"/>
          <w:jc w:val="center"/>
        </w:pPr>
        <w:r>
          <w:fldChar w:fldCharType="begin"/>
        </w:r>
        <w:r>
          <w:instrText xml:space="preserve"> PAGE   \* MERGEFORMAT </w:instrText>
        </w:r>
        <w:r>
          <w:fldChar w:fldCharType="separate"/>
        </w:r>
        <w:r w:rsidR="003F77CA">
          <w:rPr>
            <w:noProof/>
          </w:rPr>
          <w:t>1</w:t>
        </w:r>
        <w:r>
          <w:rPr>
            <w:noProof/>
          </w:rPr>
          <w:fldChar w:fldCharType="end"/>
        </w:r>
      </w:p>
    </w:sdtContent>
  </w:sdt>
  <w:p w:rsidR="009D5058" w:rsidRDefault="009D5058">
    <w:pPr>
      <w:pStyle w:val="Footer"/>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footnote w:type="separator" w:id="-1">
    <w:p w:rsidR="00E92C19" w:rsidRDefault="00E92C19" w:rsidP="00E41467">
      <w:pPr>
        <w:spacing w:after="0" w:line="240" w:lineRule="auto"/>
      </w:pPr>
      <w:r>
        <w:separator/>
      </w:r>
    </w:p>
  </w:footnote>
  <w:footnote w:type="continuationSeparator" w:id="0">
    <w:p w:rsidR="00E92C19" w:rsidRDefault="00E92C19" w:rsidP="00E41467">
      <w:pPr>
        <w:spacing w:after="0" w:line="240" w:lineRule="auto"/>
      </w:pPr>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mc:Ignorable="w14 w15 wp14">
  <w:abstractNum w:abstractNumId="0">
    <w:nsid w:val="0B574783"/>
    <w:multiLevelType w:val="hybridMultilevel"/>
    <w:tmpl w:val="69E4C26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nsid w:val="106B1060"/>
    <w:multiLevelType w:val="multilevel"/>
    <w:tmpl w:val="DD0CD16C"/>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2">
    <w:nsid w:val="17F536E7"/>
    <w:multiLevelType w:val="multilevel"/>
    <w:tmpl w:val="0A42E6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3">
    <w:nsid w:val="3BF14B3F"/>
    <w:multiLevelType w:val="multilevel"/>
    <w:tmpl w:val="E0FE2068"/>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4">
    <w:nsid w:val="41C44298"/>
    <w:multiLevelType w:val="multilevel"/>
    <w:tmpl w:val="E83E4E9E"/>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5">
    <w:nsid w:val="4EA60384"/>
    <w:multiLevelType w:val="multilevel"/>
    <w:tmpl w:val="F72848B4"/>
    <w:lvl w:ilvl="0">
      <w:start w:val="1"/>
      <w:numFmt w:val="decimal"/>
      <w:lvlText w:val="%1."/>
      <w:lvlJc w:val="left"/>
      <w:pPr>
        <w:ind w:left="390" w:hanging="390"/>
      </w:pPr>
      <w:rPr>
        <w:rFonts w:hint="default"/>
      </w:rPr>
    </w:lvl>
    <w:lvl w:ilvl="1">
      <w:start w:val="1"/>
      <w:numFmt w:val="decimal"/>
      <w:lvlText w:val="%1.%2."/>
      <w:lvlJc w:val="left"/>
      <w:pPr>
        <w:ind w:left="720" w:hanging="72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2160" w:hanging="2160"/>
      </w:pPr>
      <w:rPr>
        <w:rFonts w:hint="default"/>
      </w:rPr>
    </w:lvl>
  </w:abstractNum>
  <w:abstractNum w:abstractNumId="6">
    <w:nsid w:val="645E2431"/>
    <w:multiLevelType w:val="multilevel"/>
    <w:tmpl w:val="47F62202"/>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abstractNum w:abstractNumId="7">
    <w:nsid w:val="6B4C1896"/>
    <w:multiLevelType w:val="hybridMultilevel"/>
    <w:tmpl w:val="B1F81382"/>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8">
    <w:nsid w:val="715D3FFA"/>
    <w:multiLevelType w:val="hybridMultilevel"/>
    <w:tmpl w:val="1BCE1680"/>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9">
    <w:nsid w:val="72D104F6"/>
    <w:multiLevelType w:val="multilevel"/>
    <w:tmpl w:val="151889F4"/>
    <w:lvl w:ilvl="0">
      <w:start w:val="1"/>
      <w:numFmt w:val="decimal"/>
      <w:lvlText w:val="%1"/>
      <w:lvlJc w:val="left"/>
      <w:pPr>
        <w:ind w:left="360" w:hanging="360"/>
      </w:pPr>
      <w:rPr>
        <w:rFonts w:hint="default"/>
      </w:rPr>
    </w:lvl>
    <w:lvl w:ilvl="1">
      <w:start w:val="1"/>
      <w:numFmt w:val="decimal"/>
      <w:lvlText w:val="%1.%2"/>
      <w:lvlJc w:val="left"/>
      <w:pPr>
        <w:ind w:left="360" w:hanging="360"/>
      </w:pPr>
      <w:rPr>
        <w:rFonts w:hint="default"/>
      </w:rPr>
    </w:lvl>
    <w:lvl w:ilvl="2">
      <w:start w:val="1"/>
      <w:numFmt w:val="decimal"/>
      <w:lvlText w:val="%1.%2.%3"/>
      <w:lvlJc w:val="left"/>
      <w:pPr>
        <w:ind w:left="720" w:hanging="720"/>
      </w:pPr>
      <w:rPr>
        <w:rFonts w:hint="default"/>
      </w:rPr>
    </w:lvl>
    <w:lvl w:ilvl="3">
      <w:start w:val="1"/>
      <w:numFmt w:val="decimal"/>
      <w:lvlText w:val="%1.%2.%3.%4"/>
      <w:lvlJc w:val="left"/>
      <w:pPr>
        <w:ind w:left="1080" w:hanging="1080"/>
      </w:pPr>
      <w:rPr>
        <w:rFonts w:hint="default"/>
      </w:rPr>
    </w:lvl>
    <w:lvl w:ilvl="4">
      <w:start w:val="1"/>
      <w:numFmt w:val="decimal"/>
      <w:lvlText w:val="%1.%2.%3.%4.%5"/>
      <w:lvlJc w:val="left"/>
      <w:pPr>
        <w:ind w:left="1080" w:hanging="1080"/>
      </w:pPr>
      <w:rPr>
        <w:rFonts w:hint="default"/>
      </w:rPr>
    </w:lvl>
    <w:lvl w:ilvl="5">
      <w:start w:val="1"/>
      <w:numFmt w:val="decimal"/>
      <w:lvlText w:val="%1.%2.%3.%4.%5.%6"/>
      <w:lvlJc w:val="left"/>
      <w:pPr>
        <w:ind w:left="1440" w:hanging="1440"/>
      </w:pPr>
      <w:rPr>
        <w:rFonts w:hint="default"/>
      </w:rPr>
    </w:lvl>
    <w:lvl w:ilvl="6">
      <w:start w:val="1"/>
      <w:numFmt w:val="decimal"/>
      <w:lvlText w:val="%1.%2.%3.%4.%5.%6.%7"/>
      <w:lvlJc w:val="left"/>
      <w:pPr>
        <w:ind w:left="1440" w:hanging="1440"/>
      </w:pPr>
      <w:rPr>
        <w:rFonts w:hint="default"/>
      </w:rPr>
    </w:lvl>
    <w:lvl w:ilvl="7">
      <w:start w:val="1"/>
      <w:numFmt w:val="decimal"/>
      <w:lvlText w:val="%1.%2.%3.%4.%5.%6.%7.%8"/>
      <w:lvlJc w:val="left"/>
      <w:pPr>
        <w:ind w:left="1800" w:hanging="1800"/>
      </w:pPr>
      <w:rPr>
        <w:rFonts w:hint="default"/>
      </w:rPr>
    </w:lvl>
    <w:lvl w:ilvl="8">
      <w:start w:val="1"/>
      <w:numFmt w:val="decimal"/>
      <w:lvlText w:val="%1.%2.%3.%4.%5.%6.%7.%8.%9"/>
      <w:lvlJc w:val="left"/>
      <w:pPr>
        <w:ind w:left="1800" w:hanging="1800"/>
      </w:pPr>
      <w:rPr>
        <w:rFonts w:hint="default"/>
      </w:rPr>
    </w:lvl>
  </w:abstractNum>
  <w:abstractNum w:abstractNumId="10">
    <w:nsid w:val="75341091"/>
    <w:multiLevelType w:val="hybridMultilevel"/>
    <w:tmpl w:val="956825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5"/>
  </w:num>
  <w:num w:numId="2">
    <w:abstractNumId w:val="2"/>
  </w:num>
  <w:num w:numId="3">
    <w:abstractNumId w:val="10"/>
  </w:num>
  <w:num w:numId="4">
    <w:abstractNumId w:val="0"/>
  </w:num>
  <w:num w:numId="5">
    <w:abstractNumId w:val="8"/>
  </w:num>
  <w:num w:numId="6">
    <w:abstractNumId w:val="7"/>
  </w:num>
  <w:num w:numId="7">
    <w:abstractNumId w:val="9"/>
  </w:num>
  <w:num w:numId="8">
    <w:abstractNumId w:val="3"/>
  </w:num>
  <w:num w:numId="9">
    <w:abstractNumId w:val="4"/>
  </w:num>
  <w:num w:numId="10">
    <w:abstractNumId w:val="1"/>
  </w:num>
  <w:num w:numId="11">
    <w:abstractNumId w:val="6"/>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mc:Ignorable="w14 w15">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00BB7BA8"/>
    <w:rsid w:val="00026BDE"/>
    <w:rsid w:val="0014763F"/>
    <w:rsid w:val="001544C7"/>
    <w:rsid w:val="00170687"/>
    <w:rsid w:val="00172030"/>
    <w:rsid w:val="0031680F"/>
    <w:rsid w:val="00337500"/>
    <w:rsid w:val="00372F98"/>
    <w:rsid w:val="003817A9"/>
    <w:rsid w:val="003A2442"/>
    <w:rsid w:val="003B4016"/>
    <w:rsid w:val="003F77CA"/>
    <w:rsid w:val="00411002"/>
    <w:rsid w:val="004202C7"/>
    <w:rsid w:val="004B2484"/>
    <w:rsid w:val="005C7C55"/>
    <w:rsid w:val="006647DE"/>
    <w:rsid w:val="0073060F"/>
    <w:rsid w:val="00735D00"/>
    <w:rsid w:val="007947D7"/>
    <w:rsid w:val="007E3A57"/>
    <w:rsid w:val="00835A0D"/>
    <w:rsid w:val="0088121F"/>
    <w:rsid w:val="008C22D6"/>
    <w:rsid w:val="00933FFC"/>
    <w:rsid w:val="009D5058"/>
    <w:rsid w:val="00A1357E"/>
    <w:rsid w:val="00A60B13"/>
    <w:rsid w:val="00A83A14"/>
    <w:rsid w:val="00B11280"/>
    <w:rsid w:val="00BB7BA8"/>
    <w:rsid w:val="00BD53C7"/>
    <w:rsid w:val="00BF33F9"/>
    <w:rsid w:val="00C17C86"/>
    <w:rsid w:val="00C213F7"/>
    <w:rsid w:val="00CB687A"/>
    <w:rsid w:val="00CC05ED"/>
    <w:rsid w:val="00CC20E9"/>
    <w:rsid w:val="00DA1A6B"/>
    <w:rsid w:val="00DB04A3"/>
    <w:rsid w:val="00DB083D"/>
    <w:rsid w:val="00DD2146"/>
    <w:rsid w:val="00E41467"/>
    <w:rsid w:val="00E92C19"/>
    <w:rsid w:val="00EE0875"/>
    <w:rsid w:val="00F6088D"/>
    <w:rsid w:val="00F806DA"/>
    <w:rsid w:val="00F95557"/>
    <w:rsid w:val="00FE3429"/>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5:chartTrackingRefBased/>
  <w15:docId w15:val="{814766D4-5EC8-4691-A1BD-2754ED3301D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CB687A"/>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CB687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CB687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170687"/>
    <w:pPr>
      <w:ind w:left="720"/>
      <w:contextualSpacing/>
    </w:pPr>
  </w:style>
  <w:style w:type="character" w:customStyle="1" w:styleId="mord">
    <w:name w:val="mord"/>
    <w:basedOn w:val="DefaultParagraphFont"/>
    <w:rsid w:val="00DA1A6B"/>
  </w:style>
  <w:style w:type="character" w:customStyle="1" w:styleId="mbin">
    <w:name w:val="mbin"/>
    <w:basedOn w:val="DefaultParagraphFont"/>
    <w:rsid w:val="00DA1A6B"/>
  </w:style>
  <w:style w:type="character" w:customStyle="1" w:styleId="Heading1Char">
    <w:name w:val="Heading 1 Char"/>
    <w:basedOn w:val="DefaultParagraphFont"/>
    <w:link w:val="Heading1"/>
    <w:uiPriority w:val="9"/>
    <w:rsid w:val="00CB687A"/>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CB687A"/>
    <w:rPr>
      <w:rFonts w:asciiTheme="majorHAnsi" w:eastAsiaTheme="majorEastAsia" w:hAnsiTheme="majorHAnsi" w:cstheme="majorBidi"/>
      <w:color w:val="2F5496" w:themeColor="accent1" w:themeShade="BF"/>
      <w:sz w:val="26"/>
      <w:szCs w:val="26"/>
    </w:rPr>
  </w:style>
  <w:style w:type="character" w:customStyle="1" w:styleId="Heading3Char">
    <w:name w:val="Heading 3 Char"/>
    <w:basedOn w:val="DefaultParagraphFont"/>
    <w:link w:val="Heading3"/>
    <w:uiPriority w:val="9"/>
    <w:rsid w:val="00CB687A"/>
    <w:rPr>
      <w:rFonts w:asciiTheme="majorHAnsi" w:eastAsiaTheme="majorEastAsia" w:hAnsiTheme="majorHAnsi" w:cstheme="majorBidi"/>
      <w:color w:val="1F3763" w:themeColor="accent1" w:themeShade="7F"/>
      <w:sz w:val="24"/>
      <w:szCs w:val="24"/>
    </w:rPr>
  </w:style>
  <w:style w:type="paragraph" w:styleId="TOCHeading">
    <w:name w:val="TOC Heading"/>
    <w:basedOn w:val="Heading1"/>
    <w:next w:val="Normal"/>
    <w:uiPriority w:val="39"/>
    <w:unhideWhenUsed/>
    <w:qFormat/>
    <w:rsid w:val="007947D7"/>
    <w:pPr>
      <w:outlineLvl w:val="9"/>
    </w:pPr>
  </w:style>
  <w:style w:type="paragraph" w:styleId="TOC1">
    <w:name w:val="toc 1"/>
    <w:basedOn w:val="Normal"/>
    <w:next w:val="Normal"/>
    <w:autoRedefine/>
    <w:uiPriority w:val="39"/>
    <w:unhideWhenUsed/>
    <w:rsid w:val="007947D7"/>
    <w:pPr>
      <w:spacing w:after="100"/>
    </w:pPr>
  </w:style>
  <w:style w:type="paragraph" w:styleId="TOC2">
    <w:name w:val="toc 2"/>
    <w:basedOn w:val="Normal"/>
    <w:next w:val="Normal"/>
    <w:autoRedefine/>
    <w:uiPriority w:val="39"/>
    <w:unhideWhenUsed/>
    <w:rsid w:val="007947D7"/>
    <w:pPr>
      <w:spacing w:after="100"/>
      <w:ind w:left="220"/>
    </w:pPr>
  </w:style>
  <w:style w:type="paragraph" w:styleId="TOC3">
    <w:name w:val="toc 3"/>
    <w:basedOn w:val="Normal"/>
    <w:next w:val="Normal"/>
    <w:autoRedefine/>
    <w:uiPriority w:val="39"/>
    <w:unhideWhenUsed/>
    <w:rsid w:val="007947D7"/>
    <w:pPr>
      <w:spacing w:after="100"/>
      <w:ind w:left="440"/>
    </w:pPr>
  </w:style>
  <w:style w:type="character" w:styleId="Hyperlink">
    <w:name w:val="Hyperlink"/>
    <w:basedOn w:val="DefaultParagraphFont"/>
    <w:uiPriority w:val="99"/>
    <w:unhideWhenUsed/>
    <w:rsid w:val="007947D7"/>
    <w:rPr>
      <w:color w:val="0563C1" w:themeColor="hyperlink"/>
      <w:u w:val="single"/>
    </w:rPr>
  </w:style>
  <w:style w:type="paragraph" w:styleId="Header">
    <w:name w:val="header"/>
    <w:basedOn w:val="Normal"/>
    <w:link w:val="HeaderChar"/>
    <w:uiPriority w:val="99"/>
    <w:unhideWhenUsed/>
    <w:rsid w:val="00E41467"/>
    <w:pPr>
      <w:tabs>
        <w:tab w:val="center" w:pos="4680"/>
        <w:tab w:val="right" w:pos="9360"/>
      </w:tabs>
      <w:spacing w:after="0" w:line="240" w:lineRule="auto"/>
    </w:pPr>
  </w:style>
  <w:style w:type="character" w:customStyle="1" w:styleId="HeaderChar">
    <w:name w:val="Header Char"/>
    <w:basedOn w:val="DefaultParagraphFont"/>
    <w:link w:val="Header"/>
    <w:uiPriority w:val="99"/>
    <w:rsid w:val="00E41467"/>
  </w:style>
  <w:style w:type="paragraph" w:styleId="Footer">
    <w:name w:val="footer"/>
    <w:basedOn w:val="Normal"/>
    <w:link w:val="FooterChar"/>
    <w:uiPriority w:val="99"/>
    <w:unhideWhenUsed/>
    <w:rsid w:val="00E41467"/>
    <w:pPr>
      <w:tabs>
        <w:tab w:val="center" w:pos="4680"/>
        <w:tab w:val="right" w:pos="9360"/>
      </w:tabs>
      <w:spacing w:after="0" w:line="240" w:lineRule="auto"/>
    </w:pPr>
  </w:style>
  <w:style w:type="character" w:customStyle="1" w:styleId="FooterChar">
    <w:name w:val="Footer Char"/>
    <w:basedOn w:val="DefaultParagraphFont"/>
    <w:link w:val="Footer"/>
    <w:uiPriority w:val="99"/>
    <w:rsid w:val="00E41467"/>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divs>
    <w:div w:id="67458270">
      <w:bodyDiv w:val="1"/>
      <w:marLeft w:val="0"/>
      <w:marRight w:val="0"/>
      <w:marTop w:val="0"/>
      <w:marBottom w:val="0"/>
      <w:divBdr>
        <w:top w:val="none" w:sz="0" w:space="0" w:color="auto"/>
        <w:left w:val="none" w:sz="0" w:space="0" w:color="auto"/>
        <w:bottom w:val="none" w:sz="0" w:space="0" w:color="auto"/>
        <w:right w:val="none" w:sz="0" w:space="0" w:color="auto"/>
      </w:divBdr>
      <w:divsChild>
        <w:div w:id="202791542">
          <w:marLeft w:val="0"/>
          <w:marRight w:val="0"/>
          <w:marTop w:val="0"/>
          <w:marBottom w:val="0"/>
          <w:divBdr>
            <w:top w:val="none" w:sz="0" w:space="0" w:color="auto"/>
            <w:left w:val="none" w:sz="0" w:space="0" w:color="auto"/>
            <w:bottom w:val="none" w:sz="0" w:space="0" w:color="auto"/>
            <w:right w:val="none" w:sz="0" w:space="0" w:color="auto"/>
          </w:divBdr>
          <w:divsChild>
            <w:div w:id="1102452144">
              <w:marLeft w:val="0"/>
              <w:marRight w:val="0"/>
              <w:marTop w:val="0"/>
              <w:marBottom w:val="0"/>
              <w:divBdr>
                <w:top w:val="none" w:sz="0" w:space="0" w:color="auto"/>
                <w:left w:val="none" w:sz="0" w:space="0" w:color="auto"/>
                <w:bottom w:val="none" w:sz="0" w:space="0" w:color="auto"/>
                <w:right w:val="none" w:sz="0" w:space="0" w:color="auto"/>
              </w:divBdr>
            </w:div>
          </w:divsChild>
        </w:div>
        <w:div w:id="337736927">
          <w:marLeft w:val="0"/>
          <w:marRight w:val="0"/>
          <w:marTop w:val="0"/>
          <w:marBottom w:val="0"/>
          <w:divBdr>
            <w:top w:val="none" w:sz="0" w:space="0" w:color="auto"/>
            <w:left w:val="none" w:sz="0" w:space="0" w:color="auto"/>
            <w:bottom w:val="none" w:sz="0" w:space="0" w:color="auto"/>
            <w:right w:val="none" w:sz="0" w:space="0" w:color="auto"/>
          </w:divBdr>
          <w:divsChild>
            <w:div w:id="920796241">
              <w:marLeft w:val="0"/>
              <w:marRight w:val="0"/>
              <w:marTop w:val="0"/>
              <w:marBottom w:val="0"/>
              <w:divBdr>
                <w:top w:val="none" w:sz="0" w:space="0" w:color="auto"/>
                <w:left w:val="none" w:sz="0" w:space="0" w:color="auto"/>
                <w:bottom w:val="none" w:sz="0" w:space="0" w:color="auto"/>
                <w:right w:val="none" w:sz="0" w:space="0" w:color="auto"/>
              </w:divBdr>
            </w:div>
          </w:divsChild>
        </w:div>
        <w:div w:id="496961356">
          <w:marLeft w:val="0"/>
          <w:marRight w:val="0"/>
          <w:marTop w:val="0"/>
          <w:marBottom w:val="0"/>
          <w:divBdr>
            <w:top w:val="none" w:sz="0" w:space="0" w:color="auto"/>
            <w:left w:val="none" w:sz="0" w:space="0" w:color="auto"/>
            <w:bottom w:val="none" w:sz="0" w:space="0" w:color="auto"/>
            <w:right w:val="none" w:sz="0" w:space="0" w:color="auto"/>
          </w:divBdr>
          <w:divsChild>
            <w:div w:id="245922999">
              <w:marLeft w:val="0"/>
              <w:marRight w:val="0"/>
              <w:marTop w:val="0"/>
              <w:marBottom w:val="0"/>
              <w:divBdr>
                <w:top w:val="none" w:sz="0" w:space="0" w:color="auto"/>
                <w:left w:val="none" w:sz="0" w:space="0" w:color="auto"/>
                <w:bottom w:val="none" w:sz="0" w:space="0" w:color="auto"/>
                <w:right w:val="none" w:sz="0" w:space="0" w:color="auto"/>
              </w:divBdr>
            </w:div>
          </w:divsChild>
        </w:div>
        <w:div w:id="598367113">
          <w:marLeft w:val="0"/>
          <w:marRight w:val="0"/>
          <w:marTop w:val="0"/>
          <w:marBottom w:val="0"/>
          <w:divBdr>
            <w:top w:val="none" w:sz="0" w:space="0" w:color="auto"/>
            <w:left w:val="none" w:sz="0" w:space="0" w:color="auto"/>
            <w:bottom w:val="none" w:sz="0" w:space="0" w:color="auto"/>
            <w:right w:val="none" w:sz="0" w:space="0" w:color="auto"/>
          </w:divBdr>
          <w:divsChild>
            <w:div w:id="1418284665">
              <w:marLeft w:val="0"/>
              <w:marRight w:val="0"/>
              <w:marTop w:val="0"/>
              <w:marBottom w:val="0"/>
              <w:divBdr>
                <w:top w:val="none" w:sz="0" w:space="0" w:color="auto"/>
                <w:left w:val="none" w:sz="0" w:space="0" w:color="auto"/>
                <w:bottom w:val="none" w:sz="0" w:space="0" w:color="auto"/>
                <w:right w:val="none" w:sz="0" w:space="0" w:color="auto"/>
              </w:divBdr>
            </w:div>
          </w:divsChild>
        </w:div>
        <w:div w:id="655453503">
          <w:marLeft w:val="0"/>
          <w:marRight w:val="0"/>
          <w:marTop w:val="0"/>
          <w:marBottom w:val="0"/>
          <w:divBdr>
            <w:top w:val="none" w:sz="0" w:space="0" w:color="auto"/>
            <w:left w:val="none" w:sz="0" w:space="0" w:color="auto"/>
            <w:bottom w:val="none" w:sz="0" w:space="0" w:color="auto"/>
            <w:right w:val="none" w:sz="0" w:space="0" w:color="auto"/>
          </w:divBdr>
          <w:divsChild>
            <w:div w:id="1105732338">
              <w:marLeft w:val="0"/>
              <w:marRight w:val="0"/>
              <w:marTop w:val="0"/>
              <w:marBottom w:val="0"/>
              <w:divBdr>
                <w:top w:val="none" w:sz="0" w:space="0" w:color="auto"/>
                <w:left w:val="none" w:sz="0" w:space="0" w:color="auto"/>
                <w:bottom w:val="none" w:sz="0" w:space="0" w:color="auto"/>
                <w:right w:val="none" w:sz="0" w:space="0" w:color="auto"/>
              </w:divBdr>
            </w:div>
          </w:divsChild>
        </w:div>
        <w:div w:id="894465064">
          <w:marLeft w:val="0"/>
          <w:marRight w:val="0"/>
          <w:marTop w:val="0"/>
          <w:marBottom w:val="0"/>
          <w:divBdr>
            <w:top w:val="none" w:sz="0" w:space="0" w:color="auto"/>
            <w:left w:val="none" w:sz="0" w:space="0" w:color="auto"/>
            <w:bottom w:val="none" w:sz="0" w:space="0" w:color="auto"/>
            <w:right w:val="none" w:sz="0" w:space="0" w:color="auto"/>
          </w:divBdr>
          <w:divsChild>
            <w:div w:id="881599782">
              <w:marLeft w:val="0"/>
              <w:marRight w:val="0"/>
              <w:marTop w:val="0"/>
              <w:marBottom w:val="0"/>
              <w:divBdr>
                <w:top w:val="none" w:sz="0" w:space="0" w:color="auto"/>
                <w:left w:val="none" w:sz="0" w:space="0" w:color="auto"/>
                <w:bottom w:val="none" w:sz="0" w:space="0" w:color="auto"/>
                <w:right w:val="none" w:sz="0" w:space="0" w:color="auto"/>
              </w:divBdr>
            </w:div>
          </w:divsChild>
        </w:div>
        <w:div w:id="1529249622">
          <w:marLeft w:val="0"/>
          <w:marRight w:val="0"/>
          <w:marTop w:val="0"/>
          <w:marBottom w:val="0"/>
          <w:divBdr>
            <w:top w:val="none" w:sz="0" w:space="0" w:color="auto"/>
            <w:left w:val="none" w:sz="0" w:space="0" w:color="auto"/>
            <w:bottom w:val="none" w:sz="0" w:space="0" w:color="auto"/>
            <w:right w:val="none" w:sz="0" w:space="0" w:color="auto"/>
          </w:divBdr>
          <w:divsChild>
            <w:div w:id="738409375">
              <w:marLeft w:val="0"/>
              <w:marRight w:val="0"/>
              <w:marTop w:val="0"/>
              <w:marBottom w:val="0"/>
              <w:divBdr>
                <w:top w:val="none" w:sz="0" w:space="0" w:color="auto"/>
                <w:left w:val="none" w:sz="0" w:space="0" w:color="auto"/>
                <w:bottom w:val="none" w:sz="0" w:space="0" w:color="auto"/>
                <w:right w:val="none" w:sz="0" w:space="0" w:color="auto"/>
              </w:divBdr>
            </w:div>
          </w:divsChild>
        </w:div>
        <w:div w:id="1823890608">
          <w:marLeft w:val="0"/>
          <w:marRight w:val="0"/>
          <w:marTop w:val="0"/>
          <w:marBottom w:val="0"/>
          <w:divBdr>
            <w:top w:val="none" w:sz="0" w:space="0" w:color="auto"/>
            <w:left w:val="none" w:sz="0" w:space="0" w:color="auto"/>
            <w:bottom w:val="none" w:sz="0" w:space="0" w:color="auto"/>
            <w:right w:val="none" w:sz="0" w:space="0" w:color="auto"/>
          </w:divBdr>
          <w:divsChild>
            <w:div w:id="6587312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70548524">
      <w:bodyDiv w:val="1"/>
      <w:marLeft w:val="0"/>
      <w:marRight w:val="0"/>
      <w:marTop w:val="0"/>
      <w:marBottom w:val="0"/>
      <w:divBdr>
        <w:top w:val="none" w:sz="0" w:space="0" w:color="auto"/>
        <w:left w:val="none" w:sz="0" w:space="0" w:color="auto"/>
        <w:bottom w:val="none" w:sz="0" w:space="0" w:color="auto"/>
        <w:right w:val="none" w:sz="0" w:space="0" w:color="auto"/>
      </w:divBdr>
      <w:divsChild>
        <w:div w:id="2066758991">
          <w:marLeft w:val="0"/>
          <w:marRight w:val="0"/>
          <w:marTop w:val="0"/>
          <w:marBottom w:val="0"/>
          <w:divBdr>
            <w:top w:val="none" w:sz="0" w:space="0" w:color="auto"/>
            <w:left w:val="none" w:sz="0" w:space="0" w:color="auto"/>
            <w:bottom w:val="none" w:sz="0" w:space="0" w:color="auto"/>
            <w:right w:val="none" w:sz="0" w:space="0" w:color="auto"/>
          </w:divBdr>
          <w:divsChild>
            <w:div w:id="1826894167">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292828624">
      <w:bodyDiv w:val="1"/>
      <w:marLeft w:val="0"/>
      <w:marRight w:val="0"/>
      <w:marTop w:val="0"/>
      <w:marBottom w:val="0"/>
      <w:divBdr>
        <w:top w:val="none" w:sz="0" w:space="0" w:color="auto"/>
        <w:left w:val="none" w:sz="0" w:space="0" w:color="auto"/>
        <w:bottom w:val="none" w:sz="0" w:space="0" w:color="auto"/>
        <w:right w:val="none" w:sz="0" w:space="0" w:color="auto"/>
      </w:divBdr>
      <w:divsChild>
        <w:div w:id="1048333962">
          <w:marLeft w:val="0"/>
          <w:marRight w:val="0"/>
          <w:marTop w:val="0"/>
          <w:marBottom w:val="0"/>
          <w:divBdr>
            <w:top w:val="none" w:sz="0" w:space="0" w:color="auto"/>
            <w:left w:val="none" w:sz="0" w:space="0" w:color="auto"/>
            <w:bottom w:val="none" w:sz="0" w:space="0" w:color="auto"/>
            <w:right w:val="none" w:sz="0" w:space="0" w:color="auto"/>
          </w:divBdr>
          <w:divsChild>
            <w:div w:id="172899491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01677475">
      <w:bodyDiv w:val="1"/>
      <w:marLeft w:val="0"/>
      <w:marRight w:val="0"/>
      <w:marTop w:val="0"/>
      <w:marBottom w:val="0"/>
      <w:divBdr>
        <w:top w:val="none" w:sz="0" w:space="0" w:color="auto"/>
        <w:left w:val="none" w:sz="0" w:space="0" w:color="auto"/>
        <w:bottom w:val="none" w:sz="0" w:space="0" w:color="auto"/>
        <w:right w:val="none" w:sz="0" w:space="0" w:color="auto"/>
      </w:divBdr>
      <w:divsChild>
        <w:div w:id="320235808">
          <w:marLeft w:val="0"/>
          <w:marRight w:val="0"/>
          <w:marTop w:val="0"/>
          <w:marBottom w:val="0"/>
          <w:divBdr>
            <w:top w:val="none" w:sz="0" w:space="0" w:color="auto"/>
            <w:left w:val="none" w:sz="0" w:space="0" w:color="auto"/>
            <w:bottom w:val="none" w:sz="0" w:space="0" w:color="auto"/>
            <w:right w:val="none" w:sz="0" w:space="0" w:color="auto"/>
          </w:divBdr>
          <w:divsChild>
            <w:div w:id="1738702193">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410546143">
      <w:bodyDiv w:val="1"/>
      <w:marLeft w:val="0"/>
      <w:marRight w:val="0"/>
      <w:marTop w:val="0"/>
      <w:marBottom w:val="0"/>
      <w:divBdr>
        <w:top w:val="none" w:sz="0" w:space="0" w:color="auto"/>
        <w:left w:val="none" w:sz="0" w:space="0" w:color="auto"/>
        <w:bottom w:val="none" w:sz="0" w:space="0" w:color="auto"/>
        <w:right w:val="none" w:sz="0" w:space="0" w:color="auto"/>
      </w:divBdr>
    </w:div>
    <w:div w:id="430004583">
      <w:bodyDiv w:val="1"/>
      <w:marLeft w:val="0"/>
      <w:marRight w:val="0"/>
      <w:marTop w:val="0"/>
      <w:marBottom w:val="0"/>
      <w:divBdr>
        <w:top w:val="none" w:sz="0" w:space="0" w:color="auto"/>
        <w:left w:val="none" w:sz="0" w:space="0" w:color="auto"/>
        <w:bottom w:val="none" w:sz="0" w:space="0" w:color="auto"/>
        <w:right w:val="none" w:sz="0" w:space="0" w:color="auto"/>
      </w:divBdr>
      <w:divsChild>
        <w:div w:id="764811093">
          <w:marLeft w:val="0"/>
          <w:marRight w:val="0"/>
          <w:marTop w:val="0"/>
          <w:marBottom w:val="0"/>
          <w:divBdr>
            <w:top w:val="none" w:sz="0" w:space="0" w:color="auto"/>
            <w:left w:val="none" w:sz="0" w:space="0" w:color="auto"/>
            <w:bottom w:val="none" w:sz="0" w:space="0" w:color="auto"/>
            <w:right w:val="none" w:sz="0" w:space="0" w:color="auto"/>
          </w:divBdr>
          <w:divsChild>
            <w:div w:id="1415661240">
              <w:marLeft w:val="0"/>
              <w:marRight w:val="0"/>
              <w:marTop w:val="0"/>
              <w:marBottom w:val="0"/>
              <w:divBdr>
                <w:top w:val="none" w:sz="0" w:space="0" w:color="auto"/>
                <w:left w:val="none" w:sz="0" w:space="0" w:color="auto"/>
                <w:bottom w:val="none" w:sz="0" w:space="0" w:color="auto"/>
                <w:right w:val="none" w:sz="0" w:space="0" w:color="auto"/>
              </w:divBdr>
            </w:div>
          </w:divsChild>
        </w:div>
        <w:div w:id="902184515">
          <w:marLeft w:val="0"/>
          <w:marRight w:val="0"/>
          <w:marTop w:val="0"/>
          <w:marBottom w:val="0"/>
          <w:divBdr>
            <w:top w:val="none" w:sz="0" w:space="0" w:color="auto"/>
            <w:left w:val="none" w:sz="0" w:space="0" w:color="auto"/>
            <w:bottom w:val="none" w:sz="0" w:space="0" w:color="auto"/>
            <w:right w:val="none" w:sz="0" w:space="0" w:color="auto"/>
          </w:divBdr>
          <w:divsChild>
            <w:div w:id="1496067764">
              <w:marLeft w:val="0"/>
              <w:marRight w:val="0"/>
              <w:marTop w:val="0"/>
              <w:marBottom w:val="0"/>
              <w:divBdr>
                <w:top w:val="none" w:sz="0" w:space="0" w:color="auto"/>
                <w:left w:val="none" w:sz="0" w:space="0" w:color="auto"/>
                <w:bottom w:val="none" w:sz="0" w:space="0" w:color="auto"/>
                <w:right w:val="none" w:sz="0" w:space="0" w:color="auto"/>
              </w:divBdr>
            </w:div>
          </w:divsChild>
        </w:div>
        <w:div w:id="1157384205">
          <w:marLeft w:val="0"/>
          <w:marRight w:val="0"/>
          <w:marTop w:val="0"/>
          <w:marBottom w:val="0"/>
          <w:divBdr>
            <w:top w:val="none" w:sz="0" w:space="0" w:color="auto"/>
            <w:left w:val="none" w:sz="0" w:space="0" w:color="auto"/>
            <w:bottom w:val="none" w:sz="0" w:space="0" w:color="auto"/>
            <w:right w:val="none" w:sz="0" w:space="0" w:color="auto"/>
          </w:divBdr>
          <w:divsChild>
            <w:div w:id="2069650056">
              <w:marLeft w:val="0"/>
              <w:marRight w:val="0"/>
              <w:marTop w:val="0"/>
              <w:marBottom w:val="0"/>
              <w:divBdr>
                <w:top w:val="none" w:sz="0" w:space="0" w:color="auto"/>
                <w:left w:val="none" w:sz="0" w:space="0" w:color="auto"/>
                <w:bottom w:val="none" w:sz="0" w:space="0" w:color="auto"/>
                <w:right w:val="none" w:sz="0" w:space="0" w:color="auto"/>
              </w:divBdr>
            </w:div>
          </w:divsChild>
        </w:div>
        <w:div w:id="1449741750">
          <w:marLeft w:val="0"/>
          <w:marRight w:val="0"/>
          <w:marTop w:val="0"/>
          <w:marBottom w:val="0"/>
          <w:divBdr>
            <w:top w:val="none" w:sz="0" w:space="0" w:color="auto"/>
            <w:left w:val="none" w:sz="0" w:space="0" w:color="auto"/>
            <w:bottom w:val="none" w:sz="0" w:space="0" w:color="auto"/>
            <w:right w:val="none" w:sz="0" w:space="0" w:color="auto"/>
          </w:divBdr>
          <w:divsChild>
            <w:div w:id="1116364926">
              <w:marLeft w:val="0"/>
              <w:marRight w:val="0"/>
              <w:marTop w:val="0"/>
              <w:marBottom w:val="0"/>
              <w:divBdr>
                <w:top w:val="none" w:sz="0" w:space="0" w:color="auto"/>
                <w:left w:val="none" w:sz="0" w:space="0" w:color="auto"/>
                <w:bottom w:val="none" w:sz="0" w:space="0" w:color="auto"/>
                <w:right w:val="none" w:sz="0" w:space="0" w:color="auto"/>
              </w:divBdr>
            </w:div>
          </w:divsChild>
        </w:div>
        <w:div w:id="1659578923">
          <w:marLeft w:val="0"/>
          <w:marRight w:val="0"/>
          <w:marTop w:val="0"/>
          <w:marBottom w:val="0"/>
          <w:divBdr>
            <w:top w:val="none" w:sz="0" w:space="0" w:color="auto"/>
            <w:left w:val="none" w:sz="0" w:space="0" w:color="auto"/>
            <w:bottom w:val="none" w:sz="0" w:space="0" w:color="auto"/>
            <w:right w:val="none" w:sz="0" w:space="0" w:color="auto"/>
          </w:divBdr>
          <w:divsChild>
            <w:div w:id="1319767844">
              <w:marLeft w:val="0"/>
              <w:marRight w:val="0"/>
              <w:marTop w:val="0"/>
              <w:marBottom w:val="0"/>
              <w:divBdr>
                <w:top w:val="none" w:sz="0" w:space="0" w:color="auto"/>
                <w:left w:val="none" w:sz="0" w:space="0" w:color="auto"/>
                <w:bottom w:val="none" w:sz="0" w:space="0" w:color="auto"/>
                <w:right w:val="none" w:sz="0" w:space="0" w:color="auto"/>
              </w:divBdr>
            </w:div>
          </w:divsChild>
        </w:div>
        <w:div w:id="1683242237">
          <w:marLeft w:val="0"/>
          <w:marRight w:val="0"/>
          <w:marTop w:val="0"/>
          <w:marBottom w:val="0"/>
          <w:divBdr>
            <w:top w:val="none" w:sz="0" w:space="0" w:color="auto"/>
            <w:left w:val="none" w:sz="0" w:space="0" w:color="auto"/>
            <w:bottom w:val="none" w:sz="0" w:space="0" w:color="auto"/>
            <w:right w:val="none" w:sz="0" w:space="0" w:color="auto"/>
          </w:divBdr>
          <w:divsChild>
            <w:div w:id="959382868">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616178198">
      <w:bodyDiv w:val="1"/>
      <w:marLeft w:val="0"/>
      <w:marRight w:val="0"/>
      <w:marTop w:val="0"/>
      <w:marBottom w:val="0"/>
      <w:divBdr>
        <w:top w:val="none" w:sz="0" w:space="0" w:color="auto"/>
        <w:left w:val="none" w:sz="0" w:space="0" w:color="auto"/>
        <w:bottom w:val="none" w:sz="0" w:space="0" w:color="auto"/>
        <w:right w:val="none" w:sz="0" w:space="0" w:color="auto"/>
      </w:divBdr>
      <w:divsChild>
        <w:div w:id="1368682638">
          <w:marLeft w:val="0"/>
          <w:marRight w:val="0"/>
          <w:marTop w:val="0"/>
          <w:marBottom w:val="0"/>
          <w:divBdr>
            <w:top w:val="none" w:sz="0" w:space="0" w:color="auto"/>
            <w:left w:val="none" w:sz="0" w:space="0" w:color="auto"/>
            <w:bottom w:val="none" w:sz="0" w:space="0" w:color="auto"/>
            <w:right w:val="none" w:sz="0" w:space="0" w:color="auto"/>
          </w:divBdr>
          <w:divsChild>
            <w:div w:id="1172986194">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148397215">
      <w:bodyDiv w:val="1"/>
      <w:marLeft w:val="0"/>
      <w:marRight w:val="0"/>
      <w:marTop w:val="0"/>
      <w:marBottom w:val="0"/>
      <w:divBdr>
        <w:top w:val="none" w:sz="0" w:space="0" w:color="auto"/>
        <w:left w:val="none" w:sz="0" w:space="0" w:color="auto"/>
        <w:bottom w:val="none" w:sz="0" w:space="0" w:color="auto"/>
        <w:right w:val="none" w:sz="0" w:space="0" w:color="auto"/>
      </w:divBdr>
      <w:divsChild>
        <w:div w:id="842551527">
          <w:marLeft w:val="0"/>
          <w:marRight w:val="0"/>
          <w:marTop w:val="0"/>
          <w:marBottom w:val="0"/>
          <w:divBdr>
            <w:top w:val="none" w:sz="0" w:space="0" w:color="auto"/>
            <w:left w:val="none" w:sz="0" w:space="0" w:color="auto"/>
            <w:bottom w:val="none" w:sz="0" w:space="0" w:color="auto"/>
            <w:right w:val="none" w:sz="0" w:space="0" w:color="auto"/>
          </w:divBdr>
          <w:divsChild>
            <w:div w:id="1903634826">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375734222">
      <w:bodyDiv w:val="1"/>
      <w:marLeft w:val="0"/>
      <w:marRight w:val="0"/>
      <w:marTop w:val="0"/>
      <w:marBottom w:val="0"/>
      <w:divBdr>
        <w:top w:val="none" w:sz="0" w:space="0" w:color="auto"/>
        <w:left w:val="none" w:sz="0" w:space="0" w:color="auto"/>
        <w:bottom w:val="none" w:sz="0" w:space="0" w:color="auto"/>
        <w:right w:val="none" w:sz="0" w:space="0" w:color="auto"/>
      </w:divBdr>
      <w:divsChild>
        <w:div w:id="12145977">
          <w:marLeft w:val="0"/>
          <w:marRight w:val="0"/>
          <w:marTop w:val="0"/>
          <w:marBottom w:val="0"/>
          <w:divBdr>
            <w:top w:val="none" w:sz="0" w:space="0" w:color="auto"/>
            <w:left w:val="none" w:sz="0" w:space="0" w:color="auto"/>
            <w:bottom w:val="none" w:sz="0" w:space="0" w:color="auto"/>
            <w:right w:val="none" w:sz="0" w:space="0" w:color="auto"/>
          </w:divBdr>
          <w:divsChild>
            <w:div w:id="411972325">
              <w:marLeft w:val="0"/>
              <w:marRight w:val="0"/>
              <w:marTop w:val="0"/>
              <w:marBottom w:val="0"/>
              <w:divBdr>
                <w:top w:val="none" w:sz="0" w:space="0" w:color="auto"/>
                <w:left w:val="none" w:sz="0" w:space="0" w:color="auto"/>
                <w:bottom w:val="none" w:sz="0" w:space="0" w:color="auto"/>
                <w:right w:val="none" w:sz="0" w:space="0" w:color="auto"/>
              </w:divBdr>
            </w:div>
          </w:divsChild>
        </w:div>
        <w:div w:id="184563051">
          <w:marLeft w:val="0"/>
          <w:marRight w:val="0"/>
          <w:marTop w:val="0"/>
          <w:marBottom w:val="0"/>
          <w:divBdr>
            <w:top w:val="none" w:sz="0" w:space="0" w:color="auto"/>
            <w:left w:val="none" w:sz="0" w:space="0" w:color="auto"/>
            <w:bottom w:val="none" w:sz="0" w:space="0" w:color="auto"/>
            <w:right w:val="none" w:sz="0" w:space="0" w:color="auto"/>
          </w:divBdr>
          <w:divsChild>
            <w:div w:id="1640844807">
              <w:marLeft w:val="0"/>
              <w:marRight w:val="0"/>
              <w:marTop w:val="0"/>
              <w:marBottom w:val="0"/>
              <w:divBdr>
                <w:top w:val="none" w:sz="0" w:space="0" w:color="auto"/>
                <w:left w:val="none" w:sz="0" w:space="0" w:color="auto"/>
                <w:bottom w:val="none" w:sz="0" w:space="0" w:color="auto"/>
                <w:right w:val="none" w:sz="0" w:space="0" w:color="auto"/>
              </w:divBdr>
            </w:div>
          </w:divsChild>
        </w:div>
        <w:div w:id="273368211">
          <w:marLeft w:val="0"/>
          <w:marRight w:val="0"/>
          <w:marTop w:val="0"/>
          <w:marBottom w:val="0"/>
          <w:divBdr>
            <w:top w:val="none" w:sz="0" w:space="0" w:color="auto"/>
            <w:left w:val="none" w:sz="0" w:space="0" w:color="auto"/>
            <w:bottom w:val="none" w:sz="0" w:space="0" w:color="auto"/>
            <w:right w:val="none" w:sz="0" w:space="0" w:color="auto"/>
          </w:divBdr>
          <w:divsChild>
            <w:div w:id="2048022254">
              <w:marLeft w:val="0"/>
              <w:marRight w:val="0"/>
              <w:marTop w:val="0"/>
              <w:marBottom w:val="0"/>
              <w:divBdr>
                <w:top w:val="none" w:sz="0" w:space="0" w:color="auto"/>
                <w:left w:val="none" w:sz="0" w:space="0" w:color="auto"/>
                <w:bottom w:val="none" w:sz="0" w:space="0" w:color="auto"/>
                <w:right w:val="none" w:sz="0" w:space="0" w:color="auto"/>
              </w:divBdr>
            </w:div>
          </w:divsChild>
        </w:div>
        <w:div w:id="281886043">
          <w:marLeft w:val="0"/>
          <w:marRight w:val="0"/>
          <w:marTop w:val="0"/>
          <w:marBottom w:val="0"/>
          <w:divBdr>
            <w:top w:val="none" w:sz="0" w:space="0" w:color="auto"/>
            <w:left w:val="none" w:sz="0" w:space="0" w:color="auto"/>
            <w:bottom w:val="none" w:sz="0" w:space="0" w:color="auto"/>
            <w:right w:val="none" w:sz="0" w:space="0" w:color="auto"/>
          </w:divBdr>
          <w:divsChild>
            <w:div w:id="1048799880">
              <w:marLeft w:val="0"/>
              <w:marRight w:val="0"/>
              <w:marTop w:val="0"/>
              <w:marBottom w:val="0"/>
              <w:divBdr>
                <w:top w:val="none" w:sz="0" w:space="0" w:color="auto"/>
                <w:left w:val="none" w:sz="0" w:space="0" w:color="auto"/>
                <w:bottom w:val="none" w:sz="0" w:space="0" w:color="auto"/>
                <w:right w:val="none" w:sz="0" w:space="0" w:color="auto"/>
              </w:divBdr>
            </w:div>
          </w:divsChild>
        </w:div>
        <w:div w:id="306053886">
          <w:marLeft w:val="0"/>
          <w:marRight w:val="0"/>
          <w:marTop w:val="0"/>
          <w:marBottom w:val="0"/>
          <w:divBdr>
            <w:top w:val="none" w:sz="0" w:space="0" w:color="auto"/>
            <w:left w:val="none" w:sz="0" w:space="0" w:color="auto"/>
            <w:bottom w:val="none" w:sz="0" w:space="0" w:color="auto"/>
            <w:right w:val="none" w:sz="0" w:space="0" w:color="auto"/>
          </w:divBdr>
          <w:divsChild>
            <w:div w:id="1142236186">
              <w:marLeft w:val="0"/>
              <w:marRight w:val="0"/>
              <w:marTop w:val="0"/>
              <w:marBottom w:val="0"/>
              <w:divBdr>
                <w:top w:val="none" w:sz="0" w:space="0" w:color="auto"/>
                <w:left w:val="none" w:sz="0" w:space="0" w:color="auto"/>
                <w:bottom w:val="none" w:sz="0" w:space="0" w:color="auto"/>
                <w:right w:val="none" w:sz="0" w:space="0" w:color="auto"/>
              </w:divBdr>
            </w:div>
          </w:divsChild>
        </w:div>
        <w:div w:id="1200774793">
          <w:marLeft w:val="0"/>
          <w:marRight w:val="0"/>
          <w:marTop w:val="0"/>
          <w:marBottom w:val="0"/>
          <w:divBdr>
            <w:top w:val="none" w:sz="0" w:space="0" w:color="auto"/>
            <w:left w:val="none" w:sz="0" w:space="0" w:color="auto"/>
            <w:bottom w:val="none" w:sz="0" w:space="0" w:color="auto"/>
            <w:right w:val="none" w:sz="0" w:space="0" w:color="auto"/>
          </w:divBdr>
          <w:divsChild>
            <w:div w:id="1150054249">
              <w:marLeft w:val="0"/>
              <w:marRight w:val="0"/>
              <w:marTop w:val="0"/>
              <w:marBottom w:val="0"/>
              <w:divBdr>
                <w:top w:val="none" w:sz="0" w:space="0" w:color="auto"/>
                <w:left w:val="none" w:sz="0" w:space="0" w:color="auto"/>
                <w:bottom w:val="none" w:sz="0" w:space="0" w:color="auto"/>
                <w:right w:val="none" w:sz="0" w:space="0" w:color="auto"/>
              </w:divBdr>
            </w:div>
          </w:divsChild>
        </w:div>
        <w:div w:id="1333291238">
          <w:marLeft w:val="0"/>
          <w:marRight w:val="0"/>
          <w:marTop w:val="0"/>
          <w:marBottom w:val="0"/>
          <w:divBdr>
            <w:top w:val="none" w:sz="0" w:space="0" w:color="auto"/>
            <w:left w:val="none" w:sz="0" w:space="0" w:color="auto"/>
            <w:bottom w:val="none" w:sz="0" w:space="0" w:color="auto"/>
            <w:right w:val="none" w:sz="0" w:space="0" w:color="auto"/>
          </w:divBdr>
          <w:divsChild>
            <w:div w:id="972441824">
              <w:marLeft w:val="0"/>
              <w:marRight w:val="0"/>
              <w:marTop w:val="0"/>
              <w:marBottom w:val="0"/>
              <w:divBdr>
                <w:top w:val="none" w:sz="0" w:space="0" w:color="auto"/>
                <w:left w:val="none" w:sz="0" w:space="0" w:color="auto"/>
                <w:bottom w:val="none" w:sz="0" w:space="0" w:color="auto"/>
                <w:right w:val="none" w:sz="0" w:space="0" w:color="auto"/>
              </w:divBdr>
            </w:div>
          </w:divsChild>
        </w:div>
        <w:div w:id="1342703989">
          <w:marLeft w:val="0"/>
          <w:marRight w:val="0"/>
          <w:marTop w:val="0"/>
          <w:marBottom w:val="0"/>
          <w:divBdr>
            <w:top w:val="none" w:sz="0" w:space="0" w:color="auto"/>
            <w:left w:val="none" w:sz="0" w:space="0" w:color="auto"/>
            <w:bottom w:val="none" w:sz="0" w:space="0" w:color="auto"/>
            <w:right w:val="none" w:sz="0" w:space="0" w:color="auto"/>
          </w:divBdr>
          <w:divsChild>
            <w:div w:id="1826970362">
              <w:marLeft w:val="0"/>
              <w:marRight w:val="0"/>
              <w:marTop w:val="0"/>
              <w:marBottom w:val="0"/>
              <w:divBdr>
                <w:top w:val="none" w:sz="0" w:space="0" w:color="auto"/>
                <w:left w:val="none" w:sz="0" w:space="0" w:color="auto"/>
                <w:bottom w:val="none" w:sz="0" w:space="0" w:color="auto"/>
                <w:right w:val="none" w:sz="0" w:space="0" w:color="auto"/>
              </w:divBdr>
            </w:div>
          </w:divsChild>
        </w:div>
        <w:div w:id="1459298848">
          <w:marLeft w:val="0"/>
          <w:marRight w:val="0"/>
          <w:marTop w:val="0"/>
          <w:marBottom w:val="0"/>
          <w:divBdr>
            <w:top w:val="none" w:sz="0" w:space="0" w:color="auto"/>
            <w:left w:val="none" w:sz="0" w:space="0" w:color="auto"/>
            <w:bottom w:val="none" w:sz="0" w:space="0" w:color="auto"/>
            <w:right w:val="none" w:sz="0" w:space="0" w:color="auto"/>
          </w:divBdr>
          <w:divsChild>
            <w:div w:id="1843350125">
              <w:marLeft w:val="0"/>
              <w:marRight w:val="0"/>
              <w:marTop w:val="0"/>
              <w:marBottom w:val="0"/>
              <w:divBdr>
                <w:top w:val="none" w:sz="0" w:space="0" w:color="auto"/>
                <w:left w:val="none" w:sz="0" w:space="0" w:color="auto"/>
                <w:bottom w:val="none" w:sz="0" w:space="0" w:color="auto"/>
                <w:right w:val="none" w:sz="0" w:space="0" w:color="auto"/>
              </w:divBdr>
            </w:div>
          </w:divsChild>
        </w:div>
        <w:div w:id="1862744878">
          <w:marLeft w:val="0"/>
          <w:marRight w:val="0"/>
          <w:marTop w:val="0"/>
          <w:marBottom w:val="0"/>
          <w:divBdr>
            <w:top w:val="none" w:sz="0" w:space="0" w:color="auto"/>
            <w:left w:val="none" w:sz="0" w:space="0" w:color="auto"/>
            <w:bottom w:val="none" w:sz="0" w:space="0" w:color="auto"/>
            <w:right w:val="none" w:sz="0" w:space="0" w:color="auto"/>
          </w:divBdr>
          <w:divsChild>
            <w:div w:id="830373302">
              <w:marLeft w:val="0"/>
              <w:marRight w:val="0"/>
              <w:marTop w:val="0"/>
              <w:marBottom w:val="0"/>
              <w:divBdr>
                <w:top w:val="none" w:sz="0" w:space="0" w:color="auto"/>
                <w:left w:val="none" w:sz="0" w:space="0" w:color="auto"/>
                <w:bottom w:val="none" w:sz="0" w:space="0" w:color="auto"/>
                <w:right w:val="none" w:sz="0" w:space="0" w:color="auto"/>
              </w:divBdr>
            </w:div>
          </w:divsChild>
        </w:div>
        <w:div w:id="1871993465">
          <w:marLeft w:val="0"/>
          <w:marRight w:val="0"/>
          <w:marTop w:val="0"/>
          <w:marBottom w:val="0"/>
          <w:divBdr>
            <w:top w:val="none" w:sz="0" w:space="0" w:color="auto"/>
            <w:left w:val="none" w:sz="0" w:space="0" w:color="auto"/>
            <w:bottom w:val="none" w:sz="0" w:space="0" w:color="auto"/>
            <w:right w:val="none" w:sz="0" w:space="0" w:color="auto"/>
          </w:divBdr>
          <w:divsChild>
            <w:div w:id="1137381437">
              <w:marLeft w:val="0"/>
              <w:marRight w:val="0"/>
              <w:marTop w:val="0"/>
              <w:marBottom w:val="0"/>
              <w:divBdr>
                <w:top w:val="none" w:sz="0" w:space="0" w:color="auto"/>
                <w:left w:val="none" w:sz="0" w:space="0" w:color="auto"/>
                <w:bottom w:val="none" w:sz="0" w:space="0" w:color="auto"/>
                <w:right w:val="none" w:sz="0" w:space="0" w:color="auto"/>
              </w:divBdr>
            </w:div>
          </w:divsChild>
        </w:div>
        <w:div w:id="1937714127">
          <w:marLeft w:val="0"/>
          <w:marRight w:val="0"/>
          <w:marTop w:val="0"/>
          <w:marBottom w:val="0"/>
          <w:divBdr>
            <w:top w:val="none" w:sz="0" w:space="0" w:color="auto"/>
            <w:left w:val="none" w:sz="0" w:space="0" w:color="auto"/>
            <w:bottom w:val="none" w:sz="0" w:space="0" w:color="auto"/>
            <w:right w:val="none" w:sz="0" w:space="0" w:color="auto"/>
          </w:divBdr>
          <w:divsChild>
            <w:div w:id="1424492661">
              <w:marLeft w:val="0"/>
              <w:marRight w:val="0"/>
              <w:marTop w:val="0"/>
              <w:marBottom w:val="0"/>
              <w:divBdr>
                <w:top w:val="none" w:sz="0" w:space="0" w:color="auto"/>
                <w:left w:val="none" w:sz="0" w:space="0" w:color="auto"/>
                <w:bottom w:val="none" w:sz="0" w:space="0" w:color="auto"/>
                <w:right w:val="none" w:sz="0" w:space="0" w:color="auto"/>
              </w:divBdr>
            </w:div>
          </w:divsChild>
        </w:div>
        <w:div w:id="2086485530">
          <w:marLeft w:val="0"/>
          <w:marRight w:val="0"/>
          <w:marTop w:val="0"/>
          <w:marBottom w:val="0"/>
          <w:divBdr>
            <w:top w:val="none" w:sz="0" w:space="0" w:color="auto"/>
            <w:left w:val="none" w:sz="0" w:space="0" w:color="auto"/>
            <w:bottom w:val="none" w:sz="0" w:space="0" w:color="auto"/>
            <w:right w:val="none" w:sz="0" w:space="0" w:color="auto"/>
          </w:divBdr>
          <w:divsChild>
            <w:div w:id="1169248211">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717924803">
      <w:bodyDiv w:val="1"/>
      <w:marLeft w:val="0"/>
      <w:marRight w:val="0"/>
      <w:marTop w:val="0"/>
      <w:marBottom w:val="0"/>
      <w:divBdr>
        <w:top w:val="none" w:sz="0" w:space="0" w:color="auto"/>
        <w:left w:val="none" w:sz="0" w:space="0" w:color="auto"/>
        <w:bottom w:val="none" w:sz="0" w:space="0" w:color="auto"/>
        <w:right w:val="none" w:sz="0" w:space="0" w:color="auto"/>
      </w:divBdr>
      <w:divsChild>
        <w:div w:id="1628509919">
          <w:marLeft w:val="0"/>
          <w:marRight w:val="0"/>
          <w:marTop w:val="0"/>
          <w:marBottom w:val="0"/>
          <w:divBdr>
            <w:top w:val="none" w:sz="0" w:space="0" w:color="auto"/>
            <w:left w:val="none" w:sz="0" w:space="0" w:color="auto"/>
            <w:bottom w:val="none" w:sz="0" w:space="0" w:color="auto"/>
            <w:right w:val="none" w:sz="0" w:space="0" w:color="auto"/>
          </w:divBdr>
          <w:divsChild>
            <w:div w:id="1831212560">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840001060">
      <w:bodyDiv w:val="1"/>
      <w:marLeft w:val="0"/>
      <w:marRight w:val="0"/>
      <w:marTop w:val="0"/>
      <w:marBottom w:val="0"/>
      <w:divBdr>
        <w:top w:val="none" w:sz="0" w:space="0" w:color="auto"/>
        <w:left w:val="none" w:sz="0" w:space="0" w:color="auto"/>
        <w:bottom w:val="none" w:sz="0" w:space="0" w:color="auto"/>
        <w:right w:val="none" w:sz="0" w:space="0" w:color="auto"/>
      </w:divBdr>
      <w:divsChild>
        <w:div w:id="1015107926">
          <w:marLeft w:val="0"/>
          <w:marRight w:val="0"/>
          <w:marTop w:val="0"/>
          <w:marBottom w:val="0"/>
          <w:divBdr>
            <w:top w:val="none" w:sz="0" w:space="0" w:color="auto"/>
            <w:left w:val="none" w:sz="0" w:space="0" w:color="auto"/>
            <w:bottom w:val="none" w:sz="0" w:space="0" w:color="auto"/>
            <w:right w:val="none" w:sz="0" w:space="0" w:color="auto"/>
          </w:divBdr>
          <w:divsChild>
            <w:div w:id="330791929">
              <w:marLeft w:val="0"/>
              <w:marRight w:val="0"/>
              <w:marTop w:val="0"/>
              <w:marBottom w:val="0"/>
              <w:divBdr>
                <w:top w:val="none" w:sz="0" w:space="0" w:color="auto"/>
                <w:left w:val="none" w:sz="0" w:space="0" w:color="auto"/>
                <w:bottom w:val="none" w:sz="0" w:space="0" w:color="auto"/>
                <w:right w:val="none" w:sz="0" w:space="0" w:color="auto"/>
              </w:divBdr>
            </w:div>
          </w:divsChild>
        </w:div>
      </w:divsChild>
    </w:div>
    <w:div w:id="1931115323">
      <w:bodyDiv w:val="1"/>
      <w:marLeft w:val="0"/>
      <w:marRight w:val="0"/>
      <w:marTop w:val="0"/>
      <w:marBottom w:val="0"/>
      <w:divBdr>
        <w:top w:val="none" w:sz="0" w:space="0" w:color="auto"/>
        <w:left w:val="none" w:sz="0" w:space="0" w:color="auto"/>
        <w:bottom w:val="none" w:sz="0" w:space="0" w:color="auto"/>
        <w:right w:val="none" w:sz="0" w:space="0" w:color="auto"/>
      </w:divBdr>
      <w:divsChild>
        <w:div w:id="2121953277">
          <w:marLeft w:val="0"/>
          <w:marRight w:val="0"/>
          <w:marTop w:val="0"/>
          <w:marBottom w:val="0"/>
          <w:divBdr>
            <w:top w:val="none" w:sz="0" w:space="0" w:color="auto"/>
            <w:left w:val="none" w:sz="0" w:space="0" w:color="auto"/>
            <w:bottom w:val="none" w:sz="0" w:space="0" w:color="auto"/>
            <w:right w:val="none" w:sz="0" w:space="0" w:color="auto"/>
          </w:divBdr>
          <w:divsChild>
            <w:div w:id="381910248">
              <w:marLeft w:val="0"/>
              <w:marRight w:val="0"/>
              <w:marTop w:val="0"/>
              <w:marBottom w:val="0"/>
              <w:divBdr>
                <w:top w:val="none" w:sz="0" w:space="0" w:color="auto"/>
                <w:left w:val="none" w:sz="0" w:space="0" w:color="auto"/>
                <w:bottom w:val="none" w:sz="0" w:space="0" w:color="auto"/>
                <w:right w:val="none" w:sz="0" w:space="0" w:color="auto"/>
              </w:divBdr>
              <w:divsChild>
                <w:div w:id="1516187618">
                  <w:marLeft w:val="0"/>
                  <w:marRight w:val="0"/>
                  <w:marTop w:val="0"/>
                  <w:marBottom w:val="0"/>
                  <w:divBdr>
                    <w:top w:val="none" w:sz="0" w:space="0" w:color="auto"/>
                    <w:left w:val="none" w:sz="0" w:space="0" w:color="auto"/>
                    <w:bottom w:val="none" w:sz="0" w:space="0" w:color="auto"/>
                    <w:right w:val="none" w:sz="0" w:space="0" w:color="auto"/>
                  </w:divBdr>
                  <w:divsChild>
                    <w:div w:id="674574712">
                      <w:marLeft w:val="0"/>
                      <w:marRight w:val="0"/>
                      <w:marTop w:val="0"/>
                      <w:marBottom w:val="0"/>
                      <w:divBdr>
                        <w:top w:val="none" w:sz="0" w:space="0" w:color="auto"/>
                        <w:left w:val="none" w:sz="0" w:space="0" w:color="auto"/>
                        <w:bottom w:val="none" w:sz="0" w:space="0" w:color="auto"/>
                        <w:right w:val="none" w:sz="0" w:space="0" w:color="auto"/>
                      </w:divBdr>
                      <w:divsChild>
                        <w:div w:id="37628575">
                          <w:marLeft w:val="0"/>
                          <w:marRight w:val="0"/>
                          <w:marTop w:val="0"/>
                          <w:marBottom w:val="0"/>
                          <w:divBdr>
                            <w:top w:val="none" w:sz="0" w:space="0" w:color="auto"/>
                            <w:left w:val="none" w:sz="0" w:space="0" w:color="auto"/>
                            <w:bottom w:val="none" w:sz="0" w:space="0" w:color="auto"/>
                            <w:right w:val="none" w:sz="0" w:space="0" w:color="auto"/>
                          </w:divBdr>
                          <w:divsChild>
                            <w:div w:id="179123534">
                              <w:marLeft w:val="0"/>
                              <w:marRight w:val="0"/>
                              <w:marTop w:val="0"/>
                              <w:marBottom w:val="0"/>
                              <w:divBdr>
                                <w:top w:val="none" w:sz="0" w:space="0" w:color="auto"/>
                                <w:left w:val="none" w:sz="0" w:space="0" w:color="auto"/>
                                <w:bottom w:val="none" w:sz="0" w:space="0" w:color="auto"/>
                                <w:right w:val="none" w:sz="0" w:space="0" w:color="auto"/>
                              </w:divBdr>
                              <w:divsChild>
                                <w:div w:id="1887328025">
                                  <w:marLeft w:val="0"/>
                                  <w:marRight w:val="0"/>
                                  <w:marTop w:val="0"/>
                                  <w:marBottom w:val="0"/>
                                  <w:divBdr>
                                    <w:top w:val="none" w:sz="0" w:space="0" w:color="auto"/>
                                    <w:left w:val="none" w:sz="0" w:space="0" w:color="auto"/>
                                    <w:bottom w:val="none" w:sz="0" w:space="0" w:color="auto"/>
                                    <w:right w:val="none" w:sz="0" w:space="0" w:color="auto"/>
                                  </w:divBdr>
                                  <w:divsChild>
                                    <w:div w:id="69365200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sChild>
                </w:div>
              </w:divsChild>
            </w:div>
          </w:divsChild>
        </w:div>
      </w:divsChild>
    </w:div>
    <w:div w:id="1965647360">
      <w:bodyDiv w:val="1"/>
      <w:marLeft w:val="0"/>
      <w:marRight w:val="0"/>
      <w:marTop w:val="0"/>
      <w:marBottom w:val="0"/>
      <w:divBdr>
        <w:top w:val="none" w:sz="0" w:space="0" w:color="auto"/>
        <w:left w:val="none" w:sz="0" w:space="0" w:color="auto"/>
        <w:bottom w:val="none" w:sz="0" w:space="0" w:color="auto"/>
        <w:right w:val="none" w:sz="0" w:space="0" w:color="auto"/>
      </w:divBdr>
      <w:divsChild>
        <w:div w:id="43023394">
          <w:marLeft w:val="0"/>
          <w:marRight w:val="0"/>
          <w:marTop w:val="0"/>
          <w:marBottom w:val="0"/>
          <w:divBdr>
            <w:top w:val="none" w:sz="0" w:space="0" w:color="auto"/>
            <w:left w:val="none" w:sz="0" w:space="0" w:color="auto"/>
            <w:bottom w:val="none" w:sz="0" w:space="0" w:color="auto"/>
            <w:right w:val="none" w:sz="0" w:space="0" w:color="auto"/>
          </w:divBdr>
          <w:divsChild>
            <w:div w:id="1825781367">
              <w:marLeft w:val="0"/>
              <w:marRight w:val="0"/>
              <w:marTop w:val="0"/>
              <w:marBottom w:val="0"/>
              <w:divBdr>
                <w:top w:val="none" w:sz="0" w:space="0" w:color="auto"/>
                <w:left w:val="none" w:sz="0" w:space="0" w:color="auto"/>
                <w:bottom w:val="none" w:sz="0" w:space="0" w:color="auto"/>
                <w:right w:val="none" w:sz="0" w:space="0" w:color="auto"/>
              </w:divBdr>
            </w:div>
          </w:divsChild>
        </w:div>
        <w:div w:id="281114609">
          <w:marLeft w:val="0"/>
          <w:marRight w:val="0"/>
          <w:marTop w:val="0"/>
          <w:marBottom w:val="0"/>
          <w:divBdr>
            <w:top w:val="none" w:sz="0" w:space="0" w:color="auto"/>
            <w:left w:val="none" w:sz="0" w:space="0" w:color="auto"/>
            <w:bottom w:val="none" w:sz="0" w:space="0" w:color="auto"/>
            <w:right w:val="none" w:sz="0" w:space="0" w:color="auto"/>
          </w:divBdr>
          <w:divsChild>
            <w:div w:id="827793200">
              <w:marLeft w:val="0"/>
              <w:marRight w:val="0"/>
              <w:marTop w:val="0"/>
              <w:marBottom w:val="0"/>
              <w:divBdr>
                <w:top w:val="none" w:sz="0" w:space="0" w:color="auto"/>
                <w:left w:val="none" w:sz="0" w:space="0" w:color="auto"/>
                <w:bottom w:val="none" w:sz="0" w:space="0" w:color="auto"/>
                <w:right w:val="none" w:sz="0" w:space="0" w:color="auto"/>
              </w:divBdr>
            </w:div>
          </w:divsChild>
        </w:div>
        <w:div w:id="1001473259">
          <w:marLeft w:val="0"/>
          <w:marRight w:val="0"/>
          <w:marTop w:val="0"/>
          <w:marBottom w:val="0"/>
          <w:divBdr>
            <w:top w:val="none" w:sz="0" w:space="0" w:color="auto"/>
            <w:left w:val="none" w:sz="0" w:space="0" w:color="auto"/>
            <w:bottom w:val="none" w:sz="0" w:space="0" w:color="auto"/>
            <w:right w:val="none" w:sz="0" w:space="0" w:color="auto"/>
          </w:divBdr>
          <w:divsChild>
            <w:div w:id="139862651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hyperlink" Target="https://www.mheducation.com/highered/product/principles-corporate-finance-brealey/M9781260565553.html" TargetMode="External"/><Relationship Id="rId18" Type="http://schemas.openxmlformats.org/officeDocument/2006/relationships/hyperlink" Target="https://www.mheducation.com/highered/product/essentials-corporate-finance-ross/M9781260571356.html" TargetMode="External"/><Relationship Id="rId26" Type="http://schemas.openxmlformats.org/officeDocument/2006/relationships/hyperlink" Target="https://papers.ssrn.com/sol3/papers.cfm?abstract_id=100109" TargetMode="External"/><Relationship Id="rId39" Type="http://schemas.openxmlformats.org/officeDocument/2006/relationships/chart" Target="charts/chart4.xml"/><Relationship Id="rId21" Type="http://schemas.openxmlformats.org/officeDocument/2006/relationships/hyperlink" Target="https://doi.org/10.1016/S0272-6963(03)00008-0" TargetMode="External"/><Relationship Id="rId34" Type="http://schemas.openxmlformats.org/officeDocument/2006/relationships/hyperlink" Target="https://www.oecd.org/tax/beps/oecd-g20-inclusive-framework-on-beps-progress-report-2019-2020.pdf" TargetMode="External"/><Relationship Id="rId42" Type="http://schemas.openxmlformats.org/officeDocument/2006/relationships/theme" Target="theme/theme1.xml"/><Relationship Id="rId7" Type="http://schemas.openxmlformats.org/officeDocument/2006/relationships/endnotes" Target="endnotes.xml"/><Relationship Id="rId2" Type="http://schemas.openxmlformats.org/officeDocument/2006/relationships/numbering" Target="numbering.xml"/><Relationship Id="rId16" Type="http://schemas.openxmlformats.org/officeDocument/2006/relationships/hyperlink" Target="https://global.oup.com/academic/product/business-ethics-9780198864981" TargetMode="External"/><Relationship Id="rId20" Type="http://schemas.openxmlformats.org/officeDocument/2006/relationships/hyperlink" Target="https://onlinelibrary.wiley.com/doi/10.1111/1468-5957.00008" TargetMode="External"/><Relationship Id="rId29" Type="http://schemas.openxmlformats.org/officeDocument/2006/relationships/hyperlink" Target="https://www.mheducation.com/highered/product/principles-corporate-finance-brealey/M9781264101573.html" TargetMode="External"/><Relationship Id="rId41" Type="http://schemas.openxmlformats.org/officeDocument/2006/relationships/fontTable" Target="fontTable.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hyperlink" Target="https://www.pearson.com/en-gb/subject-catalog/p/corporate-financial-management/P200000006468" TargetMode="External"/><Relationship Id="rId24" Type="http://schemas.openxmlformats.org/officeDocument/2006/relationships/hyperlink" Target="https://doi.org/10.1093/rfs/10.3.661" TargetMode="External"/><Relationship Id="rId32" Type="http://schemas.openxmlformats.org/officeDocument/2006/relationships/hyperlink" Target="https://onlinelibrary.wiley.com/doi/10.1111/1468-5957.00008" TargetMode="External"/><Relationship Id="rId37" Type="http://schemas.openxmlformats.org/officeDocument/2006/relationships/chart" Target="charts/chart2.xml"/><Relationship Id="rId40"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hyperlink" Target="https://www.cengage.com/c/financial-management-theory-and-practice-16e-brigham/" TargetMode="External"/><Relationship Id="rId23" Type="http://schemas.openxmlformats.org/officeDocument/2006/relationships/hyperlink" Target="https://doi.org/10.1108/19355181199500009" TargetMode="External"/><Relationship Id="rId28" Type="http://schemas.openxmlformats.org/officeDocument/2006/relationships/hyperlink" Target="https://www.pearson.com/en-gb/subject-catalog/p/accounting-and-finance-for-non-specialists/P200000006482" TargetMode="External"/><Relationship Id="rId36" Type="http://schemas.openxmlformats.org/officeDocument/2006/relationships/chart" Target="charts/chart1.xml"/><Relationship Id="rId10" Type="http://schemas.openxmlformats.org/officeDocument/2006/relationships/hyperlink" Target="https://onlinelibrary.wiley.com/doi/10.1111/j.1540-6261.1968.tb00843.x" TargetMode="External"/><Relationship Id="rId19" Type="http://schemas.openxmlformats.org/officeDocument/2006/relationships/hyperlink" Target="https://www.pearson.com/en-gb/subject-catalog/p/corporate-financial-management/P200000006468" TargetMode="External"/><Relationship Id="rId31" Type="http://schemas.openxmlformats.org/officeDocument/2006/relationships/hyperlink" Target="https://www.wiley.com/en-us/Valuation%3A+Measuring+and+Managing+the+Value+of+Companies%2C+6th+Edition-p-9781118873651"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mheducation.com/highered/product/principles-corporate-finance-brealey/M9781264101573.html" TargetMode="External"/><Relationship Id="rId22" Type="http://schemas.openxmlformats.org/officeDocument/2006/relationships/hyperlink" Target="https://www.mheducation.co.uk/financial-markets-and-corporate-strategy-9781526847720-emea" TargetMode="External"/><Relationship Id="rId27" Type="http://schemas.openxmlformats.org/officeDocument/2006/relationships/hyperlink" Target="https://www.pearson.com/en-gb/subject-catalog/p/corporate-financial-management/P200000006468" TargetMode="External"/><Relationship Id="rId30" Type="http://schemas.openxmlformats.org/officeDocument/2006/relationships/hyperlink" Target="https://www.cengage.com/c/financial-management-theory-and-practice-16e-brigham/" TargetMode="External"/><Relationship Id="rId35" Type="http://schemas.openxmlformats.org/officeDocument/2006/relationships/hyperlink" Target="https://www.mheducation.com/highered/product/corporate-finance-ross/M9781260565546.html" TargetMode="External"/><Relationship Id="rId8" Type="http://schemas.openxmlformats.org/officeDocument/2006/relationships/image" Target="media/image1.png"/><Relationship Id="rId3" Type="http://schemas.openxmlformats.org/officeDocument/2006/relationships/styles" Target="styles.xml"/><Relationship Id="rId12" Type="http://schemas.openxmlformats.org/officeDocument/2006/relationships/hyperlink" Target="https://www.pearson.com/en-gb/subject-catalog/p/accounting-and-finance-for-non-specialists/P200000006482" TargetMode="External"/><Relationship Id="rId17" Type="http://schemas.openxmlformats.org/officeDocument/2006/relationships/hyperlink" Target="https://onlinelibrary.wiley.com/doi/10.1111/1468-5957.00008" TargetMode="External"/><Relationship Id="rId25" Type="http://schemas.openxmlformats.org/officeDocument/2006/relationships/hyperlink" Target="https://www.mheducation.com/highered/product/corporate-finance-ross/M9781260565546.html" TargetMode="External"/><Relationship Id="rId33" Type="http://schemas.openxmlformats.org/officeDocument/2006/relationships/hyperlink" Target="https://www.mheducation.co.uk/financial-markets-and-corporate-strategy-9781526847720-emea" TargetMode="External"/><Relationship Id="rId38" Type="http://schemas.openxmlformats.org/officeDocument/2006/relationships/chart" Target="charts/chart3.xml"/></Relationships>
</file>

<file path=word/charts/_rels/chart1.xml.rels><?xml version="1.0" encoding="UTF-8" standalone="yes"?>
<Relationships xmlns="http://schemas.openxmlformats.org/package/2006/relationships"><Relationship Id="rId3" Type="http://schemas.openxmlformats.org/officeDocument/2006/relationships/package" Target="../embeddings/Microsoft_Excel_Worksheet1.xlsx"/><Relationship Id="rId2" Type="http://schemas.microsoft.com/office/2011/relationships/chartColorStyle" Target="colors1.xml"/><Relationship Id="rId1" Type="http://schemas.microsoft.com/office/2011/relationships/chartStyle" Target="style1.xml"/></Relationships>
</file>

<file path=word/charts/_rels/chart2.xml.rels><?xml version="1.0" encoding="UTF-8" standalone="yes"?>
<Relationships xmlns="http://schemas.openxmlformats.org/package/2006/relationships"><Relationship Id="rId3" Type="http://schemas.openxmlformats.org/officeDocument/2006/relationships/package" Target="../embeddings/Microsoft_Excel_Worksheet2.xlsx"/><Relationship Id="rId2" Type="http://schemas.microsoft.com/office/2011/relationships/chartColorStyle" Target="colors2.xml"/><Relationship Id="rId1" Type="http://schemas.microsoft.com/office/2011/relationships/chartStyle" Target="style2.xml"/></Relationships>
</file>

<file path=word/charts/_rels/chart3.xml.rels><?xml version="1.0" encoding="UTF-8" standalone="yes"?>
<Relationships xmlns="http://schemas.openxmlformats.org/package/2006/relationships"><Relationship Id="rId3" Type="http://schemas.openxmlformats.org/officeDocument/2006/relationships/package" Target="../embeddings/Microsoft_Excel_Worksheet3.xlsx"/><Relationship Id="rId2" Type="http://schemas.microsoft.com/office/2011/relationships/chartColorStyle" Target="colors3.xml"/><Relationship Id="rId1" Type="http://schemas.microsoft.com/office/2011/relationships/chartStyle" Target="style3.xml"/></Relationships>
</file>

<file path=word/charts/_rels/chart4.xml.rels><?xml version="1.0" encoding="UTF-8" standalone="yes"?>
<Relationships xmlns="http://schemas.openxmlformats.org/package/2006/relationships"><Relationship Id="rId3" Type="http://schemas.openxmlformats.org/officeDocument/2006/relationships/package" Target="../embeddings/Microsoft_Excel_Worksheet4.xlsx"/><Relationship Id="rId2" Type="http://schemas.microsoft.com/office/2011/relationships/chartColorStyle" Target="colors4.xml"/><Relationship Id="rId1" Type="http://schemas.microsoft.com/office/2011/relationships/chartStyle" Target="style4.xml"/></Relationships>
</file>

<file path=word/charts/chart1.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Profitability</a:t>
            </a:r>
            <a:r>
              <a:rPr lang="en-GB" baseline="0"/>
              <a:t> Trends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ndard"/>
        <c:varyColors val="0"/>
        <c:ser>
          <c:idx val="0"/>
          <c:order val="0"/>
          <c:tx>
            <c:strRef>
              <c:f>Sheet1!$B$1</c:f>
              <c:strCache>
                <c:ptCount val="1"/>
                <c:pt idx="0">
                  <c:v>ROA(%)</c:v>
                </c:pt>
              </c:strCache>
            </c:strRef>
          </c:tx>
          <c:spPr>
            <a:ln w="28575" cap="rnd">
              <a:solidFill>
                <a:schemeClr val="accent1"/>
              </a:solidFill>
              <a:round/>
            </a:ln>
            <a:effectLst/>
          </c:spPr>
          <c:marker>
            <c:symbol val="none"/>
          </c:marker>
          <c:dLbls>
            <c:delete val="1"/>
          </c:dLbls>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7.6</c:v>
                </c:pt>
                <c:pt idx="1">
                  <c:v>3.1</c:v>
                </c:pt>
                <c:pt idx="2">
                  <c:v>0.1</c:v>
                </c:pt>
                <c:pt idx="3">
                  <c:v>-27.6</c:v>
                </c:pt>
                <c:pt idx="4">
                  <c:v>-5.7</c:v>
                </c:pt>
              </c:numCache>
            </c:numRef>
          </c:val>
          <c:smooth val="0"/>
          <c:extLst xmlns:c16r2="http://schemas.microsoft.com/office/drawing/2015/06/chart">
            <c:ext xmlns:c16="http://schemas.microsoft.com/office/drawing/2014/chart" uri="{C3380CC4-5D6E-409C-BE32-E72D297353CC}">
              <c16:uniqueId val="{00000000-5378-4E7E-AD46-F1A5253B6C37}"/>
            </c:ext>
          </c:extLst>
        </c:ser>
        <c:ser>
          <c:idx val="1"/>
          <c:order val="1"/>
          <c:tx>
            <c:strRef>
              <c:f>Sheet1!$C$1</c:f>
              <c:strCache>
                <c:ptCount val="1"/>
                <c:pt idx="0">
                  <c:v>ROE(%)</c:v>
                </c:pt>
              </c:strCache>
            </c:strRef>
          </c:tx>
          <c:spPr>
            <a:ln w="28575" cap="rnd">
              <a:solidFill>
                <a:schemeClr val="accent2"/>
              </a:solidFill>
              <a:round/>
            </a:ln>
            <a:effectLst/>
          </c:spPr>
          <c:marker>
            <c:symbol val="none"/>
          </c:marker>
          <c:dLbls>
            <c:spPr>
              <a:noFill/>
              <a:ln>
                <a:noFill/>
              </a:ln>
              <a:effectLst/>
            </c:spPr>
            <c:txPr>
              <a:bodyPr rot="0" spcFirstLastPara="1" vertOverflow="ellipsis" vert="horz" wrap="square" lIns="38100" tIns="19050" rIns="38100" bIns="19050" anchor="ctr" anchorCtr="1">
                <a:spAutoFit/>
              </a:bodyPr>
              <a:lstStyle/>
              <a:p>
                <a:pPr>
                  <a:defRPr sz="900" b="0" i="0" u="none" strike="noStrike" kern="1200" baseline="0">
                    <a:solidFill>
                      <a:schemeClr val="tx1">
                        <a:lumMod val="75000"/>
                        <a:lumOff val="25000"/>
                      </a:schemeClr>
                    </a:solidFill>
                    <a:latin typeface="+mn-lt"/>
                    <a:ea typeface="+mn-ea"/>
                    <a:cs typeface="+mn-cs"/>
                  </a:defRPr>
                </a:pPr>
                <a:endParaRPr lang="en-US"/>
              </a:p>
            </c:txPr>
            <c:dLblPos val="t"/>
            <c:showLegendKey val="0"/>
            <c:showVal val="1"/>
            <c:showCatName val="0"/>
            <c:showSerName val="0"/>
            <c:showPercent val="0"/>
            <c:showBubbleSize val="0"/>
            <c:showLeaderLines val="0"/>
            <c:extLst xmlns:c16r2="http://schemas.microsoft.com/office/drawing/2015/06/chart">
              <c:ext xmlns:c15="http://schemas.microsoft.com/office/drawing/2012/chart" uri="{CE6537A1-D6FC-4f65-9D91-7224C49458BB}">
                <c15:showLeaderLines val="1"/>
                <c15:leaderLines>
                  <c:spPr>
                    <a:ln w="9525" cap="flat" cmpd="sng" algn="ctr">
                      <a:solidFill>
                        <a:schemeClr val="tx1">
                          <a:lumMod val="35000"/>
                          <a:lumOff val="65000"/>
                        </a:schemeClr>
                      </a:solidFill>
                      <a:round/>
                    </a:ln>
                    <a:effectLst/>
                  </c:spPr>
                </c15:leaderLines>
              </c:ext>
            </c:extLst>
          </c:dLbls>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12.3</c:v>
                </c:pt>
                <c:pt idx="1">
                  <c:v>1.9</c:v>
                </c:pt>
                <c:pt idx="2">
                  <c:v>0.2</c:v>
                </c:pt>
                <c:pt idx="3">
                  <c:v>-54.9</c:v>
                </c:pt>
                <c:pt idx="4">
                  <c:v>-15.7</c:v>
                </c:pt>
              </c:numCache>
            </c:numRef>
          </c:val>
          <c:smooth val="0"/>
          <c:extLst xmlns:c16r2="http://schemas.microsoft.com/office/drawing/2015/06/chart">
            <c:ext xmlns:c16="http://schemas.microsoft.com/office/drawing/2014/chart" uri="{C3380CC4-5D6E-409C-BE32-E72D297353CC}">
              <c16:uniqueId val="{00000001-5378-4E7E-AD46-F1A5253B6C37}"/>
            </c:ext>
          </c:extLst>
        </c:ser>
        <c:dLbls>
          <c:dLblPos val="t"/>
          <c:showLegendKey val="0"/>
          <c:showVal val="1"/>
          <c:showCatName val="0"/>
          <c:showSerName val="0"/>
          <c:showPercent val="0"/>
          <c:showBubbleSize val="0"/>
        </c:dLbls>
        <c:smooth val="0"/>
        <c:axId val="1519894672"/>
        <c:axId val="1519897392"/>
      </c:lineChart>
      <c:catAx>
        <c:axId val="1519894672"/>
        <c:scaling>
          <c:orientation val="minMax"/>
        </c:scaling>
        <c:delete val="0"/>
        <c:axPos val="b"/>
        <c:numFmt formatCode="General" sourceLinked="1"/>
        <c:majorTickMark val="out"/>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97392"/>
        <c:crosses val="autoZero"/>
        <c:auto val="1"/>
        <c:lblAlgn val="ctr"/>
        <c:lblOffset val="100"/>
        <c:noMultiLvlLbl val="0"/>
      </c:catAx>
      <c:valAx>
        <c:axId val="1519897392"/>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out"/>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94672"/>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2.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Liquidity</a:t>
            </a:r>
            <a:r>
              <a:rPr lang="en-GB" baseline="0"/>
              <a:t> Trends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barChart>
        <c:barDir val="bar"/>
        <c:grouping val="clustered"/>
        <c:varyColors val="0"/>
        <c:ser>
          <c:idx val="0"/>
          <c:order val="0"/>
          <c:tx>
            <c:strRef>
              <c:f>Sheet1!$B$1</c:f>
              <c:strCache>
                <c:ptCount val="1"/>
                <c:pt idx="0">
                  <c:v>Current Ratio</c:v>
                </c:pt>
              </c:strCache>
            </c:strRef>
          </c:tx>
          <c:spPr>
            <a:solidFill>
              <a:schemeClr val="accent1"/>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1.82</c:v>
                </c:pt>
                <c:pt idx="1">
                  <c:v>1.55</c:v>
                </c:pt>
                <c:pt idx="2">
                  <c:v>1.56</c:v>
                </c:pt>
                <c:pt idx="3">
                  <c:v>1.61</c:v>
                </c:pt>
                <c:pt idx="4">
                  <c:v>1.53</c:v>
                </c:pt>
              </c:numCache>
            </c:numRef>
          </c:val>
          <c:extLst xmlns:c16r2="http://schemas.microsoft.com/office/drawing/2015/06/chart">
            <c:ext xmlns:c16="http://schemas.microsoft.com/office/drawing/2014/chart" uri="{C3380CC4-5D6E-409C-BE32-E72D297353CC}">
              <c16:uniqueId val="{00000000-6C01-4122-BD8C-C391C03D5182}"/>
            </c:ext>
          </c:extLst>
        </c:ser>
        <c:ser>
          <c:idx val="1"/>
          <c:order val="1"/>
          <c:tx>
            <c:strRef>
              <c:f>Sheet1!$C$1</c:f>
              <c:strCache>
                <c:ptCount val="1"/>
                <c:pt idx="0">
                  <c:v>Quick Ratio</c:v>
                </c:pt>
              </c:strCache>
            </c:strRef>
          </c:tx>
          <c:spPr>
            <a:solidFill>
              <a:schemeClr val="accent2"/>
            </a:solidFill>
            <a:ln>
              <a:noFill/>
            </a:ln>
            <a:effectLst/>
          </c:spPr>
          <c:invertIfNegative val="0"/>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1.1200000000000001</c:v>
                </c:pt>
                <c:pt idx="1">
                  <c:v>1.01</c:v>
                </c:pt>
                <c:pt idx="2">
                  <c:v>0.91</c:v>
                </c:pt>
                <c:pt idx="3">
                  <c:v>0.96</c:v>
                </c:pt>
                <c:pt idx="4">
                  <c:v>0.87</c:v>
                </c:pt>
              </c:numCache>
            </c:numRef>
          </c:val>
          <c:extLst xmlns:c16r2="http://schemas.microsoft.com/office/drawing/2015/06/chart">
            <c:ext xmlns:c16="http://schemas.microsoft.com/office/drawing/2014/chart" uri="{C3380CC4-5D6E-409C-BE32-E72D297353CC}">
              <c16:uniqueId val="{00000001-6C01-4122-BD8C-C391C03D5182}"/>
            </c:ext>
          </c:extLst>
        </c:ser>
        <c:dLbls>
          <c:showLegendKey val="0"/>
          <c:showVal val="0"/>
          <c:showCatName val="0"/>
          <c:showSerName val="0"/>
          <c:showPercent val="0"/>
          <c:showBubbleSize val="0"/>
        </c:dLbls>
        <c:gapWidth val="182"/>
        <c:axId val="1519893040"/>
        <c:axId val="1519895216"/>
      </c:barChart>
      <c:catAx>
        <c:axId val="1519893040"/>
        <c:scaling>
          <c:orientation val="minMax"/>
        </c:scaling>
        <c:delete val="0"/>
        <c:axPos val="l"/>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95216"/>
        <c:crosses val="autoZero"/>
        <c:auto val="1"/>
        <c:lblAlgn val="ctr"/>
        <c:lblOffset val="100"/>
        <c:noMultiLvlLbl val="0"/>
      </c:catAx>
      <c:valAx>
        <c:axId val="1519895216"/>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93040"/>
        <c:crosses val="autoZero"/>
        <c:crossBetween val="between"/>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3.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GB"/>
              <a:t>Efficiency</a:t>
            </a:r>
            <a:r>
              <a:rPr lang="en-GB" baseline="0"/>
              <a:t> Ratios</a:t>
            </a:r>
            <a:endParaRPr lang="en-GB"/>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lineChart>
        <c:grouping val="stacked"/>
        <c:varyColors val="0"/>
        <c:ser>
          <c:idx val="0"/>
          <c:order val="0"/>
          <c:tx>
            <c:strRef>
              <c:f>Sheet1!$B$1</c:f>
              <c:strCache>
                <c:ptCount val="1"/>
                <c:pt idx="0">
                  <c:v>Inventory Turnover(x)</c:v>
                </c:pt>
              </c:strCache>
            </c:strRef>
          </c:tx>
          <c:spPr>
            <a:ln w="28575" cap="rnd">
              <a:solidFill>
                <a:schemeClr val="accent1"/>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Sheet1!$B$2:$B$6</c:f>
              <c:numCache>
                <c:formatCode>General</c:formatCode>
                <c:ptCount val="5"/>
                <c:pt idx="0">
                  <c:v>3.64</c:v>
                </c:pt>
                <c:pt idx="1">
                  <c:v>4.4800000000000004</c:v>
                </c:pt>
                <c:pt idx="2">
                  <c:v>2.79</c:v>
                </c:pt>
                <c:pt idx="3">
                  <c:v>3.63</c:v>
                </c:pt>
                <c:pt idx="4">
                  <c:v>3.54</c:v>
                </c:pt>
              </c:numCache>
            </c:numRef>
          </c:val>
          <c:smooth val="0"/>
          <c:extLst xmlns:c16r2="http://schemas.microsoft.com/office/drawing/2015/06/chart">
            <c:ext xmlns:c16="http://schemas.microsoft.com/office/drawing/2014/chart" uri="{C3380CC4-5D6E-409C-BE32-E72D297353CC}">
              <c16:uniqueId val="{00000000-6321-448A-ACFA-52DFADBEB005}"/>
            </c:ext>
          </c:extLst>
        </c:ser>
        <c:ser>
          <c:idx val="1"/>
          <c:order val="1"/>
          <c:tx>
            <c:strRef>
              <c:f>Sheet1!$C$1</c:f>
              <c:strCache>
                <c:ptCount val="1"/>
                <c:pt idx="0">
                  <c:v>Receivables Turnover(x)</c:v>
                </c:pt>
              </c:strCache>
            </c:strRef>
          </c:tx>
          <c:spPr>
            <a:ln w="28575" cap="rnd">
              <a:solidFill>
                <a:schemeClr val="accent2"/>
              </a:solidFill>
              <a:round/>
            </a:ln>
            <a:effectLst/>
          </c:spPr>
          <c:marker>
            <c:symbol val="none"/>
          </c:marker>
          <c:cat>
            <c:numRef>
              <c:f>Sheet1!$A$2:$A$6</c:f>
              <c:numCache>
                <c:formatCode>General</c:formatCode>
                <c:ptCount val="5"/>
                <c:pt idx="0">
                  <c:v>2020</c:v>
                </c:pt>
                <c:pt idx="1">
                  <c:v>2021</c:v>
                </c:pt>
                <c:pt idx="2">
                  <c:v>2022</c:v>
                </c:pt>
                <c:pt idx="3">
                  <c:v>2023</c:v>
                </c:pt>
                <c:pt idx="4">
                  <c:v>2024</c:v>
                </c:pt>
              </c:numCache>
            </c:numRef>
          </c:cat>
          <c:val>
            <c:numRef>
              <c:f>Sheet1!$C$2:$C$6</c:f>
              <c:numCache>
                <c:formatCode>General</c:formatCode>
                <c:ptCount val="5"/>
                <c:pt idx="0">
                  <c:v>4.75</c:v>
                </c:pt>
                <c:pt idx="1">
                  <c:v>4.67</c:v>
                </c:pt>
                <c:pt idx="2">
                  <c:v>4.83</c:v>
                </c:pt>
                <c:pt idx="3">
                  <c:v>3.73</c:v>
                </c:pt>
              </c:numCache>
            </c:numRef>
          </c:val>
          <c:smooth val="0"/>
          <c:extLst xmlns:c16r2="http://schemas.microsoft.com/office/drawing/2015/06/chart">
            <c:ext xmlns:c16="http://schemas.microsoft.com/office/drawing/2014/chart" uri="{C3380CC4-5D6E-409C-BE32-E72D297353CC}">
              <c16:uniqueId val="{00000001-6321-448A-ACFA-52DFADBEB005}"/>
            </c:ext>
          </c:extLst>
        </c:ser>
        <c:dLbls>
          <c:showLegendKey val="0"/>
          <c:showVal val="0"/>
          <c:showCatName val="0"/>
          <c:showSerName val="0"/>
          <c:showPercent val="0"/>
          <c:showBubbleSize val="0"/>
        </c:dLbls>
        <c:smooth val="0"/>
        <c:axId val="1519897936"/>
        <c:axId val="1519899024"/>
      </c:lineChart>
      <c:catAx>
        <c:axId val="1519897936"/>
        <c:scaling>
          <c:orientation val="minMax"/>
        </c:scaling>
        <c:delete val="0"/>
        <c:axPos val="b"/>
        <c:numFmt formatCode="General" sourceLinked="1"/>
        <c:majorTickMark val="none"/>
        <c:minorTickMark val="none"/>
        <c:tickLblPos val="nextTo"/>
        <c:spPr>
          <a:noFill/>
          <a:ln w="9525" cap="flat" cmpd="sng" algn="ctr">
            <a:solidFill>
              <a:schemeClr val="tx1">
                <a:lumMod val="15000"/>
                <a:lumOff val="8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99024"/>
        <c:crosses val="autoZero"/>
        <c:auto val="1"/>
        <c:lblAlgn val="ctr"/>
        <c:lblOffset val="100"/>
        <c:noMultiLvlLbl val="0"/>
      </c:catAx>
      <c:valAx>
        <c:axId val="1519899024"/>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a:noFill/>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97936"/>
        <c:crosses val="autoZero"/>
        <c:crossBetween val="between"/>
      </c:valAx>
      <c:spPr>
        <a:noFill/>
        <a:ln>
          <a:noFill/>
        </a:ln>
        <a:effectLst/>
      </c:spPr>
    </c:plotArea>
    <c:legend>
      <c:legendPos val="b"/>
      <c:overlay val="0"/>
      <c:spPr>
        <a:noFill/>
        <a:ln>
          <a:noFill/>
        </a:ln>
        <a:effectLst/>
      </c:spPr>
      <c:txPr>
        <a:bodyPr rot="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legend>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hart4.xml><?xml version="1.0" encoding="utf-8"?>
<c:chartSpace xmlns:c="http://schemas.openxmlformats.org/drawingml/2006/chart" xmlns:a="http://schemas.openxmlformats.org/drawingml/2006/main" xmlns:r="http://schemas.openxmlformats.org/officeDocument/2006/relationships">
  <c:date1904 val="0"/>
  <c:lang val="en-US"/>
  <c:roundedCorners val="0"/>
  <mc:AlternateContent xmlns:mc="http://schemas.openxmlformats.org/markup-compatibility/2006">
    <mc:Choice xmlns:c14="http://schemas.microsoft.com/office/drawing/2007/8/2/chart" Requires="c14">
      <c14:style val="102"/>
    </mc:Choice>
    <mc:Fallback>
      <c:style val="2"/>
    </mc:Fallback>
  </mc:AlternateContent>
  <c:chart>
    <c:title>
      <c:tx>
        <c:rich>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r>
              <a:rPr lang="en-US"/>
              <a:t>Gearing</a:t>
            </a:r>
            <a:r>
              <a:rPr lang="en-US" baseline="0"/>
              <a:t> and Interest Coverage</a:t>
            </a:r>
            <a:endParaRPr lang="en-US"/>
          </a:p>
        </c:rich>
      </c:tx>
      <c:overlay val="0"/>
      <c:spPr>
        <a:noFill/>
        <a:ln>
          <a:noFill/>
        </a:ln>
        <a:effectLst/>
      </c:spPr>
      <c:txPr>
        <a:bodyPr rot="0" spcFirstLastPara="1" vertOverflow="ellipsis" vert="horz" wrap="square" anchor="ctr" anchorCtr="1"/>
        <a:lstStyle/>
        <a:p>
          <a:pPr>
            <a:defRPr sz="1400" b="0" i="0" u="none" strike="noStrike" kern="1200" spc="0" baseline="0">
              <a:solidFill>
                <a:schemeClr val="tx1">
                  <a:lumMod val="65000"/>
                  <a:lumOff val="35000"/>
                </a:schemeClr>
              </a:solidFill>
              <a:latin typeface="+mn-lt"/>
              <a:ea typeface="+mn-ea"/>
              <a:cs typeface="+mn-cs"/>
            </a:defRPr>
          </a:pPr>
          <a:endParaRPr lang="en-US"/>
        </a:p>
      </c:txPr>
    </c:title>
    <c:autoTitleDeleted val="0"/>
    <c:plotArea>
      <c:layout/>
      <c:scatterChart>
        <c:scatterStyle val="lineMarker"/>
        <c:varyColors val="0"/>
        <c:ser>
          <c:idx val="0"/>
          <c:order val="0"/>
          <c:tx>
            <c:strRef>
              <c:f>Sheet1!$B$1</c:f>
              <c:strCache>
                <c:ptCount val="1"/>
                <c:pt idx="0">
                  <c:v>Y-Values</c:v>
                </c:pt>
              </c:strCache>
            </c:strRef>
          </c:tx>
          <c:spPr>
            <a:ln w="19050" cap="rnd">
              <a:noFill/>
              <a:round/>
            </a:ln>
            <a:effectLst/>
          </c:spPr>
          <c:marker>
            <c:symbol val="circle"/>
            <c:size val="5"/>
            <c:spPr>
              <a:solidFill>
                <a:schemeClr val="accent1"/>
              </a:solidFill>
              <a:ln w="9525">
                <a:solidFill>
                  <a:schemeClr val="accent1"/>
                </a:solidFill>
              </a:ln>
              <a:effectLst/>
            </c:spPr>
          </c:marker>
          <c:xVal>
            <c:numRef>
              <c:f>Sheet1!$A$2:$A$6</c:f>
              <c:numCache>
                <c:formatCode>General</c:formatCode>
                <c:ptCount val="5"/>
                <c:pt idx="0">
                  <c:v>0.63</c:v>
                </c:pt>
                <c:pt idx="1">
                  <c:v>0.63</c:v>
                </c:pt>
                <c:pt idx="2">
                  <c:v>0.88</c:v>
                </c:pt>
                <c:pt idx="3">
                  <c:v>0.99</c:v>
                </c:pt>
                <c:pt idx="4">
                  <c:v>1.1100000000000001</c:v>
                </c:pt>
              </c:numCache>
            </c:numRef>
          </c:xVal>
          <c:yVal>
            <c:numRef>
              <c:f>Sheet1!$B$2:$B$6</c:f>
              <c:numCache>
                <c:formatCode>General</c:formatCode>
                <c:ptCount val="5"/>
                <c:pt idx="0">
                  <c:v>2.7</c:v>
                </c:pt>
                <c:pt idx="1">
                  <c:v>41.1</c:v>
                </c:pt>
                <c:pt idx="2">
                  <c:v>7</c:v>
                </c:pt>
                <c:pt idx="3">
                  <c:v>-19.7</c:v>
                </c:pt>
                <c:pt idx="4">
                  <c:v>-4.5999999999999996</c:v>
                </c:pt>
              </c:numCache>
            </c:numRef>
          </c:yVal>
          <c:smooth val="0"/>
          <c:extLst xmlns:c16r2="http://schemas.microsoft.com/office/drawing/2015/06/chart">
            <c:ext xmlns:c16="http://schemas.microsoft.com/office/drawing/2014/chart" uri="{C3380CC4-5D6E-409C-BE32-E72D297353CC}">
              <c16:uniqueId val="{00000000-CC8E-48C5-B91C-5D5F8E501835}"/>
            </c:ext>
          </c:extLst>
        </c:ser>
        <c:dLbls>
          <c:showLegendKey val="0"/>
          <c:showVal val="0"/>
          <c:showCatName val="0"/>
          <c:showSerName val="0"/>
          <c:showPercent val="0"/>
          <c:showBubbleSize val="0"/>
        </c:dLbls>
        <c:axId val="1519886512"/>
        <c:axId val="1519888688"/>
      </c:scatterChart>
      <c:valAx>
        <c:axId val="1519886512"/>
        <c:scaling>
          <c:orientation val="minMax"/>
        </c:scaling>
        <c:delete val="0"/>
        <c:axPos val="b"/>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88688"/>
        <c:crosses val="autoZero"/>
        <c:crossBetween val="midCat"/>
      </c:valAx>
      <c:valAx>
        <c:axId val="1519888688"/>
        <c:scaling>
          <c:orientation val="minMax"/>
        </c:scaling>
        <c:delete val="0"/>
        <c:axPos val="l"/>
        <c:majorGridlines>
          <c:spPr>
            <a:ln w="9525" cap="flat" cmpd="sng" algn="ctr">
              <a:solidFill>
                <a:schemeClr val="tx1">
                  <a:lumMod val="15000"/>
                  <a:lumOff val="85000"/>
                </a:schemeClr>
              </a:solidFill>
              <a:round/>
            </a:ln>
            <a:effectLst/>
          </c:spPr>
        </c:majorGridlines>
        <c:numFmt formatCode="General" sourceLinked="1"/>
        <c:majorTickMark val="none"/>
        <c:minorTickMark val="none"/>
        <c:tickLblPos val="nextTo"/>
        <c:spPr>
          <a:noFill/>
          <a:ln w="9525" cap="flat" cmpd="sng" algn="ctr">
            <a:solidFill>
              <a:schemeClr val="tx1">
                <a:lumMod val="25000"/>
                <a:lumOff val="75000"/>
              </a:schemeClr>
            </a:solidFill>
            <a:round/>
          </a:ln>
          <a:effectLst/>
        </c:spPr>
        <c:txPr>
          <a:bodyPr rot="-60000000" spcFirstLastPara="1" vertOverflow="ellipsis" vert="horz" wrap="square" anchor="ctr" anchorCtr="1"/>
          <a:lstStyle/>
          <a:p>
            <a:pPr>
              <a:defRPr sz="900" b="0" i="0" u="none" strike="noStrike" kern="1200" baseline="0">
                <a:solidFill>
                  <a:schemeClr val="tx1">
                    <a:lumMod val="65000"/>
                    <a:lumOff val="35000"/>
                  </a:schemeClr>
                </a:solidFill>
                <a:latin typeface="+mn-lt"/>
                <a:ea typeface="+mn-ea"/>
                <a:cs typeface="+mn-cs"/>
              </a:defRPr>
            </a:pPr>
            <a:endParaRPr lang="en-US"/>
          </a:p>
        </c:txPr>
        <c:crossAx val="1519886512"/>
        <c:crosses val="autoZero"/>
        <c:crossBetween val="midCat"/>
      </c:valAx>
      <c:spPr>
        <a:noFill/>
        <a:ln>
          <a:noFill/>
        </a:ln>
        <a:effectLst/>
      </c:spPr>
    </c:plotArea>
    <c:plotVisOnly val="1"/>
    <c:dispBlanksAs val="gap"/>
    <c:showDLblsOverMax val="0"/>
    <c:extLst xmlns:c16r2="http://schemas.microsoft.com/office/drawing/2015/06/chart">
      <c:ext xmlns:c16r3="http://schemas.microsoft.com/office/drawing/2017/03/chart" uri="{56B9EC1D-385E-4148-901F-78D8002777C0}">
        <c16r3:dataDisplayOptions16>
          <c16r3:dispNaAsBlank val="1"/>
        </c16r3:dataDisplayOptions16>
      </c:ext>
    </c:extLst>
  </c:chart>
  <c:spPr>
    <a:solidFill>
      <a:schemeClr val="bg1"/>
    </a:solidFill>
    <a:ln w="9525" cap="flat" cmpd="sng" algn="ctr">
      <a:solidFill>
        <a:schemeClr val="tx1">
          <a:lumMod val="15000"/>
          <a:lumOff val="85000"/>
        </a:schemeClr>
      </a:solidFill>
      <a:round/>
    </a:ln>
    <a:effectLst/>
  </c:spPr>
  <c:txPr>
    <a:bodyPr/>
    <a:lstStyle/>
    <a:p>
      <a:pPr>
        <a:defRPr/>
      </a:pPr>
      <a:endParaRPr lang="en-US"/>
    </a:p>
  </c:txPr>
  <c:externalData r:id="rId3">
    <c:autoUpdate val="0"/>
  </c:externalData>
</c:chartSpace>
</file>

<file path=word/charts/colors1.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2.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3.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colors4.xml><?xml version="1.0" encoding="utf-8"?>
<cs:colorStyle xmlns:cs="http://schemas.microsoft.com/office/drawing/2012/chartStyle" xmlns:a="http://schemas.openxmlformats.org/drawingml/2006/main" meth="cycle" id="10">
  <a:schemeClr val="accent1"/>
  <a:schemeClr val="accent2"/>
  <a:schemeClr val="accent3"/>
  <a:schemeClr val="accent4"/>
  <a:schemeClr val="accent5"/>
  <a:schemeClr val="accent6"/>
  <cs:variation/>
  <cs:variation>
    <a:lumMod val="60000"/>
  </cs:variation>
  <cs:variation>
    <a:lumMod val="80000"/>
    <a:lumOff val="20000"/>
  </cs:variation>
  <cs:variation>
    <a:lumMod val="80000"/>
  </cs:variation>
  <cs:variation>
    <a:lumMod val="60000"/>
    <a:lumOff val="40000"/>
  </cs:variation>
  <cs:variation>
    <a:lumMod val="50000"/>
  </cs:variation>
  <cs:variation>
    <a:lumMod val="70000"/>
    <a:lumOff val="30000"/>
  </cs:variation>
  <cs:variation>
    <a:lumMod val="70000"/>
  </cs:variation>
  <cs:variation>
    <a:lumMod val="50000"/>
    <a:lumOff val="50000"/>
  </cs:variation>
</cs:colorStyle>
</file>

<file path=word/charts/style1.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2.xml><?xml version="1.0" encoding="utf-8"?>
<cs:chartStyle xmlns:cs="http://schemas.microsoft.com/office/drawing/2012/chartStyle" xmlns:a="http://schemas.openxmlformats.org/drawingml/2006/main" id="216">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3.xml><?xml version="1.0" encoding="utf-8"?>
<cs:chartStyle xmlns:cs="http://schemas.microsoft.com/office/drawing/2012/chartStyle" xmlns:a="http://schemas.openxmlformats.org/drawingml/2006/main" id="227">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15000"/>
            <a:lumOff val="8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spPr>
      <a:solidFill>
        <a:schemeClr val="phClr"/>
      </a:solidFill>
    </cs:spPr>
  </cs:dataPoint>
  <cs:dataPoint3D>
    <cs:lnRef idx="0"/>
    <cs:fillRef idx="1">
      <cs:styleClr val="auto"/>
    </cs:fillRef>
    <cs:effectRef idx="0"/>
    <cs:fontRef idx="minor">
      <a:schemeClr val="tx1"/>
    </cs:fontRef>
    <cs:spPr>
      <a:solidFill>
        <a:schemeClr val="phClr"/>
      </a:solidFill>
    </cs:spPr>
  </cs:dataPoint3D>
  <cs:dataPointLine>
    <cs:lnRef idx="0">
      <cs:styleClr val="auto"/>
    </cs:lnRef>
    <cs:fillRef idx="1"/>
    <cs:effectRef idx="0"/>
    <cs:fontRef idx="minor">
      <a:schemeClr val="tx1"/>
    </cs:fontRef>
    <cs:spPr>
      <a:ln w="28575" cap="rnd">
        <a:solidFill>
          <a:schemeClr val="phClr"/>
        </a:solidFill>
        <a:round/>
      </a:ln>
    </cs:spPr>
  </cs:dataPointLine>
  <cs:dataPointMarker>
    <cs:lnRef idx="0">
      <cs:styleClr val="auto"/>
    </cs:lnRef>
    <cs:fillRef idx="1">
      <cs:styleClr val="auto"/>
    </cs:fillRef>
    <cs:effectRef idx="0"/>
    <cs:fontRef idx="minor">
      <a:schemeClr val="tx1"/>
    </cs:fontRef>
    <cs:spPr>
      <a:solidFill>
        <a:schemeClr val="phClr"/>
      </a:solidFill>
      <a:ln w="9525">
        <a:solidFill>
          <a:schemeClr val="phClr"/>
        </a:solidFill>
      </a:ln>
    </cs:spPr>
  </cs:dataPointMarker>
  <cs:dataPointMarkerLayout symbol="circle" size="5"/>
  <cs:dataPointWireframe>
    <cs:lnRef idx="0">
      <cs:styleClr val="auto"/>
    </cs:lnRef>
    <cs:fillRef idx="1"/>
    <cs:effectRef idx="0"/>
    <cs:fontRef idx="minor">
      <a:schemeClr val="tx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dk1"/>
    </cs:fontRef>
    <cs:spPr>
      <a:solidFill>
        <a:schemeClr val="dk1">
          <a:lumMod val="65000"/>
          <a:lumOff val="35000"/>
        </a:schemeClr>
      </a:solidFill>
      <a:ln w="9525">
        <a:solidFill>
          <a:schemeClr val="tx1">
            <a:lumMod val="65000"/>
            <a:lumOff val="35000"/>
          </a:schemeClr>
        </a:solidFill>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75000"/>
            <a:lumOff val="25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dk1"/>
    </cs:fontRef>
    <cs:spPr>
      <a:solidFill>
        <a:schemeClr val="lt1"/>
      </a:solidFill>
      <a:ln w="9525">
        <a:solidFill>
          <a:schemeClr val="tx1">
            <a:lumMod val="15000"/>
            <a:lumOff val="85000"/>
          </a:schemeClr>
        </a:solidFill>
      </a:ln>
    </cs:spPr>
  </cs:upBar>
  <cs:valueAxis>
    <cs:lnRef idx="0"/>
    <cs:fillRef idx="0"/>
    <cs:effectRef idx="0"/>
    <cs:fontRef idx="minor">
      <a:schemeClr val="tx1">
        <a:lumMod val="65000"/>
        <a:lumOff val="35000"/>
      </a:schemeClr>
    </cs:fontRef>
    <cs:defRPr sz="900" kern="1200"/>
  </cs:valueAxis>
  <cs:wall>
    <cs:lnRef idx="0"/>
    <cs:fillRef idx="0"/>
    <cs:effectRef idx="0"/>
    <cs:fontRef idx="minor">
      <a:schemeClr val="tx1"/>
    </cs:fontRef>
    <cs:spPr>
      <a:noFill/>
      <a:ln>
        <a:noFill/>
      </a:ln>
    </cs:spPr>
  </cs:wall>
</cs:chartStyle>
</file>

<file path=word/charts/style4.xml><?xml version="1.0" encoding="utf-8"?>
<cs:chartStyle xmlns:cs="http://schemas.microsoft.com/office/drawing/2012/chartStyle" xmlns:a="http://schemas.openxmlformats.org/drawingml/2006/main" id="240">
  <cs:axisTitle>
    <cs:lnRef idx="0"/>
    <cs:fillRef idx="0"/>
    <cs:effectRef idx="0"/>
    <cs:fontRef idx="minor">
      <a:schemeClr val="tx1">
        <a:lumMod val="65000"/>
        <a:lumOff val="35000"/>
      </a:schemeClr>
    </cs:fontRef>
    <cs:defRPr sz="1000" kern="1200"/>
  </cs:axisTitle>
  <cs:category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categoryAxis>
  <cs:chartArea mods="allowNoFillOverride allowNoLineOverride">
    <cs:lnRef idx="0"/>
    <cs:fillRef idx="0"/>
    <cs:effectRef idx="0"/>
    <cs:fontRef idx="minor">
      <a:schemeClr val="tx1"/>
    </cs:fontRef>
    <cs:spPr>
      <a:solidFill>
        <a:schemeClr val="bg1"/>
      </a:solidFill>
      <a:ln w="9525" cap="flat" cmpd="sng" algn="ctr">
        <a:solidFill>
          <a:schemeClr val="tx1">
            <a:lumMod val="15000"/>
            <a:lumOff val="85000"/>
          </a:schemeClr>
        </a:solidFill>
        <a:round/>
      </a:ln>
    </cs:spPr>
    <cs:defRPr sz="1000" kern="1200"/>
  </cs:chartArea>
  <cs:dataLabel>
    <cs:lnRef idx="0"/>
    <cs:fillRef idx="0"/>
    <cs:effectRef idx="0"/>
    <cs:fontRef idx="minor">
      <a:schemeClr val="tx1">
        <a:lumMod val="75000"/>
        <a:lumOff val="25000"/>
      </a:schemeClr>
    </cs:fontRef>
    <cs:defRPr sz="900" kern="1200"/>
  </cs:dataLabel>
  <cs:dataLabelCallout>
    <cs:lnRef idx="0"/>
    <cs:fillRef idx="0"/>
    <cs:effectRef idx="0"/>
    <cs:fontRef idx="minor">
      <a:schemeClr val="dk1">
        <a:lumMod val="65000"/>
        <a:lumOff val="35000"/>
      </a:schemeClr>
    </cs:fontRef>
    <cs:spPr>
      <a:solidFill>
        <a:schemeClr val="lt1"/>
      </a:solidFill>
      <a:ln>
        <a:solidFill>
          <a:schemeClr val="dk1">
            <a:lumMod val="25000"/>
            <a:lumOff val="75000"/>
          </a:schemeClr>
        </a:solidFill>
      </a:ln>
    </cs:spPr>
    <cs:defRPr sz="900" kern="1200"/>
    <cs:bodyPr rot="0" spcFirstLastPara="1" vertOverflow="clip" horzOverflow="clip" vert="horz" wrap="square" lIns="36576" tIns="18288" rIns="36576" bIns="18288" anchor="ctr" anchorCtr="1">
      <a:spAutoFit/>
    </cs:bodyPr>
  </cs:dataLabelCallout>
  <cs:dataPoint>
    <cs:lnRef idx="0"/>
    <cs:fillRef idx="1">
      <cs:styleClr val="auto"/>
    </cs:fillRef>
    <cs:effectRef idx="0"/>
    <cs:fontRef idx="minor">
      <a:schemeClr val="tx1"/>
    </cs:fontRef>
  </cs:dataPoint>
  <cs:dataPoint3D>
    <cs:lnRef idx="0"/>
    <cs:fillRef idx="1">
      <cs:styleClr val="auto"/>
    </cs:fillRef>
    <cs:effectRef idx="0"/>
    <cs:fontRef idx="minor">
      <a:schemeClr val="tx1"/>
    </cs:fontRef>
  </cs:dataPoint3D>
  <cs:dataPointLine>
    <cs:lnRef idx="0">
      <cs:styleClr val="auto"/>
    </cs:lnRef>
    <cs:fillRef idx="1"/>
    <cs:effectRef idx="0"/>
    <cs:fontRef idx="minor">
      <a:schemeClr val="tx1"/>
    </cs:fontRef>
    <cs:spPr>
      <a:ln w="19050" cap="rnd">
        <a:solidFill>
          <a:schemeClr val="phClr"/>
        </a:solidFill>
        <a:round/>
      </a:ln>
    </cs:spPr>
  </cs:dataPointLine>
  <cs:dataPointMarker>
    <cs:lnRef idx="0">
      <cs:styleClr val="auto"/>
    </cs:lnRef>
    <cs:fillRef idx="1">
      <cs:styleClr val="auto"/>
    </cs:fillRef>
    <cs:effectRef idx="0"/>
    <cs:fontRef idx="minor">
      <a:schemeClr val="tx1"/>
    </cs:fontRef>
    <cs:spPr>
      <a:ln w="9525">
        <a:solidFill>
          <a:schemeClr val="phClr"/>
        </a:solidFill>
      </a:ln>
    </cs:spPr>
  </cs:dataPointMarker>
  <cs:dataPointMarkerLayout symbol="circle" size="5"/>
  <cs:dataPointWireframe>
    <cs:lnRef idx="0">
      <cs:styleClr val="auto"/>
    </cs:lnRef>
    <cs:fillRef idx="0"/>
    <cs:effectRef idx="0"/>
    <cs:fontRef idx="minor">
      <a:schemeClr val="dk1"/>
    </cs:fontRef>
    <cs:spPr>
      <a:ln w="9525" cap="rnd">
        <a:solidFill>
          <a:schemeClr val="phClr"/>
        </a:solidFill>
        <a:round/>
      </a:ln>
    </cs:spPr>
  </cs:dataPointWireframe>
  <cs:dataTable>
    <cs:lnRef idx="0"/>
    <cs:fillRef idx="0"/>
    <cs:effectRef idx="0"/>
    <cs:fontRef idx="minor">
      <a:schemeClr val="tx1">
        <a:lumMod val="65000"/>
        <a:lumOff val="35000"/>
      </a:schemeClr>
    </cs:fontRef>
    <cs:spPr>
      <a:noFill/>
      <a:ln w="9525" cap="flat" cmpd="sng" algn="ctr">
        <a:solidFill>
          <a:schemeClr val="tx1">
            <a:lumMod val="15000"/>
            <a:lumOff val="85000"/>
          </a:schemeClr>
        </a:solidFill>
        <a:round/>
      </a:ln>
    </cs:spPr>
    <cs:defRPr sz="900" kern="1200"/>
  </cs:dataTable>
  <cs:downBar>
    <cs:lnRef idx="0"/>
    <cs:fillRef idx="0"/>
    <cs:effectRef idx="0"/>
    <cs:fontRef idx="minor">
      <a:schemeClr val="tx1"/>
    </cs:fontRef>
    <cs:spPr>
      <a:solidFill>
        <a:schemeClr val="dk1">
          <a:lumMod val="75000"/>
          <a:lumOff val="25000"/>
        </a:schemeClr>
      </a:solidFill>
      <a:ln w="9525" cap="flat" cmpd="sng" algn="ctr">
        <a:solidFill>
          <a:schemeClr val="tx1">
            <a:lumMod val="65000"/>
            <a:lumOff val="35000"/>
          </a:schemeClr>
        </a:solidFill>
        <a:round/>
      </a:ln>
    </cs:spPr>
  </cs:downBar>
  <cs:dropLine>
    <cs:lnRef idx="0"/>
    <cs:fillRef idx="0"/>
    <cs:effectRef idx="0"/>
    <cs:fontRef idx="minor">
      <a:schemeClr val="tx1"/>
    </cs:fontRef>
    <cs:spPr>
      <a:ln w="9525" cap="flat" cmpd="sng" algn="ctr">
        <a:solidFill>
          <a:schemeClr val="tx1">
            <a:lumMod val="35000"/>
            <a:lumOff val="65000"/>
          </a:schemeClr>
        </a:solidFill>
        <a:round/>
      </a:ln>
    </cs:spPr>
  </cs:dropLine>
  <cs:errorBar>
    <cs:lnRef idx="0"/>
    <cs:fillRef idx="0"/>
    <cs:effectRef idx="0"/>
    <cs:fontRef idx="minor">
      <a:schemeClr val="tx1"/>
    </cs:fontRef>
    <cs:spPr>
      <a:ln w="9525" cap="flat" cmpd="sng" algn="ctr">
        <a:solidFill>
          <a:schemeClr val="tx1">
            <a:lumMod val="65000"/>
            <a:lumOff val="35000"/>
          </a:schemeClr>
        </a:solidFill>
        <a:round/>
      </a:ln>
    </cs:spPr>
  </cs:errorBar>
  <cs:floor>
    <cs:lnRef idx="0"/>
    <cs:fillRef idx="0"/>
    <cs:effectRef idx="0"/>
    <cs:fontRef idx="minor">
      <a:schemeClr val="tx1"/>
    </cs:fontRef>
    <cs:spPr>
      <a:noFill/>
      <a:ln>
        <a:noFill/>
      </a:ln>
    </cs:spPr>
  </cs:floor>
  <cs:gridlineMajor>
    <cs:lnRef idx="0"/>
    <cs:fillRef idx="0"/>
    <cs:effectRef idx="0"/>
    <cs:fontRef idx="minor">
      <a:schemeClr val="tx1"/>
    </cs:fontRef>
    <cs:spPr>
      <a:ln w="9525" cap="flat" cmpd="sng" algn="ctr">
        <a:solidFill>
          <a:schemeClr val="tx1">
            <a:lumMod val="15000"/>
            <a:lumOff val="85000"/>
          </a:schemeClr>
        </a:solidFill>
        <a:round/>
      </a:ln>
    </cs:spPr>
  </cs:gridlineMajor>
  <cs:gridlineMinor>
    <cs:lnRef idx="0"/>
    <cs:fillRef idx="0"/>
    <cs:effectRef idx="0"/>
    <cs:fontRef idx="minor">
      <a:schemeClr val="tx1"/>
    </cs:fontRef>
    <cs:spPr>
      <a:ln w="9525" cap="flat" cmpd="sng" algn="ctr">
        <a:solidFill>
          <a:schemeClr val="tx1">
            <a:lumMod val="5000"/>
            <a:lumOff val="95000"/>
          </a:schemeClr>
        </a:solidFill>
        <a:round/>
      </a:ln>
    </cs:spPr>
  </cs:gridlineMinor>
  <cs:hiLoLine>
    <cs:lnRef idx="0"/>
    <cs:fillRef idx="0"/>
    <cs:effectRef idx="0"/>
    <cs:fontRef idx="minor">
      <a:schemeClr val="tx1"/>
    </cs:fontRef>
    <cs:spPr>
      <a:ln w="9525" cap="flat" cmpd="sng" algn="ctr">
        <a:solidFill>
          <a:schemeClr val="tx1">
            <a:lumMod val="50000"/>
            <a:lumOff val="50000"/>
          </a:schemeClr>
        </a:solidFill>
        <a:round/>
      </a:ln>
    </cs:spPr>
  </cs:hiLoLine>
  <cs:leaderLine>
    <cs:lnRef idx="0"/>
    <cs:fillRef idx="0"/>
    <cs:effectRef idx="0"/>
    <cs:fontRef idx="minor">
      <a:schemeClr val="tx1"/>
    </cs:fontRef>
    <cs:spPr>
      <a:ln w="9525" cap="flat" cmpd="sng" algn="ctr">
        <a:solidFill>
          <a:schemeClr val="tx1">
            <a:lumMod val="35000"/>
            <a:lumOff val="65000"/>
          </a:schemeClr>
        </a:solidFill>
        <a:round/>
      </a:ln>
    </cs:spPr>
  </cs:leaderLine>
  <cs:legend>
    <cs:lnRef idx="0"/>
    <cs:fillRef idx="0"/>
    <cs:effectRef idx="0"/>
    <cs:fontRef idx="minor">
      <a:schemeClr val="tx1">
        <a:lumMod val="65000"/>
        <a:lumOff val="35000"/>
      </a:schemeClr>
    </cs:fontRef>
    <cs:defRPr sz="900" kern="1200"/>
  </cs:legend>
  <cs:plotArea mods="allowNoFillOverride allowNoLineOverride">
    <cs:lnRef idx="0"/>
    <cs:fillRef idx="0"/>
    <cs:effectRef idx="0"/>
    <cs:fontRef idx="minor">
      <a:schemeClr val="tx1"/>
    </cs:fontRef>
  </cs:plotArea>
  <cs:plotArea3D mods="allowNoFillOverride allowNoLineOverride">
    <cs:lnRef idx="0"/>
    <cs:fillRef idx="0"/>
    <cs:effectRef idx="0"/>
    <cs:fontRef idx="minor">
      <a:schemeClr val="tx1"/>
    </cs:fontRef>
  </cs:plotArea3D>
  <cs:seriesAxis>
    <cs:lnRef idx="0"/>
    <cs:fillRef idx="0"/>
    <cs:effectRef idx="0"/>
    <cs:fontRef idx="minor">
      <a:schemeClr val="tx1">
        <a:lumMod val="65000"/>
        <a:lumOff val="35000"/>
      </a:schemeClr>
    </cs:fontRef>
    <cs:defRPr sz="900" kern="1200"/>
  </cs:seriesAxis>
  <cs:seriesLine>
    <cs:lnRef idx="0"/>
    <cs:fillRef idx="0"/>
    <cs:effectRef idx="0"/>
    <cs:fontRef idx="minor">
      <a:schemeClr val="tx1"/>
    </cs:fontRef>
    <cs:spPr>
      <a:ln w="9525" cap="flat" cmpd="sng" algn="ctr">
        <a:solidFill>
          <a:schemeClr val="tx1">
            <a:lumMod val="35000"/>
            <a:lumOff val="65000"/>
          </a:schemeClr>
        </a:solidFill>
        <a:round/>
      </a:ln>
    </cs:spPr>
  </cs:seriesLine>
  <cs:title>
    <cs:lnRef idx="0"/>
    <cs:fillRef idx="0"/>
    <cs:effectRef idx="0"/>
    <cs:fontRef idx="minor">
      <a:schemeClr val="tx1">
        <a:lumMod val="65000"/>
        <a:lumOff val="35000"/>
      </a:schemeClr>
    </cs:fontRef>
    <cs:defRPr sz="1400" b="0" kern="1200" spc="0" baseline="0"/>
  </cs:title>
  <cs:trendline>
    <cs:lnRef idx="0">
      <cs:styleClr val="auto"/>
    </cs:lnRef>
    <cs:fillRef idx="0"/>
    <cs:effectRef idx="0"/>
    <cs:fontRef idx="minor">
      <a:schemeClr val="tx1"/>
    </cs:fontRef>
    <cs:spPr>
      <a:ln w="19050" cap="rnd">
        <a:solidFill>
          <a:schemeClr val="phClr"/>
        </a:solidFill>
        <a:prstDash val="sysDot"/>
      </a:ln>
    </cs:spPr>
  </cs:trendline>
  <cs:trendlineLabel>
    <cs:lnRef idx="0"/>
    <cs:fillRef idx="0"/>
    <cs:effectRef idx="0"/>
    <cs:fontRef idx="minor">
      <a:schemeClr val="tx1">
        <a:lumMod val="65000"/>
        <a:lumOff val="35000"/>
      </a:schemeClr>
    </cs:fontRef>
    <cs:defRPr sz="900" kern="1200"/>
  </cs:trendlineLabel>
  <cs:upBar>
    <cs:lnRef idx="0"/>
    <cs:fillRef idx="0"/>
    <cs:effectRef idx="0"/>
    <cs:fontRef idx="minor">
      <a:schemeClr val="tx1"/>
    </cs:fontRef>
    <cs:spPr>
      <a:solidFill>
        <a:schemeClr val="lt1"/>
      </a:solidFill>
      <a:ln w="9525" cap="flat" cmpd="sng" algn="ctr">
        <a:solidFill>
          <a:schemeClr val="tx1">
            <a:lumMod val="65000"/>
            <a:lumOff val="35000"/>
          </a:schemeClr>
        </a:solidFill>
        <a:round/>
      </a:ln>
    </cs:spPr>
  </cs:upBar>
  <cs:valueAxis>
    <cs:lnRef idx="0"/>
    <cs:fillRef idx="0"/>
    <cs:effectRef idx="0"/>
    <cs:fontRef idx="minor">
      <a:schemeClr val="tx1">
        <a:lumMod val="65000"/>
        <a:lumOff val="35000"/>
      </a:schemeClr>
    </cs:fontRef>
    <cs:spPr>
      <a:ln w="9525" cap="flat" cmpd="sng" algn="ctr">
        <a:solidFill>
          <a:schemeClr val="tx1">
            <a:lumMod val="25000"/>
            <a:lumOff val="75000"/>
          </a:schemeClr>
        </a:solidFill>
        <a:round/>
      </a:ln>
    </cs:spPr>
    <cs:defRPr sz="900" kern="1200"/>
  </cs:valueAxis>
  <cs:wall>
    <cs:lnRef idx="0"/>
    <cs:fillRef idx="0"/>
    <cs:effectRef idx="0"/>
    <cs:fontRef idx="minor">
      <a:schemeClr val="tx1"/>
    </cs:fontRef>
    <cs:spPr>
      <a:noFill/>
      <a:ln>
        <a:noFill/>
      </a:ln>
    </cs:spPr>
  </cs:wall>
</cs:chartStyle>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file>

<file path=customXml/itemProps1.xml><?xml version="1.0" encoding="utf-8"?>
<ds:datastoreItem xmlns:ds="http://schemas.openxmlformats.org/officeDocument/2006/customXml" ds:itemID="{2E567C3F-26CA-4A6C-BA06-5AD451AE0E7B}">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66</TotalTime>
  <Pages>1</Pages>
  <Words>8007</Words>
  <Characters>45640</Characters>
  <Application>Microsoft Office Word</Application>
  <DocSecurity>0</DocSecurity>
  <Lines>380</Lines>
  <Paragraphs>107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53540</CharactersWithSpaces>
  <SharedDoc>false</SharedDoc>
  <HyperlinksChanged>false</HyperlinksChanged>
  <AppVersion>15.0000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User</dc:creator>
  <cp:keywords/>
  <dc:description/>
  <cp:lastModifiedBy>Microsoft account</cp:lastModifiedBy>
  <cp:revision>7</cp:revision>
  <dcterms:created xsi:type="dcterms:W3CDTF">2025-12-11T22:02:00Z</dcterms:created>
  <dcterms:modified xsi:type="dcterms:W3CDTF">2025-12-20T04:07:00Z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3722df67-13e4-4103-92bf-818116ea7606</vt:lpwstr>
  </property>
</Properties>
</file>