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EED9C" w14:textId="77777777" w:rsidR="00635973" w:rsidRPr="00635973" w:rsidRDefault="00635973" w:rsidP="00635973">
      <w:pPr>
        <w:spacing w:line="256" w:lineRule="auto"/>
      </w:pPr>
      <w:r w:rsidRPr="00635973">
        <w:rPr>
          <w:noProof/>
        </w:rPr>
        <w:drawing>
          <wp:inline distT="0" distB="0" distL="0" distR="0" wp14:anchorId="77CFC585" wp14:editId="78D9691D">
            <wp:extent cx="1905000" cy="19050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tbl>
      <w:tblPr>
        <w:tblStyle w:val="TableGrid"/>
        <w:tblW w:w="0" w:type="auto"/>
        <w:tblInd w:w="0" w:type="dxa"/>
        <w:tblLook w:val="04A0" w:firstRow="1" w:lastRow="0" w:firstColumn="1" w:lastColumn="0" w:noHBand="0" w:noVBand="1"/>
      </w:tblPr>
      <w:tblGrid>
        <w:gridCol w:w="4508"/>
        <w:gridCol w:w="4508"/>
      </w:tblGrid>
      <w:tr w:rsidR="00635973" w:rsidRPr="00635973" w14:paraId="46EA884C" w14:textId="77777777" w:rsidTr="002D6726">
        <w:tc>
          <w:tcPr>
            <w:tcW w:w="4508" w:type="dxa"/>
            <w:tcBorders>
              <w:top w:val="single" w:sz="4" w:space="0" w:color="auto"/>
              <w:left w:val="single" w:sz="4" w:space="0" w:color="auto"/>
              <w:bottom w:val="single" w:sz="4" w:space="0" w:color="auto"/>
              <w:right w:val="single" w:sz="4" w:space="0" w:color="auto"/>
            </w:tcBorders>
          </w:tcPr>
          <w:p w14:paraId="293E887D" w14:textId="77777777" w:rsidR="00635973" w:rsidRPr="00635973" w:rsidRDefault="00635973" w:rsidP="00635973">
            <w:pPr>
              <w:rPr>
                <w:rFonts w:ascii="Arial" w:hAnsi="Arial" w:cs="Arial"/>
                <w:sz w:val="24"/>
                <w:szCs w:val="24"/>
              </w:rPr>
            </w:pPr>
            <w:r w:rsidRPr="00635973">
              <w:rPr>
                <w:rFonts w:ascii="Arial" w:hAnsi="Arial" w:cs="Arial"/>
                <w:sz w:val="24"/>
                <w:szCs w:val="24"/>
              </w:rPr>
              <w:t>Student Name</w:t>
            </w:r>
          </w:p>
          <w:p w14:paraId="5F06DEFA"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25A5062C" w14:textId="77777777" w:rsidR="00635973" w:rsidRPr="00635973" w:rsidRDefault="00635973" w:rsidP="00635973">
            <w:pPr>
              <w:rPr>
                <w:rFonts w:ascii="Arial" w:hAnsi="Arial" w:cs="Arial"/>
                <w:sz w:val="24"/>
                <w:szCs w:val="24"/>
              </w:rPr>
            </w:pPr>
            <w:r w:rsidRPr="00635973">
              <w:rPr>
                <w:rFonts w:ascii="Arial" w:hAnsi="Arial" w:cs="Arial"/>
                <w:sz w:val="24"/>
                <w:szCs w:val="24"/>
              </w:rPr>
              <w:t>Gladys Appiah-</w:t>
            </w:r>
            <w:proofErr w:type="spellStart"/>
            <w:r w:rsidRPr="00635973">
              <w:rPr>
                <w:rFonts w:ascii="Arial" w:hAnsi="Arial" w:cs="Arial"/>
                <w:sz w:val="24"/>
                <w:szCs w:val="24"/>
              </w:rPr>
              <w:t>Kubi</w:t>
            </w:r>
            <w:proofErr w:type="spellEnd"/>
          </w:p>
        </w:tc>
      </w:tr>
      <w:tr w:rsidR="00635973" w:rsidRPr="00635973" w14:paraId="76C68518" w14:textId="77777777" w:rsidTr="002D6726">
        <w:tc>
          <w:tcPr>
            <w:tcW w:w="4508" w:type="dxa"/>
            <w:tcBorders>
              <w:top w:val="single" w:sz="4" w:space="0" w:color="auto"/>
              <w:left w:val="single" w:sz="4" w:space="0" w:color="auto"/>
              <w:bottom w:val="single" w:sz="4" w:space="0" w:color="auto"/>
              <w:right w:val="single" w:sz="4" w:space="0" w:color="auto"/>
            </w:tcBorders>
          </w:tcPr>
          <w:p w14:paraId="2E7B9BEF" w14:textId="77777777" w:rsidR="00635973" w:rsidRPr="00635973" w:rsidRDefault="00635973" w:rsidP="00635973">
            <w:pPr>
              <w:rPr>
                <w:rFonts w:ascii="Arial" w:hAnsi="Arial" w:cs="Arial"/>
                <w:sz w:val="24"/>
                <w:szCs w:val="24"/>
              </w:rPr>
            </w:pPr>
            <w:r w:rsidRPr="00635973">
              <w:rPr>
                <w:rFonts w:ascii="Arial" w:hAnsi="Arial" w:cs="Arial"/>
                <w:sz w:val="24"/>
                <w:szCs w:val="24"/>
              </w:rPr>
              <w:t>Student Number</w:t>
            </w:r>
          </w:p>
          <w:p w14:paraId="5719EEDF"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18EDD30E" w14:textId="77777777" w:rsidR="00635973" w:rsidRPr="00635973" w:rsidRDefault="00635973" w:rsidP="00635973">
            <w:pPr>
              <w:rPr>
                <w:rFonts w:ascii="Arial" w:hAnsi="Arial" w:cs="Arial"/>
                <w:sz w:val="24"/>
                <w:szCs w:val="24"/>
              </w:rPr>
            </w:pPr>
            <w:r w:rsidRPr="00635973">
              <w:rPr>
                <w:rFonts w:ascii="Arial" w:hAnsi="Arial" w:cs="Arial"/>
                <w:sz w:val="24"/>
                <w:szCs w:val="24"/>
              </w:rPr>
              <w:t>1813887</w:t>
            </w:r>
          </w:p>
        </w:tc>
      </w:tr>
      <w:tr w:rsidR="00635973" w:rsidRPr="00635973" w14:paraId="39DC73C2" w14:textId="77777777" w:rsidTr="002D6726">
        <w:tc>
          <w:tcPr>
            <w:tcW w:w="4508" w:type="dxa"/>
            <w:tcBorders>
              <w:top w:val="single" w:sz="4" w:space="0" w:color="auto"/>
              <w:left w:val="single" w:sz="4" w:space="0" w:color="auto"/>
              <w:bottom w:val="single" w:sz="4" w:space="0" w:color="auto"/>
              <w:right w:val="single" w:sz="4" w:space="0" w:color="auto"/>
            </w:tcBorders>
          </w:tcPr>
          <w:p w14:paraId="38ECCEB9" w14:textId="77777777" w:rsidR="00635973" w:rsidRPr="00635973" w:rsidRDefault="00635973" w:rsidP="00635973">
            <w:pPr>
              <w:rPr>
                <w:rFonts w:ascii="Arial" w:hAnsi="Arial" w:cs="Arial"/>
                <w:sz w:val="24"/>
                <w:szCs w:val="24"/>
              </w:rPr>
            </w:pPr>
            <w:r w:rsidRPr="00635973">
              <w:rPr>
                <w:rFonts w:ascii="Arial" w:hAnsi="Arial" w:cs="Arial"/>
                <w:sz w:val="24"/>
                <w:szCs w:val="24"/>
              </w:rPr>
              <w:t>Module Title</w:t>
            </w:r>
          </w:p>
          <w:p w14:paraId="6FC36359"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5C74CDC" w14:textId="77777777" w:rsidR="00635973" w:rsidRPr="00635973" w:rsidRDefault="00635973" w:rsidP="00635973">
            <w:pPr>
              <w:rPr>
                <w:rFonts w:ascii="Arial" w:hAnsi="Arial" w:cs="Arial"/>
                <w:sz w:val="24"/>
                <w:szCs w:val="24"/>
              </w:rPr>
            </w:pPr>
            <w:r w:rsidRPr="00635973">
              <w:rPr>
                <w:rFonts w:ascii="Arial" w:hAnsi="Arial" w:cs="Arial"/>
                <w:sz w:val="24"/>
                <w:szCs w:val="24"/>
              </w:rPr>
              <w:t>Principles of Health and Social Care Practice</w:t>
            </w:r>
          </w:p>
        </w:tc>
      </w:tr>
      <w:tr w:rsidR="00635973" w:rsidRPr="00635973" w14:paraId="0196AD6C" w14:textId="77777777" w:rsidTr="002D6726">
        <w:tc>
          <w:tcPr>
            <w:tcW w:w="4508" w:type="dxa"/>
            <w:tcBorders>
              <w:top w:val="single" w:sz="4" w:space="0" w:color="auto"/>
              <w:left w:val="single" w:sz="4" w:space="0" w:color="auto"/>
              <w:bottom w:val="single" w:sz="4" w:space="0" w:color="auto"/>
              <w:right w:val="single" w:sz="4" w:space="0" w:color="auto"/>
            </w:tcBorders>
          </w:tcPr>
          <w:p w14:paraId="5951992A" w14:textId="77777777" w:rsidR="00635973" w:rsidRPr="00635973" w:rsidRDefault="00635973" w:rsidP="00635973">
            <w:pPr>
              <w:rPr>
                <w:rFonts w:ascii="Arial" w:hAnsi="Arial" w:cs="Arial"/>
                <w:sz w:val="24"/>
                <w:szCs w:val="24"/>
              </w:rPr>
            </w:pPr>
            <w:r w:rsidRPr="00635973">
              <w:rPr>
                <w:rFonts w:ascii="Arial" w:hAnsi="Arial" w:cs="Arial"/>
                <w:sz w:val="24"/>
                <w:szCs w:val="24"/>
              </w:rPr>
              <w:t>Assessment Component</w:t>
            </w:r>
          </w:p>
          <w:p w14:paraId="2A6DC93C"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50CDC8A1" w14:textId="77777777" w:rsidR="00635973" w:rsidRPr="00635973" w:rsidRDefault="00635973" w:rsidP="00635973">
            <w:pPr>
              <w:rPr>
                <w:rFonts w:ascii="Arial" w:hAnsi="Arial" w:cs="Arial"/>
                <w:sz w:val="24"/>
                <w:szCs w:val="24"/>
              </w:rPr>
            </w:pPr>
            <w:r w:rsidRPr="00635973">
              <w:rPr>
                <w:rFonts w:ascii="Arial" w:hAnsi="Arial" w:cs="Arial"/>
                <w:sz w:val="24"/>
                <w:szCs w:val="24"/>
              </w:rPr>
              <w:t xml:space="preserve">Two </w:t>
            </w:r>
          </w:p>
        </w:tc>
      </w:tr>
      <w:tr w:rsidR="00635973" w:rsidRPr="00635973" w14:paraId="32D46000" w14:textId="77777777" w:rsidTr="002D6726">
        <w:tc>
          <w:tcPr>
            <w:tcW w:w="4508" w:type="dxa"/>
            <w:tcBorders>
              <w:top w:val="single" w:sz="4" w:space="0" w:color="auto"/>
              <w:left w:val="single" w:sz="4" w:space="0" w:color="auto"/>
              <w:bottom w:val="single" w:sz="4" w:space="0" w:color="auto"/>
              <w:right w:val="single" w:sz="4" w:space="0" w:color="auto"/>
            </w:tcBorders>
          </w:tcPr>
          <w:p w14:paraId="0C87AF0D" w14:textId="77777777" w:rsidR="00635973" w:rsidRPr="00635973" w:rsidRDefault="00635973" w:rsidP="00635973">
            <w:pPr>
              <w:rPr>
                <w:rFonts w:ascii="Arial" w:hAnsi="Arial" w:cs="Arial"/>
                <w:sz w:val="24"/>
                <w:szCs w:val="24"/>
              </w:rPr>
            </w:pPr>
            <w:r w:rsidRPr="00635973">
              <w:rPr>
                <w:rFonts w:ascii="Arial" w:hAnsi="Arial" w:cs="Arial"/>
                <w:sz w:val="24"/>
                <w:szCs w:val="24"/>
              </w:rPr>
              <w:t>Module Code</w:t>
            </w:r>
          </w:p>
          <w:p w14:paraId="4C533CA5"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04A70C1" w14:textId="77777777" w:rsidR="00635973" w:rsidRPr="00635973" w:rsidRDefault="00635973" w:rsidP="00635973">
            <w:pPr>
              <w:rPr>
                <w:rFonts w:ascii="Arial" w:hAnsi="Arial" w:cs="Arial"/>
                <w:sz w:val="24"/>
                <w:szCs w:val="24"/>
              </w:rPr>
            </w:pPr>
            <w:r w:rsidRPr="00635973">
              <w:rPr>
                <w:rFonts w:ascii="Arial" w:hAnsi="Arial" w:cs="Arial"/>
                <w:sz w:val="24"/>
                <w:szCs w:val="24"/>
              </w:rPr>
              <w:t>BMHP5002</w:t>
            </w:r>
          </w:p>
        </w:tc>
      </w:tr>
      <w:tr w:rsidR="00635973" w:rsidRPr="00635973" w14:paraId="1DA747CA" w14:textId="77777777" w:rsidTr="002D6726">
        <w:tc>
          <w:tcPr>
            <w:tcW w:w="4508" w:type="dxa"/>
            <w:tcBorders>
              <w:top w:val="single" w:sz="4" w:space="0" w:color="auto"/>
              <w:left w:val="single" w:sz="4" w:space="0" w:color="auto"/>
              <w:bottom w:val="single" w:sz="4" w:space="0" w:color="auto"/>
              <w:right w:val="single" w:sz="4" w:space="0" w:color="auto"/>
            </w:tcBorders>
          </w:tcPr>
          <w:p w14:paraId="1873A935" w14:textId="77777777" w:rsidR="00635973" w:rsidRPr="00635973" w:rsidRDefault="00635973" w:rsidP="00635973">
            <w:pPr>
              <w:rPr>
                <w:rFonts w:ascii="Arial" w:hAnsi="Arial" w:cs="Arial"/>
                <w:sz w:val="24"/>
                <w:szCs w:val="24"/>
              </w:rPr>
            </w:pPr>
            <w:r w:rsidRPr="00635973">
              <w:rPr>
                <w:rFonts w:ascii="Arial" w:hAnsi="Arial" w:cs="Arial"/>
                <w:sz w:val="24"/>
                <w:szCs w:val="24"/>
              </w:rPr>
              <w:t>Word Count</w:t>
            </w:r>
          </w:p>
          <w:p w14:paraId="282F1B7D"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23E5DF5" w14:textId="77777777" w:rsidR="00635973" w:rsidRPr="00635973" w:rsidRDefault="00635973" w:rsidP="00635973">
            <w:pPr>
              <w:rPr>
                <w:rFonts w:ascii="Arial" w:hAnsi="Arial" w:cs="Arial"/>
                <w:sz w:val="24"/>
                <w:szCs w:val="24"/>
              </w:rPr>
            </w:pPr>
            <w:r w:rsidRPr="00635973">
              <w:rPr>
                <w:rFonts w:ascii="Arial" w:hAnsi="Arial" w:cs="Arial"/>
                <w:sz w:val="24"/>
                <w:szCs w:val="24"/>
              </w:rPr>
              <w:t>2500</w:t>
            </w:r>
          </w:p>
        </w:tc>
      </w:tr>
      <w:tr w:rsidR="00635973" w:rsidRPr="00635973" w14:paraId="54AFD01D" w14:textId="77777777" w:rsidTr="002D6726">
        <w:tc>
          <w:tcPr>
            <w:tcW w:w="4508" w:type="dxa"/>
            <w:tcBorders>
              <w:top w:val="single" w:sz="4" w:space="0" w:color="auto"/>
              <w:left w:val="single" w:sz="4" w:space="0" w:color="auto"/>
              <w:bottom w:val="single" w:sz="4" w:space="0" w:color="auto"/>
              <w:right w:val="single" w:sz="4" w:space="0" w:color="auto"/>
            </w:tcBorders>
          </w:tcPr>
          <w:p w14:paraId="3579C44F" w14:textId="77777777" w:rsidR="00635973" w:rsidRPr="00635973" w:rsidRDefault="00635973" w:rsidP="00635973">
            <w:pPr>
              <w:rPr>
                <w:rFonts w:ascii="Arial" w:hAnsi="Arial" w:cs="Arial"/>
                <w:sz w:val="24"/>
                <w:szCs w:val="24"/>
              </w:rPr>
            </w:pPr>
            <w:r w:rsidRPr="00635973">
              <w:rPr>
                <w:rFonts w:ascii="Arial" w:hAnsi="Arial" w:cs="Arial"/>
                <w:sz w:val="24"/>
                <w:szCs w:val="24"/>
              </w:rPr>
              <w:t>Lecture’s Name</w:t>
            </w:r>
          </w:p>
          <w:p w14:paraId="1B6CDFD2" w14:textId="77777777" w:rsidR="00635973" w:rsidRPr="00635973" w:rsidRDefault="00635973" w:rsidP="00635973">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AD33BF4" w14:textId="77777777" w:rsidR="00635973" w:rsidRPr="00635973" w:rsidRDefault="00635973" w:rsidP="00635973">
            <w:pPr>
              <w:rPr>
                <w:rFonts w:ascii="Arial" w:hAnsi="Arial" w:cs="Arial"/>
                <w:sz w:val="24"/>
                <w:szCs w:val="24"/>
              </w:rPr>
            </w:pPr>
            <w:r w:rsidRPr="00635973">
              <w:rPr>
                <w:rFonts w:ascii="Arial" w:hAnsi="Arial" w:cs="Arial"/>
                <w:sz w:val="24"/>
                <w:szCs w:val="24"/>
              </w:rPr>
              <w:t xml:space="preserve">DR. Ali </w:t>
            </w:r>
            <w:proofErr w:type="spellStart"/>
            <w:r w:rsidRPr="00635973">
              <w:rPr>
                <w:rFonts w:ascii="Arial" w:hAnsi="Arial" w:cs="Arial"/>
                <w:sz w:val="24"/>
                <w:szCs w:val="24"/>
              </w:rPr>
              <w:t>Gulnar</w:t>
            </w:r>
            <w:proofErr w:type="spellEnd"/>
          </w:p>
        </w:tc>
      </w:tr>
    </w:tbl>
    <w:p w14:paraId="5DDCFFEA" w14:textId="61E4AFCD" w:rsidR="00635973" w:rsidRPr="00F702DA" w:rsidRDefault="00635973">
      <w:pPr>
        <w:rPr>
          <w:rFonts w:ascii="Arial" w:hAnsi="Arial" w:cs="Arial"/>
          <w:sz w:val="24"/>
          <w:szCs w:val="24"/>
        </w:rPr>
      </w:pPr>
    </w:p>
    <w:p w14:paraId="1D393F04" w14:textId="38333360" w:rsidR="00635973" w:rsidRPr="00F702DA" w:rsidRDefault="00635973">
      <w:pPr>
        <w:rPr>
          <w:rFonts w:ascii="Arial" w:hAnsi="Arial" w:cs="Arial"/>
          <w:sz w:val="24"/>
          <w:szCs w:val="24"/>
        </w:rPr>
      </w:pPr>
    </w:p>
    <w:p w14:paraId="1F46C930" w14:textId="79A0EBB5" w:rsidR="00635973" w:rsidRPr="00F702DA" w:rsidRDefault="00635973">
      <w:pPr>
        <w:rPr>
          <w:rFonts w:ascii="Arial" w:hAnsi="Arial" w:cs="Arial"/>
          <w:sz w:val="24"/>
          <w:szCs w:val="24"/>
        </w:rPr>
      </w:pPr>
    </w:p>
    <w:p w14:paraId="2D7F8494" w14:textId="100DE521" w:rsidR="00635973" w:rsidRPr="00F702DA" w:rsidRDefault="00635973">
      <w:pPr>
        <w:rPr>
          <w:rFonts w:ascii="Arial" w:hAnsi="Arial" w:cs="Arial"/>
          <w:sz w:val="24"/>
          <w:szCs w:val="24"/>
        </w:rPr>
      </w:pPr>
    </w:p>
    <w:p w14:paraId="001BE1C8" w14:textId="48B17160" w:rsidR="00635973" w:rsidRPr="00F702DA" w:rsidRDefault="00635973">
      <w:pPr>
        <w:rPr>
          <w:rFonts w:ascii="Arial" w:hAnsi="Arial" w:cs="Arial"/>
          <w:sz w:val="24"/>
          <w:szCs w:val="24"/>
        </w:rPr>
      </w:pPr>
    </w:p>
    <w:p w14:paraId="5A5740CC" w14:textId="605DC0ED" w:rsidR="00635973" w:rsidRPr="00F702DA" w:rsidRDefault="00635973">
      <w:pPr>
        <w:rPr>
          <w:rFonts w:ascii="Arial" w:hAnsi="Arial" w:cs="Arial"/>
          <w:sz w:val="24"/>
          <w:szCs w:val="24"/>
        </w:rPr>
      </w:pPr>
    </w:p>
    <w:p w14:paraId="07BF36BE" w14:textId="4DA3C70D" w:rsidR="00635973" w:rsidRPr="00F702DA" w:rsidRDefault="00635973">
      <w:pPr>
        <w:rPr>
          <w:rFonts w:ascii="Arial" w:hAnsi="Arial" w:cs="Arial"/>
          <w:sz w:val="24"/>
          <w:szCs w:val="24"/>
        </w:rPr>
      </w:pPr>
    </w:p>
    <w:p w14:paraId="1F182820" w14:textId="7CC80466" w:rsidR="00635973" w:rsidRPr="00F702DA" w:rsidRDefault="00635973">
      <w:pPr>
        <w:rPr>
          <w:rFonts w:ascii="Arial" w:hAnsi="Arial" w:cs="Arial"/>
          <w:sz w:val="24"/>
          <w:szCs w:val="24"/>
        </w:rPr>
      </w:pPr>
    </w:p>
    <w:p w14:paraId="205DC6C6" w14:textId="489F6E60" w:rsidR="00635973" w:rsidRPr="00F702DA" w:rsidRDefault="00635973">
      <w:pPr>
        <w:rPr>
          <w:rFonts w:ascii="Arial" w:hAnsi="Arial" w:cs="Arial"/>
          <w:sz w:val="24"/>
          <w:szCs w:val="24"/>
        </w:rPr>
      </w:pPr>
    </w:p>
    <w:p w14:paraId="275A278D" w14:textId="48AC1B6C" w:rsidR="00635973" w:rsidRPr="00F702DA" w:rsidRDefault="00635973">
      <w:pPr>
        <w:rPr>
          <w:rFonts w:ascii="Arial" w:hAnsi="Arial" w:cs="Arial"/>
          <w:sz w:val="24"/>
          <w:szCs w:val="24"/>
        </w:rPr>
      </w:pPr>
    </w:p>
    <w:p w14:paraId="0DA4D7DA" w14:textId="07F982F7" w:rsidR="00635973" w:rsidRPr="00F702DA" w:rsidRDefault="00635973">
      <w:pPr>
        <w:rPr>
          <w:rFonts w:ascii="Arial" w:hAnsi="Arial" w:cs="Arial"/>
          <w:sz w:val="24"/>
          <w:szCs w:val="24"/>
        </w:rPr>
      </w:pPr>
    </w:p>
    <w:p w14:paraId="0A21FD20" w14:textId="54F85B5D" w:rsidR="00635973" w:rsidRPr="00F702DA" w:rsidRDefault="00635973">
      <w:pPr>
        <w:rPr>
          <w:rFonts w:ascii="Arial" w:hAnsi="Arial" w:cs="Arial"/>
          <w:sz w:val="24"/>
          <w:szCs w:val="24"/>
        </w:rPr>
      </w:pPr>
    </w:p>
    <w:p w14:paraId="56D5D51A" w14:textId="645D29E0" w:rsidR="00635973" w:rsidRPr="00F702DA" w:rsidRDefault="00635973">
      <w:pPr>
        <w:rPr>
          <w:rFonts w:ascii="Arial" w:hAnsi="Arial" w:cs="Arial"/>
          <w:sz w:val="24"/>
          <w:szCs w:val="24"/>
        </w:rPr>
      </w:pPr>
    </w:p>
    <w:p w14:paraId="651C51A3" w14:textId="0A74BD33" w:rsidR="00635973" w:rsidRPr="00F702DA" w:rsidRDefault="00635973">
      <w:pPr>
        <w:rPr>
          <w:rFonts w:ascii="Arial" w:hAnsi="Arial" w:cs="Arial"/>
          <w:sz w:val="24"/>
          <w:szCs w:val="24"/>
        </w:rPr>
      </w:pPr>
    </w:p>
    <w:p w14:paraId="3B8AFEFB" w14:textId="5E64B886" w:rsidR="00635973" w:rsidRPr="00F702DA" w:rsidRDefault="00635973">
      <w:pPr>
        <w:rPr>
          <w:rFonts w:ascii="Arial" w:hAnsi="Arial" w:cs="Arial"/>
          <w:sz w:val="24"/>
          <w:szCs w:val="24"/>
        </w:rPr>
      </w:pPr>
    </w:p>
    <w:sdt>
      <w:sdtPr>
        <w:id w:val="-7973801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50078D" w14:textId="25772E6C" w:rsidR="00A71F7E" w:rsidRDefault="00A71F7E">
          <w:pPr>
            <w:pStyle w:val="TOCHeading"/>
          </w:pPr>
          <w:r>
            <w:t>Table of Contents</w:t>
          </w:r>
        </w:p>
        <w:p w14:paraId="203286B4" w14:textId="7DD10B3D" w:rsidR="00315EDA" w:rsidRDefault="00A71F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41787" w:history="1">
            <w:r w:rsidR="00315EDA" w:rsidRPr="00320AB2">
              <w:rPr>
                <w:rStyle w:val="Hyperlink"/>
                <w:noProof/>
              </w:rPr>
              <w:t>Introduction</w:t>
            </w:r>
            <w:r w:rsidR="00315EDA">
              <w:rPr>
                <w:noProof/>
                <w:webHidden/>
              </w:rPr>
              <w:tab/>
            </w:r>
            <w:r w:rsidR="00315EDA">
              <w:rPr>
                <w:noProof/>
                <w:webHidden/>
              </w:rPr>
              <w:fldChar w:fldCharType="begin"/>
            </w:r>
            <w:r w:rsidR="00315EDA">
              <w:rPr>
                <w:noProof/>
                <w:webHidden/>
              </w:rPr>
              <w:instrText xml:space="preserve"> PAGEREF _Toc50141787 \h </w:instrText>
            </w:r>
            <w:r w:rsidR="00315EDA">
              <w:rPr>
                <w:noProof/>
                <w:webHidden/>
              </w:rPr>
            </w:r>
            <w:r w:rsidR="00315EDA">
              <w:rPr>
                <w:noProof/>
                <w:webHidden/>
              </w:rPr>
              <w:fldChar w:fldCharType="separate"/>
            </w:r>
            <w:r w:rsidR="00315EDA">
              <w:rPr>
                <w:noProof/>
                <w:webHidden/>
              </w:rPr>
              <w:t>3</w:t>
            </w:r>
            <w:r w:rsidR="00315EDA">
              <w:rPr>
                <w:noProof/>
                <w:webHidden/>
              </w:rPr>
              <w:fldChar w:fldCharType="end"/>
            </w:r>
          </w:hyperlink>
        </w:p>
        <w:p w14:paraId="4D6676AA" w14:textId="66D9726D" w:rsidR="00315EDA" w:rsidRDefault="00315EDA">
          <w:pPr>
            <w:pStyle w:val="TOC1"/>
            <w:tabs>
              <w:tab w:val="right" w:leader="dot" w:pos="9016"/>
            </w:tabs>
            <w:rPr>
              <w:rFonts w:eastAsiaTheme="minorEastAsia"/>
              <w:noProof/>
              <w:lang w:eastAsia="en-GB"/>
            </w:rPr>
          </w:pPr>
          <w:hyperlink w:anchor="_Toc50141788" w:history="1">
            <w:r w:rsidRPr="00320AB2">
              <w:rPr>
                <w:rStyle w:val="Hyperlink"/>
                <w:noProof/>
              </w:rPr>
              <w:t>Underlying Concept of PCC</w:t>
            </w:r>
            <w:r>
              <w:rPr>
                <w:noProof/>
                <w:webHidden/>
              </w:rPr>
              <w:tab/>
            </w:r>
            <w:r>
              <w:rPr>
                <w:noProof/>
                <w:webHidden/>
              </w:rPr>
              <w:fldChar w:fldCharType="begin"/>
            </w:r>
            <w:r>
              <w:rPr>
                <w:noProof/>
                <w:webHidden/>
              </w:rPr>
              <w:instrText xml:space="preserve"> PAGEREF _Toc50141788 \h </w:instrText>
            </w:r>
            <w:r>
              <w:rPr>
                <w:noProof/>
                <w:webHidden/>
              </w:rPr>
            </w:r>
            <w:r>
              <w:rPr>
                <w:noProof/>
                <w:webHidden/>
              </w:rPr>
              <w:fldChar w:fldCharType="separate"/>
            </w:r>
            <w:r>
              <w:rPr>
                <w:noProof/>
                <w:webHidden/>
              </w:rPr>
              <w:t>3</w:t>
            </w:r>
            <w:r>
              <w:rPr>
                <w:noProof/>
                <w:webHidden/>
              </w:rPr>
              <w:fldChar w:fldCharType="end"/>
            </w:r>
          </w:hyperlink>
        </w:p>
        <w:p w14:paraId="6EE33856" w14:textId="5CE44B60" w:rsidR="00315EDA" w:rsidRDefault="00315EDA">
          <w:pPr>
            <w:pStyle w:val="TOC1"/>
            <w:tabs>
              <w:tab w:val="right" w:leader="dot" w:pos="9016"/>
            </w:tabs>
            <w:rPr>
              <w:rFonts w:eastAsiaTheme="minorEastAsia"/>
              <w:noProof/>
              <w:lang w:eastAsia="en-GB"/>
            </w:rPr>
          </w:pPr>
          <w:hyperlink w:anchor="_Toc50141789" w:history="1">
            <w:r w:rsidRPr="00320AB2">
              <w:rPr>
                <w:rStyle w:val="Hyperlink"/>
                <w:noProof/>
              </w:rPr>
              <w:t>Theoretical Underpinning of PCC</w:t>
            </w:r>
            <w:r>
              <w:rPr>
                <w:noProof/>
                <w:webHidden/>
              </w:rPr>
              <w:tab/>
            </w:r>
            <w:r>
              <w:rPr>
                <w:noProof/>
                <w:webHidden/>
              </w:rPr>
              <w:fldChar w:fldCharType="begin"/>
            </w:r>
            <w:r>
              <w:rPr>
                <w:noProof/>
                <w:webHidden/>
              </w:rPr>
              <w:instrText xml:space="preserve"> PAGEREF _Toc50141789 \h </w:instrText>
            </w:r>
            <w:r>
              <w:rPr>
                <w:noProof/>
                <w:webHidden/>
              </w:rPr>
            </w:r>
            <w:r>
              <w:rPr>
                <w:noProof/>
                <w:webHidden/>
              </w:rPr>
              <w:fldChar w:fldCharType="separate"/>
            </w:r>
            <w:r>
              <w:rPr>
                <w:noProof/>
                <w:webHidden/>
              </w:rPr>
              <w:t>4</w:t>
            </w:r>
            <w:r>
              <w:rPr>
                <w:noProof/>
                <w:webHidden/>
              </w:rPr>
              <w:fldChar w:fldCharType="end"/>
            </w:r>
          </w:hyperlink>
        </w:p>
        <w:p w14:paraId="1DF5409E" w14:textId="20A85ED4" w:rsidR="00315EDA" w:rsidRDefault="00315EDA">
          <w:pPr>
            <w:pStyle w:val="TOC1"/>
            <w:tabs>
              <w:tab w:val="right" w:leader="dot" w:pos="9016"/>
            </w:tabs>
            <w:rPr>
              <w:rFonts w:eastAsiaTheme="minorEastAsia"/>
              <w:noProof/>
              <w:lang w:eastAsia="en-GB"/>
            </w:rPr>
          </w:pPr>
          <w:hyperlink w:anchor="_Toc50141790" w:history="1">
            <w:r w:rsidRPr="00320AB2">
              <w:rPr>
                <w:rStyle w:val="Hyperlink"/>
                <w:noProof/>
              </w:rPr>
              <w:t>Ethical Underpinning of Person-Centred Care</w:t>
            </w:r>
            <w:r>
              <w:rPr>
                <w:noProof/>
                <w:webHidden/>
              </w:rPr>
              <w:tab/>
            </w:r>
            <w:r>
              <w:rPr>
                <w:noProof/>
                <w:webHidden/>
              </w:rPr>
              <w:fldChar w:fldCharType="begin"/>
            </w:r>
            <w:r>
              <w:rPr>
                <w:noProof/>
                <w:webHidden/>
              </w:rPr>
              <w:instrText xml:space="preserve"> PAGEREF _Toc50141790 \h </w:instrText>
            </w:r>
            <w:r>
              <w:rPr>
                <w:noProof/>
                <w:webHidden/>
              </w:rPr>
            </w:r>
            <w:r>
              <w:rPr>
                <w:noProof/>
                <w:webHidden/>
              </w:rPr>
              <w:fldChar w:fldCharType="separate"/>
            </w:r>
            <w:r>
              <w:rPr>
                <w:noProof/>
                <w:webHidden/>
              </w:rPr>
              <w:t>6</w:t>
            </w:r>
            <w:r>
              <w:rPr>
                <w:noProof/>
                <w:webHidden/>
              </w:rPr>
              <w:fldChar w:fldCharType="end"/>
            </w:r>
          </w:hyperlink>
        </w:p>
        <w:p w14:paraId="64BCAD29" w14:textId="6060D03D" w:rsidR="00315EDA" w:rsidRDefault="00315EDA">
          <w:pPr>
            <w:pStyle w:val="TOC1"/>
            <w:tabs>
              <w:tab w:val="right" w:leader="dot" w:pos="9016"/>
            </w:tabs>
            <w:rPr>
              <w:rFonts w:eastAsiaTheme="minorEastAsia"/>
              <w:noProof/>
              <w:lang w:eastAsia="en-GB"/>
            </w:rPr>
          </w:pPr>
          <w:hyperlink w:anchor="_Toc50141791" w:history="1">
            <w:r w:rsidRPr="00320AB2">
              <w:rPr>
                <w:rStyle w:val="Hyperlink"/>
                <w:noProof/>
              </w:rPr>
              <w:t>Respect for Autonomy</w:t>
            </w:r>
            <w:r>
              <w:rPr>
                <w:noProof/>
                <w:webHidden/>
              </w:rPr>
              <w:tab/>
            </w:r>
            <w:r>
              <w:rPr>
                <w:noProof/>
                <w:webHidden/>
              </w:rPr>
              <w:fldChar w:fldCharType="begin"/>
            </w:r>
            <w:r>
              <w:rPr>
                <w:noProof/>
                <w:webHidden/>
              </w:rPr>
              <w:instrText xml:space="preserve"> PAGEREF _Toc50141791 \h </w:instrText>
            </w:r>
            <w:r>
              <w:rPr>
                <w:noProof/>
                <w:webHidden/>
              </w:rPr>
            </w:r>
            <w:r>
              <w:rPr>
                <w:noProof/>
                <w:webHidden/>
              </w:rPr>
              <w:fldChar w:fldCharType="separate"/>
            </w:r>
            <w:r>
              <w:rPr>
                <w:noProof/>
                <w:webHidden/>
              </w:rPr>
              <w:t>7</w:t>
            </w:r>
            <w:r>
              <w:rPr>
                <w:noProof/>
                <w:webHidden/>
              </w:rPr>
              <w:fldChar w:fldCharType="end"/>
            </w:r>
          </w:hyperlink>
        </w:p>
        <w:p w14:paraId="354BEDD7" w14:textId="1BCC36A6" w:rsidR="00315EDA" w:rsidRDefault="00315EDA">
          <w:pPr>
            <w:pStyle w:val="TOC1"/>
            <w:tabs>
              <w:tab w:val="right" w:leader="dot" w:pos="9016"/>
            </w:tabs>
            <w:rPr>
              <w:rFonts w:eastAsiaTheme="minorEastAsia"/>
              <w:noProof/>
              <w:lang w:eastAsia="en-GB"/>
            </w:rPr>
          </w:pPr>
          <w:hyperlink w:anchor="_Toc50141792" w:history="1">
            <w:r w:rsidRPr="00320AB2">
              <w:rPr>
                <w:rStyle w:val="Hyperlink"/>
                <w:noProof/>
              </w:rPr>
              <w:t>Confidentiality and Patient Integrity</w:t>
            </w:r>
            <w:r>
              <w:rPr>
                <w:noProof/>
                <w:webHidden/>
              </w:rPr>
              <w:tab/>
            </w:r>
            <w:r>
              <w:rPr>
                <w:noProof/>
                <w:webHidden/>
              </w:rPr>
              <w:fldChar w:fldCharType="begin"/>
            </w:r>
            <w:r>
              <w:rPr>
                <w:noProof/>
                <w:webHidden/>
              </w:rPr>
              <w:instrText xml:space="preserve"> PAGEREF _Toc50141792 \h </w:instrText>
            </w:r>
            <w:r>
              <w:rPr>
                <w:noProof/>
                <w:webHidden/>
              </w:rPr>
            </w:r>
            <w:r>
              <w:rPr>
                <w:noProof/>
                <w:webHidden/>
              </w:rPr>
              <w:fldChar w:fldCharType="separate"/>
            </w:r>
            <w:r>
              <w:rPr>
                <w:noProof/>
                <w:webHidden/>
              </w:rPr>
              <w:t>8</w:t>
            </w:r>
            <w:r>
              <w:rPr>
                <w:noProof/>
                <w:webHidden/>
              </w:rPr>
              <w:fldChar w:fldCharType="end"/>
            </w:r>
          </w:hyperlink>
        </w:p>
        <w:p w14:paraId="3CF012D1" w14:textId="4A93B24F" w:rsidR="00315EDA" w:rsidRDefault="00315EDA">
          <w:pPr>
            <w:pStyle w:val="TOC1"/>
            <w:tabs>
              <w:tab w:val="right" w:leader="dot" w:pos="9016"/>
            </w:tabs>
            <w:rPr>
              <w:rFonts w:eastAsiaTheme="minorEastAsia"/>
              <w:noProof/>
              <w:lang w:eastAsia="en-GB"/>
            </w:rPr>
          </w:pPr>
          <w:hyperlink w:anchor="_Toc50141793" w:history="1">
            <w:r w:rsidRPr="00320AB2">
              <w:rPr>
                <w:rStyle w:val="Hyperlink"/>
                <w:noProof/>
              </w:rPr>
              <w:t>Main Benefits and Limitations of PCC</w:t>
            </w:r>
            <w:r>
              <w:rPr>
                <w:noProof/>
                <w:webHidden/>
              </w:rPr>
              <w:tab/>
            </w:r>
            <w:r>
              <w:rPr>
                <w:noProof/>
                <w:webHidden/>
              </w:rPr>
              <w:fldChar w:fldCharType="begin"/>
            </w:r>
            <w:r>
              <w:rPr>
                <w:noProof/>
                <w:webHidden/>
              </w:rPr>
              <w:instrText xml:space="preserve"> PAGEREF _Toc50141793 \h </w:instrText>
            </w:r>
            <w:r>
              <w:rPr>
                <w:noProof/>
                <w:webHidden/>
              </w:rPr>
            </w:r>
            <w:r>
              <w:rPr>
                <w:noProof/>
                <w:webHidden/>
              </w:rPr>
              <w:fldChar w:fldCharType="separate"/>
            </w:r>
            <w:r>
              <w:rPr>
                <w:noProof/>
                <w:webHidden/>
              </w:rPr>
              <w:t>8</w:t>
            </w:r>
            <w:r>
              <w:rPr>
                <w:noProof/>
                <w:webHidden/>
              </w:rPr>
              <w:fldChar w:fldCharType="end"/>
            </w:r>
          </w:hyperlink>
        </w:p>
        <w:p w14:paraId="610EC13A" w14:textId="265CFA84" w:rsidR="00315EDA" w:rsidRDefault="00315EDA">
          <w:pPr>
            <w:pStyle w:val="TOC2"/>
            <w:tabs>
              <w:tab w:val="right" w:leader="dot" w:pos="9016"/>
            </w:tabs>
            <w:rPr>
              <w:rFonts w:eastAsiaTheme="minorEastAsia"/>
              <w:noProof/>
              <w:lang w:eastAsia="en-GB"/>
            </w:rPr>
          </w:pPr>
          <w:hyperlink w:anchor="_Toc50141794" w:history="1">
            <w:r w:rsidRPr="00320AB2">
              <w:rPr>
                <w:rStyle w:val="Hyperlink"/>
                <w:noProof/>
              </w:rPr>
              <w:t>Benefits</w:t>
            </w:r>
            <w:r>
              <w:rPr>
                <w:noProof/>
                <w:webHidden/>
              </w:rPr>
              <w:tab/>
            </w:r>
            <w:r>
              <w:rPr>
                <w:noProof/>
                <w:webHidden/>
              </w:rPr>
              <w:fldChar w:fldCharType="begin"/>
            </w:r>
            <w:r>
              <w:rPr>
                <w:noProof/>
                <w:webHidden/>
              </w:rPr>
              <w:instrText xml:space="preserve"> PAGEREF _Toc50141794 \h </w:instrText>
            </w:r>
            <w:r>
              <w:rPr>
                <w:noProof/>
                <w:webHidden/>
              </w:rPr>
            </w:r>
            <w:r>
              <w:rPr>
                <w:noProof/>
                <w:webHidden/>
              </w:rPr>
              <w:fldChar w:fldCharType="separate"/>
            </w:r>
            <w:r>
              <w:rPr>
                <w:noProof/>
                <w:webHidden/>
              </w:rPr>
              <w:t>8</w:t>
            </w:r>
            <w:r>
              <w:rPr>
                <w:noProof/>
                <w:webHidden/>
              </w:rPr>
              <w:fldChar w:fldCharType="end"/>
            </w:r>
          </w:hyperlink>
        </w:p>
        <w:p w14:paraId="0E17BE17" w14:textId="73DE72FD" w:rsidR="00315EDA" w:rsidRDefault="00315EDA">
          <w:pPr>
            <w:pStyle w:val="TOC2"/>
            <w:tabs>
              <w:tab w:val="right" w:leader="dot" w:pos="9016"/>
            </w:tabs>
            <w:rPr>
              <w:rFonts w:eastAsiaTheme="minorEastAsia"/>
              <w:noProof/>
              <w:lang w:eastAsia="en-GB"/>
            </w:rPr>
          </w:pPr>
          <w:hyperlink w:anchor="_Toc50141795" w:history="1">
            <w:r w:rsidRPr="00320AB2">
              <w:rPr>
                <w:rStyle w:val="Hyperlink"/>
                <w:noProof/>
              </w:rPr>
              <w:t>Limitations</w:t>
            </w:r>
            <w:r>
              <w:rPr>
                <w:noProof/>
                <w:webHidden/>
              </w:rPr>
              <w:tab/>
            </w:r>
            <w:r>
              <w:rPr>
                <w:noProof/>
                <w:webHidden/>
              </w:rPr>
              <w:fldChar w:fldCharType="begin"/>
            </w:r>
            <w:r>
              <w:rPr>
                <w:noProof/>
                <w:webHidden/>
              </w:rPr>
              <w:instrText xml:space="preserve"> PAGEREF _Toc50141795 \h </w:instrText>
            </w:r>
            <w:r>
              <w:rPr>
                <w:noProof/>
                <w:webHidden/>
              </w:rPr>
            </w:r>
            <w:r>
              <w:rPr>
                <w:noProof/>
                <w:webHidden/>
              </w:rPr>
              <w:fldChar w:fldCharType="separate"/>
            </w:r>
            <w:r>
              <w:rPr>
                <w:noProof/>
                <w:webHidden/>
              </w:rPr>
              <w:t>9</w:t>
            </w:r>
            <w:r>
              <w:rPr>
                <w:noProof/>
                <w:webHidden/>
              </w:rPr>
              <w:fldChar w:fldCharType="end"/>
            </w:r>
          </w:hyperlink>
        </w:p>
        <w:p w14:paraId="3FE44109" w14:textId="6C3C2F4C" w:rsidR="00315EDA" w:rsidRDefault="00315EDA">
          <w:pPr>
            <w:pStyle w:val="TOC1"/>
            <w:tabs>
              <w:tab w:val="right" w:leader="dot" w:pos="9016"/>
            </w:tabs>
            <w:rPr>
              <w:rFonts w:eastAsiaTheme="minorEastAsia"/>
              <w:noProof/>
              <w:lang w:eastAsia="en-GB"/>
            </w:rPr>
          </w:pPr>
          <w:hyperlink w:anchor="_Toc50141796" w:history="1">
            <w:r w:rsidRPr="00320AB2">
              <w:rPr>
                <w:rStyle w:val="Hyperlink"/>
                <w:noProof/>
              </w:rPr>
              <w:t>Application of PCC For People with Dementia</w:t>
            </w:r>
            <w:r>
              <w:rPr>
                <w:noProof/>
                <w:webHidden/>
              </w:rPr>
              <w:tab/>
            </w:r>
            <w:r>
              <w:rPr>
                <w:noProof/>
                <w:webHidden/>
              </w:rPr>
              <w:fldChar w:fldCharType="begin"/>
            </w:r>
            <w:r>
              <w:rPr>
                <w:noProof/>
                <w:webHidden/>
              </w:rPr>
              <w:instrText xml:space="preserve"> PAGEREF _Toc50141796 \h </w:instrText>
            </w:r>
            <w:r>
              <w:rPr>
                <w:noProof/>
                <w:webHidden/>
              </w:rPr>
            </w:r>
            <w:r>
              <w:rPr>
                <w:noProof/>
                <w:webHidden/>
              </w:rPr>
              <w:fldChar w:fldCharType="separate"/>
            </w:r>
            <w:r>
              <w:rPr>
                <w:noProof/>
                <w:webHidden/>
              </w:rPr>
              <w:t>10</w:t>
            </w:r>
            <w:r>
              <w:rPr>
                <w:noProof/>
                <w:webHidden/>
              </w:rPr>
              <w:fldChar w:fldCharType="end"/>
            </w:r>
          </w:hyperlink>
        </w:p>
        <w:p w14:paraId="329FD774" w14:textId="5EFFC82F" w:rsidR="00315EDA" w:rsidRDefault="00315EDA">
          <w:pPr>
            <w:pStyle w:val="TOC2"/>
            <w:tabs>
              <w:tab w:val="right" w:leader="dot" w:pos="9016"/>
            </w:tabs>
            <w:rPr>
              <w:rFonts w:eastAsiaTheme="minorEastAsia"/>
              <w:noProof/>
              <w:lang w:eastAsia="en-GB"/>
            </w:rPr>
          </w:pPr>
          <w:hyperlink w:anchor="_Toc50141797" w:history="1">
            <w:r w:rsidRPr="00320AB2">
              <w:rPr>
                <w:rStyle w:val="Hyperlink"/>
                <w:noProof/>
              </w:rPr>
              <w:t>Recommendation for Improving PCC for People with Dementia</w:t>
            </w:r>
            <w:r>
              <w:rPr>
                <w:noProof/>
                <w:webHidden/>
              </w:rPr>
              <w:tab/>
            </w:r>
            <w:r>
              <w:rPr>
                <w:noProof/>
                <w:webHidden/>
              </w:rPr>
              <w:fldChar w:fldCharType="begin"/>
            </w:r>
            <w:r>
              <w:rPr>
                <w:noProof/>
                <w:webHidden/>
              </w:rPr>
              <w:instrText xml:space="preserve"> PAGEREF _Toc50141797 \h </w:instrText>
            </w:r>
            <w:r>
              <w:rPr>
                <w:noProof/>
                <w:webHidden/>
              </w:rPr>
            </w:r>
            <w:r>
              <w:rPr>
                <w:noProof/>
                <w:webHidden/>
              </w:rPr>
              <w:fldChar w:fldCharType="separate"/>
            </w:r>
            <w:r>
              <w:rPr>
                <w:noProof/>
                <w:webHidden/>
              </w:rPr>
              <w:t>11</w:t>
            </w:r>
            <w:r>
              <w:rPr>
                <w:noProof/>
                <w:webHidden/>
              </w:rPr>
              <w:fldChar w:fldCharType="end"/>
            </w:r>
          </w:hyperlink>
        </w:p>
        <w:p w14:paraId="3919472C" w14:textId="21AFEE29" w:rsidR="00315EDA" w:rsidRDefault="00315EDA">
          <w:pPr>
            <w:pStyle w:val="TOC2"/>
            <w:tabs>
              <w:tab w:val="right" w:leader="dot" w:pos="9016"/>
            </w:tabs>
            <w:rPr>
              <w:rFonts w:eastAsiaTheme="minorEastAsia"/>
              <w:noProof/>
              <w:lang w:eastAsia="en-GB"/>
            </w:rPr>
          </w:pPr>
          <w:hyperlink w:anchor="_Toc50141798" w:history="1">
            <w:r w:rsidRPr="00320AB2">
              <w:rPr>
                <w:rStyle w:val="Hyperlink"/>
                <w:noProof/>
              </w:rPr>
              <w:t>Knowing the Individual with Dementia</w:t>
            </w:r>
            <w:r>
              <w:rPr>
                <w:noProof/>
                <w:webHidden/>
              </w:rPr>
              <w:tab/>
            </w:r>
            <w:r>
              <w:rPr>
                <w:noProof/>
                <w:webHidden/>
              </w:rPr>
              <w:fldChar w:fldCharType="begin"/>
            </w:r>
            <w:r>
              <w:rPr>
                <w:noProof/>
                <w:webHidden/>
              </w:rPr>
              <w:instrText xml:space="preserve"> PAGEREF _Toc50141798 \h </w:instrText>
            </w:r>
            <w:r>
              <w:rPr>
                <w:noProof/>
                <w:webHidden/>
              </w:rPr>
            </w:r>
            <w:r>
              <w:rPr>
                <w:noProof/>
                <w:webHidden/>
              </w:rPr>
              <w:fldChar w:fldCharType="separate"/>
            </w:r>
            <w:r>
              <w:rPr>
                <w:noProof/>
                <w:webHidden/>
              </w:rPr>
              <w:t>12</w:t>
            </w:r>
            <w:r>
              <w:rPr>
                <w:noProof/>
                <w:webHidden/>
              </w:rPr>
              <w:fldChar w:fldCharType="end"/>
            </w:r>
          </w:hyperlink>
        </w:p>
        <w:p w14:paraId="19CC2825" w14:textId="7CE14265" w:rsidR="00315EDA" w:rsidRDefault="00315EDA">
          <w:pPr>
            <w:pStyle w:val="TOC1"/>
            <w:tabs>
              <w:tab w:val="right" w:leader="dot" w:pos="9016"/>
            </w:tabs>
            <w:rPr>
              <w:rFonts w:eastAsiaTheme="minorEastAsia"/>
              <w:noProof/>
              <w:lang w:eastAsia="en-GB"/>
            </w:rPr>
          </w:pPr>
          <w:hyperlink w:anchor="_Toc50141799" w:history="1">
            <w:r w:rsidRPr="00320AB2">
              <w:rPr>
                <w:rStyle w:val="Hyperlink"/>
                <w:noProof/>
              </w:rPr>
              <w:t>Recognising and Accepting the Individual’s Reality</w:t>
            </w:r>
            <w:r>
              <w:rPr>
                <w:noProof/>
                <w:webHidden/>
              </w:rPr>
              <w:tab/>
            </w:r>
            <w:r>
              <w:rPr>
                <w:noProof/>
                <w:webHidden/>
              </w:rPr>
              <w:fldChar w:fldCharType="begin"/>
            </w:r>
            <w:r>
              <w:rPr>
                <w:noProof/>
                <w:webHidden/>
              </w:rPr>
              <w:instrText xml:space="preserve"> PAGEREF _Toc50141799 \h </w:instrText>
            </w:r>
            <w:r>
              <w:rPr>
                <w:noProof/>
                <w:webHidden/>
              </w:rPr>
            </w:r>
            <w:r>
              <w:rPr>
                <w:noProof/>
                <w:webHidden/>
              </w:rPr>
              <w:fldChar w:fldCharType="separate"/>
            </w:r>
            <w:r>
              <w:rPr>
                <w:noProof/>
                <w:webHidden/>
              </w:rPr>
              <w:t>12</w:t>
            </w:r>
            <w:r>
              <w:rPr>
                <w:noProof/>
                <w:webHidden/>
              </w:rPr>
              <w:fldChar w:fldCharType="end"/>
            </w:r>
          </w:hyperlink>
        </w:p>
        <w:p w14:paraId="482CE005" w14:textId="51D28868" w:rsidR="00315EDA" w:rsidRDefault="00315EDA">
          <w:pPr>
            <w:pStyle w:val="TOC1"/>
            <w:tabs>
              <w:tab w:val="right" w:leader="dot" w:pos="9016"/>
            </w:tabs>
            <w:rPr>
              <w:rFonts w:eastAsiaTheme="minorEastAsia"/>
              <w:noProof/>
              <w:lang w:eastAsia="en-GB"/>
            </w:rPr>
          </w:pPr>
          <w:hyperlink w:anchor="_Toc50141800" w:history="1">
            <w:r w:rsidRPr="00320AB2">
              <w:rPr>
                <w:rStyle w:val="Hyperlink"/>
                <w:noProof/>
              </w:rPr>
              <w:t>Identifying and Supporting Ongoing Opportunities for Meaningful Engagement</w:t>
            </w:r>
            <w:r>
              <w:rPr>
                <w:noProof/>
                <w:webHidden/>
              </w:rPr>
              <w:tab/>
            </w:r>
            <w:r>
              <w:rPr>
                <w:noProof/>
                <w:webHidden/>
              </w:rPr>
              <w:fldChar w:fldCharType="begin"/>
            </w:r>
            <w:r>
              <w:rPr>
                <w:noProof/>
                <w:webHidden/>
              </w:rPr>
              <w:instrText xml:space="preserve"> PAGEREF _Toc50141800 \h </w:instrText>
            </w:r>
            <w:r>
              <w:rPr>
                <w:noProof/>
                <w:webHidden/>
              </w:rPr>
            </w:r>
            <w:r>
              <w:rPr>
                <w:noProof/>
                <w:webHidden/>
              </w:rPr>
              <w:fldChar w:fldCharType="separate"/>
            </w:r>
            <w:r>
              <w:rPr>
                <w:noProof/>
                <w:webHidden/>
              </w:rPr>
              <w:t>12</w:t>
            </w:r>
            <w:r>
              <w:rPr>
                <w:noProof/>
                <w:webHidden/>
              </w:rPr>
              <w:fldChar w:fldCharType="end"/>
            </w:r>
          </w:hyperlink>
        </w:p>
        <w:p w14:paraId="7C9AEBB7" w14:textId="0429A680" w:rsidR="00315EDA" w:rsidRDefault="00315EDA">
          <w:pPr>
            <w:pStyle w:val="TOC1"/>
            <w:tabs>
              <w:tab w:val="right" w:leader="dot" w:pos="9016"/>
            </w:tabs>
            <w:rPr>
              <w:rFonts w:eastAsiaTheme="minorEastAsia"/>
              <w:noProof/>
              <w:lang w:eastAsia="en-GB"/>
            </w:rPr>
          </w:pPr>
          <w:hyperlink w:anchor="_Toc50141801" w:history="1">
            <w:r w:rsidRPr="00320AB2">
              <w:rPr>
                <w:rStyle w:val="Hyperlink"/>
                <w:noProof/>
              </w:rPr>
              <w:t>Building and Nurturing Authentic, Caring Relationships</w:t>
            </w:r>
            <w:r>
              <w:rPr>
                <w:noProof/>
                <w:webHidden/>
              </w:rPr>
              <w:tab/>
            </w:r>
            <w:r>
              <w:rPr>
                <w:noProof/>
                <w:webHidden/>
              </w:rPr>
              <w:fldChar w:fldCharType="begin"/>
            </w:r>
            <w:r>
              <w:rPr>
                <w:noProof/>
                <w:webHidden/>
              </w:rPr>
              <w:instrText xml:space="preserve"> PAGEREF _Toc50141801 \h </w:instrText>
            </w:r>
            <w:r>
              <w:rPr>
                <w:noProof/>
                <w:webHidden/>
              </w:rPr>
            </w:r>
            <w:r>
              <w:rPr>
                <w:noProof/>
                <w:webHidden/>
              </w:rPr>
              <w:fldChar w:fldCharType="separate"/>
            </w:r>
            <w:r>
              <w:rPr>
                <w:noProof/>
                <w:webHidden/>
              </w:rPr>
              <w:t>12</w:t>
            </w:r>
            <w:r>
              <w:rPr>
                <w:noProof/>
                <w:webHidden/>
              </w:rPr>
              <w:fldChar w:fldCharType="end"/>
            </w:r>
          </w:hyperlink>
        </w:p>
        <w:p w14:paraId="5E51CBC2" w14:textId="660C352E" w:rsidR="00315EDA" w:rsidRDefault="00315EDA">
          <w:pPr>
            <w:pStyle w:val="TOC1"/>
            <w:tabs>
              <w:tab w:val="right" w:leader="dot" w:pos="9016"/>
            </w:tabs>
            <w:rPr>
              <w:rFonts w:eastAsiaTheme="minorEastAsia"/>
              <w:noProof/>
              <w:lang w:eastAsia="en-GB"/>
            </w:rPr>
          </w:pPr>
          <w:hyperlink w:anchor="_Toc50141802" w:history="1">
            <w:r w:rsidRPr="00320AB2">
              <w:rPr>
                <w:rStyle w:val="Hyperlink"/>
                <w:noProof/>
              </w:rPr>
              <w:t>Creating and Maintaining A Supportive Community for Staff, Families and Individuals</w:t>
            </w:r>
            <w:r>
              <w:rPr>
                <w:noProof/>
                <w:webHidden/>
              </w:rPr>
              <w:tab/>
            </w:r>
            <w:r>
              <w:rPr>
                <w:noProof/>
                <w:webHidden/>
              </w:rPr>
              <w:fldChar w:fldCharType="begin"/>
            </w:r>
            <w:r>
              <w:rPr>
                <w:noProof/>
                <w:webHidden/>
              </w:rPr>
              <w:instrText xml:space="preserve"> PAGEREF _Toc50141802 \h </w:instrText>
            </w:r>
            <w:r>
              <w:rPr>
                <w:noProof/>
                <w:webHidden/>
              </w:rPr>
            </w:r>
            <w:r>
              <w:rPr>
                <w:noProof/>
                <w:webHidden/>
              </w:rPr>
              <w:fldChar w:fldCharType="separate"/>
            </w:r>
            <w:r>
              <w:rPr>
                <w:noProof/>
                <w:webHidden/>
              </w:rPr>
              <w:t>13</w:t>
            </w:r>
            <w:r>
              <w:rPr>
                <w:noProof/>
                <w:webHidden/>
              </w:rPr>
              <w:fldChar w:fldCharType="end"/>
            </w:r>
          </w:hyperlink>
        </w:p>
        <w:p w14:paraId="0302AA1F" w14:textId="027B8829" w:rsidR="00315EDA" w:rsidRDefault="00315EDA">
          <w:pPr>
            <w:pStyle w:val="TOC1"/>
            <w:tabs>
              <w:tab w:val="right" w:leader="dot" w:pos="9016"/>
            </w:tabs>
            <w:rPr>
              <w:rFonts w:eastAsiaTheme="minorEastAsia"/>
              <w:noProof/>
              <w:lang w:eastAsia="en-GB"/>
            </w:rPr>
          </w:pPr>
          <w:hyperlink w:anchor="_Toc50141803" w:history="1">
            <w:r w:rsidRPr="00320AB2">
              <w:rPr>
                <w:rStyle w:val="Hyperlink"/>
                <w:noProof/>
              </w:rPr>
              <w:t>Evaluating Care Practices Regularly and Making Appropriate Changes</w:t>
            </w:r>
            <w:r>
              <w:rPr>
                <w:noProof/>
                <w:webHidden/>
              </w:rPr>
              <w:tab/>
            </w:r>
            <w:r>
              <w:rPr>
                <w:noProof/>
                <w:webHidden/>
              </w:rPr>
              <w:fldChar w:fldCharType="begin"/>
            </w:r>
            <w:r>
              <w:rPr>
                <w:noProof/>
                <w:webHidden/>
              </w:rPr>
              <w:instrText xml:space="preserve"> PAGEREF _Toc50141803 \h </w:instrText>
            </w:r>
            <w:r>
              <w:rPr>
                <w:noProof/>
                <w:webHidden/>
              </w:rPr>
            </w:r>
            <w:r>
              <w:rPr>
                <w:noProof/>
                <w:webHidden/>
              </w:rPr>
              <w:fldChar w:fldCharType="separate"/>
            </w:r>
            <w:r>
              <w:rPr>
                <w:noProof/>
                <w:webHidden/>
              </w:rPr>
              <w:t>13</w:t>
            </w:r>
            <w:r>
              <w:rPr>
                <w:noProof/>
                <w:webHidden/>
              </w:rPr>
              <w:fldChar w:fldCharType="end"/>
            </w:r>
          </w:hyperlink>
        </w:p>
        <w:p w14:paraId="1845162B" w14:textId="0D5FB835" w:rsidR="00315EDA" w:rsidRDefault="00315EDA">
          <w:pPr>
            <w:pStyle w:val="TOC1"/>
            <w:tabs>
              <w:tab w:val="right" w:leader="dot" w:pos="9016"/>
            </w:tabs>
            <w:rPr>
              <w:rFonts w:eastAsiaTheme="minorEastAsia"/>
              <w:noProof/>
              <w:lang w:eastAsia="en-GB"/>
            </w:rPr>
          </w:pPr>
          <w:hyperlink w:anchor="_Toc50141804" w:history="1">
            <w:r w:rsidRPr="00320AB2">
              <w:rPr>
                <w:rStyle w:val="Hyperlink"/>
                <w:noProof/>
              </w:rPr>
              <w:t>Limitations of The Recommendations</w:t>
            </w:r>
            <w:r>
              <w:rPr>
                <w:noProof/>
                <w:webHidden/>
              </w:rPr>
              <w:tab/>
            </w:r>
            <w:r>
              <w:rPr>
                <w:noProof/>
                <w:webHidden/>
              </w:rPr>
              <w:fldChar w:fldCharType="begin"/>
            </w:r>
            <w:r>
              <w:rPr>
                <w:noProof/>
                <w:webHidden/>
              </w:rPr>
              <w:instrText xml:space="preserve"> PAGEREF _Toc50141804 \h </w:instrText>
            </w:r>
            <w:r>
              <w:rPr>
                <w:noProof/>
                <w:webHidden/>
              </w:rPr>
            </w:r>
            <w:r>
              <w:rPr>
                <w:noProof/>
                <w:webHidden/>
              </w:rPr>
              <w:fldChar w:fldCharType="separate"/>
            </w:r>
            <w:r>
              <w:rPr>
                <w:noProof/>
                <w:webHidden/>
              </w:rPr>
              <w:t>13</w:t>
            </w:r>
            <w:r>
              <w:rPr>
                <w:noProof/>
                <w:webHidden/>
              </w:rPr>
              <w:fldChar w:fldCharType="end"/>
            </w:r>
          </w:hyperlink>
        </w:p>
        <w:p w14:paraId="2D703E3A" w14:textId="22EF2B99" w:rsidR="00315EDA" w:rsidRDefault="00315EDA">
          <w:pPr>
            <w:pStyle w:val="TOC1"/>
            <w:tabs>
              <w:tab w:val="right" w:leader="dot" w:pos="9016"/>
            </w:tabs>
            <w:rPr>
              <w:rFonts w:eastAsiaTheme="minorEastAsia"/>
              <w:noProof/>
              <w:lang w:eastAsia="en-GB"/>
            </w:rPr>
          </w:pPr>
          <w:hyperlink w:anchor="_Toc50141805" w:history="1">
            <w:r w:rsidRPr="00320AB2">
              <w:rPr>
                <w:rStyle w:val="Hyperlink"/>
                <w:noProof/>
              </w:rPr>
              <w:t>Conclusion</w:t>
            </w:r>
            <w:r>
              <w:rPr>
                <w:noProof/>
                <w:webHidden/>
              </w:rPr>
              <w:tab/>
            </w:r>
            <w:r>
              <w:rPr>
                <w:noProof/>
                <w:webHidden/>
              </w:rPr>
              <w:fldChar w:fldCharType="begin"/>
            </w:r>
            <w:r>
              <w:rPr>
                <w:noProof/>
                <w:webHidden/>
              </w:rPr>
              <w:instrText xml:space="preserve"> PAGEREF _Toc50141805 \h </w:instrText>
            </w:r>
            <w:r>
              <w:rPr>
                <w:noProof/>
                <w:webHidden/>
              </w:rPr>
            </w:r>
            <w:r>
              <w:rPr>
                <w:noProof/>
                <w:webHidden/>
              </w:rPr>
              <w:fldChar w:fldCharType="separate"/>
            </w:r>
            <w:r>
              <w:rPr>
                <w:noProof/>
                <w:webHidden/>
              </w:rPr>
              <w:t>14</w:t>
            </w:r>
            <w:r>
              <w:rPr>
                <w:noProof/>
                <w:webHidden/>
              </w:rPr>
              <w:fldChar w:fldCharType="end"/>
            </w:r>
          </w:hyperlink>
        </w:p>
        <w:p w14:paraId="460FEFF1" w14:textId="19508897" w:rsidR="00315EDA" w:rsidRDefault="00315EDA">
          <w:pPr>
            <w:pStyle w:val="TOC1"/>
            <w:tabs>
              <w:tab w:val="right" w:leader="dot" w:pos="9016"/>
            </w:tabs>
            <w:rPr>
              <w:rFonts w:eastAsiaTheme="minorEastAsia"/>
              <w:noProof/>
              <w:lang w:eastAsia="en-GB"/>
            </w:rPr>
          </w:pPr>
          <w:hyperlink w:anchor="_Toc50141806" w:history="1">
            <w:r w:rsidRPr="00320AB2">
              <w:rPr>
                <w:rStyle w:val="Hyperlink"/>
                <w:noProof/>
              </w:rPr>
              <w:t>Reference List</w:t>
            </w:r>
            <w:r>
              <w:rPr>
                <w:noProof/>
                <w:webHidden/>
              </w:rPr>
              <w:tab/>
            </w:r>
            <w:r>
              <w:rPr>
                <w:noProof/>
                <w:webHidden/>
              </w:rPr>
              <w:fldChar w:fldCharType="begin"/>
            </w:r>
            <w:r>
              <w:rPr>
                <w:noProof/>
                <w:webHidden/>
              </w:rPr>
              <w:instrText xml:space="preserve"> PAGEREF _Toc50141806 \h </w:instrText>
            </w:r>
            <w:r>
              <w:rPr>
                <w:noProof/>
                <w:webHidden/>
              </w:rPr>
            </w:r>
            <w:r>
              <w:rPr>
                <w:noProof/>
                <w:webHidden/>
              </w:rPr>
              <w:fldChar w:fldCharType="separate"/>
            </w:r>
            <w:r>
              <w:rPr>
                <w:noProof/>
                <w:webHidden/>
              </w:rPr>
              <w:t>14</w:t>
            </w:r>
            <w:r>
              <w:rPr>
                <w:noProof/>
                <w:webHidden/>
              </w:rPr>
              <w:fldChar w:fldCharType="end"/>
            </w:r>
          </w:hyperlink>
        </w:p>
        <w:p w14:paraId="6A3E6D7C" w14:textId="6C74C538" w:rsidR="00A71F7E" w:rsidRDefault="00A71F7E">
          <w:r>
            <w:rPr>
              <w:b/>
              <w:bCs/>
              <w:noProof/>
            </w:rPr>
            <w:fldChar w:fldCharType="end"/>
          </w:r>
        </w:p>
      </w:sdtContent>
    </w:sdt>
    <w:p w14:paraId="082CC1E9" w14:textId="77777777" w:rsidR="00635973" w:rsidRPr="00635973" w:rsidRDefault="00635973" w:rsidP="00635973">
      <w:pPr>
        <w:spacing w:line="256" w:lineRule="auto"/>
        <w:rPr>
          <w:rFonts w:ascii="Arial" w:hAnsi="Arial" w:cs="Arial"/>
          <w:sz w:val="24"/>
          <w:szCs w:val="24"/>
        </w:rPr>
      </w:pPr>
    </w:p>
    <w:p w14:paraId="5907E89C" w14:textId="1F739326" w:rsidR="00635973" w:rsidRPr="00F702DA" w:rsidRDefault="00635973">
      <w:pPr>
        <w:rPr>
          <w:rFonts w:ascii="Arial" w:hAnsi="Arial" w:cs="Arial"/>
          <w:sz w:val="24"/>
          <w:szCs w:val="24"/>
        </w:rPr>
      </w:pPr>
    </w:p>
    <w:p w14:paraId="2FE0D08D" w14:textId="5EAD9074" w:rsidR="00635973" w:rsidRPr="00F702DA" w:rsidRDefault="00635973">
      <w:pPr>
        <w:rPr>
          <w:rFonts w:ascii="Arial" w:hAnsi="Arial" w:cs="Arial"/>
          <w:sz w:val="24"/>
          <w:szCs w:val="24"/>
        </w:rPr>
      </w:pPr>
    </w:p>
    <w:p w14:paraId="438BAD2C" w14:textId="607F5490" w:rsidR="00635973" w:rsidRPr="00F702DA" w:rsidRDefault="00635973">
      <w:pPr>
        <w:rPr>
          <w:rFonts w:ascii="Arial" w:hAnsi="Arial" w:cs="Arial"/>
          <w:sz w:val="24"/>
          <w:szCs w:val="24"/>
        </w:rPr>
      </w:pPr>
      <w:bookmarkStart w:id="0" w:name="_GoBack"/>
      <w:bookmarkEnd w:id="0"/>
    </w:p>
    <w:p w14:paraId="0FDC0184" w14:textId="0632D955" w:rsidR="00635973" w:rsidRPr="00F702DA" w:rsidRDefault="00635973">
      <w:pPr>
        <w:rPr>
          <w:rFonts w:ascii="Arial" w:hAnsi="Arial" w:cs="Arial"/>
          <w:sz w:val="24"/>
          <w:szCs w:val="24"/>
        </w:rPr>
      </w:pPr>
    </w:p>
    <w:p w14:paraId="67C84414" w14:textId="08E8A7EF" w:rsidR="00635973" w:rsidRPr="00F702DA" w:rsidRDefault="00635973">
      <w:pPr>
        <w:rPr>
          <w:rFonts w:ascii="Arial" w:hAnsi="Arial" w:cs="Arial"/>
          <w:sz w:val="24"/>
          <w:szCs w:val="24"/>
        </w:rPr>
      </w:pPr>
    </w:p>
    <w:p w14:paraId="607F282E" w14:textId="09355AEF" w:rsidR="00635973" w:rsidRPr="00F702DA" w:rsidRDefault="00635973">
      <w:pPr>
        <w:rPr>
          <w:rFonts w:ascii="Arial" w:hAnsi="Arial" w:cs="Arial"/>
          <w:sz w:val="24"/>
          <w:szCs w:val="24"/>
        </w:rPr>
      </w:pPr>
    </w:p>
    <w:p w14:paraId="5EEE3DB7" w14:textId="74C28CD7" w:rsidR="00635973" w:rsidRPr="00F702DA" w:rsidRDefault="00635973">
      <w:pPr>
        <w:rPr>
          <w:rFonts w:ascii="Arial" w:hAnsi="Arial" w:cs="Arial"/>
          <w:sz w:val="24"/>
          <w:szCs w:val="24"/>
        </w:rPr>
      </w:pPr>
    </w:p>
    <w:p w14:paraId="66A1FB81" w14:textId="46AC5AF5" w:rsidR="00635973" w:rsidRPr="00F702DA" w:rsidRDefault="00635973">
      <w:pPr>
        <w:rPr>
          <w:rFonts w:ascii="Arial" w:hAnsi="Arial" w:cs="Arial"/>
          <w:sz w:val="24"/>
          <w:szCs w:val="24"/>
        </w:rPr>
      </w:pPr>
    </w:p>
    <w:p w14:paraId="60C62CF7" w14:textId="2DB7FC30" w:rsidR="00635973" w:rsidRPr="00F702DA" w:rsidRDefault="00635973">
      <w:pPr>
        <w:rPr>
          <w:rFonts w:ascii="Arial" w:hAnsi="Arial" w:cs="Arial"/>
          <w:sz w:val="24"/>
          <w:szCs w:val="24"/>
        </w:rPr>
      </w:pPr>
    </w:p>
    <w:p w14:paraId="28107A3D" w14:textId="77777777" w:rsidR="00635973" w:rsidRPr="00635973" w:rsidRDefault="00635973" w:rsidP="00A71F7E">
      <w:pPr>
        <w:pStyle w:val="Heading1"/>
      </w:pPr>
      <w:bookmarkStart w:id="1" w:name="_Toc46775903"/>
      <w:bookmarkStart w:id="2" w:name="_Toc50141787"/>
      <w:r w:rsidRPr="00635973">
        <w:lastRenderedPageBreak/>
        <w:t>Introduction</w:t>
      </w:r>
      <w:bookmarkEnd w:id="1"/>
      <w:bookmarkEnd w:id="2"/>
    </w:p>
    <w:p w14:paraId="1B2E3F71" w14:textId="4232EAC5"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In person-centred care (PCC), health and social care professionals work collaboratively with individuals who use services. Allowing individuals to be active participants in their health and social care is a</w:t>
      </w:r>
      <w:r w:rsidRPr="00F702DA">
        <w:rPr>
          <w:rFonts w:ascii="Arial" w:hAnsi="Arial" w:cs="Arial"/>
          <w:sz w:val="24"/>
          <w:szCs w:val="24"/>
        </w:rPr>
        <w:t xml:space="preserve"> fundamental</w:t>
      </w:r>
      <w:r w:rsidRPr="00635973">
        <w:rPr>
          <w:rFonts w:ascii="Arial" w:hAnsi="Arial" w:cs="Arial"/>
          <w:sz w:val="24"/>
          <w:szCs w:val="24"/>
        </w:rPr>
        <w:t xml:space="preserve"> goal of health system reform. PCC includes treating patients as individuals and as equal partners in which they can plan, develop and monitor care to ensure it meets their needs. It encompasses the recognition of people’s potential and capabilities to manage and improve their health. More specifically, it places individuals as equal partners in addressing their health and social care needs. Elements of PCC encompass relevant information, communication, self-management support and shared decision-making. The health and social care sectors adopt a PCC approach to realise </w:t>
      </w:r>
      <w:r w:rsidRPr="00F702DA">
        <w:rPr>
          <w:rFonts w:ascii="Arial" w:hAnsi="Arial" w:cs="Arial"/>
          <w:sz w:val="24"/>
          <w:szCs w:val="24"/>
        </w:rPr>
        <w:t>more significant</w:t>
      </w:r>
      <w:r w:rsidRPr="00635973">
        <w:rPr>
          <w:rFonts w:ascii="Arial" w:hAnsi="Arial" w:cs="Arial"/>
          <w:sz w:val="24"/>
          <w:szCs w:val="24"/>
        </w:rPr>
        <w:t xml:space="preserve"> agreement on treatment plans and better health outcomes. Nevertheless, some organisations find it challenging to encompass individuals in decisions and perceives individuals’ goals regarding </w:t>
      </w:r>
      <w:proofErr w:type="gramStart"/>
      <w:r w:rsidRPr="00635973">
        <w:rPr>
          <w:rFonts w:ascii="Arial" w:hAnsi="Arial" w:cs="Arial"/>
          <w:sz w:val="24"/>
          <w:szCs w:val="24"/>
        </w:rPr>
        <w:t>particular clinical</w:t>
      </w:r>
      <w:proofErr w:type="gramEnd"/>
      <w:r w:rsidRPr="00635973">
        <w:rPr>
          <w:rFonts w:ascii="Arial" w:hAnsi="Arial" w:cs="Arial"/>
          <w:sz w:val="24"/>
          <w:szCs w:val="24"/>
        </w:rPr>
        <w:t xml:space="preserve"> outcomes. This paper examines the current practice for PCC within the health and social care while applying the concept for people with dementia.   </w:t>
      </w:r>
    </w:p>
    <w:p w14:paraId="7AFBC7AE" w14:textId="77777777" w:rsidR="00A71F7E" w:rsidRDefault="00A71F7E" w:rsidP="00A71F7E">
      <w:pPr>
        <w:pStyle w:val="Heading1"/>
      </w:pPr>
      <w:bookmarkStart w:id="3" w:name="_Toc46775904"/>
    </w:p>
    <w:p w14:paraId="58449E40" w14:textId="0167823B" w:rsidR="00635973" w:rsidRPr="00635973" w:rsidRDefault="00635973" w:rsidP="00A71F7E">
      <w:pPr>
        <w:pStyle w:val="Heading1"/>
      </w:pPr>
      <w:bookmarkStart w:id="4" w:name="_Toc50141788"/>
      <w:r w:rsidRPr="00635973">
        <w:t>Underlying Concept of PCC</w:t>
      </w:r>
      <w:bookmarkEnd w:id="3"/>
      <w:bookmarkEnd w:id="4"/>
    </w:p>
    <w:p w14:paraId="5B77F309" w14:textId="3E40F64C"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PCC is an evolving concept. In 1969, Edith Balint originally depicted the </w:t>
      </w:r>
      <w:r w:rsidRPr="00F702DA">
        <w:rPr>
          <w:rFonts w:ascii="Arial" w:hAnsi="Arial" w:cs="Arial"/>
          <w:sz w:val="24"/>
          <w:szCs w:val="24"/>
        </w:rPr>
        <w:t>idea</w:t>
      </w:r>
      <w:r w:rsidRPr="00635973">
        <w:rPr>
          <w:rFonts w:ascii="Arial" w:hAnsi="Arial" w:cs="Arial"/>
          <w:sz w:val="24"/>
          <w:szCs w:val="24"/>
        </w:rPr>
        <w:t xml:space="preserve"> as understanding the patient as a unique person. Thenceforward, there have been numerous conceptualisations of PCC Santana et al. </w:t>
      </w:r>
      <w:r w:rsidRPr="00F702DA">
        <w:rPr>
          <w:rFonts w:ascii="Arial" w:hAnsi="Arial" w:cs="Arial"/>
          <w:sz w:val="24"/>
          <w:szCs w:val="24"/>
        </w:rPr>
        <w:t>(</w:t>
      </w:r>
      <w:r w:rsidRPr="00635973">
        <w:rPr>
          <w:rFonts w:ascii="Arial" w:hAnsi="Arial" w:cs="Arial"/>
          <w:sz w:val="24"/>
          <w:szCs w:val="24"/>
        </w:rPr>
        <w:t>2018). Several alternatives and more commonly adopted terms such as relationship-centred care and patient-centred care has been us</w:t>
      </w:r>
      <w:r w:rsidR="00971FC0" w:rsidRPr="00F702DA">
        <w:rPr>
          <w:rFonts w:ascii="Arial" w:hAnsi="Arial" w:cs="Arial"/>
          <w:sz w:val="24"/>
          <w:szCs w:val="24"/>
        </w:rPr>
        <w:t>ing</w:t>
      </w:r>
      <w:r w:rsidRPr="00635973">
        <w:rPr>
          <w:rFonts w:ascii="Arial" w:hAnsi="Arial" w:cs="Arial"/>
          <w:sz w:val="24"/>
          <w:szCs w:val="24"/>
        </w:rPr>
        <w:t xml:space="preserve"> to describe the concept. Various healthcare systems, jurisdictions and organisations utilise different concepts and terms. In the UK, for example, the </w:t>
      </w:r>
      <w:r w:rsidR="009E43A9" w:rsidRPr="00F702DA">
        <w:rPr>
          <w:rFonts w:ascii="Arial" w:hAnsi="Arial" w:cs="Arial"/>
          <w:sz w:val="24"/>
          <w:szCs w:val="24"/>
        </w:rPr>
        <w:t>idea</w:t>
      </w:r>
      <w:r w:rsidRPr="00635973">
        <w:rPr>
          <w:rFonts w:ascii="Arial" w:hAnsi="Arial" w:cs="Arial"/>
          <w:sz w:val="24"/>
          <w:szCs w:val="24"/>
        </w:rPr>
        <w:t xml:space="preserve"> is typically associated with primary care, while in the US, it is </w:t>
      </w:r>
      <w:r w:rsidR="00890A59" w:rsidRPr="00F702DA">
        <w:rPr>
          <w:rFonts w:ascii="Arial" w:hAnsi="Arial" w:cs="Arial"/>
          <w:sz w:val="24"/>
          <w:szCs w:val="24"/>
        </w:rPr>
        <w:lastRenderedPageBreak/>
        <w:t>associate w</w:t>
      </w:r>
      <w:r w:rsidRPr="00635973">
        <w:rPr>
          <w:rFonts w:ascii="Arial" w:hAnsi="Arial" w:cs="Arial"/>
          <w:sz w:val="24"/>
          <w:szCs w:val="24"/>
        </w:rPr>
        <w:t>ith patient care medical model. Conceptually, PCC is a model in which caregivers</w:t>
      </w:r>
      <w:r w:rsidR="006A7E4A" w:rsidRPr="00F702DA">
        <w:rPr>
          <w:rFonts w:ascii="Arial" w:hAnsi="Arial" w:cs="Arial"/>
          <w:sz w:val="24"/>
          <w:szCs w:val="24"/>
        </w:rPr>
        <w:t xml:space="preserve"> is</w:t>
      </w:r>
      <w:r w:rsidRPr="00635973">
        <w:rPr>
          <w:rFonts w:ascii="Arial" w:hAnsi="Arial" w:cs="Arial"/>
          <w:sz w:val="24"/>
          <w:szCs w:val="24"/>
        </w:rPr>
        <w:t xml:space="preserve"> </w:t>
      </w:r>
      <w:r w:rsidR="00E31554" w:rsidRPr="00F702DA">
        <w:rPr>
          <w:rFonts w:ascii="Arial" w:hAnsi="Arial" w:cs="Arial"/>
          <w:sz w:val="24"/>
          <w:szCs w:val="24"/>
        </w:rPr>
        <w:t>oblig</w:t>
      </w:r>
      <w:r w:rsidR="00F33EBA" w:rsidRPr="00F702DA">
        <w:rPr>
          <w:rFonts w:ascii="Arial" w:hAnsi="Arial" w:cs="Arial"/>
          <w:sz w:val="24"/>
          <w:szCs w:val="24"/>
        </w:rPr>
        <w:t>ing</w:t>
      </w:r>
      <w:r w:rsidR="00890A59" w:rsidRPr="00F702DA">
        <w:rPr>
          <w:rFonts w:ascii="Arial" w:hAnsi="Arial" w:cs="Arial"/>
          <w:sz w:val="24"/>
          <w:szCs w:val="24"/>
        </w:rPr>
        <w:t xml:space="preserve"> </w:t>
      </w:r>
      <w:r w:rsidRPr="00635973">
        <w:rPr>
          <w:rFonts w:ascii="Arial" w:hAnsi="Arial" w:cs="Arial"/>
          <w:sz w:val="24"/>
          <w:szCs w:val="24"/>
        </w:rPr>
        <w:t xml:space="preserve">to collaborate with patients to design and deliver personalised care Health Foundation </w:t>
      </w:r>
      <w:r w:rsidRPr="00F702DA">
        <w:rPr>
          <w:rFonts w:ascii="Arial" w:hAnsi="Arial" w:cs="Arial"/>
          <w:sz w:val="24"/>
          <w:szCs w:val="24"/>
        </w:rPr>
        <w:t>(</w:t>
      </w:r>
      <w:r w:rsidRPr="00635973">
        <w:rPr>
          <w:rFonts w:ascii="Arial" w:hAnsi="Arial" w:cs="Arial"/>
          <w:sz w:val="24"/>
          <w:szCs w:val="24"/>
        </w:rPr>
        <w:t xml:space="preserve">2016). Personalised care </w:t>
      </w:r>
      <w:r w:rsidRPr="00F702DA">
        <w:rPr>
          <w:rFonts w:ascii="Arial" w:hAnsi="Arial" w:cs="Arial"/>
          <w:sz w:val="24"/>
          <w:szCs w:val="24"/>
        </w:rPr>
        <w:t>implies</w:t>
      </w:r>
      <w:r w:rsidRPr="00635973">
        <w:rPr>
          <w:rFonts w:ascii="Arial" w:hAnsi="Arial" w:cs="Arial"/>
          <w:sz w:val="24"/>
          <w:szCs w:val="24"/>
        </w:rPr>
        <w:t xml:space="preserve"> to provide high-quality care and enhance healthcare system effectiveness and efficiency. Notably, most healthcare systems experience challenges when implementing PCC across the continuum of care. Therefore, roles and services must be re-designed and re-structured to be more conducive to a PCC model.</w:t>
      </w:r>
    </w:p>
    <w:p w14:paraId="23B38ECA" w14:textId="3370431D"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The term PCC refers to numerous different activities and principles. Subsequently, the concept has no single agreed definition. </w:t>
      </w:r>
      <w:r w:rsidRPr="00F702DA">
        <w:rPr>
          <w:rFonts w:ascii="Arial" w:hAnsi="Arial" w:cs="Arial"/>
          <w:sz w:val="24"/>
          <w:szCs w:val="24"/>
        </w:rPr>
        <w:t>It</w:t>
      </w:r>
      <w:r w:rsidRPr="00635973">
        <w:rPr>
          <w:rFonts w:ascii="Arial" w:hAnsi="Arial" w:cs="Arial"/>
          <w:sz w:val="24"/>
          <w:szCs w:val="24"/>
        </w:rPr>
        <w:t xml:space="preserve"> is partly attributable to the fact that PCC is still an evolving and emerging area. Another reason is that what is essential to an individual in his or her healthcare may be unnecessary or undesirable to another individual</w:t>
      </w:r>
      <w:r w:rsidRPr="00F702DA">
        <w:rPr>
          <w:rFonts w:ascii="Arial" w:hAnsi="Arial" w:cs="Arial"/>
          <w:sz w:val="24"/>
          <w:szCs w:val="24"/>
        </w:rPr>
        <w:t>,</w:t>
      </w:r>
      <w:r w:rsidRPr="00635973">
        <w:rPr>
          <w:rFonts w:ascii="Arial" w:hAnsi="Arial" w:cs="Arial"/>
          <w:sz w:val="24"/>
          <w:szCs w:val="24"/>
        </w:rPr>
        <w:t xml:space="preserve"> Santana et al. </w:t>
      </w:r>
      <w:r w:rsidRPr="00F702DA">
        <w:rPr>
          <w:rFonts w:ascii="Arial" w:hAnsi="Arial" w:cs="Arial"/>
          <w:sz w:val="24"/>
          <w:szCs w:val="24"/>
        </w:rPr>
        <w:t>(</w:t>
      </w:r>
      <w:r w:rsidRPr="00635973">
        <w:rPr>
          <w:rFonts w:ascii="Arial" w:hAnsi="Arial" w:cs="Arial"/>
          <w:sz w:val="24"/>
          <w:szCs w:val="24"/>
        </w:rPr>
        <w:t>2018). Besides, it may alter with time, as the person requires alteration. The Health Foundation identifies a framework that encompasses the principles of PCC. The first principle requires people to afford</w:t>
      </w:r>
      <w:r w:rsidRPr="00F702DA">
        <w:rPr>
          <w:rFonts w:ascii="Arial" w:hAnsi="Arial" w:cs="Arial"/>
          <w:sz w:val="24"/>
          <w:szCs w:val="24"/>
        </w:rPr>
        <w:t xml:space="preserve"> </w:t>
      </w:r>
      <w:r w:rsidRPr="00635973">
        <w:rPr>
          <w:rFonts w:ascii="Arial" w:hAnsi="Arial" w:cs="Arial"/>
          <w:sz w:val="24"/>
          <w:szCs w:val="24"/>
        </w:rPr>
        <w:t xml:space="preserve">dignity, compassion and respect. The other principles include offering coordinated care, support or treatment, offering personalised care, support or treatment, and supporting individuals to recognise and develop their abilities and strength to enable them to live an independent and fulfilling life (Health Foundation 2016). If an individual is highly dependent, for instance, if he or she is unconscious, emphasis should be put on the principles of personalisation, coordination, dignity, respect and compassion.  To that end, any PCC within any health and social setting should </w:t>
      </w:r>
      <w:r w:rsidRPr="00F702DA">
        <w:rPr>
          <w:rFonts w:ascii="Arial" w:hAnsi="Arial" w:cs="Arial"/>
          <w:sz w:val="24"/>
          <w:szCs w:val="24"/>
        </w:rPr>
        <w:t>comprehend</w:t>
      </w:r>
      <w:r w:rsidRPr="00635973">
        <w:rPr>
          <w:rFonts w:ascii="Arial" w:hAnsi="Arial" w:cs="Arial"/>
          <w:sz w:val="24"/>
          <w:szCs w:val="24"/>
        </w:rPr>
        <w:t xml:space="preserve"> a combination of these principles.</w:t>
      </w:r>
    </w:p>
    <w:p w14:paraId="3A79B227" w14:textId="77777777" w:rsidR="00635973" w:rsidRPr="00635973" w:rsidRDefault="00635973" w:rsidP="00A71F7E">
      <w:pPr>
        <w:pStyle w:val="Heading1"/>
      </w:pPr>
      <w:bookmarkStart w:id="5" w:name="_Toc46775905"/>
      <w:bookmarkStart w:id="6" w:name="_Toc50141789"/>
      <w:r w:rsidRPr="00635973">
        <w:t>Theoretical Underpinning of PCC</w:t>
      </w:r>
      <w:bookmarkEnd w:id="5"/>
      <w:bookmarkEnd w:id="6"/>
    </w:p>
    <w:p w14:paraId="69B442AE" w14:textId="3EBC48F7"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PCC is not a new concept in the health and social sector. In the late 1940s, psychologist Carl Rogers developed the client-centred counselling approach. The </w:t>
      </w:r>
      <w:r w:rsidRPr="00635973">
        <w:rPr>
          <w:rFonts w:ascii="Arial" w:hAnsi="Arial" w:cs="Arial"/>
          <w:sz w:val="24"/>
          <w:szCs w:val="24"/>
        </w:rPr>
        <w:lastRenderedPageBreak/>
        <w:t xml:space="preserve">approach led to the derivation of the modern concept of PCC van Dulmen et al. </w:t>
      </w:r>
      <w:r w:rsidRPr="00F702DA">
        <w:rPr>
          <w:rFonts w:ascii="Arial" w:hAnsi="Arial" w:cs="Arial"/>
          <w:sz w:val="24"/>
          <w:szCs w:val="24"/>
        </w:rPr>
        <w:t>(</w:t>
      </w:r>
      <w:r w:rsidRPr="00635973">
        <w:rPr>
          <w:rFonts w:ascii="Arial" w:hAnsi="Arial" w:cs="Arial"/>
          <w:sz w:val="24"/>
          <w:szCs w:val="24"/>
        </w:rPr>
        <w:t xml:space="preserve">2015). The Rogerian model suggested a form of therapy that geared towards the clients’ experience of themselves, contrary to counsellor being an expert and telling them what was wrong with them or what to do. The model assumed that no one could make decisions for another, solve their challenges or act for them because these are matters of personal choice and responsibility Dow et al. </w:t>
      </w:r>
      <w:r w:rsidRPr="00F702DA">
        <w:rPr>
          <w:rFonts w:ascii="Arial" w:hAnsi="Arial" w:cs="Arial"/>
          <w:sz w:val="24"/>
          <w:szCs w:val="24"/>
        </w:rPr>
        <w:t>(</w:t>
      </w:r>
      <w:r w:rsidRPr="00635973">
        <w:rPr>
          <w:rFonts w:ascii="Arial" w:hAnsi="Arial" w:cs="Arial"/>
          <w:sz w:val="24"/>
          <w:szCs w:val="24"/>
        </w:rPr>
        <w:t>2016). The therapy depends on the quality of the relationship between the counsellor and the client. Rogers observes that the basis of the relationship depends on the counsellor demonstrating core conditions including empathy, congruence and unconditional positive regard. To this end, the therapist endeavours to understand the world of the person from their perspective, providing a conducive environment to examine their behaviours and motives.</w:t>
      </w:r>
    </w:p>
    <w:p w14:paraId="436EF61C" w14:textId="024C1438"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Further, Rogers developments in elements of person-centredness are adopted and incorporated into the PCC theory. Most notably, it is apparent concerning communication approaches and therapeutic relationships. Sequentially, they are incorporated into frameworks to </w:t>
      </w:r>
      <w:r w:rsidRPr="00F702DA">
        <w:rPr>
          <w:rFonts w:ascii="Arial" w:hAnsi="Arial" w:cs="Arial"/>
          <w:sz w:val="24"/>
          <w:szCs w:val="24"/>
        </w:rPr>
        <w:t>guide</w:t>
      </w:r>
      <w:r w:rsidRPr="00635973">
        <w:rPr>
          <w:rFonts w:ascii="Arial" w:hAnsi="Arial" w:cs="Arial"/>
          <w:sz w:val="24"/>
          <w:szCs w:val="24"/>
        </w:rPr>
        <w:t xml:space="preserve"> the practice of healthcare professionals Dow et al. </w:t>
      </w:r>
      <w:r w:rsidRPr="00F702DA">
        <w:rPr>
          <w:rFonts w:ascii="Arial" w:hAnsi="Arial" w:cs="Arial"/>
          <w:sz w:val="24"/>
          <w:szCs w:val="24"/>
        </w:rPr>
        <w:t>(</w:t>
      </w:r>
      <w:r w:rsidRPr="00635973">
        <w:rPr>
          <w:rFonts w:ascii="Arial" w:hAnsi="Arial" w:cs="Arial"/>
          <w:sz w:val="24"/>
          <w:szCs w:val="24"/>
        </w:rPr>
        <w:t>2016). Moreover, Kitwood (1997</w:t>
      </w:r>
      <w:proofErr w:type="gramStart"/>
      <w:r w:rsidRPr="00635973">
        <w:rPr>
          <w:rFonts w:ascii="Arial" w:hAnsi="Arial" w:cs="Arial"/>
          <w:sz w:val="24"/>
          <w:szCs w:val="24"/>
        </w:rPr>
        <w:t>)  recognise</w:t>
      </w:r>
      <w:r w:rsidRPr="00F702DA">
        <w:rPr>
          <w:rFonts w:ascii="Arial" w:hAnsi="Arial" w:cs="Arial"/>
          <w:sz w:val="24"/>
          <w:szCs w:val="24"/>
        </w:rPr>
        <w:t>d</w:t>
      </w:r>
      <w:proofErr w:type="gramEnd"/>
      <w:r w:rsidRPr="00635973">
        <w:rPr>
          <w:rFonts w:ascii="Arial" w:hAnsi="Arial" w:cs="Arial"/>
          <w:sz w:val="24"/>
          <w:szCs w:val="24"/>
        </w:rPr>
        <w:t xml:space="preserve"> for his contribution to PCC and, more precisely, for people with dementia. Kitwood’s prolific work is considered pivotal in unfolding its key concepts. Indeed, the definition of personhood as it relates to dementia and subsequently, gerontology has evolved from his </w:t>
      </w:r>
      <w:r w:rsidRPr="00F702DA">
        <w:rPr>
          <w:rFonts w:ascii="Arial" w:hAnsi="Arial" w:cs="Arial"/>
          <w:sz w:val="24"/>
          <w:szCs w:val="24"/>
        </w:rPr>
        <w:t>boo</w:t>
      </w:r>
      <w:r w:rsidRPr="00635973">
        <w:rPr>
          <w:rFonts w:ascii="Arial" w:hAnsi="Arial" w:cs="Arial"/>
          <w:sz w:val="24"/>
          <w:szCs w:val="24"/>
        </w:rPr>
        <w:t xml:space="preserve">k McGreevy </w:t>
      </w:r>
      <w:r w:rsidRPr="00F702DA">
        <w:rPr>
          <w:rFonts w:ascii="Arial" w:hAnsi="Arial" w:cs="Arial"/>
          <w:sz w:val="24"/>
          <w:szCs w:val="24"/>
        </w:rPr>
        <w:t>(</w:t>
      </w:r>
      <w:r w:rsidRPr="00635973">
        <w:rPr>
          <w:rFonts w:ascii="Arial" w:hAnsi="Arial" w:cs="Arial"/>
          <w:sz w:val="24"/>
          <w:szCs w:val="24"/>
        </w:rPr>
        <w:t>2015). He highlights the care practices typically observed in residential care and developed the phrase ‘</w:t>
      </w:r>
      <w:r w:rsidR="00ED46FE" w:rsidRPr="00F702DA">
        <w:rPr>
          <w:rFonts w:ascii="Arial" w:hAnsi="Arial" w:cs="Arial"/>
          <w:sz w:val="24"/>
          <w:szCs w:val="24"/>
        </w:rPr>
        <w:t>cancerous</w:t>
      </w:r>
      <w:r w:rsidRPr="00635973">
        <w:rPr>
          <w:rFonts w:ascii="Arial" w:hAnsi="Arial" w:cs="Arial"/>
          <w:sz w:val="24"/>
          <w:szCs w:val="24"/>
        </w:rPr>
        <w:t xml:space="preserve"> social psychology.’ As such, he revealed, often unintentional, the way that social and health care professionals devalued and disempowered people with dementia. Kitwood’s work is regularly cited </w:t>
      </w:r>
      <w:r w:rsidRPr="00635973">
        <w:rPr>
          <w:rFonts w:ascii="Arial" w:hAnsi="Arial" w:cs="Arial"/>
          <w:sz w:val="24"/>
          <w:szCs w:val="24"/>
        </w:rPr>
        <w:lastRenderedPageBreak/>
        <w:t xml:space="preserve">in research studies on PCC and has resonance with subsequent framework development van Dulmen et al. </w:t>
      </w:r>
      <w:r w:rsidRPr="00F702DA">
        <w:rPr>
          <w:rFonts w:ascii="Arial" w:hAnsi="Arial" w:cs="Arial"/>
          <w:sz w:val="24"/>
          <w:szCs w:val="24"/>
        </w:rPr>
        <w:t>(</w:t>
      </w:r>
      <w:r w:rsidRPr="00635973">
        <w:rPr>
          <w:rFonts w:ascii="Arial" w:hAnsi="Arial" w:cs="Arial"/>
          <w:sz w:val="24"/>
          <w:szCs w:val="24"/>
        </w:rPr>
        <w:t xml:space="preserve">2015).   </w:t>
      </w:r>
    </w:p>
    <w:p w14:paraId="12E47567" w14:textId="023F13D5" w:rsidR="00635973" w:rsidRPr="00635973" w:rsidRDefault="00635973" w:rsidP="00635973">
      <w:pPr>
        <w:spacing w:line="480" w:lineRule="auto"/>
        <w:ind w:firstLine="720"/>
        <w:rPr>
          <w:rFonts w:ascii="Arial" w:hAnsi="Arial" w:cs="Arial"/>
          <w:sz w:val="24"/>
          <w:szCs w:val="24"/>
        </w:rPr>
      </w:pPr>
      <w:r w:rsidRPr="00F702DA">
        <w:rPr>
          <w:rFonts w:ascii="Arial" w:hAnsi="Arial" w:cs="Arial"/>
          <w:sz w:val="24"/>
          <w:szCs w:val="24"/>
        </w:rPr>
        <w:t>In the circle</w:t>
      </w:r>
      <w:r w:rsidRPr="00635973">
        <w:rPr>
          <w:rFonts w:ascii="Arial" w:hAnsi="Arial" w:cs="Arial"/>
          <w:sz w:val="24"/>
          <w:szCs w:val="24"/>
        </w:rPr>
        <w:t xml:space="preserve"> of health services delivery, a person-centred approach implies a biopsychosocial model centred on all factors that influence the individual’s functioning and health</w:t>
      </w:r>
      <w:r w:rsidRPr="00F702DA">
        <w:rPr>
          <w:rFonts w:ascii="Arial" w:hAnsi="Arial" w:cs="Arial"/>
          <w:sz w:val="24"/>
          <w:szCs w:val="24"/>
        </w:rPr>
        <w:t>.</w:t>
      </w:r>
      <w:r w:rsidRPr="00635973">
        <w:rPr>
          <w:rFonts w:ascii="Arial" w:hAnsi="Arial" w:cs="Arial"/>
          <w:sz w:val="24"/>
          <w:szCs w:val="24"/>
        </w:rPr>
        <w:t xml:space="preserve"> </w:t>
      </w:r>
      <w:r w:rsidRPr="00F702DA">
        <w:rPr>
          <w:rFonts w:ascii="Arial" w:hAnsi="Arial" w:cs="Arial"/>
          <w:sz w:val="24"/>
          <w:szCs w:val="24"/>
        </w:rPr>
        <w:t>A</w:t>
      </w:r>
      <w:r w:rsidRPr="00635973">
        <w:rPr>
          <w:rFonts w:ascii="Arial" w:hAnsi="Arial" w:cs="Arial"/>
          <w:sz w:val="24"/>
          <w:szCs w:val="24"/>
        </w:rPr>
        <w:t xml:space="preserve">n American psychiatrist, George Engel, promoted the move from a medical, biopsychosocial model of health in the late </w:t>
      </w:r>
      <w:r w:rsidRPr="00F702DA">
        <w:rPr>
          <w:rFonts w:ascii="Arial" w:hAnsi="Arial" w:cs="Arial"/>
          <w:sz w:val="24"/>
          <w:szCs w:val="24"/>
        </w:rPr>
        <w:t>(</w:t>
      </w:r>
      <w:r w:rsidRPr="00635973">
        <w:rPr>
          <w:rFonts w:ascii="Arial" w:hAnsi="Arial" w:cs="Arial"/>
          <w:sz w:val="24"/>
          <w:szCs w:val="24"/>
        </w:rPr>
        <w:t>1970s</w:t>
      </w:r>
      <w:r w:rsidRPr="00F702DA">
        <w:rPr>
          <w:rFonts w:ascii="Arial" w:hAnsi="Arial" w:cs="Arial"/>
          <w:sz w:val="24"/>
          <w:szCs w:val="24"/>
        </w:rPr>
        <w:t>)</w:t>
      </w:r>
      <w:r w:rsidRPr="00635973">
        <w:rPr>
          <w:rFonts w:ascii="Arial" w:hAnsi="Arial" w:cs="Arial"/>
          <w:sz w:val="24"/>
          <w:szCs w:val="24"/>
        </w:rPr>
        <w:t xml:space="preserve"> Lateef and Mhlongo </w:t>
      </w:r>
      <w:r w:rsidRPr="00F702DA">
        <w:rPr>
          <w:rFonts w:ascii="Arial" w:hAnsi="Arial" w:cs="Arial"/>
          <w:sz w:val="24"/>
          <w:szCs w:val="24"/>
        </w:rPr>
        <w:t>(</w:t>
      </w:r>
      <w:r w:rsidRPr="00635973">
        <w:rPr>
          <w:rFonts w:ascii="Arial" w:hAnsi="Arial" w:cs="Arial"/>
          <w:sz w:val="24"/>
          <w:szCs w:val="24"/>
        </w:rPr>
        <w:t xml:space="preserve">2020). today, the model is </w:t>
      </w:r>
      <w:r w:rsidRPr="00F702DA">
        <w:rPr>
          <w:rFonts w:ascii="Arial" w:hAnsi="Arial" w:cs="Arial"/>
          <w:sz w:val="24"/>
          <w:szCs w:val="24"/>
        </w:rPr>
        <w:t>usu</w:t>
      </w:r>
      <w:r w:rsidRPr="00635973">
        <w:rPr>
          <w:rFonts w:ascii="Arial" w:hAnsi="Arial" w:cs="Arial"/>
          <w:sz w:val="24"/>
          <w:szCs w:val="24"/>
        </w:rPr>
        <w:t xml:space="preserve">ally used to elucidate the shift needed to deliver PCC. In a PCC approach, a client value as an active participant of the health service. Individual preferences and needs </w:t>
      </w:r>
      <w:proofErr w:type="gramStart"/>
      <w:r w:rsidRPr="00F702DA">
        <w:rPr>
          <w:rFonts w:ascii="Arial" w:hAnsi="Arial" w:cs="Arial"/>
          <w:sz w:val="24"/>
          <w:szCs w:val="24"/>
        </w:rPr>
        <w:t>have to</w:t>
      </w:r>
      <w:proofErr w:type="gramEnd"/>
      <w:r w:rsidRPr="00F702DA">
        <w:rPr>
          <w:rFonts w:ascii="Arial" w:hAnsi="Arial" w:cs="Arial"/>
          <w:sz w:val="24"/>
          <w:szCs w:val="24"/>
        </w:rPr>
        <w:t xml:space="preserve"> accomplished</w:t>
      </w:r>
      <w:r w:rsidRPr="00635973">
        <w:rPr>
          <w:rFonts w:ascii="Arial" w:hAnsi="Arial" w:cs="Arial"/>
          <w:sz w:val="24"/>
          <w:szCs w:val="24"/>
        </w:rPr>
        <w:t xml:space="preserve"> through the adoption of evidence-based interventions. The </w:t>
      </w:r>
      <w:r w:rsidRPr="00F702DA">
        <w:rPr>
          <w:rFonts w:ascii="Arial" w:hAnsi="Arial" w:cs="Arial"/>
          <w:sz w:val="24"/>
          <w:szCs w:val="24"/>
        </w:rPr>
        <w:t>course</w:t>
      </w:r>
      <w:r w:rsidRPr="00635973">
        <w:rPr>
          <w:rFonts w:ascii="Arial" w:hAnsi="Arial" w:cs="Arial"/>
          <w:sz w:val="24"/>
          <w:szCs w:val="24"/>
        </w:rPr>
        <w:t xml:space="preserve"> gives understandings regarding factors associated with illness and promotes interventions congruent with personal beliefs, values and environmental conditions Dow et al. </w:t>
      </w:r>
      <w:r w:rsidR="0061530C" w:rsidRPr="00F702DA">
        <w:rPr>
          <w:rFonts w:ascii="Arial" w:hAnsi="Arial" w:cs="Arial"/>
          <w:sz w:val="24"/>
          <w:szCs w:val="24"/>
        </w:rPr>
        <w:t>(</w:t>
      </w:r>
      <w:r w:rsidRPr="00635973">
        <w:rPr>
          <w:rFonts w:ascii="Arial" w:hAnsi="Arial" w:cs="Arial"/>
          <w:sz w:val="24"/>
          <w:szCs w:val="24"/>
        </w:rPr>
        <w:t>2016). In the biopsychosocial model, social, psychological and biological processes are integrated and inseparable. For instance, feelings and thoughts are in</w:t>
      </w:r>
      <w:r w:rsidRPr="00F702DA">
        <w:rPr>
          <w:rFonts w:ascii="Arial" w:hAnsi="Arial" w:cs="Arial"/>
          <w:sz w:val="24"/>
          <w:szCs w:val="24"/>
        </w:rPr>
        <w:t>timat</w:t>
      </w:r>
      <w:r w:rsidRPr="00635973">
        <w:rPr>
          <w:rFonts w:ascii="Arial" w:hAnsi="Arial" w:cs="Arial"/>
          <w:sz w:val="24"/>
          <w:szCs w:val="24"/>
        </w:rPr>
        <w:t xml:space="preserve">e from the </w:t>
      </w:r>
      <w:r w:rsidR="00821F0B" w:rsidRPr="00F702DA">
        <w:rPr>
          <w:rFonts w:ascii="Arial" w:hAnsi="Arial" w:cs="Arial"/>
          <w:sz w:val="24"/>
          <w:szCs w:val="24"/>
        </w:rPr>
        <w:t>living</w:t>
      </w:r>
      <w:r w:rsidRPr="00635973">
        <w:rPr>
          <w:rFonts w:ascii="Arial" w:hAnsi="Arial" w:cs="Arial"/>
          <w:sz w:val="24"/>
          <w:szCs w:val="24"/>
        </w:rPr>
        <w:t xml:space="preserve"> processes that occur in the brain. PCC is encouraged in a clinical setting, but its employment is constrain</w:t>
      </w:r>
      <w:r w:rsidRPr="00F702DA">
        <w:rPr>
          <w:rFonts w:ascii="Arial" w:hAnsi="Arial" w:cs="Arial"/>
          <w:sz w:val="24"/>
          <w:szCs w:val="24"/>
        </w:rPr>
        <w:t>ing</w:t>
      </w:r>
      <w:r w:rsidRPr="00635973">
        <w:rPr>
          <w:rFonts w:ascii="Arial" w:hAnsi="Arial" w:cs="Arial"/>
          <w:sz w:val="24"/>
          <w:szCs w:val="24"/>
        </w:rPr>
        <w:t xml:space="preserve"> because of the inherent predicament with changing traditional patterns of interaction, variation in definitions and perceived obstacles to reliable and valid outcome measurements van Dulmen et al. </w:t>
      </w:r>
      <w:r w:rsidR="0061530C" w:rsidRPr="00F702DA">
        <w:rPr>
          <w:rFonts w:ascii="Arial" w:hAnsi="Arial" w:cs="Arial"/>
          <w:sz w:val="24"/>
          <w:szCs w:val="24"/>
        </w:rPr>
        <w:t>(</w:t>
      </w:r>
      <w:r w:rsidRPr="00635973">
        <w:rPr>
          <w:rFonts w:ascii="Arial" w:hAnsi="Arial" w:cs="Arial"/>
          <w:sz w:val="24"/>
          <w:szCs w:val="24"/>
        </w:rPr>
        <w:t xml:space="preserve">2015). The biopsychosocial model is the framework where PCC is </w:t>
      </w:r>
      <w:r w:rsidRPr="00F702DA">
        <w:rPr>
          <w:rFonts w:ascii="Arial" w:hAnsi="Arial" w:cs="Arial"/>
          <w:sz w:val="24"/>
          <w:szCs w:val="24"/>
        </w:rPr>
        <w:t>comprehended</w:t>
      </w:r>
      <w:r w:rsidRPr="00635973">
        <w:rPr>
          <w:rFonts w:ascii="Arial" w:hAnsi="Arial" w:cs="Arial"/>
          <w:sz w:val="24"/>
          <w:szCs w:val="24"/>
        </w:rPr>
        <w:t>. The biopsychosocial model and PCC overlap in which biomedical model expands and seeks to understand how the disease affects life and vice versa.</w:t>
      </w:r>
    </w:p>
    <w:p w14:paraId="6178B31A" w14:textId="77777777" w:rsidR="00635973" w:rsidRPr="00635973" w:rsidRDefault="00635973" w:rsidP="00A71F7E">
      <w:pPr>
        <w:pStyle w:val="Heading1"/>
      </w:pPr>
      <w:bookmarkStart w:id="7" w:name="_Toc46775906"/>
      <w:bookmarkStart w:id="8" w:name="_Toc50141790"/>
      <w:r w:rsidRPr="00635973">
        <w:t>Ethical Underpinning of Person-Centred Care</w:t>
      </w:r>
      <w:bookmarkEnd w:id="7"/>
      <w:bookmarkEnd w:id="8"/>
    </w:p>
    <w:p w14:paraId="6E7BDF9C" w14:textId="6A6DD5A8"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PCC needs to be considered from an ethical perspective to understand the concept better and implement the approach within health and social care. In this context, </w:t>
      </w:r>
      <w:r w:rsidRPr="00F702DA">
        <w:rPr>
          <w:rFonts w:ascii="Arial" w:hAnsi="Arial" w:cs="Arial"/>
          <w:sz w:val="24"/>
          <w:szCs w:val="24"/>
        </w:rPr>
        <w:t>proper</w:t>
      </w:r>
      <w:r w:rsidRPr="00635973">
        <w:rPr>
          <w:rFonts w:ascii="Arial" w:hAnsi="Arial" w:cs="Arial"/>
          <w:sz w:val="24"/>
          <w:szCs w:val="24"/>
        </w:rPr>
        <w:t xml:space="preserve"> perspective lies in the healthcare principle of recognising coherence </w:t>
      </w:r>
      <w:r w:rsidRPr="00635973">
        <w:rPr>
          <w:rFonts w:ascii="Arial" w:hAnsi="Arial" w:cs="Arial"/>
          <w:sz w:val="24"/>
          <w:szCs w:val="24"/>
        </w:rPr>
        <w:lastRenderedPageBreak/>
        <w:t xml:space="preserve">in life and self-fragility. First, the ethical case presents PCC as good </w:t>
      </w:r>
      <w:proofErr w:type="gramStart"/>
      <w:r w:rsidRPr="00635973">
        <w:rPr>
          <w:rFonts w:ascii="Arial" w:hAnsi="Arial" w:cs="Arial"/>
          <w:sz w:val="24"/>
          <w:szCs w:val="24"/>
        </w:rPr>
        <w:t>in its own right and</w:t>
      </w:r>
      <w:proofErr w:type="gramEnd"/>
      <w:r w:rsidRPr="00635973">
        <w:rPr>
          <w:rFonts w:ascii="Arial" w:hAnsi="Arial" w:cs="Arial"/>
          <w:sz w:val="24"/>
          <w:szCs w:val="24"/>
        </w:rPr>
        <w:t xml:space="preserve"> the ‘right thing to do.’ The presentation is </w:t>
      </w:r>
      <w:proofErr w:type="spellStart"/>
      <w:r w:rsidRPr="00635973">
        <w:rPr>
          <w:rFonts w:ascii="Arial" w:hAnsi="Arial" w:cs="Arial"/>
          <w:sz w:val="24"/>
          <w:szCs w:val="24"/>
        </w:rPr>
        <w:t>base</w:t>
      </w:r>
      <w:proofErr w:type="spellEnd"/>
      <w:r w:rsidRPr="00635973">
        <w:rPr>
          <w:rFonts w:ascii="Arial" w:hAnsi="Arial" w:cs="Arial"/>
          <w:sz w:val="24"/>
          <w:szCs w:val="24"/>
        </w:rPr>
        <w:t xml:space="preserve"> on the perception that individuals’ rights to contribute and take part in their lives and community life should be respected and recognised. Regarding healthcare, this is </w:t>
      </w:r>
      <w:r w:rsidRPr="00F702DA">
        <w:rPr>
          <w:rFonts w:ascii="Arial" w:hAnsi="Arial" w:cs="Arial"/>
          <w:sz w:val="24"/>
          <w:szCs w:val="24"/>
        </w:rPr>
        <w:t xml:space="preserve">most </w:t>
      </w:r>
      <w:r w:rsidRPr="00635973">
        <w:rPr>
          <w:rFonts w:ascii="Arial" w:hAnsi="Arial" w:cs="Arial"/>
          <w:sz w:val="24"/>
          <w:szCs w:val="24"/>
        </w:rPr>
        <w:t xml:space="preserve">articulate as calls for more participative and inclusive approaches, denoted by the phrase, ‘nothing about me, without me’ Tomaselli et al. </w:t>
      </w:r>
      <w:r w:rsidRPr="00F702DA">
        <w:rPr>
          <w:rFonts w:ascii="Arial" w:hAnsi="Arial" w:cs="Arial"/>
          <w:sz w:val="24"/>
          <w:szCs w:val="24"/>
        </w:rPr>
        <w:t>(</w:t>
      </w:r>
      <w:r w:rsidRPr="00635973">
        <w:rPr>
          <w:rFonts w:ascii="Arial" w:hAnsi="Arial" w:cs="Arial"/>
          <w:sz w:val="24"/>
          <w:szCs w:val="24"/>
        </w:rPr>
        <w:t>2020). Notably, the disability movement coined the slogan and many service user groups use the phrase to pressure for a change in the balance of power and challenge medical paternalism. The reason is to ensure that users are acknowledg</w:t>
      </w:r>
      <w:r w:rsidRPr="00F702DA">
        <w:rPr>
          <w:rFonts w:ascii="Arial" w:hAnsi="Arial" w:cs="Arial"/>
          <w:sz w:val="24"/>
          <w:szCs w:val="24"/>
        </w:rPr>
        <w:t xml:space="preserve">eable </w:t>
      </w:r>
      <w:r w:rsidRPr="00635973">
        <w:rPr>
          <w:rFonts w:ascii="Arial" w:hAnsi="Arial" w:cs="Arial"/>
          <w:sz w:val="24"/>
          <w:szCs w:val="24"/>
        </w:rPr>
        <w:t xml:space="preserve">as partners in the health and social care process. At the very least, a partnership requires a method whereby a person’s perspectives and needs </w:t>
      </w:r>
      <w:r w:rsidRPr="00F702DA">
        <w:rPr>
          <w:rFonts w:ascii="Arial" w:hAnsi="Arial" w:cs="Arial"/>
          <w:sz w:val="24"/>
          <w:szCs w:val="24"/>
        </w:rPr>
        <w:t>to listen</w:t>
      </w:r>
      <w:r w:rsidRPr="00635973">
        <w:rPr>
          <w:rFonts w:ascii="Arial" w:hAnsi="Arial" w:cs="Arial"/>
          <w:sz w:val="24"/>
          <w:szCs w:val="24"/>
        </w:rPr>
        <w:t xml:space="preserve">, valued and considered Ahmad et al. </w:t>
      </w:r>
      <w:r w:rsidRPr="00F702DA">
        <w:rPr>
          <w:rFonts w:ascii="Arial" w:hAnsi="Arial" w:cs="Arial"/>
          <w:sz w:val="24"/>
          <w:szCs w:val="24"/>
        </w:rPr>
        <w:t>(</w:t>
      </w:r>
      <w:r w:rsidRPr="00635973">
        <w:rPr>
          <w:rFonts w:ascii="Arial" w:hAnsi="Arial" w:cs="Arial"/>
          <w:sz w:val="24"/>
          <w:szCs w:val="24"/>
        </w:rPr>
        <w:t xml:space="preserve">2014). Over time, the principle of respect for autonomy has </w:t>
      </w:r>
      <w:r w:rsidRPr="00F702DA">
        <w:rPr>
          <w:rFonts w:ascii="Arial" w:hAnsi="Arial" w:cs="Arial"/>
          <w:sz w:val="24"/>
          <w:szCs w:val="24"/>
        </w:rPr>
        <w:t>positive</w:t>
      </w:r>
      <w:r w:rsidRPr="00635973">
        <w:rPr>
          <w:rFonts w:ascii="Arial" w:hAnsi="Arial" w:cs="Arial"/>
          <w:sz w:val="24"/>
          <w:szCs w:val="24"/>
        </w:rPr>
        <w:t>ly link</w:t>
      </w:r>
      <w:r w:rsidRPr="00F702DA">
        <w:rPr>
          <w:rFonts w:ascii="Arial" w:hAnsi="Arial" w:cs="Arial"/>
          <w:sz w:val="24"/>
          <w:szCs w:val="24"/>
        </w:rPr>
        <w:t xml:space="preserve"> </w:t>
      </w:r>
      <w:r w:rsidRPr="00635973">
        <w:rPr>
          <w:rFonts w:ascii="Arial" w:hAnsi="Arial" w:cs="Arial"/>
          <w:sz w:val="24"/>
          <w:szCs w:val="24"/>
        </w:rPr>
        <w:t xml:space="preserve">to the idea that patients should be enabled or allowed to make autonomous decisions regarding their healthcare.  </w:t>
      </w:r>
    </w:p>
    <w:p w14:paraId="2CE68663" w14:textId="77777777" w:rsidR="00A71F7E" w:rsidRDefault="00A71F7E" w:rsidP="00635973">
      <w:pPr>
        <w:keepNext/>
        <w:keepLines/>
        <w:spacing w:before="40" w:after="0" w:line="480" w:lineRule="auto"/>
        <w:outlineLvl w:val="1"/>
        <w:rPr>
          <w:rFonts w:ascii="Arial" w:eastAsiaTheme="majorEastAsia" w:hAnsi="Arial" w:cs="Arial"/>
          <w:b/>
          <w:bCs/>
          <w:sz w:val="24"/>
          <w:szCs w:val="24"/>
        </w:rPr>
      </w:pPr>
      <w:bookmarkStart w:id="9" w:name="_Toc46775907"/>
    </w:p>
    <w:p w14:paraId="779B0D9F" w14:textId="77777777" w:rsidR="00A71F7E" w:rsidRDefault="00A71F7E" w:rsidP="00635973">
      <w:pPr>
        <w:keepNext/>
        <w:keepLines/>
        <w:spacing w:before="40" w:after="0" w:line="480" w:lineRule="auto"/>
        <w:outlineLvl w:val="1"/>
        <w:rPr>
          <w:rFonts w:ascii="Arial" w:eastAsiaTheme="majorEastAsia" w:hAnsi="Arial" w:cs="Arial"/>
          <w:b/>
          <w:bCs/>
          <w:sz w:val="24"/>
          <w:szCs w:val="24"/>
        </w:rPr>
      </w:pPr>
    </w:p>
    <w:p w14:paraId="213E447B" w14:textId="22BE3F9C" w:rsidR="00635973" w:rsidRPr="00635973" w:rsidRDefault="00635973" w:rsidP="00A71F7E">
      <w:pPr>
        <w:pStyle w:val="Heading1"/>
      </w:pPr>
      <w:bookmarkStart w:id="10" w:name="_Toc50141791"/>
      <w:r w:rsidRPr="00635973">
        <w:t>Respect for Autonomy</w:t>
      </w:r>
      <w:bookmarkEnd w:id="9"/>
      <w:bookmarkEnd w:id="10"/>
    </w:p>
    <w:p w14:paraId="6CD5F03B" w14:textId="7703BB6B"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PCC that focuses on autonomy poses numerous ethically challenges in a clinical setting. For instance, in the case whereby a healthcare professional treating an elderly patient who is unable to choose between having lifesaving, non-urgent procedure with complex risks or not having the proce</w:t>
      </w:r>
      <w:r w:rsidRPr="00F702DA">
        <w:rPr>
          <w:rFonts w:ascii="Arial" w:hAnsi="Arial" w:cs="Arial"/>
          <w:sz w:val="24"/>
          <w:szCs w:val="24"/>
        </w:rPr>
        <w:t>ss</w:t>
      </w:r>
      <w:r w:rsidRPr="00635973">
        <w:rPr>
          <w:rFonts w:ascii="Arial" w:hAnsi="Arial" w:cs="Arial"/>
          <w:sz w:val="24"/>
          <w:szCs w:val="24"/>
        </w:rPr>
        <w:t xml:space="preserve">. </w:t>
      </w:r>
      <w:r w:rsidR="001D7C98" w:rsidRPr="00F702DA">
        <w:rPr>
          <w:rFonts w:ascii="Arial" w:hAnsi="Arial" w:cs="Arial"/>
          <w:sz w:val="24"/>
          <w:szCs w:val="24"/>
        </w:rPr>
        <w:t>Mostly</w:t>
      </w:r>
      <w:r w:rsidRPr="00635973">
        <w:rPr>
          <w:rFonts w:ascii="Arial" w:hAnsi="Arial" w:cs="Arial"/>
          <w:sz w:val="24"/>
          <w:szCs w:val="24"/>
        </w:rPr>
        <w:t>, the healthcare professional would give the patient adequate information regarding the benefits and risks and maintain the patient make his or her decision based on autonomy-focused PCC Munthe</w:t>
      </w:r>
      <w:r w:rsidRPr="00F702DA">
        <w:rPr>
          <w:rFonts w:ascii="Arial" w:hAnsi="Arial" w:cs="Arial"/>
          <w:sz w:val="24"/>
          <w:szCs w:val="24"/>
        </w:rPr>
        <w:t xml:space="preserve"> et al.,</w:t>
      </w:r>
      <w:r w:rsidRPr="00635973">
        <w:rPr>
          <w:rFonts w:ascii="Arial" w:hAnsi="Arial" w:cs="Arial"/>
          <w:sz w:val="24"/>
          <w:szCs w:val="24"/>
        </w:rPr>
        <w:t xml:space="preserve"> </w:t>
      </w:r>
      <w:r w:rsidRPr="00F702DA">
        <w:rPr>
          <w:rFonts w:ascii="Arial" w:hAnsi="Arial" w:cs="Arial"/>
          <w:sz w:val="24"/>
          <w:szCs w:val="24"/>
        </w:rPr>
        <w:t>(</w:t>
      </w:r>
      <w:r w:rsidRPr="00635973">
        <w:rPr>
          <w:rFonts w:ascii="Arial" w:hAnsi="Arial" w:cs="Arial"/>
          <w:sz w:val="24"/>
          <w:szCs w:val="24"/>
        </w:rPr>
        <w:t xml:space="preserve">2015). The healthcare profession may overlook the significance of establishing a relationship with the patient and instead give the patient enough time and space to make an independent decision. Besides, the physician may </w:t>
      </w:r>
      <w:r w:rsidRPr="00635973">
        <w:rPr>
          <w:rFonts w:ascii="Arial" w:hAnsi="Arial" w:cs="Arial"/>
          <w:sz w:val="24"/>
          <w:szCs w:val="24"/>
        </w:rPr>
        <w:lastRenderedPageBreak/>
        <w:t>decide to manage the patient’s care following their priorities if the patient cannot communicate a choice and lead to the conclusion that he or she is not autonomous. As such, the patient may be objectified and eventually deny him or her the respect owed to persons.</w:t>
      </w:r>
    </w:p>
    <w:p w14:paraId="666E078F" w14:textId="77777777" w:rsidR="00635973" w:rsidRPr="00A71F7E" w:rsidRDefault="00635973" w:rsidP="00A71F7E">
      <w:pPr>
        <w:pStyle w:val="Heading1"/>
      </w:pPr>
      <w:bookmarkStart w:id="11" w:name="_Toc46775908"/>
      <w:bookmarkStart w:id="12" w:name="_Toc50141792"/>
      <w:r w:rsidRPr="00A71F7E">
        <w:t>Confidentiality and Patient Integrity</w:t>
      </w:r>
      <w:bookmarkEnd w:id="11"/>
      <w:bookmarkEnd w:id="12"/>
    </w:p>
    <w:p w14:paraId="2624EA2B" w14:textId="7B04BE59"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The patient-centred approach also raises concerns regarding the integrity of patients. More precisely, the </w:t>
      </w:r>
      <w:r w:rsidRPr="00F702DA">
        <w:rPr>
          <w:rFonts w:ascii="Arial" w:hAnsi="Arial" w:cs="Arial"/>
          <w:sz w:val="24"/>
          <w:szCs w:val="24"/>
        </w:rPr>
        <w:t xml:space="preserve">way </w:t>
      </w:r>
      <w:r w:rsidRPr="00635973">
        <w:rPr>
          <w:rFonts w:ascii="Arial" w:hAnsi="Arial" w:cs="Arial"/>
          <w:sz w:val="24"/>
          <w:szCs w:val="24"/>
        </w:rPr>
        <w:t xml:space="preserve">may be assumed to encompass sensitive or embarrassing details about aspects such as social relationships and personal feelings. </w:t>
      </w:r>
      <w:r w:rsidRPr="00F702DA">
        <w:rPr>
          <w:rFonts w:ascii="Arial" w:hAnsi="Arial" w:cs="Arial"/>
          <w:sz w:val="24"/>
          <w:szCs w:val="24"/>
        </w:rPr>
        <w:t>Usu</w:t>
      </w:r>
      <w:r w:rsidRPr="00635973">
        <w:rPr>
          <w:rFonts w:ascii="Arial" w:hAnsi="Arial" w:cs="Arial"/>
          <w:sz w:val="24"/>
          <w:szCs w:val="24"/>
        </w:rPr>
        <w:t xml:space="preserve">ally, individuals will always seek to restrict access to this information. Nevertheless, risk of harm to patients and reduced trust in healthcare professionals and institutions is likely to occur if the </w:t>
      </w:r>
      <w:r w:rsidR="00263339" w:rsidRPr="00F702DA">
        <w:rPr>
          <w:rFonts w:ascii="Arial" w:hAnsi="Arial" w:cs="Arial"/>
          <w:sz w:val="24"/>
          <w:szCs w:val="24"/>
        </w:rPr>
        <w:t>transmiss</w:t>
      </w:r>
      <w:r w:rsidRPr="00635973">
        <w:rPr>
          <w:rFonts w:ascii="Arial" w:hAnsi="Arial" w:cs="Arial"/>
          <w:sz w:val="24"/>
          <w:szCs w:val="24"/>
        </w:rPr>
        <w:t xml:space="preserve">ion is </w:t>
      </w:r>
      <w:r w:rsidR="00434C22" w:rsidRPr="00F702DA">
        <w:rPr>
          <w:rFonts w:ascii="Arial" w:hAnsi="Arial" w:cs="Arial"/>
          <w:sz w:val="24"/>
          <w:szCs w:val="24"/>
        </w:rPr>
        <w:t>insecure</w:t>
      </w:r>
      <w:r w:rsidRPr="00635973">
        <w:rPr>
          <w:rFonts w:ascii="Arial" w:hAnsi="Arial" w:cs="Arial"/>
          <w:sz w:val="24"/>
          <w:szCs w:val="24"/>
        </w:rPr>
        <w:t xml:space="preserve"> from disseminating past what is motivated on the strict medical basis Munthe </w:t>
      </w:r>
      <w:r w:rsidRPr="00F702DA">
        <w:rPr>
          <w:rFonts w:ascii="Arial" w:hAnsi="Arial" w:cs="Arial"/>
          <w:sz w:val="24"/>
          <w:szCs w:val="24"/>
        </w:rPr>
        <w:t>et al.</w:t>
      </w:r>
      <w:r w:rsidRPr="00635973">
        <w:rPr>
          <w:rFonts w:ascii="Arial" w:hAnsi="Arial" w:cs="Arial"/>
          <w:sz w:val="24"/>
          <w:szCs w:val="24"/>
        </w:rPr>
        <w:t xml:space="preserve"> </w:t>
      </w:r>
      <w:r w:rsidRPr="00F702DA">
        <w:rPr>
          <w:rFonts w:ascii="Arial" w:hAnsi="Arial" w:cs="Arial"/>
          <w:sz w:val="24"/>
          <w:szCs w:val="24"/>
        </w:rPr>
        <w:t>(</w:t>
      </w:r>
      <w:r w:rsidRPr="00635973">
        <w:rPr>
          <w:rFonts w:ascii="Arial" w:hAnsi="Arial" w:cs="Arial"/>
          <w:sz w:val="24"/>
          <w:szCs w:val="24"/>
        </w:rPr>
        <w:t xml:space="preserve">2015). </w:t>
      </w:r>
      <w:r w:rsidRPr="00F702DA">
        <w:rPr>
          <w:rFonts w:ascii="Arial" w:hAnsi="Arial" w:cs="Arial"/>
          <w:sz w:val="24"/>
          <w:szCs w:val="24"/>
        </w:rPr>
        <w:t>It</w:t>
      </w:r>
      <w:r w:rsidRPr="00635973">
        <w:rPr>
          <w:rFonts w:ascii="Arial" w:hAnsi="Arial" w:cs="Arial"/>
          <w:sz w:val="24"/>
          <w:szCs w:val="24"/>
        </w:rPr>
        <w:t xml:space="preserve"> is familiar and elementary ground in healthcare ethics. Besides, PCC leads to </w:t>
      </w:r>
      <w:r w:rsidRPr="00F702DA">
        <w:rPr>
          <w:rFonts w:ascii="Arial" w:hAnsi="Arial" w:cs="Arial"/>
          <w:sz w:val="24"/>
          <w:szCs w:val="24"/>
        </w:rPr>
        <w:t>high</w:t>
      </w:r>
      <w:r w:rsidRPr="00635973">
        <w:rPr>
          <w:rFonts w:ascii="Arial" w:hAnsi="Arial" w:cs="Arial"/>
          <w:sz w:val="24"/>
          <w:szCs w:val="24"/>
        </w:rPr>
        <w:t xml:space="preserve"> vulnerability to integrity breaches regarding probability and severity. The issue embodies some complexity given that PCC aims to explore means of supporting the patients regarding difficulties disclosed by the expanded information Ahmad et al. </w:t>
      </w:r>
      <w:r w:rsidRPr="00F702DA">
        <w:rPr>
          <w:rFonts w:ascii="Arial" w:hAnsi="Arial" w:cs="Arial"/>
          <w:sz w:val="24"/>
          <w:szCs w:val="24"/>
        </w:rPr>
        <w:t>(</w:t>
      </w:r>
      <w:r w:rsidRPr="00635973">
        <w:rPr>
          <w:rFonts w:ascii="Arial" w:hAnsi="Arial" w:cs="Arial"/>
          <w:sz w:val="24"/>
          <w:szCs w:val="24"/>
        </w:rPr>
        <w:t xml:space="preserve">2014). Thus, it actualises needs for extensive sharing among workers. In other words, the situation in healthcare is less apparent compared to areas such as psychological therapy and counselling, where the principle of confidentiality regarding individual caregivers is </w:t>
      </w:r>
      <w:r w:rsidRPr="00F702DA">
        <w:rPr>
          <w:rFonts w:ascii="Arial" w:hAnsi="Arial" w:cs="Arial"/>
          <w:sz w:val="24"/>
          <w:szCs w:val="24"/>
        </w:rPr>
        <w:t>complying</w:t>
      </w:r>
      <w:r w:rsidRPr="00635973">
        <w:rPr>
          <w:rFonts w:ascii="Arial" w:hAnsi="Arial" w:cs="Arial"/>
          <w:sz w:val="24"/>
          <w:szCs w:val="24"/>
        </w:rPr>
        <w:t xml:space="preserve"> to strictly.</w:t>
      </w:r>
    </w:p>
    <w:p w14:paraId="713838B4" w14:textId="77777777" w:rsidR="00635973" w:rsidRPr="00635973" w:rsidRDefault="00635973" w:rsidP="00A71F7E">
      <w:pPr>
        <w:pStyle w:val="Heading1"/>
      </w:pPr>
      <w:bookmarkStart w:id="13" w:name="_Toc46775909"/>
      <w:bookmarkStart w:id="14" w:name="_Toc50141793"/>
      <w:r w:rsidRPr="00635973">
        <w:t>Main Benefits and Limitations of PCC</w:t>
      </w:r>
      <w:bookmarkEnd w:id="13"/>
      <w:bookmarkEnd w:id="14"/>
    </w:p>
    <w:p w14:paraId="14E43D5E" w14:textId="77777777" w:rsidR="00635973" w:rsidRPr="00635973" w:rsidRDefault="00635973" w:rsidP="00A71F7E">
      <w:pPr>
        <w:pStyle w:val="Heading2"/>
      </w:pPr>
      <w:bookmarkStart w:id="15" w:name="_Toc46775910"/>
      <w:bookmarkStart w:id="16" w:name="_Toc50141794"/>
      <w:r w:rsidRPr="00635973">
        <w:t>Benefits</w:t>
      </w:r>
      <w:bookmarkEnd w:id="15"/>
      <w:bookmarkEnd w:id="16"/>
    </w:p>
    <w:p w14:paraId="1312E8E3" w14:textId="7B643E39"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Implementing PCC is a </w:t>
      </w:r>
      <w:r w:rsidRPr="00F702DA">
        <w:rPr>
          <w:rFonts w:ascii="Arial" w:hAnsi="Arial" w:cs="Arial"/>
          <w:sz w:val="24"/>
          <w:szCs w:val="24"/>
        </w:rPr>
        <w:t>significant</w:t>
      </w:r>
      <w:r w:rsidRPr="00635973">
        <w:rPr>
          <w:rFonts w:ascii="Arial" w:hAnsi="Arial" w:cs="Arial"/>
          <w:sz w:val="24"/>
          <w:szCs w:val="24"/>
        </w:rPr>
        <w:t xml:space="preserve"> component of developing high-quality health and social care. More specifically, it improves the quality of the services available, decreases pressure on social and health services, helps individuals be </w:t>
      </w:r>
      <w:r w:rsidRPr="00635973">
        <w:rPr>
          <w:rFonts w:ascii="Arial" w:hAnsi="Arial" w:cs="Arial"/>
          <w:sz w:val="24"/>
          <w:szCs w:val="24"/>
        </w:rPr>
        <w:lastRenderedPageBreak/>
        <w:t xml:space="preserve">more active in taking care of themselves and help them get the care they need when they need it. In the UK, there is a higher demand for health services, but resources are limited Fund </w:t>
      </w:r>
      <w:r w:rsidR="004C5E45" w:rsidRPr="00F702DA">
        <w:rPr>
          <w:rFonts w:ascii="Arial" w:hAnsi="Arial" w:cs="Arial"/>
          <w:sz w:val="24"/>
          <w:szCs w:val="24"/>
        </w:rPr>
        <w:t>(</w:t>
      </w:r>
      <w:r w:rsidRPr="00635973">
        <w:rPr>
          <w:rFonts w:ascii="Arial" w:hAnsi="Arial" w:cs="Arial"/>
          <w:sz w:val="24"/>
          <w:szCs w:val="24"/>
        </w:rPr>
        <w:t>2016). Individuals live long and are likely to experience numerous health conditions as they get old. The existing body of literature indicates that PCC improves individuals’ health and minimise the burden on health services. PCC provides people with an approach that is appropriate to the individual’s need and hence, have more choice and control in their lives. Subsequently, people take an active role in managing their well-being and health working alongside social and health care professionals. Therefore, government policy in the UK focuses on strengthening PCC and abandon the paternalistic model that disregards the person-centred approach.</w:t>
      </w:r>
    </w:p>
    <w:p w14:paraId="577D069C" w14:textId="2EE6D7F8"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Further, PCC improves clinical outcomes, especially for patients with long-term conditions in which they </w:t>
      </w:r>
      <w:r w:rsidRPr="00F702DA">
        <w:rPr>
          <w:rFonts w:ascii="Arial" w:hAnsi="Arial" w:cs="Arial"/>
          <w:sz w:val="24"/>
          <w:szCs w:val="24"/>
        </w:rPr>
        <w:t>support</w:t>
      </w:r>
      <w:r w:rsidRPr="00635973">
        <w:rPr>
          <w:rFonts w:ascii="Arial" w:hAnsi="Arial" w:cs="Arial"/>
          <w:sz w:val="24"/>
          <w:szCs w:val="24"/>
        </w:rPr>
        <w:t xml:space="preserve"> to manage their care. Few people will use emergency health services when the majority </w:t>
      </w:r>
      <w:r w:rsidRPr="00F702DA">
        <w:rPr>
          <w:rFonts w:ascii="Arial" w:hAnsi="Arial" w:cs="Arial"/>
          <w:sz w:val="24"/>
          <w:szCs w:val="24"/>
        </w:rPr>
        <w:t>work</w:t>
      </w:r>
      <w:r w:rsidRPr="00635973">
        <w:rPr>
          <w:rFonts w:ascii="Arial" w:hAnsi="Arial" w:cs="Arial"/>
          <w:sz w:val="24"/>
          <w:szCs w:val="24"/>
        </w:rPr>
        <w:t xml:space="preserve"> their health collaboratively. Moreover, they are likely to follow medicine prescriptions accordingly and adhere to their treatment plans Borrington </w:t>
      </w:r>
      <w:r w:rsidRPr="00F702DA">
        <w:rPr>
          <w:rFonts w:ascii="Arial" w:hAnsi="Arial" w:cs="Arial"/>
          <w:sz w:val="24"/>
          <w:szCs w:val="24"/>
        </w:rPr>
        <w:t>(</w:t>
      </w:r>
      <w:r w:rsidRPr="00635973">
        <w:rPr>
          <w:rFonts w:ascii="Arial" w:hAnsi="Arial" w:cs="Arial"/>
          <w:sz w:val="24"/>
          <w:szCs w:val="24"/>
        </w:rPr>
        <w:t>2018). Patients are also more contented with their care because of the support and opportunity to make decisions about their care.</w:t>
      </w:r>
    </w:p>
    <w:p w14:paraId="727366B6" w14:textId="77777777" w:rsidR="00635973" w:rsidRPr="00635973" w:rsidRDefault="00635973" w:rsidP="00A71F7E">
      <w:pPr>
        <w:pStyle w:val="Heading2"/>
      </w:pPr>
      <w:bookmarkStart w:id="17" w:name="_Toc46775911"/>
      <w:bookmarkStart w:id="18" w:name="_Toc50141795"/>
      <w:r w:rsidRPr="00635973">
        <w:t>Limitations</w:t>
      </w:r>
      <w:bookmarkEnd w:id="17"/>
      <w:bookmarkEnd w:id="18"/>
    </w:p>
    <w:p w14:paraId="50383E5D" w14:textId="126697AF" w:rsid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PCC employment can vary depending on providers of care and setting, patient populations and how patients and professionals comprehend what constitute caring. Moreover, there is also the challenge of professional cultures, beliefs and practice. Subsequently, professionals may revert to disease-centred care when in a demanding situation and erroneously believe that they are practising PCC Fund </w:t>
      </w:r>
      <w:r w:rsidRPr="00F702DA">
        <w:rPr>
          <w:rFonts w:ascii="Arial" w:hAnsi="Arial" w:cs="Arial"/>
          <w:sz w:val="24"/>
          <w:szCs w:val="24"/>
        </w:rPr>
        <w:t>(</w:t>
      </w:r>
      <w:r w:rsidRPr="00635973">
        <w:rPr>
          <w:rFonts w:ascii="Arial" w:hAnsi="Arial" w:cs="Arial"/>
          <w:sz w:val="24"/>
          <w:szCs w:val="24"/>
        </w:rPr>
        <w:t xml:space="preserve">2016). There exists limited literature that describes how professionals can integrate theory into practice in contrasting settings. Few studies also exist that describes </w:t>
      </w:r>
      <w:r w:rsidRPr="00635973">
        <w:rPr>
          <w:rFonts w:ascii="Arial" w:hAnsi="Arial" w:cs="Arial"/>
          <w:sz w:val="24"/>
          <w:szCs w:val="24"/>
        </w:rPr>
        <w:lastRenderedPageBreak/>
        <w:t>what can</w:t>
      </w:r>
      <w:r w:rsidRPr="00F702DA">
        <w:rPr>
          <w:rFonts w:ascii="Arial" w:hAnsi="Arial" w:cs="Arial"/>
          <w:sz w:val="24"/>
          <w:szCs w:val="24"/>
        </w:rPr>
        <w:t xml:space="preserve"> </w:t>
      </w:r>
      <w:r w:rsidRPr="00635973">
        <w:rPr>
          <w:rFonts w:ascii="Arial" w:hAnsi="Arial" w:cs="Arial"/>
          <w:sz w:val="24"/>
          <w:szCs w:val="24"/>
        </w:rPr>
        <w:t xml:space="preserve">learn from employing and assessing PCC in the context of personal needs, priorities and routine care Moore et al. </w:t>
      </w:r>
      <w:r w:rsidR="0038595D" w:rsidRPr="00F702DA">
        <w:rPr>
          <w:rFonts w:ascii="Arial" w:hAnsi="Arial" w:cs="Arial"/>
          <w:sz w:val="24"/>
          <w:szCs w:val="24"/>
        </w:rPr>
        <w:t>(</w:t>
      </w:r>
      <w:r w:rsidRPr="00635973">
        <w:rPr>
          <w:rFonts w:ascii="Arial" w:hAnsi="Arial" w:cs="Arial"/>
          <w:sz w:val="24"/>
          <w:szCs w:val="24"/>
        </w:rPr>
        <w:t xml:space="preserve">2017). The Health and Social Care </w:t>
      </w:r>
      <w:r w:rsidR="00AF5B2C">
        <w:rPr>
          <w:rFonts w:ascii="Arial" w:hAnsi="Arial" w:cs="Arial"/>
          <w:sz w:val="24"/>
          <w:szCs w:val="24"/>
        </w:rPr>
        <w:t>(</w:t>
      </w:r>
      <w:r w:rsidR="00E9357A">
        <w:rPr>
          <w:rFonts w:ascii="Arial" w:hAnsi="Arial" w:cs="Arial"/>
          <w:sz w:val="24"/>
          <w:szCs w:val="24"/>
        </w:rPr>
        <w:t xml:space="preserve">2012) </w:t>
      </w:r>
      <w:r w:rsidRPr="00635973">
        <w:rPr>
          <w:rFonts w:ascii="Arial" w:hAnsi="Arial" w:cs="Arial"/>
          <w:sz w:val="24"/>
          <w:szCs w:val="24"/>
        </w:rPr>
        <w:t xml:space="preserve">Act created a statutory duty on local clinical commissioning groups and National Health Service England to promote PCC Borrington </w:t>
      </w:r>
      <w:r w:rsidR="0038595D" w:rsidRPr="00F702DA">
        <w:rPr>
          <w:rFonts w:ascii="Arial" w:hAnsi="Arial" w:cs="Arial"/>
          <w:sz w:val="24"/>
          <w:szCs w:val="24"/>
        </w:rPr>
        <w:t>(</w:t>
      </w:r>
      <w:r w:rsidRPr="00635973">
        <w:rPr>
          <w:rFonts w:ascii="Arial" w:hAnsi="Arial" w:cs="Arial"/>
          <w:sz w:val="24"/>
          <w:szCs w:val="24"/>
        </w:rPr>
        <w:t xml:space="preserve">2018). However, PCC requires </w:t>
      </w:r>
      <w:r w:rsidR="0014712A" w:rsidRPr="00F702DA">
        <w:rPr>
          <w:rFonts w:ascii="Arial" w:hAnsi="Arial" w:cs="Arial"/>
          <w:sz w:val="24"/>
          <w:szCs w:val="24"/>
        </w:rPr>
        <w:t>essential</w:t>
      </w:r>
      <w:r w:rsidRPr="00635973">
        <w:rPr>
          <w:rFonts w:ascii="Arial" w:hAnsi="Arial" w:cs="Arial"/>
          <w:sz w:val="24"/>
          <w:szCs w:val="24"/>
        </w:rPr>
        <w:t xml:space="preserve"> changes in clinical training and cultures</w:t>
      </w:r>
      <w:r w:rsidRPr="00F702DA">
        <w:rPr>
          <w:rFonts w:ascii="Arial" w:hAnsi="Arial" w:cs="Arial"/>
          <w:sz w:val="24"/>
          <w:szCs w:val="24"/>
        </w:rPr>
        <w:t>.</w:t>
      </w:r>
      <w:r w:rsidRPr="00635973">
        <w:rPr>
          <w:rFonts w:ascii="Arial" w:hAnsi="Arial" w:cs="Arial"/>
          <w:sz w:val="24"/>
          <w:szCs w:val="24"/>
        </w:rPr>
        <w:t xml:space="preserve"> Besides, professionals and patients must accept new responsibilities and roles. Therefore, implementation of the approach must include a </w:t>
      </w:r>
      <w:r w:rsidRPr="00F702DA">
        <w:rPr>
          <w:rFonts w:ascii="Arial" w:hAnsi="Arial" w:cs="Arial"/>
          <w:sz w:val="24"/>
          <w:szCs w:val="24"/>
        </w:rPr>
        <w:t>complet</w:t>
      </w:r>
      <w:r w:rsidRPr="00635973">
        <w:rPr>
          <w:rFonts w:ascii="Arial" w:hAnsi="Arial" w:cs="Arial"/>
          <w:sz w:val="24"/>
          <w:szCs w:val="24"/>
        </w:rPr>
        <w:t xml:space="preserve">e system response and the collaboration of numerous agencies.   </w:t>
      </w:r>
    </w:p>
    <w:p w14:paraId="04D5BF10" w14:textId="170F7BEB" w:rsidR="00A71F7E" w:rsidRDefault="00A71F7E" w:rsidP="00635973">
      <w:pPr>
        <w:spacing w:line="480" w:lineRule="auto"/>
        <w:ind w:firstLine="720"/>
        <w:rPr>
          <w:rFonts w:ascii="Arial" w:hAnsi="Arial" w:cs="Arial"/>
          <w:sz w:val="24"/>
          <w:szCs w:val="24"/>
        </w:rPr>
      </w:pPr>
    </w:p>
    <w:p w14:paraId="48119533" w14:textId="2C165845" w:rsidR="00A71F7E" w:rsidRDefault="00A71F7E" w:rsidP="00635973">
      <w:pPr>
        <w:spacing w:line="480" w:lineRule="auto"/>
        <w:ind w:firstLine="720"/>
        <w:rPr>
          <w:rFonts w:ascii="Arial" w:hAnsi="Arial" w:cs="Arial"/>
          <w:sz w:val="24"/>
          <w:szCs w:val="24"/>
        </w:rPr>
      </w:pPr>
    </w:p>
    <w:p w14:paraId="70450EFA" w14:textId="77777777" w:rsidR="00A71F7E" w:rsidRPr="00635973" w:rsidRDefault="00A71F7E" w:rsidP="00635973">
      <w:pPr>
        <w:spacing w:line="480" w:lineRule="auto"/>
        <w:ind w:firstLine="720"/>
        <w:rPr>
          <w:rFonts w:ascii="Arial" w:hAnsi="Arial" w:cs="Arial"/>
          <w:sz w:val="24"/>
          <w:szCs w:val="24"/>
        </w:rPr>
      </w:pPr>
    </w:p>
    <w:p w14:paraId="18BD6582" w14:textId="77777777" w:rsidR="00635973" w:rsidRPr="00635973" w:rsidRDefault="00635973" w:rsidP="00A71F7E">
      <w:pPr>
        <w:pStyle w:val="Heading1"/>
      </w:pPr>
      <w:bookmarkStart w:id="19" w:name="_Toc46775912"/>
      <w:bookmarkStart w:id="20" w:name="_Toc50141796"/>
      <w:r w:rsidRPr="00635973">
        <w:t>Application of PCC For People with Dementia</w:t>
      </w:r>
      <w:bookmarkEnd w:id="19"/>
      <w:bookmarkEnd w:id="20"/>
    </w:p>
    <w:p w14:paraId="34EBD909" w14:textId="26273A62"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PCC is an integrative and holistic approach designed to maintain the quality of life and well-being for people with dementia. Person-centred dementia care is </w:t>
      </w:r>
      <w:r w:rsidR="00F63AB2" w:rsidRPr="00F702DA">
        <w:rPr>
          <w:rFonts w:ascii="Arial" w:hAnsi="Arial" w:cs="Arial"/>
          <w:sz w:val="24"/>
          <w:szCs w:val="24"/>
        </w:rPr>
        <w:t>generally</w:t>
      </w:r>
      <w:r w:rsidRPr="00635973">
        <w:rPr>
          <w:rFonts w:ascii="Arial" w:hAnsi="Arial" w:cs="Arial"/>
          <w:sz w:val="24"/>
          <w:szCs w:val="24"/>
        </w:rPr>
        <w:t xml:space="preserve"> </w:t>
      </w:r>
      <w:r w:rsidR="00F63AB2" w:rsidRPr="00F702DA">
        <w:rPr>
          <w:rFonts w:ascii="Arial" w:hAnsi="Arial" w:cs="Arial"/>
          <w:sz w:val="24"/>
          <w:szCs w:val="24"/>
        </w:rPr>
        <w:t>known</w:t>
      </w:r>
      <w:r w:rsidRPr="00635973">
        <w:rPr>
          <w:rFonts w:ascii="Arial" w:hAnsi="Arial" w:cs="Arial"/>
          <w:sz w:val="24"/>
          <w:szCs w:val="24"/>
        </w:rPr>
        <w:t xml:space="preserve"> as a value-driven, centres on independence, empowerment and well-being and empowerment of persons with dementia and families Kim and Park </w:t>
      </w:r>
      <w:r w:rsidR="00723971" w:rsidRPr="00F702DA">
        <w:rPr>
          <w:rFonts w:ascii="Arial" w:hAnsi="Arial" w:cs="Arial"/>
          <w:sz w:val="24"/>
          <w:szCs w:val="24"/>
        </w:rPr>
        <w:t>(</w:t>
      </w:r>
      <w:r w:rsidRPr="00635973">
        <w:rPr>
          <w:rFonts w:ascii="Arial" w:hAnsi="Arial" w:cs="Arial"/>
          <w:sz w:val="24"/>
          <w:szCs w:val="24"/>
        </w:rPr>
        <w:t xml:space="preserve">2017). According to Kitwood, dementia experience encompasses the stages of neurological impairment, their personality and coping style, life history, personal fitness and health level Manthorpe and Samsi </w:t>
      </w:r>
      <w:r w:rsidR="00723971" w:rsidRPr="00F702DA">
        <w:rPr>
          <w:rFonts w:ascii="Arial" w:hAnsi="Arial" w:cs="Arial"/>
          <w:sz w:val="24"/>
          <w:szCs w:val="24"/>
        </w:rPr>
        <w:t>(</w:t>
      </w:r>
      <w:r w:rsidRPr="00635973">
        <w:rPr>
          <w:rFonts w:ascii="Arial" w:hAnsi="Arial" w:cs="Arial"/>
          <w:sz w:val="24"/>
          <w:szCs w:val="24"/>
        </w:rPr>
        <w:t xml:space="preserve">2016). Subsequently, it includes the social psychology of the environment where the patient lives. </w:t>
      </w:r>
      <w:r w:rsidR="00DE6773" w:rsidRPr="00F702DA">
        <w:rPr>
          <w:rFonts w:ascii="Arial" w:hAnsi="Arial" w:cs="Arial"/>
          <w:sz w:val="24"/>
          <w:szCs w:val="24"/>
        </w:rPr>
        <w:t>M</w:t>
      </w:r>
      <w:r w:rsidR="006349CD" w:rsidRPr="00F702DA">
        <w:rPr>
          <w:rFonts w:ascii="Arial" w:hAnsi="Arial" w:cs="Arial"/>
          <w:sz w:val="24"/>
          <w:szCs w:val="24"/>
        </w:rPr>
        <w:t>ostly</w:t>
      </w:r>
      <w:r w:rsidRPr="00635973">
        <w:rPr>
          <w:rFonts w:ascii="Arial" w:hAnsi="Arial" w:cs="Arial"/>
          <w:sz w:val="24"/>
          <w:szCs w:val="24"/>
        </w:rPr>
        <w:t xml:space="preserve">, a person may be denied a sense of personhood in case sociopsychological and neurological factors interplay negatively. </w:t>
      </w:r>
      <w:r w:rsidR="00BD2A85" w:rsidRPr="00F702DA">
        <w:rPr>
          <w:rFonts w:ascii="Arial" w:hAnsi="Arial" w:cs="Arial"/>
          <w:sz w:val="24"/>
          <w:szCs w:val="24"/>
        </w:rPr>
        <w:t>And</w:t>
      </w:r>
      <w:r w:rsidR="00F62C42" w:rsidRPr="00F702DA">
        <w:rPr>
          <w:rFonts w:ascii="Arial" w:hAnsi="Arial" w:cs="Arial"/>
          <w:sz w:val="24"/>
          <w:szCs w:val="24"/>
        </w:rPr>
        <w:t xml:space="preserve"> </w:t>
      </w:r>
      <w:r w:rsidRPr="00635973">
        <w:rPr>
          <w:rFonts w:ascii="Arial" w:hAnsi="Arial" w:cs="Arial"/>
          <w:sz w:val="24"/>
          <w:szCs w:val="24"/>
        </w:rPr>
        <w:t xml:space="preserve">is attributable to the occurrence of care practices like stigmatisation and intimidation, which create social psychology. In such cases, an individual is invalidated, depersonalised and treated as an object.  </w:t>
      </w:r>
    </w:p>
    <w:p w14:paraId="19AAF65E" w14:textId="388ABDF0" w:rsidR="0080351D" w:rsidRPr="00F702DA" w:rsidRDefault="00635973" w:rsidP="00635973">
      <w:pPr>
        <w:spacing w:line="480" w:lineRule="auto"/>
        <w:ind w:firstLine="720"/>
        <w:rPr>
          <w:rFonts w:ascii="Arial" w:hAnsi="Arial" w:cs="Arial"/>
          <w:sz w:val="24"/>
          <w:szCs w:val="24"/>
        </w:rPr>
      </w:pPr>
      <w:r w:rsidRPr="00635973">
        <w:rPr>
          <w:rFonts w:ascii="Arial" w:hAnsi="Arial" w:cs="Arial"/>
          <w:sz w:val="24"/>
          <w:szCs w:val="24"/>
        </w:rPr>
        <w:lastRenderedPageBreak/>
        <w:t>Further, PCC aims to respect personhood despite cognitive challenges.</w:t>
      </w:r>
      <w:r w:rsidR="00B5505E" w:rsidRPr="00F702DA">
        <w:rPr>
          <w:rFonts w:ascii="Arial" w:hAnsi="Arial" w:cs="Arial"/>
          <w:sz w:val="24"/>
          <w:szCs w:val="24"/>
        </w:rPr>
        <w:t xml:space="preserve"> </w:t>
      </w:r>
      <w:r w:rsidR="006F7AF7" w:rsidRPr="00F702DA">
        <w:rPr>
          <w:rFonts w:ascii="Arial" w:hAnsi="Arial" w:cs="Arial"/>
          <w:sz w:val="24"/>
          <w:szCs w:val="24"/>
        </w:rPr>
        <w:t>The i</w:t>
      </w:r>
      <w:r w:rsidRPr="00635973">
        <w:rPr>
          <w:rFonts w:ascii="Arial" w:hAnsi="Arial" w:cs="Arial"/>
          <w:sz w:val="24"/>
          <w:szCs w:val="24"/>
        </w:rPr>
        <w:t xml:space="preserve">ndividual with dementia </w:t>
      </w:r>
      <w:r w:rsidR="00B5505E" w:rsidRPr="00F702DA">
        <w:rPr>
          <w:rFonts w:ascii="Arial" w:hAnsi="Arial" w:cs="Arial"/>
          <w:sz w:val="24"/>
          <w:szCs w:val="24"/>
        </w:rPr>
        <w:t>must be</w:t>
      </w:r>
      <w:r w:rsidRPr="00635973">
        <w:rPr>
          <w:rFonts w:ascii="Arial" w:hAnsi="Arial" w:cs="Arial"/>
          <w:sz w:val="24"/>
          <w:szCs w:val="24"/>
        </w:rPr>
        <w:t xml:space="preserve"> respected and valued</w:t>
      </w:r>
      <w:r w:rsidR="00B5505E" w:rsidRPr="00F702DA">
        <w:rPr>
          <w:rFonts w:ascii="Arial" w:hAnsi="Arial" w:cs="Arial"/>
          <w:sz w:val="24"/>
          <w:szCs w:val="24"/>
        </w:rPr>
        <w:t>.</w:t>
      </w:r>
      <w:r w:rsidR="000144DA" w:rsidRPr="00F702DA">
        <w:rPr>
          <w:rFonts w:ascii="Arial" w:hAnsi="Arial" w:cs="Arial"/>
          <w:sz w:val="24"/>
          <w:szCs w:val="24"/>
        </w:rPr>
        <w:t xml:space="preserve"> </w:t>
      </w:r>
      <w:r w:rsidR="00B5505E" w:rsidRPr="00F702DA">
        <w:rPr>
          <w:rFonts w:ascii="Arial" w:hAnsi="Arial" w:cs="Arial"/>
          <w:sz w:val="24"/>
          <w:szCs w:val="24"/>
        </w:rPr>
        <w:t>A</w:t>
      </w:r>
      <w:r w:rsidR="000144DA" w:rsidRPr="00F702DA">
        <w:rPr>
          <w:rFonts w:ascii="Arial" w:hAnsi="Arial" w:cs="Arial"/>
          <w:sz w:val="24"/>
          <w:szCs w:val="24"/>
        </w:rPr>
        <w:t>nd</w:t>
      </w:r>
      <w:r w:rsidR="009050D2" w:rsidRPr="00F702DA">
        <w:rPr>
          <w:rFonts w:ascii="Arial" w:hAnsi="Arial" w:cs="Arial"/>
          <w:sz w:val="24"/>
          <w:szCs w:val="24"/>
        </w:rPr>
        <w:t xml:space="preserve"> a</w:t>
      </w:r>
      <w:r w:rsidRPr="00635973">
        <w:rPr>
          <w:rFonts w:ascii="Arial" w:hAnsi="Arial" w:cs="Arial"/>
          <w:sz w:val="24"/>
          <w:szCs w:val="24"/>
        </w:rPr>
        <w:t xml:space="preserve">s a social being in the case where people, including professionals, recognise and </w:t>
      </w:r>
      <w:r w:rsidR="009050D2" w:rsidRPr="00F702DA">
        <w:rPr>
          <w:rFonts w:ascii="Arial" w:hAnsi="Arial" w:cs="Arial"/>
          <w:sz w:val="24"/>
          <w:szCs w:val="24"/>
        </w:rPr>
        <w:t>lov</w:t>
      </w:r>
      <w:r w:rsidRPr="00635973">
        <w:rPr>
          <w:rFonts w:ascii="Arial" w:hAnsi="Arial" w:cs="Arial"/>
          <w:sz w:val="24"/>
          <w:szCs w:val="24"/>
        </w:rPr>
        <w:t xml:space="preserve">es his or her personhood. As such, these patients experience a sense of identity, attachment, comfort, inclusion and occupation. Applying PCC for people dementia takes time to develop and requires consistent long-term relationships with caregivers to achieved </w:t>
      </w:r>
      <w:r w:rsidR="007A4F18" w:rsidRPr="00F702DA">
        <w:rPr>
          <w:rFonts w:ascii="Arial" w:hAnsi="Arial" w:cs="Arial"/>
          <w:sz w:val="24"/>
          <w:szCs w:val="24"/>
        </w:rPr>
        <w:t>Fazio et al. (2018)</w:t>
      </w:r>
      <w:r w:rsidRPr="00635973">
        <w:rPr>
          <w:rFonts w:ascii="Arial" w:hAnsi="Arial" w:cs="Arial"/>
          <w:sz w:val="24"/>
          <w:szCs w:val="24"/>
        </w:rPr>
        <w:t>. In the UK, the National Institute for Health and Clinical Excellence embraces the concepts of PCC. Besides, it instructs NHS Trusts to offer services that address the physical and mental, and personal and social care needs of individuals with dementia.</w:t>
      </w:r>
    </w:p>
    <w:p w14:paraId="56F1F992" w14:textId="6C75646F"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Nevertheless, less attention is </w:t>
      </w:r>
      <w:r w:rsidR="004E00C7" w:rsidRPr="00F702DA">
        <w:rPr>
          <w:rFonts w:ascii="Arial" w:hAnsi="Arial" w:cs="Arial"/>
          <w:sz w:val="24"/>
          <w:szCs w:val="24"/>
        </w:rPr>
        <w:t>monitoring</w:t>
      </w:r>
      <w:r w:rsidRPr="00635973">
        <w:rPr>
          <w:rFonts w:ascii="Arial" w:hAnsi="Arial" w:cs="Arial"/>
          <w:sz w:val="24"/>
          <w:szCs w:val="24"/>
        </w:rPr>
        <w:t xml:space="preserve"> on acute hospitals despite much work considering PCC in long-term settings. </w:t>
      </w:r>
      <w:r w:rsidR="0041782A" w:rsidRPr="00F702DA">
        <w:rPr>
          <w:rFonts w:ascii="Arial" w:hAnsi="Arial" w:cs="Arial"/>
          <w:sz w:val="24"/>
          <w:szCs w:val="24"/>
        </w:rPr>
        <w:t>It</w:t>
      </w:r>
      <w:r w:rsidRPr="00635973">
        <w:rPr>
          <w:rFonts w:ascii="Arial" w:hAnsi="Arial" w:cs="Arial"/>
          <w:sz w:val="24"/>
          <w:szCs w:val="24"/>
        </w:rPr>
        <w:t xml:space="preserve"> is essential given that some factors in acute hospitals are likely to make the delivery of PCC problematic. The reason is that rapid diagnosis and therapeutic interventions are the priorities with short lengths of stay.</w:t>
      </w:r>
    </w:p>
    <w:p w14:paraId="1C0044EF" w14:textId="77777777" w:rsidR="00635973" w:rsidRPr="00635973" w:rsidRDefault="00635973" w:rsidP="00A71F7E">
      <w:pPr>
        <w:pStyle w:val="Heading2"/>
      </w:pPr>
      <w:bookmarkStart w:id="21" w:name="_Toc46775913"/>
      <w:bookmarkStart w:id="22" w:name="_Toc50141797"/>
      <w:r w:rsidRPr="00635973">
        <w:t>Recommendation for Improving PCC for People with Dementia</w:t>
      </w:r>
      <w:bookmarkEnd w:id="21"/>
      <w:bookmarkEnd w:id="22"/>
    </w:p>
    <w:p w14:paraId="51615812" w14:textId="1E25D0D6"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Greater availability of PCC for all individuals could enable better care, better functioning for individuals with dementia and better quality of life. Currently, nonetheless, there lacks an understanding of the meaning of PCC for people with dementia and how it implemen</w:t>
      </w:r>
      <w:r w:rsidR="003446A5" w:rsidRPr="00F702DA">
        <w:rPr>
          <w:rFonts w:ascii="Arial" w:hAnsi="Arial" w:cs="Arial"/>
          <w:sz w:val="24"/>
          <w:szCs w:val="24"/>
        </w:rPr>
        <w:t>ted</w:t>
      </w:r>
      <w:r w:rsidRPr="00635973">
        <w:rPr>
          <w:rFonts w:ascii="Arial" w:hAnsi="Arial" w:cs="Arial"/>
          <w:sz w:val="24"/>
          <w:szCs w:val="24"/>
        </w:rPr>
        <w:t xml:space="preserve"> in practice. There are also assumptions regarding whether PCC is feasible and appropriate for people with dementia. Therefore, the achievement of positive outcomes is blocked. Practice recommendations for improving PCC for people with dementia include:</w:t>
      </w:r>
    </w:p>
    <w:p w14:paraId="1E7C7CD0" w14:textId="77777777" w:rsidR="00635973" w:rsidRPr="00635973" w:rsidRDefault="00635973" w:rsidP="00A71F7E">
      <w:pPr>
        <w:pStyle w:val="Heading2"/>
      </w:pPr>
      <w:bookmarkStart w:id="23" w:name="_Toc46775914"/>
      <w:bookmarkStart w:id="24" w:name="_Toc50141798"/>
      <w:r w:rsidRPr="00635973">
        <w:lastRenderedPageBreak/>
        <w:t>Knowing the Individual with Dementia</w:t>
      </w:r>
      <w:bookmarkEnd w:id="23"/>
      <w:bookmarkEnd w:id="24"/>
    </w:p>
    <w:p w14:paraId="28CCFBF9" w14:textId="464CBAF8"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The person with dementia is beyond a diagnosis. Thus, the unique and complete person must know</w:t>
      </w:r>
      <w:r w:rsidR="000554CE" w:rsidRPr="00F702DA">
        <w:rPr>
          <w:rFonts w:ascii="Arial" w:hAnsi="Arial" w:cs="Arial"/>
          <w:sz w:val="24"/>
          <w:szCs w:val="24"/>
        </w:rPr>
        <w:t xml:space="preserve"> for</w:t>
      </w:r>
      <w:r w:rsidRPr="00635973">
        <w:rPr>
          <w:rFonts w:ascii="Arial" w:hAnsi="Arial" w:cs="Arial"/>
          <w:sz w:val="24"/>
          <w:szCs w:val="24"/>
        </w:rPr>
        <w:t xml:space="preserve"> both past</w:t>
      </w:r>
      <w:r w:rsidR="000554CE" w:rsidRPr="00F702DA">
        <w:rPr>
          <w:rFonts w:ascii="Arial" w:hAnsi="Arial" w:cs="Arial"/>
          <w:sz w:val="24"/>
          <w:szCs w:val="24"/>
        </w:rPr>
        <w:t>,</w:t>
      </w:r>
      <w:r w:rsidRPr="00635973">
        <w:rPr>
          <w:rFonts w:ascii="Arial" w:hAnsi="Arial" w:cs="Arial"/>
          <w:sz w:val="24"/>
          <w:szCs w:val="24"/>
        </w:rPr>
        <w:t xml:space="preserve"> and present</w:t>
      </w:r>
      <w:r w:rsidR="003446A5" w:rsidRPr="00F702DA">
        <w:rPr>
          <w:rFonts w:ascii="Arial" w:hAnsi="Arial" w:cs="Arial"/>
          <w:sz w:val="24"/>
          <w:szCs w:val="24"/>
        </w:rPr>
        <w:t xml:space="preserve"> are</w:t>
      </w:r>
      <w:r w:rsidRPr="00635973">
        <w:rPr>
          <w:rFonts w:ascii="Arial" w:hAnsi="Arial" w:cs="Arial"/>
          <w:sz w:val="24"/>
          <w:szCs w:val="24"/>
        </w:rPr>
        <w:t xml:space="preserve"> encompassing his or her abilities, beliefs, values, likes and dislikes and interests. The information must inform every experience and interaction.</w:t>
      </w:r>
    </w:p>
    <w:p w14:paraId="5AEB5313" w14:textId="77777777" w:rsidR="00635973" w:rsidRPr="00635973" w:rsidRDefault="00635973" w:rsidP="00A71F7E">
      <w:pPr>
        <w:pStyle w:val="Heading1"/>
      </w:pPr>
      <w:bookmarkStart w:id="25" w:name="_Toc46775915"/>
      <w:bookmarkStart w:id="26" w:name="_Toc50141799"/>
      <w:r w:rsidRPr="00635973">
        <w:t>Recognising and Accepting the Individual’s Reality</w:t>
      </w:r>
      <w:bookmarkEnd w:id="25"/>
      <w:bookmarkEnd w:id="26"/>
    </w:p>
    <w:p w14:paraId="10DEF505" w14:textId="3097756A"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Caregivers should view the world from the perspective of the person with dementia. As such, behaviour is </w:t>
      </w:r>
      <w:r w:rsidR="00352896" w:rsidRPr="00F702DA">
        <w:rPr>
          <w:rFonts w:ascii="Arial" w:hAnsi="Arial" w:cs="Arial"/>
          <w:sz w:val="24"/>
          <w:szCs w:val="24"/>
        </w:rPr>
        <w:t>known</w:t>
      </w:r>
      <w:r w:rsidRPr="00635973">
        <w:rPr>
          <w:rFonts w:ascii="Arial" w:hAnsi="Arial" w:cs="Arial"/>
          <w:sz w:val="24"/>
          <w:szCs w:val="24"/>
        </w:rPr>
        <w:t xml:space="preserve"> as a form of communication. Thus, empathetic and effective communication is </w:t>
      </w:r>
      <w:r w:rsidR="007301D2" w:rsidRPr="00F702DA">
        <w:rPr>
          <w:rFonts w:ascii="Arial" w:hAnsi="Arial" w:cs="Arial"/>
          <w:sz w:val="24"/>
          <w:szCs w:val="24"/>
        </w:rPr>
        <w:t>encouraged</w:t>
      </w:r>
      <w:r w:rsidR="00F5511E" w:rsidRPr="00F702DA">
        <w:rPr>
          <w:rFonts w:ascii="Arial" w:hAnsi="Arial" w:cs="Arial"/>
          <w:sz w:val="24"/>
          <w:szCs w:val="24"/>
        </w:rPr>
        <w:t>.</w:t>
      </w:r>
      <w:r w:rsidRPr="00635973">
        <w:rPr>
          <w:rFonts w:ascii="Arial" w:hAnsi="Arial" w:cs="Arial"/>
          <w:sz w:val="24"/>
          <w:szCs w:val="24"/>
        </w:rPr>
        <w:t xml:space="preserve"> </w:t>
      </w:r>
      <w:r w:rsidR="00F5511E" w:rsidRPr="00F702DA">
        <w:rPr>
          <w:rFonts w:ascii="Arial" w:hAnsi="Arial" w:cs="Arial"/>
          <w:sz w:val="24"/>
          <w:szCs w:val="24"/>
        </w:rPr>
        <w:t>T</w:t>
      </w:r>
      <w:r w:rsidRPr="00635973">
        <w:rPr>
          <w:rFonts w:ascii="Arial" w:hAnsi="Arial" w:cs="Arial"/>
          <w:sz w:val="24"/>
          <w:szCs w:val="24"/>
        </w:rPr>
        <w:t>hat connects and validates feelings with the person in his or her reality.</w:t>
      </w:r>
    </w:p>
    <w:p w14:paraId="546A709F" w14:textId="77777777" w:rsidR="00635973" w:rsidRPr="00635973" w:rsidRDefault="00635973" w:rsidP="00A71F7E">
      <w:pPr>
        <w:pStyle w:val="Heading1"/>
      </w:pPr>
      <w:bookmarkStart w:id="27" w:name="_Toc46775916"/>
      <w:bookmarkStart w:id="28" w:name="_Toc50141800"/>
      <w:r w:rsidRPr="00635973">
        <w:t>Identifying and Supporting Ongoing Opportunities for Meaningful Engagement</w:t>
      </w:r>
      <w:bookmarkEnd w:id="27"/>
      <w:bookmarkEnd w:id="28"/>
    </w:p>
    <w:p w14:paraId="126F5942" w14:textId="1FDF83AB"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The interaction and experience between caregivers and patients should be </w:t>
      </w:r>
      <w:r w:rsidR="001369B3" w:rsidRPr="00F702DA">
        <w:rPr>
          <w:rFonts w:ascii="Arial" w:hAnsi="Arial" w:cs="Arial"/>
          <w:sz w:val="24"/>
          <w:szCs w:val="24"/>
        </w:rPr>
        <w:t>apparent</w:t>
      </w:r>
      <w:r w:rsidRPr="00635973">
        <w:rPr>
          <w:rFonts w:ascii="Arial" w:hAnsi="Arial" w:cs="Arial"/>
          <w:sz w:val="24"/>
          <w:szCs w:val="24"/>
        </w:rPr>
        <w:t xml:space="preserve"> as an opportunity for engagement. Notably, </w:t>
      </w:r>
      <w:r w:rsidR="002B324A" w:rsidRPr="00F702DA">
        <w:rPr>
          <w:rFonts w:ascii="Arial" w:hAnsi="Arial" w:cs="Arial"/>
          <w:sz w:val="24"/>
          <w:szCs w:val="24"/>
        </w:rPr>
        <w:t>attention</w:t>
      </w:r>
      <w:r w:rsidRPr="00635973">
        <w:rPr>
          <w:rFonts w:ascii="Arial" w:hAnsi="Arial" w:cs="Arial"/>
          <w:sz w:val="24"/>
          <w:szCs w:val="24"/>
        </w:rPr>
        <w:t xml:space="preserve"> should be purposeful and meaningful to the person with dementia. Indeed, it should allow choice and success, support preferences and interests and recognise that the person can experience comfort, joy, and meaningful in life even when the dementia is most severe.</w:t>
      </w:r>
    </w:p>
    <w:p w14:paraId="54BFF61E" w14:textId="77777777" w:rsidR="00635973" w:rsidRPr="00635973" w:rsidRDefault="00635973" w:rsidP="00A71F7E">
      <w:pPr>
        <w:pStyle w:val="Heading1"/>
      </w:pPr>
      <w:bookmarkStart w:id="29" w:name="_Toc46775917"/>
      <w:bookmarkStart w:id="30" w:name="_Toc50141801"/>
      <w:r w:rsidRPr="00635973">
        <w:t>Building and Nurturing Authentic, Caring Relationships</w:t>
      </w:r>
      <w:bookmarkEnd w:id="29"/>
      <w:bookmarkEnd w:id="30"/>
    </w:p>
    <w:p w14:paraId="6351BF21" w14:textId="2ED41539"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Caregivers and people with dementia should work collaboratively and create a relationship that treats these patients with respect and dignity and support their individuality. The kind of caring relationship does not focus on the task; </w:t>
      </w:r>
      <w:r w:rsidR="00CD6105" w:rsidRPr="00F702DA">
        <w:rPr>
          <w:rFonts w:ascii="Arial" w:hAnsi="Arial" w:cs="Arial"/>
          <w:sz w:val="24"/>
          <w:szCs w:val="24"/>
        </w:rPr>
        <w:t>instead</w:t>
      </w:r>
      <w:r w:rsidRPr="00635973">
        <w:rPr>
          <w:rFonts w:ascii="Arial" w:hAnsi="Arial" w:cs="Arial"/>
          <w:sz w:val="24"/>
          <w:szCs w:val="24"/>
        </w:rPr>
        <w:t xml:space="preserve">, it emphasises on being present and concentrating on the interaction. Hence, mutually beneficial and supportive relationship is </w:t>
      </w:r>
      <w:r w:rsidR="00AF1CF1" w:rsidRPr="00F702DA">
        <w:rPr>
          <w:rFonts w:ascii="Arial" w:hAnsi="Arial" w:cs="Arial"/>
          <w:sz w:val="24"/>
          <w:szCs w:val="24"/>
        </w:rPr>
        <w:t>encouraged</w:t>
      </w:r>
      <w:r w:rsidRPr="00635973">
        <w:rPr>
          <w:rFonts w:ascii="Arial" w:hAnsi="Arial" w:cs="Arial"/>
          <w:sz w:val="24"/>
          <w:szCs w:val="24"/>
        </w:rPr>
        <w:t>.</w:t>
      </w:r>
    </w:p>
    <w:p w14:paraId="521E33D9" w14:textId="77777777" w:rsidR="00635973" w:rsidRPr="00635973" w:rsidRDefault="00635973" w:rsidP="00A71F7E">
      <w:pPr>
        <w:pStyle w:val="Heading1"/>
      </w:pPr>
      <w:bookmarkStart w:id="31" w:name="_Toc46775918"/>
      <w:bookmarkStart w:id="32" w:name="_Toc50141802"/>
      <w:r w:rsidRPr="00635973">
        <w:lastRenderedPageBreak/>
        <w:t>Creating and Maintaining A Supportive Community for Staff, Families and Individuals</w:t>
      </w:r>
      <w:bookmarkEnd w:id="31"/>
      <w:bookmarkEnd w:id="32"/>
    </w:p>
    <w:p w14:paraId="6BB7E405" w14:textId="3E8C9926"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Opportunities for success and comfort are </w:t>
      </w:r>
      <w:r w:rsidR="004468DC" w:rsidRPr="00F702DA">
        <w:rPr>
          <w:rFonts w:ascii="Arial" w:hAnsi="Arial" w:cs="Arial"/>
          <w:sz w:val="24"/>
          <w:szCs w:val="24"/>
        </w:rPr>
        <w:t>reputable</w:t>
      </w:r>
      <w:r w:rsidRPr="00635973">
        <w:rPr>
          <w:rFonts w:ascii="Arial" w:hAnsi="Arial" w:cs="Arial"/>
          <w:sz w:val="24"/>
          <w:szCs w:val="24"/>
        </w:rPr>
        <w:t xml:space="preserve"> through a supportive community. </w:t>
      </w:r>
      <w:r w:rsidR="00305A49" w:rsidRPr="00F702DA">
        <w:rPr>
          <w:rFonts w:ascii="Arial" w:hAnsi="Arial" w:cs="Arial"/>
          <w:sz w:val="24"/>
          <w:szCs w:val="24"/>
        </w:rPr>
        <w:t>Generally</w:t>
      </w:r>
      <w:r w:rsidRPr="00635973">
        <w:rPr>
          <w:rFonts w:ascii="Arial" w:hAnsi="Arial" w:cs="Arial"/>
          <w:sz w:val="24"/>
          <w:szCs w:val="24"/>
        </w:rPr>
        <w:t>, a community respects individual differences and values each person. The same community provides opportunities and access to shared experiences, engagement and autonomy.</w:t>
      </w:r>
    </w:p>
    <w:p w14:paraId="08B38C01" w14:textId="77777777" w:rsidR="00635973" w:rsidRPr="00635973" w:rsidRDefault="00635973" w:rsidP="00A71F7E">
      <w:pPr>
        <w:pStyle w:val="Heading1"/>
      </w:pPr>
      <w:bookmarkStart w:id="33" w:name="_Toc46775919"/>
      <w:bookmarkStart w:id="34" w:name="_Toc50141803"/>
      <w:r w:rsidRPr="00635973">
        <w:t>Evaluating Care Practices Regularly and Making Appropriate Changes</w:t>
      </w:r>
      <w:bookmarkEnd w:id="33"/>
      <w:bookmarkEnd w:id="34"/>
    </w:p>
    <w:p w14:paraId="6B0EC353" w14:textId="1D430FEC" w:rsid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Tools such as clinical dementia rating scale, Montreal cognitive assessment and Neuropsychiatric inventory assess PCC practices for individuals with dementia. Regular evaluation of </w:t>
      </w:r>
      <w:r w:rsidR="00A159F0" w:rsidRPr="00F702DA">
        <w:rPr>
          <w:rFonts w:ascii="Arial" w:hAnsi="Arial" w:cs="Arial"/>
          <w:sz w:val="24"/>
          <w:szCs w:val="24"/>
        </w:rPr>
        <w:t>approach</w:t>
      </w:r>
      <w:r w:rsidRPr="00635973">
        <w:rPr>
          <w:rFonts w:ascii="Arial" w:hAnsi="Arial" w:cs="Arial"/>
          <w:sz w:val="24"/>
          <w:szCs w:val="24"/>
        </w:rPr>
        <w:t xml:space="preserve">es and models is essential. Subsequently, findings should be </w:t>
      </w:r>
      <w:proofErr w:type="gramStart"/>
      <w:r w:rsidRPr="00635973">
        <w:rPr>
          <w:rFonts w:ascii="Arial" w:hAnsi="Arial" w:cs="Arial"/>
          <w:sz w:val="24"/>
          <w:szCs w:val="24"/>
        </w:rPr>
        <w:t>shared</w:t>
      </w:r>
      <w:proofErr w:type="gramEnd"/>
      <w:r w:rsidRPr="00635973">
        <w:rPr>
          <w:rFonts w:ascii="Arial" w:hAnsi="Arial" w:cs="Arial"/>
          <w:sz w:val="24"/>
          <w:szCs w:val="24"/>
        </w:rPr>
        <w:t xml:space="preserve"> and changes made to </w:t>
      </w:r>
      <w:r w:rsidR="004D1021" w:rsidRPr="00F702DA">
        <w:rPr>
          <w:rFonts w:ascii="Arial" w:hAnsi="Arial" w:cs="Arial"/>
          <w:sz w:val="24"/>
          <w:szCs w:val="24"/>
        </w:rPr>
        <w:t>plans</w:t>
      </w:r>
      <w:r w:rsidRPr="00635973">
        <w:rPr>
          <w:rFonts w:ascii="Arial" w:hAnsi="Arial" w:cs="Arial"/>
          <w:sz w:val="24"/>
          <w:szCs w:val="24"/>
        </w:rPr>
        <w:t>, interactions and pr</w:t>
      </w:r>
      <w:r w:rsidR="0014152B" w:rsidRPr="00F702DA">
        <w:rPr>
          <w:rFonts w:ascii="Arial" w:hAnsi="Arial" w:cs="Arial"/>
          <w:sz w:val="24"/>
          <w:szCs w:val="24"/>
        </w:rPr>
        <w:t>ocedur</w:t>
      </w:r>
      <w:r w:rsidRPr="00635973">
        <w:rPr>
          <w:rFonts w:ascii="Arial" w:hAnsi="Arial" w:cs="Arial"/>
          <w:sz w:val="24"/>
          <w:szCs w:val="24"/>
        </w:rPr>
        <w:t xml:space="preserve">es as required.  </w:t>
      </w:r>
    </w:p>
    <w:p w14:paraId="30C686D5" w14:textId="5548F7C0" w:rsidR="00A71F7E" w:rsidRDefault="00A71F7E" w:rsidP="00635973">
      <w:pPr>
        <w:spacing w:line="480" w:lineRule="auto"/>
        <w:ind w:firstLine="720"/>
        <w:rPr>
          <w:rFonts w:ascii="Arial" w:hAnsi="Arial" w:cs="Arial"/>
          <w:sz w:val="24"/>
          <w:szCs w:val="24"/>
        </w:rPr>
      </w:pPr>
    </w:p>
    <w:p w14:paraId="6B556AC5" w14:textId="77777777" w:rsidR="00A71F7E" w:rsidRPr="00635973" w:rsidRDefault="00A71F7E" w:rsidP="00635973">
      <w:pPr>
        <w:spacing w:line="480" w:lineRule="auto"/>
        <w:ind w:firstLine="720"/>
        <w:rPr>
          <w:rFonts w:ascii="Arial" w:hAnsi="Arial" w:cs="Arial"/>
          <w:sz w:val="24"/>
          <w:szCs w:val="24"/>
        </w:rPr>
      </w:pPr>
    </w:p>
    <w:p w14:paraId="30683380" w14:textId="77777777" w:rsidR="00635973" w:rsidRPr="00635973" w:rsidRDefault="00635973" w:rsidP="00A71F7E">
      <w:pPr>
        <w:pStyle w:val="Heading1"/>
      </w:pPr>
      <w:bookmarkStart w:id="35" w:name="_Toc46775920"/>
      <w:bookmarkStart w:id="36" w:name="_Toc50141804"/>
      <w:r w:rsidRPr="00635973">
        <w:t>Limitations of The Recommendations</w:t>
      </w:r>
      <w:bookmarkEnd w:id="35"/>
      <w:bookmarkEnd w:id="36"/>
    </w:p>
    <w:p w14:paraId="288C8227" w14:textId="076F0087" w:rsidR="00635973" w:rsidRP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The potential limitations of the recommendations include individuals’ characteristics in which they are likely to affect what lengths they are able or want to engage in their health and care. These characteristics encompass the severity of dementia, their preferences and beliefs, and cultural and social backgrounds. Thus, caregivers must consider these factors when designing approaches and interventions. Another </w:t>
      </w:r>
      <w:r w:rsidR="000B0241" w:rsidRPr="00F702DA">
        <w:rPr>
          <w:rFonts w:ascii="Arial" w:hAnsi="Arial" w:cs="Arial"/>
          <w:sz w:val="24"/>
          <w:szCs w:val="24"/>
        </w:rPr>
        <w:t>most significan</w:t>
      </w:r>
      <w:r w:rsidRPr="00635973">
        <w:rPr>
          <w:rFonts w:ascii="Arial" w:hAnsi="Arial" w:cs="Arial"/>
          <w:sz w:val="24"/>
          <w:szCs w:val="24"/>
        </w:rPr>
        <w:t>t limitation is culture. Caregivers must acquire new skills and certainly may need to acknowledge that new skills are necessary (Tay et al. 2018). A real challenge for organisations is good coordination between medical specialists and the integration of health and social care.</w:t>
      </w:r>
    </w:p>
    <w:p w14:paraId="3169E50A" w14:textId="77777777" w:rsidR="00635973" w:rsidRPr="00635973" w:rsidRDefault="00635973" w:rsidP="00A71F7E">
      <w:pPr>
        <w:pStyle w:val="Heading1"/>
      </w:pPr>
      <w:bookmarkStart w:id="37" w:name="_Toc46775921"/>
      <w:bookmarkStart w:id="38" w:name="_Toc50141805"/>
      <w:r w:rsidRPr="00635973">
        <w:lastRenderedPageBreak/>
        <w:t>Conclusion</w:t>
      </w:r>
      <w:bookmarkEnd w:id="37"/>
      <w:bookmarkEnd w:id="38"/>
    </w:p>
    <w:p w14:paraId="4684866D" w14:textId="31193FD9" w:rsidR="00635973" w:rsidRDefault="00635973" w:rsidP="00635973">
      <w:pPr>
        <w:spacing w:line="480" w:lineRule="auto"/>
        <w:ind w:firstLine="720"/>
        <w:rPr>
          <w:rFonts w:ascii="Arial" w:hAnsi="Arial" w:cs="Arial"/>
          <w:sz w:val="24"/>
          <w:szCs w:val="24"/>
        </w:rPr>
      </w:pPr>
      <w:r w:rsidRPr="00635973">
        <w:rPr>
          <w:rFonts w:ascii="Arial" w:hAnsi="Arial" w:cs="Arial"/>
          <w:sz w:val="24"/>
          <w:szCs w:val="24"/>
        </w:rPr>
        <w:t xml:space="preserve">Overall, the concept of PCC is advancing, and it remains an essential concept in the health and social sector. Despite the numerous benefits associated with the </w:t>
      </w:r>
      <w:r w:rsidR="00847EFE" w:rsidRPr="00F702DA">
        <w:rPr>
          <w:rFonts w:ascii="Arial" w:hAnsi="Arial" w:cs="Arial"/>
          <w:sz w:val="24"/>
          <w:szCs w:val="24"/>
        </w:rPr>
        <w:t>idea</w:t>
      </w:r>
      <w:r w:rsidRPr="00635973">
        <w:rPr>
          <w:rFonts w:ascii="Arial" w:hAnsi="Arial" w:cs="Arial"/>
          <w:sz w:val="24"/>
          <w:szCs w:val="24"/>
        </w:rPr>
        <w:t xml:space="preserve"> </w:t>
      </w:r>
      <w:r w:rsidR="00FB5091" w:rsidRPr="00F702DA">
        <w:rPr>
          <w:rFonts w:ascii="Arial" w:hAnsi="Arial" w:cs="Arial"/>
          <w:sz w:val="24"/>
          <w:szCs w:val="24"/>
        </w:rPr>
        <w:t xml:space="preserve">and operating </w:t>
      </w:r>
      <w:r w:rsidR="003919A6" w:rsidRPr="00F702DA">
        <w:rPr>
          <w:rFonts w:ascii="Arial" w:hAnsi="Arial" w:cs="Arial"/>
          <w:sz w:val="24"/>
          <w:szCs w:val="24"/>
        </w:rPr>
        <w:t>inadequately</w:t>
      </w:r>
      <w:r w:rsidRPr="00635973">
        <w:rPr>
          <w:rFonts w:ascii="Arial" w:hAnsi="Arial" w:cs="Arial"/>
          <w:sz w:val="24"/>
          <w:szCs w:val="24"/>
        </w:rPr>
        <w:t xml:space="preserve"> by the caregivers. Policymakers and healthcare professionals must embrace this cultural shift in practice. At the same time, organisations need to create and adopt innovative models that can provide incentives to support and practice PCC. Notably, the implementation of PCC is associated with challenges and includes critical alterations, particularly regarding the interaction between the caregivers and patients and how care is delivered. Nevertheless, the benefits of PCC present a </w:t>
      </w:r>
      <w:r w:rsidR="00C56E0D" w:rsidRPr="00F702DA">
        <w:rPr>
          <w:rFonts w:ascii="Arial" w:hAnsi="Arial" w:cs="Arial"/>
          <w:sz w:val="24"/>
          <w:szCs w:val="24"/>
        </w:rPr>
        <w:t xml:space="preserve">vital </w:t>
      </w:r>
      <w:r w:rsidRPr="00635973">
        <w:rPr>
          <w:rFonts w:ascii="Arial" w:hAnsi="Arial" w:cs="Arial"/>
          <w:sz w:val="24"/>
          <w:szCs w:val="24"/>
        </w:rPr>
        <w:t xml:space="preserve">opportunity for improving health and social outcomes. PCC is the future in health and social care.   </w:t>
      </w:r>
    </w:p>
    <w:p w14:paraId="30B345CB" w14:textId="68894E0B" w:rsidR="00A71F7E" w:rsidRDefault="00A71F7E" w:rsidP="00635973">
      <w:pPr>
        <w:spacing w:line="480" w:lineRule="auto"/>
        <w:ind w:firstLine="720"/>
        <w:rPr>
          <w:rFonts w:ascii="Arial" w:hAnsi="Arial" w:cs="Arial"/>
          <w:sz w:val="24"/>
          <w:szCs w:val="24"/>
        </w:rPr>
      </w:pPr>
    </w:p>
    <w:p w14:paraId="7683D8E7" w14:textId="746D50F6" w:rsidR="00A71F7E" w:rsidRDefault="00A71F7E" w:rsidP="00635973">
      <w:pPr>
        <w:spacing w:line="480" w:lineRule="auto"/>
        <w:ind w:firstLine="720"/>
        <w:rPr>
          <w:rFonts w:ascii="Arial" w:hAnsi="Arial" w:cs="Arial"/>
          <w:sz w:val="24"/>
          <w:szCs w:val="24"/>
        </w:rPr>
      </w:pPr>
    </w:p>
    <w:p w14:paraId="20C7E46E" w14:textId="2EED209B" w:rsidR="00A71F7E" w:rsidRDefault="00A71F7E" w:rsidP="00635973">
      <w:pPr>
        <w:spacing w:line="480" w:lineRule="auto"/>
        <w:ind w:firstLine="720"/>
        <w:rPr>
          <w:rFonts w:ascii="Arial" w:hAnsi="Arial" w:cs="Arial"/>
          <w:sz w:val="24"/>
          <w:szCs w:val="24"/>
        </w:rPr>
      </w:pPr>
    </w:p>
    <w:p w14:paraId="5A08AE14" w14:textId="77777777" w:rsidR="00A71F7E" w:rsidRPr="00635973" w:rsidRDefault="00A71F7E" w:rsidP="00635973">
      <w:pPr>
        <w:spacing w:line="480" w:lineRule="auto"/>
        <w:ind w:firstLine="720"/>
        <w:rPr>
          <w:rFonts w:ascii="Arial" w:hAnsi="Arial" w:cs="Arial"/>
          <w:sz w:val="24"/>
          <w:szCs w:val="24"/>
        </w:rPr>
      </w:pPr>
    </w:p>
    <w:p w14:paraId="03F29CB6" w14:textId="77777777" w:rsidR="00635973" w:rsidRPr="00A71F7E" w:rsidRDefault="00635973" w:rsidP="00A71F7E">
      <w:pPr>
        <w:pStyle w:val="Heading1"/>
      </w:pPr>
      <w:bookmarkStart w:id="39" w:name="_Toc46775922"/>
      <w:bookmarkStart w:id="40" w:name="_Toc50141806"/>
      <w:r w:rsidRPr="00A71F7E">
        <w:rPr>
          <w:rStyle w:val="Heading1Char"/>
        </w:rPr>
        <w:t>Reference</w:t>
      </w:r>
      <w:r w:rsidRPr="00A71F7E">
        <w:t xml:space="preserve"> List</w:t>
      </w:r>
      <w:bookmarkEnd w:id="39"/>
      <w:bookmarkEnd w:id="40"/>
    </w:p>
    <w:p w14:paraId="0D72A5D2" w14:textId="77777777"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Ahmad, N., Ellins, J., Krelle, H. and Lawrie, M., 2014. </w:t>
      </w:r>
      <w:r w:rsidRPr="00635973">
        <w:rPr>
          <w:rFonts w:ascii="Arial" w:hAnsi="Arial" w:cs="Arial"/>
          <w:i/>
          <w:iCs/>
          <w:sz w:val="24"/>
          <w:szCs w:val="24"/>
          <w:shd w:val="clear" w:color="auto" w:fill="FFFFFF"/>
        </w:rPr>
        <w:t>Person-centred care: from ideas to action</w:t>
      </w:r>
      <w:r w:rsidRPr="00635973">
        <w:rPr>
          <w:rFonts w:ascii="Arial" w:hAnsi="Arial" w:cs="Arial"/>
          <w:sz w:val="24"/>
          <w:szCs w:val="24"/>
          <w:shd w:val="clear" w:color="auto" w:fill="FFFFFF"/>
        </w:rPr>
        <w:t>. London: Health Foundation.</w:t>
      </w:r>
    </w:p>
    <w:p w14:paraId="02502982" w14:textId="77777777" w:rsidR="00635973" w:rsidRPr="00635973" w:rsidRDefault="00635973" w:rsidP="00635973">
      <w:pPr>
        <w:spacing w:line="480" w:lineRule="auto"/>
        <w:ind w:left="720" w:hanging="720"/>
        <w:rPr>
          <w:rFonts w:ascii="Arial" w:hAnsi="Arial" w:cs="Arial"/>
          <w:sz w:val="24"/>
          <w:szCs w:val="24"/>
          <w:shd w:val="clear" w:color="auto" w:fill="FFFFFF"/>
        </w:rPr>
      </w:pPr>
      <w:bookmarkStart w:id="41" w:name="_Hlk46744420"/>
      <w:r w:rsidRPr="00635973">
        <w:rPr>
          <w:rFonts w:ascii="Arial" w:hAnsi="Arial" w:cs="Arial"/>
          <w:sz w:val="24"/>
          <w:szCs w:val="24"/>
          <w:shd w:val="clear" w:color="auto" w:fill="FFFFFF"/>
        </w:rPr>
        <w:t>Borrington, S., 2018</w:t>
      </w:r>
      <w:bookmarkEnd w:id="41"/>
      <w:r w:rsidRPr="00635973">
        <w:rPr>
          <w:rFonts w:ascii="Arial" w:hAnsi="Arial" w:cs="Arial"/>
          <w:sz w:val="24"/>
          <w:szCs w:val="24"/>
          <w:shd w:val="clear" w:color="auto" w:fill="FFFFFF"/>
        </w:rPr>
        <w:t>. The Limits and Possibilities of a Person-Centred Approach in Coaching Through the Lens of Adult Development Theories Tatiana Bachkirova Oxford, UK. </w:t>
      </w:r>
      <w:r w:rsidRPr="00635973">
        <w:rPr>
          <w:rFonts w:ascii="Arial" w:hAnsi="Arial" w:cs="Arial"/>
          <w:i/>
          <w:iCs/>
          <w:sz w:val="24"/>
          <w:szCs w:val="24"/>
          <w:shd w:val="clear" w:color="auto" w:fill="FFFFFF"/>
        </w:rPr>
        <w:t>Editor’s Introduction</w:t>
      </w:r>
      <w:r w:rsidRPr="00635973">
        <w:rPr>
          <w:rFonts w:ascii="Arial" w:hAnsi="Arial" w:cs="Arial"/>
          <w:sz w:val="24"/>
          <w:szCs w:val="24"/>
          <w:shd w:val="clear" w:color="auto" w:fill="FFFFFF"/>
        </w:rPr>
        <w:t>, p.6.</w:t>
      </w:r>
    </w:p>
    <w:p w14:paraId="585506E3" w14:textId="77777777"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 xml:space="preserve">Dow, B., Haralambous, B., Bremner, F. and Fearn, M., 2016. What is person-centred health care? A literature </w:t>
      </w:r>
      <w:proofErr w:type="gramStart"/>
      <w:r w:rsidRPr="00635973">
        <w:rPr>
          <w:rFonts w:ascii="Arial" w:hAnsi="Arial" w:cs="Arial"/>
          <w:sz w:val="24"/>
          <w:szCs w:val="24"/>
          <w:shd w:val="clear" w:color="auto" w:fill="FFFFFF"/>
        </w:rPr>
        <w:t>review</w:t>
      </w:r>
      <w:proofErr w:type="gramEnd"/>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Victoria, Australia: Department of Human Services</w:t>
      </w:r>
      <w:r w:rsidRPr="00635973">
        <w:rPr>
          <w:rFonts w:ascii="Arial" w:hAnsi="Arial" w:cs="Arial"/>
          <w:sz w:val="24"/>
          <w:szCs w:val="24"/>
          <w:shd w:val="clear" w:color="auto" w:fill="FFFFFF"/>
        </w:rPr>
        <w:t>.</w:t>
      </w:r>
    </w:p>
    <w:p w14:paraId="50F6282E" w14:textId="1753DACA"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lastRenderedPageBreak/>
        <w:t>Fazio, S., Pace, D., Flinner, J. and Kallmyer, B., 2018. The fundamentals of person-centred care for individuals with dementia</w:t>
      </w:r>
      <w:r w:rsidR="00C56E0D" w:rsidRPr="00F702DA">
        <w:rPr>
          <w:rFonts w:ascii="Arial" w:hAnsi="Arial" w:cs="Arial"/>
          <w:sz w:val="24"/>
          <w:szCs w:val="24"/>
          <w:shd w:val="clear" w:color="auto" w:fill="FFFFFF"/>
        </w:rPr>
        <w:t>: t</w:t>
      </w:r>
      <w:r w:rsidRPr="00635973">
        <w:rPr>
          <w:rFonts w:ascii="Arial" w:hAnsi="Arial" w:cs="Arial"/>
          <w:i/>
          <w:iCs/>
          <w:sz w:val="24"/>
          <w:szCs w:val="24"/>
          <w:shd w:val="clear" w:color="auto" w:fill="FFFFFF"/>
        </w:rPr>
        <w:t>he Gerontologist</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58</w:t>
      </w:r>
      <w:r w:rsidRPr="00635973">
        <w:rPr>
          <w:rFonts w:ascii="Arial" w:hAnsi="Arial" w:cs="Arial"/>
          <w:sz w:val="24"/>
          <w:szCs w:val="24"/>
          <w:shd w:val="clear" w:color="auto" w:fill="FFFFFF"/>
        </w:rPr>
        <w:t xml:space="preserve">(suppl_1), </w:t>
      </w:r>
      <w:proofErr w:type="gramStart"/>
      <w:r w:rsidRPr="00635973">
        <w:rPr>
          <w:rFonts w:ascii="Arial" w:hAnsi="Arial" w:cs="Arial"/>
          <w:sz w:val="24"/>
          <w:szCs w:val="24"/>
          <w:shd w:val="clear" w:color="auto" w:fill="FFFFFF"/>
        </w:rPr>
        <w:t>pp.S</w:t>
      </w:r>
      <w:proofErr w:type="gramEnd"/>
      <w:r w:rsidRPr="00635973">
        <w:rPr>
          <w:rFonts w:ascii="Arial" w:hAnsi="Arial" w:cs="Arial"/>
          <w:sz w:val="24"/>
          <w:szCs w:val="24"/>
          <w:shd w:val="clear" w:color="auto" w:fill="FFFFFF"/>
        </w:rPr>
        <w:t>10-S19.</w:t>
      </w:r>
    </w:p>
    <w:p w14:paraId="0E7044E8" w14:textId="77777777"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Fund, K., 2016. From vision to action: Making patient-centred care a reality. </w:t>
      </w:r>
      <w:r w:rsidRPr="00635973">
        <w:rPr>
          <w:rFonts w:ascii="Arial" w:hAnsi="Arial" w:cs="Arial"/>
          <w:i/>
          <w:iCs/>
          <w:sz w:val="24"/>
          <w:szCs w:val="24"/>
          <w:shd w:val="clear" w:color="auto" w:fill="FFFFFF"/>
        </w:rPr>
        <w:t>London: Kings Fund</w:t>
      </w:r>
      <w:r w:rsidRPr="00635973">
        <w:rPr>
          <w:rFonts w:ascii="Arial" w:hAnsi="Arial" w:cs="Arial"/>
          <w:sz w:val="24"/>
          <w:szCs w:val="24"/>
          <w:shd w:val="clear" w:color="auto" w:fill="FFFFFF"/>
        </w:rPr>
        <w:t>.</w:t>
      </w:r>
    </w:p>
    <w:p w14:paraId="041023BE" w14:textId="77777777" w:rsidR="00635973" w:rsidRPr="00635973" w:rsidRDefault="00635973" w:rsidP="00635973">
      <w:pPr>
        <w:spacing w:line="480" w:lineRule="auto"/>
        <w:ind w:left="720" w:hanging="720"/>
        <w:rPr>
          <w:rFonts w:ascii="Arial" w:hAnsi="Arial" w:cs="Arial"/>
          <w:sz w:val="24"/>
          <w:szCs w:val="24"/>
          <w:shd w:val="clear" w:color="auto" w:fill="FFFFFF"/>
        </w:rPr>
      </w:pPr>
      <w:bookmarkStart w:id="42" w:name="_Hlk46591677"/>
      <w:r w:rsidRPr="00635973">
        <w:rPr>
          <w:rFonts w:ascii="Arial" w:hAnsi="Arial" w:cs="Arial"/>
          <w:sz w:val="24"/>
          <w:szCs w:val="24"/>
          <w:shd w:val="clear" w:color="auto" w:fill="FFFFFF"/>
        </w:rPr>
        <w:t>Health Foundation, 2016</w:t>
      </w:r>
      <w:bookmarkEnd w:id="42"/>
      <w:r w:rsidRPr="00635973">
        <w:rPr>
          <w:rFonts w:ascii="Arial" w:hAnsi="Arial" w:cs="Arial"/>
          <w:sz w:val="24"/>
          <w:szCs w:val="24"/>
          <w:shd w:val="clear" w:color="auto" w:fill="FFFFFF"/>
        </w:rPr>
        <w:t>. Person-centred care made simple: what everyone should know about person-centred care. Health Foundation.</w:t>
      </w:r>
    </w:p>
    <w:p w14:paraId="7A37F0FC" w14:textId="3925AE4F"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Kim, S.K. and Park, M., 2017. Effectiveness of person-centred care on people with dementia: a systematic review and meta-analysis. </w:t>
      </w:r>
      <w:r w:rsidRPr="00635973">
        <w:rPr>
          <w:rFonts w:ascii="Arial" w:hAnsi="Arial" w:cs="Arial"/>
          <w:i/>
          <w:iCs/>
          <w:sz w:val="24"/>
          <w:szCs w:val="24"/>
          <w:shd w:val="clear" w:color="auto" w:fill="FFFFFF"/>
        </w:rPr>
        <w:t>Clinical interventions in ag</w:t>
      </w:r>
      <w:r w:rsidR="00C56E0D" w:rsidRPr="00F702DA">
        <w:rPr>
          <w:rFonts w:ascii="Arial" w:hAnsi="Arial" w:cs="Arial"/>
          <w:i/>
          <w:iCs/>
          <w:sz w:val="24"/>
          <w:szCs w:val="24"/>
          <w:shd w:val="clear" w:color="auto" w:fill="FFFFFF"/>
        </w:rPr>
        <w:t>e</w:t>
      </w:r>
      <w:r w:rsidRPr="00635973">
        <w:rPr>
          <w:rFonts w:ascii="Arial" w:hAnsi="Arial" w:cs="Arial"/>
          <w:i/>
          <w:iCs/>
          <w:sz w:val="24"/>
          <w:szCs w:val="24"/>
          <w:shd w:val="clear" w:color="auto" w:fill="FFFFFF"/>
        </w:rPr>
        <w:t>ing</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12</w:t>
      </w:r>
      <w:r w:rsidRPr="00635973">
        <w:rPr>
          <w:rFonts w:ascii="Arial" w:hAnsi="Arial" w:cs="Arial"/>
          <w:sz w:val="24"/>
          <w:szCs w:val="24"/>
          <w:shd w:val="clear" w:color="auto" w:fill="FFFFFF"/>
        </w:rPr>
        <w:t>, p.381.</w:t>
      </w:r>
    </w:p>
    <w:p w14:paraId="4F24DFE5" w14:textId="77777777"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Lateef, A.M. and Mhlongo, E.M., 2020. A Literature Review on People-Centred Care and Nursing Practice in Primary Health Care Setting. </w:t>
      </w:r>
      <w:r w:rsidRPr="00635973">
        <w:rPr>
          <w:rFonts w:ascii="Arial" w:hAnsi="Arial" w:cs="Arial"/>
          <w:i/>
          <w:iCs/>
          <w:sz w:val="24"/>
          <w:szCs w:val="24"/>
          <w:shd w:val="clear" w:color="auto" w:fill="FFFFFF"/>
        </w:rPr>
        <w:t>Global Journal of Health Science</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12</w:t>
      </w:r>
      <w:r w:rsidRPr="00635973">
        <w:rPr>
          <w:rFonts w:ascii="Arial" w:hAnsi="Arial" w:cs="Arial"/>
          <w:sz w:val="24"/>
          <w:szCs w:val="24"/>
          <w:shd w:val="clear" w:color="auto" w:fill="FFFFFF"/>
        </w:rPr>
        <w:t>(2).</w:t>
      </w:r>
    </w:p>
    <w:p w14:paraId="54AE20D8" w14:textId="759CEFE7"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Manthorpe, J. and Samsi, K., 2016. Person-centred dementia care: current perspectives. </w:t>
      </w:r>
      <w:r w:rsidRPr="00635973">
        <w:rPr>
          <w:rFonts w:ascii="Arial" w:hAnsi="Arial" w:cs="Arial"/>
          <w:i/>
          <w:iCs/>
          <w:sz w:val="24"/>
          <w:szCs w:val="24"/>
          <w:shd w:val="clear" w:color="auto" w:fill="FFFFFF"/>
        </w:rPr>
        <w:t>Clinical Interventions in Aging</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11</w:t>
      </w:r>
      <w:r w:rsidRPr="00635973">
        <w:rPr>
          <w:rFonts w:ascii="Arial" w:hAnsi="Arial" w:cs="Arial"/>
          <w:sz w:val="24"/>
          <w:szCs w:val="24"/>
          <w:shd w:val="clear" w:color="auto" w:fill="FFFFFF"/>
        </w:rPr>
        <w:t>, p.1733.</w:t>
      </w:r>
    </w:p>
    <w:p w14:paraId="372ED157" w14:textId="77777777" w:rsidR="00635973" w:rsidRPr="00635973" w:rsidRDefault="00635973" w:rsidP="00635973">
      <w:pPr>
        <w:spacing w:line="480" w:lineRule="auto"/>
        <w:ind w:left="720" w:hanging="720"/>
        <w:rPr>
          <w:rFonts w:ascii="Arial" w:hAnsi="Arial" w:cs="Arial"/>
          <w:sz w:val="24"/>
          <w:szCs w:val="24"/>
        </w:rPr>
      </w:pPr>
      <w:r w:rsidRPr="00635973">
        <w:rPr>
          <w:rFonts w:ascii="Arial" w:hAnsi="Arial" w:cs="Arial"/>
          <w:sz w:val="24"/>
          <w:szCs w:val="24"/>
          <w:shd w:val="clear" w:color="auto" w:fill="FFFFFF"/>
        </w:rPr>
        <w:t>McGreevy, J., 2015. Dementia and the person-centred care approach. </w:t>
      </w:r>
      <w:r w:rsidRPr="00635973">
        <w:rPr>
          <w:rFonts w:ascii="Arial" w:hAnsi="Arial" w:cs="Arial"/>
          <w:i/>
          <w:iCs/>
          <w:sz w:val="24"/>
          <w:szCs w:val="24"/>
          <w:shd w:val="clear" w:color="auto" w:fill="FFFFFF"/>
        </w:rPr>
        <w:t>Nursing older people</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27</w:t>
      </w:r>
      <w:r w:rsidRPr="00635973">
        <w:rPr>
          <w:rFonts w:ascii="Arial" w:hAnsi="Arial" w:cs="Arial"/>
          <w:sz w:val="24"/>
          <w:szCs w:val="24"/>
          <w:shd w:val="clear" w:color="auto" w:fill="FFFFFF"/>
        </w:rPr>
        <w:t>(8).</w:t>
      </w:r>
    </w:p>
    <w:p w14:paraId="1A21CC67" w14:textId="77777777"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Moore, L., Britten, N., Lydahl, D., Naldemirci, Ö., Elam, M. and Wolf, A., 2017. Barriers and facilitators to the implementation of person</w:t>
      </w:r>
      <w:r w:rsidRPr="00635973">
        <w:rPr>
          <w:rFonts w:ascii="Cambria Math" w:hAnsi="Cambria Math" w:cs="Cambria Math"/>
          <w:sz w:val="24"/>
          <w:szCs w:val="24"/>
          <w:shd w:val="clear" w:color="auto" w:fill="FFFFFF"/>
        </w:rPr>
        <w:t>‐</w:t>
      </w:r>
      <w:r w:rsidRPr="00635973">
        <w:rPr>
          <w:rFonts w:ascii="Arial" w:hAnsi="Arial" w:cs="Arial"/>
          <w:sz w:val="24"/>
          <w:szCs w:val="24"/>
          <w:shd w:val="clear" w:color="auto" w:fill="FFFFFF"/>
        </w:rPr>
        <w:t>centred care in different healthcare contexts. </w:t>
      </w:r>
      <w:r w:rsidRPr="00635973">
        <w:rPr>
          <w:rFonts w:ascii="Arial" w:hAnsi="Arial" w:cs="Arial"/>
          <w:i/>
          <w:iCs/>
          <w:sz w:val="24"/>
          <w:szCs w:val="24"/>
          <w:shd w:val="clear" w:color="auto" w:fill="FFFFFF"/>
        </w:rPr>
        <w:t>Scandinavian journal of caring sciences</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31</w:t>
      </w:r>
      <w:r w:rsidRPr="00635973">
        <w:rPr>
          <w:rFonts w:ascii="Arial" w:hAnsi="Arial" w:cs="Arial"/>
          <w:sz w:val="24"/>
          <w:szCs w:val="24"/>
          <w:shd w:val="clear" w:color="auto" w:fill="FFFFFF"/>
        </w:rPr>
        <w:t>(4), pp.662-673.</w:t>
      </w:r>
    </w:p>
    <w:p w14:paraId="1DAB3E12" w14:textId="0F9125A3"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lastRenderedPageBreak/>
        <w:t>Munthe, C., Sandman, L. and Cutas, D., 2012. Person</w:t>
      </w:r>
      <w:r w:rsidR="00C56E0D" w:rsidRPr="00F702DA">
        <w:rPr>
          <w:rFonts w:ascii="Arial" w:hAnsi="Arial" w:cs="Arial"/>
          <w:sz w:val="24"/>
          <w:szCs w:val="24"/>
          <w:shd w:val="clear" w:color="auto" w:fill="FFFFFF"/>
        </w:rPr>
        <w:t>-</w:t>
      </w:r>
      <w:r w:rsidRPr="00635973">
        <w:rPr>
          <w:rFonts w:ascii="Arial" w:hAnsi="Arial" w:cs="Arial"/>
          <w:sz w:val="24"/>
          <w:szCs w:val="24"/>
          <w:shd w:val="clear" w:color="auto" w:fill="FFFFFF"/>
        </w:rPr>
        <w:t xml:space="preserve">centred care and shared decision </w:t>
      </w:r>
      <w:proofErr w:type="gramStart"/>
      <w:r w:rsidRPr="00635973">
        <w:rPr>
          <w:rFonts w:ascii="Arial" w:hAnsi="Arial" w:cs="Arial"/>
          <w:sz w:val="24"/>
          <w:szCs w:val="24"/>
          <w:shd w:val="clear" w:color="auto" w:fill="FFFFFF"/>
        </w:rPr>
        <w:t>making:</w:t>
      </w:r>
      <w:proofErr w:type="gramEnd"/>
      <w:r w:rsidRPr="00635973">
        <w:rPr>
          <w:rFonts w:ascii="Arial" w:hAnsi="Arial" w:cs="Arial"/>
          <w:sz w:val="24"/>
          <w:szCs w:val="24"/>
          <w:shd w:val="clear" w:color="auto" w:fill="FFFFFF"/>
        </w:rPr>
        <w:t xml:space="preserve"> implications for ethics, public health and research. </w:t>
      </w:r>
      <w:r w:rsidRPr="00635973">
        <w:rPr>
          <w:rFonts w:ascii="Arial" w:hAnsi="Arial" w:cs="Arial"/>
          <w:i/>
          <w:iCs/>
          <w:sz w:val="24"/>
          <w:szCs w:val="24"/>
          <w:shd w:val="clear" w:color="auto" w:fill="FFFFFF"/>
        </w:rPr>
        <w:t>Health Care Analysis</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20</w:t>
      </w:r>
      <w:r w:rsidRPr="00635973">
        <w:rPr>
          <w:rFonts w:ascii="Arial" w:hAnsi="Arial" w:cs="Arial"/>
          <w:sz w:val="24"/>
          <w:szCs w:val="24"/>
          <w:shd w:val="clear" w:color="auto" w:fill="FFFFFF"/>
        </w:rPr>
        <w:t>(3), pp.231-249.</w:t>
      </w:r>
    </w:p>
    <w:p w14:paraId="4D790A49" w14:textId="77777777" w:rsidR="00635973" w:rsidRPr="00635973" w:rsidRDefault="00635973" w:rsidP="00635973">
      <w:pPr>
        <w:spacing w:line="480" w:lineRule="auto"/>
        <w:ind w:left="720" w:hanging="720"/>
        <w:rPr>
          <w:rFonts w:ascii="Arial" w:hAnsi="Arial" w:cs="Arial"/>
          <w:sz w:val="24"/>
          <w:szCs w:val="24"/>
          <w:shd w:val="clear" w:color="auto" w:fill="FFFFFF"/>
        </w:rPr>
      </w:pPr>
      <w:bookmarkStart w:id="43" w:name="_Hlk46591631"/>
      <w:r w:rsidRPr="00635973">
        <w:rPr>
          <w:rFonts w:ascii="Arial" w:hAnsi="Arial" w:cs="Arial"/>
          <w:sz w:val="24"/>
          <w:szCs w:val="24"/>
          <w:shd w:val="clear" w:color="auto" w:fill="FFFFFF"/>
        </w:rPr>
        <w:t>Santana</w:t>
      </w:r>
      <w:bookmarkEnd w:id="43"/>
      <w:r w:rsidRPr="00635973">
        <w:rPr>
          <w:rFonts w:ascii="Arial" w:hAnsi="Arial" w:cs="Arial"/>
          <w:sz w:val="24"/>
          <w:szCs w:val="24"/>
          <w:shd w:val="clear" w:color="auto" w:fill="FFFFFF"/>
        </w:rPr>
        <w:t>, M.J., Manalili, K., Jolley, R.J., Zelinsky, S., Quan, H. and Lu, M., 2018. How to practice person</w:t>
      </w:r>
      <w:r w:rsidRPr="00635973">
        <w:rPr>
          <w:rFonts w:ascii="Cambria Math" w:hAnsi="Cambria Math" w:cs="Cambria Math"/>
          <w:sz w:val="24"/>
          <w:szCs w:val="24"/>
          <w:shd w:val="clear" w:color="auto" w:fill="FFFFFF"/>
        </w:rPr>
        <w:t>‐</w:t>
      </w:r>
      <w:r w:rsidRPr="00635973">
        <w:rPr>
          <w:rFonts w:ascii="Arial" w:hAnsi="Arial" w:cs="Arial"/>
          <w:sz w:val="24"/>
          <w:szCs w:val="24"/>
          <w:shd w:val="clear" w:color="auto" w:fill="FFFFFF"/>
        </w:rPr>
        <w:t>centred care: A conceptual framework. Health Expectations, 21(2), pp.429-440.</w:t>
      </w:r>
    </w:p>
    <w:p w14:paraId="378C72E1" w14:textId="4E5D9583" w:rsidR="00635973" w:rsidRPr="00635973" w:rsidRDefault="00635973" w:rsidP="00635973">
      <w:pPr>
        <w:spacing w:line="480" w:lineRule="auto"/>
        <w:ind w:left="720" w:hanging="720"/>
        <w:rPr>
          <w:rFonts w:ascii="Arial" w:hAnsi="Arial" w:cs="Arial"/>
          <w:sz w:val="24"/>
          <w:szCs w:val="24"/>
          <w:shd w:val="clear" w:color="auto" w:fill="FFFFFF"/>
        </w:rPr>
      </w:pPr>
      <w:r w:rsidRPr="00635973">
        <w:rPr>
          <w:rFonts w:ascii="Arial" w:hAnsi="Arial" w:cs="Arial"/>
          <w:sz w:val="24"/>
          <w:szCs w:val="24"/>
          <w:shd w:val="clear" w:color="auto" w:fill="FFFFFF"/>
        </w:rPr>
        <w:t>Tay, F.H.E., Thompson, C.L., Nieh, C.M., Nieh, C.C., Koh, H.M., Tan, J.J.C. and Yap, P.L.K., 2018. Person-centred care for older people with dementia in the acute hospital. </w:t>
      </w:r>
      <w:r w:rsidRPr="00635973">
        <w:rPr>
          <w:rFonts w:ascii="Arial" w:hAnsi="Arial" w:cs="Arial"/>
          <w:i/>
          <w:iCs/>
          <w:sz w:val="24"/>
          <w:szCs w:val="24"/>
          <w:shd w:val="clear" w:color="auto" w:fill="FFFFFF"/>
        </w:rPr>
        <w:t>Alzheimer</w:t>
      </w:r>
      <w:r w:rsidRPr="00F702DA">
        <w:rPr>
          <w:rFonts w:ascii="Arial" w:hAnsi="Arial" w:cs="Arial"/>
          <w:i/>
          <w:iCs/>
          <w:sz w:val="24"/>
          <w:szCs w:val="24"/>
          <w:shd w:val="clear" w:color="auto" w:fill="FFFFFF"/>
        </w:rPr>
        <w:t>’</w:t>
      </w:r>
      <w:r w:rsidRPr="00635973">
        <w:rPr>
          <w:rFonts w:ascii="Arial" w:hAnsi="Arial" w:cs="Arial"/>
          <w:i/>
          <w:iCs/>
          <w:sz w:val="24"/>
          <w:szCs w:val="24"/>
          <w:shd w:val="clear" w:color="auto" w:fill="FFFFFF"/>
        </w:rPr>
        <w:t>s &amp; Dementia: Translational Research &amp; Clinical Interventions</w:t>
      </w:r>
      <w:r w:rsidRPr="00635973">
        <w:rPr>
          <w:rFonts w:ascii="Arial" w:hAnsi="Arial" w:cs="Arial"/>
          <w:sz w:val="24"/>
          <w:szCs w:val="24"/>
          <w:shd w:val="clear" w:color="auto" w:fill="FFFFFF"/>
        </w:rPr>
        <w:t>, </w:t>
      </w:r>
      <w:r w:rsidRPr="00635973">
        <w:rPr>
          <w:rFonts w:ascii="Arial" w:hAnsi="Arial" w:cs="Arial"/>
          <w:i/>
          <w:iCs/>
          <w:sz w:val="24"/>
          <w:szCs w:val="24"/>
          <w:shd w:val="clear" w:color="auto" w:fill="FFFFFF"/>
        </w:rPr>
        <w:t>4</w:t>
      </w:r>
      <w:r w:rsidRPr="00635973">
        <w:rPr>
          <w:rFonts w:ascii="Arial" w:hAnsi="Arial" w:cs="Arial"/>
          <w:sz w:val="24"/>
          <w:szCs w:val="24"/>
          <w:shd w:val="clear" w:color="auto" w:fill="FFFFFF"/>
        </w:rPr>
        <w:t>, pp.19-27.</w:t>
      </w:r>
    </w:p>
    <w:p w14:paraId="221FEBD8" w14:textId="11F1B646" w:rsidR="00635973" w:rsidRPr="00635973" w:rsidRDefault="00C56E0D" w:rsidP="00635973">
      <w:pPr>
        <w:spacing w:line="480" w:lineRule="auto"/>
        <w:ind w:left="720" w:hanging="720"/>
        <w:rPr>
          <w:rFonts w:ascii="Arial" w:hAnsi="Arial" w:cs="Arial"/>
          <w:sz w:val="24"/>
          <w:szCs w:val="24"/>
          <w:shd w:val="clear" w:color="auto" w:fill="FFFFFF"/>
        </w:rPr>
      </w:pPr>
      <w:r w:rsidRPr="00F702DA">
        <w:rPr>
          <w:rFonts w:ascii="Arial" w:hAnsi="Arial" w:cs="Arial"/>
          <w:sz w:val="24"/>
          <w:szCs w:val="24"/>
          <w:shd w:val="clear" w:color="auto" w:fill="FFFFFF"/>
        </w:rPr>
        <w:t>V</w:t>
      </w:r>
      <w:r w:rsidR="00635973" w:rsidRPr="00635973">
        <w:rPr>
          <w:rFonts w:ascii="Arial" w:hAnsi="Arial" w:cs="Arial"/>
          <w:sz w:val="24"/>
          <w:szCs w:val="24"/>
          <w:shd w:val="clear" w:color="auto" w:fill="FFFFFF"/>
        </w:rPr>
        <w:t>an Dulmen, S.A., Lukersmith, S., Muxlow, J., Santa Mina, E., Nijhuis</w:t>
      </w:r>
      <w:r w:rsidR="00635973" w:rsidRPr="00635973">
        <w:rPr>
          <w:rFonts w:ascii="Cambria Math" w:hAnsi="Cambria Math" w:cs="Cambria Math"/>
          <w:sz w:val="24"/>
          <w:szCs w:val="24"/>
          <w:shd w:val="clear" w:color="auto" w:fill="FFFFFF"/>
        </w:rPr>
        <w:t>‐</w:t>
      </w:r>
      <w:r w:rsidR="00635973" w:rsidRPr="00635973">
        <w:rPr>
          <w:rFonts w:ascii="Arial" w:hAnsi="Arial" w:cs="Arial"/>
          <w:sz w:val="24"/>
          <w:szCs w:val="24"/>
          <w:shd w:val="clear" w:color="auto" w:fill="FFFFFF"/>
        </w:rPr>
        <w:t>van der Sanden, M.W., van der Wees, P.J. and G</w:t>
      </w:r>
      <w:r w:rsidR="00635973" w:rsidRPr="00635973">
        <w:rPr>
          <w:rFonts w:ascii="Cambria Math" w:hAnsi="Cambria Math" w:cs="Cambria Math"/>
          <w:sz w:val="24"/>
          <w:szCs w:val="24"/>
          <w:shd w:val="clear" w:color="auto" w:fill="FFFFFF"/>
        </w:rPr>
        <w:t>‐</w:t>
      </w:r>
      <w:r w:rsidR="00635973" w:rsidRPr="00635973">
        <w:rPr>
          <w:rFonts w:ascii="Arial" w:hAnsi="Arial" w:cs="Arial"/>
          <w:sz w:val="24"/>
          <w:szCs w:val="24"/>
          <w:shd w:val="clear" w:color="auto" w:fill="FFFFFF"/>
        </w:rPr>
        <w:t>I</w:t>
      </w:r>
      <w:r w:rsidR="00635973" w:rsidRPr="00635973">
        <w:rPr>
          <w:rFonts w:ascii="Cambria Math" w:hAnsi="Cambria Math" w:cs="Cambria Math"/>
          <w:sz w:val="24"/>
          <w:szCs w:val="24"/>
          <w:shd w:val="clear" w:color="auto" w:fill="FFFFFF"/>
        </w:rPr>
        <w:t>‐</w:t>
      </w:r>
      <w:r w:rsidR="00635973" w:rsidRPr="00635973">
        <w:rPr>
          <w:rFonts w:ascii="Arial" w:hAnsi="Arial" w:cs="Arial"/>
          <w:sz w:val="24"/>
          <w:szCs w:val="24"/>
          <w:shd w:val="clear" w:color="auto" w:fill="FFFFFF"/>
        </w:rPr>
        <w:t>N Allied Health Steering Group, 2015. Supporting a person</w:t>
      </w:r>
      <w:r w:rsidR="00635973" w:rsidRPr="00635973">
        <w:rPr>
          <w:rFonts w:ascii="Cambria Math" w:hAnsi="Cambria Math" w:cs="Cambria Math"/>
          <w:sz w:val="24"/>
          <w:szCs w:val="24"/>
          <w:shd w:val="clear" w:color="auto" w:fill="FFFFFF"/>
        </w:rPr>
        <w:t>‐</w:t>
      </w:r>
      <w:r w:rsidR="00635973" w:rsidRPr="00635973">
        <w:rPr>
          <w:rFonts w:ascii="Arial" w:hAnsi="Arial" w:cs="Arial"/>
          <w:sz w:val="24"/>
          <w:szCs w:val="24"/>
          <w:shd w:val="clear" w:color="auto" w:fill="FFFFFF"/>
        </w:rPr>
        <w:t>centred approach in clinical guidelines. A position paper of the Allied Health Community–Guidelines International Network (G</w:t>
      </w:r>
      <w:r w:rsidR="00635973" w:rsidRPr="00635973">
        <w:rPr>
          <w:rFonts w:ascii="Cambria Math" w:hAnsi="Cambria Math" w:cs="Cambria Math"/>
          <w:sz w:val="24"/>
          <w:szCs w:val="24"/>
          <w:shd w:val="clear" w:color="auto" w:fill="FFFFFF"/>
        </w:rPr>
        <w:t>‐</w:t>
      </w:r>
      <w:r w:rsidR="00635973" w:rsidRPr="00635973">
        <w:rPr>
          <w:rFonts w:ascii="Arial" w:hAnsi="Arial" w:cs="Arial"/>
          <w:sz w:val="24"/>
          <w:szCs w:val="24"/>
          <w:shd w:val="clear" w:color="auto" w:fill="FFFFFF"/>
        </w:rPr>
        <w:t>I</w:t>
      </w:r>
      <w:r w:rsidR="00635973" w:rsidRPr="00635973">
        <w:rPr>
          <w:rFonts w:ascii="Cambria Math" w:hAnsi="Cambria Math" w:cs="Cambria Math"/>
          <w:sz w:val="24"/>
          <w:szCs w:val="24"/>
          <w:shd w:val="clear" w:color="auto" w:fill="FFFFFF"/>
        </w:rPr>
        <w:t>‐</w:t>
      </w:r>
      <w:r w:rsidR="00635973" w:rsidRPr="00635973">
        <w:rPr>
          <w:rFonts w:ascii="Arial" w:hAnsi="Arial" w:cs="Arial"/>
          <w:sz w:val="24"/>
          <w:szCs w:val="24"/>
          <w:shd w:val="clear" w:color="auto" w:fill="FFFFFF"/>
        </w:rPr>
        <w:t>N). </w:t>
      </w:r>
      <w:r w:rsidR="00635973" w:rsidRPr="00635973">
        <w:rPr>
          <w:rFonts w:ascii="Arial" w:hAnsi="Arial" w:cs="Arial"/>
          <w:i/>
          <w:iCs/>
          <w:sz w:val="24"/>
          <w:szCs w:val="24"/>
          <w:shd w:val="clear" w:color="auto" w:fill="FFFFFF"/>
        </w:rPr>
        <w:t>Health expectations</w:t>
      </w:r>
      <w:r w:rsidR="00635973" w:rsidRPr="00635973">
        <w:rPr>
          <w:rFonts w:ascii="Arial" w:hAnsi="Arial" w:cs="Arial"/>
          <w:sz w:val="24"/>
          <w:szCs w:val="24"/>
          <w:shd w:val="clear" w:color="auto" w:fill="FFFFFF"/>
        </w:rPr>
        <w:t>, </w:t>
      </w:r>
      <w:r w:rsidR="00635973" w:rsidRPr="00635973">
        <w:rPr>
          <w:rFonts w:ascii="Arial" w:hAnsi="Arial" w:cs="Arial"/>
          <w:i/>
          <w:iCs/>
          <w:sz w:val="24"/>
          <w:szCs w:val="24"/>
          <w:shd w:val="clear" w:color="auto" w:fill="FFFFFF"/>
        </w:rPr>
        <w:t>18</w:t>
      </w:r>
      <w:r w:rsidR="00635973" w:rsidRPr="00635973">
        <w:rPr>
          <w:rFonts w:ascii="Arial" w:hAnsi="Arial" w:cs="Arial"/>
          <w:sz w:val="24"/>
          <w:szCs w:val="24"/>
          <w:shd w:val="clear" w:color="auto" w:fill="FFFFFF"/>
        </w:rPr>
        <w:t>(5), pp.1543-1558.</w:t>
      </w:r>
    </w:p>
    <w:p w14:paraId="4E9EB757" w14:textId="77777777" w:rsidR="00635973" w:rsidRDefault="00635973"/>
    <w:sectPr w:rsidR="00635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73"/>
    <w:rsid w:val="000144DA"/>
    <w:rsid w:val="00050026"/>
    <w:rsid w:val="000554CE"/>
    <w:rsid w:val="000A4E4A"/>
    <w:rsid w:val="000B0241"/>
    <w:rsid w:val="001369B3"/>
    <w:rsid w:val="0014152B"/>
    <w:rsid w:val="00141D52"/>
    <w:rsid w:val="0014712A"/>
    <w:rsid w:val="001A32A9"/>
    <w:rsid w:val="001C5B26"/>
    <w:rsid w:val="001D7C98"/>
    <w:rsid w:val="00216A64"/>
    <w:rsid w:val="0025645E"/>
    <w:rsid w:val="00263339"/>
    <w:rsid w:val="002B1BA0"/>
    <w:rsid w:val="002B324A"/>
    <w:rsid w:val="002F4317"/>
    <w:rsid w:val="00305A49"/>
    <w:rsid w:val="00315EDA"/>
    <w:rsid w:val="00321041"/>
    <w:rsid w:val="003446A5"/>
    <w:rsid w:val="0035000A"/>
    <w:rsid w:val="00352896"/>
    <w:rsid w:val="003665C9"/>
    <w:rsid w:val="0038595D"/>
    <w:rsid w:val="003919A6"/>
    <w:rsid w:val="00396D9B"/>
    <w:rsid w:val="003A62FE"/>
    <w:rsid w:val="0041782A"/>
    <w:rsid w:val="00434C22"/>
    <w:rsid w:val="004468DC"/>
    <w:rsid w:val="00450FB4"/>
    <w:rsid w:val="004C5E45"/>
    <w:rsid w:val="004D1021"/>
    <w:rsid w:val="004D45D7"/>
    <w:rsid w:val="004E00C7"/>
    <w:rsid w:val="00513689"/>
    <w:rsid w:val="005C7DF1"/>
    <w:rsid w:val="0061530C"/>
    <w:rsid w:val="006349CD"/>
    <w:rsid w:val="00635973"/>
    <w:rsid w:val="006625EF"/>
    <w:rsid w:val="006A7E4A"/>
    <w:rsid w:val="006F7AF7"/>
    <w:rsid w:val="00723971"/>
    <w:rsid w:val="007301D2"/>
    <w:rsid w:val="007A4F18"/>
    <w:rsid w:val="007B42D1"/>
    <w:rsid w:val="0080351D"/>
    <w:rsid w:val="00821F0B"/>
    <w:rsid w:val="00847EFE"/>
    <w:rsid w:val="00890A59"/>
    <w:rsid w:val="008F6A60"/>
    <w:rsid w:val="009050D2"/>
    <w:rsid w:val="00944A8D"/>
    <w:rsid w:val="00971FC0"/>
    <w:rsid w:val="009E43A9"/>
    <w:rsid w:val="00A06DB4"/>
    <w:rsid w:val="00A159F0"/>
    <w:rsid w:val="00A5216A"/>
    <w:rsid w:val="00A71B6D"/>
    <w:rsid w:val="00A71F7E"/>
    <w:rsid w:val="00AC5E83"/>
    <w:rsid w:val="00AF1CF1"/>
    <w:rsid w:val="00AF5B2C"/>
    <w:rsid w:val="00B02E3E"/>
    <w:rsid w:val="00B353A2"/>
    <w:rsid w:val="00B468DD"/>
    <w:rsid w:val="00B5505E"/>
    <w:rsid w:val="00BB71D3"/>
    <w:rsid w:val="00BD2A85"/>
    <w:rsid w:val="00BD47E8"/>
    <w:rsid w:val="00C56E0D"/>
    <w:rsid w:val="00C631C4"/>
    <w:rsid w:val="00CD6105"/>
    <w:rsid w:val="00D65584"/>
    <w:rsid w:val="00DE6773"/>
    <w:rsid w:val="00E31554"/>
    <w:rsid w:val="00E9357A"/>
    <w:rsid w:val="00ED4266"/>
    <w:rsid w:val="00ED46FE"/>
    <w:rsid w:val="00F20B14"/>
    <w:rsid w:val="00F33EBA"/>
    <w:rsid w:val="00F5511E"/>
    <w:rsid w:val="00F62C42"/>
    <w:rsid w:val="00F63AB2"/>
    <w:rsid w:val="00F702DA"/>
    <w:rsid w:val="00FB5091"/>
    <w:rsid w:val="00FB5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45FDB"/>
  <w15:chartTrackingRefBased/>
  <w15:docId w15:val="{336661D6-39AF-4697-AF36-292A9F4C0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F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1F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597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1F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1F7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1F7E"/>
    <w:pPr>
      <w:outlineLvl w:val="9"/>
    </w:pPr>
    <w:rPr>
      <w:lang w:val="en-US"/>
    </w:rPr>
  </w:style>
  <w:style w:type="paragraph" w:styleId="TOC1">
    <w:name w:val="toc 1"/>
    <w:basedOn w:val="Normal"/>
    <w:next w:val="Normal"/>
    <w:autoRedefine/>
    <w:uiPriority w:val="39"/>
    <w:unhideWhenUsed/>
    <w:rsid w:val="00A71F7E"/>
    <w:pPr>
      <w:spacing w:after="100"/>
    </w:pPr>
  </w:style>
  <w:style w:type="paragraph" w:styleId="TOC2">
    <w:name w:val="toc 2"/>
    <w:basedOn w:val="Normal"/>
    <w:next w:val="Normal"/>
    <w:autoRedefine/>
    <w:uiPriority w:val="39"/>
    <w:unhideWhenUsed/>
    <w:rsid w:val="00A71F7E"/>
    <w:pPr>
      <w:spacing w:after="100"/>
      <w:ind w:left="220"/>
    </w:pPr>
  </w:style>
  <w:style w:type="character" w:styleId="Hyperlink">
    <w:name w:val="Hyperlink"/>
    <w:basedOn w:val="DefaultParagraphFont"/>
    <w:uiPriority w:val="99"/>
    <w:unhideWhenUsed/>
    <w:rsid w:val="00A71F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5E8FAF-C865-4775-9014-7C4450D3E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3751</Words>
  <Characters>21387</Characters>
  <Application>Microsoft Office Word</Application>
  <DocSecurity>0</DocSecurity>
  <Lines>178</Lines>
  <Paragraphs>50</Paragraphs>
  <ScaleCrop>false</ScaleCrop>
  <Company/>
  <LinksUpToDate>false</LinksUpToDate>
  <CharactersWithSpaces>25088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Gladys A</dc:creator>
  <cp:keywords/>
  <dc:description/>
  <cp:lastModifiedBy>Gladys A</cp:lastModifiedBy>
  <cp:revision>4</cp:revision>
  <dcterms:created xsi:type="dcterms:W3CDTF">2020-09-04T13:08:00Z</dcterms:created>
  <dcterms:modified xsi:type="dcterms:W3CDTF">2020-09-04T18:56:00Z</dcterms:modified>
</cp:coreProperties>
</file>