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F2472" w14:textId="77777777" w:rsidR="002F6E91" w:rsidRDefault="002F6E91">
      <w:pPr>
        <w:spacing w:before="200" w:line="360" w:lineRule="auto"/>
        <w:jc w:val="center"/>
        <w:rPr>
          <w:rFonts w:ascii="Times" w:eastAsia="Times" w:hAnsi="Times" w:cs="Times"/>
          <w:b/>
          <w:sz w:val="32"/>
          <w:szCs w:val="32"/>
        </w:rPr>
      </w:pPr>
    </w:p>
    <w:p w14:paraId="48F03B7F" w14:textId="77777777" w:rsidR="002F6E91" w:rsidRDefault="002F6E91">
      <w:pPr>
        <w:spacing w:before="200" w:line="360" w:lineRule="auto"/>
        <w:jc w:val="center"/>
        <w:rPr>
          <w:rFonts w:ascii="Times" w:eastAsia="Times" w:hAnsi="Times" w:cs="Times"/>
          <w:b/>
          <w:sz w:val="32"/>
          <w:szCs w:val="32"/>
        </w:rPr>
      </w:pPr>
    </w:p>
    <w:p w14:paraId="5415B29D" w14:textId="77777777" w:rsidR="002F6E91" w:rsidRDefault="002F6E91">
      <w:pPr>
        <w:spacing w:before="200" w:line="360" w:lineRule="auto"/>
        <w:jc w:val="center"/>
        <w:rPr>
          <w:rFonts w:ascii="Times" w:eastAsia="Times" w:hAnsi="Times" w:cs="Times"/>
          <w:b/>
          <w:sz w:val="32"/>
          <w:szCs w:val="32"/>
        </w:rPr>
      </w:pPr>
    </w:p>
    <w:p w14:paraId="390BD786" w14:textId="77777777" w:rsidR="002F6E91" w:rsidRDefault="002F6E91">
      <w:pPr>
        <w:spacing w:before="200" w:line="360" w:lineRule="auto"/>
        <w:jc w:val="center"/>
        <w:rPr>
          <w:rFonts w:ascii="Times" w:eastAsia="Times" w:hAnsi="Times" w:cs="Times"/>
          <w:b/>
          <w:sz w:val="32"/>
          <w:szCs w:val="32"/>
        </w:rPr>
      </w:pPr>
    </w:p>
    <w:p w14:paraId="00000001" w14:textId="5F72253F" w:rsidR="007D668C" w:rsidRDefault="00000000">
      <w:pPr>
        <w:spacing w:before="200" w:line="360" w:lineRule="auto"/>
        <w:jc w:val="center"/>
        <w:rPr>
          <w:rFonts w:ascii="Times" w:eastAsia="Times" w:hAnsi="Times" w:cs="Times"/>
          <w:b/>
          <w:sz w:val="32"/>
          <w:szCs w:val="32"/>
        </w:rPr>
      </w:pPr>
      <w:r>
        <w:rPr>
          <w:rFonts w:ascii="Times" w:eastAsia="Times" w:hAnsi="Times" w:cs="Times"/>
          <w:b/>
          <w:sz w:val="32"/>
          <w:szCs w:val="32"/>
        </w:rPr>
        <w:t>HUMAN CAPITAL MANAGEMENT</w:t>
      </w:r>
    </w:p>
    <w:p w14:paraId="5BB173AF" w14:textId="41AFF7B6" w:rsidR="002F6E91" w:rsidRDefault="002F6E91">
      <w:pPr>
        <w:rPr>
          <w:rFonts w:ascii="Times" w:eastAsia="Times" w:hAnsi="Times" w:cs="Times"/>
          <w:b/>
          <w:sz w:val="24"/>
          <w:szCs w:val="24"/>
        </w:rPr>
      </w:pPr>
      <w:r>
        <w:rPr>
          <w:rFonts w:ascii="Times" w:eastAsia="Times" w:hAnsi="Times" w:cs="Times"/>
          <w:b/>
          <w:sz w:val="24"/>
          <w:szCs w:val="24"/>
        </w:rPr>
        <w:br w:type="page"/>
      </w:r>
    </w:p>
    <w:p w14:paraId="16BED39E" w14:textId="5E0E28A3" w:rsidR="002F6E91" w:rsidRDefault="002F6E91">
      <w:pPr>
        <w:spacing w:before="200" w:line="360" w:lineRule="auto"/>
        <w:jc w:val="center"/>
        <w:rPr>
          <w:rFonts w:ascii="Times" w:eastAsia="Times" w:hAnsi="Times" w:cs="Times"/>
          <w:b/>
          <w:sz w:val="24"/>
          <w:szCs w:val="24"/>
        </w:rPr>
      </w:pPr>
      <w:r>
        <w:rPr>
          <w:rFonts w:ascii="Times" w:eastAsia="Times" w:hAnsi="Times" w:cs="Times"/>
          <w:b/>
          <w:sz w:val="24"/>
          <w:szCs w:val="24"/>
        </w:rPr>
        <w:lastRenderedPageBreak/>
        <w:t>Table of Contents</w:t>
      </w:r>
    </w:p>
    <w:sdt>
      <w:sdtPr>
        <w:id w:val="-759675467"/>
        <w:docPartObj>
          <w:docPartGallery w:val="Table of Contents"/>
          <w:docPartUnique/>
        </w:docPartObj>
      </w:sdtPr>
      <w:sdtEndPr>
        <w:rPr>
          <w:rFonts w:ascii="Arial" w:eastAsia="Arial" w:hAnsi="Arial" w:cs="Arial"/>
          <w:b/>
          <w:bCs/>
          <w:noProof/>
          <w:color w:val="auto"/>
          <w:sz w:val="22"/>
          <w:szCs w:val="22"/>
          <w:lang w:val="en-GB" w:eastAsia="en-IN"/>
        </w:rPr>
      </w:sdtEndPr>
      <w:sdtContent>
        <w:p w14:paraId="32003AB2" w14:textId="08A77DAC" w:rsidR="002F6E91" w:rsidRDefault="002F6E91">
          <w:pPr>
            <w:pStyle w:val="TOCHeading"/>
          </w:pPr>
        </w:p>
        <w:p w14:paraId="293EEA62" w14:textId="0F4E1E96" w:rsidR="002F6E91" w:rsidRPr="002F6E91" w:rsidRDefault="002F6E91" w:rsidP="002F6E91">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59361555" w:history="1">
            <w:r w:rsidRPr="002F6E91">
              <w:rPr>
                <w:rStyle w:val="Hyperlink"/>
                <w:rFonts w:ascii="Times New Roman" w:hAnsi="Times New Roman" w:cs="Times New Roman"/>
                <w:noProof/>
                <w:sz w:val="24"/>
                <w:szCs w:val="24"/>
              </w:rPr>
              <w:t>Introduction</w:t>
            </w:r>
            <w:r w:rsidRPr="002F6E91">
              <w:rPr>
                <w:rFonts w:ascii="Times New Roman" w:hAnsi="Times New Roman" w:cs="Times New Roman"/>
                <w:noProof/>
                <w:webHidden/>
                <w:sz w:val="24"/>
                <w:szCs w:val="24"/>
              </w:rPr>
              <w:tab/>
            </w:r>
            <w:r w:rsidRPr="002F6E91">
              <w:rPr>
                <w:rFonts w:ascii="Times New Roman" w:hAnsi="Times New Roman" w:cs="Times New Roman"/>
                <w:noProof/>
                <w:webHidden/>
                <w:sz w:val="24"/>
                <w:szCs w:val="24"/>
              </w:rPr>
              <w:fldChar w:fldCharType="begin"/>
            </w:r>
            <w:r w:rsidRPr="002F6E91">
              <w:rPr>
                <w:rFonts w:ascii="Times New Roman" w:hAnsi="Times New Roman" w:cs="Times New Roman"/>
                <w:noProof/>
                <w:webHidden/>
                <w:sz w:val="24"/>
                <w:szCs w:val="24"/>
              </w:rPr>
              <w:instrText xml:space="preserve"> PAGEREF _Toc159361555 \h </w:instrText>
            </w:r>
            <w:r w:rsidRPr="002F6E91">
              <w:rPr>
                <w:rFonts w:ascii="Times New Roman" w:hAnsi="Times New Roman" w:cs="Times New Roman"/>
                <w:noProof/>
                <w:webHidden/>
                <w:sz w:val="24"/>
                <w:szCs w:val="24"/>
              </w:rPr>
            </w:r>
            <w:r w:rsidRPr="002F6E91">
              <w:rPr>
                <w:rFonts w:ascii="Times New Roman" w:hAnsi="Times New Roman" w:cs="Times New Roman"/>
                <w:noProof/>
                <w:webHidden/>
                <w:sz w:val="24"/>
                <w:szCs w:val="24"/>
              </w:rPr>
              <w:fldChar w:fldCharType="separate"/>
            </w:r>
            <w:r w:rsidRPr="002F6E91">
              <w:rPr>
                <w:rFonts w:ascii="Times New Roman" w:hAnsi="Times New Roman" w:cs="Times New Roman"/>
                <w:noProof/>
                <w:webHidden/>
                <w:sz w:val="24"/>
                <w:szCs w:val="24"/>
              </w:rPr>
              <w:t>2</w:t>
            </w:r>
            <w:r w:rsidRPr="002F6E91">
              <w:rPr>
                <w:rFonts w:ascii="Times New Roman" w:hAnsi="Times New Roman" w:cs="Times New Roman"/>
                <w:noProof/>
                <w:webHidden/>
                <w:sz w:val="24"/>
                <w:szCs w:val="24"/>
              </w:rPr>
              <w:fldChar w:fldCharType="end"/>
            </w:r>
          </w:hyperlink>
        </w:p>
        <w:p w14:paraId="6DB27050" w14:textId="338AB6A1" w:rsidR="002F6E91" w:rsidRPr="002F6E91" w:rsidRDefault="002F6E91" w:rsidP="002F6E91">
          <w:pPr>
            <w:pStyle w:val="TOC1"/>
            <w:tabs>
              <w:tab w:val="right" w:leader="dot" w:pos="9350"/>
            </w:tabs>
            <w:spacing w:line="360" w:lineRule="auto"/>
            <w:jc w:val="both"/>
            <w:rPr>
              <w:rFonts w:ascii="Times New Roman" w:hAnsi="Times New Roman" w:cs="Times New Roman"/>
              <w:noProof/>
              <w:sz w:val="24"/>
              <w:szCs w:val="24"/>
            </w:rPr>
          </w:pPr>
          <w:hyperlink w:anchor="_Toc159361556" w:history="1">
            <w:r w:rsidRPr="002F6E91">
              <w:rPr>
                <w:rStyle w:val="Hyperlink"/>
                <w:rFonts w:ascii="Times New Roman" w:hAnsi="Times New Roman" w:cs="Times New Roman"/>
                <w:noProof/>
                <w:sz w:val="24"/>
                <w:szCs w:val="24"/>
              </w:rPr>
              <w:t>Current staffing strategy in the chosen organisation</w:t>
            </w:r>
            <w:r w:rsidRPr="002F6E91">
              <w:rPr>
                <w:rFonts w:ascii="Times New Roman" w:hAnsi="Times New Roman" w:cs="Times New Roman"/>
                <w:noProof/>
                <w:webHidden/>
                <w:sz w:val="24"/>
                <w:szCs w:val="24"/>
              </w:rPr>
              <w:tab/>
            </w:r>
            <w:r w:rsidRPr="002F6E91">
              <w:rPr>
                <w:rFonts w:ascii="Times New Roman" w:hAnsi="Times New Roman" w:cs="Times New Roman"/>
                <w:noProof/>
                <w:webHidden/>
                <w:sz w:val="24"/>
                <w:szCs w:val="24"/>
              </w:rPr>
              <w:fldChar w:fldCharType="begin"/>
            </w:r>
            <w:r w:rsidRPr="002F6E91">
              <w:rPr>
                <w:rFonts w:ascii="Times New Roman" w:hAnsi="Times New Roman" w:cs="Times New Roman"/>
                <w:noProof/>
                <w:webHidden/>
                <w:sz w:val="24"/>
                <w:szCs w:val="24"/>
              </w:rPr>
              <w:instrText xml:space="preserve"> PAGEREF _Toc159361556 \h </w:instrText>
            </w:r>
            <w:r w:rsidRPr="002F6E91">
              <w:rPr>
                <w:rFonts w:ascii="Times New Roman" w:hAnsi="Times New Roman" w:cs="Times New Roman"/>
                <w:noProof/>
                <w:webHidden/>
                <w:sz w:val="24"/>
                <w:szCs w:val="24"/>
              </w:rPr>
            </w:r>
            <w:r w:rsidRPr="002F6E91">
              <w:rPr>
                <w:rFonts w:ascii="Times New Roman" w:hAnsi="Times New Roman" w:cs="Times New Roman"/>
                <w:noProof/>
                <w:webHidden/>
                <w:sz w:val="24"/>
                <w:szCs w:val="24"/>
              </w:rPr>
              <w:fldChar w:fldCharType="separate"/>
            </w:r>
            <w:r w:rsidRPr="002F6E91">
              <w:rPr>
                <w:rFonts w:ascii="Times New Roman" w:hAnsi="Times New Roman" w:cs="Times New Roman"/>
                <w:noProof/>
                <w:webHidden/>
                <w:sz w:val="24"/>
                <w:szCs w:val="24"/>
              </w:rPr>
              <w:t>2</w:t>
            </w:r>
            <w:r w:rsidRPr="002F6E91">
              <w:rPr>
                <w:rFonts w:ascii="Times New Roman" w:hAnsi="Times New Roman" w:cs="Times New Roman"/>
                <w:noProof/>
                <w:webHidden/>
                <w:sz w:val="24"/>
                <w:szCs w:val="24"/>
              </w:rPr>
              <w:fldChar w:fldCharType="end"/>
            </w:r>
          </w:hyperlink>
        </w:p>
        <w:p w14:paraId="718BAE89" w14:textId="6092BA03" w:rsidR="002F6E91" w:rsidRPr="002F6E91" w:rsidRDefault="002F6E91" w:rsidP="002F6E91">
          <w:pPr>
            <w:pStyle w:val="TOC1"/>
            <w:tabs>
              <w:tab w:val="right" w:leader="dot" w:pos="9350"/>
            </w:tabs>
            <w:spacing w:line="360" w:lineRule="auto"/>
            <w:jc w:val="both"/>
            <w:rPr>
              <w:rFonts w:ascii="Times New Roman" w:hAnsi="Times New Roman" w:cs="Times New Roman"/>
              <w:noProof/>
              <w:sz w:val="24"/>
              <w:szCs w:val="24"/>
            </w:rPr>
          </w:pPr>
          <w:hyperlink w:anchor="_Toc159361557" w:history="1">
            <w:r w:rsidRPr="002F6E91">
              <w:rPr>
                <w:rStyle w:val="Hyperlink"/>
                <w:rFonts w:ascii="Times New Roman" w:hAnsi="Times New Roman" w:cs="Times New Roman"/>
                <w:noProof/>
                <w:sz w:val="24"/>
                <w:szCs w:val="24"/>
              </w:rPr>
              <w:t>Factors that will influence the choice of the right staffing option</w:t>
            </w:r>
            <w:r w:rsidRPr="002F6E91">
              <w:rPr>
                <w:rFonts w:ascii="Times New Roman" w:hAnsi="Times New Roman" w:cs="Times New Roman"/>
                <w:noProof/>
                <w:webHidden/>
                <w:sz w:val="24"/>
                <w:szCs w:val="24"/>
              </w:rPr>
              <w:tab/>
            </w:r>
            <w:r w:rsidRPr="002F6E91">
              <w:rPr>
                <w:rFonts w:ascii="Times New Roman" w:hAnsi="Times New Roman" w:cs="Times New Roman"/>
                <w:noProof/>
                <w:webHidden/>
                <w:sz w:val="24"/>
                <w:szCs w:val="24"/>
              </w:rPr>
              <w:fldChar w:fldCharType="begin"/>
            </w:r>
            <w:r w:rsidRPr="002F6E91">
              <w:rPr>
                <w:rFonts w:ascii="Times New Roman" w:hAnsi="Times New Roman" w:cs="Times New Roman"/>
                <w:noProof/>
                <w:webHidden/>
                <w:sz w:val="24"/>
                <w:szCs w:val="24"/>
              </w:rPr>
              <w:instrText xml:space="preserve"> PAGEREF _Toc159361557 \h </w:instrText>
            </w:r>
            <w:r w:rsidRPr="002F6E91">
              <w:rPr>
                <w:rFonts w:ascii="Times New Roman" w:hAnsi="Times New Roman" w:cs="Times New Roman"/>
                <w:noProof/>
                <w:webHidden/>
                <w:sz w:val="24"/>
                <w:szCs w:val="24"/>
              </w:rPr>
            </w:r>
            <w:r w:rsidRPr="002F6E91">
              <w:rPr>
                <w:rFonts w:ascii="Times New Roman" w:hAnsi="Times New Roman" w:cs="Times New Roman"/>
                <w:noProof/>
                <w:webHidden/>
                <w:sz w:val="24"/>
                <w:szCs w:val="24"/>
              </w:rPr>
              <w:fldChar w:fldCharType="separate"/>
            </w:r>
            <w:r w:rsidRPr="002F6E91">
              <w:rPr>
                <w:rFonts w:ascii="Times New Roman" w:hAnsi="Times New Roman" w:cs="Times New Roman"/>
                <w:noProof/>
                <w:webHidden/>
                <w:sz w:val="24"/>
                <w:szCs w:val="24"/>
              </w:rPr>
              <w:t>3</w:t>
            </w:r>
            <w:r w:rsidRPr="002F6E91">
              <w:rPr>
                <w:rFonts w:ascii="Times New Roman" w:hAnsi="Times New Roman" w:cs="Times New Roman"/>
                <w:noProof/>
                <w:webHidden/>
                <w:sz w:val="24"/>
                <w:szCs w:val="24"/>
              </w:rPr>
              <w:fldChar w:fldCharType="end"/>
            </w:r>
          </w:hyperlink>
        </w:p>
        <w:p w14:paraId="16B3B92E" w14:textId="3E67F227" w:rsidR="002F6E91" w:rsidRPr="002F6E91" w:rsidRDefault="002F6E91" w:rsidP="002F6E91">
          <w:pPr>
            <w:pStyle w:val="TOC1"/>
            <w:tabs>
              <w:tab w:val="right" w:leader="dot" w:pos="9350"/>
            </w:tabs>
            <w:spacing w:line="360" w:lineRule="auto"/>
            <w:jc w:val="both"/>
            <w:rPr>
              <w:rFonts w:ascii="Times New Roman" w:hAnsi="Times New Roman" w:cs="Times New Roman"/>
              <w:noProof/>
              <w:sz w:val="24"/>
              <w:szCs w:val="24"/>
            </w:rPr>
          </w:pPr>
          <w:hyperlink w:anchor="_Toc159361558" w:history="1">
            <w:r w:rsidRPr="002F6E91">
              <w:rPr>
                <w:rStyle w:val="Hyperlink"/>
                <w:rFonts w:ascii="Times New Roman" w:hAnsi="Times New Roman" w:cs="Times New Roman"/>
                <w:noProof/>
                <w:sz w:val="24"/>
                <w:szCs w:val="24"/>
              </w:rPr>
              <w:t>Skills and competences required by HR managers to support the organisational strategy</w:t>
            </w:r>
            <w:r w:rsidRPr="002F6E91">
              <w:rPr>
                <w:rFonts w:ascii="Times New Roman" w:hAnsi="Times New Roman" w:cs="Times New Roman"/>
                <w:noProof/>
                <w:webHidden/>
                <w:sz w:val="24"/>
                <w:szCs w:val="24"/>
              </w:rPr>
              <w:tab/>
            </w:r>
            <w:r w:rsidRPr="002F6E91">
              <w:rPr>
                <w:rFonts w:ascii="Times New Roman" w:hAnsi="Times New Roman" w:cs="Times New Roman"/>
                <w:noProof/>
                <w:webHidden/>
                <w:sz w:val="24"/>
                <w:szCs w:val="24"/>
              </w:rPr>
              <w:fldChar w:fldCharType="begin"/>
            </w:r>
            <w:r w:rsidRPr="002F6E91">
              <w:rPr>
                <w:rFonts w:ascii="Times New Roman" w:hAnsi="Times New Roman" w:cs="Times New Roman"/>
                <w:noProof/>
                <w:webHidden/>
                <w:sz w:val="24"/>
                <w:szCs w:val="24"/>
              </w:rPr>
              <w:instrText xml:space="preserve"> PAGEREF _Toc159361558 \h </w:instrText>
            </w:r>
            <w:r w:rsidRPr="002F6E91">
              <w:rPr>
                <w:rFonts w:ascii="Times New Roman" w:hAnsi="Times New Roman" w:cs="Times New Roman"/>
                <w:noProof/>
                <w:webHidden/>
                <w:sz w:val="24"/>
                <w:szCs w:val="24"/>
              </w:rPr>
            </w:r>
            <w:r w:rsidRPr="002F6E91">
              <w:rPr>
                <w:rFonts w:ascii="Times New Roman" w:hAnsi="Times New Roman" w:cs="Times New Roman"/>
                <w:noProof/>
                <w:webHidden/>
                <w:sz w:val="24"/>
                <w:szCs w:val="24"/>
              </w:rPr>
              <w:fldChar w:fldCharType="separate"/>
            </w:r>
            <w:r w:rsidRPr="002F6E91">
              <w:rPr>
                <w:rFonts w:ascii="Times New Roman" w:hAnsi="Times New Roman" w:cs="Times New Roman"/>
                <w:noProof/>
                <w:webHidden/>
                <w:sz w:val="24"/>
                <w:szCs w:val="24"/>
              </w:rPr>
              <w:t>6</w:t>
            </w:r>
            <w:r w:rsidRPr="002F6E91">
              <w:rPr>
                <w:rFonts w:ascii="Times New Roman" w:hAnsi="Times New Roman" w:cs="Times New Roman"/>
                <w:noProof/>
                <w:webHidden/>
                <w:sz w:val="24"/>
                <w:szCs w:val="24"/>
              </w:rPr>
              <w:fldChar w:fldCharType="end"/>
            </w:r>
          </w:hyperlink>
        </w:p>
        <w:p w14:paraId="07D3D37C" w14:textId="3CBF8EE0" w:rsidR="002F6E91" w:rsidRPr="002F6E91" w:rsidRDefault="002F6E91" w:rsidP="002F6E91">
          <w:pPr>
            <w:pStyle w:val="TOC1"/>
            <w:tabs>
              <w:tab w:val="right" w:leader="dot" w:pos="9350"/>
            </w:tabs>
            <w:spacing w:line="360" w:lineRule="auto"/>
            <w:jc w:val="both"/>
            <w:rPr>
              <w:rFonts w:ascii="Times New Roman" w:hAnsi="Times New Roman" w:cs="Times New Roman"/>
              <w:noProof/>
              <w:sz w:val="24"/>
              <w:szCs w:val="24"/>
            </w:rPr>
          </w:pPr>
          <w:hyperlink w:anchor="_Toc159361559" w:history="1">
            <w:r w:rsidRPr="002F6E91">
              <w:rPr>
                <w:rStyle w:val="Hyperlink"/>
                <w:rFonts w:ascii="Times New Roman" w:hAnsi="Times New Roman" w:cs="Times New Roman"/>
                <w:noProof/>
                <w:sz w:val="24"/>
                <w:szCs w:val="24"/>
              </w:rPr>
              <w:t>Conclusion</w:t>
            </w:r>
            <w:r w:rsidRPr="002F6E91">
              <w:rPr>
                <w:rFonts w:ascii="Times New Roman" w:hAnsi="Times New Roman" w:cs="Times New Roman"/>
                <w:noProof/>
                <w:webHidden/>
                <w:sz w:val="24"/>
                <w:szCs w:val="24"/>
              </w:rPr>
              <w:tab/>
            </w:r>
            <w:r w:rsidRPr="002F6E91">
              <w:rPr>
                <w:rFonts w:ascii="Times New Roman" w:hAnsi="Times New Roman" w:cs="Times New Roman"/>
                <w:noProof/>
                <w:webHidden/>
                <w:sz w:val="24"/>
                <w:szCs w:val="24"/>
              </w:rPr>
              <w:fldChar w:fldCharType="begin"/>
            </w:r>
            <w:r w:rsidRPr="002F6E91">
              <w:rPr>
                <w:rFonts w:ascii="Times New Roman" w:hAnsi="Times New Roman" w:cs="Times New Roman"/>
                <w:noProof/>
                <w:webHidden/>
                <w:sz w:val="24"/>
                <w:szCs w:val="24"/>
              </w:rPr>
              <w:instrText xml:space="preserve"> PAGEREF _Toc159361559 \h </w:instrText>
            </w:r>
            <w:r w:rsidRPr="002F6E91">
              <w:rPr>
                <w:rFonts w:ascii="Times New Roman" w:hAnsi="Times New Roman" w:cs="Times New Roman"/>
                <w:noProof/>
                <w:webHidden/>
                <w:sz w:val="24"/>
                <w:szCs w:val="24"/>
              </w:rPr>
            </w:r>
            <w:r w:rsidRPr="002F6E91">
              <w:rPr>
                <w:rFonts w:ascii="Times New Roman" w:hAnsi="Times New Roman" w:cs="Times New Roman"/>
                <w:noProof/>
                <w:webHidden/>
                <w:sz w:val="24"/>
                <w:szCs w:val="24"/>
              </w:rPr>
              <w:fldChar w:fldCharType="separate"/>
            </w:r>
            <w:r w:rsidRPr="002F6E91">
              <w:rPr>
                <w:rFonts w:ascii="Times New Roman" w:hAnsi="Times New Roman" w:cs="Times New Roman"/>
                <w:noProof/>
                <w:webHidden/>
                <w:sz w:val="24"/>
                <w:szCs w:val="24"/>
              </w:rPr>
              <w:t>8</w:t>
            </w:r>
            <w:r w:rsidRPr="002F6E91">
              <w:rPr>
                <w:rFonts w:ascii="Times New Roman" w:hAnsi="Times New Roman" w:cs="Times New Roman"/>
                <w:noProof/>
                <w:webHidden/>
                <w:sz w:val="24"/>
                <w:szCs w:val="24"/>
              </w:rPr>
              <w:fldChar w:fldCharType="end"/>
            </w:r>
          </w:hyperlink>
        </w:p>
        <w:p w14:paraId="6464F13E" w14:textId="0E07A31D" w:rsidR="002F6E91" w:rsidRPr="002F6E91" w:rsidRDefault="002F6E91" w:rsidP="002F6E91">
          <w:pPr>
            <w:pStyle w:val="TOC1"/>
            <w:tabs>
              <w:tab w:val="right" w:leader="dot" w:pos="9350"/>
            </w:tabs>
            <w:spacing w:line="360" w:lineRule="auto"/>
            <w:jc w:val="both"/>
            <w:rPr>
              <w:rFonts w:ascii="Times New Roman" w:hAnsi="Times New Roman" w:cs="Times New Roman"/>
              <w:noProof/>
              <w:sz w:val="24"/>
              <w:szCs w:val="24"/>
            </w:rPr>
          </w:pPr>
          <w:hyperlink w:anchor="_Toc159361560" w:history="1">
            <w:r w:rsidRPr="002F6E91">
              <w:rPr>
                <w:rStyle w:val="Hyperlink"/>
                <w:rFonts w:ascii="Times New Roman" w:hAnsi="Times New Roman" w:cs="Times New Roman"/>
                <w:noProof/>
                <w:sz w:val="24"/>
                <w:szCs w:val="24"/>
                <w:lang w:val="en-US"/>
              </w:rPr>
              <w:t>References</w:t>
            </w:r>
            <w:r w:rsidRPr="002F6E91">
              <w:rPr>
                <w:rFonts w:ascii="Times New Roman" w:hAnsi="Times New Roman" w:cs="Times New Roman"/>
                <w:noProof/>
                <w:webHidden/>
                <w:sz w:val="24"/>
                <w:szCs w:val="24"/>
              </w:rPr>
              <w:tab/>
            </w:r>
            <w:r w:rsidRPr="002F6E91">
              <w:rPr>
                <w:rFonts w:ascii="Times New Roman" w:hAnsi="Times New Roman" w:cs="Times New Roman"/>
                <w:noProof/>
                <w:webHidden/>
                <w:sz w:val="24"/>
                <w:szCs w:val="24"/>
              </w:rPr>
              <w:fldChar w:fldCharType="begin"/>
            </w:r>
            <w:r w:rsidRPr="002F6E91">
              <w:rPr>
                <w:rFonts w:ascii="Times New Roman" w:hAnsi="Times New Roman" w:cs="Times New Roman"/>
                <w:noProof/>
                <w:webHidden/>
                <w:sz w:val="24"/>
                <w:szCs w:val="24"/>
              </w:rPr>
              <w:instrText xml:space="preserve"> PAGEREF _Toc159361560 \h </w:instrText>
            </w:r>
            <w:r w:rsidRPr="002F6E91">
              <w:rPr>
                <w:rFonts w:ascii="Times New Roman" w:hAnsi="Times New Roman" w:cs="Times New Roman"/>
                <w:noProof/>
                <w:webHidden/>
                <w:sz w:val="24"/>
                <w:szCs w:val="24"/>
              </w:rPr>
            </w:r>
            <w:r w:rsidRPr="002F6E91">
              <w:rPr>
                <w:rFonts w:ascii="Times New Roman" w:hAnsi="Times New Roman" w:cs="Times New Roman"/>
                <w:noProof/>
                <w:webHidden/>
                <w:sz w:val="24"/>
                <w:szCs w:val="24"/>
              </w:rPr>
              <w:fldChar w:fldCharType="separate"/>
            </w:r>
            <w:r w:rsidRPr="002F6E91">
              <w:rPr>
                <w:rFonts w:ascii="Times New Roman" w:hAnsi="Times New Roman" w:cs="Times New Roman"/>
                <w:noProof/>
                <w:webHidden/>
                <w:sz w:val="24"/>
                <w:szCs w:val="24"/>
              </w:rPr>
              <w:t>9</w:t>
            </w:r>
            <w:r w:rsidRPr="002F6E91">
              <w:rPr>
                <w:rFonts w:ascii="Times New Roman" w:hAnsi="Times New Roman" w:cs="Times New Roman"/>
                <w:noProof/>
                <w:webHidden/>
                <w:sz w:val="24"/>
                <w:szCs w:val="24"/>
              </w:rPr>
              <w:fldChar w:fldCharType="end"/>
            </w:r>
          </w:hyperlink>
        </w:p>
        <w:p w14:paraId="4DD895CE" w14:textId="5609402A" w:rsidR="002F6E91" w:rsidRDefault="002F6E91">
          <w:r>
            <w:rPr>
              <w:b/>
              <w:bCs/>
              <w:noProof/>
            </w:rPr>
            <w:fldChar w:fldCharType="end"/>
          </w:r>
        </w:p>
      </w:sdtContent>
    </w:sdt>
    <w:p w14:paraId="242DE4BE" w14:textId="77777777" w:rsidR="002F6E91" w:rsidRPr="002F6E91" w:rsidRDefault="002F6E91">
      <w:pPr>
        <w:spacing w:before="200" w:line="360" w:lineRule="auto"/>
        <w:jc w:val="center"/>
        <w:rPr>
          <w:rFonts w:ascii="Times" w:eastAsia="Times" w:hAnsi="Times" w:cs="Times"/>
          <w:b/>
          <w:sz w:val="24"/>
          <w:szCs w:val="24"/>
        </w:rPr>
      </w:pPr>
    </w:p>
    <w:p w14:paraId="00000002" w14:textId="77777777" w:rsidR="007D668C" w:rsidRDefault="00000000">
      <w:pPr>
        <w:spacing w:before="200" w:line="360" w:lineRule="auto"/>
        <w:jc w:val="center"/>
        <w:rPr>
          <w:rFonts w:ascii="Times" w:eastAsia="Times" w:hAnsi="Times" w:cs="Times"/>
          <w:b/>
          <w:sz w:val="24"/>
          <w:szCs w:val="24"/>
        </w:rPr>
      </w:pPr>
      <w:r>
        <w:br w:type="page"/>
      </w:r>
    </w:p>
    <w:p w14:paraId="00000003" w14:textId="77777777" w:rsidR="007D668C" w:rsidRDefault="00000000" w:rsidP="002F6E91">
      <w:pPr>
        <w:pStyle w:val="Heading1"/>
      </w:pPr>
      <w:bookmarkStart w:id="0" w:name="_Toc159361555"/>
      <w:r>
        <w:lastRenderedPageBreak/>
        <w:t>Introduction</w:t>
      </w:r>
      <w:bookmarkEnd w:id="0"/>
    </w:p>
    <w:p w14:paraId="00000004"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The purpose of this study is to critically evaluate the feasible and suitable staffing method for a UK-based pharmaceutical company, GlaxoSmithKline (GSK). As per the view of Al-</w:t>
      </w:r>
      <w:proofErr w:type="spellStart"/>
      <w:r>
        <w:rPr>
          <w:rFonts w:ascii="Times" w:eastAsia="Times" w:hAnsi="Times" w:cs="Times"/>
          <w:sz w:val="24"/>
          <w:szCs w:val="24"/>
        </w:rPr>
        <w:t>Ma’aitah</w:t>
      </w:r>
      <w:proofErr w:type="spellEnd"/>
      <w:r>
        <w:rPr>
          <w:rFonts w:ascii="Times" w:eastAsia="Times" w:hAnsi="Times" w:cs="Times"/>
          <w:sz w:val="24"/>
          <w:szCs w:val="24"/>
        </w:rPr>
        <w:t>, Al-</w:t>
      </w:r>
      <w:proofErr w:type="spellStart"/>
      <w:r>
        <w:rPr>
          <w:rFonts w:ascii="Times" w:eastAsia="Times" w:hAnsi="Times" w:cs="Times"/>
          <w:sz w:val="24"/>
          <w:szCs w:val="24"/>
        </w:rPr>
        <w:t>Haraisa</w:t>
      </w:r>
      <w:proofErr w:type="spellEnd"/>
      <w:r>
        <w:rPr>
          <w:rFonts w:ascii="Times" w:eastAsia="Times" w:hAnsi="Times" w:cs="Times"/>
          <w:sz w:val="24"/>
          <w:szCs w:val="24"/>
        </w:rPr>
        <w:t xml:space="preserve"> and Al-</w:t>
      </w:r>
      <w:proofErr w:type="spellStart"/>
      <w:r>
        <w:rPr>
          <w:rFonts w:ascii="Times" w:eastAsia="Times" w:hAnsi="Times" w:cs="Times"/>
          <w:sz w:val="24"/>
          <w:szCs w:val="24"/>
        </w:rPr>
        <w:t>Tarawneh</w:t>
      </w:r>
      <w:proofErr w:type="spellEnd"/>
      <w:r>
        <w:rPr>
          <w:rFonts w:ascii="Times" w:eastAsia="Times" w:hAnsi="Times" w:cs="Times"/>
          <w:sz w:val="24"/>
          <w:szCs w:val="24"/>
        </w:rPr>
        <w:t xml:space="preserve"> (2020), staffing strategies include three consecutive phases that are recruitment, selection and placement that make a positive impact on organisational excellence. The Covid-19 has turned out both an opportunity and threat for pharmaceutical companies like GSK. Hence, for the companies it has become extremely crucial to recruit highly-talented staff to embrace the opportunities and eliminate the threats. Concerning these facts, from theoretical viewpoints, the study critically discusses the skills HR professors in GSK will require to tackle such operations. </w:t>
      </w:r>
    </w:p>
    <w:p w14:paraId="00000005" w14:textId="77777777" w:rsidR="007D668C" w:rsidRDefault="00000000" w:rsidP="002F6E91">
      <w:pPr>
        <w:pStyle w:val="Heading1"/>
      </w:pPr>
      <w:bookmarkStart w:id="1" w:name="_Toc159361556"/>
      <w:r>
        <w:t>Current staffing strategy in the chosen organisation</w:t>
      </w:r>
      <w:bookmarkEnd w:id="1"/>
      <w:r>
        <w:t xml:space="preserve"> </w:t>
      </w:r>
    </w:p>
    <w:p w14:paraId="00000006"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Currently, GSK follows an on-premise staffing method. The dedicated and experienced HR team in GSK evaluate the candidate’s talents and experiences as well as verify their background in the physical location of the company (Gsksolutions.com 2024). This rule is applicable in almost 160 countries that GSK currently operates in including the USA, Italy, France, Germany and Japan. Ghanem</w:t>
      </w:r>
      <w:r>
        <w:rPr>
          <w:rFonts w:ascii="Times" w:eastAsia="Times" w:hAnsi="Times" w:cs="Times"/>
          <w:i/>
          <w:sz w:val="24"/>
          <w:szCs w:val="24"/>
        </w:rPr>
        <w:t xml:space="preserve"> et al.</w:t>
      </w:r>
      <w:r>
        <w:rPr>
          <w:rFonts w:ascii="Times" w:eastAsia="Times" w:hAnsi="Times" w:cs="Times"/>
          <w:sz w:val="24"/>
          <w:szCs w:val="24"/>
        </w:rPr>
        <w:t xml:space="preserve"> (2020) argued that when it comes to conduct an interview, compared to on-premise areas, off-premise areas are more feasible. In off-premise areas, managers can facilitate the knowledge transactions briefly whereas they can discourage loitering of the candidates. In contrast to these facts, de Souza Santos and Ralph (2022) argued that within an in-office arrangement, coordination seems higher. The HR professionals in GSK mainly appeal to the candidates to visit the office premises for the interview and staffing procedure. </w:t>
      </w:r>
    </w:p>
    <w:p w14:paraId="00000007"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By doing so, GSK aims to overcome the shortage of skills in the market and prevent certain factors from affecting their business. The company knows that assessing a candidate face-to-face would bring more clarity to their understanding regarding the candidates’ abilities so that the HR team can allocate them in the right groups. Although GSK has built a range of collaboration and partnership with external recruiting agencies, their main motive has always been to work tirelessly to recruit the best talent in the house. Thus, they have chosen the on-premise staff method where the HR team prioritises physical interactions over virtual communication to know the candidates more closely.   </w:t>
      </w:r>
    </w:p>
    <w:p w14:paraId="00000008" w14:textId="77777777" w:rsidR="007D668C" w:rsidRDefault="00000000" w:rsidP="002F6E91">
      <w:pPr>
        <w:pStyle w:val="Heading1"/>
      </w:pPr>
      <w:bookmarkStart w:id="2" w:name="_Toc159361557"/>
      <w:r>
        <w:lastRenderedPageBreak/>
        <w:t>Factors that will influence the choice of the right staffing option</w:t>
      </w:r>
      <w:bookmarkEnd w:id="2"/>
      <w:r>
        <w:t xml:space="preserve"> </w:t>
      </w:r>
    </w:p>
    <w:p w14:paraId="00000009"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In order to take the crucial business operations, three staffing methods are mainly followed by the global companies and they are host country national, parent country national and third country national. Kim, Chung and Brewster (2019) believed that nationality-based staffing mainly implies the trade-offs between a company’s headquarter and the local parties. For instance, host-country nationals refer to those employees who are recruited in a foreign company but in their own country. The employees usually are staffed in the branches or subsidiaries of the foreign company. Conversely, parent-country nationals are the employees who are the citizens and are hired by an MNC from the same country where the company has its origin and has the headquarter. Besides that, third-country nationals are the employees who work outside of their home country in a company that is neither from the employees’ nor from its own home country. Hence, the third-country nations are often called migrant workers. In the case of GSK, they follow each of the staffing methods, although all the candidates have to end their selection process in the house. However, in the future, there are a few factors that might force the HR team in GSK to change their staffing decisions. </w:t>
      </w:r>
    </w:p>
    <w:p w14:paraId="0000000A" w14:textId="77777777" w:rsidR="007D668C" w:rsidRDefault="00000000">
      <w:pPr>
        <w:spacing w:before="200" w:line="360" w:lineRule="auto"/>
        <w:jc w:val="both"/>
        <w:rPr>
          <w:rFonts w:ascii="Times" w:eastAsia="Times" w:hAnsi="Times" w:cs="Times"/>
          <w:b/>
          <w:i/>
          <w:sz w:val="24"/>
          <w:szCs w:val="24"/>
          <w:u w:val="single"/>
        </w:rPr>
      </w:pPr>
      <w:r>
        <w:rPr>
          <w:rFonts w:ascii="Times" w:eastAsia="Times" w:hAnsi="Times" w:cs="Times"/>
          <w:b/>
          <w:i/>
          <w:sz w:val="24"/>
          <w:szCs w:val="24"/>
          <w:u w:val="single"/>
        </w:rPr>
        <w:t xml:space="preserve">Covid-19 pandemic </w:t>
      </w:r>
    </w:p>
    <w:p w14:paraId="0000000B"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During the phase of the Covid-19 pandemic, GSK had to face a decline in its revenues up to £7.41bn, an 18% year-on-year fall in 2021. Nevertheless, the company did not lay off its employees; rather the potential HR team empathised with the employees’ concerns and allowed them remote working options. However, concerning the spread of the virus, </w:t>
      </w:r>
      <w:proofErr w:type="spellStart"/>
      <w:r>
        <w:rPr>
          <w:rFonts w:ascii="Times" w:eastAsia="Times" w:hAnsi="Times" w:cs="Times"/>
          <w:sz w:val="24"/>
          <w:szCs w:val="24"/>
        </w:rPr>
        <w:t>Anaf</w:t>
      </w:r>
      <w:proofErr w:type="spellEnd"/>
      <w:r>
        <w:rPr>
          <w:rFonts w:ascii="Times" w:eastAsia="Times" w:hAnsi="Times" w:cs="Times"/>
          <w:sz w:val="24"/>
          <w:szCs w:val="24"/>
        </w:rPr>
        <w:t xml:space="preserve"> </w:t>
      </w:r>
      <w:r>
        <w:rPr>
          <w:rFonts w:ascii="Times" w:eastAsia="Times" w:hAnsi="Times" w:cs="Times"/>
          <w:i/>
          <w:sz w:val="24"/>
          <w:szCs w:val="24"/>
        </w:rPr>
        <w:t>et al.</w:t>
      </w:r>
      <w:r>
        <w:rPr>
          <w:rFonts w:ascii="Times" w:eastAsia="Times" w:hAnsi="Times" w:cs="Times"/>
          <w:sz w:val="24"/>
          <w:szCs w:val="24"/>
        </w:rPr>
        <w:t xml:space="preserve"> (2022) found that migrant workers were the most vulnerable group. Due to their migrating nature for the job purposes, they carried the infection from one country to other which mostly was one of the sources of the virus. In that case, if GSK would hire people from different countries to their different locations worldwide, the probability of the vulnerable may rise again. It proves that third-country national staffing may not be appropriate for GSK to apply further as in case of any further crisis, it may hamper their employees’ well-being as well as corporate image. On the contrary, </w:t>
      </w:r>
      <w:proofErr w:type="spellStart"/>
      <w:r>
        <w:rPr>
          <w:rFonts w:ascii="Times" w:eastAsia="Times" w:hAnsi="Times" w:cs="Times"/>
          <w:sz w:val="24"/>
          <w:szCs w:val="24"/>
        </w:rPr>
        <w:t>Barmeyer</w:t>
      </w:r>
      <w:proofErr w:type="spellEnd"/>
      <w:r>
        <w:rPr>
          <w:rFonts w:ascii="Times" w:eastAsia="Times" w:hAnsi="Times" w:cs="Times"/>
          <w:sz w:val="24"/>
          <w:szCs w:val="24"/>
        </w:rPr>
        <w:t xml:space="preserve">, Stein and Eberhardt (2020) argued that third-party national staff members are more productive in terms of understanding the cultural complexity between headquarters and subsidiaries. In fact, they mostly seem willing to balance power asymmetries in the foreign workplaces and create trust with colleagues by using their neutrality. For a global firm like GSK, </w:t>
      </w:r>
      <w:r>
        <w:rPr>
          <w:rFonts w:ascii="Times" w:eastAsia="Times" w:hAnsi="Times" w:cs="Times"/>
          <w:sz w:val="24"/>
          <w:szCs w:val="24"/>
        </w:rPr>
        <w:lastRenderedPageBreak/>
        <w:t xml:space="preserve">having certain types of employees would help in creating the best workplace values where through experiencing collaboration between employees, the HR team can facilitate the organisational learning. At that point, third-country national staffing seems the most suitable method for GSK. </w:t>
      </w:r>
    </w:p>
    <w:p w14:paraId="0000000C" w14:textId="77777777" w:rsidR="007D668C" w:rsidRDefault="00000000">
      <w:pPr>
        <w:spacing w:before="200" w:line="360" w:lineRule="auto"/>
        <w:jc w:val="both"/>
        <w:rPr>
          <w:rFonts w:ascii="Times" w:eastAsia="Times" w:hAnsi="Times" w:cs="Times"/>
          <w:b/>
          <w:i/>
          <w:sz w:val="24"/>
          <w:szCs w:val="24"/>
          <w:u w:val="single"/>
        </w:rPr>
      </w:pPr>
      <w:r>
        <w:rPr>
          <w:rFonts w:ascii="Times" w:eastAsia="Times" w:hAnsi="Times" w:cs="Times"/>
          <w:b/>
          <w:i/>
          <w:sz w:val="24"/>
          <w:szCs w:val="24"/>
          <w:u w:val="single"/>
        </w:rPr>
        <w:t>Production cost</w:t>
      </w:r>
    </w:p>
    <w:p w14:paraId="0000000D"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Modern companies like GSK have started cost-cutting measures to cope with the recession across the world which was fuelled by the Covid-19 outbreak. For instance, in 2022, GSK has lowered the pay rise opportunities for the employee who performed less to offer exceptional rewards to high-performing employees (Gsk.com 2024). In such circumstances, if GSK invests a higher amount on recruiting staff from foreign locations, the cost of visa and migration will create a pressure sore on the production capacity. In both staffing scenarios, parent-country and third-country nationals, GSK must bear all the cost of the foreign workers to get them on board for completing the on-premise process. At this point, only the host-country national staffing seems prevalent for GSK as in such cases, the employees will be recruited in their own countries where GSK has subsidiaries. However, Patel </w:t>
      </w:r>
      <w:r>
        <w:rPr>
          <w:rFonts w:ascii="Times" w:eastAsia="Times" w:hAnsi="Times" w:cs="Times"/>
          <w:i/>
          <w:sz w:val="24"/>
          <w:szCs w:val="24"/>
        </w:rPr>
        <w:t>et al.</w:t>
      </w:r>
      <w:r>
        <w:rPr>
          <w:rFonts w:ascii="Times" w:eastAsia="Times" w:hAnsi="Times" w:cs="Times"/>
          <w:sz w:val="24"/>
          <w:szCs w:val="24"/>
        </w:rPr>
        <w:t xml:space="preserve"> (2019) argued that host-country national staffing methods make managers in subsidiaries to stay responsive to local individuals’ job needs. Although the method brings flexibility in the human resource management process, the authors also argued that host-country national staffing is incompatible with onsite-offshore business models. It might create a dilemma in GSK to continue their on-the premise staffing methods but in foreign subsidiaries, the operational transparency will be acute. By doing so, GSK can strongly control its foreign operations. For instance, by recruiting local people at a lower wage rate, GSK can emulate cost-effective production facilities in foreign countries which in return, help them in making higher profitability. </w:t>
      </w:r>
    </w:p>
    <w:p w14:paraId="0000000E" w14:textId="12228838" w:rsidR="007D668C" w:rsidRDefault="002F6E91">
      <w:pPr>
        <w:spacing w:before="200" w:line="360" w:lineRule="auto"/>
        <w:jc w:val="both"/>
        <w:rPr>
          <w:rFonts w:ascii="Times" w:eastAsia="Times" w:hAnsi="Times" w:cs="Times"/>
          <w:b/>
          <w:i/>
          <w:sz w:val="24"/>
          <w:szCs w:val="24"/>
          <w:u w:val="single"/>
        </w:rPr>
      </w:pPr>
      <w:r>
        <w:rPr>
          <w:rFonts w:ascii="Times" w:eastAsia="Times" w:hAnsi="Times" w:cs="Times"/>
          <w:b/>
          <w:i/>
          <w:sz w:val="24"/>
          <w:szCs w:val="24"/>
          <w:u w:val="single"/>
        </w:rPr>
        <w:t>Regulation</w:t>
      </w:r>
      <w:r w:rsidR="00000000">
        <w:rPr>
          <w:rFonts w:ascii="Times" w:eastAsia="Times" w:hAnsi="Times" w:cs="Times"/>
          <w:b/>
          <w:i/>
          <w:sz w:val="24"/>
          <w:szCs w:val="24"/>
          <w:u w:val="single"/>
        </w:rPr>
        <w:t xml:space="preserve"> volatility </w:t>
      </w:r>
    </w:p>
    <w:p w14:paraId="0000000F"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GSK claims to be accountable in terms of meeting their stakeholders’ needs and the company prioritises their employees by considering them as a resourceful asset. Although GSK operates in almost 160 countries, it is one of their duties to follow the employment regulations in each country to run the subsidiaries smoothly. On the contrary, Jayachandran (2021) argued that both in developed and developing countries, gender norms still resist female employment. In such circumstances, concerted policies have played an important role in boosting female employment. </w:t>
      </w:r>
      <w:r>
        <w:rPr>
          <w:rFonts w:ascii="Times" w:eastAsia="Times" w:hAnsi="Times" w:cs="Times"/>
          <w:sz w:val="24"/>
          <w:szCs w:val="24"/>
        </w:rPr>
        <w:lastRenderedPageBreak/>
        <w:t xml:space="preserve">For GSK, it will be a bit time-consuming as well as difficult to assess the policies in each country while applying host-country and third-country national staffing. It will happen because in both cases, the HR executives in GSK will be completely unaware of the social and demographic characteristics unless they incorporate a strategic lens to view the policies. On the contrary, if GSK can apply for the parent-country nationals, they can send people from their home country to the foreign countries to run the overseas subsidiaries. The HR executives in GSK can train the UK-based recruited staff to understand socio-cultural characteristics in foreign countries where they will be sent. Their wage rate as well as other employment perks will be offered as per the UK standard. </w:t>
      </w:r>
    </w:p>
    <w:p w14:paraId="00000010"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For instance, if an employee gets a higher wage rate as per the UK standard but is sent to run the Indian subsidiary, the employee will enjoy a cost advantage. It will happen because of the lower cost-of-living in India compared to the UK where by getting a UK-based salary, the employee can save money in India. As a result, GSK can fully satisfy the employees who in return strengthen their overall business productivity. On the other hand, Yao </w:t>
      </w:r>
      <w:r>
        <w:rPr>
          <w:rFonts w:ascii="Times" w:eastAsia="Times" w:hAnsi="Times" w:cs="Times"/>
          <w:i/>
          <w:sz w:val="24"/>
          <w:szCs w:val="24"/>
        </w:rPr>
        <w:t>et al.</w:t>
      </w:r>
      <w:r>
        <w:rPr>
          <w:rFonts w:ascii="Times" w:eastAsia="Times" w:hAnsi="Times" w:cs="Times"/>
          <w:sz w:val="24"/>
          <w:szCs w:val="24"/>
        </w:rPr>
        <w:t xml:space="preserve"> (2023) argued that MNCs apply parent-country national staffing strategies when they face symbolic threats related to ethics and morals in the host countries. For instance, in case GSK ever faces an issue in running a foreign subsidiary, they can recruit staff in their headquarter and send them to deal with the issue in the foreign country. At that point, it could be considered as a back-up plan to drive the foreign business instead of a regular method of recruiting people and sending them only to handle complexities. By leading newly recruited staff to tackle the legal volatilities in the foreign countries, GSK may not satisfy its staff members ever. Thus, the parent-country national strategy cannot be claimed to be suitable for GSK as of now. </w:t>
      </w:r>
    </w:p>
    <w:p w14:paraId="00000011" w14:textId="46D2CC50"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However, concerning the overall critical arguments irrespective of each staffing method, the host-country national staffing seems the most suitable one for GSK to drive successful foreign operations. In that case, the recruited staff in the host country will know the social demographics better to tackle the foreign subsidiaries of GSK. At the same time, GSK </w:t>
      </w:r>
      <w:r w:rsidR="002F6E91">
        <w:rPr>
          <w:rFonts w:ascii="Times" w:eastAsia="Times" w:hAnsi="Times" w:cs="Times"/>
          <w:sz w:val="24"/>
          <w:szCs w:val="24"/>
        </w:rPr>
        <w:t>can</w:t>
      </w:r>
      <w:r>
        <w:rPr>
          <w:rFonts w:ascii="Times" w:eastAsia="Times" w:hAnsi="Times" w:cs="Times"/>
          <w:sz w:val="24"/>
          <w:szCs w:val="24"/>
        </w:rPr>
        <w:t xml:space="preserve"> satisfy the staff members in the host countries by complying with the national regulations to set the employment amenities as per the country standards. </w:t>
      </w:r>
    </w:p>
    <w:p w14:paraId="00000012" w14:textId="77777777" w:rsidR="007D668C" w:rsidRDefault="00000000" w:rsidP="002F6E91">
      <w:pPr>
        <w:pStyle w:val="Heading1"/>
      </w:pPr>
      <w:bookmarkStart w:id="3" w:name="_Toc159361558"/>
      <w:r>
        <w:lastRenderedPageBreak/>
        <w:t>Skills and competences required by HR managers to support the organisational strategy</w:t>
      </w:r>
      <w:bookmarkEnd w:id="3"/>
    </w:p>
    <w:p w14:paraId="00000013" w14:textId="77777777" w:rsidR="007D668C" w:rsidRDefault="00000000">
      <w:pPr>
        <w:spacing w:before="200" w:line="360" w:lineRule="auto"/>
        <w:jc w:val="both"/>
        <w:rPr>
          <w:rFonts w:ascii="Times" w:eastAsia="Times" w:hAnsi="Times" w:cs="Times"/>
          <w:b/>
          <w:i/>
          <w:sz w:val="24"/>
          <w:szCs w:val="24"/>
          <w:u w:val="single"/>
        </w:rPr>
      </w:pPr>
      <w:r>
        <w:rPr>
          <w:rFonts w:ascii="Times" w:eastAsia="Times" w:hAnsi="Times" w:cs="Times"/>
          <w:b/>
          <w:i/>
          <w:sz w:val="24"/>
          <w:szCs w:val="24"/>
          <w:u w:val="single"/>
        </w:rPr>
        <w:t>Communication skills</w:t>
      </w:r>
    </w:p>
    <w:p w14:paraId="00000014"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Communication is the first skill that HR managers in MNCs like GSK will require the most to support the organisational strategies such as parent-country nationals for driving successful foreign subsidiaries. Armstrong and Taylor (2020) viewed that through the aid of communication skills, HR managers can build a strong relationship with the employees. In the case of GSK, while applying the parent-country national strategy, the HR professionals must keep in touch with the staff in the host countries. Although in each subsidiary, GSK has an HRM department, the executives or directors are only from the UK who must keep communicating with the staff to exchange ideas and share feedback. Yolanda, </w:t>
      </w:r>
      <w:proofErr w:type="spellStart"/>
      <w:r>
        <w:rPr>
          <w:rFonts w:ascii="Times" w:eastAsia="Times" w:hAnsi="Times" w:cs="Times"/>
          <w:sz w:val="24"/>
          <w:szCs w:val="24"/>
        </w:rPr>
        <w:t>Nurismilida</w:t>
      </w:r>
      <w:proofErr w:type="spellEnd"/>
      <w:r>
        <w:rPr>
          <w:rFonts w:ascii="Times" w:eastAsia="Times" w:hAnsi="Times" w:cs="Times"/>
          <w:sz w:val="24"/>
          <w:szCs w:val="24"/>
        </w:rPr>
        <w:t xml:space="preserve"> and </w:t>
      </w:r>
      <w:proofErr w:type="spellStart"/>
      <w:r>
        <w:rPr>
          <w:rFonts w:ascii="Times" w:eastAsia="Times" w:hAnsi="Times" w:cs="Times"/>
          <w:sz w:val="24"/>
          <w:szCs w:val="24"/>
        </w:rPr>
        <w:t>Wulansary</w:t>
      </w:r>
      <w:proofErr w:type="spellEnd"/>
      <w:r>
        <w:rPr>
          <w:rFonts w:ascii="Times" w:eastAsia="Times" w:hAnsi="Times" w:cs="Times"/>
          <w:sz w:val="24"/>
          <w:szCs w:val="24"/>
        </w:rPr>
        <w:t xml:space="preserve"> (2021) argued that a lack of communication can hamper organisational sustainability. While running the foreign subsidies and controlling the staff recruitment in the host countries, if the HR executives in GSK’s home country fail to interact properly, it might collapse their mutual understanding. As a result, they may not be able to build collaboration and out of that, their foreign operations will be hampered. </w:t>
      </w:r>
    </w:p>
    <w:p w14:paraId="00000015" w14:textId="77777777" w:rsidR="007D668C" w:rsidRDefault="00000000">
      <w:pPr>
        <w:spacing w:before="200" w:line="360" w:lineRule="auto"/>
        <w:jc w:val="both"/>
        <w:rPr>
          <w:rFonts w:ascii="Times" w:eastAsia="Times" w:hAnsi="Times" w:cs="Times"/>
          <w:b/>
          <w:i/>
          <w:sz w:val="24"/>
          <w:szCs w:val="24"/>
          <w:u w:val="single"/>
        </w:rPr>
      </w:pPr>
      <w:r>
        <w:rPr>
          <w:rFonts w:ascii="Times" w:eastAsia="Times" w:hAnsi="Times" w:cs="Times"/>
          <w:b/>
          <w:i/>
          <w:sz w:val="24"/>
          <w:szCs w:val="24"/>
          <w:u w:val="single"/>
        </w:rPr>
        <w:t xml:space="preserve">Leadership skills </w:t>
      </w:r>
    </w:p>
    <w:p w14:paraId="00000016"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Without leadership skills, HR managers cannot develop a sense of accountability towards the recruited staff members, especially in motivating them and championing a positive workplace culture. As opined by </w:t>
      </w:r>
      <w:proofErr w:type="spellStart"/>
      <w:r>
        <w:rPr>
          <w:rFonts w:ascii="Times" w:eastAsia="Times" w:hAnsi="Times" w:cs="Times"/>
          <w:sz w:val="24"/>
          <w:szCs w:val="24"/>
        </w:rPr>
        <w:t>Paais</w:t>
      </w:r>
      <w:proofErr w:type="spellEnd"/>
      <w:r>
        <w:rPr>
          <w:rFonts w:ascii="Times" w:eastAsia="Times" w:hAnsi="Times" w:cs="Times"/>
          <w:sz w:val="24"/>
          <w:szCs w:val="24"/>
        </w:rPr>
        <w:t xml:space="preserve"> and </w:t>
      </w:r>
      <w:proofErr w:type="spellStart"/>
      <w:r>
        <w:rPr>
          <w:rFonts w:ascii="Times" w:eastAsia="Times" w:hAnsi="Times" w:cs="Times"/>
          <w:sz w:val="24"/>
          <w:szCs w:val="24"/>
        </w:rPr>
        <w:t>Pattiruhu</w:t>
      </w:r>
      <w:proofErr w:type="spellEnd"/>
      <w:r>
        <w:rPr>
          <w:rFonts w:ascii="Times" w:eastAsia="Times" w:hAnsi="Times" w:cs="Times"/>
          <w:sz w:val="24"/>
          <w:szCs w:val="24"/>
        </w:rPr>
        <w:t xml:space="preserve"> (2020), effective motivation, leadership and flexible work culture motivate employees. As GSK has always been dedicated towards satisfying the needs of their staff members irrespective of their origin, cast, culture and religion, in the host country, they must reflect the same traits. In such circumstances, the HR managers in the headquarter of GSK must put their best efforts to listen to the problems of the staff in the host countries. They can develop vision and communicate the vision with the employees through virtual and face-to-face meetings. In fact, while recruiting the staff to run the foreign subsidiaries, by being an efficient leader, the HR managers will not be biassed or partial towards their favourite one. </w:t>
      </w:r>
    </w:p>
    <w:p w14:paraId="00000017" w14:textId="77777777" w:rsidR="007D668C" w:rsidRDefault="00000000">
      <w:pPr>
        <w:spacing w:before="200" w:line="360" w:lineRule="auto"/>
        <w:jc w:val="both"/>
        <w:rPr>
          <w:rFonts w:ascii="Times" w:eastAsia="Times" w:hAnsi="Times" w:cs="Times"/>
          <w:b/>
          <w:i/>
          <w:sz w:val="24"/>
          <w:szCs w:val="24"/>
          <w:u w:val="single"/>
        </w:rPr>
      </w:pPr>
      <w:r>
        <w:rPr>
          <w:rFonts w:ascii="Times" w:eastAsia="Times" w:hAnsi="Times" w:cs="Times"/>
          <w:b/>
          <w:i/>
          <w:sz w:val="24"/>
          <w:szCs w:val="24"/>
          <w:u w:val="single"/>
        </w:rPr>
        <w:t xml:space="preserve">Research and development skills </w:t>
      </w:r>
    </w:p>
    <w:p w14:paraId="00000018"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lastRenderedPageBreak/>
        <w:t xml:space="preserve">Before choosing the right candidate in the foreign locations of GSK, the HR executives will require strong research and development skills to assess the current market scenarios. By doing so, it will be easier for them to fully comply with the national standards and regulations in the foreign countries to design the employment perks accordingly. However, </w:t>
      </w:r>
      <w:proofErr w:type="spellStart"/>
      <w:r>
        <w:rPr>
          <w:rFonts w:ascii="Times" w:eastAsia="Times" w:hAnsi="Times" w:cs="Times"/>
          <w:sz w:val="24"/>
          <w:szCs w:val="24"/>
        </w:rPr>
        <w:t>Chytiri</w:t>
      </w:r>
      <w:proofErr w:type="spellEnd"/>
      <w:r>
        <w:rPr>
          <w:rFonts w:ascii="Times" w:eastAsia="Times" w:hAnsi="Times" w:cs="Times"/>
          <w:sz w:val="24"/>
          <w:szCs w:val="24"/>
        </w:rPr>
        <w:t xml:space="preserve"> (2019) argued that HR managers must need research skills to investigate the extent to which their roles are affected by the organisational characteristics. For instance, in the GSK, if the HR executives do not have research skills, they may fail to verify or inspect a candidate’s background before the recruitment. At the same time, without research and development, the HR executives in GSK may not be able to gain meaningful insights about the probable threats or opportunities in the host country’s market. Also, without a research skill, the HR executives will not understand the needs or demands of the staff members in the host country. As a result, it might be difficult for GSK to keep satisfying them by being a responsible business entity which in turn can damage their business productivity worldwide. </w:t>
      </w:r>
    </w:p>
    <w:p w14:paraId="00000019" w14:textId="77777777" w:rsidR="007D668C" w:rsidRDefault="00000000">
      <w:pPr>
        <w:spacing w:before="200" w:line="360" w:lineRule="auto"/>
        <w:jc w:val="both"/>
        <w:rPr>
          <w:rFonts w:ascii="Times" w:eastAsia="Times" w:hAnsi="Times" w:cs="Times"/>
          <w:b/>
          <w:i/>
          <w:sz w:val="24"/>
          <w:szCs w:val="24"/>
          <w:u w:val="single"/>
        </w:rPr>
      </w:pPr>
      <w:r>
        <w:rPr>
          <w:rFonts w:ascii="Times" w:eastAsia="Times" w:hAnsi="Times" w:cs="Times"/>
          <w:b/>
          <w:i/>
          <w:sz w:val="24"/>
          <w:szCs w:val="24"/>
          <w:u w:val="single"/>
        </w:rPr>
        <w:t xml:space="preserve">Emotional intelligence </w:t>
      </w:r>
    </w:p>
    <w:p w14:paraId="0000001A"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It is inevitable that without being emotionally strong, the HR executives may not be able to make reliable and viable decisions in favour of all. By having a high emotional intelligence, HR managers cannot empathise with the pain of their staff members whereas they might lose confidence in dealing with real-time problems. Papoutsi, </w:t>
      </w:r>
      <w:proofErr w:type="spellStart"/>
      <w:r>
        <w:rPr>
          <w:rFonts w:ascii="Times" w:eastAsia="Times" w:hAnsi="Times" w:cs="Times"/>
          <w:sz w:val="24"/>
          <w:szCs w:val="24"/>
        </w:rPr>
        <w:t>Drigas</w:t>
      </w:r>
      <w:proofErr w:type="spellEnd"/>
      <w:r>
        <w:rPr>
          <w:rFonts w:ascii="Times" w:eastAsia="Times" w:hAnsi="Times" w:cs="Times"/>
          <w:sz w:val="24"/>
          <w:szCs w:val="24"/>
        </w:rPr>
        <w:t xml:space="preserve"> and </w:t>
      </w:r>
      <w:proofErr w:type="spellStart"/>
      <w:r>
        <w:rPr>
          <w:rFonts w:ascii="Times" w:eastAsia="Times" w:hAnsi="Times" w:cs="Times"/>
          <w:sz w:val="24"/>
          <w:szCs w:val="24"/>
        </w:rPr>
        <w:t>Skianis</w:t>
      </w:r>
      <w:proofErr w:type="spellEnd"/>
      <w:r>
        <w:rPr>
          <w:rFonts w:ascii="Times" w:eastAsia="Times" w:hAnsi="Times" w:cs="Times"/>
          <w:sz w:val="24"/>
          <w:szCs w:val="24"/>
        </w:rPr>
        <w:t xml:space="preserve"> (2019) also supported this fact and pointed out that managers’ emotional intelligence has a positive correlation with employees’ job satisfaction. It means that if the HR executives in GSK’s headquarters can strengthen their emotional quotient, they can create a healthy relationship with the staff in the host countries. In fact, they can manage conflict with the respective staff and develop socialisation skills among them to keep working through collective actions with the staff in GSK’s home country. As a result of improving these identified skills, the HR executives in GSK can support each operational strategy by building a strong and highly-satisfied workforce where talent will speak the most. </w:t>
      </w:r>
    </w:p>
    <w:p w14:paraId="0000001B" w14:textId="77777777" w:rsidR="007D668C" w:rsidRDefault="00000000">
      <w:pPr>
        <w:spacing w:before="200" w:line="360" w:lineRule="auto"/>
        <w:jc w:val="both"/>
        <w:rPr>
          <w:rFonts w:ascii="Times" w:eastAsia="Times" w:hAnsi="Times" w:cs="Times"/>
          <w:b/>
          <w:i/>
          <w:sz w:val="24"/>
          <w:szCs w:val="24"/>
          <w:u w:val="single"/>
        </w:rPr>
      </w:pPr>
      <w:r>
        <w:rPr>
          <w:rFonts w:ascii="Times" w:eastAsia="Times" w:hAnsi="Times" w:cs="Times"/>
          <w:b/>
          <w:i/>
          <w:sz w:val="24"/>
          <w:szCs w:val="24"/>
          <w:u w:val="single"/>
        </w:rPr>
        <w:t xml:space="preserve">Theoretical viewpoints: Elton Mayo’s Human Relation Theory </w:t>
      </w:r>
    </w:p>
    <w:p w14:paraId="0000001C" w14:textId="77777777"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Elton Mayo’s Human Relation theory says that managers are required to prioritise the best interests of their employees such as appreciation, rewards, higher wages and values. It encapsulates a better </w:t>
      </w:r>
      <w:r>
        <w:rPr>
          <w:rFonts w:ascii="Times" w:eastAsia="Times" w:hAnsi="Times" w:cs="Times"/>
          <w:sz w:val="24"/>
          <w:szCs w:val="24"/>
        </w:rPr>
        <w:lastRenderedPageBreak/>
        <w:t xml:space="preserve">working environment where mutual understanding and respect mainly drive the employees’ job productivity. In simple words, the HR managers must build a strong and cooperative relationship with the employees to encourage their participation and job engagement (Goswami and Goswami 2018). In the case of GSK, the application of the envisioned staffing strategy, parent-country nation, would not be easier in the future due to a range of factors. In such circumstances, the communication, leadership, emotional intelligence and research skills will increase the potential of the HR executives to become more responsive to the employees in the host countries. Therefore, the respective employees will not differentiate them from the staff members in the home country of GSK and in that way, the company can build a culture of inclusion. As a result, these skills will influence the HR decisions from staffing to training through which GSK can execute their global operational strategies smoothly. </w:t>
      </w:r>
    </w:p>
    <w:p w14:paraId="0000001D" w14:textId="77777777" w:rsidR="007D668C" w:rsidRDefault="00000000" w:rsidP="002F6E91">
      <w:pPr>
        <w:pStyle w:val="Heading1"/>
      </w:pPr>
      <w:bookmarkStart w:id="4" w:name="_Toc159361559"/>
      <w:r>
        <w:t>Conclusion</w:t>
      </w:r>
      <w:bookmarkEnd w:id="4"/>
      <w:r>
        <w:t xml:space="preserve"> </w:t>
      </w:r>
    </w:p>
    <w:p w14:paraId="0000001E" w14:textId="15AF5BB8" w:rsidR="007D668C" w:rsidRDefault="00000000">
      <w:pPr>
        <w:spacing w:before="200" w:line="360" w:lineRule="auto"/>
        <w:jc w:val="both"/>
        <w:rPr>
          <w:rFonts w:ascii="Times" w:eastAsia="Times" w:hAnsi="Times" w:cs="Times"/>
          <w:sz w:val="24"/>
          <w:szCs w:val="24"/>
        </w:rPr>
      </w:pPr>
      <w:r>
        <w:rPr>
          <w:rFonts w:ascii="Times" w:eastAsia="Times" w:hAnsi="Times" w:cs="Times"/>
          <w:sz w:val="24"/>
          <w:szCs w:val="24"/>
        </w:rPr>
        <w:t xml:space="preserve">Based on the overall arguments and discussion, the study concludes that GSK’s decision to choose a staffing strategy will be influenced by three major factors. The first one is the aftermath of the Covid-19 pandemic which will make the HR team in GSK more sceptical towards hiring people for the safety of the existing people. The second one is the production cost which will make the HR team focus on hiring people in the most cost-effective way to let the company hold a profitable status quo. The third one is the </w:t>
      </w:r>
      <w:r w:rsidR="002F6E91">
        <w:rPr>
          <w:rFonts w:ascii="Times" w:eastAsia="Times" w:hAnsi="Times" w:cs="Times"/>
          <w:sz w:val="24"/>
          <w:szCs w:val="24"/>
        </w:rPr>
        <w:t>regulation</w:t>
      </w:r>
      <w:r>
        <w:rPr>
          <w:rFonts w:ascii="Times" w:eastAsia="Times" w:hAnsi="Times" w:cs="Times"/>
          <w:sz w:val="24"/>
          <w:szCs w:val="24"/>
        </w:rPr>
        <w:t xml:space="preserve"> volatility which will encourage the HR team to recruit people in the most ethical way without compromising their adherence to the national standards. Concerning these factors, the study concludes the parent-country national strategy as the most appropriate staffing method in GSK in the future. </w:t>
      </w:r>
    </w:p>
    <w:p w14:paraId="55FBD0F3" w14:textId="388BE487" w:rsidR="002F6E91" w:rsidRDefault="002F6E91">
      <w:pPr>
        <w:rPr>
          <w:rFonts w:ascii="Times" w:eastAsia="Times" w:hAnsi="Times" w:cs="Times"/>
          <w:sz w:val="24"/>
          <w:szCs w:val="24"/>
        </w:rPr>
      </w:pPr>
      <w:r>
        <w:rPr>
          <w:rFonts w:ascii="Times" w:eastAsia="Times" w:hAnsi="Times" w:cs="Times"/>
          <w:sz w:val="24"/>
          <w:szCs w:val="24"/>
        </w:rPr>
        <w:br w:type="page"/>
      </w:r>
    </w:p>
    <w:p w14:paraId="448A6C0F" w14:textId="77777777" w:rsidR="002F6E91" w:rsidRPr="00881D25" w:rsidRDefault="002F6E91" w:rsidP="002F6E91">
      <w:pPr>
        <w:pStyle w:val="Heading1"/>
        <w:rPr>
          <w:lang w:val="en-US"/>
        </w:rPr>
      </w:pPr>
      <w:bookmarkStart w:id="5" w:name="_Toc159361560"/>
      <w:r w:rsidRPr="00881D25">
        <w:rPr>
          <w:lang w:val="en-US"/>
        </w:rPr>
        <w:lastRenderedPageBreak/>
        <w:t>References</w:t>
      </w:r>
      <w:bookmarkEnd w:id="5"/>
    </w:p>
    <w:p w14:paraId="0D604E66"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lang w:val="en-IN"/>
        </w:rPr>
        <w:t>Al-</w:t>
      </w:r>
      <w:proofErr w:type="spellStart"/>
      <w:r w:rsidRPr="006D5C85">
        <w:rPr>
          <w:rFonts w:ascii="Times New Roman" w:hAnsi="Times New Roman" w:cs="Times New Roman"/>
          <w:color w:val="000000" w:themeColor="text1"/>
          <w:sz w:val="24"/>
          <w:szCs w:val="24"/>
          <w:lang w:val="en-IN"/>
        </w:rPr>
        <w:t>Ma’aitah</w:t>
      </w:r>
      <w:proofErr w:type="spellEnd"/>
      <w:r w:rsidRPr="006D5C85">
        <w:rPr>
          <w:rFonts w:ascii="Times New Roman" w:hAnsi="Times New Roman" w:cs="Times New Roman"/>
          <w:color w:val="000000" w:themeColor="text1"/>
          <w:sz w:val="24"/>
          <w:szCs w:val="24"/>
          <w:lang w:val="en-IN"/>
        </w:rPr>
        <w:t>, N., Al-</w:t>
      </w:r>
      <w:proofErr w:type="spellStart"/>
      <w:r w:rsidRPr="006D5C85">
        <w:rPr>
          <w:rFonts w:ascii="Times New Roman" w:hAnsi="Times New Roman" w:cs="Times New Roman"/>
          <w:color w:val="000000" w:themeColor="text1"/>
          <w:sz w:val="24"/>
          <w:szCs w:val="24"/>
          <w:lang w:val="en-IN"/>
        </w:rPr>
        <w:t>Haraisa</w:t>
      </w:r>
      <w:proofErr w:type="spellEnd"/>
      <w:r w:rsidRPr="006D5C85">
        <w:rPr>
          <w:rFonts w:ascii="Times New Roman" w:hAnsi="Times New Roman" w:cs="Times New Roman"/>
          <w:color w:val="000000" w:themeColor="text1"/>
          <w:sz w:val="24"/>
          <w:szCs w:val="24"/>
          <w:lang w:val="en-IN"/>
        </w:rPr>
        <w:t>, Y. and Al-</w:t>
      </w:r>
      <w:proofErr w:type="spellStart"/>
      <w:r w:rsidRPr="006D5C85">
        <w:rPr>
          <w:rFonts w:ascii="Times New Roman" w:hAnsi="Times New Roman" w:cs="Times New Roman"/>
          <w:color w:val="000000" w:themeColor="text1"/>
          <w:sz w:val="24"/>
          <w:szCs w:val="24"/>
          <w:lang w:val="en-IN"/>
        </w:rPr>
        <w:t>Tarawneh</w:t>
      </w:r>
      <w:proofErr w:type="spellEnd"/>
      <w:r w:rsidRPr="006D5C85">
        <w:rPr>
          <w:rFonts w:ascii="Times New Roman" w:hAnsi="Times New Roman" w:cs="Times New Roman"/>
          <w:color w:val="000000" w:themeColor="text1"/>
          <w:sz w:val="24"/>
          <w:szCs w:val="24"/>
          <w:lang w:val="en-IN"/>
        </w:rPr>
        <w:t>, K., 2020. Staffing strategy as a way to achieve organizational excellence: Insights from Jordan. </w:t>
      </w:r>
      <w:r w:rsidRPr="006D5C85">
        <w:rPr>
          <w:rFonts w:ascii="Times New Roman" w:hAnsi="Times New Roman" w:cs="Times New Roman"/>
          <w:i/>
          <w:iCs/>
          <w:color w:val="000000" w:themeColor="text1"/>
          <w:sz w:val="24"/>
          <w:szCs w:val="24"/>
          <w:lang w:val="en-IN"/>
        </w:rPr>
        <w:t>Test Engineering and Management</w:t>
      </w:r>
      <w:r w:rsidRPr="006D5C85">
        <w:rPr>
          <w:rFonts w:ascii="Times New Roman" w:hAnsi="Times New Roman" w:cs="Times New Roman"/>
          <w:color w:val="000000" w:themeColor="text1"/>
          <w:sz w:val="24"/>
          <w:szCs w:val="24"/>
          <w:lang w:val="en-IN"/>
        </w:rPr>
        <w:t>, </w:t>
      </w:r>
      <w:r w:rsidRPr="006D5C85">
        <w:rPr>
          <w:rFonts w:ascii="Times New Roman" w:hAnsi="Times New Roman" w:cs="Times New Roman"/>
          <w:i/>
          <w:iCs/>
          <w:color w:val="000000" w:themeColor="text1"/>
          <w:sz w:val="24"/>
          <w:szCs w:val="24"/>
          <w:lang w:val="en-IN"/>
        </w:rPr>
        <w:t>83</w:t>
      </w:r>
      <w:r w:rsidRPr="006D5C85">
        <w:rPr>
          <w:rFonts w:ascii="Times New Roman" w:hAnsi="Times New Roman" w:cs="Times New Roman"/>
          <w:color w:val="000000" w:themeColor="text1"/>
          <w:sz w:val="24"/>
          <w:szCs w:val="24"/>
          <w:lang w:val="en-IN"/>
        </w:rPr>
        <w:t>(March-April), pp.6929-6939.</w:t>
      </w:r>
    </w:p>
    <w:p w14:paraId="42AC5574"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proofErr w:type="spellStart"/>
      <w:r w:rsidRPr="006D5C85">
        <w:rPr>
          <w:rFonts w:ascii="Times New Roman" w:hAnsi="Times New Roman" w:cs="Times New Roman"/>
          <w:color w:val="000000" w:themeColor="text1"/>
          <w:sz w:val="24"/>
          <w:szCs w:val="24"/>
        </w:rPr>
        <w:t>Anaf</w:t>
      </w:r>
      <w:proofErr w:type="spellEnd"/>
      <w:r w:rsidRPr="006D5C85">
        <w:rPr>
          <w:rFonts w:ascii="Times New Roman" w:hAnsi="Times New Roman" w:cs="Times New Roman"/>
          <w:color w:val="000000" w:themeColor="text1"/>
          <w:sz w:val="24"/>
          <w:szCs w:val="24"/>
        </w:rPr>
        <w:t xml:space="preserve">, A., Ibnu, F., </w:t>
      </w:r>
      <w:proofErr w:type="spellStart"/>
      <w:r w:rsidRPr="006D5C85">
        <w:rPr>
          <w:rFonts w:ascii="Times New Roman" w:hAnsi="Times New Roman" w:cs="Times New Roman"/>
          <w:color w:val="000000" w:themeColor="text1"/>
          <w:sz w:val="24"/>
          <w:szCs w:val="24"/>
        </w:rPr>
        <w:t>Romdiati</w:t>
      </w:r>
      <w:proofErr w:type="spellEnd"/>
      <w:r w:rsidRPr="006D5C85">
        <w:rPr>
          <w:rFonts w:ascii="Times New Roman" w:hAnsi="Times New Roman" w:cs="Times New Roman"/>
          <w:color w:val="000000" w:themeColor="text1"/>
          <w:sz w:val="24"/>
          <w:szCs w:val="24"/>
        </w:rPr>
        <w:t xml:space="preserve">, H. and </w:t>
      </w:r>
      <w:proofErr w:type="spellStart"/>
      <w:r w:rsidRPr="006D5C85">
        <w:rPr>
          <w:rFonts w:ascii="Times New Roman" w:hAnsi="Times New Roman" w:cs="Times New Roman"/>
          <w:color w:val="000000" w:themeColor="text1"/>
          <w:sz w:val="24"/>
          <w:szCs w:val="24"/>
        </w:rPr>
        <w:t>Noveria</w:t>
      </w:r>
      <w:proofErr w:type="spellEnd"/>
      <w:r w:rsidRPr="006D5C85">
        <w:rPr>
          <w:rFonts w:ascii="Times New Roman" w:hAnsi="Times New Roman" w:cs="Times New Roman"/>
          <w:color w:val="000000" w:themeColor="text1"/>
          <w:sz w:val="24"/>
          <w:szCs w:val="24"/>
        </w:rPr>
        <w:t>, M., 2022. Indonesian migrant workers: The migration process and vulnerability to COVID-19. </w:t>
      </w:r>
      <w:r w:rsidRPr="006D5C85">
        <w:rPr>
          <w:rFonts w:ascii="Times New Roman" w:hAnsi="Times New Roman" w:cs="Times New Roman"/>
          <w:i/>
          <w:iCs/>
          <w:color w:val="000000" w:themeColor="text1"/>
          <w:sz w:val="24"/>
          <w:szCs w:val="24"/>
        </w:rPr>
        <w:t>Journal of Environmental and Public Health</w:t>
      </w:r>
      <w:r w:rsidRPr="006D5C85">
        <w:rPr>
          <w:rFonts w:ascii="Times New Roman" w:hAnsi="Times New Roman" w:cs="Times New Roman"/>
          <w:color w:val="000000" w:themeColor="text1"/>
          <w:sz w:val="24"/>
          <w:szCs w:val="24"/>
        </w:rPr>
        <w:t>, </w:t>
      </w:r>
      <w:r w:rsidRPr="006D5C85">
        <w:rPr>
          <w:rFonts w:ascii="Times New Roman" w:hAnsi="Times New Roman" w:cs="Times New Roman"/>
          <w:i/>
          <w:iCs/>
          <w:color w:val="000000" w:themeColor="text1"/>
          <w:sz w:val="24"/>
          <w:szCs w:val="24"/>
        </w:rPr>
        <w:t>2022</w:t>
      </w:r>
      <w:r w:rsidRPr="006D5C85">
        <w:rPr>
          <w:rFonts w:ascii="Times New Roman" w:hAnsi="Times New Roman" w:cs="Times New Roman"/>
          <w:color w:val="000000" w:themeColor="text1"/>
          <w:sz w:val="24"/>
          <w:szCs w:val="24"/>
        </w:rPr>
        <w:t>.</w:t>
      </w:r>
    </w:p>
    <w:p w14:paraId="68571808"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rPr>
        <w:t>Armstrong, M. and Taylor, S., 2020. </w:t>
      </w:r>
      <w:r w:rsidRPr="006D5C85">
        <w:rPr>
          <w:rFonts w:ascii="Times New Roman" w:hAnsi="Times New Roman" w:cs="Times New Roman"/>
          <w:i/>
          <w:iCs/>
          <w:color w:val="000000" w:themeColor="text1"/>
          <w:sz w:val="24"/>
          <w:szCs w:val="24"/>
        </w:rPr>
        <w:t>Armstrong's handbook of human resource management practice</w:t>
      </w:r>
      <w:r w:rsidRPr="006D5C85">
        <w:rPr>
          <w:rFonts w:ascii="Times New Roman" w:hAnsi="Times New Roman" w:cs="Times New Roman"/>
          <w:color w:val="000000" w:themeColor="text1"/>
          <w:sz w:val="24"/>
          <w:szCs w:val="24"/>
        </w:rPr>
        <w:t>. Kogan Page Publishers.</w:t>
      </w:r>
    </w:p>
    <w:p w14:paraId="7041E363"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proofErr w:type="spellStart"/>
      <w:r w:rsidRPr="006D5C85">
        <w:rPr>
          <w:rFonts w:ascii="Times New Roman" w:hAnsi="Times New Roman" w:cs="Times New Roman"/>
          <w:color w:val="000000" w:themeColor="text1"/>
          <w:sz w:val="24"/>
          <w:szCs w:val="24"/>
        </w:rPr>
        <w:t>Barmeyer</w:t>
      </w:r>
      <w:proofErr w:type="spellEnd"/>
      <w:r w:rsidRPr="006D5C85">
        <w:rPr>
          <w:rFonts w:ascii="Times New Roman" w:hAnsi="Times New Roman" w:cs="Times New Roman"/>
          <w:color w:val="000000" w:themeColor="text1"/>
          <w:sz w:val="24"/>
          <w:szCs w:val="24"/>
        </w:rPr>
        <w:t>, C., Stein, V. and Eberhardt, J.M., 2020. Third-country nationals as intercultural boundary spanners in multinational corporations. </w:t>
      </w:r>
      <w:r w:rsidRPr="006D5C85">
        <w:rPr>
          <w:rFonts w:ascii="Times New Roman" w:hAnsi="Times New Roman" w:cs="Times New Roman"/>
          <w:i/>
          <w:iCs/>
          <w:color w:val="000000" w:themeColor="text1"/>
          <w:sz w:val="24"/>
          <w:szCs w:val="24"/>
        </w:rPr>
        <w:t>Multinational Business Review</w:t>
      </w:r>
      <w:r w:rsidRPr="006D5C85">
        <w:rPr>
          <w:rFonts w:ascii="Times New Roman" w:hAnsi="Times New Roman" w:cs="Times New Roman"/>
          <w:color w:val="000000" w:themeColor="text1"/>
          <w:sz w:val="24"/>
          <w:szCs w:val="24"/>
        </w:rPr>
        <w:t>, </w:t>
      </w:r>
      <w:r w:rsidRPr="006D5C85">
        <w:rPr>
          <w:rFonts w:ascii="Times New Roman" w:hAnsi="Times New Roman" w:cs="Times New Roman"/>
          <w:i/>
          <w:iCs/>
          <w:color w:val="000000" w:themeColor="text1"/>
          <w:sz w:val="24"/>
          <w:szCs w:val="24"/>
        </w:rPr>
        <w:t>28</w:t>
      </w:r>
      <w:r w:rsidRPr="006D5C85">
        <w:rPr>
          <w:rFonts w:ascii="Times New Roman" w:hAnsi="Times New Roman" w:cs="Times New Roman"/>
          <w:color w:val="000000" w:themeColor="text1"/>
          <w:sz w:val="24"/>
          <w:szCs w:val="24"/>
        </w:rPr>
        <w:t>(4), pp.521-547.</w:t>
      </w:r>
    </w:p>
    <w:p w14:paraId="2ABD502A"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proofErr w:type="spellStart"/>
      <w:r w:rsidRPr="006D5C85">
        <w:rPr>
          <w:rFonts w:ascii="Times New Roman" w:hAnsi="Times New Roman" w:cs="Times New Roman"/>
          <w:color w:val="000000" w:themeColor="text1"/>
          <w:sz w:val="24"/>
          <w:szCs w:val="24"/>
        </w:rPr>
        <w:t>Chytiri</w:t>
      </w:r>
      <w:proofErr w:type="spellEnd"/>
      <w:r w:rsidRPr="006D5C85">
        <w:rPr>
          <w:rFonts w:ascii="Times New Roman" w:hAnsi="Times New Roman" w:cs="Times New Roman"/>
          <w:color w:val="000000" w:themeColor="text1"/>
          <w:sz w:val="24"/>
          <w:szCs w:val="24"/>
        </w:rPr>
        <w:t xml:space="preserve">, A.P., 2019. </w:t>
      </w:r>
      <w:r w:rsidRPr="006D5C85">
        <w:rPr>
          <w:rFonts w:ascii="Times New Roman" w:hAnsi="Times New Roman" w:cs="Times New Roman"/>
          <w:i/>
          <w:iCs/>
          <w:color w:val="000000" w:themeColor="text1"/>
          <w:sz w:val="24"/>
          <w:szCs w:val="24"/>
        </w:rPr>
        <w:t>HUMAN RESOURCE MANAGERS’ROLE IN THE DIGITAL ERA</w:t>
      </w:r>
      <w:r w:rsidRPr="006D5C85">
        <w:rPr>
          <w:rFonts w:ascii="Times New Roman" w:hAnsi="Times New Roman" w:cs="Times New Roman"/>
          <w:color w:val="000000" w:themeColor="text1"/>
          <w:sz w:val="24"/>
          <w:szCs w:val="24"/>
        </w:rPr>
        <w:t>.</w:t>
      </w:r>
    </w:p>
    <w:p w14:paraId="3BB93732"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rPr>
        <w:t>de Souza Santos, R.E. and Ralph, P., 2022, May. A grounded theory of coordination in remote-first and hybrid software teams. In </w:t>
      </w:r>
      <w:r w:rsidRPr="006D5C85">
        <w:rPr>
          <w:rFonts w:ascii="Times New Roman" w:hAnsi="Times New Roman" w:cs="Times New Roman"/>
          <w:i/>
          <w:iCs/>
          <w:color w:val="000000" w:themeColor="text1"/>
          <w:sz w:val="24"/>
          <w:szCs w:val="24"/>
        </w:rPr>
        <w:t>Proceedings of the 44th International Conference on Software Engineering</w:t>
      </w:r>
      <w:r w:rsidRPr="006D5C85">
        <w:rPr>
          <w:rFonts w:ascii="Times New Roman" w:hAnsi="Times New Roman" w:cs="Times New Roman"/>
          <w:color w:val="000000" w:themeColor="text1"/>
          <w:sz w:val="24"/>
          <w:szCs w:val="24"/>
        </w:rPr>
        <w:t> (pp. 25-35).</w:t>
      </w:r>
    </w:p>
    <w:p w14:paraId="4B874E22"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lang w:val="en-IN"/>
        </w:rPr>
        <w:t xml:space="preserve">Ghanem, L., Lee, J.P., </w:t>
      </w:r>
      <w:proofErr w:type="spellStart"/>
      <w:r w:rsidRPr="006D5C85">
        <w:rPr>
          <w:rFonts w:ascii="Times New Roman" w:hAnsi="Times New Roman" w:cs="Times New Roman"/>
          <w:color w:val="000000" w:themeColor="text1"/>
          <w:sz w:val="24"/>
          <w:szCs w:val="24"/>
          <w:lang w:val="en-IN"/>
        </w:rPr>
        <w:t>Sumetsky</w:t>
      </w:r>
      <w:proofErr w:type="spellEnd"/>
      <w:r w:rsidRPr="006D5C85">
        <w:rPr>
          <w:rFonts w:ascii="Times New Roman" w:hAnsi="Times New Roman" w:cs="Times New Roman"/>
          <w:color w:val="000000" w:themeColor="text1"/>
          <w:sz w:val="24"/>
          <w:szCs w:val="24"/>
          <w:lang w:val="en-IN"/>
        </w:rPr>
        <w:t>, N., Pagano, A., Gruenewald, P. and Mair, C., 2020. Place management in off-premise alcohol outlets: Results of a multi-methods study in a six-city California area. </w:t>
      </w:r>
      <w:r w:rsidRPr="006D5C85">
        <w:rPr>
          <w:rFonts w:ascii="Times New Roman" w:hAnsi="Times New Roman" w:cs="Times New Roman"/>
          <w:i/>
          <w:iCs/>
          <w:color w:val="000000" w:themeColor="text1"/>
          <w:sz w:val="24"/>
          <w:szCs w:val="24"/>
          <w:lang w:val="en-IN"/>
        </w:rPr>
        <w:t>International Journal of Drug Policy</w:t>
      </w:r>
      <w:r w:rsidRPr="006D5C85">
        <w:rPr>
          <w:rFonts w:ascii="Times New Roman" w:hAnsi="Times New Roman" w:cs="Times New Roman"/>
          <w:color w:val="000000" w:themeColor="text1"/>
          <w:sz w:val="24"/>
          <w:szCs w:val="24"/>
          <w:lang w:val="en-IN"/>
        </w:rPr>
        <w:t>, </w:t>
      </w:r>
      <w:r w:rsidRPr="006D5C85">
        <w:rPr>
          <w:rFonts w:ascii="Times New Roman" w:hAnsi="Times New Roman" w:cs="Times New Roman"/>
          <w:i/>
          <w:iCs/>
          <w:color w:val="000000" w:themeColor="text1"/>
          <w:sz w:val="24"/>
          <w:szCs w:val="24"/>
          <w:lang w:val="en-IN"/>
        </w:rPr>
        <w:t>80</w:t>
      </w:r>
      <w:r w:rsidRPr="006D5C85">
        <w:rPr>
          <w:rFonts w:ascii="Times New Roman" w:hAnsi="Times New Roman" w:cs="Times New Roman"/>
          <w:color w:val="000000" w:themeColor="text1"/>
          <w:sz w:val="24"/>
          <w:szCs w:val="24"/>
          <w:lang w:val="en-IN"/>
        </w:rPr>
        <w:t>, p.102735.</w:t>
      </w:r>
    </w:p>
    <w:p w14:paraId="20CD4772"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lang w:val="en-IN"/>
        </w:rPr>
      </w:pPr>
      <w:r w:rsidRPr="006D5C85">
        <w:rPr>
          <w:rFonts w:ascii="Times New Roman" w:hAnsi="Times New Roman" w:cs="Times New Roman"/>
          <w:color w:val="000000" w:themeColor="text1"/>
          <w:sz w:val="24"/>
          <w:szCs w:val="24"/>
        </w:rPr>
        <w:t>Goswami, S. and Goswami, B.K., 2018. Exploring the relationship between workforce diversity, inclusion and employee engagement. </w:t>
      </w:r>
      <w:proofErr w:type="spellStart"/>
      <w:r w:rsidRPr="006D5C85">
        <w:rPr>
          <w:rFonts w:ascii="Times New Roman" w:hAnsi="Times New Roman" w:cs="Times New Roman"/>
          <w:i/>
          <w:iCs/>
          <w:color w:val="000000" w:themeColor="text1"/>
          <w:sz w:val="24"/>
          <w:szCs w:val="24"/>
        </w:rPr>
        <w:t>Drishtikon</w:t>
      </w:r>
      <w:proofErr w:type="spellEnd"/>
      <w:r w:rsidRPr="006D5C85">
        <w:rPr>
          <w:rFonts w:ascii="Times New Roman" w:hAnsi="Times New Roman" w:cs="Times New Roman"/>
          <w:i/>
          <w:iCs/>
          <w:color w:val="000000" w:themeColor="text1"/>
          <w:sz w:val="24"/>
          <w:szCs w:val="24"/>
        </w:rPr>
        <w:t>: A Management Journal</w:t>
      </w:r>
      <w:r w:rsidRPr="006D5C85">
        <w:rPr>
          <w:rFonts w:ascii="Times New Roman" w:hAnsi="Times New Roman" w:cs="Times New Roman"/>
          <w:color w:val="000000" w:themeColor="text1"/>
          <w:sz w:val="24"/>
          <w:szCs w:val="24"/>
        </w:rPr>
        <w:t>, </w:t>
      </w:r>
      <w:r w:rsidRPr="006D5C85">
        <w:rPr>
          <w:rFonts w:ascii="Times New Roman" w:hAnsi="Times New Roman" w:cs="Times New Roman"/>
          <w:i/>
          <w:iCs/>
          <w:color w:val="000000" w:themeColor="text1"/>
          <w:sz w:val="24"/>
          <w:szCs w:val="24"/>
        </w:rPr>
        <w:t>9</w:t>
      </w:r>
      <w:r w:rsidRPr="006D5C85">
        <w:rPr>
          <w:rFonts w:ascii="Times New Roman" w:hAnsi="Times New Roman" w:cs="Times New Roman"/>
          <w:color w:val="000000" w:themeColor="text1"/>
          <w:sz w:val="24"/>
          <w:szCs w:val="24"/>
        </w:rPr>
        <w:t>(1), pp.65-89.</w:t>
      </w:r>
    </w:p>
    <w:p w14:paraId="7E3A92C3"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rPr>
        <w:t xml:space="preserve">Gsk.com., 2024. </w:t>
      </w:r>
      <w:r w:rsidRPr="006D5C85">
        <w:rPr>
          <w:rFonts w:ascii="Times New Roman" w:hAnsi="Times New Roman" w:cs="Times New Roman"/>
          <w:i/>
          <w:iCs/>
          <w:color w:val="000000" w:themeColor="text1"/>
          <w:sz w:val="24"/>
          <w:szCs w:val="24"/>
        </w:rPr>
        <w:t>Remuneration</w:t>
      </w:r>
      <w:r w:rsidRPr="006D5C85">
        <w:rPr>
          <w:rFonts w:ascii="Times New Roman" w:hAnsi="Times New Roman" w:cs="Times New Roman"/>
          <w:color w:val="000000" w:themeColor="text1"/>
          <w:sz w:val="24"/>
          <w:szCs w:val="24"/>
        </w:rPr>
        <w:t xml:space="preserve"> Available at:</w:t>
      </w:r>
      <w:r w:rsidRPr="006D5C85">
        <w:rPr>
          <w:rFonts w:ascii="Times New Roman" w:hAnsi="Times New Roman" w:cs="Times New Roman"/>
          <w:i/>
          <w:iCs/>
          <w:color w:val="000000" w:themeColor="text1"/>
          <w:sz w:val="24"/>
          <w:szCs w:val="24"/>
        </w:rPr>
        <w:t xml:space="preserve"> </w:t>
      </w:r>
      <w:hyperlink r:id="rId7" w:history="1">
        <w:r w:rsidRPr="006D5C85">
          <w:rPr>
            <w:rStyle w:val="Hyperlink"/>
            <w:rFonts w:ascii="Times New Roman" w:hAnsi="Times New Roman" w:cs="Times New Roman"/>
            <w:color w:val="000000" w:themeColor="text1"/>
            <w:sz w:val="24"/>
            <w:szCs w:val="24"/>
            <w:u w:val="none"/>
          </w:rPr>
          <w:t>https://www.gsk.com/media/7467/remuneration-report.pdf</w:t>
        </w:r>
      </w:hyperlink>
      <w:r w:rsidRPr="006D5C85">
        <w:rPr>
          <w:rFonts w:ascii="Times New Roman" w:hAnsi="Times New Roman" w:cs="Times New Roman"/>
          <w:color w:val="000000" w:themeColor="text1"/>
          <w:sz w:val="24"/>
          <w:szCs w:val="24"/>
        </w:rPr>
        <w:t xml:space="preserve"> [Accessed on: 20</w:t>
      </w:r>
      <w:r w:rsidRPr="006D5C85">
        <w:rPr>
          <w:rFonts w:ascii="Times New Roman" w:hAnsi="Times New Roman" w:cs="Times New Roman"/>
          <w:color w:val="000000" w:themeColor="text1"/>
          <w:sz w:val="24"/>
          <w:szCs w:val="24"/>
          <w:vertAlign w:val="superscript"/>
        </w:rPr>
        <w:t>th</w:t>
      </w:r>
      <w:r w:rsidRPr="006D5C85">
        <w:rPr>
          <w:rFonts w:ascii="Times New Roman" w:hAnsi="Times New Roman" w:cs="Times New Roman"/>
          <w:color w:val="000000" w:themeColor="text1"/>
          <w:sz w:val="24"/>
          <w:szCs w:val="24"/>
        </w:rPr>
        <w:t xml:space="preserve"> February, 2024]</w:t>
      </w:r>
    </w:p>
    <w:p w14:paraId="281D4571"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rPr>
        <w:t xml:space="preserve">Gsksolutions.com., 2024. </w:t>
      </w:r>
      <w:r w:rsidRPr="006D5C85">
        <w:rPr>
          <w:rFonts w:ascii="Times New Roman" w:eastAsiaTheme="minorHAnsi" w:hAnsi="Times New Roman" w:cs="Times New Roman"/>
          <w:i/>
          <w:iCs/>
          <w:color w:val="000000" w:themeColor="text1"/>
          <w:sz w:val="24"/>
          <w:szCs w:val="24"/>
        </w:rPr>
        <w:t>On-Premises Staffing</w:t>
      </w:r>
      <w:r w:rsidRPr="006D5C85">
        <w:rPr>
          <w:rFonts w:ascii="Times New Roman" w:hAnsi="Times New Roman" w:cs="Times New Roman"/>
          <w:i/>
          <w:iCs/>
          <w:color w:val="000000" w:themeColor="text1"/>
          <w:sz w:val="24"/>
          <w:szCs w:val="24"/>
        </w:rPr>
        <w:t xml:space="preserve"> </w:t>
      </w:r>
      <w:r w:rsidRPr="006D5C85">
        <w:rPr>
          <w:rFonts w:ascii="Times New Roman" w:hAnsi="Times New Roman" w:cs="Times New Roman"/>
          <w:color w:val="000000" w:themeColor="text1"/>
          <w:sz w:val="24"/>
          <w:szCs w:val="24"/>
        </w:rPr>
        <w:t>Available at:</w:t>
      </w:r>
      <w:r w:rsidRPr="006D5C85">
        <w:rPr>
          <w:rFonts w:ascii="Times New Roman" w:hAnsi="Times New Roman" w:cs="Times New Roman"/>
          <w:i/>
          <w:iCs/>
          <w:color w:val="000000" w:themeColor="text1"/>
          <w:sz w:val="24"/>
          <w:szCs w:val="24"/>
        </w:rPr>
        <w:t xml:space="preserve"> </w:t>
      </w:r>
      <w:hyperlink r:id="rId8" w:history="1">
        <w:r w:rsidRPr="006D5C85">
          <w:rPr>
            <w:rStyle w:val="Hyperlink"/>
            <w:rFonts w:ascii="Times New Roman" w:hAnsi="Times New Roman" w:cs="Times New Roman"/>
            <w:color w:val="000000" w:themeColor="text1"/>
            <w:sz w:val="24"/>
            <w:szCs w:val="24"/>
            <w:u w:val="none"/>
            <w:lang w:val="en-IN"/>
          </w:rPr>
          <w:t>https://gsksolutions.com/staffing/#:~:text=On%2Dpremises%20Staffing&amp;text=We%20have%20</w:t>
        </w:r>
        <w:r w:rsidRPr="006D5C85">
          <w:rPr>
            <w:rStyle w:val="Hyperlink"/>
            <w:rFonts w:ascii="Times New Roman" w:hAnsi="Times New Roman" w:cs="Times New Roman"/>
            <w:color w:val="000000" w:themeColor="text1"/>
            <w:sz w:val="24"/>
            <w:szCs w:val="24"/>
            <w:u w:val="none"/>
            <w:lang w:val="en-IN"/>
          </w:rPr>
          <w:lastRenderedPageBreak/>
          <w:t>a%20dedicated%20technical,people%20are%20our%20greatest%20asset</w:t>
        </w:r>
      </w:hyperlink>
      <w:r w:rsidRPr="006D5C85">
        <w:rPr>
          <w:rFonts w:ascii="Times New Roman" w:hAnsi="Times New Roman" w:cs="Times New Roman"/>
          <w:color w:val="000000" w:themeColor="text1"/>
          <w:sz w:val="24"/>
          <w:szCs w:val="24"/>
          <w:lang w:val="en-IN"/>
        </w:rPr>
        <w:t>.</w:t>
      </w:r>
      <w:r w:rsidRPr="006D5C85">
        <w:rPr>
          <w:rFonts w:ascii="Times New Roman" w:hAnsi="Times New Roman" w:cs="Times New Roman"/>
          <w:color w:val="000000" w:themeColor="text1"/>
          <w:sz w:val="24"/>
          <w:szCs w:val="24"/>
        </w:rPr>
        <w:t xml:space="preserve"> [Accessed on: 20</w:t>
      </w:r>
      <w:r w:rsidRPr="006D5C85">
        <w:rPr>
          <w:rFonts w:ascii="Times New Roman" w:hAnsi="Times New Roman" w:cs="Times New Roman"/>
          <w:color w:val="000000" w:themeColor="text1"/>
          <w:sz w:val="24"/>
          <w:szCs w:val="24"/>
          <w:vertAlign w:val="superscript"/>
        </w:rPr>
        <w:t>th</w:t>
      </w:r>
      <w:r w:rsidRPr="006D5C85">
        <w:rPr>
          <w:rFonts w:ascii="Times New Roman" w:hAnsi="Times New Roman" w:cs="Times New Roman"/>
          <w:color w:val="000000" w:themeColor="text1"/>
          <w:sz w:val="24"/>
          <w:szCs w:val="24"/>
        </w:rPr>
        <w:t xml:space="preserve"> February, 2024]</w:t>
      </w:r>
    </w:p>
    <w:p w14:paraId="05FDCA9C"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rPr>
        <w:t>Jayachandran, S. (2021). Social norms as a barrier to women’s employment in developing countries. </w:t>
      </w:r>
      <w:r w:rsidRPr="006D5C85">
        <w:rPr>
          <w:rFonts w:ascii="Times New Roman" w:hAnsi="Times New Roman" w:cs="Times New Roman"/>
          <w:i/>
          <w:iCs/>
          <w:color w:val="000000" w:themeColor="text1"/>
          <w:sz w:val="24"/>
          <w:szCs w:val="24"/>
        </w:rPr>
        <w:t>IMF Economic Review</w:t>
      </w:r>
      <w:r w:rsidRPr="006D5C85">
        <w:rPr>
          <w:rFonts w:ascii="Times New Roman" w:hAnsi="Times New Roman" w:cs="Times New Roman"/>
          <w:color w:val="000000" w:themeColor="text1"/>
          <w:sz w:val="24"/>
          <w:szCs w:val="24"/>
        </w:rPr>
        <w:t>, </w:t>
      </w:r>
      <w:r w:rsidRPr="006D5C85">
        <w:rPr>
          <w:rFonts w:ascii="Times New Roman" w:hAnsi="Times New Roman" w:cs="Times New Roman"/>
          <w:i/>
          <w:iCs/>
          <w:color w:val="000000" w:themeColor="text1"/>
          <w:sz w:val="24"/>
          <w:szCs w:val="24"/>
        </w:rPr>
        <w:t>69</w:t>
      </w:r>
      <w:r w:rsidRPr="006D5C85">
        <w:rPr>
          <w:rFonts w:ascii="Times New Roman" w:hAnsi="Times New Roman" w:cs="Times New Roman"/>
          <w:color w:val="000000" w:themeColor="text1"/>
          <w:sz w:val="24"/>
          <w:szCs w:val="24"/>
        </w:rPr>
        <w:t>(3), 576-595.</w:t>
      </w:r>
    </w:p>
    <w:p w14:paraId="74526BE1"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rPr>
        <w:t>Kim, C., Chung, C. and Brewster, C., 2019. Beyond nationality: international experience as a key dimension for subsidiary staffing choices in MNEs. </w:t>
      </w:r>
      <w:r w:rsidRPr="006D5C85">
        <w:rPr>
          <w:rFonts w:ascii="Times New Roman" w:hAnsi="Times New Roman" w:cs="Times New Roman"/>
          <w:i/>
          <w:iCs/>
          <w:color w:val="000000" w:themeColor="text1"/>
          <w:sz w:val="24"/>
          <w:szCs w:val="24"/>
        </w:rPr>
        <w:t>Journal of Global Mobility: The Home of Expatriate Management Research</w:t>
      </w:r>
      <w:r w:rsidRPr="006D5C85">
        <w:rPr>
          <w:rFonts w:ascii="Times New Roman" w:hAnsi="Times New Roman" w:cs="Times New Roman"/>
          <w:color w:val="000000" w:themeColor="text1"/>
          <w:sz w:val="24"/>
          <w:szCs w:val="24"/>
        </w:rPr>
        <w:t>, </w:t>
      </w:r>
      <w:r w:rsidRPr="006D5C85">
        <w:rPr>
          <w:rFonts w:ascii="Times New Roman" w:hAnsi="Times New Roman" w:cs="Times New Roman"/>
          <w:i/>
          <w:iCs/>
          <w:color w:val="000000" w:themeColor="text1"/>
          <w:sz w:val="24"/>
          <w:szCs w:val="24"/>
        </w:rPr>
        <w:t>7</w:t>
      </w:r>
      <w:r w:rsidRPr="006D5C85">
        <w:rPr>
          <w:rFonts w:ascii="Times New Roman" w:hAnsi="Times New Roman" w:cs="Times New Roman"/>
          <w:color w:val="000000" w:themeColor="text1"/>
          <w:sz w:val="24"/>
          <w:szCs w:val="24"/>
        </w:rPr>
        <w:t>(3), pp.269-284.</w:t>
      </w:r>
    </w:p>
    <w:p w14:paraId="19019332"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proofErr w:type="spellStart"/>
      <w:r w:rsidRPr="006D5C85">
        <w:rPr>
          <w:rFonts w:ascii="Times New Roman" w:hAnsi="Times New Roman" w:cs="Times New Roman"/>
          <w:color w:val="000000" w:themeColor="text1"/>
          <w:sz w:val="24"/>
          <w:szCs w:val="24"/>
        </w:rPr>
        <w:t>Paais</w:t>
      </w:r>
      <w:proofErr w:type="spellEnd"/>
      <w:r w:rsidRPr="006D5C85">
        <w:rPr>
          <w:rFonts w:ascii="Times New Roman" w:hAnsi="Times New Roman" w:cs="Times New Roman"/>
          <w:color w:val="000000" w:themeColor="text1"/>
          <w:sz w:val="24"/>
          <w:szCs w:val="24"/>
        </w:rPr>
        <w:t xml:space="preserve">, M. and </w:t>
      </w:r>
      <w:proofErr w:type="spellStart"/>
      <w:r w:rsidRPr="006D5C85">
        <w:rPr>
          <w:rFonts w:ascii="Times New Roman" w:hAnsi="Times New Roman" w:cs="Times New Roman"/>
          <w:color w:val="000000" w:themeColor="text1"/>
          <w:sz w:val="24"/>
          <w:szCs w:val="24"/>
        </w:rPr>
        <w:t>Pattiruhu</w:t>
      </w:r>
      <w:proofErr w:type="spellEnd"/>
      <w:r w:rsidRPr="006D5C85">
        <w:rPr>
          <w:rFonts w:ascii="Times New Roman" w:hAnsi="Times New Roman" w:cs="Times New Roman"/>
          <w:color w:val="000000" w:themeColor="text1"/>
          <w:sz w:val="24"/>
          <w:szCs w:val="24"/>
        </w:rPr>
        <w:t>, J.R., 2020. Effect of motivation, leadership, and organizational culture on satisfaction and employee performance. </w:t>
      </w:r>
      <w:r w:rsidRPr="006D5C85">
        <w:rPr>
          <w:rFonts w:ascii="Times New Roman" w:hAnsi="Times New Roman" w:cs="Times New Roman"/>
          <w:i/>
          <w:iCs/>
          <w:color w:val="000000" w:themeColor="text1"/>
          <w:sz w:val="24"/>
          <w:szCs w:val="24"/>
        </w:rPr>
        <w:t xml:space="preserve">The journal of </w:t>
      </w:r>
      <w:proofErr w:type="spellStart"/>
      <w:r w:rsidRPr="006D5C85">
        <w:rPr>
          <w:rFonts w:ascii="Times New Roman" w:hAnsi="Times New Roman" w:cs="Times New Roman"/>
          <w:i/>
          <w:iCs/>
          <w:color w:val="000000" w:themeColor="text1"/>
          <w:sz w:val="24"/>
          <w:szCs w:val="24"/>
        </w:rPr>
        <w:t>asian</w:t>
      </w:r>
      <w:proofErr w:type="spellEnd"/>
      <w:r w:rsidRPr="006D5C85">
        <w:rPr>
          <w:rFonts w:ascii="Times New Roman" w:hAnsi="Times New Roman" w:cs="Times New Roman"/>
          <w:i/>
          <w:iCs/>
          <w:color w:val="000000" w:themeColor="text1"/>
          <w:sz w:val="24"/>
          <w:szCs w:val="24"/>
        </w:rPr>
        <w:t xml:space="preserve"> finance, economics and business</w:t>
      </w:r>
      <w:r w:rsidRPr="006D5C85">
        <w:rPr>
          <w:rFonts w:ascii="Times New Roman" w:hAnsi="Times New Roman" w:cs="Times New Roman"/>
          <w:color w:val="000000" w:themeColor="text1"/>
          <w:sz w:val="24"/>
          <w:szCs w:val="24"/>
        </w:rPr>
        <w:t>, </w:t>
      </w:r>
      <w:r w:rsidRPr="006D5C85">
        <w:rPr>
          <w:rFonts w:ascii="Times New Roman" w:hAnsi="Times New Roman" w:cs="Times New Roman"/>
          <w:i/>
          <w:iCs/>
          <w:color w:val="000000" w:themeColor="text1"/>
          <w:sz w:val="24"/>
          <w:szCs w:val="24"/>
        </w:rPr>
        <w:t>7</w:t>
      </w:r>
      <w:r w:rsidRPr="006D5C85">
        <w:rPr>
          <w:rFonts w:ascii="Times New Roman" w:hAnsi="Times New Roman" w:cs="Times New Roman"/>
          <w:color w:val="000000" w:themeColor="text1"/>
          <w:sz w:val="24"/>
          <w:szCs w:val="24"/>
        </w:rPr>
        <w:t>(8), pp.577-588.</w:t>
      </w:r>
    </w:p>
    <w:p w14:paraId="6C78B3C3"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rPr>
        <w:t xml:space="preserve">Papoutsi, C., </w:t>
      </w:r>
      <w:proofErr w:type="spellStart"/>
      <w:r w:rsidRPr="006D5C85">
        <w:rPr>
          <w:rFonts w:ascii="Times New Roman" w:hAnsi="Times New Roman" w:cs="Times New Roman"/>
          <w:color w:val="000000" w:themeColor="text1"/>
          <w:sz w:val="24"/>
          <w:szCs w:val="24"/>
        </w:rPr>
        <w:t>Drigas</w:t>
      </w:r>
      <w:proofErr w:type="spellEnd"/>
      <w:r w:rsidRPr="006D5C85">
        <w:rPr>
          <w:rFonts w:ascii="Times New Roman" w:hAnsi="Times New Roman" w:cs="Times New Roman"/>
          <w:color w:val="000000" w:themeColor="text1"/>
          <w:sz w:val="24"/>
          <w:szCs w:val="24"/>
        </w:rPr>
        <w:t xml:space="preserve">, A. and </w:t>
      </w:r>
      <w:proofErr w:type="spellStart"/>
      <w:r w:rsidRPr="006D5C85">
        <w:rPr>
          <w:rFonts w:ascii="Times New Roman" w:hAnsi="Times New Roman" w:cs="Times New Roman"/>
          <w:color w:val="000000" w:themeColor="text1"/>
          <w:sz w:val="24"/>
          <w:szCs w:val="24"/>
        </w:rPr>
        <w:t>Skianis</w:t>
      </w:r>
      <w:proofErr w:type="spellEnd"/>
      <w:r w:rsidRPr="006D5C85">
        <w:rPr>
          <w:rFonts w:ascii="Times New Roman" w:hAnsi="Times New Roman" w:cs="Times New Roman"/>
          <w:color w:val="000000" w:themeColor="text1"/>
          <w:sz w:val="24"/>
          <w:szCs w:val="24"/>
        </w:rPr>
        <w:t>, C., 2019. Emotional intelligence as an important asset for HR in organizations: Attitudes and working variables. </w:t>
      </w:r>
      <w:r w:rsidRPr="006D5C85">
        <w:rPr>
          <w:rFonts w:ascii="Times New Roman" w:hAnsi="Times New Roman" w:cs="Times New Roman"/>
          <w:i/>
          <w:iCs/>
          <w:color w:val="000000" w:themeColor="text1"/>
          <w:sz w:val="24"/>
          <w:szCs w:val="24"/>
        </w:rPr>
        <w:t>International Journal of Advanced Corporate Learning</w:t>
      </w:r>
      <w:r w:rsidRPr="006D5C85">
        <w:rPr>
          <w:rFonts w:ascii="Times New Roman" w:hAnsi="Times New Roman" w:cs="Times New Roman"/>
          <w:color w:val="000000" w:themeColor="text1"/>
          <w:sz w:val="24"/>
          <w:szCs w:val="24"/>
        </w:rPr>
        <w:t>, </w:t>
      </w:r>
      <w:r w:rsidRPr="006D5C85">
        <w:rPr>
          <w:rFonts w:ascii="Times New Roman" w:hAnsi="Times New Roman" w:cs="Times New Roman"/>
          <w:i/>
          <w:iCs/>
          <w:color w:val="000000" w:themeColor="text1"/>
          <w:sz w:val="24"/>
          <w:szCs w:val="24"/>
        </w:rPr>
        <w:t>12</w:t>
      </w:r>
      <w:r w:rsidRPr="006D5C85">
        <w:rPr>
          <w:rFonts w:ascii="Times New Roman" w:hAnsi="Times New Roman" w:cs="Times New Roman"/>
          <w:color w:val="000000" w:themeColor="text1"/>
          <w:sz w:val="24"/>
          <w:szCs w:val="24"/>
        </w:rPr>
        <w:t>(2), p.21.</w:t>
      </w:r>
    </w:p>
    <w:p w14:paraId="6D952E6E"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rPr>
        <w:t xml:space="preserve">Patel, P., Boyle, B., Bray, M., Sinha, P. and </w:t>
      </w:r>
      <w:proofErr w:type="spellStart"/>
      <w:r w:rsidRPr="006D5C85">
        <w:rPr>
          <w:rFonts w:ascii="Times New Roman" w:hAnsi="Times New Roman" w:cs="Times New Roman"/>
          <w:color w:val="000000" w:themeColor="text1"/>
          <w:sz w:val="24"/>
          <w:szCs w:val="24"/>
        </w:rPr>
        <w:t>Bhanugopan</w:t>
      </w:r>
      <w:proofErr w:type="spellEnd"/>
      <w:r w:rsidRPr="006D5C85">
        <w:rPr>
          <w:rFonts w:ascii="Times New Roman" w:hAnsi="Times New Roman" w:cs="Times New Roman"/>
          <w:color w:val="000000" w:themeColor="text1"/>
          <w:sz w:val="24"/>
          <w:szCs w:val="24"/>
        </w:rPr>
        <w:t>, R., 2019. Global staffing and control in emerging multinational corporations and their subsidiaries in developed countries: Indian IT EMNCs in Australia. </w:t>
      </w:r>
      <w:r w:rsidRPr="006D5C85">
        <w:rPr>
          <w:rFonts w:ascii="Times New Roman" w:hAnsi="Times New Roman" w:cs="Times New Roman"/>
          <w:i/>
          <w:iCs/>
          <w:color w:val="000000" w:themeColor="text1"/>
          <w:sz w:val="24"/>
          <w:szCs w:val="24"/>
        </w:rPr>
        <w:t>Personnel Review</w:t>
      </w:r>
      <w:r w:rsidRPr="006D5C85">
        <w:rPr>
          <w:rFonts w:ascii="Times New Roman" w:hAnsi="Times New Roman" w:cs="Times New Roman"/>
          <w:color w:val="000000" w:themeColor="text1"/>
          <w:sz w:val="24"/>
          <w:szCs w:val="24"/>
        </w:rPr>
        <w:t>, </w:t>
      </w:r>
      <w:r w:rsidRPr="006D5C85">
        <w:rPr>
          <w:rFonts w:ascii="Times New Roman" w:hAnsi="Times New Roman" w:cs="Times New Roman"/>
          <w:i/>
          <w:iCs/>
          <w:color w:val="000000" w:themeColor="text1"/>
          <w:sz w:val="24"/>
          <w:szCs w:val="24"/>
        </w:rPr>
        <w:t>48</w:t>
      </w:r>
      <w:r w:rsidRPr="006D5C85">
        <w:rPr>
          <w:rFonts w:ascii="Times New Roman" w:hAnsi="Times New Roman" w:cs="Times New Roman"/>
          <w:color w:val="000000" w:themeColor="text1"/>
          <w:sz w:val="24"/>
          <w:szCs w:val="24"/>
        </w:rPr>
        <w:t>(4), pp.1022-1044.</w:t>
      </w:r>
    </w:p>
    <w:p w14:paraId="0F233610"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rPr>
        <w:t>Yao, F.K., Yang, J.Y., Chang, S. and Lu, J.W., 2023. Not all threats are equal: symbolic and realistic threats and the deployment of parent-country nationals. </w:t>
      </w:r>
      <w:r w:rsidRPr="006D5C85">
        <w:rPr>
          <w:rFonts w:ascii="Times New Roman" w:hAnsi="Times New Roman" w:cs="Times New Roman"/>
          <w:i/>
          <w:iCs/>
          <w:color w:val="000000" w:themeColor="text1"/>
          <w:sz w:val="24"/>
          <w:szCs w:val="24"/>
        </w:rPr>
        <w:t>Journal of International Business Studies</w:t>
      </w:r>
      <w:r w:rsidRPr="006D5C85">
        <w:rPr>
          <w:rFonts w:ascii="Times New Roman" w:hAnsi="Times New Roman" w:cs="Times New Roman"/>
          <w:color w:val="000000" w:themeColor="text1"/>
          <w:sz w:val="24"/>
          <w:szCs w:val="24"/>
        </w:rPr>
        <w:t>, pp.1-20.</w:t>
      </w:r>
    </w:p>
    <w:p w14:paraId="54DDC047" w14:textId="77777777" w:rsidR="002F6E91" w:rsidRPr="006D5C85" w:rsidRDefault="002F6E91" w:rsidP="002F6E91">
      <w:pPr>
        <w:spacing w:before="240" w:line="360" w:lineRule="auto"/>
        <w:jc w:val="both"/>
        <w:rPr>
          <w:rFonts w:ascii="Times New Roman" w:hAnsi="Times New Roman" w:cs="Times New Roman"/>
          <w:color w:val="000000" w:themeColor="text1"/>
          <w:sz w:val="24"/>
          <w:szCs w:val="24"/>
        </w:rPr>
      </w:pPr>
      <w:r w:rsidRPr="006D5C85">
        <w:rPr>
          <w:rFonts w:ascii="Times New Roman" w:hAnsi="Times New Roman" w:cs="Times New Roman"/>
          <w:color w:val="000000" w:themeColor="text1"/>
          <w:sz w:val="24"/>
          <w:szCs w:val="24"/>
        </w:rPr>
        <w:t xml:space="preserve">Yolanda, A., </w:t>
      </w:r>
      <w:proofErr w:type="spellStart"/>
      <w:r w:rsidRPr="006D5C85">
        <w:rPr>
          <w:rFonts w:ascii="Times New Roman" w:hAnsi="Times New Roman" w:cs="Times New Roman"/>
          <w:color w:val="000000" w:themeColor="text1"/>
          <w:sz w:val="24"/>
          <w:szCs w:val="24"/>
        </w:rPr>
        <w:t>Nurismilida</w:t>
      </w:r>
      <w:proofErr w:type="spellEnd"/>
      <w:r w:rsidRPr="006D5C85">
        <w:rPr>
          <w:rFonts w:ascii="Times New Roman" w:hAnsi="Times New Roman" w:cs="Times New Roman"/>
          <w:color w:val="000000" w:themeColor="text1"/>
          <w:sz w:val="24"/>
          <w:szCs w:val="24"/>
        </w:rPr>
        <w:t xml:space="preserve">, K.W. and </w:t>
      </w:r>
      <w:proofErr w:type="spellStart"/>
      <w:r w:rsidRPr="006D5C85">
        <w:rPr>
          <w:rFonts w:ascii="Times New Roman" w:hAnsi="Times New Roman" w:cs="Times New Roman"/>
          <w:color w:val="000000" w:themeColor="text1"/>
          <w:sz w:val="24"/>
          <w:szCs w:val="24"/>
        </w:rPr>
        <w:t>Wulansary</w:t>
      </w:r>
      <w:proofErr w:type="spellEnd"/>
      <w:r w:rsidRPr="006D5C85">
        <w:rPr>
          <w:rFonts w:ascii="Times New Roman" w:hAnsi="Times New Roman" w:cs="Times New Roman"/>
          <w:color w:val="000000" w:themeColor="text1"/>
          <w:sz w:val="24"/>
          <w:szCs w:val="24"/>
        </w:rPr>
        <w:t xml:space="preserve">, D., 2021. </w:t>
      </w:r>
      <w:r w:rsidRPr="006D5C85">
        <w:rPr>
          <w:rFonts w:ascii="Times New Roman" w:hAnsi="Times New Roman" w:cs="Times New Roman"/>
          <w:i/>
          <w:iCs/>
          <w:color w:val="000000" w:themeColor="text1"/>
          <w:sz w:val="24"/>
          <w:szCs w:val="24"/>
        </w:rPr>
        <w:t>The Effect of Miscommunication on the Quality of Employee Performance</w:t>
      </w:r>
      <w:r w:rsidRPr="006D5C85">
        <w:rPr>
          <w:rFonts w:ascii="Times New Roman" w:hAnsi="Times New Roman" w:cs="Times New Roman"/>
          <w:color w:val="000000" w:themeColor="text1"/>
          <w:sz w:val="24"/>
          <w:szCs w:val="24"/>
        </w:rPr>
        <w:t>.</w:t>
      </w:r>
    </w:p>
    <w:p w14:paraId="69CAD83F" w14:textId="77777777" w:rsidR="002F6E91" w:rsidRDefault="002F6E91">
      <w:pPr>
        <w:spacing w:before="200" w:line="360" w:lineRule="auto"/>
        <w:jc w:val="both"/>
        <w:rPr>
          <w:rFonts w:ascii="Times" w:eastAsia="Times" w:hAnsi="Times" w:cs="Times"/>
          <w:sz w:val="24"/>
          <w:szCs w:val="24"/>
        </w:rPr>
      </w:pPr>
    </w:p>
    <w:p w14:paraId="0000001F" w14:textId="77777777" w:rsidR="007D668C" w:rsidRDefault="007D668C">
      <w:pPr>
        <w:spacing w:before="200" w:line="360" w:lineRule="auto"/>
        <w:jc w:val="both"/>
        <w:rPr>
          <w:rFonts w:ascii="Times" w:eastAsia="Times" w:hAnsi="Times" w:cs="Times"/>
          <w:b/>
          <w:sz w:val="24"/>
          <w:szCs w:val="24"/>
        </w:rPr>
      </w:pPr>
    </w:p>
    <w:sectPr w:rsidR="007D668C" w:rsidSect="002E18F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2E9AB" w14:textId="77777777" w:rsidR="002E18F2" w:rsidRDefault="002E18F2">
      <w:pPr>
        <w:spacing w:line="240" w:lineRule="auto"/>
      </w:pPr>
      <w:r>
        <w:separator/>
      </w:r>
    </w:p>
  </w:endnote>
  <w:endnote w:type="continuationSeparator" w:id="0">
    <w:p w14:paraId="3A8AC3A7" w14:textId="77777777" w:rsidR="002E18F2" w:rsidRDefault="002E18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098188"/>
      <w:docPartObj>
        <w:docPartGallery w:val="Page Numbers (Bottom of Page)"/>
        <w:docPartUnique/>
      </w:docPartObj>
    </w:sdtPr>
    <w:sdtEndPr>
      <w:rPr>
        <w:rFonts w:ascii="Times New Roman" w:hAnsi="Times New Roman" w:cs="Times New Roman"/>
        <w:noProof/>
        <w:sz w:val="24"/>
        <w:szCs w:val="24"/>
      </w:rPr>
    </w:sdtEndPr>
    <w:sdtContent>
      <w:p w14:paraId="41DFBF9E" w14:textId="4F81DBE6" w:rsidR="002F6E91" w:rsidRPr="002F6E91" w:rsidRDefault="002F6E91" w:rsidP="002F6E91">
        <w:pPr>
          <w:pStyle w:val="Footer"/>
          <w:spacing w:line="360" w:lineRule="auto"/>
          <w:jc w:val="right"/>
          <w:rPr>
            <w:rFonts w:ascii="Times New Roman" w:hAnsi="Times New Roman" w:cs="Times New Roman"/>
            <w:sz w:val="24"/>
            <w:szCs w:val="24"/>
          </w:rPr>
        </w:pPr>
        <w:r w:rsidRPr="002F6E91">
          <w:rPr>
            <w:rFonts w:ascii="Times New Roman" w:hAnsi="Times New Roman" w:cs="Times New Roman"/>
            <w:sz w:val="24"/>
            <w:szCs w:val="24"/>
          </w:rPr>
          <w:fldChar w:fldCharType="begin"/>
        </w:r>
        <w:r w:rsidRPr="002F6E91">
          <w:rPr>
            <w:rFonts w:ascii="Times New Roman" w:hAnsi="Times New Roman" w:cs="Times New Roman"/>
            <w:sz w:val="24"/>
            <w:szCs w:val="24"/>
          </w:rPr>
          <w:instrText xml:space="preserve"> PAGE   \* MERGEFORMAT </w:instrText>
        </w:r>
        <w:r w:rsidRPr="002F6E91">
          <w:rPr>
            <w:rFonts w:ascii="Times New Roman" w:hAnsi="Times New Roman" w:cs="Times New Roman"/>
            <w:sz w:val="24"/>
            <w:szCs w:val="24"/>
          </w:rPr>
          <w:fldChar w:fldCharType="separate"/>
        </w:r>
        <w:r w:rsidRPr="002F6E91">
          <w:rPr>
            <w:rFonts w:ascii="Times New Roman" w:hAnsi="Times New Roman" w:cs="Times New Roman"/>
            <w:noProof/>
            <w:sz w:val="24"/>
            <w:szCs w:val="24"/>
          </w:rPr>
          <w:t>2</w:t>
        </w:r>
        <w:r w:rsidRPr="002F6E91">
          <w:rPr>
            <w:rFonts w:ascii="Times New Roman" w:hAnsi="Times New Roman" w:cs="Times New Roman"/>
            <w:noProof/>
            <w:sz w:val="24"/>
            <w:szCs w:val="24"/>
          </w:rPr>
          <w:fldChar w:fldCharType="end"/>
        </w:r>
      </w:p>
    </w:sdtContent>
  </w:sdt>
  <w:p w14:paraId="27EF5EC5" w14:textId="77777777" w:rsidR="002F6E91" w:rsidRDefault="002F6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098E3" w14:textId="77777777" w:rsidR="002E18F2" w:rsidRDefault="002E18F2">
      <w:pPr>
        <w:spacing w:line="240" w:lineRule="auto"/>
      </w:pPr>
      <w:r>
        <w:separator/>
      </w:r>
    </w:p>
  </w:footnote>
  <w:footnote w:type="continuationSeparator" w:id="0">
    <w:p w14:paraId="07C8355A" w14:textId="77777777" w:rsidR="002E18F2" w:rsidRDefault="002E18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68C"/>
    <w:rsid w:val="002E18F2"/>
    <w:rsid w:val="002F6E91"/>
    <w:rsid w:val="00584F7E"/>
    <w:rsid w:val="007D66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CB563"/>
  <w15:docId w15:val="{14D9C9C8-EC9B-4A9A-9E4C-FA80704A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F6E9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2F6E91"/>
    <w:pPr>
      <w:tabs>
        <w:tab w:val="center" w:pos="4513"/>
        <w:tab w:val="right" w:pos="9026"/>
      </w:tabs>
      <w:spacing w:line="240" w:lineRule="auto"/>
    </w:pPr>
  </w:style>
  <w:style w:type="character" w:customStyle="1" w:styleId="HeaderChar">
    <w:name w:val="Header Char"/>
    <w:basedOn w:val="DefaultParagraphFont"/>
    <w:link w:val="Header"/>
    <w:uiPriority w:val="99"/>
    <w:rsid w:val="002F6E91"/>
  </w:style>
  <w:style w:type="paragraph" w:styleId="Footer">
    <w:name w:val="footer"/>
    <w:basedOn w:val="Normal"/>
    <w:link w:val="FooterChar"/>
    <w:uiPriority w:val="99"/>
    <w:unhideWhenUsed/>
    <w:rsid w:val="002F6E91"/>
    <w:pPr>
      <w:tabs>
        <w:tab w:val="center" w:pos="4513"/>
        <w:tab w:val="right" w:pos="9026"/>
      </w:tabs>
      <w:spacing w:line="240" w:lineRule="auto"/>
    </w:pPr>
  </w:style>
  <w:style w:type="character" w:customStyle="1" w:styleId="FooterChar">
    <w:name w:val="Footer Char"/>
    <w:basedOn w:val="DefaultParagraphFont"/>
    <w:link w:val="Footer"/>
    <w:uiPriority w:val="99"/>
    <w:rsid w:val="002F6E91"/>
  </w:style>
  <w:style w:type="character" w:styleId="Hyperlink">
    <w:name w:val="Hyperlink"/>
    <w:basedOn w:val="DefaultParagraphFont"/>
    <w:uiPriority w:val="99"/>
    <w:unhideWhenUsed/>
    <w:rsid w:val="002F6E91"/>
    <w:rPr>
      <w:color w:val="0000FF" w:themeColor="hyperlink"/>
      <w:u w:val="single"/>
    </w:rPr>
  </w:style>
  <w:style w:type="paragraph" w:styleId="TOCHeading">
    <w:name w:val="TOC Heading"/>
    <w:basedOn w:val="Heading1"/>
    <w:next w:val="Normal"/>
    <w:uiPriority w:val="39"/>
    <w:unhideWhenUsed/>
    <w:qFormat/>
    <w:rsid w:val="002F6E9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F6E9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gsksolutions.com/staffing/#:~:text=On%2Dpremises%20Staffing&amp;text=We%20have%20a%20dedicated%20technical,people%20are%20our%20greatest%20asset" TargetMode="External"/><Relationship Id="rId3" Type="http://schemas.openxmlformats.org/officeDocument/2006/relationships/settings" Target="settings.xml"/><Relationship Id="rId7" Type="http://schemas.openxmlformats.org/officeDocument/2006/relationships/hyperlink" Target="https://www.gsk.com/media/7467/remuneration-report.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A98BE-B365-4333-ACD5-BE67E26ED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3125</Words>
  <Characters>17816</Characters>
  <Application>Microsoft Office Word</Application>
  <DocSecurity>0</DocSecurity>
  <Lines>148</Lines>
  <Paragraphs>41</Paragraphs>
  <ScaleCrop>false</ScaleCrop>
  <Company/>
  <LinksUpToDate>false</LinksUpToDate>
  <CharactersWithSpaces>20900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2024-02-20T17:15:00Z</dcterms:created>
  <dcterms:modified xsi:type="dcterms:W3CDTF">2024-02-20T17:15:00Z</dcterms:modified>
</cp:coreProperties>
</file>