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DCF7E" w14:textId="77777777" w:rsidR="00AA4E61" w:rsidRPr="00144238" w:rsidRDefault="00000000">
      <w:pPr>
        <w:jc w:val="center"/>
        <w:rPr>
          <w:rFonts w:asciiTheme="majorBidi" w:hAnsiTheme="majorBidi" w:cstheme="majorBidi"/>
        </w:rPr>
      </w:pPr>
      <w:r w:rsidRPr="00144238">
        <w:rPr>
          <w:rFonts w:asciiTheme="majorBidi" w:hAnsiTheme="majorBidi" w:cstheme="majorBidi"/>
          <w:b/>
          <w:color w:val="1F4E79"/>
          <w:sz w:val="40"/>
        </w:rPr>
        <w:t>Component 2: Coursework Essay</w:t>
      </w:r>
    </w:p>
    <w:p w14:paraId="315DF44F" w14:textId="77777777" w:rsidR="00AA4E61" w:rsidRPr="00144238" w:rsidRDefault="00000000">
      <w:pPr>
        <w:jc w:val="center"/>
        <w:rPr>
          <w:rFonts w:asciiTheme="majorBidi" w:hAnsiTheme="majorBidi" w:cstheme="majorBidi"/>
          <w:i/>
          <w:iCs/>
        </w:rPr>
      </w:pPr>
      <w:r w:rsidRPr="00144238">
        <w:rPr>
          <w:rFonts w:asciiTheme="majorBidi" w:hAnsiTheme="majorBidi" w:cstheme="majorBidi"/>
          <w:b/>
          <w:i/>
          <w:iCs/>
          <w:sz w:val="30"/>
        </w:rPr>
        <w:t>Critical Evaluation of Visionary, Coaching, and Democratic Leadership in Contemporary Business</w:t>
      </w:r>
    </w:p>
    <w:p w14:paraId="7C7244E0" w14:textId="77777777" w:rsidR="00AA4E61" w:rsidRPr="00144238" w:rsidRDefault="00000000">
      <w:pPr>
        <w:jc w:val="center"/>
        <w:rPr>
          <w:rFonts w:asciiTheme="majorBidi" w:hAnsiTheme="majorBidi" w:cstheme="majorBidi"/>
        </w:rPr>
      </w:pPr>
      <w:r w:rsidRPr="00144238">
        <w:rPr>
          <w:rFonts w:asciiTheme="majorBidi" w:hAnsiTheme="majorBidi" w:cstheme="majorBidi"/>
        </w:rPr>
        <w:t>Module: Introduction to Leadership and Management (LCBB4015)</w:t>
      </w:r>
    </w:p>
    <w:p w14:paraId="46C93ED5" w14:textId="77777777" w:rsidR="00AA4E61" w:rsidRPr="00144238" w:rsidRDefault="00000000">
      <w:pPr>
        <w:spacing w:after="280"/>
        <w:jc w:val="center"/>
        <w:rPr>
          <w:rFonts w:asciiTheme="majorBidi" w:hAnsiTheme="majorBidi" w:cstheme="majorBidi"/>
        </w:rPr>
      </w:pPr>
      <w:r w:rsidRPr="00144238">
        <w:rPr>
          <w:rFonts w:asciiTheme="majorBidi" w:hAnsiTheme="majorBidi" w:cstheme="majorBidi"/>
          <w:color w:val="1F4E79"/>
        </w:rPr>
        <w:t>────────────────────────────────</w:t>
      </w:r>
    </w:p>
    <w:tbl>
      <w:tblPr>
        <w:tblW w:w="0" w:type="auto"/>
        <w:jc w:val="center"/>
        <w:tblBorders>
          <w:top w:val="single" w:sz="6" w:space="0" w:color="D9E2F3"/>
          <w:left w:val="single" w:sz="6" w:space="0" w:color="D9E2F3"/>
          <w:bottom w:val="single" w:sz="6" w:space="0" w:color="D9E2F3"/>
          <w:right w:val="single" w:sz="6" w:space="0" w:color="D9E2F3"/>
          <w:insideH w:val="single" w:sz="6" w:space="0" w:color="D9E2F3"/>
          <w:insideV w:val="single" w:sz="6" w:space="0" w:color="D9E2F3"/>
        </w:tblBorders>
        <w:tblLayout w:type="fixed"/>
        <w:tblLook w:val="04A0" w:firstRow="1" w:lastRow="0" w:firstColumn="1" w:lastColumn="0" w:noHBand="0" w:noVBand="1"/>
      </w:tblPr>
      <w:tblGrid>
        <w:gridCol w:w="3513"/>
        <w:gridCol w:w="5783"/>
      </w:tblGrid>
      <w:tr w:rsidR="00AA4E61" w:rsidRPr="00144238" w14:paraId="04E56F23" w14:textId="77777777" w:rsidTr="00144238">
        <w:trPr>
          <w:jc w:val="center"/>
        </w:trPr>
        <w:tc>
          <w:tcPr>
            <w:tcW w:w="3513" w:type="dxa"/>
            <w:shd w:val="clear" w:color="auto" w:fill="EAF2F8"/>
            <w:vAlign w:val="center"/>
          </w:tcPr>
          <w:p w14:paraId="317C5C27" w14:textId="77777777" w:rsidR="00AA4E61" w:rsidRPr="00144238" w:rsidRDefault="00000000" w:rsidP="00144238">
            <w:pPr>
              <w:pStyle w:val="CoverMeta"/>
              <w:spacing w:line="360" w:lineRule="auto"/>
              <w:rPr>
                <w:rFonts w:asciiTheme="majorBidi" w:hAnsiTheme="majorBidi" w:cstheme="majorBidi"/>
                <w:bCs/>
                <w:i/>
                <w:iCs/>
                <w:sz w:val="24"/>
                <w:szCs w:val="24"/>
              </w:rPr>
            </w:pPr>
            <w:r w:rsidRPr="00144238">
              <w:rPr>
                <w:rFonts w:asciiTheme="majorBidi" w:hAnsiTheme="majorBidi" w:cstheme="majorBidi"/>
                <w:bCs/>
                <w:i/>
                <w:iCs/>
                <w:sz w:val="24"/>
                <w:szCs w:val="24"/>
              </w:rPr>
              <w:t>Lecturer</w:t>
            </w:r>
          </w:p>
        </w:tc>
        <w:tc>
          <w:tcPr>
            <w:tcW w:w="5783" w:type="dxa"/>
            <w:shd w:val="clear" w:color="auto" w:fill="F8FBFD"/>
            <w:vAlign w:val="center"/>
          </w:tcPr>
          <w:p w14:paraId="0AE817CB" w14:textId="77777777" w:rsidR="00AA4E61" w:rsidRPr="00144238" w:rsidRDefault="00000000" w:rsidP="00144238">
            <w:pPr>
              <w:pStyle w:val="CoverMeta"/>
              <w:spacing w:line="360" w:lineRule="auto"/>
              <w:rPr>
                <w:rFonts w:asciiTheme="majorBidi" w:hAnsiTheme="majorBidi" w:cstheme="majorBidi"/>
                <w:sz w:val="24"/>
                <w:szCs w:val="24"/>
              </w:rPr>
            </w:pPr>
            <w:r w:rsidRPr="00144238">
              <w:rPr>
                <w:rFonts w:asciiTheme="majorBidi" w:hAnsiTheme="majorBidi" w:cstheme="majorBidi"/>
                <w:sz w:val="24"/>
                <w:szCs w:val="24"/>
              </w:rPr>
              <w:t>Dr Roopa Aruvanahalli Nagaraju</w:t>
            </w:r>
          </w:p>
        </w:tc>
      </w:tr>
      <w:tr w:rsidR="00AA4E61" w:rsidRPr="00144238" w14:paraId="3701C8C8" w14:textId="77777777" w:rsidTr="00144238">
        <w:trPr>
          <w:jc w:val="center"/>
        </w:trPr>
        <w:tc>
          <w:tcPr>
            <w:tcW w:w="3513" w:type="dxa"/>
            <w:shd w:val="clear" w:color="auto" w:fill="EAF2F8"/>
            <w:vAlign w:val="center"/>
          </w:tcPr>
          <w:p w14:paraId="70E54184" w14:textId="77777777" w:rsidR="00AA4E61" w:rsidRPr="00144238" w:rsidRDefault="00000000" w:rsidP="00144238">
            <w:pPr>
              <w:pStyle w:val="CoverMeta"/>
              <w:spacing w:line="360" w:lineRule="auto"/>
              <w:rPr>
                <w:rFonts w:asciiTheme="majorBidi" w:hAnsiTheme="majorBidi" w:cstheme="majorBidi"/>
                <w:bCs/>
                <w:i/>
                <w:iCs/>
                <w:sz w:val="24"/>
                <w:szCs w:val="24"/>
              </w:rPr>
            </w:pPr>
            <w:r w:rsidRPr="00144238">
              <w:rPr>
                <w:rFonts w:asciiTheme="majorBidi" w:hAnsiTheme="majorBidi" w:cstheme="majorBidi"/>
                <w:bCs/>
                <w:i/>
                <w:iCs/>
                <w:sz w:val="24"/>
                <w:szCs w:val="24"/>
              </w:rPr>
              <w:t>Internal Verifier</w:t>
            </w:r>
          </w:p>
        </w:tc>
        <w:tc>
          <w:tcPr>
            <w:tcW w:w="5783" w:type="dxa"/>
            <w:shd w:val="clear" w:color="auto" w:fill="F8FBFD"/>
            <w:vAlign w:val="center"/>
          </w:tcPr>
          <w:p w14:paraId="260F60D0" w14:textId="77777777" w:rsidR="00AA4E61" w:rsidRPr="00144238" w:rsidRDefault="00000000" w:rsidP="00144238">
            <w:pPr>
              <w:pStyle w:val="CoverMeta"/>
              <w:spacing w:line="360" w:lineRule="auto"/>
              <w:rPr>
                <w:rFonts w:asciiTheme="majorBidi" w:hAnsiTheme="majorBidi" w:cstheme="majorBidi"/>
                <w:sz w:val="24"/>
                <w:szCs w:val="24"/>
              </w:rPr>
            </w:pPr>
            <w:r w:rsidRPr="00144238">
              <w:rPr>
                <w:rFonts w:asciiTheme="majorBidi" w:hAnsiTheme="majorBidi" w:cstheme="majorBidi"/>
                <w:sz w:val="24"/>
                <w:szCs w:val="24"/>
              </w:rPr>
              <w:t>Dr Liyanage Rodrigo</w:t>
            </w:r>
          </w:p>
        </w:tc>
      </w:tr>
      <w:tr w:rsidR="00AA4E61" w:rsidRPr="00144238" w14:paraId="60748127" w14:textId="77777777" w:rsidTr="00144238">
        <w:trPr>
          <w:jc w:val="center"/>
        </w:trPr>
        <w:tc>
          <w:tcPr>
            <w:tcW w:w="3513" w:type="dxa"/>
            <w:shd w:val="clear" w:color="auto" w:fill="EAF2F8"/>
            <w:vAlign w:val="center"/>
          </w:tcPr>
          <w:p w14:paraId="5A80637E" w14:textId="77777777" w:rsidR="00AA4E61" w:rsidRPr="00144238" w:rsidRDefault="00000000" w:rsidP="00144238">
            <w:pPr>
              <w:pStyle w:val="CoverMeta"/>
              <w:spacing w:line="360" w:lineRule="auto"/>
              <w:rPr>
                <w:rFonts w:asciiTheme="majorBidi" w:hAnsiTheme="majorBidi" w:cstheme="majorBidi"/>
                <w:bCs/>
                <w:i/>
                <w:iCs/>
                <w:sz w:val="24"/>
                <w:szCs w:val="24"/>
              </w:rPr>
            </w:pPr>
            <w:r w:rsidRPr="00144238">
              <w:rPr>
                <w:rFonts w:asciiTheme="majorBidi" w:hAnsiTheme="majorBidi" w:cstheme="majorBidi"/>
                <w:bCs/>
                <w:i/>
                <w:iCs/>
                <w:sz w:val="24"/>
                <w:szCs w:val="24"/>
              </w:rPr>
              <w:t>Assessment Weighting</w:t>
            </w:r>
          </w:p>
        </w:tc>
        <w:tc>
          <w:tcPr>
            <w:tcW w:w="5783" w:type="dxa"/>
            <w:shd w:val="clear" w:color="auto" w:fill="F8FBFD"/>
            <w:vAlign w:val="center"/>
          </w:tcPr>
          <w:p w14:paraId="0A75B384" w14:textId="77777777" w:rsidR="00AA4E61" w:rsidRPr="00144238" w:rsidRDefault="00000000" w:rsidP="00144238">
            <w:pPr>
              <w:pStyle w:val="CoverMeta"/>
              <w:spacing w:line="360" w:lineRule="auto"/>
              <w:rPr>
                <w:rFonts w:asciiTheme="majorBidi" w:hAnsiTheme="majorBidi" w:cstheme="majorBidi"/>
                <w:sz w:val="24"/>
                <w:szCs w:val="24"/>
              </w:rPr>
            </w:pPr>
            <w:r w:rsidRPr="00144238">
              <w:rPr>
                <w:rFonts w:asciiTheme="majorBidi" w:hAnsiTheme="majorBidi" w:cstheme="majorBidi"/>
                <w:sz w:val="24"/>
                <w:szCs w:val="24"/>
              </w:rPr>
              <w:t>50% of overall module assessment</w:t>
            </w:r>
          </w:p>
        </w:tc>
      </w:tr>
      <w:tr w:rsidR="00AA4E61" w:rsidRPr="00144238" w14:paraId="2EF2644E" w14:textId="77777777" w:rsidTr="00144238">
        <w:trPr>
          <w:jc w:val="center"/>
        </w:trPr>
        <w:tc>
          <w:tcPr>
            <w:tcW w:w="3513" w:type="dxa"/>
            <w:shd w:val="clear" w:color="auto" w:fill="EAF2F8"/>
            <w:vAlign w:val="center"/>
          </w:tcPr>
          <w:p w14:paraId="708BA9D4" w14:textId="77777777" w:rsidR="00AA4E61" w:rsidRPr="00144238" w:rsidRDefault="00000000" w:rsidP="00144238">
            <w:pPr>
              <w:pStyle w:val="CoverMeta"/>
              <w:spacing w:line="360" w:lineRule="auto"/>
              <w:rPr>
                <w:rFonts w:asciiTheme="majorBidi" w:hAnsiTheme="majorBidi" w:cstheme="majorBidi"/>
                <w:bCs/>
                <w:i/>
                <w:iCs/>
                <w:sz w:val="24"/>
                <w:szCs w:val="24"/>
              </w:rPr>
            </w:pPr>
            <w:r w:rsidRPr="00144238">
              <w:rPr>
                <w:rFonts w:asciiTheme="majorBidi" w:hAnsiTheme="majorBidi" w:cstheme="majorBidi"/>
                <w:bCs/>
                <w:i/>
                <w:iCs/>
                <w:sz w:val="24"/>
                <w:szCs w:val="24"/>
              </w:rPr>
              <w:t>Submission Deadline</w:t>
            </w:r>
          </w:p>
        </w:tc>
        <w:tc>
          <w:tcPr>
            <w:tcW w:w="5783" w:type="dxa"/>
            <w:shd w:val="clear" w:color="auto" w:fill="F8FBFD"/>
            <w:vAlign w:val="center"/>
          </w:tcPr>
          <w:p w14:paraId="38FF231A" w14:textId="77777777" w:rsidR="00AA4E61" w:rsidRPr="00144238" w:rsidRDefault="00000000" w:rsidP="00144238">
            <w:pPr>
              <w:pStyle w:val="CoverMeta"/>
              <w:spacing w:line="360" w:lineRule="auto"/>
              <w:rPr>
                <w:rFonts w:asciiTheme="majorBidi" w:hAnsiTheme="majorBidi" w:cstheme="majorBidi"/>
                <w:sz w:val="24"/>
                <w:szCs w:val="24"/>
              </w:rPr>
            </w:pPr>
            <w:r w:rsidRPr="00144238">
              <w:rPr>
                <w:rFonts w:asciiTheme="majorBidi" w:hAnsiTheme="majorBidi" w:cstheme="majorBidi"/>
                <w:sz w:val="24"/>
                <w:szCs w:val="24"/>
              </w:rPr>
              <w:t>29 March 2026, 14:00</w:t>
            </w:r>
          </w:p>
        </w:tc>
      </w:tr>
      <w:tr w:rsidR="00AA4E61" w:rsidRPr="00144238" w14:paraId="62C14751" w14:textId="77777777" w:rsidTr="00144238">
        <w:trPr>
          <w:jc w:val="center"/>
        </w:trPr>
        <w:tc>
          <w:tcPr>
            <w:tcW w:w="3513" w:type="dxa"/>
            <w:shd w:val="clear" w:color="auto" w:fill="EAF2F8"/>
            <w:vAlign w:val="center"/>
          </w:tcPr>
          <w:p w14:paraId="6B68B4E3" w14:textId="77777777" w:rsidR="00AA4E61" w:rsidRPr="00144238" w:rsidRDefault="00000000" w:rsidP="00144238">
            <w:pPr>
              <w:pStyle w:val="CoverMeta"/>
              <w:spacing w:line="360" w:lineRule="auto"/>
              <w:rPr>
                <w:rFonts w:asciiTheme="majorBidi" w:hAnsiTheme="majorBidi" w:cstheme="majorBidi"/>
                <w:bCs/>
                <w:i/>
                <w:iCs/>
                <w:sz w:val="24"/>
                <w:szCs w:val="24"/>
              </w:rPr>
            </w:pPr>
            <w:r w:rsidRPr="00144238">
              <w:rPr>
                <w:rFonts w:asciiTheme="majorBidi" w:hAnsiTheme="majorBidi" w:cstheme="majorBidi"/>
                <w:bCs/>
                <w:i/>
                <w:iCs/>
                <w:sz w:val="24"/>
                <w:szCs w:val="24"/>
              </w:rPr>
              <w:t>Essay Body Word Count</w:t>
            </w:r>
          </w:p>
        </w:tc>
        <w:tc>
          <w:tcPr>
            <w:tcW w:w="5783" w:type="dxa"/>
            <w:shd w:val="clear" w:color="auto" w:fill="F8FBFD"/>
            <w:vAlign w:val="center"/>
          </w:tcPr>
          <w:p w14:paraId="2AF060E0" w14:textId="33BF8753" w:rsidR="00AA4E61" w:rsidRPr="00144238" w:rsidRDefault="00000000" w:rsidP="00144238">
            <w:pPr>
              <w:pStyle w:val="CoverMeta"/>
              <w:spacing w:line="360" w:lineRule="auto"/>
              <w:rPr>
                <w:rFonts w:asciiTheme="majorBidi" w:hAnsiTheme="majorBidi" w:cstheme="majorBidi"/>
                <w:sz w:val="24"/>
                <w:szCs w:val="24"/>
              </w:rPr>
            </w:pPr>
            <w:r w:rsidRPr="00144238">
              <w:rPr>
                <w:rFonts w:asciiTheme="majorBidi" w:hAnsiTheme="majorBidi" w:cstheme="majorBidi"/>
                <w:sz w:val="24"/>
                <w:szCs w:val="24"/>
              </w:rPr>
              <w:t>1</w:t>
            </w:r>
            <w:r w:rsidR="00F03DD1">
              <w:rPr>
                <w:rFonts w:asciiTheme="majorBidi" w:hAnsiTheme="majorBidi" w:cstheme="majorBidi"/>
                <w:sz w:val="24"/>
                <w:szCs w:val="24"/>
              </w:rPr>
              <w:t>5</w:t>
            </w:r>
            <w:r w:rsidRPr="00144238">
              <w:rPr>
                <w:rFonts w:asciiTheme="majorBidi" w:hAnsiTheme="majorBidi" w:cstheme="majorBidi"/>
                <w:sz w:val="24"/>
                <w:szCs w:val="24"/>
              </w:rPr>
              <w:t>8</w:t>
            </w:r>
            <w:r w:rsidR="00F03DD1">
              <w:rPr>
                <w:rFonts w:asciiTheme="majorBidi" w:hAnsiTheme="majorBidi" w:cstheme="majorBidi"/>
                <w:sz w:val="24"/>
                <w:szCs w:val="24"/>
              </w:rPr>
              <w:t>4</w:t>
            </w:r>
          </w:p>
        </w:tc>
      </w:tr>
    </w:tbl>
    <w:p w14:paraId="74922DF6" w14:textId="77777777" w:rsidR="00F03DD1" w:rsidRDefault="00F03DD1">
      <w:pPr>
        <w:rPr>
          <w:rFonts w:asciiTheme="majorBidi" w:hAnsiTheme="majorBidi" w:cstheme="majorBidi"/>
        </w:rPr>
      </w:pPr>
    </w:p>
    <w:p w14:paraId="6606E810" w14:textId="77777777" w:rsidR="00F03DD1" w:rsidRDefault="00F03DD1">
      <w:pPr>
        <w:rPr>
          <w:rFonts w:asciiTheme="majorBidi" w:hAnsiTheme="majorBidi" w:cstheme="majorBidi"/>
        </w:rPr>
      </w:pPr>
      <w:r>
        <w:rPr>
          <w:rFonts w:asciiTheme="majorBidi" w:hAnsiTheme="majorBidi" w:cstheme="majorBidi"/>
        </w:rPr>
        <w:br w:type="page"/>
      </w:r>
    </w:p>
    <w:sdt>
      <w:sdtPr>
        <w:rPr>
          <w:rFonts w:ascii="Calibri" w:eastAsia="Calibri" w:hAnsi="Calibri" w:cstheme="minorBidi"/>
          <w:b w:val="0"/>
          <w:bCs w:val="0"/>
          <w:sz w:val="22"/>
          <w:szCs w:val="22"/>
        </w:rPr>
        <w:id w:val="1234441293"/>
        <w:docPartObj>
          <w:docPartGallery w:val="Table of Contents"/>
          <w:docPartUnique/>
        </w:docPartObj>
      </w:sdtPr>
      <w:sdtEndPr>
        <w:rPr>
          <w:noProof/>
        </w:rPr>
      </w:sdtEndPr>
      <w:sdtContent>
        <w:p w14:paraId="583A96E3" w14:textId="625EC711" w:rsidR="00F03DD1" w:rsidRPr="00F03DD1" w:rsidRDefault="00F03DD1" w:rsidP="00F03DD1">
          <w:pPr>
            <w:pStyle w:val="TOCHeading"/>
            <w:jc w:val="center"/>
            <w:rPr>
              <w:sz w:val="28"/>
              <w:szCs w:val="28"/>
            </w:rPr>
          </w:pPr>
          <w:r w:rsidRPr="00F03DD1">
            <w:rPr>
              <w:sz w:val="28"/>
              <w:szCs w:val="28"/>
            </w:rPr>
            <w:t>Contents</w:t>
          </w:r>
        </w:p>
        <w:p w14:paraId="271C5862" w14:textId="2E60EFC3"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r w:rsidRPr="00F03DD1">
            <w:rPr>
              <w:rFonts w:asciiTheme="majorBidi" w:hAnsiTheme="majorBidi" w:cstheme="majorBidi"/>
            </w:rPr>
            <w:fldChar w:fldCharType="begin"/>
          </w:r>
          <w:r w:rsidRPr="00F03DD1">
            <w:rPr>
              <w:rFonts w:asciiTheme="majorBidi" w:hAnsiTheme="majorBidi" w:cstheme="majorBidi"/>
            </w:rPr>
            <w:instrText xml:space="preserve"> TOC \o "1-3" \h \z \u </w:instrText>
          </w:r>
          <w:r w:rsidRPr="00F03DD1">
            <w:rPr>
              <w:rFonts w:asciiTheme="majorBidi" w:hAnsiTheme="majorBidi" w:cstheme="majorBidi"/>
            </w:rPr>
            <w:fldChar w:fldCharType="separate"/>
          </w:r>
          <w:hyperlink w:anchor="_Toc225364408" w:history="1">
            <w:r w:rsidRPr="00F03DD1">
              <w:rPr>
                <w:rStyle w:val="Hyperlink"/>
                <w:rFonts w:asciiTheme="majorBidi" w:hAnsiTheme="majorBidi" w:cstheme="majorBidi"/>
                <w:noProof/>
                <w:sz w:val="24"/>
                <w:szCs w:val="24"/>
              </w:rPr>
              <w:t>Introduction</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_Toc225364408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3</w:t>
            </w:r>
            <w:r w:rsidRPr="00F03DD1">
              <w:rPr>
                <w:rFonts w:asciiTheme="majorBidi" w:hAnsiTheme="majorBidi" w:cstheme="majorBidi"/>
                <w:noProof/>
                <w:webHidden/>
                <w:sz w:val="24"/>
                <w:szCs w:val="24"/>
              </w:rPr>
              <w:fldChar w:fldCharType="end"/>
            </w:r>
          </w:hyperlink>
        </w:p>
        <w:p w14:paraId="05776B0A" w14:textId="7F3AA8F7"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09" w:history="1">
            <w:r w:rsidRPr="00F03DD1">
              <w:rPr>
                <w:rStyle w:val="Hyperlink"/>
                <w:rFonts w:asciiTheme="majorBidi" w:hAnsiTheme="majorBidi" w:cstheme="majorBidi"/>
                <w:noProof/>
                <w:sz w:val="24"/>
                <w:szCs w:val="24"/>
              </w:rPr>
              <w:t>Leadership in contemporary business</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_Toc225364409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4</w:t>
            </w:r>
            <w:r w:rsidRPr="00F03DD1">
              <w:rPr>
                <w:rFonts w:asciiTheme="majorBidi" w:hAnsiTheme="majorBidi" w:cstheme="majorBidi"/>
                <w:noProof/>
                <w:webHidden/>
                <w:sz w:val="24"/>
                <w:szCs w:val="24"/>
              </w:rPr>
              <w:fldChar w:fldCharType="end"/>
            </w:r>
          </w:hyperlink>
        </w:p>
        <w:p w14:paraId="51522464" w14:textId="708DE80E"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0" w:history="1">
            <w:r w:rsidRPr="00F03DD1">
              <w:rPr>
                <w:rStyle w:val="Hyperlink"/>
                <w:rFonts w:asciiTheme="majorBidi" w:hAnsiTheme="majorBidi" w:cstheme="majorBidi"/>
                <w:noProof/>
                <w:sz w:val="24"/>
                <w:szCs w:val="24"/>
              </w:rPr>
              <w:t>Visionary leadership</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_Toc225364410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4</w:t>
            </w:r>
            <w:r w:rsidRPr="00F03DD1">
              <w:rPr>
                <w:rFonts w:asciiTheme="majorBidi" w:hAnsiTheme="majorBidi" w:cstheme="majorBidi"/>
                <w:noProof/>
                <w:webHidden/>
                <w:sz w:val="24"/>
                <w:szCs w:val="24"/>
              </w:rPr>
              <w:fldChar w:fldCharType="end"/>
            </w:r>
          </w:hyperlink>
        </w:p>
        <w:p w14:paraId="574AEE49" w14:textId="64B5F6FA"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1" w:history="1">
            <w:r w:rsidRPr="00F03DD1">
              <w:rPr>
                <w:rStyle w:val="Hyperlink"/>
                <w:rFonts w:asciiTheme="majorBidi" w:hAnsiTheme="majorBidi" w:cstheme="majorBidi"/>
                <w:noProof/>
                <w:sz w:val="24"/>
                <w:szCs w:val="24"/>
              </w:rPr>
              <w:t>Coaching leadership</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_Toc225364411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5</w:t>
            </w:r>
            <w:r w:rsidRPr="00F03DD1">
              <w:rPr>
                <w:rFonts w:asciiTheme="majorBidi" w:hAnsiTheme="majorBidi" w:cstheme="majorBidi"/>
                <w:noProof/>
                <w:webHidden/>
                <w:sz w:val="24"/>
                <w:szCs w:val="24"/>
              </w:rPr>
              <w:fldChar w:fldCharType="end"/>
            </w:r>
          </w:hyperlink>
        </w:p>
        <w:p w14:paraId="70A45E2D" w14:textId="69646892"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2" w:history="1">
            <w:r w:rsidRPr="00F03DD1">
              <w:rPr>
                <w:rStyle w:val="Hyperlink"/>
                <w:rFonts w:asciiTheme="majorBidi" w:hAnsiTheme="majorBidi" w:cstheme="majorBidi"/>
                <w:noProof/>
                <w:sz w:val="24"/>
                <w:szCs w:val="24"/>
              </w:rPr>
              <w:t>Democratic leadership</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_Toc225364412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6</w:t>
            </w:r>
            <w:r w:rsidRPr="00F03DD1">
              <w:rPr>
                <w:rFonts w:asciiTheme="majorBidi" w:hAnsiTheme="majorBidi" w:cstheme="majorBidi"/>
                <w:noProof/>
                <w:webHidden/>
                <w:sz w:val="24"/>
                <w:szCs w:val="24"/>
              </w:rPr>
              <w:fldChar w:fldCharType="end"/>
            </w:r>
          </w:hyperlink>
        </w:p>
        <w:p w14:paraId="6CBDE79F" w14:textId="1AA079E6"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3" w:history="1">
            <w:r w:rsidRPr="00F03DD1">
              <w:rPr>
                <w:rStyle w:val="Hyperlink"/>
                <w:rFonts w:asciiTheme="majorBidi" w:hAnsiTheme="majorBidi" w:cstheme="majorBidi"/>
                <w:noProof/>
                <w:sz w:val="24"/>
                <w:szCs w:val="24"/>
              </w:rPr>
              <w:t>Essential skills for leaders today</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_Toc225364413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7</w:t>
            </w:r>
            <w:r w:rsidRPr="00F03DD1">
              <w:rPr>
                <w:rFonts w:asciiTheme="majorBidi" w:hAnsiTheme="majorBidi" w:cstheme="majorBidi"/>
                <w:noProof/>
                <w:webHidden/>
                <w:sz w:val="24"/>
                <w:szCs w:val="24"/>
              </w:rPr>
              <w:fldChar w:fldCharType="end"/>
            </w:r>
          </w:hyperlink>
        </w:p>
        <w:p w14:paraId="4C6BA197" w14:textId="26CF2316"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4" w:history="1">
            <w:r w:rsidRPr="00F03DD1">
              <w:rPr>
                <w:rStyle w:val="Hyperlink"/>
                <w:rFonts w:asciiTheme="majorBidi" w:hAnsiTheme="majorBidi" w:cstheme="majorBidi"/>
                <w:noProof/>
                <w:sz w:val="24"/>
                <w:szCs w:val="24"/>
              </w:rPr>
              <w:t>Conclusion</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_Toc225364414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8</w:t>
            </w:r>
            <w:r w:rsidRPr="00F03DD1">
              <w:rPr>
                <w:rFonts w:asciiTheme="majorBidi" w:hAnsiTheme="majorBidi" w:cstheme="majorBidi"/>
                <w:noProof/>
                <w:webHidden/>
                <w:sz w:val="24"/>
                <w:szCs w:val="24"/>
              </w:rPr>
              <w:fldChar w:fldCharType="end"/>
            </w:r>
          </w:hyperlink>
        </w:p>
        <w:p w14:paraId="58230E2C" w14:textId="53364046" w:rsidR="00F03DD1" w:rsidRPr="00F03DD1" w:rsidRDefault="00F03DD1" w:rsidP="00F03DD1">
          <w:pPr>
            <w:pStyle w:val="TOC1"/>
            <w:tabs>
              <w:tab w:val="right" w:leader="dot" w:pos="9396"/>
            </w:tabs>
            <w:spacing w:line="480" w:lineRule="auto"/>
            <w:jc w:val="center"/>
            <w:rPr>
              <w:rFonts w:asciiTheme="majorBidi" w:hAnsiTheme="majorBidi" w:cstheme="majorBidi"/>
              <w:noProof/>
              <w:sz w:val="24"/>
              <w:szCs w:val="24"/>
            </w:rPr>
          </w:pPr>
          <w:hyperlink w:anchor="_Toc225364415" w:history="1">
            <w:r w:rsidRPr="00F03DD1">
              <w:rPr>
                <w:rStyle w:val="Hyperlink"/>
                <w:rFonts w:asciiTheme="majorBidi" w:hAnsiTheme="majorBidi" w:cstheme="majorBidi"/>
                <w:noProof/>
                <w:sz w:val="24"/>
                <w:szCs w:val="24"/>
              </w:rPr>
              <w:t>References</w:t>
            </w:r>
            <w:r w:rsidRPr="00F03DD1">
              <w:rPr>
                <w:rFonts w:asciiTheme="majorBidi" w:hAnsiTheme="majorBidi" w:cstheme="majorBidi"/>
                <w:noProof/>
                <w:webHidden/>
                <w:sz w:val="24"/>
                <w:szCs w:val="24"/>
              </w:rPr>
              <w:tab/>
            </w:r>
            <w:r w:rsidRPr="00F03DD1">
              <w:rPr>
                <w:rFonts w:asciiTheme="majorBidi" w:hAnsiTheme="majorBidi" w:cstheme="majorBidi"/>
                <w:noProof/>
                <w:webHidden/>
                <w:sz w:val="24"/>
                <w:szCs w:val="24"/>
              </w:rPr>
              <w:fldChar w:fldCharType="begin"/>
            </w:r>
            <w:r w:rsidRPr="00F03DD1">
              <w:rPr>
                <w:rFonts w:asciiTheme="majorBidi" w:hAnsiTheme="majorBidi" w:cstheme="majorBidi"/>
                <w:noProof/>
                <w:webHidden/>
                <w:sz w:val="24"/>
                <w:szCs w:val="24"/>
              </w:rPr>
              <w:instrText xml:space="preserve"> PAGEREF _Toc225364415 \h </w:instrText>
            </w:r>
            <w:r w:rsidRPr="00F03DD1">
              <w:rPr>
                <w:rFonts w:asciiTheme="majorBidi" w:hAnsiTheme="majorBidi" w:cstheme="majorBidi"/>
                <w:noProof/>
                <w:webHidden/>
                <w:sz w:val="24"/>
                <w:szCs w:val="24"/>
              </w:rPr>
            </w:r>
            <w:r w:rsidRPr="00F03DD1">
              <w:rPr>
                <w:rFonts w:asciiTheme="majorBidi" w:hAnsiTheme="majorBidi" w:cstheme="majorBidi"/>
                <w:noProof/>
                <w:webHidden/>
                <w:sz w:val="24"/>
                <w:szCs w:val="24"/>
              </w:rPr>
              <w:fldChar w:fldCharType="separate"/>
            </w:r>
            <w:r w:rsidR="005F750A">
              <w:rPr>
                <w:rFonts w:asciiTheme="majorBidi" w:hAnsiTheme="majorBidi" w:cstheme="majorBidi"/>
                <w:noProof/>
                <w:webHidden/>
                <w:sz w:val="24"/>
                <w:szCs w:val="24"/>
              </w:rPr>
              <w:t>8</w:t>
            </w:r>
            <w:r w:rsidRPr="00F03DD1">
              <w:rPr>
                <w:rFonts w:asciiTheme="majorBidi" w:hAnsiTheme="majorBidi" w:cstheme="majorBidi"/>
                <w:noProof/>
                <w:webHidden/>
                <w:sz w:val="24"/>
                <w:szCs w:val="24"/>
              </w:rPr>
              <w:fldChar w:fldCharType="end"/>
            </w:r>
          </w:hyperlink>
        </w:p>
        <w:p w14:paraId="5ABB673E" w14:textId="09718097" w:rsidR="00F03DD1" w:rsidRPr="00F03DD1" w:rsidRDefault="00F03DD1" w:rsidP="00F03DD1">
          <w:pPr>
            <w:spacing w:line="480" w:lineRule="auto"/>
            <w:jc w:val="center"/>
            <w:rPr>
              <w:rFonts w:asciiTheme="majorBidi" w:hAnsiTheme="majorBidi" w:cstheme="majorBidi"/>
            </w:rPr>
          </w:pPr>
          <w:r w:rsidRPr="00F03DD1">
            <w:rPr>
              <w:rFonts w:asciiTheme="majorBidi" w:hAnsiTheme="majorBidi" w:cstheme="majorBidi"/>
              <w:b/>
              <w:bCs/>
              <w:noProof/>
            </w:rPr>
            <w:fldChar w:fldCharType="end"/>
          </w:r>
        </w:p>
      </w:sdtContent>
    </w:sdt>
    <w:p w14:paraId="1F2763CA" w14:textId="26FA2916" w:rsidR="00AA4E61" w:rsidRPr="00144238" w:rsidRDefault="00000000">
      <w:pPr>
        <w:rPr>
          <w:rFonts w:asciiTheme="majorBidi" w:hAnsiTheme="majorBidi" w:cstheme="majorBidi"/>
        </w:rPr>
      </w:pPr>
      <w:r w:rsidRPr="00144238">
        <w:rPr>
          <w:rFonts w:asciiTheme="majorBidi" w:hAnsiTheme="majorBidi" w:cstheme="majorBidi"/>
        </w:rPr>
        <w:br w:type="page"/>
      </w:r>
    </w:p>
    <w:p w14:paraId="455231EB" w14:textId="77777777" w:rsidR="00AA4E61" w:rsidRPr="00144238" w:rsidRDefault="00000000" w:rsidP="00144238">
      <w:pPr>
        <w:pStyle w:val="Heading1"/>
      </w:pPr>
      <w:bookmarkStart w:id="0" w:name="_Toc225364408"/>
      <w:r w:rsidRPr="00144238">
        <w:lastRenderedPageBreak/>
        <w:t>Introduction</w:t>
      </w:r>
      <w:bookmarkEnd w:id="0"/>
    </w:p>
    <w:p w14:paraId="4FAE11D0" w14:textId="77777777" w:rsidR="005F750A"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Leadership is a key business point of concern since organizations are driven to work under circumstances of digital transformation, high-level competition, mixed employment, and the growing demands of stakeholders. Leadership in such situations is not only about authority but also about making decisions, based on behaviors that are appropriate in each situation, and which assist in getting the people to perform when under pressure. The six-style model by Daniel Goleman is convenient since it does not present leadership as something fixed, but flexible. </w:t>
      </w:r>
    </w:p>
    <w:p w14:paraId="1166F02B" w14:textId="77777777" w:rsidR="005F750A" w:rsidRDefault="005F750A" w:rsidP="005F750A">
      <w:pPr>
        <w:pStyle w:val="BodyEssay"/>
        <w:keepNext/>
        <w:spacing w:line="480" w:lineRule="auto"/>
      </w:pPr>
      <w:r>
        <w:rPr>
          <w:noProof/>
        </w:rPr>
        <w:drawing>
          <wp:inline distT="0" distB="0" distL="0" distR="0" wp14:anchorId="7E170FE3" wp14:editId="48FABA6A">
            <wp:extent cx="5972810" cy="3325495"/>
            <wp:effectExtent l="0" t="0" r="8890" b="8255"/>
            <wp:docPr id="1941320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20434" name=""/>
                    <pic:cNvPicPr/>
                  </pic:nvPicPr>
                  <pic:blipFill>
                    <a:blip r:embed="rId8"/>
                    <a:stretch>
                      <a:fillRect/>
                    </a:stretch>
                  </pic:blipFill>
                  <pic:spPr>
                    <a:xfrm>
                      <a:off x="0" y="0"/>
                      <a:ext cx="5972810" cy="3325495"/>
                    </a:xfrm>
                    <a:prstGeom prst="rect">
                      <a:avLst/>
                    </a:prstGeom>
                  </pic:spPr>
                </pic:pic>
              </a:graphicData>
            </a:graphic>
          </wp:inline>
        </w:drawing>
      </w:r>
    </w:p>
    <w:p w14:paraId="4227C113" w14:textId="683D6272" w:rsidR="005F750A" w:rsidRPr="005F750A" w:rsidRDefault="005F750A" w:rsidP="005F750A">
      <w:pPr>
        <w:pStyle w:val="Caption"/>
        <w:jc w:val="both"/>
        <w:rPr>
          <w:rFonts w:asciiTheme="majorBidi" w:hAnsiTheme="majorBidi" w:cstheme="majorBidi"/>
        </w:rPr>
      </w:pPr>
      <w:r w:rsidRPr="005F750A">
        <w:rPr>
          <w:rFonts w:asciiTheme="majorBidi" w:hAnsiTheme="majorBidi" w:cstheme="majorBidi"/>
        </w:rPr>
        <w:t xml:space="preserve">Figure </w:t>
      </w:r>
      <w:r w:rsidRPr="005F750A">
        <w:rPr>
          <w:rFonts w:asciiTheme="majorBidi" w:hAnsiTheme="majorBidi" w:cstheme="majorBidi"/>
        </w:rPr>
        <w:fldChar w:fldCharType="begin"/>
      </w:r>
      <w:r w:rsidRPr="005F750A">
        <w:rPr>
          <w:rFonts w:asciiTheme="majorBidi" w:hAnsiTheme="majorBidi" w:cstheme="majorBidi"/>
        </w:rPr>
        <w:instrText xml:space="preserve"> SEQ Figure \* ARABIC </w:instrText>
      </w:r>
      <w:r w:rsidRPr="005F750A">
        <w:rPr>
          <w:rFonts w:asciiTheme="majorBidi" w:hAnsiTheme="majorBidi" w:cstheme="majorBidi"/>
        </w:rPr>
        <w:fldChar w:fldCharType="separate"/>
      </w:r>
      <w:r w:rsidRPr="005F750A">
        <w:rPr>
          <w:rFonts w:asciiTheme="majorBidi" w:hAnsiTheme="majorBidi" w:cstheme="majorBidi"/>
          <w:noProof/>
        </w:rPr>
        <w:t>1</w:t>
      </w:r>
      <w:r w:rsidRPr="005F750A">
        <w:rPr>
          <w:rFonts w:asciiTheme="majorBidi" w:hAnsiTheme="majorBidi" w:cstheme="majorBidi"/>
        </w:rPr>
        <w:fldChar w:fldCharType="end"/>
      </w:r>
      <w:r w:rsidRPr="005F750A">
        <w:rPr>
          <w:rFonts w:asciiTheme="majorBidi" w:hAnsiTheme="majorBidi" w:cstheme="majorBidi"/>
          <w:lang w:val="en-GB"/>
        </w:rPr>
        <w:t>: Six-Style Model by Daniel Goleman</w:t>
      </w:r>
    </w:p>
    <w:p w14:paraId="6C2921E2" w14:textId="55CE6041" w:rsidR="005F750A" w:rsidRPr="00144238" w:rsidRDefault="00144238" w:rsidP="005F750A">
      <w:pPr>
        <w:pStyle w:val="BodyEssay"/>
        <w:spacing w:line="480" w:lineRule="auto"/>
        <w:rPr>
          <w:rFonts w:asciiTheme="majorBidi" w:hAnsiTheme="majorBidi" w:cstheme="majorBidi"/>
        </w:rPr>
      </w:pPr>
      <w:r w:rsidRPr="00144238">
        <w:rPr>
          <w:rFonts w:asciiTheme="majorBidi" w:hAnsiTheme="majorBidi" w:cstheme="majorBidi"/>
        </w:rPr>
        <w:t>This essay is a critical assessment of three of those styles which include visionary leadership, coaching leadership, and democratic leadership. It maintains that both styles may be extremely useful in business, however, only when combined with strategic context, team maturity and decision speed. The essay continues to determine the essential skills that leaders should have in contemporary society to manage complexity and enable the organization to grow in the long run (Liden et al., 2025)</w:t>
      </w:r>
      <w:r>
        <w:rPr>
          <w:rFonts w:asciiTheme="majorBidi" w:hAnsiTheme="majorBidi" w:cstheme="majorBidi"/>
        </w:rPr>
        <w:t>.</w:t>
      </w:r>
    </w:p>
    <w:p w14:paraId="46202DCF" w14:textId="77777777" w:rsidR="00AA4E61" w:rsidRPr="00144238" w:rsidRDefault="00000000" w:rsidP="00144238">
      <w:pPr>
        <w:pStyle w:val="Heading1"/>
      </w:pPr>
      <w:bookmarkStart w:id="1" w:name="_Toc225364409"/>
      <w:r w:rsidRPr="00144238">
        <w:lastRenderedPageBreak/>
        <w:t>Leadership in contemporary business</w:t>
      </w:r>
      <w:bookmarkEnd w:id="1"/>
    </w:p>
    <w:p w14:paraId="5F62FAAE" w14:textId="186565C6"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The leadership can be conceptualized as the deliberate impact by means of which individuals can shape, organize, and provide mutual activity to reach shared objectives. This is important in the business </w:t>
      </w:r>
      <w:proofErr w:type="gramStart"/>
      <w:r w:rsidRPr="00144238">
        <w:rPr>
          <w:rFonts w:asciiTheme="majorBidi" w:hAnsiTheme="majorBidi" w:cstheme="majorBidi"/>
        </w:rPr>
        <w:t>due to the fact that</w:t>
      </w:r>
      <w:proofErr w:type="gramEnd"/>
      <w:r w:rsidRPr="00144238">
        <w:rPr>
          <w:rFonts w:asciiTheme="majorBidi" w:hAnsiTheme="majorBidi" w:cstheme="majorBidi"/>
        </w:rPr>
        <w:t xml:space="preserve"> good leadership provides a path, instills confidence and sets the atmosphere under which workers may choose to do just the bare minimum or even go beyond that. Quality of leadership influences innovation, retention, execution and responsiveness to change in knowledge-intensive </w:t>
      </w:r>
      <w:proofErr w:type="spellStart"/>
      <w:r w:rsidRPr="00144238">
        <w:rPr>
          <w:rFonts w:asciiTheme="majorBidi" w:hAnsiTheme="majorBidi" w:cstheme="majorBidi"/>
        </w:rPr>
        <w:t>organisations</w:t>
      </w:r>
      <w:proofErr w:type="spellEnd"/>
      <w:r>
        <w:rPr>
          <w:rFonts w:asciiTheme="majorBidi" w:hAnsiTheme="majorBidi" w:cstheme="majorBidi"/>
        </w:rPr>
        <w:t xml:space="preserve"> </w:t>
      </w:r>
      <w:r w:rsidRPr="00144238">
        <w:rPr>
          <w:rFonts w:asciiTheme="majorBidi" w:hAnsiTheme="majorBidi" w:cstheme="majorBidi"/>
        </w:rPr>
        <w:t>(Zuo, 2023)</w:t>
      </w:r>
      <w:r>
        <w:rPr>
          <w:rFonts w:asciiTheme="majorBidi" w:hAnsiTheme="majorBidi" w:cstheme="majorBidi"/>
        </w:rPr>
        <w:t>.</w:t>
      </w:r>
    </w:p>
    <w:p w14:paraId="628E928B" w14:textId="60937D80" w:rsidR="00AA4E61"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The model provided by Goleman is particularly applicable since it presupposes that there is no best style, as a matter of fact. Turnaround, product launch, and people-development phase do not demand the same behavior. The worth of any leadership style then is in the time and manner of its application. Visionary style, coaching style, and democratic style are where the present-day businesses are more applicable since they cover strategic direction, development of capabilities, and engagement of employees</w:t>
      </w:r>
      <w:r>
        <w:rPr>
          <w:rFonts w:asciiTheme="majorBidi" w:hAnsiTheme="majorBidi" w:cstheme="majorBidi"/>
        </w:rPr>
        <w:t xml:space="preserve"> </w:t>
      </w:r>
      <w:r w:rsidRPr="00144238">
        <w:rPr>
          <w:rFonts w:asciiTheme="majorBidi" w:hAnsiTheme="majorBidi" w:cstheme="majorBidi"/>
        </w:rPr>
        <w:t>(Goleman, 2000)</w:t>
      </w:r>
      <w:r>
        <w:rPr>
          <w:rFonts w:asciiTheme="majorBidi" w:hAnsiTheme="majorBidi" w:cstheme="majorBidi"/>
        </w:rPr>
        <w:t>.</w:t>
      </w:r>
    </w:p>
    <w:p w14:paraId="1298BB7C" w14:textId="77777777" w:rsidR="00AA4E61" w:rsidRPr="00144238" w:rsidRDefault="00000000" w:rsidP="00144238">
      <w:pPr>
        <w:pStyle w:val="Heading1"/>
      </w:pPr>
      <w:bookmarkStart w:id="2" w:name="_Toc225364410"/>
      <w:r w:rsidRPr="00144238">
        <w:t>Visionary leadership</w:t>
      </w:r>
      <w:bookmarkEnd w:id="2"/>
    </w:p>
    <w:p w14:paraId="0E8E09B1" w14:textId="441027A8"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Visionary leadership focuses on an orientation of direction, selling of a beautiful future and connecting ordinary efforts to a higher cause. This style is particularly relevant in business when organizations become disrupted, lose their strategy or require renewal. It eliminates uncertainty by providing the answer to where the business is heading and the reason as to why the destination is important. Current studies indicate that visionary leadership will foster psychological empowerment and creative performance since employees are more ready to act when they know which way to move in and that their efforts are valuable to the movement</w:t>
      </w:r>
      <w:r>
        <w:rPr>
          <w:rFonts w:asciiTheme="majorBidi" w:hAnsiTheme="majorBidi" w:cstheme="majorBidi"/>
        </w:rPr>
        <w:t xml:space="preserve"> </w:t>
      </w:r>
      <w:r w:rsidRPr="00144238">
        <w:rPr>
          <w:rFonts w:asciiTheme="majorBidi" w:hAnsiTheme="majorBidi" w:cstheme="majorBidi"/>
        </w:rPr>
        <w:t>(Wang et al., 2024).</w:t>
      </w:r>
    </w:p>
    <w:p w14:paraId="7A168105" w14:textId="41E67823"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Strategic alignment is the key strength of this style. It can gather strength across functions, remain resilient in the face of change and make sense of tough decisions. This will come in handy in market repositioning, digital transformation, or entering new markets. There are weak points about the style, however. When the vision is too abstract, what employees can get is aspiration but no guidance. It may also be too leader-</w:t>
      </w:r>
      <w:proofErr w:type="spellStart"/>
      <w:r w:rsidRPr="00144238">
        <w:rPr>
          <w:rFonts w:asciiTheme="majorBidi" w:hAnsiTheme="majorBidi" w:cstheme="majorBidi"/>
        </w:rPr>
        <w:lastRenderedPageBreak/>
        <w:t>centred</w:t>
      </w:r>
      <w:proofErr w:type="spellEnd"/>
      <w:r w:rsidRPr="00144238">
        <w:rPr>
          <w:rFonts w:asciiTheme="majorBidi" w:hAnsiTheme="majorBidi" w:cstheme="majorBidi"/>
        </w:rPr>
        <w:t xml:space="preserve"> in case discussion and feedback are poor. Leaders using well-defined purpose and a certain level of autonomy that allows local adaptation of teams therefore make visionary leadership most effective (Farhan, 2024</w:t>
      </w:r>
      <w:proofErr w:type="gramStart"/>
      <w:r w:rsidRPr="00144238">
        <w:rPr>
          <w:rFonts w:asciiTheme="majorBidi" w:hAnsiTheme="majorBidi" w:cstheme="majorBidi"/>
        </w:rPr>
        <w:t>) .</w:t>
      </w:r>
      <w:proofErr w:type="gramEnd"/>
    </w:p>
    <w:p w14:paraId="04932DCD" w14:textId="009F9393" w:rsidR="00AA4E61"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Microsoft provides a good business case. According to the 2024 Annual Report, the company associates its growth-mindset culture with a history of high performance and long-term capacity development. This is the visionary leadership since </w:t>
      </w:r>
      <w:proofErr w:type="spellStart"/>
      <w:r w:rsidRPr="00144238">
        <w:rPr>
          <w:rFonts w:asciiTheme="majorBidi" w:hAnsiTheme="majorBidi" w:cstheme="majorBidi"/>
        </w:rPr>
        <w:t>organisational</w:t>
      </w:r>
      <w:proofErr w:type="spellEnd"/>
      <w:r w:rsidRPr="00144238">
        <w:rPr>
          <w:rFonts w:asciiTheme="majorBidi" w:hAnsiTheme="majorBidi" w:cstheme="majorBidi"/>
        </w:rPr>
        <w:t xml:space="preserve"> direction is put in the context of learning, empowerment, and modelling the future with technology instead of only focusing on close control in the short run. This type of strategy can be particularly effective when making large scale strategic changes since workers require something to cozily follow, otherwise they will not be able to contribute to innovation at a massive scale (Microsoft, 2024)</w:t>
      </w:r>
      <w:r>
        <w:rPr>
          <w:rFonts w:asciiTheme="majorBidi" w:hAnsiTheme="majorBidi" w:cstheme="majorBidi"/>
        </w:rPr>
        <w:t>.</w:t>
      </w:r>
    </w:p>
    <w:p w14:paraId="1D50BC8F" w14:textId="77777777" w:rsidR="00AA4E61" w:rsidRPr="00144238" w:rsidRDefault="00000000" w:rsidP="00144238">
      <w:pPr>
        <w:pStyle w:val="Heading1"/>
      </w:pPr>
      <w:bookmarkStart w:id="3" w:name="_Toc225364411"/>
      <w:r w:rsidRPr="00144238">
        <w:t>Coaching leadership</w:t>
      </w:r>
      <w:bookmarkEnd w:id="3"/>
    </w:p>
    <w:p w14:paraId="18D1A49D" w14:textId="0EF3B056"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Coaching leadership </w:t>
      </w:r>
      <w:proofErr w:type="spellStart"/>
      <w:r w:rsidRPr="00144238">
        <w:rPr>
          <w:rFonts w:asciiTheme="majorBidi" w:hAnsiTheme="majorBidi" w:cstheme="majorBidi"/>
        </w:rPr>
        <w:t>emphasises</w:t>
      </w:r>
      <w:proofErr w:type="spellEnd"/>
      <w:r w:rsidRPr="00144238">
        <w:rPr>
          <w:rFonts w:asciiTheme="majorBidi" w:hAnsiTheme="majorBidi" w:cstheme="majorBidi"/>
        </w:rPr>
        <w:t xml:space="preserve"> individual development, capability building and assisting employees to align personal development with </w:t>
      </w:r>
      <w:proofErr w:type="spellStart"/>
      <w:r w:rsidRPr="00144238">
        <w:rPr>
          <w:rFonts w:asciiTheme="majorBidi" w:hAnsiTheme="majorBidi" w:cstheme="majorBidi"/>
        </w:rPr>
        <w:t>organisational</w:t>
      </w:r>
      <w:proofErr w:type="spellEnd"/>
      <w:r w:rsidRPr="00144238">
        <w:rPr>
          <w:rFonts w:asciiTheme="majorBidi" w:hAnsiTheme="majorBidi" w:cstheme="majorBidi"/>
        </w:rPr>
        <w:t xml:space="preserve"> objectives. The importance of this style is that most companies are currently competing based on talent, speed of learning and flexibility as opposed to basing their competition on pure material assets. Coaching leaders can use feedback, questioning, and support rather than telling. Studies indicate that coaching leadership has the ability of enhancing creative performance through augmentation of psychological empowerment and positive voice </w:t>
      </w:r>
      <w:proofErr w:type="spellStart"/>
      <w:r w:rsidRPr="00144238">
        <w:rPr>
          <w:rFonts w:asciiTheme="majorBidi" w:hAnsiTheme="majorBidi" w:cstheme="majorBidi"/>
        </w:rPr>
        <w:t>behaviour</w:t>
      </w:r>
      <w:proofErr w:type="spellEnd"/>
      <w:r w:rsidRPr="00144238">
        <w:rPr>
          <w:rFonts w:asciiTheme="majorBidi" w:hAnsiTheme="majorBidi" w:cstheme="majorBidi"/>
        </w:rPr>
        <w:t xml:space="preserve"> implying that developmental relationships can enhance innovation and problem solving as well</w:t>
      </w:r>
      <w:r>
        <w:rPr>
          <w:rFonts w:asciiTheme="majorBidi" w:hAnsiTheme="majorBidi" w:cstheme="majorBidi"/>
        </w:rPr>
        <w:t xml:space="preserve"> </w:t>
      </w:r>
      <w:r w:rsidRPr="00144238">
        <w:rPr>
          <w:rFonts w:asciiTheme="majorBidi" w:hAnsiTheme="majorBidi" w:cstheme="majorBidi"/>
        </w:rPr>
        <w:t>(Hwang et al., 2023)</w:t>
      </w:r>
      <w:r>
        <w:rPr>
          <w:rFonts w:asciiTheme="majorBidi" w:hAnsiTheme="majorBidi" w:cstheme="majorBidi"/>
        </w:rPr>
        <w:t>.</w:t>
      </w:r>
    </w:p>
    <w:p w14:paraId="3DA4E67D" w14:textId="316753F7"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Its significance is more so in business where employees must reskill time and again as technologies and markets evolve. The most recent review concludes that coaching-based leadership enhances engagement, innovation, and resilience. The style works best when the leaders are preparing future managers, onboarding new employees, or taking the teams through transitions of capabilities. Yet it also has limitations. It cannot be fast, quick or without patience and it might not be applicable during acute crises </w:t>
      </w:r>
      <w:r w:rsidRPr="00144238">
        <w:rPr>
          <w:rFonts w:asciiTheme="majorBidi" w:hAnsiTheme="majorBidi" w:cstheme="majorBidi"/>
        </w:rPr>
        <w:lastRenderedPageBreak/>
        <w:t>when people must comply at once. It may also frustrate employees in case developmental conversations are not backed by actual growth opportunities (Colgate, 2025)</w:t>
      </w:r>
      <w:r>
        <w:rPr>
          <w:rFonts w:asciiTheme="majorBidi" w:hAnsiTheme="majorBidi" w:cstheme="majorBidi"/>
        </w:rPr>
        <w:t>.</w:t>
      </w:r>
    </w:p>
    <w:p w14:paraId="4984D5A3" w14:textId="1E8442D1" w:rsidR="00AA4E61"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Adobe gives a real-life example. Adobe in its Form 10-K filed in the last fiscal year ending in 2025, claims that it embraces talent sharing, career development, and agility and that managers and employees have frequent year-round dialogue regarding contribution and career. Such practices signify the logic of coaching leadership since the development is considered a continuous managerial task. With a knowledge-intensive business, such a strategy aids in growth by enhancing retention, internal mobility as well as preparation to new roles (Adobe Inc., 2026).</w:t>
      </w:r>
    </w:p>
    <w:p w14:paraId="0804A4C3" w14:textId="77777777" w:rsidR="00AA4E61" w:rsidRPr="00144238" w:rsidRDefault="00000000" w:rsidP="00144238">
      <w:pPr>
        <w:pStyle w:val="Heading1"/>
      </w:pPr>
      <w:bookmarkStart w:id="4" w:name="_Toc225364412"/>
      <w:r w:rsidRPr="00144238">
        <w:t>Democratic leadership</w:t>
      </w:r>
      <w:bookmarkEnd w:id="4"/>
    </w:p>
    <w:p w14:paraId="3A551F4C" w14:textId="1B992D73"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Democratic leadership also referred to as participative leadership is defined as one that consults the employees, inspires voice, and engages team members in the decision-making process. The business value of it is that it realizes that useful knowledge is usually distributed throughout the organization as opposed to being at the top. This is significant since frontline insight is often needed in terms of innovation and operational enhancement. Empirical studies indicate that participative leadership has a beneficial effect on speaking-up behavior and sharing of knowledge, which are critical in learning and continuous improvement (</w:t>
      </w:r>
      <w:proofErr w:type="spellStart"/>
      <w:r w:rsidRPr="00144238">
        <w:rPr>
          <w:rFonts w:asciiTheme="majorBidi" w:hAnsiTheme="majorBidi" w:cstheme="majorBidi"/>
        </w:rPr>
        <w:t>Toufighi</w:t>
      </w:r>
      <w:proofErr w:type="spellEnd"/>
      <w:r w:rsidRPr="00144238">
        <w:rPr>
          <w:rFonts w:asciiTheme="majorBidi" w:hAnsiTheme="majorBidi" w:cstheme="majorBidi"/>
        </w:rPr>
        <w:t xml:space="preserve"> et al., 2024)</w:t>
      </w:r>
      <w:r>
        <w:rPr>
          <w:rFonts w:asciiTheme="majorBidi" w:hAnsiTheme="majorBidi" w:cstheme="majorBidi"/>
        </w:rPr>
        <w:t>.</w:t>
      </w:r>
    </w:p>
    <w:p w14:paraId="6E9E828B" w14:textId="3FA500F8" w:rsidR="00144238"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The advantages of this style are enormous. It has the ability of enhancing commitment as employees will tend to support decisions that they assisted in making. It is also able to reinforce psychological safety and surface risks prior to them growing into bigger failures. Nevertheless, democratic leadership is not always efficient. The consultation process is time-consuming, not everyone can always agree, and over-involvement may make the action slow and accountability blurred. The style is best applied in most instances where the problem is well served by general expertise and when leaders are not confused by the fact that participation is a source of information and not a source of decision (Fatoki, 2024)</w:t>
      </w:r>
      <w:r>
        <w:rPr>
          <w:rFonts w:asciiTheme="majorBidi" w:hAnsiTheme="majorBidi" w:cstheme="majorBidi"/>
        </w:rPr>
        <w:t>.</w:t>
      </w:r>
    </w:p>
    <w:p w14:paraId="3BFBAAF4" w14:textId="64E5DAD4" w:rsidR="00AA4E61"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A good example is Accenture. The 2024 corporate citizenship report of this company states that the Sustainability Innovation Challenge included close to 2,000 staff members and resulted in close to 370 </w:t>
      </w:r>
      <w:r w:rsidRPr="00144238">
        <w:rPr>
          <w:rFonts w:asciiTheme="majorBidi" w:hAnsiTheme="majorBidi" w:cstheme="majorBidi"/>
        </w:rPr>
        <w:lastRenderedPageBreak/>
        <w:t>concepts. This is significant in that it demonstrates the capacity of how structured participation can transform employee voice to innovation. The organization did not view problem solving as highly executive but provided the employees with room to submit ideas that were associated with broader strategic and social objectives. This method is particularly useful in knowledge intensive large companies in which executives require access to diffusive intelligence</w:t>
      </w:r>
      <w:r>
        <w:rPr>
          <w:rFonts w:asciiTheme="majorBidi" w:hAnsiTheme="majorBidi" w:cstheme="majorBidi"/>
        </w:rPr>
        <w:t xml:space="preserve"> </w:t>
      </w:r>
      <w:r w:rsidRPr="00144238">
        <w:rPr>
          <w:rFonts w:asciiTheme="majorBidi" w:hAnsiTheme="majorBidi" w:cstheme="majorBidi"/>
        </w:rPr>
        <w:t xml:space="preserve">(Accenture, 2024). </w:t>
      </w:r>
    </w:p>
    <w:p w14:paraId="40DA1FE4" w14:textId="77777777" w:rsidR="00AA4E61" w:rsidRPr="00144238" w:rsidRDefault="00000000" w:rsidP="00144238">
      <w:pPr>
        <w:pStyle w:val="Heading1"/>
      </w:pPr>
      <w:bookmarkStart w:id="5" w:name="_Toc225364413"/>
      <w:r w:rsidRPr="00144238">
        <w:t>Essential skills for leaders today</w:t>
      </w:r>
      <w:bookmarkEnd w:id="5"/>
    </w:p>
    <w:p w14:paraId="24E04126" w14:textId="77777777" w:rsidR="00F03DD1" w:rsidRPr="00F03DD1" w:rsidRDefault="00F03DD1" w:rsidP="00F03DD1">
      <w:pPr>
        <w:pStyle w:val="BodyEssay"/>
        <w:spacing w:line="480" w:lineRule="auto"/>
        <w:rPr>
          <w:rFonts w:asciiTheme="majorBidi" w:hAnsiTheme="majorBidi" w:cstheme="majorBidi"/>
        </w:rPr>
      </w:pPr>
      <w:r w:rsidRPr="00F03DD1">
        <w:rPr>
          <w:rFonts w:asciiTheme="majorBidi" w:hAnsiTheme="majorBidi" w:cstheme="majorBidi"/>
        </w:rPr>
        <w:t>Leadership styles depend on how well the leader employs them, and one of the skills involved in this exercise is emotional intelligence. It allows the leaders to perceive social signals, monitor their feelings, and positively control relationships. Emotional intelligence also helps leaders to offer feedback in a non-demeaning way, to negotiate conflict in participative environments, and to keep employees motivated in times of uncertainty. In its absence, even the selection of the leadership style will look non-consistent or disingenuous (Coronado-Maldonado and Benitez-Márquez, 2023).</w:t>
      </w:r>
    </w:p>
    <w:p w14:paraId="4A30250C" w14:textId="77777777" w:rsidR="00F03DD1" w:rsidRPr="00F03DD1" w:rsidRDefault="00F03DD1" w:rsidP="00F03DD1">
      <w:pPr>
        <w:pStyle w:val="BodyEssay"/>
        <w:spacing w:line="480" w:lineRule="auto"/>
        <w:rPr>
          <w:rFonts w:asciiTheme="majorBidi" w:hAnsiTheme="majorBidi" w:cstheme="majorBidi"/>
        </w:rPr>
      </w:pPr>
    </w:p>
    <w:p w14:paraId="028D6CAD" w14:textId="57FFB8C1" w:rsidR="00F03DD1" w:rsidRPr="00F03DD1" w:rsidRDefault="00F03DD1" w:rsidP="00F03DD1">
      <w:pPr>
        <w:pStyle w:val="BodyEssay"/>
        <w:spacing w:line="480" w:lineRule="auto"/>
        <w:rPr>
          <w:rFonts w:asciiTheme="majorBidi" w:hAnsiTheme="majorBidi" w:cstheme="majorBidi"/>
        </w:rPr>
      </w:pPr>
      <w:r w:rsidRPr="00F03DD1">
        <w:rPr>
          <w:rFonts w:asciiTheme="majorBidi" w:hAnsiTheme="majorBidi" w:cstheme="majorBidi"/>
        </w:rPr>
        <w:t>Digital fluency coupled with strategic judgment is another important skill. The leaders may not be the people who master all the technologies, but they should possess sufficient knowledge in posing appropriate questions, risk assessment, and aligning technological changes with the overall business objectives. Studies on the digital transformation leadership state that successful leaders must have a combination of technical, business, and people-focused skills as current growth issues frequently require data and platforms, automation, cybersecurity, and AI-facilitated change (Muller et al., 2024).</w:t>
      </w:r>
    </w:p>
    <w:p w14:paraId="507C8FF0" w14:textId="14D42545" w:rsidR="00AA4E61" w:rsidRPr="00144238" w:rsidRDefault="00F03DD1" w:rsidP="00F03DD1">
      <w:pPr>
        <w:pStyle w:val="BodyEssay"/>
        <w:spacing w:line="480" w:lineRule="auto"/>
        <w:rPr>
          <w:rFonts w:asciiTheme="majorBidi" w:hAnsiTheme="majorBidi" w:cstheme="majorBidi"/>
        </w:rPr>
      </w:pPr>
      <w:r w:rsidRPr="00F03DD1">
        <w:rPr>
          <w:rFonts w:asciiTheme="majorBidi" w:hAnsiTheme="majorBidi" w:cstheme="majorBidi"/>
        </w:rPr>
        <w:t>Flexibility, which is facilitated by communication, ethics, and systems thinking, is also crucial. Leaders should have the skill to adapt their style to new circumstances and so convey trade-offs openly. Being able to judge when to be visionary, when to coach, and when to promote wider engagement will help leaders promote more robust and sustainable growth as opposed to just taking short-term profits (Liden et al., 2025).</w:t>
      </w:r>
    </w:p>
    <w:p w14:paraId="55AAC620" w14:textId="77777777" w:rsidR="00AA4E61" w:rsidRPr="00144238" w:rsidRDefault="00000000" w:rsidP="00144238">
      <w:pPr>
        <w:pStyle w:val="Heading1"/>
      </w:pPr>
      <w:bookmarkStart w:id="6" w:name="_Toc225364414"/>
      <w:r w:rsidRPr="00144238">
        <w:lastRenderedPageBreak/>
        <w:t>Conclusion</w:t>
      </w:r>
      <w:bookmarkEnd w:id="6"/>
    </w:p>
    <w:p w14:paraId="137F8E99" w14:textId="41EBB166" w:rsidR="00AA4E61" w:rsidRPr="00144238" w:rsidRDefault="00144238" w:rsidP="00144238">
      <w:pPr>
        <w:pStyle w:val="BodyEssay"/>
        <w:spacing w:line="480" w:lineRule="auto"/>
        <w:rPr>
          <w:rFonts w:asciiTheme="majorBidi" w:hAnsiTheme="majorBidi" w:cstheme="majorBidi"/>
        </w:rPr>
      </w:pPr>
      <w:r w:rsidRPr="00144238">
        <w:rPr>
          <w:rFonts w:asciiTheme="majorBidi" w:hAnsiTheme="majorBidi" w:cstheme="majorBidi"/>
        </w:rPr>
        <w:t xml:space="preserve">As demonstrated in this essay, visionary, coaching, and democratic styles of leadership are all important in business, although none is always applicable. Visionary leadership is the best where organizations require guidance and </w:t>
      </w:r>
      <w:proofErr w:type="spellStart"/>
      <w:r w:rsidRPr="00144238">
        <w:rPr>
          <w:rFonts w:asciiTheme="majorBidi" w:hAnsiTheme="majorBidi" w:cstheme="majorBidi"/>
        </w:rPr>
        <w:t>revitalisation</w:t>
      </w:r>
      <w:proofErr w:type="spellEnd"/>
      <w:r w:rsidRPr="00144238">
        <w:rPr>
          <w:rFonts w:asciiTheme="majorBidi" w:hAnsiTheme="majorBidi" w:cstheme="majorBidi"/>
        </w:rPr>
        <w:t>. Coaching leadership comes in handy particularly when companies need to develop capability as well as retain talents. Democratic leadership is effective when business requires employee voice, sharing of knowledge and collective ownership of innovation. The lesson to be learned in practice is that the business leaders need to diagnose the challenge prior to the selection of the style. The modern-day organization must then produce leaders who are able to communicate purpose, strategically grow people and engage employees in meaningful decision making. These skills will probably support organizational growth and development with the assistance of emotional intelligence, digital fluency, adaptability, and ethical judgement.</w:t>
      </w:r>
    </w:p>
    <w:p w14:paraId="1F8E3650" w14:textId="3F8A3273" w:rsidR="00AA4E61" w:rsidRPr="00144238" w:rsidRDefault="00000000" w:rsidP="00144238">
      <w:pPr>
        <w:pStyle w:val="Heading1"/>
      </w:pPr>
      <w:bookmarkStart w:id="7" w:name="_Toc225364415"/>
      <w:r w:rsidRPr="00144238">
        <w:t>References</w:t>
      </w:r>
      <w:bookmarkEnd w:id="7"/>
    </w:p>
    <w:p w14:paraId="2DC64D6A" w14:textId="16D957C5"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Accenture. (2024). Corporate citizenship. </w:t>
      </w:r>
      <w:hyperlink r:id="rId9" w:history="1">
        <w:r w:rsidR="00F03DD1" w:rsidRPr="0081485F">
          <w:rPr>
            <w:rStyle w:val="Hyperlink"/>
            <w:rFonts w:asciiTheme="majorBidi" w:hAnsiTheme="majorBidi" w:cstheme="majorBidi"/>
            <w:sz w:val="24"/>
            <w:szCs w:val="24"/>
          </w:rPr>
          <w:t>https://www.accenture.com/us-en/about/corporate-citizenship</w:t>
        </w:r>
      </w:hyperlink>
      <w:r w:rsidR="00F03DD1">
        <w:rPr>
          <w:rFonts w:asciiTheme="majorBidi" w:hAnsiTheme="majorBidi" w:cstheme="majorBidi"/>
          <w:sz w:val="24"/>
          <w:szCs w:val="24"/>
        </w:rPr>
        <w:t xml:space="preserve"> </w:t>
      </w:r>
    </w:p>
    <w:p w14:paraId="2B94B7BF" w14:textId="4DC08823"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Adobe Inc. (2026). Form 10-K for the fiscal year ended November 28, 2025. </w:t>
      </w:r>
      <w:hyperlink r:id="rId10" w:history="1">
        <w:r w:rsidR="00F03DD1" w:rsidRPr="0081485F">
          <w:rPr>
            <w:rStyle w:val="Hyperlink"/>
            <w:rFonts w:asciiTheme="majorBidi" w:hAnsiTheme="majorBidi" w:cstheme="majorBidi"/>
            <w:sz w:val="24"/>
            <w:szCs w:val="24"/>
          </w:rPr>
          <w:t>https://www.adobe.com/cc-shared/assets/investor-relations/pdfs/adbe-10k-fy25-final.pdf</w:t>
        </w:r>
      </w:hyperlink>
      <w:r w:rsidR="00F03DD1">
        <w:rPr>
          <w:rFonts w:asciiTheme="majorBidi" w:hAnsiTheme="majorBidi" w:cstheme="majorBidi"/>
          <w:sz w:val="24"/>
          <w:szCs w:val="24"/>
        </w:rPr>
        <w:t xml:space="preserve"> </w:t>
      </w:r>
    </w:p>
    <w:p w14:paraId="0359E4DF" w14:textId="11F874CF"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Colgate, M. (2025). The importance and application of a coaching leadership style in businesses. Businesses, 5(3), 32. </w:t>
      </w:r>
      <w:hyperlink r:id="rId11" w:history="1">
        <w:r w:rsidR="00F03DD1" w:rsidRPr="0081485F">
          <w:rPr>
            <w:rStyle w:val="Hyperlink"/>
            <w:rFonts w:asciiTheme="majorBidi" w:hAnsiTheme="majorBidi" w:cstheme="majorBidi"/>
            <w:sz w:val="24"/>
            <w:szCs w:val="24"/>
          </w:rPr>
          <w:t>https://doi.org/10.3390/businesses5030032</w:t>
        </w:r>
      </w:hyperlink>
      <w:r w:rsidR="00F03DD1">
        <w:rPr>
          <w:rFonts w:asciiTheme="majorBidi" w:hAnsiTheme="majorBidi" w:cstheme="majorBidi"/>
          <w:sz w:val="24"/>
          <w:szCs w:val="24"/>
        </w:rPr>
        <w:t xml:space="preserve"> </w:t>
      </w:r>
    </w:p>
    <w:p w14:paraId="2AADE141" w14:textId="2BC1F90C" w:rsidR="00AA4E61" w:rsidRPr="00144238" w:rsidRDefault="00000000" w:rsidP="00144238">
      <w:pPr>
        <w:pStyle w:val="ReferenceEntry"/>
        <w:spacing w:line="480" w:lineRule="auto"/>
        <w:rPr>
          <w:rFonts w:asciiTheme="majorBidi" w:hAnsiTheme="majorBidi" w:cstheme="majorBidi"/>
          <w:sz w:val="24"/>
          <w:szCs w:val="24"/>
          <w:lang w:val="de-DE"/>
        </w:rPr>
      </w:pPr>
      <w:r w:rsidRPr="00144238">
        <w:rPr>
          <w:rFonts w:asciiTheme="majorBidi" w:hAnsiTheme="majorBidi" w:cstheme="majorBidi"/>
          <w:sz w:val="24"/>
          <w:szCs w:val="24"/>
        </w:rPr>
        <w:t xml:space="preserve">Coronado-Maldonado, I., &amp; Benítez-Márquez, M.-D. (2023). Emotional intelligence, leadership, and work teams: A hybrid literature review. </w:t>
      </w:r>
      <w:r w:rsidRPr="00144238">
        <w:rPr>
          <w:rFonts w:asciiTheme="majorBidi" w:hAnsiTheme="majorBidi" w:cstheme="majorBidi"/>
          <w:sz w:val="24"/>
          <w:szCs w:val="24"/>
          <w:lang w:val="de-DE"/>
        </w:rPr>
        <w:t xml:space="preserve">Heliyon, 9(10), e20356. </w:t>
      </w:r>
      <w:hyperlink r:id="rId12" w:history="1">
        <w:r w:rsidR="00F03DD1" w:rsidRPr="0081485F">
          <w:rPr>
            <w:rStyle w:val="Hyperlink"/>
            <w:rFonts w:asciiTheme="majorBidi" w:hAnsiTheme="majorBidi" w:cstheme="majorBidi"/>
            <w:sz w:val="24"/>
            <w:szCs w:val="24"/>
            <w:lang w:val="de-DE"/>
          </w:rPr>
          <w:t>https://doi.org/10.1016/j.heliyon.2023.e20356</w:t>
        </w:r>
      </w:hyperlink>
      <w:r w:rsidR="00F03DD1">
        <w:rPr>
          <w:rFonts w:asciiTheme="majorBidi" w:hAnsiTheme="majorBidi" w:cstheme="majorBidi"/>
          <w:sz w:val="24"/>
          <w:szCs w:val="24"/>
          <w:lang w:val="de-DE"/>
        </w:rPr>
        <w:t xml:space="preserve"> </w:t>
      </w:r>
    </w:p>
    <w:p w14:paraId="6BA754D3" w14:textId="6EE31D5F"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lang w:val="de-DE"/>
        </w:rPr>
        <w:t xml:space="preserve">Fatoki, O. (2024). </w:t>
      </w:r>
      <w:r w:rsidRPr="00144238">
        <w:rPr>
          <w:rFonts w:asciiTheme="majorBidi" w:hAnsiTheme="majorBidi" w:cstheme="majorBidi"/>
          <w:sz w:val="24"/>
          <w:szCs w:val="24"/>
        </w:rPr>
        <w:t xml:space="preserve">Inclusive leadership and employee voice behaviour: Serial mediating effects of psychological safety and affective commitment. Administrative Sciences, 14(9), 199. </w:t>
      </w:r>
      <w:hyperlink r:id="rId13" w:history="1">
        <w:r w:rsidR="00F03DD1" w:rsidRPr="0081485F">
          <w:rPr>
            <w:rStyle w:val="Hyperlink"/>
            <w:rFonts w:asciiTheme="majorBidi" w:hAnsiTheme="majorBidi" w:cstheme="majorBidi"/>
            <w:sz w:val="24"/>
            <w:szCs w:val="24"/>
          </w:rPr>
          <w:t>https://doi.org/10.3390/admsci14090199</w:t>
        </w:r>
      </w:hyperlink>
      <w:r w:rsidR="00F03DD1">
        <w:rPr>
          <w:rFonts w:asciiTheme="majorBidi" w:hAnsiTheme="majorBidi" w:cstheme="majorBidi"/>
          <w:sz w:val="24"/>
          <w:szCs w:val="24"/>
        </w:rPr>
        <w:t xml:space="preserve"> </w:t>
      </w:r>
    </w:p>
    <w:p w14:paraId="0D6E172B" w14:textId="771EC942"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lastRenderedPageBreak/>
        <w:t xml:space="preserve">Farhan, B. Y. (2024). Visionary leadership and innovative mindset for sustainable business development: Case studies and practical applications. Research in Globalization, 8, 100219. </w:t>
      </w:r>
      <w:hyperlink r:id="rId14" w:history="1">
        <w:r w:rsidR="00F03DD1" w:rsidRPr="0081485F">
          <w:rPr>
            <w:rStyle w:val="Hyperlink"/>
            <w:rFonts w:asciiTheme="majorBidi" w:hAnsiTheme="majorBidi" w:cstheme="majorBidi"/>
            <w:sz w:val="24"/>
            <w:szCs w:val="24"/>
          </w:rPr>
          <w:t>https://doi.org/10.1016/j.resglo.2024.100219</w:t>
        </w:r>
      </w:hyperlink>
      <w:r w:rsidR="00F03DD1">
        <w:rPr>
          <w:rFonts w:asciiTheme="majorBidi" w:hAnsiTheme="majorBidi" w:cstheme="majorBidi"/>
          <w:sz w:val="24"/>
          <w:szCs w:val="24"/>
        </w:rPr>
        <w:t xml:space="preserve"> </w:t>
      </w:r>
    </w:p>
    <w:p w14:paraId="537B917B" w14:textId="77777777"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Goleman, D. (2000). Leadership that gets results. Harvard Business Review, 78(2), 78-90.</w:t>
      </w:r>
    </w:p>
    <w:p w14:paraId="4688F2C0" w14:textId="73E8B8BC" w:rsidR="00AA4E61" w:rsidRPr="00144238" w:rsidRDefault="00000000" w:rsidP="00144238">
      <w:pPr>
        <w:pStyle w:val="ReferenceEntry"/>
        <w:spacing w:line="480" w:lineRule="auto"/>
        <w:rPr>
          <w:rFonts w:asciiTheme="majorBidi" w:hAnsiTheme="majorBidi" w:cstheme="majorBidi"/>
          <w:sz w:val="24"/>
          <w:szCs w:val="24"/>
          <w:lang w:val="de-DE"/>
        </w:rPr>
      </w:pPr>
      <w:r w:rsidRPr="00144238">
        <w:rPr>
          <w:rFonts w:asciiTheme="majorBidi" w:hAnsiTheme="majorBidi" w:cstheme="majorBidi"/>
          <w:sz w:val="24"/>
          <w:szCs w:val="24"/>
          <w:lang w:val="da-DK"/>
        </w:rPr>
        <w:t xml:space="preserve">Hwang, C. Y., Kang, S.-W., &amp; Choi, S. B. (2023). </w:t>
      </w:r>
      <w:r w:rsidRPr="00144238">
        <w:rPr>
          <w:rFonts w:asciiTheme="majorBidi" w:hAnsiTheme="majorBidi" w:cstheme="majorBidi"/>
          <w:sz w:val="24"/>
          <w:szCs w:val="24"/>
        </w:rPr>
        <w:t xml:space="preserve">Coaching leadership and creative performance: A serial mediation model of psychological empowerment and constructive voice behavior. </w:t>
      </w:r>
      <w:r w:rsidRPr="00144238">
        <w:rPr>
          <w:rFonts w:asciiTheme="majorBidi" w:hAnsiTheme="majorBidi" w:cstheme="majorBidi"/>
          <w:sz w:val="24"/>
          <w:szCs w:val="24"/>
          <w:lang w:val="de-DE"/>
        </w:rPr>
        <w:t xml:space="preserve">Frontiers in Psychology, 14, 1077594. </w:t>
      </w:r>
      <w:hyperlink r:id="rId15" w:history="1">
        <w:r w:rsidR="00F03DD1" w:rsidRPr="0081485F">
          <w:rPr>
            <w:rStyle w:val="Hyperlink"/>
            <w:rFonts w:asciiTheme="majorBidi" w:hAnsiTheme="majorBidi" w:cstheme="majorBidi"/>
            <w:sz w:val="24"/>
            <w:szCs w:val="24"/>
            <w:lang w:val="de-DE"/>
          </w:rPr>
          <w:t>https://doi.org/10.3389/fpsyg.2023.1077594</w:t>
        </w:r>
      </w:hyperlink>
      <w:r w:rsidR="00F03DD1">
        <w:rPr>
          <w:rFonts w:asciiTheme="majorBidi" w:hAnsiTheme="majorBidi" w:cstheme="majorBidi"/>
          <w:sz w:val="24"/>
          <w:szCs w:val="24"/>
          <w:lang w:val="de-DE"/>
        </w:rPr>
        <w:t xml:space="preserve"> </w:t>
      </w:r>
    </w:p>
    <w:p w14:paraId="0ED58C24" w14:textId="30B0B485"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lang w:val="de-DE"/>
        </w:rPr>
        <w:t xml:space="preserve">Liden, R. C., Wang, X., &amp; Wang, Y. (2025). </w:t>
      </w:r>
      <w:r w:rsidRPr="00144238">
        <w:rPr>
          <w:rFonts w:asciiTheme="majorBidi" w:hAnsiTheme="majorBidi" w:cstheme="majorBidi"/>
          <w:sz w:val="24"/>
          <w:szCs w:val="24"/>
        </w:rPr>
        <w:t xml:space="preserve">The evolution of leadership: Past insights, present trends, and future directions. Journal of Business Research, 186, 115036. </w:t>
      </w:r>
      <w:hyperlink r:id="rId16" w:history="1">
        <w:r w:rsidR="00F03DD1" w:rsidRPr="0081485F">
          <w:rPr>
            <w:rStyle w:val="Hyperlink"/>
            <w:rFonts w:asciiTheme="majorBidi" w:hAnsiTheme="majorBidi" w:cstheme="majorBidi"/>
            <w:sz w:val="24"/>
            <w:szCs w:val="24"/>
          </w:rPr>
          <w:t>https://doi.org/10.1016/j.jbusres.2024.115036</w:t>
        </w:r>
      </w:hyperlink>
      <w:r w:rsidR="00F03DD1">
        <w:rPr>
          <w:rFonts w:asciiTheme="majorBidi" w:hAnsiTheme="majorBidi" w:cstheme="majorBidi"/>
          <w:sz w:val="24"/>
          <w:szCs w:val="24"/>
        </w:rPr>
        <w:t xml:space="preserve"> </w:t>
      </w:r>
    </w:p>
    <w:p w14:paraId="316DF322" w14:textId="4C235B52"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Microsoft. (2024). Annual Report 2024. </w:t>
      </w:r>
      <w:hyperlink r:id="rId17" w:history="1">
        <w:r w:rsidR="00F03DD1" w:rsidRPr="0081485F">
          <w:rPr>
            <w:rStyle w:val="Hyperlink"/>
            <w:rFonts w:asciiTheme="majorBidi" w:hAnsiTheme="majorBidi" w:cstheme="majorBidi"/>
            <w:sz w:val="24"/>
            <w:szCs w:val="24"/>
          </w:rPr>
          <w:t>https://www.microsoft.com/investor/reports/ar24/index.html</w:t>
        </w:r>
      </w:hyperlink>
      <w:r w:rsidR="00F03DD1">
        <w:rPr>
          <w:rFonts w:asciiTheme="majorBidi" w:hAnsiTheme="majorBidi" w:cstheme="majorBidi"/>
          <w:sz w:val="24"/>
          <w:szCs w:val="24"/>
        </w:rPr>
        <w:t xml:space="preserve"> </w:t>
      </w:r>
    </w:p>
    <w:p w14:paraId="62151FB7" w14:textId="2D57376F"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lang w:val="de-DE"/>
        </w:rPr>
        <w:t xml:space="preserve">Müller, S. D., Konzag, H., Nielsen, J. A., &amp; Sandholt, H. B. (2024). </w:t>
      </w:r>
      <w:r w:rsidRPr="00144238">
        <w:rPr>
          <w:rFonts w:asciiTheme="majorBidi" w:hAnsiTheme="majorBidi" w:cstheme="majorBidi"/>
          <w:sz w:val="24"/>
          <w:szCs w:val="24"/>
        </w:rPr>
        <w:t xml:space="preserve">Digital transformation leadership competencies: A contingency approach. International Journal of Information Management, 75, 102734. </w:t>
      </w:r>
      <w:hyperlink r:id="rId18" w:history="1">
        <w:r w:rsidR="00F03DD1" w:rsidRPr="0081485F">
          <w:rPr>
            <w:rStyle w:val="Hyperlink"/>
            <w:rFonts w:asciiTheme="majorBidi" w:hAnsiTheme="majorBidi" w:cstheme="majorBidi"/>
            <w:sz w:val="24"/>
            <w:szCs w:val="24"/>
          </w:rPr>
          <w:t>https://doi.org/10.1016/j.ijinfomgt.2023.102734</w:t>
        </w:r>
      </w:hyperlink>
      <w:r w:rsidR="00F03DD1">
        <w:rPr>
          <w:rFonts w:asciiTheme="majorBidi" w:hAnsiTheme="majorBidi" w:cstheme="majorBidi"/>
          <w:sz w:val="24"/>
          <w:szCs w:val="24"/>
        </w:rPr>
        <w:t xml:space="preserve"> </w:t>
      </w:r>
    </w:p>
    <w:p w14:paraId="5F6E8A71" w14:textId="552A6B88"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Toufighi, S. P., Ghasemian Sahebi, I., Govindan, K., Lin, M. Z. N., Vang, J., &amp; Brambini, A. (2024). Participative leadership, cultural factors, and speaking-up behaviour: An examination of intra-organisational knowledge sharing. Journal of Innovation &amp; Knowledge, 9(3), 100548. </w:t>
      </w:r>
      <w:hyperlink r:id="rId19" w:history="1">
        <w:r w:rsidR="00F03DD1" w:rsidRPr="0081485F">
          <w:rPr>
            <w:rStyle w:val="Hyperlink"/>
            <w:rFonts w:asciiTheme="majorBidi" w:hAnsiTheme="majorBidi" w:cstheme="majorBidi"/>
            <w:sz w:val="24"/>
            <w:szCs w:val="24"/>
          </w:rPr>
          <w:t>https://doi.org/10.1016/j.jik.2024.100548</w:t>
        </w:r>
      </w:hyperlink>
      <w:r w:rsidR="00F03DD1">
        <w:rPr>
          <w:rFonts w:asciiTheme="majorBidi" w:hAnsiTheme="majorBidi" w:cstheme="majorBidi"/>
          <w:sz w:val="24"/>
          <w:szCs w:val="24"/>
        </w:rPr>
        <w:t xml:space="preserve"> </w:t>
      </w:r>
    </w:p>
    <w:p w14:paraId="2EC1FE86" w14:textId="66329A0C" w:rsidR="00AA4E61" w:rsidRPr="00144238" w:rsidRDefault="00000000" w:rsidP="00144238">
      <w:pPr>
        <w:pStyle w:val="ReferenceEntry"/>
        <w:spacing w:line="480" w:lineRule="auto"/>
        <w:rPr>
          <w:rFonts w:asciiTheme="majorBidi" w:hAnsiTheme="majorBidi" w:cstheme="majorBidi"/>
          <w:sz w:val="24"/>
          <w:szCs w:val="24"/>
        </w:rPr>
      </w:pPr>
      <w:r w:rsidRPr="00144238">
        <w:rPr>
          <w:rFonts w:asciiTheme="majorBidi" w:hAnsiTheme="majorBidi" w:cstheme="majorBidi"/>
          <w:sz w:val="24"/>
          <w:szCs w:val="24"/>
        </w:rPr>
        <w:t xml:space="preserve">Wang, L., Jin, X., &amp; Yoo, J. J. (2024). The process of visionary leadership increases innovative performance among IT industry 4.0 for SMEs for organizational sustainability: Testing the </w:t>
      </w:r>
      <w:r w:rsidRPr="00144238">
        <w:rPr>
          <w:rFonts w:asciiTheme="majorBidi" w:hAnsiTheme="majorBidi" w:cstheme="majorBidi"/>
          <w:sz w:val="24"/>
          <w:szCs w:val="24"/>
        </w:rPr>
        <w:lastRenderedPageBreak/>
        <w:t>moderated mediation model. Sustainability, 16(19), 8690</w:t>
      </w:r>
      <w:r w:rsidR="00F03DD1">
        <w:rPr>
          <w:rFonts w:asciiTheme="majorBidi" w:hAnsiTheme="majorBidi" w:cstheme="majorBidi"/>
          <w:sz w:val="24"/>
          <w:szCs w:val="24"/>
        </w:rPr>
        <w:t xml:space="preserve"> </w:t>
      </w:r>
      <w:hyperlink r:id="rId20" w:history="1">
        <w:r w:rsidR="00F03DD1" w:rsidRPr="0081485F">
          <w:rPr>
            <w:rStyle w:val="Hyperlink"/>
            <w:rFonts w:asciiTheme="majorBidi" w:hAnsiTheme="majorBidi" w:cstheme="majorBidi"/>
            <w:sz w:val="24"/>
            <w:szCs w:val="24"/>
          </w:rPr>
          <w:t>https://doi.org/10.3390/su16198690</w:t>
        </w:r>
      </w:hyperlink>
      <w:r w:rsidR="00F03DD1">
        <w:rPr>
          <w:rFonts w:asciiTheme="majorBidi" w:hAnsiTheme="majorBidi" w:cstheme="majorBidi"/>
          <w:sz w:val="24"/>
          <w:szCs w:val="24"/>
        </w:rPr>
        <w:t xml:space="preserve"> </w:t>
      </w:r>
    </w:p>
    <w:p w14:paraId="634E1C9D" w14:textId="3587B7DB" w:rsidR="00AA4E61" w:rsidRPr="00144238" w:rsidRDefault="00000000" w:rsidP="00144238">
      <w:pPr>
        <w:pStyle w:val="ReferenceEntry"/>
        <w:spacing w:line="480" w:lineRule="auto"/>
        <w:rPr>
          <w:rFonts w:asciiTheme="majorBidi" w:hAnsiTheme="majorBidi" w:cstheme="majorBidi"/>
        </w:rPr>
      </w:pPr>
      <w:r w:rsidRPr="00144238">
        <w:rPr>
          <w:rFonts w:asciiTheme="majorBidi" w:hAnsiTheme="majorBidi" w:cstheme="majorBidi"/>
          <w:sz w:val="24"/>
          <w:szCs w:val="24"/>
        </w:rPr>
        <w:t xml:space="preserve">Zuo, L. (2023). Leadership. In N. Hou, J. A. Tan, &amp; G. Valdez Paez (Eds.), Organizational behavior (pp. 183-213). Springer. </w:t>
      </w:r>
      <w:hyperlink r:id="rId21" w:history="1">
        <w:r w:rsidR="00F03DD1" w:rsidRPr="0081485F">
          <w:rPr>
            <w:rStyle w:val="Hyperlink"/>
            <w:rFonts w:asciiTheme="majorBidi" w:hAnsiTheme="majorBidi" w:cstheme="majorBidi"/>
            <w:sz w:val="24"/>
            <w:szCs w:val="24"/>
          </w:rPr>
          <w:t>https://doi.org/10.1007/978-3-031-31356-1_7</w:t>
        </w:r>
      </w:hyperlink>
      <w:r w:rsidR="00F03DD1">
        <w:rPr>
          <w:rFonts w:asciiTheme="majorBidi" w:hAnsiTheme="majorBidi" w:cstheme="majorBidi"/>
          <w:sz w:val="24"/>
          <w:szCs w:val="24"/>
        </w:rPr>
        <w:t xml:space="preserve"> </w:t>
      </w:r>
    </w:p>
    <w:sectPr w:rsidR="00AA4E61" w:rsidRPr="00144238" w:rsidSect="00034616">
      <w:headerReference w:type="default" r:id="rId22"/>
      <w:footerReference w:type="default" r:id="rId23"/>
      <w:headerReference w:type="first" r:id="rId24"/>
      <w:footerReference w:type="first" r:id="rId25"/>
      <w:pgSz w:w="12240" w:h="15840"/>
      <w:pgMar w:top="1247" w:right="1417" w:bottom="124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C30B5" w14:textId="77777777" w:rsidR="00F160D3" w:rsidRDefault="00F160D3">
      <w:pPr>
        <w:spacing w:after="0" w:line="240" w:lineRule="auto"/>
      </w:pPr>
      <w:r>
        <w:separator/>
      </w:r>
    </w:p>
  </w:endnote>
  <w:endnote w:type="continuationSeparator" w:id="0">
    <w:p w14:paraId="2CE7AC61" w14:textId="77777777" w:rsidR="00F160D3" w:rsidRDefault="00F16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8E99" w14:textId="77777777" w:rsidR="00AA4E61" w:rsidRDefault="00000000">
    <w:pPr>
      <w:pStyle w:val="Footer"/>
      <w:jc w:val="center"/>
    </w:pPr>
    <w:r>
      <w:rPr>
        <w:color w:val="666666"/>
        <w:sz w:val="18"/>
      </w:rPr>
      <w:t xml:space="preserve">Page </w:t>
    </w:r>
    <w:r>
      <w:fldChar w:fldCharType="begin"/>
    </w:r>
    <w:r>
      <w:instrText>PAGE</w:instrText>
    </w:r>
    <w:r>
      <w:fldChar w:fldCharType="separate"/>
    </w:r>
    <w:r w:rsidR="00144238">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03E503" w14:textId="77777777" w:rsidR="00AA4E61" w:rsidRDefault="00AA4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D78C9" w14:textId="77777777" w:rsidR="00F160D3" w:rsidRDefault="00F160D3">
      <w:pPr>
        <w:spacing w:after="0" w:line="240" w:lineRule="auto"/>
      </w:pPr>
      <w:r>
        <w:separator/>
      </w:r>
    </w:p>
  </w:footnote>
  <w:footnote w:type="continuationSeparator" w:id="0">
    <w:p w14:paraId="5DE09913" w14:textId="77777777" w:rsidR="00F160D3" w:rsidRDefault="00F160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5CBD5" w14:textId="77777777" w:rsidR="00AA4E61" w:rsidRDefault="00000000">
    <w:pPr>
      <w:pStyle w:val="Header"/>
      <w:jc w:val="right"/>
    </w:pPr>
    <w:r>
      <w:rPr>
        <w:color w:val="666666"/>
        <w:sz w:val="18"/>
      </w:rPr>
      <w:t>LCBB4015 Coursework Essay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2FBAF" w14:textId="77777777" w:rsidR="00AA4E61" w:rsidRDefault="00AA4E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09829508">
    <w:abstractNumId w:val="8"/>
  </w:num>
  <w:num w:numId="2" w16cid:durableId="1690912424">
    <w:abstractNumId w:val="6"/>
  </w:num>
  <w:num w:numId="3" w16cid:durableId="2066248320">
    <w:abstractNumId w:val="5"/>
  </w:num>
  <w:num w:numId="4" w16cid:durableId="627664203">
    <w:abstractNumId w:val="4"/>
  </w:num>
  <w:num w:numId="5" w16cid:durableId="1360661551">
    <w:abstractNumId w:val="7"/>
  </w:num>
  <w:num w:numId="6" w16cid:durableId="224294602">
    <w:abstractNumId w:val="3"/>
  </w:num>
  <w:num w:numId="7" w16cid:durableId="1567033492">
    <w:abstractNumId w:val="2"/>
  </w:num>
  <w:num w:numId="8" w16cid:durableId="1890341407">
    <w:abstractNumId w:val="1"/>
  </w:num>
  <w:num w:numId="9" w16cid:durableId="1386024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44238"/>
    <w:rsid w:val="0015074B"/>
    <w:rsid w:val="0029639D"/>
    <w:rsid w:val="002C2985"/>
    <w:rsid w:val="00326F90"/>
    <w:rsid w:val="00440246"/>
    <w:rsid w:val="005F750A"/>
    <w:rsid w:val="00A310A6"/>
    <w:rsid w:val="00A622B6"/>
    <w:rsid w:val="00AA1D8D"/>
    <w:rsid w:val="00AA4E61"/>
    <w:rsid w:val="00B47730"/>
    <w:rsid w:val="00CB0664"/>
    <w:rsid w:val="00F03DD1"/>
    <w:rsid w:val="00F160D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B278CF"/>
  <w14:defaultImageDpi w14:val="300"/>
  <w15:docId w15:val="{B7595B50-C7FE-48DC-BA7E-F2FEE17DE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eastAsia="Calibri" w:hAnsi="Calibri"/>
    </w:rPr>
  </w:style>
  <w:style w:type="paragraph" w:styleId="Heading1">
    <w:name w:val="heading 1"/>
    <w:basedOn w:val="Normal"/>
    <w:next w:val="Normal"/>
    <w:link w:val="Heading1Char"/>
    <w:uiPriority w:val="9"/>
    <w:qFormat/>
    <w:rsid w:val="00144238"/>
    <w:pPr>
      <w:keepNext/>
      <w:keepLines/>
      <w:spacing w:before="280" w:after="120" w:line="480" w:lineRule="auto"/>
      <w:outlineLvl w:val="0"/>
    </w:pPr>
    <w:rPr>
      <w:rFonts w:asciiTheme="majorBidi" w:eastAsiaTheme="majorEastAsia" w:hAnsiTheme="majorBidi" w:cstheme="majorBidi"/>
      <w:b/>
      <w:bCs/>
      <w:sz w:val="24"/>
      <w:szCs w:val="24"/>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44238"/>
    <w:rPr>
      <w:rFonts w:asciiTheme="majorBidi" w:eastAsiaTheme="majorEastAsia" w:hAnsiTheme="majorBidi" w:cstheme="majorBidi"/>
      <w:b/>
      <w:bCs/>
      <w:sz w:val="24"/>
      <w:szCs w:val="24"/>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BodyEssay">
    <w:name w:val="Body Essay"/>
    <w:basedOn w:val="Normal"/>
    <w:pPr>
      <w:spacing w:after="160"/>
      <w:jc w:val="both"/>
    </w:pPr>
  </w:style>
  <w:style w:type="paragraph" w:customStyle="1" w:styleId="ReferenceEntry">
    <w:name w:val="Reference Entry"/>
    <w:basedOn w:val="Normal"/>
    <w:pPr>
      <w:spacing w:after="60"/>
      <w:ind w:left="425" w:hanging="425"/>
    </w:pPr>
    <w:rPr>
      <w:sz w:val="21"/>
    </w:rPr>
  </w:style>
  <w:style w:type="paragraph" w:customStyle="1" w:styleId="CoverMeta">
    <w:name w:val="Cover Meta"/>
    <w:basedOn w:val="Normal"/>
    <w:pPr>
      <w:spacing w:after="0" w:line="240" w:lineRule="auto"/>
    </w:pPr>
    <w:rPr>
      <w:sz w:val="21"/>
    </w:rPr>
  </w:style>
  <w:style w:type="character" w:styleId="Hyperlink">
    <w:name w:val="Hyperlink"/>
    <w:basedOn w:val="DefaultParagraphFont"/>
    <w:uiPriority w:val="99"/>
    <w:unhideWhenUsed/>
    <w:rsid w:val="00F03DD1"/>
    <w:rPr>
      <w:color w:val="0000FF" w:themeColor="hyperlink"/>
      <w:u w:val="single"/>
    </w:rPr>
  </w:style>
  <w:style w:type="character" w:styleId="UnresolvedMention">
    <w:name w:val="Unresolved Mention"/>
    <w:basedOn w:val="DefaultParagraphFont"/>
    <w:uiPriority w:val="99"/>
    <w:semiHidden/>
    <w:unhideWhenUsed/>
    <w:rsid w:val="00F03DD1"/>
    <w:rPr>
      <w:color w:val="605E5C"/>
      <w:shd w:val="clear" w:color="auto" w:fill="E1DFDD"/>
    </w:rPr>
  </w:style>
  <w:style w:type="character" w:styleId="FollowedHyperlink">
    <w:name w:val="FollowedHyperlink"/>
    <w:basedOn w:val="DefaultParagraphFont"/>
    <w:uiPriority w:val="99"/>
    <w:semiHidden/>
    <w:unhideWhenUsed/>
    <w:rsid w:val="00F03DD1"/>
    <w:rPr>
      <w:color w:val="800080" w:themeColor="followedHyperlink"/>
      <w:u w:val="single"/>
    </w:rPr>
  </w:style>
  <w:style w:type="paragraph" w:styleId="TOC1">
    <w:name w:val="toc 1"/>
    <w:basedOn w:val="Normal"/>
    <w:next w:val="Normal"/>
    <w:autoRedefine/>
    <w:uiPriority w:val="39"/>
    <w:unhideWhenUsed/>
    <w:rsid w:val="00F03D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admsci14090199" TargetMode="External"/><Relationship Id="rId18" Type="http://schemas.openxmlformats.org/officeDocument/2006/relationships/hyperlink" Target="https://doi.org/10.1016/j.ijinfomgt.2023.10273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7/978-3-031-31356-1_7" TargetMode="External"/><Relationship Id="rId7" Type="http://schemas.openxmlformats.org/officeDocument/2006/relationships/endnotes" Target="endnotes.xml"/><Relationship Id="rId12" Type="http://schemas.openxmlformats.org/officeDocument/2006/relationships/hyperlink" Target="https://doi.org/10.1016/j.heliyon.2023.e20356" TargetMode="External"/><Relationship Id="rId17" Type="http://schemas.openxmlformats.org/officeDocument/2006/relationships/hyperlink" Target="https://www.microsoft.com/investor/reports/ar24/index.html"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jbusres.2024.115036" TargetMode="External"/><Relationship Id="rId20" Type="http://schemas.openxmlformats.org/officeDocument/2006/relationships/hyperlink" Target="https://doi.org/10.3390/su1619869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businesses5030032"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10.3389/fpsyg.2023.1077594" TargetMode="External"/><Relationship Id="rId23" Type="http://schemas.openxmlformats.org/officeDocument/2006/relationships/footer" Target="footer1.xml"/><Relationship Id="rId10" Type="http://schemas.openxmlformats.org/officeDocument/2006/relationships/hyperlink" Target="https://www.adobe.com/cc-shared/assets/investor-relations/pdfs/adbe-10k-fy25-final.pdf" TargetMode="External"/><Relationship Id="rId19" Type="http://schemas.openxmlformats.org/officeDocument/2006/relationships/hyperlink" Target="https://doi.org/10.1016/j.jik.2024.100548" TargetMode="External"/><Relationship Id="rId4" Type="http://schemas.openxmlformats.org/officeDocument/2006/relationships/settings" Target="settings.xml"/><Relationship Id="rId9" Type="http://schemas.openxmlformats.org/officeDocument/2006/relationships/hyperlink" Target="https://www.accenture.com/us-en/about/corporate-citizenship" TargetMode="External"/><Relationship Id="rId14" Type="http://schemas.openxmlformats.org/officeDocument/2006/relationships/hyperlink" Target="https://doi.org/10.1016/j.resglo.2024.100219" TargetMode="External"/><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2342</Words>
  <Characters>13353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Humaira mahboob</dc:creator>
  <cp:keywords/>
  <cp:lastModifiedBy>Humaira Mahboob (2406922)</cp:lastModifiedBy>
  <cp:revision>2</cp:revision>
  <dcterms:created xsi:type="dcterms:W3CDTF">2026-03-28T22:29:00Z</dcterms:created>
  <dcterms:modified xsi:type="dcterms:W3CDTF">2026-03-28T22:29:00Z</dcterms:modified>
  <cp:category/>
</cp:coreProperties>
</file>