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99705" w14:textId="15995ECE" w:rsidR="009D0B5B" w:rsidRDefault="00010AF4" w:rsidP="00010AF4">
      <w:pPr>
        <w:jc w:val="center"/>
      </w:pPr>
      <w:r>
        <w:rPr>
          <w:noProof/>
        </w:rPr>
        <w:drawing>
          <wp:inline distT="0" distB="0" distL="0" distR="0" wp14:anchorId="4B4D0784" wp14:editId="16CD764F">
            <wp:extent cx="2778504" cy="970004"/>
            <wp:effectExtent l="0" t="0" r="3175" b="1905"/>
            <wp:docPr id="6465046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l="8742" t="15266" r="9027" b="16035"/>
                    <a:stretch/>
                  </pic:blipFill>
                  <pic:spPr bwMode="auto">
                    <a:xfrm>
                      <a:off x="0" y="0"/>
                      <a:ext cx="2790840" cy="974311"/>
                    </a:xfrm>
                    <a:prstGeom prst="rect">
                      <a:avLst/>
                    </a:prstGeom>
                    <a:noFill/>
                    <a:ln>
                      <a:noFill/>
                    </a:ln>
                    <a:extLst>
                      <a:ext uri="{53640926-AAD7-44D8-BBD7-CCE9431645EC}">
                        <a14:shadowObscured xmlns:a14="http://schemas.microsoft.com/office/drawing/2010/main"/>
                      </a:ext>
                    </a:extLst>
                  </pic:spPr>
                </pic:pic>
              </a:graphicData>
            </a:graphic>
          </wp:inline>
        </w:drawing>
      </w:r>
    </w:p>
    <w:p w14:paraId="5F9367B1" w14:textId="77777777" w:rsidR="009D0B5B" w:rsidRDefault="009D0B5B" w:rsidP="009D0B5B">
      <w:pPr>
        <w:spacing w:before="280"/>
        <w:jc w:val="center"/>
        <w:rPr>
          <w:b/>
          <w:sz w:val="28"/>
        </w:rPr>
      </w:pPr>
      <w:r>
        <w:rPr>
          <w:b/>
          <w:sz w:val="28"/>
        </w:rPr>
        <w:t>MASTER OF BUSINESS ADMINISTRATION</w:t>
      </w:r>
    </w:p>
    <w:p w14:paraId="6583A53A" w14:textId="77777777" w:rsidR="00305232" w:rsidRDefault="00305232" w:rsidP="009D0B5B">
      <w:pPr>
        <w:spacing w:before="280"/>
        <w:jc w:val="center"/>
      </w:pPr>
    </w:p>
    <w:p w14:paraId="5BFB0ABE" w14:textId="57837100" w:rsidR="00305232" w:rsidRPr="0026773F" w:rsidRDefault="00305232" w:rsidP="009D0B5B">
      <w:pPr>
        <w:spacing w:after="440"/>
        <w:jc w:val="center"/>
        <w:rPr>
          <w:b/>
          <w:bCs/>
          <w:iCs/>
          <w:sz w:val="34"/>
          <w:szCs w:val="30"/>
        </w:rPr>
      </w:pPr>
      <w:r w:rsidRPr="0026773F">
        <w:rPr>
          <w:b/>
          <w:bCs/>
          <w:iCs/>
          <w:sz w:val="34"/>
          <w:szCs w:val="30"/>
        </w:rPr>
        <w:t>STARBUCKS CORPORATION’S PROPOSED ENTRY INTO BANGLADESH</w:t>
      </w:r>
    </w:p>
    <w:p w14:paraId="097D9DB3" w14:textId="5C3E4572" w:rsidR="009D0B5B" w:rsidRDefault="009D0B5B" w:rsidP="009D0B5B">
      <w:pPr>
        <w:spacing w:after="440"/>
        <w:jc w:val="center"/>
      </w:pPr>
      <w:r>
        <w:rPr>
          <w:i/>
          <w:sz w:val="26"/>
        </w:rPr>
        <w:t>International Strategy, Market Attractiveness and Entry Mode Recommendation</w:t>
      </w:r>
    </w:p>
    <w:tbl>
      <w:tblPr>
        <w:tblStyle w:val="TableGrid"/>
        <w:tblW w:w="0" w:type="auto"/>
        <w:jc w:val="center"/>
        <w:tblLayout w:type="fixed"/>
        <w:tblLook w:val="04A0" w:firstRow="1" w:lastRow="0" w:firstColumn="1" w:lastColumn="0" w:noHBand="0" w:noVBand="1"/>
      </w:tblPr>
      <w:tblGrid>
        <w:gridCol w:w="2448"/>
        <w:gridCol w:w="6192"/>
      </w:tblGrid>
      <w:tr w:rsidR="009D0B5B" w14:paraId="279F1DB9" w14:textId="77777777" w:rsidTr="004B2B6D">
        <w:trPr>
          <w:jc w:val="center"/>
        </w:trPr>
        <w:tc>
          <w:tcPr>
            <w:tcW w:w="2448" w:type="dxa"/>
            <w:shd w:val="clear" w:color="auto" w:fill="D9E1F2"/>
            <w:tcMar>
              <w:top w:w="90" w:type="dxa"/>
              <w:left w:w="110" w:type="dxa"/>
              <w:bottom w:w="90" w:type="dxa"/>
              <w:right w:w="110" w:type="dxa"/>
            </w:tcMar>
          </w:tcPr>
          <w:p w14:paraId="33178FCE" w14:textId="77777777" w:rsidR="009D0B5B" w:rsidRDefault="009D0B5B" w:rsidP="004B2B6D">
            <w:pPr>
              <w:spacing w:line="276" w:lineRule="auto"/>
              <w:jc w:val="left"/>
            </w:pPr>
            <w:r>
              <w:rPr>
                <w:b/>
                <w:sz w:val="21"/>
              </w:rPr>
              <w:t>Programme</w:t>
            </w:r>
          </w:p>
        </w:tc>
        <w:tc>
          <w:tcPr>
            <w:tcW w:w="6192" w:type="dxa"/>
            <w:tcMar>
              <w:top w:w="90" w:type="dxa"/>
              <w:left w:w="110" w:type="dxa"/>
              <w:bottom w:w="90" w:type="dxa"/>
              <w:right w:w="110" w:type="dxa"/>
            </w:tcMar>
          </w:tcPr>
          <w:p w14:paraId="29F49905" w14:textId="77777777" w:rsidR="009D0B5B" w:rsidRDefault="009D0B5B" w:rsidP="004B2B6D">
            <w:pPr>
              <w:spacing w:line="276" w:lineRule="auto"/>
              <w:jc w:val="left"/>
            </w:pPr>
            <w:r>
              <w:rPr>
                <w:sz w:val="21"/>
              </w:rPr>
              <w:t>Master of Business Administration</w:t>
            </w:r>
          </w:p>
        </w:tc>
      </w:tr>
      <w:tr w:rsidR="009D0B5B" w14:paraId="63D5970E" w14:textId="77777777" w:rsidTr="004B2B6D">
        <w:trPr>
          <w:jc w:val="center"/>
        </w:trPr>
        <w:tc>
          <w:tcPr>
            <w:tcW w:w="2448" w:type="dxa"/>
            <w:shd w:val="clear" w:color="auto" w:fill="D9E1F2"/>
            <w:tcMar>
              <w:top w:w="90" w:type="dxa"/>
              <w:left w:w="110" w:type="dxa"/>
              <w:bottom w:w="90" w:type="dxa"/>
              <w:right w:w="110" w:type="dxa"/>
            </w:tcMar>
          </w:tcPr>
          <w:p w14:paraId="1E4411EF" w14:textId="77777777" w:rsidR="009D0B5B" w:rsidRDefault="009D0B5B" w:rsidP="004B2B6D">
            <w:pPr>
              <w:spacing w:line="276" w:lineRule="auto"/>
              <w:jc w:val="left"/>
            </w:pPr>
            <w:r>
              <w:rPr>
                <w:b/>
                <w:sz w:val="21"/>
              </w:rPr>
              <w:t>Module</w:t>
            </w:r>
          </w:p>
        </w:tc>
        <w:tc>
          <w:tcPr>
            <w:tcW w:w="6192" w:type="dxa"/>
            <w:tcMar>
              <w:top w:w="90" w:type="dxa"/>
              <w:left w:w="110" w:type="dxa"/>
              <w:bottom w:w="90" w:type="dxa"/>
              <w:right w:w="110" w:type="dxa"/>
            </w:tcMar>
          </w:tcPr>
          <w:p w14:paraId="3470BB7E" w14:textId="77777777" w:rsidR="009D0B5B" w:rsidRDefault="009D0B5B" w:rsidP="004B2B6D">
            <w:pPr>
              <w:spacing w:line="276" w:lineRule="auto"/>
              <w:jc w:val="left"/>
            </w:pPr>
            <w:r>
              <w:rPr>
                <w:sz w:val="21"/>
              </w:rPr>
              <w:t>International Business Concepts</w:t>
            </w:r>
          </w:p>
        </w:tc>
      </w:tr>
      <w:tr w:rsidR="009D0B5B" w14:paraId="553D73BE" w14:textId="77777777" w:rsidTr="004B2B6D">
        <w:trPr>
          <w:jc w:val="center"/>
        </w:trPr>
        <w:tc>
          <w:tcPr>
            <w:tcW w:w="2448" w:type="dxa"/>
            <w:shd w:val="clear" w:color="auto" w:fill="D9E1F2"/>
            <w:tcMar>
              <w:top w:w="90" w:type="dxa"/>
              <w:left w:w="110" w:type="dxa"/>
              <w:bottom w:w="90" w:type="dxa"/>
              <w:right w:w="110" w:type="dxa"/>
            </w:tcMar>
          </w:tcPr>
          <w:p w14:paraId="1410DC77" w14:textId="77777777" w:rsidR="009D0B5B" w:rsidRDefault="009D0B5B" w:rsidP="004B2B6D">
            <w:pPr>
              <w:spacing w:line="276" w:lineRule="auto"/>
              <w:jc w:val="left"/>
            </w:pPr>
            <w:r>
              <w:rPr>
                <w:b/>
                <w:sz w:val="21"/>
              </w:rPr>
              <w:t>Module code</w:t>
            </w:r>
          </w:p>
        </w:tc>
        <w:tc>
          <w:tcPr>
            <w:tcW w:w="6192" w:type="dxa"/>
            <w:tcMar>
              <w:top w:w="90" w:type="dxa"/>
              <w:left w:w="110" w:type="dxa"/>
              <w:bottom w:w="90" w:type="dxa"/>
              <w:right w:w="110" w:type="dxa"/>
            </w:tcMar>
          </w:tcPr>
          <w:p w14:paraId="65E675AE" w14:textId="77777777" w:rsidR="009D0B5B" w:rsidRDefault="009D0B5B" w:rsidP="004B2B6D">
            <w:pPr>
              <w:spacing w:line="276" w:lineRule="auto"/>
              <w:jc w:val="left"/>
            </w:pPr>
            <w:r>
              <w:rPr>
                <w:sz w:val="21"/>
              </w:rPr>
              <w:t>LCMB7034</w:t>
            </w:r>
          </w:p>
        </w:tc>
      </w:tr>
      <w:tr w:rsidR="009D0B5B" w14:paraId="49B95944" w14:textId="77777777" w:rsidTr="004B2B6D">
        <w:trPr>
          <w:jc w:val="center"/>
        </w:trPr>
        <w:tc>
          <w:tcPr>
            <w:tcW w:w="2448" w:type="dxa"/>
            <w:shd w:val="clear" w:color="auto" w:fill="D9E1F2"/>
            <w:tcMar>
              <w:top w:w="90" w:type="dxa"/>
              <w:left w:w="110" w:type="dxa"/>
              <w:bottom w:w="90" w:type="dxa"/>
              <w:right w:w="110" w:type="dxa"/>
            </w:tcMar>
          </w:tcPr>
          <w:p w14:paraId="318E3091" w14:textId="77777777" w:rsidR="009D0B5B" w:rsidRDefault="009D0B5B" w:rsidP="004B2B6D">
            <w:pPr>
              <w:spacing w:line="276" w:lineRule="auto"/>
              <w:jc w:val="left"/>
            </w:pPr>
            <w:r>
              <w:rPr>
                <w:b/>
                <w:sz w:val="21"/>
              </w:rPr>
              <w:t>Lecturer</w:t>
            </w:r>
          </w:p>
        </w:tc>
        <w:tc>
          <w:tcPr>
            <w:tcW w:w="6192" w:type="dxa"/>
            <w:tcMar>
              <w:top w:w="90" w:type="dxa"/>
              <w:left w:w="110" w:type="dxa"/>
              <w:bottom w:w="90" w:type="dxa"/>
              <w:right w:w="110" w:type="dxa"/>
            </w:tcMar>
          </w:tcPr>
          <w:p w14:paraId="36E9FDC6" w14:textId="77777777" w:rsidR="009D0B5B" w:rsidRDefault="009D0B5B" w:rsidP="004B2B6D">
            <w:pPr>
              <w:spacing w:line="276" w:lineRule="auto"/>
              <w:jc w:val="left"/>
            </w:pPr>
            <w:r>
              <w:rPr>
                <w:sz w:val="21"/>
              </w:rPr>
              <w:t>Akshay Narayanan / Mansoob Murshed</w:t>
            </w:r>
          </w:p>
        </w:tc>
      </w:tr>
      <w:tr w:rsidR="009D0B5B" w14:paraId="7B276340" w14:textId="77777777" w:rsidTr="004B2B6D">
        <w:trPr>
          <w:jc w:val="center"/>
        </w:trPr>
        <w:tc>
          <w:tcPr>
            <w:tcW w:w="2448" w:type="dxa"/>
            <w:shd w:val="clear" w:color="auto" w:fill="D9E1F2"/>
            <w:tcMar>
              <w:top w:w="90" w:type="dxa"/>
              <w:left w:w="110" w:type="dxa"/>
              <w:bottom w:w="90" w:type="dxa"/>
              <w:right w:w="110" w:type="dxa"/>
            </w:tcMar>
          </w:tcPr>
          <w:p w14:paraId="66A2525A" w14:textId="77777777" w:rsidR="009D0B5B" w:rsidRDefault="009D0B5B" w:rsidP="004B2B6D">
            <w:pPr>
              <w:spacing w:line="276" w:lineRule="auto"/>
              <w:jc w:val="left"/>
            </w:pPr>
            <w:r>
              <w:rPr>
                <w:b/>
                <w:sz w:val="21"/>
              </w:rPr>
              <w:t>Student name</w:t>
            </w:r>
          </w:p>
        </w:tc>
        <w:tc>
          <w:tcPr>
            <w:tcW w:w="6192" w:type="dxa"/>
            <w:tcMar>
              <w:top w:w="90" w:type="dxa"/>
              <w:left w:w="110" w:type="dxa"/>
              <w:bottom w:w="90" w:type="dxa"/>
              <w:right w:w="110" w:type="dxa"/>
            </w:tcMar>
          </w:tcPr>
          <w:p w14:paraId="7C3E3FED" w14:textId="35D322C3" w:rsidR="009D0B5B" w:rsidRDefault="00483415" w:rsidP="004B2B6D">
            <w:pPr>
              <w:spacing w:line="276" w:lineRule="auto"/>
              <w:jc w:val="left"/>
            </w:pPr>
            <w:r>
              <w:rPr>
                <w:sz w:val="21"/>
              </w:rPr>
              <w:t>Wares Sikder Anik</w:t>
            </w:r>
          </w:p>
        </w:tc>
      </w:tr>
      <w:tr w:rsidR="009D0B5B" w14:paraId="034DC6EC" w14:textId="77777777" w:rsidTr="004B2B6D">
        <w:trPr>
          <w:jc w:val="center"/>
        </w:trPr>
        <w:tc>
          <w:tcPr>
            <w:tcW w:w="2448" w:type="dxa"/>
            <w:shd w:val="clear" w:color="auto" w:fill="D9E1F2"/>
            <w:tcMar>
              <w:top w:w="90" w:type="dxa"/>
              <w:left w:w="110" w:type="dxa"/>
              <w:bottom w:w="90" w:type="dxa"/>
              <w:right w:w="110" w:type="dxa"/>
            </w:tcMar>
          </w:tcPr>
          <w:p w14:paraId="31178DB4" w14:textId="77777777" w:rsidR="009D0B5B" w:rsidRDefault="009D0B5B" w:rsidP="004B2B6D">
            <w:pPr>
              <w:spacing w:line="276" w:lineRule="auto"/>
              <w:jc w:val="left"/>
            </w:pPr>
            <w:r>
              <w:rPr>
                <w:b/>
                <w:sz w:val="21"/>
              </w:rPr>
              <w:t>Student ID</w:t>
            </w:r>
          </w:p>
        </w:tc>
        <w:tc>
          <w:tcPr>
            <w:tcW w:w="6192" w:type="dxa"/>
            <w:tcMar>
              <w:top w:w="90" w:type="dxa"/>
              <w:left w:w="110" w:type="dxa"/>
              <w:bottom w:w="90" w:type="dxa"/>
              <w:right w:w="110" w:type="dxa"/>
            </w:tcMar>
          </w:tcPr>
          <w:p w14:paraId="6FA40B2E" w14:textId="53F06493" w:rsidR="009D0B5B" w:rsidRDefault="00483415" w:rsidP="004B2B6D">
            <w:pPr>
              <w:spacing w:line="276" w:lineRule="auto"/>
              <w:jc w:val="left"/>
            </w:pPr>
            <w:r>
              <w:rPr>
                <w:sz w:val="21"/>
              </w:rPr>
              <w:t>2518993</w:t>
            </w:r>
          </w:p>
        </w:tc>
      </w:tr>
      <w:tr w:rsidR="009D0B5B" w14:paraId="164257B5" w14:textId="77777777" w:rsidTr="004B2B6D">
        <w:trPr>
          <w:jc w:val="center"/>
        </w:trPr>
        <w:tc>
          <w:tcPr>
            <w:tcW w:w="2448" w:type="dxa"/>
            <w:shd w:val="clear" w:color="auto" w:fill="D9E1F2"/>
            <w:tcMar>
              <w:top w:w="90" w:type="dxa"/>
              <w:left w:w="110" w:type="dxa"/>
              <w:bottom w:w="90" w:type="dxa"/>
              <w:right w:w="110" w:type="dxa"/>
            </w:tcMar>
          </w:tcPr>
          <w:p w14:paraId="59D4EBBA" w14:textId="77777777" w:rsidR="009D0B5B" w:rsidRDefault="009D0B5B" w:rsidP="004B2B6D">
            <w:pPr>
              <w:spacing w:line="276" w:lineRule="auto"/>
              <w:jc w:val="left"/>
            </w:pPr>
            <w:r>
              <w:rPr>
                <w:b/>
                <w:sz w:val="21"/>
              </w:rPr>
              <w:t>Word count</w:t>
            </w:r>
          </w:p>
        </w:tc>
        <w:tc>
          <w:tcPr>
            <w:tcW w:w="6192" w:type="dxa"/>
            <w:tcMar>
              <w:top w:w="90" w:type="dxa"/>
              <w:left w:w="110" w:type="dxa"/>
              <w:bottom w:w="90" w:type="dxa"/>
              <w:right w:w="110" w:type="dxa"/>
            </w:tcMar>
          </w:tcPr>
          <w:p w14:paraId="58642DEA" w14:textId="4BD2FA1D" w:rsidR="009D0B5B" w:rsidRDefault="00483415" w:rsidP="004B2B6D">
            <w:pPr>
              <w:jc w:val="left"/>
            </w:pPr>
            <w:r>
              <w:rPr>
                <w:rFonts w:cs="Times New Roman"/>
                <w:sz w:val="24"/>
              </w:rPr>
              <w:t>5340</w:t>
            </w:r>
          </w:p>
        </w:tc>
      </w:tr>
      <w:tr w:rsidR="009D0B5B" w14:paraId="0C541C93" w14:textId="77777777" w:rsidTr="004B2B6D">
        <w:trPr>
          <w:jc w:val="center"/>
        </w:trPr>
        <w:tc>
          <w:tcPr>
            <w:tcW w:w="2448" w:type="dxa"/>
            <w:shd w:val="clear" w:color="auto" w:fill="D9E1F2"/>
            <w:tcMar>
              <w:top w:w="90" w:type="dxa"/>
              <w:left w:w="110" w:type="dxa"/>
              <w:bottom w:w="90" w:type="dxa"/>
              <w:right w:w="110" w:type="dxa"/>
            </w:tcMar>
          </w:tcPr>
          <w:p w14:paraId="0A2B6B3C" w14:textId="77777777" w:rsidR="009D0B5B" w:rsidRDefault="009D0B5B" w:rsidP="004B2B6D">
            <w:pPr>
              <w:spacing w:line="276" w:lineRule="auto"/>
              <w:jc w:val="left"/>
            </w:pPr>
            <w:r>
              <w:rPr>
                <w:b/>
                <w:sz w:val="21"/>
              </w:rPr>
              <w:t>Submission date</w:t>
            </w:r>
          </w:p>
        </w:tc>
        <w:tc>
          <w:tcPr>
            <w:tcW w:w="6192" w:type="dxa"/>
            <w:tcMar>
              <w:top w:w="90" w:type="dxa"/>
              <w:left w:w="110" w:type="dxa"/>
              <w:bottom w:w="90" w:type="dxa"/>
              <w:right w:w="110" w:type="dxa"/>
            </w:tcMar>
          </w:tcPr>
          <w:p w14:paraId="3EBDA447" w14:textId="77777777" w:rsidR="009D0B5B" w:rsidRDefault="009D0B5B" w:rsidP="004B2B6D">
            <w:pPr>
              <w:spacing w:line="276" w:lineRule="auto"/>
              <w:jc w:val="left"/>
            </w:pPr>
            <w:r>
              <w:rPr>
                <w:sz w:val="21"/>
              </w:rPr>
              <w:t>31 July 2026</w:t>
            </w:r>
          </w:p>
        </w:tc>
      </w:tr>
    </w:tbl>
    <w:p w14:paraId="4AE1631B" w14:textId="199FB5CC" w:rsidR="009D0B5B" w:rsidRDefault="009D0B5B" w:rsidP="009D0B5B">
      <w:pPr>
        <w:spacing w:before="120"/>
        <w:jc w:val="center"/>
      </w:pPr>
    </w:p>
    <w:p w14:paraId="43A3E15E" w14:textId="77777777" w:rsidR="009D0B5B" w:rsidRDefault="009D0B5B" w:rsidP="009D0B5B">
      <w:r>
        <w:br w:type="page"/>
      </w:r>
    </w:p>
    <w:p w14:paraId="0109B5D5" w14:textId="77777777" w:rsidR="009D0B5B" w:rsidRPr="009D0B5B" w:rsidRDefault="009D0B5B" w:rsidP="009D0B5B">
      <w:pPr>
        <w:jc w:val="center"/>
        <w:rPr>
          <w:b/>
          <w:bCs/>
          <w:sz w:val="28"/>
          <w:szCs w:val="26"/>
        </w:rPr>
      </w:pPr>
      <w:r w:rsidRPr="009D0B5B">
        <w:rPr>
          <w:b/>
          <w:bCs/>
          <w:sz w:val="28"/>
          <w:szCs w:val="26"/>
        </w:rPr>
        <w:lastRenderedPageBreak/>
        <w:t>Table of Contents</w:t>
      </w:r>
    </w:p>
    <w:p w14:paraId="20522D0C" w14:textId="5892F7F2"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r>
        <w:fldChar w:fldCharType="begin"/>
      </w:r>
      <w:r>
        <w:instrText xml:space="preserve"> TOC \o "1-3" \h \z \u </w:instrText>
      </w:r>
      <w:r>
        <w:fldChar w:fldCharType="separate"/>
      </w:r>
      <w:hyperlink w:anchor="_Toc235901536" w:history="1">
        <w:r w:rsidRPr="00A22301">
          <w:rPr>
            <w:rStyle w:val="Hyperlink"/>
            <w:rFonts w:cs="Times New Roman"/>
            <w:noProof/>
          </w:rPr>
          <w:t>1. Introduction</w:t>
        </w:r>
        <w:r>
          <w:rPr>
            <w:noProof/>
            <w:webHidden/>
          </w:rPr>
          <w:tab/>
        </w:r>
        <w:r>
          <w:rPr>
            <w:noProof/>
            <w:webHidden/>
          </w:rPr>
          <w:fldChar w:fldCharType="begin"/>
        </w:r>
        <w:r>
          <w:rPr>
            <w:noProof/>
            <w:webHidden/>
          </w:rPr>
          <w:instrText xml:space="preserve"> PAGEREF _Toc235901536 \h </w:instrText>
        </w:r>
        <w:r>
          <w:rPr>
            <w:noProof/>
            <w:webHidden/>
          </w:rPr>
        </w:r>
        <w:r>
          <w:rPr>
            <w:noProof/>
            <w:webHidden/>
          </w:rPr>
          <w:fldChar w:fldCharType="separate"/>
        </w:r>
        <w:r>
          <w:rPr>
            <w:noProof/>
            <w:webHidden/>
          </w:rPr>
          <w:t>1</w:t>
        </w:r>
        <w:r>
          <w:rPr>
            <w:noProof/>
            <w:webHidden/>
          </w:rPr>
          <w:fldChar w:fldCharType="end"/>
        </w:r>
      </w:hyperlink>
    </w:p>
    <w:p w14:paraId="0B96E1AE" w14:textId="186358C0"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hyperlink w:anchor="_Toc235901537" w:history="1">
        <w:r w:rsidRPr="00A22301">
          <w:rPr>
            <w:rStyle w:val="Hyperlink"/>
            <w:rFonts w:cs="Times New Roman"/>
            <w:noProof/>
          </w:rPr>
          <w:t>2. Organisational Classification and Global Strategy</w:t>
        </w:r>
        <w:r>
          <w:rPr>
            <w:noProof/>
            <w:webHidden/>
          </w:rPr>
          <w:tab/>
        </w:r>
        <w:r>
          <w:rPr>
            <w:noProof/>
            <w:webHidden/>
          </w:rPr>
          <w:fldChar w:fldCharType="begin"/>
        </w:r>
        <w:r>
          <w:rPr>
            <w:noProof/>
            <w:webHidden/>
          </w:rPr>
          <w:instrText xml:space="preserve"> PAGEREF _Toc235901537 \h </w:instrText>
        </w:r>
        <w:r>
          <w:rPr>
            <w:noProof/>
            <w:webHidden/>
          </w:rPr>
        </w:r>
        <w:r>
          <w:rPr>
            <w:noProof/>
            <w:webHidden/>
          </w:rPr>
          <w:fldChar w:fldCharType="separate"/>
        </w:r>
        <w:r>
          <w:rPr>
            <w:noProof/>
            <w:webHidden/>
          </w:rPr>
          <w:t>1</w:t>
        </w:r>
        <w:r>
          <w:rPr>
            <w:noProof/>
            <w:webHidden/>
          </w:rPr>
          <w:fldChar w:fldCharType="end"/>
        </w:r>
      </w:hyperlink>
    </w:p>
    <w:p w14:paraId="365C8C28" w14:textId="5E873505"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38" w:history="1">
        <w:r w:rsidRPr="00A22301">
          <w:rPr>
            <w:rStyle w:val="Hyperlink"/>
            <w:rFonts w:cs="Times New Roman"/>
            <w:noProof/>
          </w:rPr>
          <w:t>2.1 Strategic categorisation using Bartlett and Ghoshal’s model</w:t>
        </w:r>
        <w:r>
          <w:rPr>
            <w:noProof/>
            <w:webHidden/>
          </w:rPr>
          <w:tab/>
        </w:r>
        <w:r>
          <w:rPr>
            <w:noProof/>
            <w:webHidden/>
          </w:rPr>
          <w:fldChar w:fldCharType="begin"/>
        </w:r>
        <w:r>
          <w:rPr>
            <w:noProof/>
            <w:webHidden/>
          </w:rPr>
          <w:instrText xml:space="preserve"> PAGEREF _Toc235901538 \h </w:instrText>
        </w:r>
        <w:r>
          <w:rPr>
            <w:noProof/>
            <w:webHidden/>
          </w:rPr>
        </w:r>
        <w:r>
          <w:rPr>
            <w:noProof/>
            <w:webHidden/>
          </w:rPr>
          <w:fldChar w:fldCharType="separate"/>
        </w:r>
        <w:r>
          <w:rPr>
            <w:noProof/>
            <w:webHidden/>
          </w:rPr>
          <w:t>1</w:t>
        </w:r>
        <w:r>
          <w:rPr>
            <w:noProof/>
            <w:webHidden/>
          </w:rPr>
          <w:fldChar w:fldCharType="end"/>
        </w:r>
      </w:hyperlink>
    </w:p>
    <w:p w14:paraId="17799A00" w14:textId="3A957BB7"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39" w:history="1">
        <w:r w:rsidRPr="00A22301">
          <w:rPr>
            <w:rStyle w:val="Hyperlink"/>
            <w:rFonts w:cs="Times New Roman"/>
            <w:noProof/>
          </w:rPr>
          <w:t>2.2 Global configuration, competitive advantage and value creation</w:t>
        </w:r>
        <w:r>
          <w:rPr>
            <w:noProof/>
            <w:webHidden/>
          </w:rPr>
          <w:tab/>
        </w:r>
        <w:r>
          <w:rPr>
            <w:noProof/>
            <w:webHidden/>
          </w:rPr>
          <w:fldChar w:fldCharType="begin"/>
        </w:r>
        <w:r>
          <w:rPr>
            <w:noProof/>
            <w:webHidden/>
          </w:rPr>
          <w:instrText xml:space="preserve"> PAGEREF _Toc235901539 \h </w:instrText>
        </w:r>
        <w:r>
          <w:rPr>
            <w:noProof/>
            <w:webHidden/>
          </w:rPr>
        </w:r>
        <w:r>
          <w:rPr>
            <w:noProof/>
            <w:webHidden/>
          </w:rPr>
          <w:fldChar w:fldCharType="separate"/>
        </w:r>
        <w:r>
          <w:rPr>
            <w:noProof/>
            <w:webHidden/>
          </w:rPr>
          <w:t>2</w:t>
        </w:r>
        <w:r>
          <w:rPr>
            <w:noProof/>
            <w:webHidden/>
          </w:rPr>
          <w:fldChar w:fldCharType="end"/>
        </w:r>
      </w:hyperlink>
    </w:p>
    <w:p w14:paraId="2F159FB5" w14:textId="7CA95BD1"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hyperlink w:anchor="_Toc235901540" w:history="1">
        <w:r w:rsidRPr="00A22301">
          <w:rPr>
            <w:rStyle w:val="Hyperlink"/>
            <w:rFonts w:cs="Times New Roman"/>
            <w:noProof/>
          </w:rPr>
          <w:t>3. Macro-Environmental Appraisal and Market Attractiveness</w:t>
        </w:r>
        <w:r>
          <w:rPr>
            <w:noProof/>
            <w:webHidden/>
          </w:rPr>
          <w:tab/>
        </w:r>
        <w:r>
          <w:rPr>
            <w:noProof/>
            <w:webHidden/>
          </w:rPr>
          <w:fldChar w:fldCharType="begin"/>
        </w:r>
        <w:r>
          <w:rPr>
            <w:noProof/>
            <w:webHidden/>
          </w:rPr>
          <w:instrText xml:space="preserve"> PAGEREF _Toc235901540 \h </w:instrText>
        </w:r>
        <w:r>
          <w:rPr>
            <w:noProof/>
            <w:webHidden/>
          </w:rPr>
        </w:r>
        <w:r>
          <w:rPr>
            <w:noProof/>
            <w:webHidden/>
          </w:rPr>
          <w:fldChar w:fldCharType="separate"/>
        </w:r>
        <w:r>
          <w:rPr>
            <w:noProof/>
            <w:webHidden/>
          </w:rPr>
          <w:t>3</w:t>
        </w:r>
        <w:r>
          <w:rPr>
            <w:noProof/>
            <w:webHidden/>
          </w:rPr>
          <w:fldChar w:fldCharType="end"/>
        </w:r>
      </w:hyperlink>
    </w:p>
    <w:p w14:paraId="6B9CB4F3" w14:textId="6827558B"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1" w:history="1">
        <w:r w:rsidRPr="00A22301">
          <w:rPr>
            <w:rStyle w:val="Hyperlink"/>
            <w:rFonts w:cs="Times New Roman"/>
            <w:noProof/>
          </w:rPr>
          <w:t>3.1 Political and institutional environment</w:t>
        </w:r>
        <w:r>
          <w:rPr>
            <w:noProof/>
            <w:webHidden/>
          </w:rPr>
          <w:tab/>
        </w:r>
        <w:r>
          <w:rPr>
            <w:noProof/>
            <w:webHidden/>
          </w:rPr>
          <w:fldChar w:fldCharType="begin"/>
        </w:r>
        <w:r>
          <w:rPr>
            <w:noProof/>
            <w:webHidden/>
          </w:rPr>
          <w:instrText xml:space="preserve"> PAGEREF _Toc235901541 \h </w:instrText>
        </w:r>
        <w:r>
          <w:rPr>
            <w:noProof/>
            <w:webHidden/>
          </w:rPr>
        </w:r>
        <w:r>
          <w:rPr>
            <w:noProof/>
            <w:webHidden/>
          </w:rPr>
          <w:fldChar w:fldCharType="separate"/>
        </w:r>
        <w:r>
          <w:rPr>
            <w:noProof/>
            <w:webHidden/>
          </w:rPr>
          <w:t>3</w:t>
        </w:r>
        <w:r>
          <w:rPr>
            <w:noProof/>
            <w:webHidden/>
          </w:rPr>
          <w:fldChar w:fldCharType="end"/>
        </w:r>
      </w:hyperlink>
    </w:p>
    <w:p w14:paraId="75D6B214" w14:textId="24AED430"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2" w:history="1">
        <w:r w:rsidRPr="00A22301">
          <w:rPr>
            <w:rStyle w:val="Hyperlink"/>
            <w:rFonts w:cs="Times New Roman"/>
            <w:noProof/>
          </w:rPr>
          <w:t>3.2 Economic environment, demand and competition</w:t>
        </w:r>
        <w:r>
          <w:rPr>
            <w:noProof/>
            <w:webHidden/>
          </w:rPr>
          <w:tab/>
        </w:r>
        <w:r>
          <w:rPr>
            <w:noProof/>
            <w:webHidden/>
          </w:rPr>
          <w:fldChar w:fldCharType="begin"/>
        </w:r>
        <w:r>
          <w:rPr>
            <w:noProof/>
            <w:webHidden/>
          </w:rPr>
          <w:instrText xml:space="preserve"> PAGEREF _Toc235901542 \h </w:instrText>
        </w:r>
        <w:r>
          <w:rPr>
            <w:noProof/>
            <w:webHidden/>
          </w:rPr>
        </w:r>
        <w:r>
          <w:rPr>
            <w:noProof/>
            <w:webHidden/>
          </w:rPr>
          <w:fldChar w:fldCharType="separate"/>
        </w:r>
        <w:r>
          <w:rPr>
            <w:noProof/>
            <w:webHidden/>
          </w:rPr>
          <w:t>3</w:t>
        </w:r>
        <w:r>
          <w:rPr>
            <w:noProof/>
            <w:webHidden/>
          </w:rPr>
          <w:fldChar w:fldCharType="end"/>
        </w:r>
      </w:hyperlink>
    </w:p>
    <w:p w14:paraId="487AA75F" w14:textId="336B8379"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3" w:history="1">
        <w:r w:rsidRPr="00A22301">
          <w:rPr>
            <w:rStyle w:val="Hyperlink"/>
            <w:rFonts w:cs="Times New Roman"/>
            <w:noProof/>
          </w:rPr>
          <w:t>3.3 Legal and regulatory environment</w:t>
        </w:r>
        <w:r>
          <w:rPr>
            <w:noProof/>
            <w:webHidden/>
          </w:rPr>
          <w:tab/>
        </w:r>
        <w:r>
          <w:rPr>
            <w:noProof/>
            <w:webHidden/>
          </w:rPr>
          <w:fldChar w:fldCharType="begin"/>
        </w:r>
        <w:r>
          <w:rPr>
            <w:noProof/>
            <w:webHidden/>
          </w:rPr>
          <w:instrText xml:space="preserve"> PAGEREF _Toc235901543 \h </w:instrText>
        </w:r>
        <w:r>
          <w:rPr>
            <w:noProof/>
            <w:webHidden/>
          </w:rPr>
        </w:r>
        <w:r>
          <w:rPr>
            <w:noProof/>
            <w:webHidden/>
          </w:rPr>
          <w:fldChar w:fldCharType="separate"/>
        </w:r>
        <w:r>
          <w:rPr>
            <w:noProof/>
            <w:webHidden/>
          </w:rPr>
          <w:t>6</w:t>
        </w:r>
        <w:r>
          <w:rPr>
            <w:noProof/>
            <w:webHidden/>
          </w:rPr>
          <w:fldChar w:fldCharType="end"/>
        </w:r>
      </w:hyperlink>
    </w:p>
    <w:p w14:paraId="2473B5F7" w14:textId="024A9E4B"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4" w:history="1">
        <w:r w:rsidRPr="00A22301">
          <w:rPr>
            <w:rStyle w:val="Hyperlink"/>
            <w:rFonts w:cs="Times New Roman"/>
            <w:noProof/>
          </w:rPr>
          <w:t>3.4 Cultural and consumer environment</w:t>
        </w:r>
        <w:r>
          <w:rPr>
            <w:noProof/>
            <w:webHidden/>
          </w:rPr>
          <w:tab/>
        </w:r>
        <w:r>
          <w:rPr>
            <w:noProof/>
            <w:webHidden/>
          </w:rPr>
          <w:fldChar w:fldCharType="begin"/>
        </w:r>
        <w:r>
          <w:rPr>
            <w:noProof/>
            <w:webHidden/>
          </w:rPr>
          <w:instrText xml:space="preserve"> PAGEREF _Toc235901544 \h </w:instrText>
        </w:r>
        <w:r>
          <w:rPr>
            <w:noProof/>
            <w:webHidden/>
          </w:rPr>
        </w:r>
        <w:r>
          <w:rPr>
            <w:noProof/>
            <w:webHidden/>
          </w:rPr>
          <w:fldChar w:fldCharType="separate"/>
        </w:r>
        <w:r>
          <w:rPr>
            <w:noProof/>
            <w:webHidden/>
          </w:rPr>
          <w:t>7</w:t>
        </w:r>
        <w:r>
          <w:rPr>
            <w:noProof/>
            <w:webHidden/>
          </w:rPr>
          <w:fldChar w:fldCharType="end"/>
        </w:r>
      </w:hyperlink>
    </w:p>
    <w:p w14:paraId="06187F07" w14:textId="533EC353"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5" w:history="1">
        <w:r w:rsidRPr="00A22301">
          <w:rPr>
            <w:rStyle w:val="Hyperlink"/>
            <w:rFonts w:cs="Times New Roman"/>
            <w:noProof/>
          </w:rPr>
          <w:t>3.5 OLI synthesis and market attractiveness</w:t>
        </w:r>
        <w:r>
          <w:rPr>
            <w:noProof/>
            <w:webHidden/>
          </w:rPr>
          <w:tab/>
        </w:r>
        <w:r>
          <w:rPr>
            <w:noProof/>
            <w:webHidden/>
          </w:rPr>
          <w:fldChar w:fldCharType="begin"/>
        </w:r>
        <w:r>
          <w:rPr>
            <w:noProof/>
            <w:webHidden/>
          </w:rPr>
          <w:instrText xml:space="preserve"> PAGEREF _Toc235901545 \h </w:instrText>
        </w:r>
        <w:r>
          <w:rPr>
            <w:noProof/>
            <w:webHidden/>
          </w:rPr>
        </w:r>
        <w:r>
          <w:rPr>
            <w:noProof/>
            <w:webHidden/>
          </w:rPr>
          <w:fldChar w:fldCharType="separate"/>
        </w:r>
        <w:r>
          <w:rPr>
            <w:noProof/>
            <w:webHidden/>
          </w:rPr>
          <w:t>8</w:t>
        </w:r>
        <w:r>
          <w:rPr>
            <w:noProof/>
            <w:webHidden/>
          </w:rPr>
          <w:fldChar w:fldCharType="end"/>
        </w:r>
      </w:hyperlink>
    </w:p>
    <w:p w14:paraId="74CDEF27" w14:textId="6C1076D1"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hyperlink w:anchor="_Toc235901546" w:history="1">
        <w:r w:rsidRPr="00A22301">
          <w:rPr>
            <w:rStyle w:val="Hyperlink"/>
            <w:rFonts w:cs="Times New Roman"/>
            <w:noProof/>
          </w:rPr>
          <w:t>4. Entry Mode Strategy and Strategic Synthesis</w:t>
        </w:r>
        <w:r>
          <w:rPr>
            <w:noProof/>
            <w:webHidden/>
          </w:rPr>
          <w:tab/>
        </w:r>
        <w:r>
          <w:rPr>
            <w:noProof/>
            <w:webHidden/>
          </w:rPr>
          <w:fldChar w:fldCharType="begin"/>
        </w:r>
        <w:r>
          <w:rPr>
            <w:noProof/>
            <w:webHidden/>
          </w:rPr>
          <w:instrText xml:space="preserve"> PAGEREF _Toc235901546 \h </w:instrText>
        </w:r>
        <w:r>
          <w:rPr>
            <w:noProof/>
            <w:webHidden/>
          </w:rPr>
        </w:r>
        <w:r>
          <w:rPr>
            <w:noProof/>
            <w:webHidden/>
          </w:rPr>
          <w:fldChar w:fldCharType="separate"/>
        </w:r>
        <w:r>
          <w:rPr>
            <w:noProof/>
            <w:webHidden/>
          </w:rPr>
          <w:t>9</w:t>
        </w:r>
        <w:r>
          <w:rPr>
            <w:noProof/>
            <w:webHidden/>
          </w:rPr>
          <w:fldChar w:fldCharType="end"/>
        </w:r>
      </w:hyperlink>
    </w:p>
    <w:p w14:paraId="1B5CB38A" w14:textId="3C23E52D"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7" w:history="1">
        <w:r w:rsidRPr="00A22301">
          <w:rPr>
            <w:rStyle w:val="Hyperlink"/>
            <w:rFonts w:cs="Times New Roman"/>
            <w:noProof/>
          </w:rPr>
          <w:t>4.1 Historical pattern of Starbucks’ entry modes</w:t>
        </w:r>
        <w:r>
          <w:rPr>
            <w:noProof/>
            <w:webHidden/>
          </w:rPr>
          <w:tab/>
        </w:r>
        <w:r>
          <w:rPr>
            <w:noProof/>
            <w:webHidden/>
          </w:rPr>
          <w:fldChar w:fldCharType="begin"/>
        </w:r>
        <w:r>
          <w:rPr>
            <w:noProof/>
            <w:webHidden/>
          </w:rPr>
          <w:instrText xml:space="preserve"> PAGEREF _Toc235901547 \h </w:instrText>
        </w:r>
        <w:r>
          <w:rPr>
            <w:noProof/>
            <w:webHidden/>
          </w:rPr>
        </w:r>
        <w:r>
          <w:rPr>
            <w:noProof/>
            <w:webHidden/>
          </w:rPr>
          <w:fldChar w:fldCharType="separate"/>
        </w:r>
        <w:r>
          <w:rPr>
            <w:noProof/>
            <w:webHidden/>
          </w:rPr>
          <w:t>9</w:t>
        </w:r>
        <w:r>
          <w:rPr>
            <w:noProof/>
            <w:webHidden/>
          </w:rPr>
          <w:fldChar w:fldCharType="end"/>
        </w:r>
      </w:hyperlink>
    </w:p>
    <w:p w14:paraId="4E607F16" w14:textId="2B640630"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8" w:history="1">
        <w:r w:rsidRPr="00A22301">
          <w:rPr>
            <w:rStyle w:val="Hyperlink"/>
            <w:rFonts w:cs="Times New Roman"/>
            <w:noProof/>
          </w:rPr>
          <w:t>4.2 Entry-mode comparison and recommended strategic fit</w:t>
        </w:r>
        <w:r>
          <w:rPr>
            <w:noProof/>
            <w:webHidden/>
          </w:rPr>
          <w:tab/>
        </w:r>
        <w:r>
          <w:rPr>
            <w:noProof/>
            <w:webHidden/>
          </w:rPr>
          <w:fldChar w:fldCharType="begin"/>
        </w:r>
        <w:r>
          <w:rPr>
            <w:noProof/>
            <w:webHidden/>
          </w:rPr>
          <w:instrText xml:space="preserve"> PAGEREF _Toc235901548 \h </w:instrText>
        </w:r>
        <w:r>
          <w:rPr>
            <w:noProof/>
            <w:webHidden/>
          </w:rPr>
        </w:r>
        <w:r>
          <w:rPr>
            <w:noProof/>
            <w:webHidden/>
          </w:rPr>
          <w:fldChar w:fldCharType="separate"/>
        </w:r>
        <w:r>
          <w:rPr>
            <w:noProof/>
            <w:webHidden/>
          </w:rPr>
          <w:t>10</w:t>
        </w:r>
        <w:r>
          <w:rPr>
            <w:noProof/>
            <w:webHidden/>
          </w:rPr>
          <w:fldChar w:fldCharType="end"/>
        </w:r>
      </w:hyperlink>
    </w:p>
    <w:p w14:paraId="66F8538B" w14:textId="1A249A95"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49" w:history="1">
        <w:r w:rsidRPr="00A22301">
          <w:rPr>
            <w:rStyle w:val="Hyperlink"/>
            <w:rFonts w:cs="Times New Roman"/>
            <w:noProof/>
          </w:rPr>
          <w:t>4.3 Partner selection, pilot design and controls</w:t>
        </w:r>
        <w:r>
          <w:rPr>
            <w:noProof/>
            <w:webHidden/>
          </w:rPr>
          <w:tab/>
        </w:r>
        <w:r>
          <w:rPr>
            <w:noProof/>
            <w:webHidden/>
          </w:rPr>
          <w:fldChar w:fldCharType="begin"/>
        </w:r>
        <w:r>
          <w:rPr>
            <w:noProof/>
            <w:webHidden/>
          </w:rPr>
          <w:instrText xml:space="preserve"> PAGEREF _Toc235901549 \h </w:instrText>
        </w:r>
        <w:r>
          <w:rPr>
            <w:noProof/>
            <w:webHidden/>
          </w:rPr>
        </w:r>
        <w:r>
          <w:rPr>
            <w:noProof/>
            <w:webHidden/>
          </w:rPr>
          <w:fldChar w:fldCharType="separate"/>
        </w:r>
        <w:r>
          <w:rPr>
            <w:noProof/>
            <w:webHidden/>
          </w:rPr>
          <w:t>11</w:t>
        </w:r>
        <w:r>
          <w:rPr>
            <w:noProof/>
            <w:webHidden/>
          </w:rPr>
          <w:fldChar w:fldCharType="end"/>
        </w:r>
      </w:hyperlink>
    </w:p>
    <w:p w14:paraId="5FA9F28E" w14:textId="7AA5835E"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0" w:history="1">
        <w:r w:rsidRPr="00A22301">
          <w:rPr>
            <w:rStyle w:val="Hyperlink"/>
            <w:rFonts w:cs="Times New Roman"/>
            <w:noProof/>
          </w:rPr>
          <w:t>4.4 Conclusion and recommendations</w:t>
        </w:r>
        <w:r>
          <w:rPr>
            <w:noProof/>
            <w:webHidden/>
          </w:rPr>
          <w:tab/>
        </w:r>
        <w:r>
          <w:rPr>
            <w:noProof/>
            <w:webHidden/>
          </w:rPr>
          <w:fldChar w:fldCharType="begin"/>
        </w:r>
        <w:r>
          <w:rPr>
            <w:noProof/>
            <w:webHidden/>
          </w:rPr>
          <w:instrText xml:space="preserve"> PAGEREF _Toc235901550 \h </w:instrText>
        </w:r>
        <w:r>
          <w:rPr>
            <w:noProof/>
            <w:webHidden/>
          </w:rPr>
        </w:r>
        <w:r>
          <w:rPr>
            <w:noProof/>
            <w:webHidden/>
          </w:rPr>
          <w:fldChar w:fldCharType="separate"/>
        </w:r>
        <w:r>
          <w:rPr>
            <w:noProof/>
            <w:webHidden/>
          </w:rPr>
          <w:t>13</w:t>
        </w:r>
        <w:r>
          <w:rPr>
            <w:noProof/>
            <w:webHidden/>
          </w:rPr>
          <w:fldChar w:fldCharType="end"/>
        </w:r>
      </w:hyperlink>
    </w:p>
    <w:p w14:paraId="15CB237B" w14:textId="25D49D58"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hyperlink w:anchor="_Toc235901551" w:history="1">
        <w:r w:rsidRPr="00A22301">
          <w:rPr>
            <w:rStyle w:val="Hyperlink"/>
            <w:rFonts w:cs="Times New Roman"/>
            <w:noProof/>
          </w:rPr>
          <w:t>5. Reflective Account Using Gibbs’ Reflective Cycle</w:t>
        </w:r>
        <w:r>
          <w:rPr>
            <w:noProof/>
            <w:webHidden/>
          </w:rPr>
          <w:tab/>
        </w:r>
        <w:r>
          <w:rPr>
            <w:noProof/>
            <w:webHidden/>
          </w:rPr>
          <w:fldChar w:fldCharType="begin"/>
        </w:r>
        <w:r>
          <w:rPr>
            <w:noProof/>
            <w:webHidden/>
          </w:rPr>
          <w:instrText xml:space="preserve"> PAGEREF _Toc235901551 \h </w:instrText>
        </w:r>
        <w:r>
          <w:rPr>
            <w:noProof/>
            <w:webHidden/>
          </w:rPr>
        </w:r>
        <w:r>
          <w:rPr>
            <w:noProof/>
            <w:webHidden/>
          </w:rPr>
          <w:fldChar w:fldCharType="separate"/>
        </w:r>
        <w:r>
          <w:rPr>
            <w:noProof/>
            <w:webHidden/>
          </w:rPr>
          <w:t>13</w:t>
        </w:r>
        <w:r>
          <w:rPr>
            <w:noProof/>
            <w:webHidden/>
          </w:rPr>
          <w:fldChar w:fldCharType="end"/>
        </w:r>
      </w:hyperlink>
    </w:p>
    <w:p w14:paraId="2D1CDCC2" w14:textId="274E3E0D"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2" w:history="1">
        <w:r w:rsidRPr="00A22301">
          <w:rPr>
            <w:rStyle w:val="Hyperlink"/>
            <w:rFonts w:cs="Times New Roman"/>
            <w:noProof/>
          </w:rPr>
          <w:t>5.1 Description</w:t>
        </w:r>
        <w:r>
          <w:rPr>
            <w:noProof/>
            <w:webHidden/>
          </w:rPr>
          <w:tab/>
        </w:r>
        <w:r>
          <w:rPr>
            <w:noProof/>
            <w:webHidden/>
          </w:rPr>
          <w:fldChar w:fldCharType="begin"/>
        </w:r>
        <w:r>
          <w:rPr>
            <w:noProof/>
            <w:webHidden/>
          </w:rPr>
          <w:instrText xml:space="preserve"> PAGEREF _Toc235901552 \h </w:instrText>
        </w:r>
        <w:r>
          <w:rPr>
            <w:noProof/>
            <w:webHidden/>
          </w:rPr>
        </w:r>
        <w:r>
          <w:rPr>
            <w:noProof/>
            <w:webHidden/>
          </w:rPr>
          <w:fldChar w:fldCharType="separate"/>
        </w:r>
        <w:r>
          <w:rPr>
            <w:noProof/>
            <w:webHidden/>
          </w:rPr>
          <w:t>13</w:t>
        </w:r>
        <w:r>
          <w:rPr>
            <w:noProof/>
            <w:webHidden/>
          </w:rPr>
          <w:fldChar w:fldCharType="end"/>
        </w:r>
      </w:hyperlink>
    </w:p>
    <w:p w14:paraId="474DC55C" w14:textId="5098A33E"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3" w:history="1">
        <w:r w:rsidRPr="00A22301">
          <w:rPr>
            <w:rStyle w:val="Hyperlink"/>
            <w:rFonts w:cs="Times New Roman"/>
            <w:noProof/>
          </w:rPr>
          <w:t>5.2 Feelings</w:t>
        </w:r>
        <w:r>
          <w:rPr>
            <w:noProof/>
            <w:webHidden/>
          </w:rPr>
          <w:tab/>
        </w:r>
        <w:r>
          <w:rPr>
            <w:noProof/>
            <w:webHidden/>
          </w:rPr>
          <w:fldChar w:fldCharType="begin"/>
        </w:r>
        <w:r>
          <w:rPr>
            <w:noProof/>
            <w:webHidden/>
          </w:rPr>
          <w:instrText xml:space="preserve"> PAGEREF _Toc235901553 \h </w:instrText>
        </w:r>
        <w:r>
          <w:rPr>
            <w:noProof/>
            <w:webHidden/>
          </w:rPr>
        </w:r>
        <w:r>
          <w:rPr>
            <w:noProof/>
            <w:webHidden/>
          </w:rPr>
          <w:fldChar w:fldCharType="separate"/>
        </w:r>
        <w:r>
          <w:rPr>
            <w:noProof/>
            <w:webHidden/>
          </w:rPr>
          <w:t>14</w:t>
        </w:r>
        <w:r>
          <w:rPr>
            <w:noProof/>
            <w:webHidden/>
          </w:rPr>
          <w:fldChar w:fldCharType="end"/>
        </w:r>
      </w:hyperlink>
    </w:p>
    <w:p w14:paraId="0D992DD2" w14:textId="4F964D23"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4" w:history="1">
        <w:r w:rsidRPr="00A22301">
          <w:rPr>
            <w:rStyle w:val="Hyperlink"/>
            <w:rFonts w:cs="Times New Roman"/>
            <w:noProof/>
          </w:rPr>
          <w:t>5.3 Evaluation</w:t>
        </w:r>
        <w:r>
          <w:rPr>
            <w:noProof/>
            <w:webHidden/>
          </w:rPr>
          <w:tab/>
        </w:r>
        <w:r>
          <w:rPr>
            <w:noProof/>
            <w:webHidden/>
          </w:rPr>
          <w:fldChar w:fldCharType="begin"/>
        </w:r>
        <w:r>
          <w:rPr>
            <w:noProof/>
            <w:webHidden/>
          </w:rPr>
          <w:instrText xml:space="preserve"> PAGEREF _Toc235901554 \h </w:instrText>
        </w:r>
        <w:r>
          <w:rPr>
            <w:noProof/>
            <w:webHidden/>
          </w:rPr>
        </w:r>
        <w:r>
          <w:rPr>
            <w:noProof/>
            <w:webHidden/>
          </w:rPr>
          <w:fldChar w:fldCharType="separate"/>
        </w:r>
        <w:r>
          <w:rPr>
            <w:noProof/>
            <w:webHidden/>
          </w:rPr>
          <w:t>14</w:t>
        </w:r>
        <w:r>
          <w:rPr>
            <w:noProof/>
            <w:webHidden/>
          </w:rPr>
          <w:fldChar w:fldCharType="end"/>
        </w:r>
      </w:hyperlink>
    </w:p>
    <w:p w14:paraId="487F8B22" w14:textId="371599E3"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5" w:history="1">
        <w:r w:rsidRPr="00A22301">
          <w:rPr>
            <w:rStyle w:val="Hyperlink"/>
            <w:rFonts w:cs="Times New Roman"/>
            <w:noProof/>
          </w:rPr>
          <w:t>5.4 Analysis</w:t>
        </w:r>
        <w:r>
          <w:rPr>
            <w:noProof/>
            <w:webHidden/>
          </w:rPr>
          <w:tab/>
        </w:r>
        <w:r>
          <w:rPr>
            <w:noProof/>
            <w:webHidden/>
          </w:rPr>
          <w:fldChar w:fldCharType="begin"/>
        </w:r>
        <w:r>
          <w:rPr>
            <w:noProof/>
            <w:webHidden/>
          </w:rPr>
          <w:instrText xml:space="preserve"> PAGEREF _Toc235901555 \h </w:instrText>
        </w:r>
        <w:r>
          <w:rPr>
            <w:noProof/>
            <w:webHidden/>
          </w:rPr>
        </w:r>
        <w:r>
          <w:rPr>
            <w:noProof/>
            <w:webHidden/>
          </w:rPr>
          <w:fldChar w:fldCharType="separate"/>
        </w:r>
        <w:r>
          <w:rPr>
            <w:noProof/>
            <w:webHidden/>
          </w:rPr>
          <w:t>15</w:t>
        </w:r>
        <w:r>
          <w:rPr>
            <w:noProof/>
            <w:webHidden/>
          </w:rPr>
          <w:fldChar w:fldCharType="end"/>
        </w:r>
      </w:hyperlink>
    </w:p>
    <w:p w14:paraId="600979E1" w14:textId="0CD7EEA5"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6" w:history="1">
        <w:r w:rsidRPr="00A22301">
          <w:rPr>
            <w:rStyle w:val="Hyperlink"/>
            <w:rFonts w:cs="Times New Roman"/>
            <w:noProof/>
          </w:rPr>
          <w:t>5.5 Conclusion</w:t>
        </w:r>
        <w:r>
          <w:rPr>
            <w:noProof/>
            <w:webHidden/>
          </w:rPr>
          <w:tab/>
        </w:r>
        <w:r>
          <w:rPr>
            <w:noProof/>
            <w:webHidden/>
          </w:rPr>
          <w:fldChar w:fldCharType="begin"/>
        </w:r>
        <w:r>
          <w:rPr>
            <w:noProof/>
            <w:webHidden/>
          </w:rPr>
          <w:instrText xml:space="preserve"> PAGEREF _Toc235901556 \h </w:instrText>
        </w:r>
        <w:r>
          <w:rPr>
            <w:noProof/>
            <w:webHidden/>
          </w:rPr>
        </w:r>
        <w:r>
          <w:rPr>
            <w:noProof/>
            <w:webHidden/>
          </w:rPr>
          <w:fldChar w:fldCharType="separate"/>
        </w:r>
        <w:r>
          <w:rPr>
            <w:noProof/>
            <w:webHidden/>
          </w:rPr>
          <w:t>15</w:t>
        </w:r>
        <w:r>
          <w:rPr>
            <w:noProof/>
            <w:webHidden/>
          </w:rPr>
          <w:fldChar w:fldCharType="end"/>
        </w:r>
      </w:hyperlink>
    </w:p>
    <w:p w14:paraId="6695A778" w14:textId="1BB7DF81" w:rsidR="009D0B5B" w:rsidRDefault="009D0B5B">
      <w:pPr>
        <w:pStyle w:val="TOC2"/>
        <w:tabs>
          <w:tab w:val="right" w:leader="dot" w:pos="9019"/>
        </w:tabs>
        <w:rPr>
          <w:rFonts w:asciiTheme="minorHAnsi" w:eastAsiaTheme="minorEastAsia" w:hAnsiTheme="minorHAnsi"/>
          <w:noProof/>
          <w:color w:val="auto"/>
          <w:kern w:val="2"/>
          <w:sz w:val="22"/>
          <w14:ligatures w14:val="standardContextual"/>
        </w:rPr>
      </w:pPr>
      <w:hyperlink w:anchor="_Toc235901557" w:history="1">
        <w:r w:rsidRPr="00A22301">
          <w:rPr>
            <w:rStyle w:val="Hyperlink"/>
            <w:rFonts w:cs="Times New Roman"/>
            <w:noProof/>
          </w:rPr>
          <w:t>5.6 Action plan</w:t>
        </w:r>
        <w:r>
          <w:rPr>
            <w:noProof/>
            <w:webHidden/>
          </w:rPr>
          <w:tab/>
        </w:r>
        <w:r>
          <w:rPr>
            <w:noProof/>
            <w:webHidden/>
          </w:rPr>
          <w:fldChar w:fldCharType="begin"/>
        </w:r>
        <w:r>
          <w:rPr>
            <w:noProof/>
            <w:webHidden/>
          </w:rPr>
          <w:instrText xml:space="preserve"> PAGEREF _Toc235901557 \h </w:instrText>
        </w:r>
        <w:r>
          <w:rPr>
            <w:noProof/>
            <w:webHidden/>
          </w:rPr>
        </w:r>
        <w:r>
          <w:rPr>
            <w:noProof/>
            <w:webHidden/>
          </w:rPr>
          <w:fldChar w:fldCharType="separate"/>
        </w:r>
        <w:r>
          <w:rPr>
            <w:noProof/>
            <w:webHidden/>
          </w:rPr>
          <w:t>16</w:t>
        </w:r>
        <w:r>
          <w:rPr>
            <w:noProof/>
            <w:webHidden/>
          </w:rPr>
          <w:fldChar w:fldCharType="end"/>
        </w:r>
      </w:hyperlink>
    </w:p>
    <w:p w14:paraId="164694AB" w14:textId="5510A156" w:rsidR="009D0B5B" w:rsidRDefault="009D0B5B">
      <w:pPr>
        <w:pStyle w:val="TOC1"/>
        <w:tabs>
          <w:tab w:val="right" w:leader="dot" w:pos="9019"/>
        </w:tabs>
        <w:rPr>
          <w:rFonts w:asciiTheme="minorHAnsi" w:eastAsiaTheme="minorEastAsia" w:hAnsiTheme="minorHAnsi"/>
          <w:noProof/>
          <w:color w:val="auto"/>
          <w:kern w:val="2"/>
          <w:sz w:val="22"/>
          <w14:ligatures w14:val="standardContextual"/>
        </w:rPr>
      </w:pPr>
      <w:hyperlink w:anchor="_Toc235901558" w:history="1">
        <w:r w:rsidRPr="00A22301">
          <w:rPr>
            <w:rStyle w:val="Hyperlink"/>
            <w:noProof/>
          </w:rPr>
          <w:t>References</w:t>
        </w:r>
        <w:r>
          <w:rPr>
            <w:noProof/>
            <w:webHidden/>
          </w:rPr>
          <w:tab/>
        </w:r>
        <w:r>
          <w:rPr>
            <w:noProof/>
            <w:webHidden/>
          </w:rPr>
          <w:fldChar w:fldCharType="begin"/>
        </w:r>
        <w:r>
          <w:rPr>
            <w:noProof/>
            <w:webHidden/>
          </w:rPr>
          <w:instrText xml:space="preserve"> PAGEREF _Toc235901558 \h </w:instrText>
        </w:r>
        <w:r>
          <w:rPr>
            <w:noProof/>
            <w:webHidden/>
          </w:rPr>
        </w:r>
        <w:r>
          <w:rPr>
            <w:noProof/>
            <w:webHidden/>
          </w:rPr>
          <w:fldChar w:fldCharType="separate"/>
        </w:r>
        <w:r>
          <w:rPr>
            <w:noProof/>
            <w:webHidden/>
          </w:rPr>
          <w:t>16</w:t>
        </w:r>
        <w:r>
          <w:rPr>
            <w:noProof/>
            <w:webHidden/>
          </w:rPr>
          <w:fldChar w:fldCharType="end"/>
        </w:r>
      </w:hyperlink>
    </w:p>
    <w:p w14:paraId="4B97C2E8" w14:textId="2CC21114" w:rsidR="009D0B5B" w:rsidRDefault="009D0B5B" w:rsidP="009D0B5B">
      <w:pPr>
        <w:tabs>
          <w:tab w:val="right" w:leader="dot" w:pos="8856"/>
        </w:tabs>
        <w:spacing w:after="30" w:line="240" w:lineRule="auto"/>
      </w:pPr>
      <w:r>
        <w:rPr>
          <w:sz w:val="21"/>
        </w:rPr>
        <w:fldChar w:fldCharType="end"/>
      </w:r>
    </w:p>
    <w:p w14:paraId="4842A5E1" w14:textId="77777777" w:rsidR="009D0B5B" w:rsidRDefault="009D0B5B" w:rsidP="009D0B5B">
      <w:pPr>
        <w:sectPr w:rsidR="009D0B5B" w:rsidSect="00034616">
          <w:footerReference w:type="default" r:id="rId7"/>
          <w:pgSz w:w="11909" w:h="16834"/>
          <w:pgMar w:top="1440" w:right="1440" w:bottom="1440" w:left="1440" w:header="576" w:footer="720" w:gutter="0"/>
          <w:cols w:space="720"/>
          <w:titlePg/>
          <w:docGrid w:linePitch="360"/>
        </w:sectPr>
      </w:pPr>
    </w:p>
    <w:p w14:paraId="2FBD28BA" w14:textId="77777777" w:rsidR="009D0B5B" w:rsidRDefault="009D0B5B" w:rsidP="009D0B5B">
      <w:pPr>
        <w:pStyle w:val="Heading1"/>
      </w:pPr>
      <w:bookmarkStart w:id="0" w:name="_Toc235901536"/>
      <w:r>
        <w:rPr>
          <w:rFonts w:eastAsia="Times New Roman" w:cs="Times New Roman"/>
          <w:color w:val="000000"/>
        </w:rPr>
        <w:lastRenderedPageBreak/>
        <w:t>1. Introduction</w:t>
      </w:r>
      <w:bookmarkEnd w:id="0"/>
    </w:p>
    <w:p w14:paraId="06D03AF8" w14:textId="77777777" w:rsidR="009D0B5B" w:rsidRDefault="009D0B5B" w:rsidP="009D0B5B">
      <w:r w:rsidRPr="00903EAC">
        <w:rPr>
          <w:rFonts w:cs="Times New Roman"/>
        </w:rPr>
        <w:t>This report is an assessment of a potential entry of the Starbucks Corporation in Bangladesh where at 1 June 2026, no company operated or licensed coffeehouse was confirmed in the country. Starbucks had a total of 40,990 stores (22,679 of which are in other countries) at the end of FY2025, but Bangladesh was not listed in its portfolio (Starbucks, 2025). The chance is ambivalent: Dhaka has high-density premium catchments, the digital payments and the cafe culture that is on the rise, and the inflation, currency risk, import tax, institutional drag and tea-based consumption pose a threat to returns. The report categorizes Starbucks by Bartlett and Ghoshal, analyses the host environment, uses the OLI paradigm by Dunning and makes a comparison of the entry modes. It suggests a gradual development licence, competition based partner and quantifiable expansion, break or break out gates.</w:t>
      </w:r>
    </w:p>
    <w:p w14:paraId="7D72F5EF" w14:textId="77777777" w:rsidR="009D0B5B" w:rsidRDefault="009D0B5B" w:rsidP="009D0B5B">
      <w:pPr>
        <w:pStyle w:val="Heading1"/>
      </w:pPr>
      <w:bookmarkStart w:id="1" w:name="_Toc235901537"/>
      <w:r>
        <w:rPr>
          <w:rFonts w:eastAsia="Times New Roman" w:cs="Times New Roman"/>
          <w:color w:val="000000"/>
        </w:rPr>
        <w:t>2. Organisational Classification and Global Strategy</w:t>
      </w:r>
      <w:bookmarkEnd w:id="1"/>
    </w:p>
    <w:p w14:paraId="3E51DAB8" w14:textId="77777777" w:rsidR="009D0B5B" w:rsidRDefault="009D0B5B" w:rsidP="009D0B5B">
      <w:pPr>
        <w:pStyle w:val="Heading2"/>
      </w:pPr>
      <w:bookmarkStart w:id="2" w:name="_Toc235901538"/>
      <w:r>
        <w:rPr>
          <w:rFonts w:eastAsia="Times New Roman" w:cs="Times New Roman"/>
          <w:color w:val="000000"/>
        </w:rPr>
        <w:t>2.1 Strategic categorisation using Bartlett and Ghoshal’s model</w:t>
      </w:r>
      <w:bookmarkEnd w:id="2"/>
    </w:p>
    <w:p w14:paraId="65409949" w14:textId="77777777" w:rsidR="009D0B5B" w:rsidRPr="00903EAC" w:rsidRDefault="009D0B5B" w:rsidP="009D0B5B">
      <w:pPr>
        <w:rPr>
          <w:rFonts w:cs="Times New Roman"/>
        </w:rPr>
      </w:pPr>
      <w:r w:rsidRPr="00903EAC">
        <w:rPr>
          <w:rFonts w:cs="Times New Roman"/>
        </w:rPr>
        <w:t>Harzing (2000) differentiates multinational, global and transnational firms in terms of integration, interdependence and local responsiveness. Starbucks is discriminately transnational. Symbols and coffee specifications, sourcing guidelines, equipment, barista practices, store acceptance and computer architecture are unified, producing scale, uniformity and transferable expertise. The elements that face the customers are more receptive: the format of the store, the food, flavours, prices, delivery and ownership differ by market. This balance is demonstrated by Tata Starbucks since Starbucks provided brand and retailing skills, and Tata provided sourcing, access to property, legitimacy and familiarity with local foods (Fischer and Roy, 2019; Starbucks, 2024). The balance enables Starbucks to guard the sources of global differentiation without taking into account that a single format or menu can suit all the markets. It also justifies the reasons why the entry of Bangladesh should be evaluated at the level of activity as opposed to an individual corporate label.</w:t>
      </w:r>
    </w:p>
    <w:p w14:paraId="7A457A8E" w14:textId="77777777" w:rsidR="009D0B5B" w:rsidRPr="00903EAC" w:rsidRDefault="009D0B5B" w:rsidP="009D0B5B">
      <w:pPr>
        <w:rPr>
          <w:rFonts w:cs="Times New Roman"/>
        </w:rPr>
      </w:pPr>
      <w:r w:rsidRPr="00903EAC">
        <w:rPr>
          <w:rFonts w:cs="Times New Roman"/>
        </w:rPr>
        <w:t xml:space="preserve">The label should be qualified due to the variations in functions. Starbucks has a global coffee standard and brand governance, locally attentive menu and servicescape and flexible ownership. Its network is a mix of company stores, joint ventures, acquisitions and licences, which aligns with the perspective of Brouthers et al. (2022) that contemporary internationalisation is a bundle of activities instead of being based on a single mode. Failures </w:t>
      </w:r>
      <w:r w:rsidRPr="00903EAC">
        <w:rPr>
          <w:rFonts w:cs="Times New Roman"/>
        </w:rPr>
        <w:lastRenderedPageBreak/>
        <w:t>incurred by Starbucks due to internalisation can hurt brand equity, but can be outsourced in the form of leases, staffing and local execution where partners possess complementary resources. Bangladesh then demands low irreversible commitment without compromising the contractual and operational control.</w:t>
      </w:r>
    </w:p>
    <w:p w14:paraId="567B8F26" w14:textId="77777777" w:rsidR="009D0B5B" w:rsidRDefault="009D0B5B" w:rsidP="009D0B5B">
      <w:r w:rsidRPr="00903EAC">
        <w:rPr>
          <w:rFonts w:cs="Times New Roman"/>
        </w:rPr>
        <w:t>There is also the need of reciprocal learning in transnational strategy. Bangladesh might create transferable expertise regarding tea-coffee blends, mini-formats, cell-phone wallets and reduced-price packages and tap into India and Southeast Asia. The threat is sluggish local acceptance or systems that are geared towards wealthier markets. Bounded experimentation, test budgets and fast approval times should then be created by a licence but ingredients, claims and trademarks remain under the control of Starbucks. Store level experiments of learning must be recorded and made available to regional decision-makers and then local adaptation becomes organisational knowledge and not an individual improvisation.</w:t>
      </w:r>
    </w:p>
    <w:p w14:paraId="5D2F7E7E" w14:textId="77777777" w:rsidR="009D0B5B" w:rsidRDefault="009D0B5B" w:rsidP="009D0B5B">
      <w:pPr>
        <w:pStyle w:val="Heading2"/>
      </w:pPr>
      <w:bookmarkStart w:id="3" w:name="_Toc235901539"/>
      <w:r>
        <w:rPr>
          <w:rFonts w:eastAsia="Times New Roman" w:cs="Times New Roman"/>
          <w:color w:val="000000"/>
        </w:rPr>
        <w:t>2.2 Global configuration, competitive advantage and value creation</w:t>
      </w:r>
      <w:bookmarkEnd w:id="3"/>
    </w:p>
    <w:p w14:paraId="021491E0" w14:textId="77777777" w:rsidR="009D0B5B" w:rsidRDefault="009D0B5B" w:rsidP="009D0B5B">
      <w:pPr>
        <w:pStyle w:val="Caption"/>
      </w:pPr>
      <w:r>
        <w:rPr>
          <w:rFonts w:cs="Times New Roman"/>
          <w:sz w:val="24"/>
        </w:rPr>
        <w:t>Table 1. Starbucks’ global configuration and strategic implications</w:t>
      </w:r>
    </w:p>
    <w:tbl>
      <w:tblPr>
        <w:tblStyle w:val="TableGrid"/>
        <w:tblW w:w="0" w:type="auto"/>
        <w:jc w:val="center"/>
        <w:tblLayout w:type="fixed"/>
        <w:tblLook w:val="04A0" w:firstRow="1" w:lastRow="0" w:firstColumn="1" w:lastColumn="0" w:noHBand="0" w:noVBand="1"/>
      </w:tblPr>
      <w:tblGrid>
        <w:gridCol w:w="1944"/>
        <w:gridCol w:w="3671"/>
        <w:gridCol w:w="3744"/>
      </w:tblGrid>
      <w:tr w:rsidR="009D0B5B" w14:paraId="6F21523D" w14:textId="77777777" w:rsidTr="004B2B6D">
        <w:trPr>
          <w:cantSplit/>
          <w:tblHeader/>
          <w:jc w:val="center"/>
        </w:trPr>
        <w:tc>
          <w:tcPr>
            <w:tcW w:w="1944" w:type="dxa"/>
            <w:shd w:val="clear" w:color="auto" w:fill="B4C6E7"/>
            <w:tcMar>
              <w:top w:w="70" w:type="dxa"/>
              <w:left w:w="85" w:type="dxa"/>
              <w:bottom w:w="70" w:type="dxa"/>
              <w:right w:w="85" w:type="dxa"/>
            </w:tcMar>
            <w:vAlign w:val="center"/>
          </w:tcPr>
          <w:p w14:paraId="6A2CF9A4" w14:textId="77777777" w:rsidR="009D0B5B" w:rsidRDefault="009D0B5B" w:rsidP="004B2B6D">
            <w:pPr>
              <w:jc w:val="left"/>
            </w:pPr>
            <w:r>
              <w:rPr>
                <w:rFonts w:cs="Times New Roman"/>
                <w:b/>
                <w:sz w:val="24"/>
              </w:rPr>
              <w:t>Indicator</w:t>
            </w:r>
          </w:p>
        </w:tc>
        <w:tc>
          <w:tcPr>
            <w:tcW w:w="3671" w:type="dxa"/>
            <w:shd w:val="clear" w:color="auto" w:fill="B4C6E7"/>
            <w:tcMar>
              <w:top w:w="70" w:type="dxa"/>
              <w:left w:w="85" w:type="dxa"/>
              <w:bottom w:w="70" w:type="dxa"/>
              <w:right w:w="85" w:type="dxa"/>
            </w:tcMar>
            <w:vAlign w:val="center"/>
          </w:tcPr>
          <w:p w14:paraId="5A71FC6B" w14:textId="77777777" w:rsidR="009D0B5B" w:rsidRDefault="009D0B5B" w:rsidP="004B2B6D">
            <w:pPr>
              <w:jc w:val="left"/>
            </w:pPr>
            <w:r>
              <w:rPr>
                <w:rFonts w:cs="Times New Roman"/>
                <w:b/>
                <w:sz w:val="24"/>
              </w:rPr>
              <w:t>Current evidence</w:t>
            </w:r>
          </w:p>
        </w:tc>
        <w:tc>
          <w:tcPr>
            <w:tcW w:w="3744" w:type="dxa"/>
            <w:shd w:val="clear" w:color="auto" w:fill="B4C6E7"/>
            <w:tcMar>
              <w:top w:w="70" w:type="dxa"/>
              <w:left w:w="85" w:type="dxa"/>
              <w:bottom w:w="70" w:type="dxa"/>
              <w:right w:w="85" w:type="dxa"/>
            </w:tcMar>
            <w:vAlign w:val="center"/>
          </w:tcPr>
          <w:p w14:paraId="61ED7EAB" w14:textId="77777777" w:rsidR="009D0B5B" w:rsidRDefault="009D0B5B" w:rsidP="004B2B6D">
            <w:pPr>
              <w:jc w:val="left"/>
            </w:pPr>
            <w:r>
              <w:rPr>
                <w:rFonts w:cs="Times New Roman"/>
                <w:b/>
                <w:sz w:val="24"/>
              </w:rPr>
              <w:t>Strategic implication</w:t>
            </w:r>
          </w:p>
        </w:tc>
      </w:tr>
      <w:tr w:rsidR="009D0B5B" w14:paraId="72D27A38" w14:textId="77777777" w:rsidTr="004B2B6D">
        <w:trPr>
          <w:cantSplit/>
          <w:jc w:val="center"/>
        </w:trPr>
        <w:tc>
          <w:tcPr>
            <w:tcW w:w="1944" w:type="dxa"/>
            <w:tcMar>
              <w:top w:w="70" w:type="dxa"/>
              <w:left w:w="85" w:type="dxa"/>
              <w:bottom w:w="70" w:type="dxa"/>
              <w:right w:w="85" w:type="dxa"/>
            </w:tcMar>
          </w:tcPr>
          <w:p w14:paraId="6C5CF27B" w14:textId="77777777" w:rsidR="009D0B5B" w:rsidRDefault="009D0B5B" w:rsidP="004B2B6D">
            <w:pPr>
              <w:jc w:val="left"/>
            </w:pPr>
            <w:r>
              <w:rPr>
                <w:rFonts w:cs="Times New Roman"/>
                <w:sz w:val="24"/>
              </w:rPr>
              <w:t>Global estate</w:t>
            </w:r>
          </w:p>
        </w:tc>
        <w:tc>
          <w:tcPr>
            <w:tcW w:w="3671" w:type="dxa"/>
            <w:tcMar>
              <w:top w:w="70" w:type="dxa"/>
              <w:left w:w="85" w:type="dxa"/>
              <w:bottom w:w="70" w:type="dxa"/>
              <w:right w:w="85" w:type="dxa"/>
            </w:tcMar>
          </w:tcPr>
          <w:p w14:paraId="44CF507E" w14:textId="77777777" w:rsidR="009D0B5B" w:rsidRDefault="009D0B5B" w:rsidP="004B2B6D">
            <w:pPr>
              <w:jc w:val="left"/>
            </w:pPr>
            <w:r>
              <w:rPr>
                <w:rFonts w:cs="Times New Roman"/>
                <w:sz w:val="24"/>
              </w:rPr>
              <w:t>40,990 FY2025 stores: 21,514 company-operated and 19,476 licensed.</w:t>
            </w:r>
          </w:p>
        </w:tc>
        <w:tc>
          <w:tcPr>
            <w:tcW w:w="3744" w:type="dxa"/>
            <w:tcMar>
              <w:top w:w="70" w:type="dxa"/>
              <w:left w:w="85" w:type="dxa"/>
              <w:bottom w:w="70" w:type="dxa"/>
              <w:right w:w="85" w:type="dxa"/>
            </w:tcMar>
          </w:tcPr>
          <w:p w14:paraId="604FDCB2" w14:textId="77777777" w:rsidR="009D0B5B" w:rsidRDefault="009D0B5B" w:rsidP="004B2B6D">
            <w:pPr>
              <w:jc w:val="left"/>
            </w:pPr>
            <w:r>
              <w:rPr>
                <w:rFonts w:cs="Times New Roman"/>
                <w:sz w:val="24"/>
              </w:rPr>
              <w:t>The portfolio balances direct control and capital-light growth.</w:t>
            </w:r>
          </w:p>
        </w:tc>
      </w:tr>
      <w:tr w:rsidR="009D0B5B" w14:paraId="4BD2C1E9" w14:textId="77777777" w:rsidTr="004B2B6D">
        <w:trPr>
          <w:cantSplit/>
          <w:jc w:val="center"/>
        </w:trPr>
        <w:tc>
          <w:tcPr>
            <w:tcW w:w="1944" w:type="dxa"/>
            <w:shd w:val="clear" w:color="auto" w:fill="F4F6F7"/>
            <w:tcMar>
              <w:top w:w="70" w:type="dxa"/>
              <w:left w:w="85" w:type="dxa"/>
              <w:bottom w:w="70" w:type="dxa"/>
              <w:right w:w="85" w:type="dxa"/>
            </w:tcMar>
          </w:tcPr>
          <w:p w14:paraId="0FA7A338" w14:textId="77777777" w:rsidR="009D0B5B" w:rsidRDefault="009D0B5B" w:rsidP="004B2B6D">
            <w:pPr>
              <w:jc w:val="left"/>
            </w:pPr>
            <w:r>
              <w:rPr>
                <w:rFonts w:cs="Times New Roman"/>
                <w:sz w:val="24"/>
              </w:rPr>
              <w:t>International estate</w:t>
            </w:r>
          </w:p>
        </w:tc>
        <w:tc>
          <w:tcPr>
            <w:tcW w:w="3671" w:type="dxa"/>
            <w:shd w:val="clear" w:color="auto" w:fill="F4F6F7"/>
            <w:tcMar>
              <w:top w:w="70" w:type="dxa"/>
              <w:left w:w="85" w:type="dxa"/>
              <w:bottom w:w="70" w:type="dxa"/>
              <w:right w:w="85" w:type="dxa"/>
            </w:tcMar>
          </w:tcPr>
          <w:p w14:paraId="2D2D4BF9" w14:textId="77777777" w:rsidR="009D0B5B" w:rsidRDefault="009D0B5B" w:rsidP="004B2B6D">
            <w:pPr>
              <w:jc w:val="left"/>
            </w:pPr>
            <w:r>
              <w:rPr>
                <w:rFonts w:cs="Times New Roman"/>
                <w:sz w:val="24"/>
              </w:rPr>
              <w:t>22,679 stores; about 54 percent licensed.</w:t>
            </w:r>
          </w:p>
        </w:tc>
        <w:tc>
          <w:tcPr>
            <w:tcW w:w="3744" w:type="dxa"/>
            <w:shd w:val="clear" w:color="auto" w:fill="F4F6F7"/>
            <w:tcMar>
              <w:top w:w="70" w:type="dxa"/>
              <w:left w:w="85" w:type="dxa"/>
              <w:bottom w:w="70" w:type="dxa"/>
              <w:right w:w="85" w:type="dxa"/>
            </w:tcMar>
          </w:tcPr>
          <w:p w14:paraId="3DC864E0" w14:textId="77777777" w:rsidR="009D0B5B" w:rsidRDefault="009D0B5B" w:rsidP="004B2B6D">
            <w:pPr>
              <w:jc w:val="left"/>
            </w:pPr>
            <w:r>
              <w:rPr>
                <w:rFonts w:cs="Times New Roman"/>
                <w:sz w:val="24"/>
              </w:rPr>
              <w:t>Licensing already dominates international outlet count.</w:t>
            </w:r>
          </w:p>
        </w:tc>
      </w:tr>
      <w:tr w:rsidR="009D0B5B" w14:paraId="6B52B4C1" w14:textId="77777777" w:rsidTr="004B2B6D">
        <w:trPr>
          <w:cantSplit/>
          <w:jc w:val="center"/>
        </w:trPr>
        <w:tc>
          <w:tcPr>
            <w:tcW w:w="1944" w:type="dxa"/>
            <w:tcMar>
              <w:top w:w="70" w:type="dxa"/>
              <w:left w:w="85" w:type="dxa"/>
              <w:bottom w:w="70" w:type="dxa"/>
              <w:right w:w="85" w:type="dxa"/>
            </w:tcMar>
          </w:tcPr>
          <w:p w14:paraId="6F65EDFE" w14:textId="77777777" w:rsidR="009D0B5B" w:rsidRDefault="009D0B5B" w:rsidP="004B2B6D">
            <w:pPr>
              <w:jc w:val="left"/>
            </w:pPr>
            <w:r>
              <w:rPr>
                <w:rFonts w:cs="Times New Roman"/>
                <w:sz w:val="24"/>
              </w:rPr>
              <w:t>FY2025 performance</w:t>
            </w:r>
          </w:p>
        </w:tc>
        <w:tc>
          <w:tcPr>
            <w:tcW w:w="3671" w:type="dxa"/>
            <w:tcMar>
              <w:top w:w="70" w:type="dxa"/>
              <w:left w:w="85" w:type="dxa"/>
              <w:bottom w:w="70" w:type="dxa"/>
              <w:right w:w="85" w:type="dxa"/>
            </w:tcMar>
          </w:tcPr>
          <w:p w14:paraId="34682E1F" w14:textId="77777777" w:rsidR="009D0B5B" w:rsidRDefault="009D0B5B" w:rsidP="004B2B6D">
            <w:pPr>
              <w:jc w:val="left"/>
            </w:pPr>
            <w:r>
              <w:rPr>
                <w:rFonts w:cs="Times New Roman"/>
                <w:sz w:val="24"/>
              </w:rPr>
              <w:t>US$37.2 billion revenue; about US$7.8 billion international.</w:t>
            </w:r>
          </w:p>
        </w:tc>
        <w:tc>
          <w:tcPr>
            <w:tcW w:w="3744" w:type="dxa"/>
            <w:tcMar>
              <w:top w:w="70" w:type="dxa"/>
              <w:left w:w="85" w:type="dxa"/>
              <w:bottom w:w="70" w:type="dxa"/>
              <w:right w:w="85" w:type="dxa"/>
            </w:tcMar>
          </w:tcPr>
          <w:p w14:paraId="1BBE370D" w14:textId="77777777" w:rsidR="009D0B5B" w:rsidRDefault="009D0B5B" w:rsidP="004B2B6D">
            <w:pPr>
              <w:jc w:val="left"/>
            </w:pPr>
            <w:r>
              <w:rPr>
                <w:rFonts w:cs="Times New Roman"/>
                <w:sz w:val="24"/>
              </w:rPr>
              <w:t>Scale funds procurement and innovation but cannot guarantee local returns.</w:t>
            </w:r>
          </w:p>
        </w:tc>
      </w:tr>
      <w:tr w:rsidR="009D0B5B" w14:paraId="35C76B89" w14:textId="77777777" w:rsidTr="004B2B6D">
        <w:trPr>
          <w:cantSplit/>
          <w:jc w:val="center"/>
        </w:trPr>
        <w:tc>
          <w:tcPr>
            <w:tcW w:w="1944" w:type="dxa"/>
            <w:shd w:val="clear" w:color="auto" w:fill="F4F6F7"/>
            <w:tcMar>
              <w:top w:w="70" w:type="dxa"/>
              <w:left w:w="85" w:type="dxa"/>
              <w:bottom w:w="70" w:type="dxa"/>
              <w:right w:w="85" w:type="dxa"/>
            </w:tcMar>
          </w:tcPr>
          <w:p w14:paraId="5EED3172" w14:textId="77777777" w:rsidR="009D0B5B" w:rsidRDefault="009D0B5B" w:rsidP="004B2B6D">
            <w:pPr>
              <w:jc w:val="left"/>
            </w:pPr>
            <w:r>
              <w:rPr>
                <w:rFonts w:cs="Times New Roman"/>
                <w:sz w:val="24"/>
              </w:rPr>
              <w:t>FY2026 direction</w:t>
            </w:r>
          </w:p>
        </w:tc>
        <w:tc>
          <w:tcPr>
            <w:tcW w:w="3671" w:type="dxa"/>
            <w:shd w:val="clear" w:color="auto" w:fill="F4F6F7"/>
            <w:tcMar>
              <w:top w:w="70" w:type="dxa"/>
              <w:left w:w="85" w:type="dxa"/>
              <w:bottom w:w="70" w:type="dxa"/>
              <w:right w:w="85" w:type="dxa"/>
            </w:tcMar>
          </w:tcPr>
          <w:p w14:paraId="4C8EBA74" w14:textId="77777777" w:rsidR="009D0B5B" w:rsidRDefault="009D0B5B" w:rsidP="004B2B6D">
            <w:pPr>
              <w:jc w:val="left"/>
            </w:pPr>
            <w:r>
              <w:rPr>
                <w:rFonts w:cs="Times New Roman"/>
                <w:sz w:val="24"/>
              </w:rPr>
              <w:t>International revenue rose 10 percent year on year in Q2.</w:t>
            </w:r>
          </w:p>
        </w:tc>
        <w:tc>
          <w:tcPr>
            <w:tcW w:w="3744" w:type="dxa"/>
            <w:shd w:val="clear" w:color="auto" w:fill="F4F6F7"/>
            <w:tcMar>
              <w:top w:w="70" w:type="dxa"/>
              <w:left w:w="85" w:type="dxa"/>
              <w:bottom w:w="70" w:type="dxa"/>
              <w:right w:w="85" w:type="dxa"/>
            </w:tcMar>
          </w:tcPr>
          <w:p w14:paraId="1A93DE64" w14:textId="77777777" w:rsidR="009D0B5B" w:rsidRDefault="009D0B5B" w:rsidP="004B2B6D">
            <w:pPr>
              <w:jc w:val="left"/>
            </w:pPr>
            <w:r>
              <w:rPr>
                <w:rFonts w:cs="Times New Roman"/>
                <w:sz w:val="24"/>
              </w:rPr>
              <w:t>Growth remains important, but site economics require discipline.</w:t>
            </w:r>
          </w:p>
        </w:tc>
      </w:tr>
    </w:tbl>
    <w:p w14:paraId="3E752C01" w14:textId="77777777" w:rsidR="009D0B5B" w:rsidRDefault="009D0B5B" w:rsidP="009D0B5B">
      <w:r>
        <w:rPr>
          <w:rFonts w:cs="Times New Roman"/>
          <w:i/>
        </w:rPr>
        <w:t>Source: compiled from Starbucks (2025, 2026).</w:t>
      </w:r>
    </w:p>
    <w:p w14:paraId="3025F5E9" w14:textId="77777777" w:rsidR="009D0B5B" w:rsidRDefault="009D0B5B" w:rsidP="009D0B5B">
      <w:r w:rsidRPr="00903EAC">
        <w:rPr>
          <w:rFonts w:cs="Times New Roman"/>
        </w:rPr>
        <w:t xml:space="preserve">The structure generates four benefits brand recognition justifies premium pricing, scale of procurement, roasting and innovation enhances consistency, codified training transfers service knowledge and licensed partners transform local property, regulatory knowledge and capital to growth. These are accompanied by vulnerabilities. Food-safety or service failures are </w:t>
      </w:r>
      <w:r w:rsidRPr="00903EAC">
        <w:rPr>
          <w:rFonts w:cs="Times New Roman"/>
        </w:rPr>
        <w:lastRenderedPageBreak/>
        <w:t>transmitted by common branding, margins to currency shocks by imported inputs and can be replicated by weak sites by rapid rollout. FY2025 closures reveal that geographic expansion of stores that do not produce value kills value (Starbucks, 2025). Bangladesh must be seen as an option to be learned, and not an opening or commitment to national scale.</w:t>
      </w:r>
    </w:p>
    <w:p w14:paraId="3B57B36D" w14:textId="77777777" w:rsidR="009D0B5B" w:rsidRDefault="009D0B5B" w:rsidP="009D0B5B">
      <w:pPr>
        <w:pStyle w:val="Heading1"/>
      </w:pPr>
      <w:bookmarkStart w:id="4" w:name="_Toc235901540"/>
      <w:r>
        <w:rPr>
          <w:rFonts w:eastAsia="Times New Roman" w:cs="Times New Roman"/>
          <w:color w:val="000000"/>
        </w:rPr>
        <w:t>3. Macro-Environmental Appraisal and Market Attractiveness</w:t>
      </w:r>
      <w:bookmarkEnd w:id="4"/>
    </w:p>
    <w:p w14:paraId="2E8B36E3" w14:textId="77777777" w:rsidR="009D0B5B" w:rsidRDefault="009D0B5B" w:rsidP="009D0B5B">
      <w:pPr>
        <w:pStyle w:val="Heading2"/>
      </w:pPr>
      <w:bookmarkStart w:id="5" w:name="_Toc235901541"/>
      <w:r>
        <w:rPr>
          <w:rFonts w:eastAsia="Times New Roman" w:cs="Times New Roman"/>
          <w:color w:val="000000"/>
        </w:rPr>
        <w:t>3.1 Political and institutional environment</w:t>
      </w:r>
      <w:bookmarkEnd w:id="5"/>
    </w:p>
    <w:p w14:paraId="2DC57796" w14:textId="77777777" w:rsidR="009D0B5B" w:rsidRPr="00903EAC" w:rsidRDefault="009D0B5B" w:rsidP="009D0B5B">
      <w:pPr>
        <w:rPr>
          <w:rFonts w:cs="Times New Roman"/>
        </w:rPr>
      </w:pPr>
      <w:r w:rsidRPr="00903EAC">
        <w:rPr>
          <w:rFonts w:cs="Times New Roman"/>
        </w:rPr>
        <w:t>The year 2026 saw Bangladesh coming out of political transition. The elected government was more concerned with stabilisation, employment, diversification of exports and investment (Reuters, 2026), and therefore, a service venture training young employees would be in line with the policy. But the transition was after disruption and polarisation. Security, institutional performance and political inclusion were found to be immediate tests by international crisis group (2026). The presence of a visible United States brand would put a temporary halt on traffic or reputation even when there is no threat of ownership.</w:t>
      </w:r>
    </w:p>
    <w:p w14:paraId="0B897629" w14:textId="77777777" w:rsidR="009D0B5B" w:rsidRDefault="009D0B5B" w:rsidP="009D0B5B">
      <w:r w:rsidRPr="00903EAC">
        <w:rPr>
          <w:rFonts w:cs="Times New Roman"/>
        </w:rPr>
        <w:t>The more problematic is administrative implementation. Delay, risk of corruption, inconsistent taxation, infrastructure limitations and poor enforcement are found in the United States commercial guide (US Department of Commerce, 2026). These impact practices, city permission, utility, checks and rents. The result of 53 on regulatory framework, 45 on public services and 58 on operational efficiency (B-READY) proves that there is a discrepancy between the formal rules and their application (World Bank, 2025). Risk will thus tend to manifest itself more in terms of delay, leakage, compliance exposure than expropriation. A partner can limit liability of outsiders at the expense of agency risk. Auditable procurement, anti-bribery controls, protected reporting, sanctions screening and a right to stop development should be obligatory at Starbucks when security, approvals or compliance violations agreed tolerances.</w:t>
      </w:r>
    </w:p>
    <w:p w14:paraId="3386AD01" w14:textId="77777777" w:rsidR="009D0B5B" w:rsidRDefault="009D0B5B" w:rsidP="009D0B5B">
      <w:pPr>
        <w:pStyle w:val="Heading2"/>
      </w:pPr>
      <w:bookmarkStart w:id="6" w:name="_Toc235901542"/>
      <w:r>
        <w:rPr>
          <w:rFonts w:eastAsia="Times New Roman" w:cs="Times New Roman"/>
          <w:color w:val="000000"/>
        </w:rPr>
        <w:t>3.2 Economic environment, demand and competition</w:t>
      </w:r>
      <w:bookmarkEnd w:id="6"/>
    </w:p>
    <w:p w14:paraId="50A7DC59" w14:textId="77777777" w:rsidR="009D0B5B" w:rsidRPr="00903EAC" w:rsidRDefault="009D0B5B" w:rsidP="009D0B5B">
      <w:pPr>
        <w:rPr>
          <w:rFonts w:cs="Times New Roman"/>
        </w:rPr>
      </w:pPr>
      <w:r w:rsidRPr="00903EAC">
        <w:rPr>
          <w:rFonts w:cs="Times New Roman"/>
        </w:rPr>
        <w:t xml:space="preserve">The population of Bangladesh does not serve as a good proxy of the demand of premium coffee. The market in question is a pool of Dhaka catchments that comprise of wealthy households, office, university and malls. IMF estimates show that in 2026, the economy will grow 4.7 percent and inflation will be almost 9 percent (following poor FY2025 performance) (IMF, 2026). Inflation increases rent and wages, dairy, bakery, energy and fit out expenses and </w:t>
      </w:r>
      <w:r w:rsidRPr="00903EAC">
        <w:rPr>
          <w:rFonts w:cs="Times New Roman"/>
        </w:rPr>
        <w:lastRenderedPageBreak/>
        <w:t>decreases discretionary income. Brand recognition can generate trial, but recurrence purchase needs a price ladder which is inexpensive and easy to understand versus tea, restaurants and delivery options.</w:t>
      </w:r>
    </w:p>
    <w:p w14:paraId="52BD2C21" w14:textId="77777777" w:rsidR="009D0B5B" w:rsidRPr="00903EAC" w:rsidRDefault="009D0B5B" w:rsidP="009D0B5B">
      <w:pPr>
        <w:rPr>
          <w:rFonts w:cs="Times New Roman"/>
        </w:rPr>
      </w:pPr>
      <w:r w:rsidRPr="00903EAC">
        <w:rPr>
          <w:rFonts w:cs="Times New Roman"/>
        </w:rPr>
        <w:t>The occasion and site should be the factors of segmenting demand. The priorities of office workers might be speed and morning coffee; students might provide frequency and reduce tickets and longer dwell time; families might appreciate seating, food and parking; the delivery customers might appreciate cold drinks and bundles. A flagship, small office store and university adjacent format should thus be used to test different hypotheses. Poor economics would be masked by aggregation of their results.</w:t>
      </w:r>
    </w:p>
    <w:p w14:paraId="3E52DA1C" w14:textId="77777777" w:rsidR="009D0B5B" w:rsidRPr="00903EAC" w:rsidRDefault="009D0B5B" w:rsidP="009D0B5B">
      <w:pPr>
        <w:rPr>
          <w:rFonts w:cs="Times New Roman"/>
        </w:rPr>
      </w:pPr>
      <w:r w:rsidRPr="00903EAC">
        <w:rPr>
          <w:rFonts w:cs="Times New Roman"/>
        </w:rPr>
        <w:t>Imports intensify risk. In the 2025-26 tariff schedule, most of the classifications of coffee have high tax incidence depending on the form, packaging and valuation (National Board of Revenue, 2025). Equipment, flavours and coffee are purchased using a foreign currency whereas the revenue is collected using taki. Starbucks ought to profile every product at landed cost, retain the imported core narrow and source appropriate milk, bakery, package and tea and food locally. The pilot must survive examples of bad news, such as reduced transactions, taki depreciation and increased import costs; negotiated supplier and site information should be substituted with these situations before they are approved.</w:t>
      </w:r>
    </w:p>
    <w:p w14:paraId="0B864223" w14:textId="77777777" w:rsidR="009D0B5B" w:rsidRDefault="009D0B5B" w:rsidP="009D0B5B">
      <w:r w:rsidRPr="00903EAC">
        <w:rPr>
          <w:rFonts w:cs="Times New Roman"/>
        </w:rPr>
        <w:t>Sourcing locally is not necessarily cost effective. Approved beans and roasting standards are kept at the centre, and dairy and bakery and packaging suppliers might be required to invest in traceability, allergens and consistency. Leases must be developed beforehand, and should involve testing and backup and failure procedures by suppliers. The models should contain wastage, reliability of cold-chain, power backup, delay of customs, and spare parts. The partner who has procurement and technical capability is thus more desirable as compared to one who has property. Pre-opening qualification should determine what the inputs that can be localised without diluting the global proposition and which ones will have to be imported despite the increased cost.</w:t>
      </w:r>
    </w:p>
    <w:p w14:paraId="38A3E3A6" w14:textId="77777777" w:rsidR="009D0B5B" w:rsidRDefault="009D0B5B" w:rsidP="009D0B5B">
      <w:pPr>
        <w:pStyle w:val="Caption"/>
      </w:pPr>
      <w:r>
        <w:rPr>
          <w:rFonts w:cs="Times New Roman"/>
          <w:sz w:val="24"/>
        </w:rPr>
        <w:t>Table 2. Competitive evidence in Bangladesh’s premium cafe segment</w:t>
      </w:r>
    </w:p>
    <w:tbl>
      <w:tblPr>
        <w:tblStyle w:val="TableGrid"/>
        <w:tblW w:w="0" w:type="auto"/>
        <w:jc w:val="center"/>
        <w:tblLayout w:type="fixed"/>
        <w:tblLook w:val="04A0" w:firstRow="1" w:lastRow="0" w:firstColumn="1" w:lastColumn="0" w:noHBand="0" w:noVBand="1"/>
      </w:tblPr>
      <w:tblGrid>
        <w:gridCol w:w="1944"/>
        <w:gridCol w:w="3671"/>
        <w:gridCol w:w="3744"/>
      </w:tblGrid>
      <w:tr w:rsidR="009D0B5B" w14:paraId="153008A4" w14:textId="77777777" w:rsidTr="004B2B6D">
        <w:trPr>
          <w:cantSplit/>
          <w:tblHeader/>
          <w:jc w:val="center"/>
        </w:trPr>
        <w:tc>
          <w:tcPr>
            <w:tcW w:w="1944" w:type="dxa"/>
            <w:shd w:val="clear" w:color="auto" w:fill="B4C6E7"/>
            <w:tcMar>
              <w:top w:w="70" w:type="dxa"/>
              <w:left w:w="85" w:type="dxa"/>
              <w:bottom w:w="70" w:type="dxa"/>
              <w:right w:w="85" w:type="dxa"/>
            </w:tcMar>
            <w:vAlign w:val="center"/>
          </w:tcPr>
          <w:p w14:paraId="02613438" w14:textId="77777777" w:rsidR="009D0B5B" w:rsidRDefault="009D0B5B" w:rsidP="004B2B6D">
            <w:pPr>
              <w:jc w:val="left"/>
            </w:pPr>
            <w:r>
              <w:rPr>
                <w:rFonts w:cs="Times New Roman"/>
                <w:b/>
                <w:sz w:val="24"/>
              </w:rPr>
              <w:t>Competitor</w:t>
            </w:r>
          </w:p>
        </w:tc>
        <w:tc>
          <w:tcPr>
            <w:tcW w:w="3671" w:type="dxa"/>
            <w:shd w:val="clear" w:color="auto" w:fill="B4C6E7"/>
            <w:tcMar>
              <w:top w:w="70" w:type="dxa"/>
              <w:left w:w="85" w:type="dxa"/>
              <w:bottom w:w="70" w:type="dxa"/>
              <w:right w:w="85" w:type="dxa"/>
            </w:tcMar>
            <w:vAlign w:val="center"/>
          </w:tcPr>
          <w:p w14:paraId="661D04CF" w14:textId="77777777" w:rsidR="009D0B5B" w:rsidRDefault="009D0B5B" w:rsidP="004B2B6D">
            <w:pPr>
              <w:jc w:val="left"/>
            </w:pPr>
            <w:r>
              <w:rPr>
                <w:rFonts w:cs="Times New Roman"/>
                <w:b/>
                <w:sz w:val="24"/>
              </w:rPr>
              <w:t>Observed position</w:t>
            </w:r>
          </w:p>
        </w:tc>
        <w:tc>
          <w:tcPr>
            <w:tcW w:w="3744" w:type="dxa"/>
            <w:shd w:val="clear" w:color="auto" w:fill="B4C6E7"/>
            <w:tcMar>
              <w:top w:w="70" w:type="dxa"/>
              <w:left w:w="85" w:type="dxa"/>
              <w:bottom w:w="70" w:type="dxa"/>
              <w:right w:w="85" w:type="dxa"/>
            </w:tcMar>
            <w:vAlign w:val="center"/>
          </w:tcPr>
          <w:p w14:paraId="024E6973" w14:textId="77777777" w:rsidR="009D0B5B" w:rsidRDefault="009D0B5B" w:rsidP="004B2B6D">
            <w:pPr>
              <w:jc w:val="left"/>
            </w:pPr>
            <w:r>
              <w:rPr>
                <w:rFonts w:cs="Times New Roman"/>
                <w:b/>
                <w:sz w:val="24"/>
              </w:rPr>
              <w:t>Implication</w:t>
            </w:r>
          </w:p>
        </w:tc>
      </w:tr>
      <w:tr w:rsidR="009D0B5B" w14:paraId="406C74E0" w14:textId="77777777" w:rsidTr="004B2B6D">
        <w:trPr>
          <w:cantSplit/>
          <w:jc w:val="center"/>
        </w:trPr>
        <w:tc>
          <w:tcPr>
            <w:tcW w:w="1944" w:type="dxa"/>
            <w:tcMar>
              <w:top w:w="70" w:type="dxa"/>
              <w:left w:w="85" w:type="dxa"/>
              <w:bottom w:w="70" w:type="dxa"/>
              <w:right w:w="85" w:type="dxa"/>
            </w:tcMar>
          </w:tcPr>
          <w:p w14:paraId="6EC84755" w14:textId="77777777" w:rsidR="009D0B5B" w:rsidRDefault="009D0B5B" w:rsidP="004B2B6D">
            <w:pPr>
              <w:jc w:val="left"/>
            </w:pPr>
            <w:r>
              <w:rPr>
                <w:rFonts w:cs="Times New Roman"/>
                <w:sz w:val="24"/>
              </w:rPr>
              <w:t>North End Coffee Roasters</w:t>
            </w:r>
          </w:p>
        </w:tc>
        <w:tc>
          <w:tcPr>
            <w:tcW w:w="3671" w:type="dxa"/>
            <w:tcMar>
              <w:top w:w="70" w:type="dxa"/>
              <w:left w:w="85" w:type="dxa"/>
              <w:bottom w:w="70" w:type="dxa"/>
              <w:right w:w="85" w:type="dxa"/>
            </w:tcMar>
          </w:tcPr>
          <w:p w14:paraId="14656ADD" w14:textId="77777777" w:rsidR="009D0B5B" w:rsidRDefault="009D0B5B" w:rsidP="004B2B6D">
            <w:pPr>
              <w:jc w:val="left"/>
            </w:pPr>
            <w:r>
              <w:rPr>
                <w:rFonts w:cs="Times New Roman"/>
                <w:sz w:val="24"/>
              </w:rPr>
              <w:t>Fourteen Dhaka branches, one Ukhiya branch, local roasting and training.</w:t>
            </w:r>
          </w:p>
        </w:tc>
        <w:tc>
          <w:tcPr>
            <w:tcW w:w="3744" w:type="dxa"/>
            <w:tcMar>
              <w:top w:w="70" w:type="dxa"/>
              <w:left w:w="85" w:type="dxa"/>
              <w:bottom w:w="70" w:type="dxa"/>
              <w:right w:w="85" w:type="dxa"/>
            </w:tcMar>
          </w:tcPr>
          <w:p w14:paraId="11C151D1" w14:textId="77777777" w:rsidR="009D0B5B" w:rsidRDefault="009D0B5B" w:rsidP="004B2B6D">
            <w:pPr>
              <w:jc w:val="left"/>
            </w:pPr>
            <w:r>
              <w:rPr>
                <w:rFonts w:cs="Times New Roman"/>
                <w:sz w:val="24"/>
              </w:rPr>
              <w:t>Starbucks enters an established specialty market.</w:t>
            </w:r>
          </w:p>
        </w:tc>
      </w:tr>
      <w:tr w:rsidR="009D0B5B" w14:paraId="5E00E8F7" w14:textId="77777777" w:rsidTr="004B2B6D">
        <w:trPr>
          <w:cantSplit/>
          <w:jc w:val="center"/>
        </w:trPr>
        <w:tc>
          <w:tcPr>
            <w:tcW w:w="1944" w:type="dxa"/>
            <w:shd w:val="clear" w:color="auto" w:fill="F4F6F7"/>
            <w:tcMar>
              <w:top w:w="70" w:type="dxa"/>
              <w:left w:w="85" w:type="dxa"/>
              <w:bottom w:w="70" w:type="dxa"/>
              <w:right w:w="85" w:type="dxa"/>
            </w:tcMar>
          </w:tcPr>
          <w:p w14:paraId="1BCC86D3" w14:textId="77777777" w:rsidR="009D0B5B" w:rsidRDefault="009D0B5B" w:rsidP="004B2B6D">
            <w:pPr>
              <w:jc w:val="left"/>
            </w:pPr>
            <w:r>
              <w:rPr>
                <w:rFonts w:cs="Times New Roman"/>
                <w:sz w:val="24"/>
              </w:rPr>
              <w:lastRenderedPageBreak/>
              <w:t>Crimson Cup Bangladesh</w:t>
            </w:r>
          </w:p>
        </w:tc>
        <w:tc>
          <w:tcPr>
            <w:tcW w:w="3671" w:type="dxa"/>
            <w:shd w:val="clear" w:color="auto" w:fill="F4F6F7"/>
            <w:tcMar>
              <w:top w:w="70" w:type="dxa"/>
              <w:left w:w="85" w:type="dxa"/>
              <w:bottom w:w="70" w:type="dxa"/>
              <w:right w:w="85" w:type="dxa"/>
            </w:tcMar>
          </w:tcPr>
          <w:p w14:paraId="105D1124" w14:textId="77777777" w:rsidR="009D0B5B" w:rsidRDefault="009D0B5B" w:rsidP="004B2B6D">
            <w:pPr>
              <w:jc w:val="left"/>
            </w:pPr>
            <w:r>
              <w:rPr>
                <w:rFonts w:cs="Times New Roman"/>
                <w:sz w:val="24"/>
              </w:rPr>
              <w:t>Thirteen listed Dhaka outlets plus Khulna; operating since 2015.</w:t>
            </w:r>
          </w:p>
        </w:tc>
        <w:tc>
          <w:tcPr>
            <w:tcW w:w="3744" w:type="dxa"/>
            <w:shd w:val="clear" w:color="auto" w:fill="F4F6F7"/>
            <w:tcMar>
              <w:top w:w="70" w:type="dxa"/>
              <w:left w:w="85" w:type="dxa"/>
              <w:bottom w:w="70" w:type="dxa"/>
              <w:right w:w="85" w:type="dxa"/>
            </w:tcMar>
          </w:tcPr>
          <w:p w14:paraId="5D67464D" w14:textId="77777777" w:rsidR="009D0B5B" w:rsidRDefault="009D0B5B" w:rsidP="004B2B6D">
            <w:pPr>
              <w:jc w:val="left"/>
            </w:pPr>
            <w:r>
              <w:rPr>
                <w:rFonts w:cs="Times New Roman"/>
                <w:sz w:val="24"/>
              </w:rPr>
              <w:t>International branding alone is insufficient.</w:t>
            </w:r>
          </w:p>
        </w:tc>
      </w:tr>
      <w:tr w:rsidR="009D0B5B" w14:paraId="558E3E9B" w14:textId="77777777" w:rsidTr="004B2B6D">
        <w:trPr>
          <w:cantSplit/>
          <w:jc w:val="center"/>
        </w:trPr>
        <w:tc>
          <w:tcPr>
            <w:tcW w:w="1944" w:type="dxa"/>
            <w:tcMar>
              <w:top w:w="70" w:type="dxa"/>
              <w:left w:w="85" w:type="dxa"/>
              <w:bottom w:w="70" w:type="dxa"/>
              <w:right w:w="85" w:type="dxa"/>
            </w:tcMar>
          </w:tcPr>
          <w:p w14:paraId="63F62245" w14:textId="77777777" w:rsidR="009D0B5B" w:rsidRDefault="009D0B5B" w:rsidP="004B2B6D">
            <w:pPr>
              <w:jc w:val="left"/>
            </w:pPr>
            <w:r>
              <w:rPr>
                <w:rFonts w:cs="Times New Roman"/>
                <w:sz w:val="24"/>
              </w:rPr>
              <w:t>Gloria Jean’s Coffees</w:t>
            </w:r>
          </w:p>
        </w:tc>
        <w:tc>
          <w:tcPr>
            <w:tcW w:w="3671" w:type="dxa"/>
            <w:tcMar>
              <w:top w:w="70" w:type="dxa"/>
              <w:left w:w="85" w:type="dxa"/>
              <w:bottom w:w="70" w:type="dxa"/>
              <w:right w:w="85" w:type="dxa"/>
            </w:tcMar>
          </w:tcPr>
          <w:p w14:paraId="748DA966" w14:textId="77777777" w:rsidR="009D0B5B" w:rsidRDefault="009D0B5B" w:rsidP="004B2B6D">
            <w:pPr>
              <w:jc w:val="left"/>
            </w:pPr>
            <w:r>
              <w:rPr>
                <w:rFonts w:cs="Times New Roman"/>
                <w:sz w:val="24"/>
              </w:rPr>
              <w:t>Several Dhaka outlets; cappuccino and latte Tk 300, Americano Tk 255.</w:t>
            </w:r>
          </w:p>
        </w:tc>
        <w:tc>
          <w:tcPr>
            <w:tcW w:w="3744" w:type="dxa"/>
            <w:tcMar>
              <w:top w:w="70" w:type="dxa"/>
              <w:left w:w="85" w:type="dxa"/>
              <w:bottom w:w="70" w:type="dxa"/>
              <w:right w:w="85" w:type="dxa"/>
            </w:tcMar>
          </w:tcPr>
          <w:p w14:paraId="79A8A350" w14:textId="77777777" w:rsidR="009D0B5B" w:rsidRDefault="009D0B5B" w:rsidP="004B2B6D">
            <w:pPr>
              <w:jc w:val="left"/>
            </w:pPr>
            <w:r>
              <w:rPr>
                <w:rFonts w:cs="Times New Roman"/>
                <w:sz w:val="24"/>
              </w:rPr>
              <w:t>Local premium benchmarks constrain pricing.</w:t>
            </w:r>
          </w:p>
        </w:tc>
      </w:tr>
      <w:tr w:rsidR="009D0B5B" w14:paraId="50F4BF56" w14:textId="77777777" w:rsidTr="004B2B6D">
        <w:trPr>
          <w:cantSplit/>
          <w:jc w:val="center"/>
        </w:trPr>
        <w:tc>
          <w:tcPr>
            <w:tcW w:w="1944" w:type="dxa"/>
            <w:shd w:val="clear" w:color="auto" w:fill="F4F6F7"/>
            <w:tcMar>
              <w:top w:w="70" w:type="dxa"/>
              <w:left w:w="85" w:type="dxa"/>
              <w:bottom w:w="70" w:type="dxa"/>
              <w:right w:w="85" w:type="dxa"/>
            </w:tcMar>
          </w:tcPr>
          <w:p w14:paraId="4D04949A" w14:textId="77777777" w:rsidR="009D0B5B" w:rsidRDefault="009D0B5B" w:rsidP="004B2B6D">
            <w:pPr>
              <w:jc w:val="left"/>
            </w:pPr>
            <w:r>
              <w:rPr>
                <w:rFonts w:cs="Times New Roman"/>
                <w:sz w:val="24"/>
              </w:rPr>
              <w:t>Cafe Amazon</w:t>
            </w:r>
          </w:p>
        </w:tc>
        <w:tc>
          <w:tcPr>
            <w:tcW w:w="3671" w:type="dxa"/>
            <w:shd w:val="clear" w:color="auto" w:fill="F4F6F7"/>
            <w:tcMar>
              <w:top w:w="70" w:type="dxa"/>
              <w:left w:w="85" w:type="dxa"/>
              <w:bottom w:w="70" w:type="dxa"/>
              <w:right w:w="85" w:type="dxa"/>
            </w:tcMar>
          </w:tcPr>
          <w:p w14:paraId="43C5BF0C" w14:textId="77777777" w:rsidR="009D0B5B" w:rsidRDefault="009D0B5B" w:rsidP="004B2B6D">
            <w:pPr>
              <w:jc w:val="left"/>
            </w:pPr>
            <w:r>
              <w:rPr>
                <w:rFonts w:cs="Times New Roman"/>
                <w:sz w:val="24"/>
              </w:rPr>
              <w:t>Master franchise announced with ambition for up to 100 stores.</w:t>
            </w:r>
          </w:p>
        </w:tc>
        <w:tc>
          <w:tcPr>
            <w:tcW w:w="3744" w:type="dxa"/>
            <w:shd w:val="clear" w:color="auto" w:fill="F4F6F7"/>
            <w:tcMar>
              <w:top w:w="70" w:type="dxa"/>
              <w:left w:w="85" w:type="dxa"/>
              <w:bottom w:w="70" w:type="dxa"/>
              <w:right w:w="85" w:type="dxa"/>
            </w:tcMar>
          </w:tcPr>
          <w:p w14:paraId="143F06CE" w14:textId="77777777" w:rsidR="009D0B5B" w:rsidRDefault="009D0B5B" w:rsidP="004B2B6D">
            <w:pPr>
              <w:jc w:val="left"/>
            </w:pPr>
            <w:r>
              <w:rPr>
                <w:rFonts w:cs="Times New Roman"/>
                <w:sz w:val="24"/>
              </w:rPr>
              <w:t>First-mover advantage is already contested.</w:t>
            </w:r>
          </w:p>
        </w:tc>
      </w:tr>
    </w:tbl>
    <w:p w14:paraId="585D306A" w14:textId="77777777" w:rsidR="009D0B5B" w:rsidRDefault="009D0B5B" w:rsidP="009D0B5B">
      <w:r>
        <w:rPr>
          <w:rFonts w:cs="Times New Roman"/>
          <w:i/>
        </w:rPr>
        <w:t>Source: North End Coffee Roasters (2026); Crimson Cup Bangladesh (2026); Gloria Jean’s Coffees Bangladesh (2026); World Coffee Portal (2024).</w:t>
      </w:r>
    </w:p>
    <w:p w14:paraId="0A173B1C" w14:textId="77777777" w:rsidR="009D0B5B" w:rsidRPr="00903EAC" w:rsidRDefault="009D0B5B" w:rsidP="009D0B5B">
      <w:pPr>
        <w:rPr>
          <w:rFonts w:cs="Times New Roman"/>
        </w:rPr>
      </w:pPr>
      <w:r w:rsidRPr="00903EAC">
        <w:rPr>
          <w:rFonts w:cs="Times New Roman"/>
        </w:rPr>
        <w:t>The logic of competition alteration. Starbucks introduces the global consciousness, digitality, and experience design, whereas local chains have a strong location, fewer expenses and consumer experience. North End proves the quality of its specialty to be credible, Crimson Cup proves that a global idea can grow, and Gloria Jean has prices that offer an imperfect willingness-to-pay indicator. Starbucks should not make assumptions based on the queues at the time of launch. Some of the requirements that the pilot has to follow before replication include ninety day repeat rate, average ticket, beverage mix, dwell time, delivery contribution and acquisition cost without any promotional effect. Outlet density and menus, ratings of the delivery, opening hours, seating, promotions, and distance to offices or universities should be competitor mapped to create a catchment-based comparison, not national.</w:t>
      </w:r>
    </w:p>
    <w:p w14:paraId="38436A87" w14:textId="77777777" w:rsidR="009D0B5B" w:rsidRPr="00903EAC" w:rsidRDefault="009D0B5B" w:rsidP="009D0B5B">
      <w:pPr>
        <w:rPr>
          <w:rFonts w:cs="Times New Roman"/>
        </w:rPr>
      </w:pPr>
      <w:r w:rsidRPr="00903EAC">
        <w:rPr>
          <w:rFonts w:cs="Times New Roman"/>
        </w:rPr>
        <w:t>The central coffees of Gloria Jean of approximately Tk 255 to Tk 300 also indicate that the high prices are limited, yet, the amount of products and services vary ( Gloria Jean Coffees Bangladesh, 2026). Starbucks ought to experiment with menu ideas and price elasticity prior to unveiling the brand, and contrast branded readiness to pay. The findings can be used to justify smaller sizes, bundling and format-based pricing, but can not just permanent discounting.</w:t>
      </w:r>
    </w:p>
    <w:p w14:paraId="0D5A9037" w14:textId="77777777" w:rsidR="009D0B5B" w:rsidRDefault="009D0B5B" w:rsidP="009D0B5B">
      <w:r w:rsidRPr="00903EAC">
        <w:rPr>
          <w:rFonts w:cs="Times New Roman"/>
        </w:rPr>
        <w:t xml:space="preserve">The mobile financial services and QR ecosystem in Bangladesh helps in integrating local-wallet and delivery (Bangladesh Bank, 2025), however, the price point is a determining factor. Starbucks Rewards must be the last and not the first to be validated, i.e. consent, localisation, cybersecurity and integration. Bangladesh as a whole is a long-term city project and not an argument to roll out assets intensive. The decision involves validated rents, daypart footfall, demand of delivery, competitor mapping, store level price test and break even analysis. </w:t>
      </w:r>
      <w:r w:rsidRPr="00903EAC">
        <w:rPr>
          <w:rFonts w:cs="Times New Roman"/>
        </w:rPr>
        <w:lastRenderedPageBreak/>
        <w:t>Convenience and learning should be facilitated through digital channels, although the economics of stores should be sustainable without platform discounts and loyalty rewards that are unsustainable.</w:t>
      </w:r>
    </w:p>
    <w:p w14:paraId="665B5948" w14:textId="77777777" w:rsidR="009D0B5B" w:rsidRDefault="009D0B5B" w:rsidP="009D0B5B">
      <w:pPr>
        <w:pStyle w:val="Heading2"/>
      </w:pPr>
      <w:bookmarkStart w:id="7" w:name="_Toc235901543"/>
      <w:r>
        <w:rPr>
          <w:rFonts w:eastAsia="Times New Roman" w:cs="Times New Roman"/>
          <w:color w:val="000000"/>
        </w:rPr>
        <w:t>3.3 Legal and regulatory environment</w:t>
      </w:r>
      <w:bookmarkEnd w:id="7"/>
    </w:p>
    <w:p w14:paraId="597D0E0D" w14:textId="77777777" w:rsidR="009D0B5B" w:rsidRPr="00903EAC" w:rsidRDefault="009D0B5B" w:rsidP="009D0B5B">
      <w:pPr>
        <w:rPr>
          <w:rFonts w:cs="Times New Roman"/>
        </w:rPr>
      </w:pPr>
      <w:r w:rsidRPr="00903EAC">
        <w:rPr>
          <w:rFonts w:cs="Times New Roman"/>
        </w:rPr>
        <w:t>Wholly foreign-own and joint-venture service businesses are allowed in Bangladesh and therefore, licensing is not a legal requirement (Bangladesh Investment Development Authority, 2026). It must be selected in the complementary assets and limited commitment. The lack of formal transparency is compensated by ineffective public services and insolvency regimes (World Bank, 2025), so it is slower to establish, resolve disputes and exit than the statutes suggest. Starbucks must not have a huge lease portfolio until economics and enforcement has been put to test. The mode choice should thus be a practical reversibility, and formal ownership rights.</w:t>
      </w:r>
    </w:p>
    <w:p w14:paraId="2D90DBF8" w14:textId="77777777" w:rsidR="009D0B5B" w:rsidRPr="00903EAC" w:rsidRDefault="009D0B5B" w:rsidP="009D0B5B">
      <w:pPr>
        <w:rPr>
          <w:rFonts w:cs="Times New Roman"/>
        </w:rPr>
      </w:pPr>
      <w:r w:rsidRPr="00903EAC">
        <w:rPr>
          <w:rFonts w:cs="Times New Roman"/>
        </w:rPr>
        <w:t>The operationally material food compliance. Ingredients, labelling, additives, premises and imports are regulated by food-safety, standards, customs and local authorities. According to USDA FAS (2025), there is active development of rules and enhanced capacity of inspection. All the ingredients require up-to-date tariff and standards mapping, certificates, traceability, allergen controls and Bangali labelling (where necessary). Halal certification must be on meat, dairy inputs, flavour carriers and cross-contamination. Tax advice should cover VAT, withholding, royalties, the valuation of customs and transfer pricing. Each permit, certificate and recurring inspection should be allocated by a named owner, deadline and escalation route by a pre-opening compliance register.</w:t>
      </w:r>
    </w:p>
    <w:p w14:paraId="29538B5E" w14:textId="77777777" w:rsidR="009D0B5B" w:rsidRDefault="009D0B5B" w:rsidP="009D0B5B">
      <w:r w:rsidRPr="00903EAC">
        <w:rPr>
          <w:rFonts w:cs="Times New Roman"/>
        </w:rPr>
        <w:t>There should be early intervention in terms of intellectual property and data. Before entering into a negotiation with the populace, Starbucks must be registered by word marks, the siren device, transliterations, domains and key product names. The Personal Data Protection Ordinance 2025, which was amended in 2026, has an impact on the loyalty profiles, location data, marketing and cross-border processing (Government of Bangladesh, 2025; Government of Bangladesh, 2026). Minimisation of data, documented agreement, processor agreement and breach reaction must be considered launch controls. Approved-supplier schedules, audit and step-in rights, anti-corruption warranties, performance milestones, enforceable dispute resolution and smooth transition should be included in the licence. These are particularly significant provisions in that reputational damage may be experienced prior to a court case being decided.</w:t>
      </w:r>
    </w:p>
    <w:p w14:paraId="05165990" w14:textId="77777777" w:rsidR="009D0B5B" w:rsidRDefault="009D0B5B" w:rsidP="009D0B5B">
      <w:pPr>
        <w:pStyle w:val="Heading2"/>
      </w:pPr>
      <w:bookmarkStart w:id="8" w:name="_Toc235901544"/>
      <w:r>
        <w:rPr>
          <w:rFonts w:eastAsia="Times New Roman" w:cs="Times New Roman"/>
          <w:color w:val="000000"/>
        </w:rPr>
        <w:lastRenderedPageBreak/>
        <w:t>3.4 Cultural and consumer environment</w:t>
      </w:r>
      <w:bookmarkEnd w:id="8"/>
    </w:p>
    <w:p w14:paraId="45769692" w14:textId="77777777" w:rsidR="009D0B5B" w:rsidRPr="00903EAC" w:rsidRDefault="009D0B5B" w:rsidP="009D0B5B">
      <w:pPr>
        <w:rPr>
          <w:rFonts w:cs="Times New Roman"/>
        </w:rPr>
      </w:pPr>
      <w:r w:rsidRPr="00903EAC">
        <w:rPr>
          <w:rFonts w:cs="Times New Roman"/>
        </w:rPr>
        <w:t>Bangladesh is more of tea country and Starbucks needs to compete on occasions and not anticipate the substitution of coffee. Meetings, studying, working, giving gifts and convenient refreshment are opportunities. Local coverage reveals that there is an increasing urban interest but that coffee is still smaller than tea and relies on imports (Karim, 2025). The third place proposal should thus be a blend of service, safety, seating, connectivity and product quality as opposed to being based on the logo. Starbucks cannot afford to merely roll out an internationally recognised beverage brand but rather it needs to come up with a differentiated occasion.</w:t>
      </w:r>
    </w:p>
    <w:p w14:paraId="717B2DC9" w14:textId="77777777" w:rsidR="009D0B5B" w:rsidRPr="00903EAC" w:rsidRDefault="009D0B5B" w:rsidP="009D0B5B">
      <w:pPr>
        <w:rPr>
          <w:rFonts w:cs="Times New Roman"/>
        </w:rPr>
      </w:pPr>
      <w:r w:rsidRPr="00903EAC">
        <w:rPr>
          <w:rFonts w:cs="Times New Roman"/>
        </w:rPr>
        <w:t>It is fitting to have a disciplined glocal approach. Safeer et al. (2022) demonstrate that perceived globalness and localness of the brand can both affect emerging-market attitudes, whereas Schau, Akaka and Segabinazzi (2023) introduce the idea of how the local retail forms can be credible through the locally curated content. Starbucks ought to maintain familiar coffeehouse design and modify food, tea, sweetness, seating, language, Ramadan hours and payments. The adaptation should be evidence based since too much variety leads to too much inventory, training and imports; too little tests should be used instead of predetermined global local menu ratios. The adaptation should be tested against a standard control product in the local testing in order to enable the management to tell the difference between the real preference and a new product.</w:t>
      </w:r>
    </w:p>
    <w:p w14:paraId="1D98748E" w14:textId="77777777" w:rsidR="009D0B5B" w:rsidRPr="00903EAC" w:rsidRDefault="009D0B5B" w:rsidP="009D0B5B">
      <w:pPr>
        <w:rPr>
          <w:rFonts w:cs="Times New Roman"/>
        </w:rPr>
      </w:pPr>
      <w:r w:rsidRPr="00903EAC">
        <w:rPr>
          <w:rFonts w:cs="Times New Roman"/>
        </w:rPr>
        <w:t>The servicescape needs to be familiar Starbucks, but address group utilisation, climate and movement. The importance of group seating, cooling, prayer sensitivity in groups, safe evening accessibility and efficient pick up might be more important than decorative localisation. Repeat demand, throughput and waste should be considered as the local relevance. A product which is visually popular, but slows down service or is not repeated frequently, needs to be removed. The format design should also be aware of the high urban congestion and divide the seated experience, the take away collection and movement of the delivery-drivers where space allows.</w:t>
      </w:r>
    </w:p>
    <w:p w14:paraId="7CBC1ADD" w14:textId="77777777" w:rsidR="009D0B5B" w:rsidRDefault="009D0B5B" w:rsidP="009D0B5B">
      <w:r w:rsidRPr="00903EAC">
        <w:rPr>
          <w:rFonts w:cs="Times New Roman"/>
        </w:rPr>
        <w:t xml:space="preserve">There are no compromises when it comes to religious and dietary expectations. The 2022 population of Muslims was approximately 91 percent (Bangladesh Bureau of Statistics, 2022), which demanded credible halal controls, clear ingredients and respectful communication of Ramadan and was to be inclusive. CAGE is a distance identifier, but is able to stereotype and not able to predict neighbourhood behaviour (Ghemawat, 2001). Group size, privacy, dayparts and acceptable prices should be tested by site observation, with the help of an interview of the shopping and menu experimentation. The greatest threat is not to initiate curiosity but to not </w:t>
      </w:r>
      <w:r w:rsidRPr="00903EAC">
        <w:rPr>
          <w:rFonts w:cs="Times New Roman"/>
        </w:rPr>
        <w:lastRenderedPageBreak/>
        <w:t>establish habitual, lucrative visits. Cultural analysis needs to be behaviour-based and location-specific, but not to consider national averages deterministic rules of consumer behaviour.</w:t>
      </w:r>
    </w:p>
    <w:p w14:paraId="575F81BA" w14:textId="77777777" w:rsidR="009D0B5B" w:rsidRDefault="009D0B5B" w:rsidP="009D0B5B">
      <w:pPr>
        <w:pStyle w:val="Heading2"/>
      </w:pPr>
      <w:bookmarkStart w:id="9" w:name="_Toc235901545"/>
      <w:r>
        <w:rPr>
          <w:rFonts w:eastAsia="Times New Roman" w:cs="Times New Roman"/>
          <w:color w:val="000000"/>
        </w:rPr>
        <w:t>3.5 OLI synthesis and market attractiveness</w:t>
      </w:r>
      <w:bookmarkEnd w:id="9"/>
    </w:p>
    <w:p w14:paraId="060096B7" w14:textId="77777777" w:rsidR="009D0B5B" w:rsidRDefault="009D0B5B" w:rsidP="009D0B5B">
      <w:pPr>
        <w:pStyle w:val="Caption"/>
      </w:pPr>
      <w:r>
        <w:rPr>
          <w:rFonts w:cs="Times New Roman"/>
          <w:sz w:val="24"/>
        </w:rPr>
        <w:t>Table 3. OLI synthesis for Starbucks in Bangladesh</w:t>
      </w:r>
    </w:p>
    <w:tbl>
      <w:tblPr>
        <w:tblStyle w:val="TableGrid"/>
        <w:tblW w:w="0" w:type="auto"/>
        <w:jc w:val="center"/>
        <w:tblLayout w:type="fixed"/>
        <w:tblLook w:val="04A0" w:firstRow="1" w:lastRow="0" w:firstColumn="1" w:lastColumn="0" w:noHBand="0" w:noVBand="1"/>
      </w:tblPr>
      <w:tblGrid>
        <w:gridCol w:w="1944"/>
        <w:gridCol w:w="3671"/>
        <w:gridCol w:w="3744"/>
      </w:tblGrid>
      <w:tr w:rsidR="009D0B5B" w14:paraId="3776B6E6" w14:textId="77777777" w:rsidTr="004B2B6D">
        <w:trPr>
          <w:cantSplit/>
          <w:tblHeader/>
          <w:jc w:val="center"/>
        </w:trPr>
        <w:tc>
          <w:tcPr>
            <w:tcW w:w="1944" w:type="dxa"/>
            <w:shd w:val="clear" w:color="auto" w:fill="B4C6E7"/>
            <w:tcMar>
              <w:top w:w="70" w:type="dxa"/>
              <w:left w:w="85" w:type="dxa"/>
              <w:bottom w:w="70" w:type="dxa"/>
              <w:right w:w="85" w:type="dxa"/>
            </w:tcMar>
            <w:vAlign w:val="center"/>
          </w:tcPr>
          <w:p w14:paraId="5FA28B4C" w14:textId="77777777" w:rsidR="009D0B5B" w:rsidRDefault="009D0B5B" w:rsidP="004B2B6D">
            <w:pPr>
              <w:jc w:val="left"/>
            </w:pPr>
            <w:r>
              <w:rPr>
                <w:rFonts w:cs="Times New Roman"/>
                <w:b/>
                <w:sz w:val="24"/>
              </w:rPr>
              <w:t>OLI element</w:t>
            </w:r>
          </w:p>
        </w:tc>
        <w:tc>
          <w:tcPr>
            <w:tcW w:w="3671" w:type="dxa"/>
            <w:shd w:val="clear" w:color="auto" w:fill="B4C6E7"/>
            <w:tcMar>
              <w:top w:w="70" w:type="dxa"/>
              <w:left w:w="85" w:type="dxa"/>
              <w:bottom w:w="70" w:type="dxa"/>
              <w:right w:w="85" w:type="dxa"/>
            </w:tcMar>
            <w:vAlign w:val="center"/>
          </w:tcPr>
          <w:p w14:paraId="79C6D1E0" w14:textId="77777777" w:rsidR="009D0B5B" w:rsidRDefault="009D0B5B" w:rsidP="004B2B6D">
            <w:pPr>
              <w:jc w:val="left"/>
            </w:pPr>
            <w:r>
              <w:rPr>
                <w:rFonts w:cs="Times New Roman"/>
                <w:b/>
                <w:sz w:val="24"/>
              </w:rPr>
              <w:t>Critical assessment</w:t>
            </w:r>
          </w:p>
        </w:tc>
        <w:tc>
          <w:tcPr>
            <w:tcW w:w="3744" w:type="dxa"/>
            <w:shd w:val="clear" w:color="auto" w:fill="B4C6E7"/>
            <w:tcMar>
              <w:top w:w="70" w:type="dxa"/>
              <w:left w:w="85" w:type="dxa"/>
              <w:bottom w:w="70" w:type="dxa"/>
              <w:right w:w="85" w:type="dxa"/>
            </w:tcMar>
            <w:vAlign w:val="center"/>
          </w:tcPr>
          <w:p w14:paraId="5B6E7476" w14:textId="77777777" w:rsidR="009D0B5B" w:rsidRDefault="009D0B5B" w:rsidP="004B2B6D">
            <w:pPr>
              <w:jc w:val="left"/>
            </w:pPr>
            <w:r>
              <w:rPr>
                <w:rFonts w:cs="Times New Roman"/>
                <w:b/>
                <w:sz w:val="24"/>
              </w:rPr>
              <w:t>Decision implication</w:t>
            </w:r>
          </w:p>
        </w:tc>
      </w:tr>
      <w:tr w:rsidR="009D0B5B" w14:paraId="16468BA7" w14:textId="77777777" w:rsidTr="004B2B6D">
        <w:trPr>
          <w:cantSplit/>
          <w:jc w:val="center"/>
        </w:trPr>
        <w:tc>
          <w:tcPr>
            <w:tcW w:w="1944" w:type="dxa"/>
            <w:tcMar>
              <w:top w:w="70" w:type="dxa"/>
              <w:left w:w="85" w:type="dxa"/>
              <w:bottom w:w="70" w:type="dxa"/>
              <w:right w:w="85" w:type="dxa"/>
            </w:tcMar>
          </w:tcPr>
          <w:p w14:paraId="60535BD6" w14:textId="77777777" w:rsidR="009D0B5B" w:rsidRDefault="009D0B5B" w:rsidP="004B2B6D">
            <w:pPr>
              <w:jc w:val="left"/>
            </w:pPr>
            <w:r>
              <w:rPr>
                <w:rFonts w:cs="Times New Roman"/>
                <w:sz w:val="24"/>
              </w:rPr>
              <w:t>Ownership</w:t>
            </w:r>
          </w:p>
        </w:tc>
        <w:tc>
          <w:tcPr>
            <w:tcW w:w="3671" w:type="dxa"/>
            <w:tcMar>
              <w:top w:w="70" w:type="dxa"/>
              <w:left w:w="85" w:type="dxa"/>
              <w:bottom w:w="70" w:type="dxa"/>
              <w:right w:w="85" w:type="dxa"/>
            </w:tcMar>
          </w:tcPr>
          <w:p w14:paraId="78F7091D" w14:textId="77777777" w:rsidR="009D0B5B" w:rsidRDefault="009D0B5B" w:rsidP="004B2B6D">
            <w:pPr>
              <w:jc w:val="left"/>
            </w:pPr>
            <w:r>
              <w:rPr>
                <w:rFonts w:cs="Times New Roman"/>
                <w:sz w:val="24"/>
              </w:rPr>
              <w:t>Brand, coffee expertise, procurement, training, design and digital routines transfer, but service or data failures erode value.</w:t>
            </w:r>
          </w:p>
        </w:tc>
        <w:tc>
          <w:tcPr>
            <w:tcW w:w="3744" w:type="dxa"/>
            <w:tcMar>
              <w:top w:w="70" w:type="dxa"/>
              <w:left w:w="85" w:type="dxa"/>
              <w:bottom w:w="70" w:type="dxa"/>
              <w:right w:w="85" w:type="dxa"/>
            </w:tcMar>
          </w:tcPr>
          <w:p w14:paraId="38259EB6" w14:textId="77777777" w:rsidR="009D0B5B" w:rsidRDefault="009D0B5B" w:rsidP="004B2B6D">
            <w:pPr>
              <w:jc w:val="left"/>
            </w:pPr>
            <w:r>
              <w:rPr>
                <w:rFonts w:cs="Times New Roman"/>
                <w:sz w:val="24"/>
              </w:rPr>
              <w:t>Retain approval and audit control over brand-critical systems.</w:t>
            </w:r>
          </w:p>
        </w:tc>
      </w:tr>
      <w:tr w:rsidR="009D0B5B" w14:paraId="58AD2EC3" w14:textId="77777777" w:rsidTr="004B2B6D">
        <w:trPr>
          <w:cantSplit/>
          <w:jc w:val="center"/>
        </w:trPr>
        <w:tc>
          <w:tcPr>
            <w:tcW w:w="1944" w:type="dxa"/>
            <w:shd w:val="clear" w:color="auto" w:fill="F4F6F7"/>
            <w:tcMar>
              <w:top w:w="70" w:type="dxa"/>
              <w:left w:w="85" w:type="dxa"/>
              <w:bottom w:w="70" w:type="dxa"/>
              <w:right w:w="85" w:type="dxa"/>
            </w:tcMar>
          </w:tcPr>
          <w:p w14:paraId="2B684FD9" w14:textId="77777777" w:rsidR="009D0B5B" w:rsidRDefault="009D0B5B" w:rsidP="004B2B6D">
            <w:pPr>
              <w:jc w:val="left"/>
            </w:pPr>
            <w:r>
              <w:rPr>
                <w:rFonts w:cs="Times New Roman"/>
                <w:sz w:val="24"/>
              </w:rPr>
              <w:t>Location</w:t>
            </w:r>
          </w:p>
        </w:tc>
        <w:tc>
          <w:tcPr>
            <w:tcW w:w="3671" w:type="dxa"/>
            <w:shd w:val="clear" w:color="auto" w:fill="F4F6F7"/>
            <w:tcMar>
              <w:top w:w="70" w:type="dxa"/>
              <w:left w:w="85" w:type="dxa"/>
              <w:bottom w:w="70" w:type="dxa"/>
              <w:right w:w="85" w:type="dxa"/>
            </w:tcMar>
          </w:tcPr>
          <w:p w14:paraId="5BCC0AED" w14:textId="77777777" w:rsidR="009D0B5B" w:rsidRDefault="009D0B5B" w:rsidP="004B2B6D">
            <w:pPr>
              <w:jc w:val="left"/>
            </w:pPr>
            <w:r>
              <w:rPr>
                <w:rFonts w:cs="Times New Roman"/>
                <w:sz w:val="24"/>
              </w:rPr>
              <w:t>Urban density and digital payments create option value; inflation, tariffs, tea dominance and execution friction reduce returns.</w:t>
            </w:r>
          </w:p>
        </w:tc>
        <w:tc>
          <w:tcPr>
            <w:tcW w:w="3744" w:type="dxa"/>
            <w:shd w:val="clear" w:color="auto" w:fill="F4F6F7"/>
            <w:tcMar>
              <w:top w:w="70" w:type="dxa"/>
              <w:left w:w="85" w:type="dxa"/>
              <w:bottom w:w="70" w:type="dxa"/>
              <w:right w:w="85" w:type="dxa"/>
            </w:tcMar>
          </w:tcPr>
          <w:p w14:paraId="3DCC10CC" w14:textId="77777777" w:rsidR="009D0B5B" w:rsidRDefault="009D0B5B" w:rsidP="004B2B6D">
            <w:pPr>
              <w:jc w:val="left"/>
            </w:pPr>
            <w:r>
              <w:rPr>
                <w:rFonts w:cs="Times New Roman"/>
                <w:sz w:val="24"/>
              </w:rPr>
              <w:t>Enter through a Dhaka pilot supported by site evidence.</w:t>
            </w:r>
          </w:p>
        </w:tc>
      </w:tr>
      <w:tr w:rsidR="009D0B5B" w14:paraId="6A2CF424" w14:textId="77777777" w:rsidTr="004B2B6D">
        <w:trPr>
          <w:cantSplit/>
          <w:jc w:val="center"/>
        </w:trPr>
        <w:tc>
          <w:tcPr>
            <w:tcW w:w="1944" w:type="dxa"/>
            <w:tcMar>
              <w:top w:w="70" w:type="dxa"/>
              <w:left w:w="85" w:type="dxa"/>
              <w:bottom w:w="70" w:type="dxa"/>
              <w:right w:w="85" w:type="dxa"/>
            </w:tcMar>
          </w:tcPr>
          <w:p w14:paraId="06E7C1B7" w14:textId="77777777" w:rsidR="009D0B5B" w:rsidRDefault="009D0B5B" w:rsidP="004B2B6D">
            <w:pPr>
              <w:jc w:val="left"/>
            </w:pPr>
            <w:r>
              <w:rPr>
                <w:rFonts w:cs="Times New Roman"/>
                <w:sz w:val="24"/>
              </w:rPr>
              <w:t>Internalisation</w:t>
            </w:r>
          </w:p>
        </w:tc>
        <w:tc>
          <w:tcPr>
            <w:tcW w:w="3671" w:type="dxa"/>
            <w:tcMar>
              <w:top w:w="70" w:type="dxa"/>
              <w:left w:w="85" w:type="dxa"/>
              <w:bottom w:w="70" w:type="dxa"/>
              <w:right w:w="85" w:type="dxa"/>
            </w:tcMar>
          </w:tcPr>
          <w:p w14:paraId="03FF38EA" w14:textId="77777777" w:rsidR="009D0B5B" w:rsidRDefault="009D0B5B" w:rsidP="004B2B6D">
            <w:pPr>
              <w:jc w:val="left"/>
            </w:pPr>
            <w:r>
              <w:rPr>
                <w:rFonts w:cs="Times New Roman"/>
                <w:sz w:val="24"/>
              </w:rPr>
              <w:t>Ownership protects standards but absorbs risk; loose franchising protects capital but raises agency risk.</w:t>
            </w:r>
          </w:p>
        </w:tc>
        <w:tc>
          <w:tcPr>
            <w:tcW w:w="3744" w:type="dxa"/>
            <w:tcMar>
              <w:top w:w="70" w:type="dxa"/>
              <w:left w:w="85" w:type="dxa"/>
              <w:bottom w:w="70" w:type="dxa"/>
              <w:right w:w="85" w:type="dxa"/>
            </w:tcMar>
          </w:tcPr>
          <w:p w14:paraId="71371BA8" w14:textId="77777777" w:rsidR="009D0B5B" w:rsidRDefault="009D0B5B" w:rsidP="004B2B6D">
            <w:pPr>
              <w:jc w:val="left"/>
            </w:pPr>
            <w:r>
              <w:rPr>
                <w:rFonts w:cs="Times New Roman"/>
                <w:sz w:val="24"/>
              </w:rPr>
              <w:t>Use a tightly governed development licence with performance gates.</w:t>
            </w:r>
          </w:p>
        </w:tc>
      </w:tr>
    </w:tbl>
    <w:p w14:paraId="599EE982" w14:textId="77777777" w:rsidR="009D0B5B" w:rsidRDefault="009D0B5B" w:rsidP="009D0B5B">
      <w:r>
        <w:rPr>
          <w:rFonts w:cs="Times New Roman"/>
          <w:i/>
        </w:rPr>
        <w:t>Source: author’s synthesis using the OLI framework as reviewed by Munjal (2017) and evidence in Sections 3.1 to 3.4.</w:t>
      </w:r>
    </w:p>
    <w:p w14:paraId="407117AA" w14:textId="77777777" w:rsidR="009D0B5B" w:rsidRPr="00903EAC" w:rsidRDefault="009D0B5B" w:rsidP="009D0B5B">
      <w:pPr>
        <w:rPr>
          <w:rFonts w:cs="Times New Roman"/>
        </w:rPr>
      </w:pPr>
      <w:r w:rsidRPr="00903EAC">
        <w:rPr>
          <w:rFonts w:cs="Times New Roman"/>
        </w:rPr>
        <w:t>OLI is in favor of conditional entry. The ownership benefits of Starbucks are high, whereas the location benefits of the country are focal and unpredictable in Bangladesh. Internalisation must be selective: Starbucks must manage coffee standards, training, design, technology, data and supplier approval, a partner leases, employees, permits and most capital. OLI finds pertinent benefits but provides little information on sequencing or altering governance; Bartlett and Ghoshal are able to freeze a network into one type, and CAGE is silent about whether distance generates cost or differentiation. The gap is bridged by real-options reasoning, which retains the right to grow, defer or retreat in case of uncertainty (Kyriakopoulos, Narooz and Ji, 2025). This discriminating boundary further congrues the ownership of risks with the capacity: Starbucks controls what it can standardise and monitor, and the operator controls locally internalised activities.</w:t>
      </w:r>
    </w:p>
    <w:p w14:paraId="4DA59CC3" w14:textId="77777777" w:rsidR="009D0B5B" w:rsidRDefault="009D0B5B" w:rsidP="009D0B5B">
      <w:r w:rsidRPr="00903EAC">
        <w:rPr>
          <w:rFonts w:cs="Times New Roman"/>
        </w:rPr>
        <w:lastRenderedPageBreak/>
        <w:t>Deferral remains credible. The wait could give time to the inflation and exchange rates to stabilise, clarify data rules and will give us the answer whether Cafe Amazon or the existing chains develop the category profitably. Delay also compromises on the sites, availability of partners and first hand learning. The decision is not as such entry or permanent absence. Starbucks ought to invest in limited validation and opening stores when there is integrity among the partners, reversible legal factors, tested prices and down side unit economics satisfy investment criteria. Validation expenditure should only be justified when there are certain uncertainties which it seeks to solve and a predetermined stop decision.</w:t>
      </w:r>
    </w:p>
    <w:p w14:paraId="657BD408" w14:textId="77777777" w:rsidR="009D0B5B" w:rsidRDefault="009D0B5B" w:rsidP="009D0B5B">
      <w:pPr>
        <w:pStyle w:val="Heading1"/>
      </w:pPr>
      <w:bookmarkStart w:id="10" w:name="_Toc235901546"/>
      <w:r>
        <w:rPr>
          <w:rFonts w:eastAsia="Times New Roman" w:cs="Times New Roman"/>
          <w:color w:val="000000"/>
        </w:rPr>
        <w:t>4. Entry Mode Strategy and Strategic Synthesis</w:t>
      </w:r>
      <w:bookmarkEnd w:id="10"/>
    </w:p>
    <w:p w14:paraId="5A822606" w14:textId="77777777" w:rsidR="009D0B5B" w:rsidRDefault="009D0B5B" w:rsidP="009D0B5B">
      <w:pPr>
        <w:pStyle w:val="Heading2"/>
      </w:pPr>
      <w:bookmarkStart w:id="11" w:name="_Toc235901547"/>
      <w:r>
        <w:rPr>
          <w:rFonts w:eastAsia="Times New Roman" w:cs="Times New Roman"/>
          <w:color w:val="000000"/>
        </w:rPr>
        <w:t>4.1 Historical pattern of Starbucks’ entry modes</w:t>
      </w:r>
      <w:bookmarkEnd w:id="11"/>
    </w:p>
    <w:p w14:paraId="4DF99C54" w14:textId="77777777" w:rsidR="009D0B5B" w:rsidRDefault="009D0B5B" w:rsidP="009D0B5B">
      <w:r w:rsidRPr="00903EAC">
        <w:rPr>
          <w:rFonts w:cs="Times New Roman"/>
        </w:rPr>
        <w:t>Wholly owned subsidiaries, joint ventures and development licences have been utilized by Starbucks. The contingent pattern is the ownership increases where the scale of property, strategic value and knowledge warrants capital and licensing is prevalent where the partners own property, regulation capacity or expansion capacity. The international estate at the end of the year of FY2025 was approximately 54 percent licensed stores (Starbucks, 2025). Asian entry by partners is exemplified in Vietnam and Laos, whereas a joint venture where a partner contributes sourcing, reputation and infrastructure is demonstrated in Tata Starbucks (Starbucks, 2013; Starbucks, 2020; Starbucks, 2024). Another reason Starbucks has bought licensed operations later on when internalisation was favoured by economics. History is thus biased towards dynamic governance: be a shareholder first and only after learning and returns will warrant deepening ownership. This historical trend does not support the idea that licensing can be effective in Bangladesh, but it offers organisational routines to regulate the partner-led entry.</w:t>
      </w:r>
    </w:p>
    <w:p w14:paraId="7BEF2EC9" w14:textId="77777777" w:rsidR="009D0B5B" w:rsidRDefault="009D0B5B" w:rsidP="009D0B5B">
      <w:pPr>
        <w:pStyle w:val="Heading2"/>
      </w:pPr>
      <w:bookmarkStart w:id="12" w:name="_Toc235901548"/>
      <w:r>
        <w:rPr>
          <w:rFonts w:eastAsia="Times New Roman" w:cs="Times New Roman"/>
          <w:color w:val="000000"/>
        </w:rPr>
        <w:lastRenderedPageBreak/>
        <w:t>4.2 Entry-mode comparison and recommended strategic fit</w:t>
      </w:r>
      <w:bookmarkEnd w:id="12"/>
    </w:p>
    <w:p w14:paraId="21E2C0EB" w14:textId="77777777" w:rsidR="009D0B5B" w:rsidRDefault="009D0B5B" w:rsidP="009D0B5B">
      <w:pPr>
        <w:pStyle w:val="Caption"/>
      </w:pPr>
      <w:r>
        <w:rPr>
          <w:rFonts w:cs="Times New Roman"/>
          <w:sz w:val="24"/>
        </w:rPr>
        <w:t>Table 4. Entry-mode decision matrix for Bangladesh</w:t>
      </w:r>
    </w:p>
    <w:tbl>
      <w:tblPr>
        <w:tblStyle w:val="TableGrid"/>
        <w:tblW w:w="0" w:type="auto"/>
        <w:jc w:val="center"/>
        <w:tblLayout w:type="fixed"/>
        <w:tblLook w:val="04A0" w:firstRow="1" w:lastRow="0" w:firstColumn="1" w:lastColumn="0" w:noHBand="0" w:noVBand="1"/>
      </w:tblPr>
      <w:tblGrid>
        <w:gridCol w:w="1728"/>
        <w:gridCol w:w="1655"/>
        <w:gridCol w:w="2376"/>
        <w:gridCol w:w="1728"/>
        <w:gridCol w:w="1872"/>
      </w:tblGrid>
      <w:tr w:rsidR="009D0B5B" w14:paraId="2FDDC0F5" w14:textId="77777777" w:rsidTr="004B2B6D">
        <w:trPr>
          <w:cantSplit/>
          <w:tblHeader/>
          <w:jc w:val="center"/>
        </w:trPr>
        <w:tc>
          <w:tcPr>
            <w:tcW w:w="1728" w:type="dxa"/>
            <w:shd w:val="clear" w:color="auto" w:fill="B4C6E7"/>
            <w:tcMar>
              <w:top w:w="70" w:type="dxa"/>
              <w:left w:w="85" w:type="dxa"/>
              <w:bottom w:w="70" w:type="dxa"/>
              <w:right w:w="85" w:type="dxa"/>
            </w:tcMar>
            <w:vAlign w:val="center"/>
          </w:tcPr>
          <w:p w14:paraId="130FC06E" w14:textId="77777777" w:rsidR="009D0B5B" w:rsidRDefault="009D0B5B" w:rsidP="004B2B6D">
            <w:pPr>
              <w:jc w:val="left"/>
            </w:pPr>
            <w:r>
              <w:rPr>
                <w:rFonts w:cs="Times New Roman"/>
                <w:b/>
                <w:sz w:val="24"/>
              </w:rPr>
              <w:t>Mode</w:t>
            </w:r>
          </w:p>
        </w:tc>
        <w:tc>
          <w:tcPr>
            <w:tcW w:w="1655" w:type="dxa"/>
            <w:shd w:val="clear" w:color="auto" w:fill="B4C6E7"/>
            <w:tcMar>
              <w:top w:w="70" w:type="dxa"/>
              <w:left w:w="85" w:type="dxa"/>
              <w:bottom w:w="70" w:type="dxa"/>
              <w:right w:w="85" w:type="dxa"/>
            </w:tcMar>
            <w:vAlign w:val="center"/>
          </w:tcPr>
          <w:p w14:paraId="5E55F342" w14:textId="77777777" w:rsidR="009D0B5B" w:rsidRDefault="009D0B5B" w:rsidP="004B2B6D">
            <w:pPr>
              <w:jc w:val="left"/>
            </w:pPr>
            <w:r>
              <w:rPr>
                <w:rFonts w:cs="Times New Roman"/>
                <w:b/>
                <w:sz w:val="24"/>
              </w:rPr>
              <w:t>Control</w:t>
            </w:r>
          </w:p>
        </w:tc>
        <w:tc>
          <w:tcPr>
            <w:tcW w:w="2376" w:type="dxa"/>
            <w:shd w:val="clear" w:color="auto" w:fill="B4C6E7"/>
            <w:tcMar>
              <w:top w:w="70" w:type="dxa"/>
              <w:left w:w="85" w:type="dxa"/>
              <w:bottom w:w="70" w:type="dxa"/>
              <w:right w:w="85" w:type="dxa"/>
            </w:tcMar>
            <w:vAlign w:val="center"/>
          </w:tcPr>
          <w:p w14:paraId="226206C4" w14:textId="77777777" w:rsidR="009D0B5B" w:rsidRDefault="009D0B5B" w:rsidP="004B2B6D">
            <w:pPr>
              <w:jc w:val="left"/>
            </w:pPr>
            <w:r>
              <w:rPr>
                <w:rFonts w:cs="Times New Roman"/>
                <w:b/>
                <w:sz w:val="24"/>
              </w:rPr>
              <w:t>Commitment and risk</w:t>
            </w:r>
          </w:p>
        </w:tc>
        <w:tc>
          <w:tcPr>
            <w:tcW w:w="1728" w:type="dxa"/>
            <w:shd w:val="clear" w:color="auto" w:fill="B4C6E7"/>
            <w:tcMar>
              <w:top w:w="70" w:type="dxa"/>
              <w:left w:w="85" w:type="dxa"/>
              <w:bottom w:w="70" w:type="dxa"/>
              <w:right w:w="85" w:type="dxa"/>
            </w:tcMar>
            <w:vAlign w:val="center"/>
          </w:tcPr>
          <w:p w14:paraId="25AA543D" w14:textId="77777777" w:rsidR="009D0B5B" w:rsidRDefault="009D0B5B" w:rsidP="004B2B6D">
            <w:pPr>
              <w:jc w:val="left"/>
            </w:pPr>
            <w:r>
              <w:rPr>
                <w:rFonts w:cs="Times New Roman"/>
                <w:b/>
                <w:sz w:val="24"/>
              </w:rPr>
              <w:t>Local access</w:t>
            </w:r>
          </w:p>
        </w:tc>
        <w:tc>
          <w:tcPr>
            <w:tcW w:w="1872" w:type="dxa"/>
            <w:shd w:val="clear" w:color="auto" w:fill="B4C6E7"/>
            <w:tcMar>
              <w:top w:w="70" w:type="dxa"/>
              <w:left w:w="85" w:type="dxa"/>
              <w:bottom w:w="70" w:type="dxa"/>
              <w:right w:w="85" w:type="dxa"/>
            </w:tcMar>
            <w:vAlign w:val="center"/>
          </w:tcPr>
          <w:p w14:paraId="126E6322" w14:textId="77777777" w:rsidR="009D0B5B" w:rsidRDefault="009D0B5B" w:rsidP="004B2B6D">
            <w:pPr>
              <w:jc w:val="left"/>
            </w:pPr>
            <w:r>
              <w:rPr>
                <w:rFonts w:cs="Times New Roman"/>
                <w:b/>
                <w:sz w:val="24"/>
              </w:rPr>
              <w:t>Fit</w:t>
            </w:r>
          </w:p>
        </w:tc>
      </w:tr>
      <w:tr w:rsidR="009D0B5B" w14:paraId="29E48B2A" w14:textId="77777777" w:rsidTr="004B2B6D">
        <w:trPr>
          <w:cantSplit/>
          <w:jc w:val="center"/>
        </w:trPr>
        <w:tc>
          <w:tcPr>
            <w:tcW w:w="1728" w:type="dxa"/>
            <w:tcMar>
              <w:top w:w="70" w:type="dxa"/>
              <w:left w:w="85" w:type="dxa"/>
              <w:bottom w:w="70" w:type="dxa"/>
              <w:right w:w="85" w:type="dxa"/>
            </w:tcMar>
          </w:tcPr>
          <w:p w14:paraId="694033EB" w14:textId="77777777" w:rsidR="009D0B5B" w:rsidRDefault="009D0B5B" w:rsidP="004B2B6D">
            <w:pPr>
              <w:jc w:val="left"/>
            </w:pPr>
            <w:r>
              <w:rPr>
                <w:rFonts w:cs="Times New Roman"/>
                <w:sz w:val="24"/>
              </w:rPr>
              <w:t>Wholly owned</w:t>
            </w:r>
          </w:p>
        </w:tc>
        <w:tc>
          <w:tcPr>
            <w:tcW w:w="1655" w:type="dxa"/>
            <w:tcMar>
              <w:top w:w="70" w:type="dxa"/>
              <w:left w:w="85" w:type="dxa"/>
              <w:bottom w:w="70" w:type="dxa"/>
              <w:right w:w="85" w:type="dxa"/>
            </w:tcMar>
          </w:tcPr>
          <w:p w14:paraId="5F14B20F" w14:textId="77777777" w:rsidR="009D0B5B" w:rsidRDefault="009D0B5B" w:rsidP="004B2B6D">
            <w:pPr>
              <w:jc w:val="left"/>
            </w:pPr>
            <w:r>
              <w:rPr>
                <w:rFonts w:cs="Times New Roman"/>
                <w:sz w:val="24"/>
              </w:rPr>
              <w:t>Very high</w:t>
            </w:r>
          </w:p>
        </w:tc>
        <w:tc>
          <w:tcPr>
            <w:tcW w:w="2376" w:type="dxa"/>
            <w:tcMar>
              <w:top w:w="70" w:type="dxa"/>
              <w:left w:w="85" w:type="dxa"/>
              <w:bottom w:w="70" w:type="dxa"/>
              <w:right w:w="85" w:type="dxa"/>
            </w:tcMar>
          </w:tcPr>
          <w:p w14:paraId="37FFD4AC" w14:textId="77777777" w:rsidR="009D0B5B" w:rsidRDefault="009D0B5B" w:rsidP="004B2B6D">
            <w:pPr>
              <w:jc w:val="left"/>
            </w:pPr>
            <w:r>
              <w:rPr>
                <w:rFonts w:cs="Times New Roman"/>
                <w:sz w:val="24"/>
              </w:rPr>
              <w:t>High capital, lease, currency and compliance exposure.</w:t>
            </w:r>
          </w:p>
        </w:tc>
        <w:tc>
          <w:tcPr>
            <w:tcW w:w="1728" w:type="dxa"/>
            <w:tcMar>
              <w:top w:w="70" w:type="dxa"/>
              <w:left w:w="85" w:type="dxa"/>
              <w:bottom w:w="70" w:type="dxa"/>
              <w:right w:w="85" w:type="dxa"/>
            </w:tcMar>
          </w:tcPr>
          <w:p w14:paraId="6C8EA18C" w14:textId="77777777" w:rsidR="009D0B5B" w:rsidRDefault="009D0B5B" w:rsidP="004B2B6D">
            <w:pPr>
              <w:jc w:val="left"/>
            </w:pPr>
            <w:r>
              <w:rPr>
                <w:rFonts w:cs="Times New Roman"/>
                <w:sz w:val="24"/>
              </w:rPr>
              <w:t>Networks must be built internally.</w:t>
            </w:r>
          </w:p>
        </w:tc>
        <w:tc>
          <w:tcPr>
            <w:tcW w:w="1872" w:type="dxa"/>
            <w:tcMar>
              <w:top w:w="70" w:type="dxa"/>
              <w:left w:w="85" w:type="dxa"/>
              <w:bottom w:w="70" w:type="dxa"/>
              <w:right w:w="85" w:type="dxa"/>
            </w:tcMar>
          </w:tcPr>
          <w:p w14:paraId="36D87A9C" w14:textId="77777777" w:rsidR="009D0B5B" w:rsidRDefault="009D0B5B" w:rsidP="004B2B6D">
            <w:pPr>
              <w:jc w:val="left"/>
            </w:pPr>
            <w:r>
              <w:rPr>
                <w:rFonts w:cs="Times New Roman"/>
                <w:sz w:val="24"/>
              </w:rPr>
              <w:t>Low initially.</w:t>
            </w:r>
          </w:p>
        </w:tc>
      </w:tr>
      <w:tr w:rsidR="009D0B5B" w14:paraId="31EB8E35" w14:textId="77777777" w:rsidTr="004B2B6D">
        <w:trPr>
          <w:cantSplit/>
          <w:jc w:val="center"/>
        </w:trPr>
        <w:tc>
          <w:tcPr>
            <w:tcW w:w="1728" w:type="dxa"/>
            <w:shd w:val="clear" w:color="auto" w:fill="F4F6F7"/>
            <w:tcMar>
              <w:top w:w="70" w:type="dxa"/>
              <w:left w:w="85" w:type="dxa"/>
              <w:bottom w:w="70" w:type="dxa"/>
              <w:right w:w="85" w:type="dxa"/>
            </w:tcMar>
          </w:tcPr>
          <w:p w14:paraId="3FBB9197" w14:textId="77777777" w:rsidR="009D0B5B" w:rsidRDefault="009D0B5B" w:rsidP="004B2B6D">
            <w:pPr>
              <w:jc w:val="left"/>
            </w:pPr>
            <w:r>
              <w:rPr>
                <w:rFonts w:cs="Times New Roman"/>
                <w:sz w:val="24"/>
              </w:rPr>
              <w:t>Joint venture</w:t>
            </w:r>
          </w:p>
        </w:tc>
        <w:tc>
          <w:tcPr>
            <w:tcW w:w="1655" w:type="dxa"/>
            <w:shd w:val="clear" w:color="auto" w:fill="F4F6F7"/>
            <w:tcMar>
              <w:top w:w="70" w:type="dxa"/>
              <w:left w:w="85" w:type="dxa"/>
              <w:bottom w:w="70" w:type="dxa"/>
              <w:right w:w="85" w:type="dxa"/>
            </w:tcMar>
          </w:tcPr>
          <w:p w14:paraId="19CD24B3" w14:textId="77777777" w:rsidR="009D0B5B" w:rsidRDefault="009D0B5B" w:rsidP="004B2B6D">
            <w:pPr>
              <w:jc w:val="left"/>
            </w:pPr>
            <w:r>
              <w:rPr>
                <w:rFonts w:cs="Times New Roman"/>
                <w:sz w:val="24"/>
              </w:rPr>
              <w:t>High but shared</w:t>
            </w:r>
          </w:p>
        </w:tc>
        <w:tc>
          <w:tcPr>
            <w:tcW w:w="2376" w:type="dxa"/>
            <w:shd w:val="clear" w:color="auto" w:fill="F4F6F7"/>
            <w:tcMar>
              <w:top w:w="70" w:type="dxa"/>
              <w:left w:w="85" w:type="dxa"/>
              <w:bottom w:w="70" w:type="dxa"/>
              <w:right w:w="85" w:type="dxa"/>
            </w:tcMar>
          </w:tcPr>
          <w:p w14:paraId="6E05AE82" w14:textId="77777777" w:rsidR="009D0B5B" w:rsidRDefault="009D0B5B" w:rsidP="004B2B6D">
            <w:pPr>
              <w:jc w:val="left"/>
            </w:pPr>
            <w:r>
              <w:rPr>
                <w:rFonts w:cs="Times New Roman"/>
                <w:sz w:val="24"/>
              </w:rPr>
              <w:t>Medium-high commitment, deadlock and exit risk.</w:t>
            </w:r>
          </w:p>
        </w:tc>
        <w:tc>
          <w:tcPr>
            <w:tcW w:w="1728" w:type="dxa"/>
            <w:shd w:val="clear" w:color="auto" w:fill="F4F6F7"/>
            <w:tcMar>
              <w:top w:w="70" w:type="dxa"/>
              <w:left w:w="85" w:type="dxa"/>
              <w:bottom w:w="70" w:type="dxa"/>
              <w:right w:w="85" w:type="dxa"/>
            </w:tcMar>
          </w:tcPr>
          <w:p w14:paraId="6B049601" w14:textId="77777777" w:rsidR="009D0B5B" w:rsidRDefault="009D0B5B" w:rsidP="004B2B6D">
            <w:pPr>
              <w:jc w:val="left"/>
            </w:pPr>
            <w:r>
              <w:rPr>
                <w:rFonts w:cs="Times New Roman"/>
                <w:sz w:val="24"/>
              </w:rPr>
              <w:t>Strong with an exceptional partner.</w:t>
            </w:r>
          </w:p>
        </w:tc>
        <w:tc>
          <w:tcPr>
            <w:tcW w:w="1872" w:type="dxa"/>
            <w:shd w:val="clear" w:color="auto" w:fill="F4F6F7"/>
            <w:tcMar>
              <w:top w:w="70" w:type="dxa"/>
              <w:left w:w="85" w:type="dxa"/>
              <w:bottom w:w="70" w:type="dxa"/>
              <w:right w:w="85" w:type="dxa"/>
            </w:tcMar>
          </w:tcPr>
          <w:p w14:paraId="29FB8A0B" w14:textId="77777777" w:rsidR="009D0B5B" w:rsidRDefault="009D0B5B" w:rsidP="004B2B6D">
            <w:pPr>
              <w:jc w:val="left"/>
            </w:pPr>
            <w:r>
              <w:rPr>
                <w:rFonts w:cs="Times New Roman"/>
                <w:sz w:val="24"/>
              </w:rPr>
              <w:t>Moderate.</w:t>
            </w:r>
          </w:p>
        </w:tc>
      </w:tr>
      <w:tr w:rsidR="009D0B5B" w14:paraId="2447ED8D" w14:textId="77777777" w:rsidTr="004B2B6D">
        <w:trPr>
          <w:cantSplit/>
          <w:jc w:val="center"/>
        </w:trPr>
        <w:tc>
          <w:tcPr>
            <w:tcW w:w="1728" w:type="dxa"/>
            <w:tcMar>
              <w:top w:w="70" w:type="dxa"/>
              <w:left w:w="85" w:type="dxa"/>
              <w:bottom w:w="70" w:type="dxa"/>
              <w:right w:w="85" w:type="dxa"/>
            </w:tcMar>
          </w:tcPr>
          <w:p w14:paraId="34BB424C" w14:textId="77777777" w:rsidR="009D0B5B" w:rsidRDefault="009D0B5B" w:rsidP="004B2B6D">
            <w:pPr>
              <w:jc w:val="left"/>
            </w:pPr>
            <w:r>
              <w:rPr>
                <w:rFonts w:cs="Times New Roman"/>
                <w:sz w:val="24"/>
              </w:rPr>
              <w:t>Development licence</w:t>
            </w:r>
          </w:p>
        </w:tc>
        <w:tc>
          <w:tcPr>
            <w:tcW w:w="1655" w:type="dxa"/>
            <w:tcMar>
              <w:top w:w="70" w:type="dxa"/>
              <w:left w:w="85" w:type="dxa"/>
              <w:bottom w:w="70" w:type="dxa"/>
              <w:right w:w="85" w:type="dxa"/>
            </w:tcMar>
          </w:tcPr>
          <w:p w14:paraId="0EEB3C8C" w14:textId="77777777" w:rsidR="009D0B5B" w:rsidRDefault="009D0B5B" w:rsidP="004B2B6D">
            <w:pPr>
              <w:jc w:val="left"/>
            </w:pPr>
            <w:r>
              <w:rPr>
                <w:rFonts w:cs="Times New Roman"/>
                <w:sz w:val="24"/>
              </w:rPr>
              <w:t>High through contract and audit</w:t>
            </w:r>
          </w:p>
        </w:tc>
        <w:tc>
          <w:tcPr>
            <w:tcW w:w="2376" w:type="dxa"/>
            <w:tcMar>
              <w:top w:w="70" w:type="dxa"/>
              <w:left w:w="85" w:type="dxa"/>
              <w:bottom w:w="70" w:type="dxa"/>
              <w:right w:w="85" w:type="dxa"/>
            </w:tcMar>
          </w:tcPr>
          <w:p w14:paraId="717E7FA7" w14:textId="77777777" w:rsidR="009D0B5B" w:rsidRDefault="009D0B5B" w:rsidP="004B2B6D">
            <w:pPr>
              <w:jc w:val="left"/>
            </w:pPr>
            <w:r>
              <w:rPr>
                <w:rFonts w:cs="Times New Roman"/>
                <w:sz w:val="24"/>
              </w:rPr>
              <w:t>Low Starbucks capital; partner and enforcement risk remain.</w:t>
            </w:r>
          </w:p>
        </w:tc>
        <w:tc>
          <w:tcPr>
            <w:tcW w:w="1728" w:type="dxa"/>
            <w:tcMar>
              <w:top w:w="70" w:type="dxa"/>
              <w:left w:w="85" w:type="dxa"/>
              <w:bottom w:w="70" w:type="dxa"/>
              <w:right w:w="85" w:type="dxa"/>
            </w:tcMar>
          </w:tcPr>
          <w:p w14:paraId="1CF41DBC" w14:textId="77777777" w:rsidR="009D0B5B" w:rsidRDefault="009D0B5B" w:rsidP="004B2B6D">
            <w:pPr>
              <w:jc w:val="left"/>
            </w:pPr>
            <w:r>
              <w:rPr>
                <w:rFonts w:cs="Times New Roman"/>
                <w:sz w:val="24"/>
              </w:rPr>
              <w:t>Strong access to sites, staff and regulators.</w:t>
            </w:r>
          </w:p>
        </w:tc>
        <w:tc>
          <w:tcPr>
            <w:tcW w:w="1872" w:type="dxa"/>
            <w:tcMar>
              <w:top w:w="70" w:type="dxa"/>
              <w:left w:w="85" w:type="dxa"/>
              <w:bottom w:w="70" w:type="dxa"/>
              <w:right w:w="85" w:type="dxa"/>
            </w:tcMar>
          </w:tcPr>
          <w:p w14:paraId="5C2576B5" w14:textId="77777777" w:rsidR="009D0B5B" w:rsidRDefault="009D0B5B" w:rsidP="004B2B6D">
            <w:pPr>
              <w:jc w:val="left"/>
            </w:pPr>
            <w:r>
              <w:rPr>
                <w:rFonts w:cs="Times New Roman"/>
                <w:sz w:val="24"/>
              </w:rPr>
              <w:t>Highest if controls are robust.</w:t>
            </w:r>
          </w:p>
        </w:tc>
      </w:tr>
      <w:tr w:rsidR="009D0B5B" w14:paraId="1D5323C1" w14:textId="77777777" w:rsidTr="004B2B6D">
        <w:trPr>
          <w:cantSplit/>
          <w:jc w:val="center"/>
        </w:trPr>
        <w:tc>
          <w:tcPr>
            <w:tcW w:w="1728" w:type="dxa"/>
            <w:shd w:val="clear" w:color="auto" w:fill="F4F6F7"/>
            <w:tcMar>
              <w:top w:w="70" w:type="dxa"/>
              <w:left w:w="85" w:type="dxa"/>
              <w:bottom w:w="70" w:type="dxa"/>
              <w:right w:w="85" w:type="dxa"/>
            </w:tcMar>
          </w:tcPr>
          <w:p w14:paraId="7670EDFF" w14:textId="77777777" w:rsidR="009D0B5B" w:rsidRDefault="009D0B5B" w:rsidP="004B2B6D">
            <w:pPr>
              <w:jc w:val="left"/>
            </w:pPr>
            <w:r>
              <w:rPr>
                <w:rFonts w:cs="Times New Roman"/>
                <w:sz w:val="24"/>
              </w:rPr>
              <w:t>Loose franchise</w:t>
            </w:r>
          </w:p>
        </w:tc>
        <w:tc>
          <w:tcPr>
            <w:tcW w:w="1655" w:type="dxa"/>
            <w:shd w:val="clear" w:color="auto" w:fill="F4F6F7"/>
            <w:tcMar>
              <w:top w:w="70" w:type="dxa"/>
              <w:left w:w="85" w:type="dxa"/>
              <w:bottom w:w="70" w:type="dxa"/>
              <w:right w:w="85" w:type="dxa"/>
            </w:tcMar>
          </w:tcPr>
          <w:p w14:paraId="65673D2E" w14:textId="77777777" w:rsidR="009D0B5B" w:rsidRDefault="009D0B5B" w:rsidP="004B2B6D">
            <w:pPr>
              <w:jc w:val="left"/>
            </w:pPr>
            <w:r>
              <w:rPr>
                <w:rFonts w:cs="Times New Roman"/>
                <w:sz w:val="24"/>
              </w:rPr>
              <w:t>Moderate-low</w:t>
            </w:r>
          </w:p>
        </w:tc>
        <w:tc>
          <w:tcPr>
            <w:tcW w:w="2376" w:type="dxa"/>
            <w:shd w:val="clear" w:color="auto" w:fill="F4F6F7"/>
            <w:tcMar>
              <w:top w:w="70" w:type="dxa"/>
              <w:left w:w="85" w:type="dxa"/>
              <w:bottom w:w="70" w:type="dxa"/>
              <w:right w:w="85" w:type="dxa"/>
            </w:tcMar>
          </w:tcPr>
          <w:p w14:paraId="44A2FD21" w14:textId="77777777" w:rsidR="009D0B5B" w:rsidRDefault="009D0B5B" w:rsidP="004B2B6D">
            <w:pPr>
              <w:jc w:val="left"/>
            </w:pPr>
            <w:r>
              <w:rPr>
                <w:rFonts w:cs="Times New Roman"/>
                <w:sz w:val="24"/>
              </w:rPr>
              <w:t>Low capital but high brand and food-safety exposure.</w:t>
            </w:r>
          </w:p>
        </w:tc>
        <w:tc>
          <w:tcPr>
            <w:tcW w:w="1728" w:type="dxa"/>
            <w:shd w:val="clear" w:color="auto" w:fill="F4F6F7"/>
            <w:tcMar>
              <w:top w:w="70" w:type="dxa"/>
              <w:left w:w="85" w:type="dxa"/>
              <w:bottom w:w="70" w:type="dxa"/>
              <w:right w:w="85" w:type="dxa"/>
            </w:tcMar>
          </w:tcPr>
          <w:p w14:paraId="3BD5B8A6" w14:textId="77777777" w:rsidR="009D0B5B" w:rsidRDefault="009D0B5B" w:rsidP="004B2B6D">
            <w:pPr>
              <w:jc w:val="left"/>
            </w:pPr>
            <w:r>
              <w:rPr>
                <w:rFonts w:cs="Times New Roman"/>
                <w:sz w:val="24"/>
              </w:rPr>
              <w:t>Strong local execution.</w:t>
            </w:r>
          </w:p>
        </w:tc>
        <w:tc>
          <w:tcPr>
            <w:tcW w:w="1872" w:type="dxa"/>
            <w:shd w:val="clear" w:color="auto" w:fill="F4F6F7"/>
            <w:tcMar>
              <w:top w:w="70" w:type="dxa"/>
              <w:left w:w="85" w:type="dxa"/>
              <w:bottom w:w="70" w:type="dxa"/>
              <w:right w:w="85" w:type="dxa"/>
            </w:tcMar>
          </w:tcPr>
          <w:p w14:paraId="11199418" w14:textId="77777777" w:rsidR="009D0B5B" w:rsidRDefault="009D0B5B" w:rsidP="004B2B6D">
            <w:pPr>
              <w:jc w:val="left"/>
            </w:pPr>
            <w:r>
              <w:rPr>
                <w:rFonts w:cs="Times New Roman"/>
                <w:sz w:val="24"/>
              </w:rPr>
              <w:t>Unsuitable.</w:t>
            </w:r>
          </w:p>
        </w:tc>
      </w:tr>
      <w:tr w:rsidR="009D0B5B" w14:paraId="443A2571" w14:textId="77777777" w:rsidTr="004B2B6D">
        <w:trPr>
          <w:cantSplit/>
          <w:jc w:val="center"/>
        </w:trPr>
        <w:tc>
          <w:tcPr>
            <w:tcW w:w="1728" w:type="dxa"/>
            <w:tcMar>
              <w:top w:w="70" w:type="dxa"/>
              <w:left w:w="85" w:type="dxa"/>
              <w:bottom w:w="70" w:type="dxa"/>
              <w:right w:w="85" w:type="dxa"/>
            </w:tcMar>
          </w:tcPr>
          <w:p w14:paraId="198F5E16" w14:textId="77777777" w:rsidR="009D0B5B" w:rsidRDefault="009D0B5B" w:rsidP="004B2B6D">
            <w:pPr>
              <w:jc w:val="left"/>
            </w:pPr>
            <w:r>
              <w:rPr>
                <w:rFonts w:cs="Times New Roman"/>
                <w:sz w:val="24"/>
              </w:rPr>
              <w:t>Defer entry</w:t>
            </w:r>
          </w:p>
        </w:tc>
        <w:tc>
          <w:tcPr>
            <w:tcW w:w="1655" w:type="dxa"/>
            <w:tcMar>
              <w:top w:w="70" w:type="dxa"/>
              <w:left w:w="85" w:type="dxa"/>
              <w:bottom w:w="70" w:type="dxa"/>
              <w:right w:w="85" w:type="dxa"/>
            </w:tcMar>
          </w:tcPr>
          <w:p w14:paraId="2C192399" w14:textId="77777777" w:rsidR="009D0B5B" w:rsidRDefault="009D0B5B" w:rsidP="004B2B6D">
            <w:pPr>
              <w:jc w:val="left"/>
            </w:pPr>
            <w:r>
              <w:rPr>
                <w:rFonts w:cs="Times New Roman"/>
                <w:sz w:val="24"/>
              </w:rPr>
              <w:t>None</w:t>
            </w:r>
          </w:p>
        </w:tc>
        <w:tc>
          <w:tcPr>
            <w:tcW w:w="2376" w:type="dxa"/>
            <w:tcMar>
              <w:top w:w="70" w:type="dxa"/>
              <w:left w:w="85" w:type="dxa"/>
              <w:bottom w:w="70" w:type="dxa"/>
              <w:right w:w="85" w:type="dxa"/>
            </w:tcMar>
          </w:tcPr>
          <w:p w14:paraId="5B77617F" w14:textId="77777777" w:rsidR="009D0B5B" w:rsidRDefault="009D0B5B" w:rsidP="004B2B6D">
            <w:pPr>
              <w:jc w:val="left"/>
            </w:pPr>
            <w:r>
              <w:rPr>
                <w:rFonts w:cs="Times New Roman"/>
                <w:sz w:val="24"/>
              </w:rPr>
              <w:t>No operating risk, but opportunity cost.</w:t>
            </w:r>
          </w:p>
        </w:tc>
        <w:tc>
          <w:tcPr>
            <w:tcW w:w="1728" w:type="dxa"/>
            <w:tcMar>
              <w:top w:w="70" w:type="dxa"/>
              <w:left w:w="85" w:type="dxa"/>
              <w:bottom w:w="70" w:type="dxa"/>
              <w:right w:w="85" w:type="dxa"/>
            </w:tcMar>
          </w:tcPr>
          <w:p w14:paraId="0DE438D4" w14:textId="77777777" w:rsidR="009D0B5B" w:rsidRDefault="009D0B5B" w:rsidP="004B2B6D">
            <w:pPr>
              <w:jc w:val="left"/>
            </w:pPr>
            <w:r>
              <w:rPr>
                <w:rFonts w:cs="Times New Roman"/>
                <w:sz w:val="24"/>
              </w:rPr>
              <w:t>No store learning.</w:t>
            </w:r>
          </w:p>
        </w:tc>
        <w:tc>
          <w:tcPr>
            <w:tcW w:w="1872" w:type="dxa"/>
            <w:tcMar>
              <w:top w:w="70" w:type="dxa"/>
              <w:left w:w="85" w:type="dxa"/>
              <w:bottom w:w="70" w:type="dxa"/>
              <w:right w:w="85" w:type="dxa"/>
            </w:tcMar>
          </w:tcPr>
          <w:p w14:paraId="0764E1E1" w14:textId="77777777" w:rsidR="009D0B5B" w:rsidRDefault="009D0B5B" w:rsidP="004B2B6D">
            <w:pPr>
              <w:jc w:val="left"/>
            </w:pPr>
            <w:r>
              <w:rPr>
                <w:rFonts w:cs="Times New Roman"/>
                <w:sz w:val="24"/>
              </w:rPr>
              <w:t>Fallback if gates fail.</w:t>
            </w:r>
          </w:p>
        </w:tc>
      </w:tr>
    </w:tbl>
    <w:p w14:paraId="05BB3C71" w14:textId="77777777" w:rsidR="009D0B5B" w:rsidRDefault="009D0B5B" w:rsidP="009D0B5B">
      <w:r>
        <w:rPr>
          <w:rFonts w:cs="Times New Roman"/>
          <w:i/>
        </w:rPr>
        <w:t>Source: author’s evaluation informed by Brouthers et al. (2022) and Kyriakopoulos, Narooz and Ji (2025).</w:t>
      </w:r>
    </w:p>
    <w:p w14:paraId="7B0A6D19" w14:textId="77777777" w:rsidR="009D0B5B" w:rsidRPr="00903EAC" w:rsidRDefault="009D0B5B" w:rsidP="009D0B5B">
      <w:pPr>
        <w:rPr>
          <w:rFonts w:cs="Times New Roman"/>
        </w:rPr>
      </w:pPr>
      <w:r w:rsidRPr="00903EAC">
        <w:rPr>
          <w:rFonts w:cs="Times New Roman"/>
        </w:rPr>
        <w:t>By a wholly owned subsidiary, the maximum formal control is attained at the cost of absorbing property, customs, currency and employment risk prior to knowledge of demand. A joint venture offers complementary resources but brings about stalemate and hard exit. Loose franchising secures the capital but provides inadequate food-safety, service and data management. The coffeehouse proposition cannot be tested using packaged-coffee exports. When the partner, legal or unit-economic thresholds do not work, then deferral is the correct choice. Joint venture can prove appealing in the future in case the partner brings in a limited resource and the pilot proves to be large enough to warrant shared equity.</w:t>
      </w:r>
    </w:p>
    <w:p w14:paraId="5A08652C" w14:textId="77777777" w:rsidR="009D0B5B" w:rsidRPr="00903EAC" w:rsidRDefault="009D0B5B" w:rsidP="009D0B5B">
      <w:pPr>
        <w:rPr>
          <w:rFonts w:cs="Times New Roman"/>
        </w:rPr>
      </w:pPr>
      <w:r w:rsidRPr="00903EAC">
        <w:rPr>
          <w:rFonts w:cs="Times New Roman"/>
        </w:rPr>
        <w:t xml:space="preserve">The matrix is not an algorithm, but a decision aid. The ownership, contracts, information systems, training and credible sanctions create control whereas the commitment is created by </w:t>
      </w:r>
      <w:r w:rsidRPr="00903EAC">
        <w:rPr>
          <w:rFonts w:cs="Times New Roman"/>
        </w:rPr>
        <w:lastRenderedPageBreak/>
        <w:t>the attention of managers and brand exposure. A licence is not a risk elimination: the partner will under-invest, hide accidents or grow too fast. On the other hand, landlords, suppliers and regulators still have full ownership. Delegated operation is only better where the standards can be observed, audits are credible and breaches can be rectified. This suggestion is thus more on governance quality than on the label of a contract.</w:t>
      </w:r>
    </w:p>
    <w:p w14:paraId="0F1E2407" w14:textId="77777777" w:rsidR="009D0B5B" w:rsidRDefault="009D0B5B" w:rsidP="009D0B5B">
      <w:r w:rsidRPr="00903EAC">
        <w:rPr>
          <w:rFonts w:cs="Times New Roman"/>
        </w:rPr>
        <w:t>Control and capital are most independent with a development licence. Leases, fit-out, staff and working capital are funded by the licensee, Starbucks identifies coffee, equipment, design, training, technology, suppliers and audits. The rationality of lower-commitment modes under uncertainty (Kyriakopoulos, Narooz and Ji, 2025) and the possibility of mode development of entry modes (Brouthers et al., 2022) are rational. The contract should thus not be a binding agreement but an opportunity to an option to buy the minority equity by Starbucks upon shown performance without making it a permanent dependency. The valuation mechanism of acquisition rights must be transparent so as to avoid conflict or opportunistic renegotiation in the future.</w:t>
      </w:r>
    </w:p>
    <w:p w14:paraId="1258C842" w14:textId="77777777" w:rsidR="009D0B5B" w:rsidRDefault="009D0B5B" w:rsidP="009D0B5B">
      <w:pPr>
        <w:pStyle w:val="Heading2"/>
      </w:pPr>
      <w:bookmarkStart w:id="13" w:name="_Toc235901549"/>
      <w:r>
        <w:rPr>
          <w:rFonts w:eastAsia="Times New Roman" w:cs="Times New Roman"/>
          <w:color w:val="000000"/>
        </w:rPr>
        <w:t>4.3 Partner selection, pilot design and controls</w:t>
      </w:r>
      <w:bookmarkEnd w:id="13"/>
    </w:p>
    <w:p w14:paraId="730749CA" w14:textId="77777777" w:rsidR="009D0B5B" w:rsidRDefault="009D0B5B" w:rsidP="009D0B5B">
      <w:pPr>
        <w:pStyle w:val="Caption"/>
      </w:pPr>
      <w:r>
        <w:rPr>
          <w:rFonts w:cs="Times New Roman"/>
          <w:sz w:val="24"/>
        </w:rPr>
        <w:t>Table 5. Indicative partner shortlist for competitive due diligence</w:t>
      </w:r>
    </w:p>
    <w:tbl>
      <w:tblPr>
        <w:tblStyle w:val="TableGrid"/>
        <w:tblW w:w="0" w:type="auto"/>
        <w:jc w:val="center"/>
        <w:tblLayout w:type="fixed"/>
        <w:tblLook w:val="04A0" w:firstRow="1" w:lastRow="0" w:firstColumn="1" w:lastColumn="0" w:noHBand="0" w:noVBand="1"/>
      </w:tblPr>
      <w:tblGrid>
        <w:gridCol w:w="1944"/>
        <w:gridCol w:w="3671"/>
        <w:gridCol w:w="3744"/>
      </w:tblGrid>
      <w:tr w:rsidR="009D0B5B" w14:paraId="0EFDC132" w14:textId="77777777" w:rsidTr="004B2B6D">
        <w:trPr>
          <w:cantSplit/>
          <w:tblHeader/>
          <w:jc w:val="center"/>
        </w:trPr>
        <w:tc>
          <w:tcPr>
            <w:tcW w:w="1944" w:type="dxa"/>
            <w:shd w:val="clear" w:color="auto" w:fill="B4C6E7"/>
            <w:tcMar>
              <w:top w:w="70" w:type="dxa"/>
              <w:left w:w="85" w:type="dxa"/>
              <w:bottom w:w="70" w:type="dxa"/>
              <w:right w:w="85" w:type="dxa"/>
            </w:tcMar>
            <w:vAlign w:val="center"/>
          </w:tcPr>
          <w:p w14:paraId="79A6C4F6" w14:textId="77777777" w:rsidR="009D0B5B" w:rsidRDefault="009D0B5B" w:rsidP="004B2B6D">
            <w:pPr>
              <w:jc w:val="left"/>
            </w:pPr>
            <w:r>
              <w:rPr>
                <w:rFonts w:cs="Times New Roman"/>
                <w:b/>
                <w:sz w:val="24"/>
              </w:rPr>
              <w:t>Candidate</w:t>
            </w:r>
          </w:p>
        </w:tc>
        <w:tc>
          <w:tcPr>
            <w:tcW w:w="3671" w:type="dxa"/>
            <w:shd w:val="clear" w:color="auto" w:fill="B4C6E7"/>
            <w:tcMar>
              <w:top w:w="70" w:type="dxa"/>
              <w:left w:w="85" w:type="dxa"/>
              <w:bottom w:w="70" w:type="dxa"/>
              <w:right w:w="85" w:type="dxa"/>
            </w:tcMar>
            <w:vAlign w:val="center"/>
          </w:tcPr>
          <w:p w14:paraId="0DDF17DE" w14:textId="77777777" w:rsidR="009D0B5B" w:rsidRDefault="009D0B5B" w:rsidP="004B2B6D">
            <w:pPr>
              <w:jc w:val="left"/>
            </w:pPr>
            <w:r>
              <w:rPr>
                <w:rFonts w:cs="Times New Roman"/>
                <w:b/>
                <w:sz w:val="24"/>
              </w:rPr>
              <w:t>Relevant capability</w:t>
            </w:r>
          </w:p>
        </w:tc>
        <w:tc>
          <w:tcPr>
            <w:tcW w:w="3744" w:type="dxa"/>
            <w:shd w:val="clear" w:color="auto" w:fill="B4C6E7"/>
            <w:tcMar>
              <w:top w:w="70" w:type="dxa"/>
              <w:left w:w="85" w:type="dxa"/>
              <w:bottom w:w="70" w:type="dxa"/>
              <w:right w:w="85" w:type="dxa"/>
            </w:tcMar>
            <w:vAlign w:val="center"/>
          </w:tcPr>
          <w:p w14:paraId="42A354EC" w14:textId="77777777" w:rsidR="009D0B5B" w:rsidRDefault="009D0B5B" w:rsidP="004B2B6D">
            <w:pPr>
              <w:jc w:val="left"/>
            </w:pPr>
            <w:r>
              <w:rPr>
                <w:rFonts w:cs="Times New Roman"/>
                <w:b/>
                <w:sz w:val="24"/>
              </w:rPr>
              <w:t>Principal question</w:t>
            </w:r>
          </w:p>
        </w:tc>
      </w:tr>
      <w:tr w:rsidR="009D0B5B" w14:paraId="68F1AF62" w14:textId="77777777" w:rsidTr="004B2B6D">
        <w:trPr>
          <w:cantSplit/>
          <w:jc w:val="center"/>
        </w:trPr>
        <w:tc>
          <w:tcPr>
            <w:tcW w:w="1944" w:type="dxa"/>
            <w:tcMar>
              <w:top w:w="70" w:type="dxa"/>
              <w:left w:w="85" w:type="dxa"/>
              <w:bottom w:w="70" w:type="dxa"/>
              <w:right w:w="85" w:type="dxa"/>
            </w:tcMar>
          </w:tcPr>
          <w:p w14:paraId="37E95E60" w14:textId="77777777" w:rsidR="009D0B5B" w:rsidRDefault="009D0B5B" w:rsidP="004B2B6D">
            <w:pPr>
              <w:jc w:val="left"/>
            </w:pPr>
            <w:r>
              <w:rPr>
                <w:rFonts w:cs="Times New Roman"/>
                <w:sz w:val="24"/>
              </w:rPr>
              <w:t>Transcom Foods</w:t>
            </w:r>
          </w:p>
        </w:tc>
        <w:tc>
          <w:tcPr>
            <w:tcW w:w="3671" w:type="dxa"/>
            <w:tcMar>
              <w:top w:w="70" w:type="dxa"/>
              <w:left w:w="85" w:type="dxa"/>
              <w:bottom w:w="70" w:type="dxa"/>
              <w:right w:w="85" w:type="dxa"/>
            </w:tcMar>
          </w:tcPr>
          <w:p w14:paraId="0ED66018" w14:textId="77777777" w:rsidR="009D0B5B" w:rsidRDefault="009D0B5B" w:rsidP="004B2B6D">
            <w:pPr>
              <w:jc w:val="left"/>
            </w:pPr>
            <w:r>
              <w:rPr>
                <w:rFonts w:cs="Times New Roman"/>
                <w:sz w:val="24"/>
              </w:rPr>
              <w:t>Multi-site KFC and Pizza Hut operations with international-brand governance.</w:t>
            </w:r>
          </w:p>
        </w:tc>
        <w:tc>
          <w:tcPr>
            <w:tcW w:w="3744" w:type="dxa"/>
            <w:tcMar>
              <w:top w:w="70" w:type="dxa"/>
              <w:left w:w="85" w:type="dxa"/>
              <w:bottom w:w="70" w:type="dxa"/>
              <w:right w:w="85" w:type="dxa"/>
            </w:tcMar>
          </w:tcPr>
          <w:p w14:paraId="51313CAE" w14:textId="77777777" w:rsidR="009D0B5B" w:rsidRDefault="009D0B5B" w:rsidP="004B2B6D">
            <w:pPr>
              <w:jc w:val="left"/>
            </w:pPr>
            <w:r>
              <w:rPr>
                <w:rFonts w:cs="Times New Roman"/>
                <w:sz w:val="24"/>
              </w:rPr>
              <w:t>Can it provide dedicated leadership and meet sourcing and data controls?</w:t>
            </w:r>
          </w:p>
        </w:tc>
      </w:tr>
      <w:tr w:rsidR="009D0B5B" w14:paraId="183416CA" w14:textId="77777777" w:rsidTr="004B2B6D">
        <w:trPr>
          <w:cantSplit/>
          <w:jc w:val="center"/>
        </w:trPr>
        <w:tc>
          <w:tcPr>
            <w:tcW w:w="1944" w:type="dxa"/>
            <w:shd w:val="clear" w:color="auto" w:fill="F4F6F7"/>
            <w:tcMar>
              <w:top w:w="70" w:type="dxa"/>
              <w:left w:w="85" w:type="dxa"/>
              <w:bottom w:w="70" w:type="dxa"/>
              <w:right w:w="85" w:type="dxa"/>
            </w:tcMar>
          </w:tcPr>
          <w:p w14:paraId="1AE22A15" w14:textId="77777777" w:rsidR="009D0B5B" w:rsidRDefault="009D0B5B" w:rsidP="004B2B6D">
            <w:pPr>
              <w:jc w:val="left"/>
            </w:pPr>
            <w:r>
              <w:rPr>
                <w:rFonts w:cs="Times New Roman"/>
                <w:sz w:val="24"/>
              </w:rPr>
              <w:t>Navana Foods</w:t>
            </w:r>
          </w:p>
        </w:tc>
        <w:tc>
          <w:tcPr>
            <w:tcW w:w="3671" w:type="dxa"/>
            <w:shd w:val="clear" w:color="auto" w:fill="F4F6F7"/>
            <w:tcMar>
              <w:top w:w="70" w:type="dxa"/>
              <w:left w:w="85" w:type="dxa"/>
              <w:bottom w:w="70" w:type="dxa"/>
              <w:right w:w="85" w:type="dxa"/>
            </w:tcMar>
          </w:tcPr>
          <w:p w14:paraId="7175152F" w14:textId="77777777" w:rsidR="009D0B5B" w:rsidRDefault="009D0B5B" w:rsidP="004B2B6D">
            <w:pPr>
              <w:jc w:val="left"/>
            </w:pPr>
            <w:r>
              <w:rPr>
                <w:rFonts w:cs="Times New Roman"/>
                <w:sz w:val="24"/>
              </w:rPr>
              <w:t>Operates Gloria Jean’s and imports commercial coffee equipment.</w:t>
            </w:r>
          </w:p>
        </w:tc>
        <w:tc>
          <w:tcPr>
            <w:tcW w:w="3744" w:type="dxa"/>
            <w:shd w:val="clear" w:color="auto" w:fill="F4F6F7"/>
            <w:tcMar>
              <w:top w:w="70" w:type="dxa"/>
              <w:left w:w="85" w:type="dxa"/>
              <w:bottom w:w="70" w:type="dxa"/>
              <w:right w:w="85" w:type="dxa"/>
            </w:tcMar>
          </w:tcPr>
          <w:p w14:paraId="33BA96B3" w14:textId="77777777" w:rsidR="009D0B5B" w:rsidRDefault="009D0B5B" w:rsidP="004B2B6D">
            <w:pPr>
              <w:jc w:val="left"/>
            </w:pPr>
            <w:r>
              <w:rPr>
                <w:rFonts w:cs="Times New Roman"/>
                <w:sz w:val="24"/>
              </w:rPr>
              <w:t>Does the existing coffee relationship create conflict?</w:t>
            </w:r>
          </w:p>
        </w:tc>
      </w:tr>
      <w:tr w:rsidR="009D0B5B" w14:paraId="0A89290E" w14:textId="77777777" w:rsidTr="004B2B6D">
        <w:trPr>
          <w:cantSplit/>
          <w:jc w:val="center"/>
        </w:trPr>
        <w:tc>
          <w:tcPr>
            <w:tcW w:w="1944" w:type="dxa"/>
            <w:tcMar>
              <w:top w:w="70" w:type="dxa"/>
              <w:left w:w="85" w:type="dxa"/>
              <w:bottom w:w="70" w:type="dxa"/>
              <w:right w:w="85" w:type="dxa"/>
            </w:tcMar>
          </w:tcPr>
          <w:p w14:paraId="215AFAFB" w14:textId="77777777" w:rsidR="009D0B5B" w:rsidRDefault="009D0B5B" w:rsidP="004B2B6D">
            <w:pPr>
              <w:jc w:val="left"/>
            </w:pPr>
            <w:r>
              <w:rPr>
                <w:rFonts w:cs="Times New Roman"/>
                <w:sz w:val="24"/>
              </w:rPr>
              <w:t>Bashundhara foodservice platform</w:t>
            </w:r>
          </w:p>
        </w:tc>
        <w:tc>
          <w:tcPr>
            <w:tcW w:w="3671" w:type="dxa"/>
            <w:tcMar>
              <w:top w:w="70" w:type="dxa"/>
              <w:left w:w="85" w:type="dxa"/>
              <w:bottom w:w="70" w:type="dxa"/>
              <w:right w:w="85" w:type="dxa"/>
            </w:tcMar>
          </w:tcPr>
          <w:p w14:paraId="3A5B407B" w14:textId="77777777" w:rsidR="009D0B5B" w:rsidRDefault="009D0B5B" w:rsidP="004B2B6D">
            <w:pPr>
              <w:jc w:val="left"/>
            </w:pPr>
            <w:r>
              <w:rPr>
                <w:rFonts w:cs="Times New Roman"/>
                <w:sz w:val="24"/>
              </w:rPr>
              <w:t>Signed the Cafe Amazon master franchise, indicating scale and property access.</w:t>
            </w:r>
          </w:p>
        </w:tc>
        <w:tc>
          <w:tcPr>
            <w:tcW w:w="3744" w:type="dxa"/>
            <w:tcMar>
              <w:top w:w="70" w:type="dxa"/>
              <w:left w:w="85" w:type="dxa"/>
              <w:bottom w:w="70" w:type="dxa"/>
              <w:right w:w="85" w:type="dxa"/>
            </w:tcMar>
          </w:tcPr>
          <w:p w14:paraId="59C58B98" w14:textId="77777777" w:rsidR="009D0B5B" w:rsidRDefault="009D0B5B" w:rsidP="004B2B6D">
            <w:pPr>
              <w:jc w:val="left"/>
            </w:pPr>
            <w:r>
              <w:rPr>
                <w:rFonts w:cs="Times New Roman"/>
                <w:sz w:val="24"/>
              </w:rPr>
              <w:t>Does the competing commitment prevent alignment?</w:t>
            </w:r>
          </w:p>
        </w:tc>
      </w:tr>
    </w:tbl>
    <w:p w14:paraId="4AF8A19A" w14:textId="77777777" w:rsidR="009D0B5B" w:rsidRDefault="009D0B5B" w:rsidP="009D0B5B">
      <w:r>
        <w:rPr>
          <w:rFonts w:cs="Times New Roman"/>
          <w:i/>
        </w:rPr>
        <w:t>Source: Transcom Group (2026); Navana Group (2026); World Coffee Portal (2024).</w:t>
      </w:r>
    </w:p>
    <w:p w14:paraId="3F5C6E88" w14:textId="77777777" w:rsidR="009D0B5B" w:rsidRPr="00983F85" w:rsidRDefault="009D0B5B" w:rsidP="009D0B5B">
      <w:pPr>
        <w:rPr>
          <w:rFonts w:cs="Times New Roman"/>
        </w:rPr>
      </w:pPr>
      <w:r w:rsidRPr="00983F85">
        <w:rPr>
          <w:rFonts w:cs="Times New Roman"/>
        </w:rPr>
        <w:t xml:space="preserve">Transcom has the best chance as the first candidate due to international restaurant experience although it should be competitive in the selection. The candidates should be rated by Starbucks in areas of finance, food safety, property, compliance, workforce development, supply chain, technology, conflicts and acceptance of audit and termination rights. Navana has expertise in coffee and equipment and the relationship between Gloria Jean and Navana poses a conflict. </w:t>
      </w:r>
      <w:r w:rsidRPr="00983F85">
        <w:rPr>
          <w:rFonts w:cs="Times New Roman"/>
        </w:rPr>
        <w:lastRenderedPageBreak/>
        <w:t>Bashundhara shows scale with Cafe Amazon, but it is possible that that commitment is disqualifying. Partner choice is thus a strategic choice decision, rather than convenience. Due diligence must consist of audited accounts, litigation, beneficial ownership, sanctions, supplier practices, management capacity and references of existing overseas principals.</w:t>
      </w:r>
    </w:p>
    <w:p w14:paraId="58092C39" w14:textId="77777777" w:rsidR="009D0B5B" w:rsidRPr="00983F85" w:rsidRDefault="009D0B5B" w:rsidP="009D0B5B">
      <w:pPr>
        <w:rPr>
          <w:rFonts w:cs="Times New Roman"/>
        </w:rPr>
      </w:pPr>
      <w:r w:rsidRPr="00983F85">
        <w:rPr>
          <w:rFonts w:cs="Times New Roman"/>
        </w:rPr>
        <w:t>The contract must be a performance-based development licence which is exclusive and with an eighteen month pilot and not guaranteed roll out. A flagship, high throughput office or mall unit and a smaller store adjacent to a university should be tested using three Dhaka formats. Every opening must be based upon previous service, safety and demand experience. Starbucks ought to ratify locations, layouts, management certification, coffee supplies, crucial suppliers and computerized systems. The licensee must offer traceable procurement, real time sales access, incident reporting, the access to mystery-shopping and a parent guarantee with the step-in, cure, suspension and transfer rights. Exclusivity development should automatically expire in case there is an under-milestone in the openings or standards, and the weak partner will not be able to block the market.</w:t>
      </w:r>
    </w:p>
    <w:p w14:paraId="72F27838" w14:textId="77777777" w:rsidR="009D0B5B" w:rsidRPr="00983F85" w:rsidRDefault="009D0B5B" w:rsidP="009D0B5B">
      <w:pPr>
        <w:rPr>
          <w:rFonts w:cs="Times New Roman"/>
        </w:rPr>
      </w:pPr>
      <w:r w:rsidRPr="00983F85">
        <w:rPr>
          <w:rFonts w:cs="Times New Roman"/>
        </w:rPr>
        <w:t>Legal opinions, tariff classification, price research, partner due diligence and site models should be done over a six-month validation period. The pilot scorecard is to address the ninety-day repeat rate, average ticket, daypart transactions, contribution after royalty, food-safety audits, employee retention, data compliance and complaints. The thresholds have to be based on primary evidence, and not created percentages. Other stores in Dhaka must demand two quarters of consecutive complies; Chattogram or Sylhet must only be put into demand after consistent cluster returns. The under reasonable downside assumptions should entail a pause, redesign or quit instead of an increase in the sunk costs. The scorecard must be able to make a distinction between leading and lagging indicators, e.g. training completion and audit findings versus profit and repeat purchase.</w:t>
      </w:r>
    </w:p>
    <w:p w14:paraId="5AFB03AA" w14:textId="77777777" w:rsidR="009D0B5B" w:rsidRDefault="009D0B5B" w:rsidP="009D0B5B">
      <w:r w:rsidRPr="00983F85">
        <w:rPr>
          <w:rFonts w:cs="Times New Roman"/>
        </w:rPr>
        <w:t>Responsible operations and people should be in the gates. The companion ought to offer legal agreements, foreseeable timeline, complaint avenues, safety education and career development options. The local sourcing claims should be verifiable and the waste, water and energy solutions should be in line with the infrastructure of Bangladesh. These standards make it more expensive, but enhance legitimacy and retention. The scale of a pilot who makes a profit by undermining labour, safety or environmental standards should not be scaled. Board level responsibility should be delegated on serious safety, labour, data or integrity breaches by the governance.</w:t>
      </w:r>
    </w:p>
    <w:p w14:paraId="6AC86C65" w14:textId="77777777" w:rsidR="009D0B5B" w:rsidRDefault="009D0B5B" w:rsidP="009D0B5B">
      <w:pPr>
        <w:pStyle w:val="Heading2"/>
      </w:pPr>
      <w:bookmarkStart w:id="14" w:name="_Toc235901550"/>
      <w:r>
        <w:rPr>
          <w:rFonts w:eastAsia="Times New Roman" w:cs="Times New Roman"/>
          <w:color w:val="000000"/>
        </w:rPr>
        <w:lastRenderedPageBreak/>
        <w:t>4.4 Conclusion and recommendations</w:t>
      </w:r>
      <w:bookmarkEnd w:id="14"/>
    </w:p>
    <w:p w14:paraId="25F33E27" w14:textId="77777777" w:rsidR="009D0B5B" w:rsidRPr="00983F85" w:rsidRDefault="009D0B5B" w:rsidP="009D0B5B">
      <w:pPr>
        <w:rPr>
          <w:rFonts w:cs="Times New Roman"/>
        </w:rPr>
      </w:pPr>
      <w:r w:rsidRPr="00983F85">
        <w:rPr>
          <w:rFonts w:cs="Times New Roman"/>
        </w:rPr>
        <w:t>Bangladesh should only be accepted by Starbucks in form of a market-learning investment. Its brand, digital and operating capabilities creates ownership benefits, and Dhaka offers category and focused demand potential. Readyiness is limited by inflation, import and currency exposure, execution of regulations and well established competitors and low habitual coffee consumption. A complete rollout is too much of a commitment; a loosely-franchised system secures capital, but not the brand. An overseen development licence is thus the most suitable one at the moment. The Starbucks ought to choose the partner in a competitive manner, test assumptions of price and location, experiment on three formats, maintain control of systems that are vital to the brand as well as connect expansion to repeat demand, contribution margin and compliance. This framework is a fusion of strategic ambition and evidence discipline and helps Starbucks guard against the transformation of initial popularity into an untimely fixed commitment. These checks and balances help to make sure that growth occurs after substantiated demand, credible compliance and sustainable economics and allow Starbucks to learn in the market without making a national scale commitment that is irreversible.</w:t>
      </w:r>
    </w:p>
    <w:p w14:paraId="7FA42186" w14:textId="77777777" w:rsidR="009D0B5B" w:rsidRDefault="009D0B5B" w:rsidP="009D0B5B">
      <w:r w:rsidRPr="00983F85">
        <w:rPr>
          <w:rFonts w:cs="Times New Roman"/>
        </w:rPr>
        <w:t>The suggestion is not a prediction of success, but is deliberately reversible. The entry must be made when a qualified partner is willing to accept the control architecture, a profitable price is accepted by the customers, imports are clear and leases are reversible. Any failure in testing should result in deferral and not dilution of protection, good results may lead to further rollout or subsequent equity involvement.</w:t>
      </w:r>
    </w:p>
    <w:p w14:paraId="56A71D32" w14:textId="77777777" w:rsidR="009D0B5B" w:rsidRDefault="009D0B5B" w:rsidP="009D0B5B">
      <w:pPr>
        <w:pStyle w:val="Heading1"/>
      </w:pPr>
      <w:bookmarkStart w:id="15" w:name="_Toc235901551"/>
      <w:r>
        <w:rPr>
          <w:rFonts w:eastAsia="Times New Roman" w:cs="Times New Roman"/>
          <w:color w:val="000000"/>
        </w:rPr>
        <w:t>5. Reflective Account Using Gibbs’ Reflective Cycle</w:t>
      </w:r>
      <w:bookmarkEnd w:id="15"/>
    </w:p>
    <w:p w14:paraId="6417E965" w14:textId="77777777" w:rsidR="009D0B5B" w:rsidRDefault="009D0B5B" w:rsidP="009D0B5B">
      <w:pPr>
        <w:pStyle w:val="Heading2"/>
      </w:pPr>
      <w:bookmarkStart w:id="16" w:name="_Toc235901552"/>
      <w:r>
        <w:rPr>
          <w:rFonts w:eastAsia="Times New Roman" w:cs="Times New Roman"/>
          <w:color w:val="000000"/>
        </w:rPr>
        <w:t>5.1 Description</w:t>
      </w:r>
      <w:bookmarkEnd w:id="16"/>
    </w:p>
    <w:p w14:paraId="0461A68E" w14:textId="77777777" w:rsidR="009D0B5B" w:rsidRDefault="009D0B5B" w:rsidP="009D0B5B">
      <w:r w:rsidRPr="00983F85">
        <w:rPr>
          <w:rFonts w:cs="Times New Roman"/>
        </w:rPr>
        <w:t xml:space="preserve">I applied the cycle by Gibbs (1988) to the task to consider it an investment decision and not descriptive reporting. I have broken the brief down into four tests: ensure that Starbucks is not present at the cutoff date, categorize its strategy, external factors influencing coffeehouse economics, and match evidence to entry mode. A record of the evidence was maintained that included each claim, type of source, date, reliability and purpose. Corporate filing substantiated network and governance facts, official sources substantiated macroeconomic and legal assertions, company web sites substantiated competitor and partner assertions, peer-reviewed research tested theory. I also divided evidence required to describe the market and evidence </w:t>
      </w:r>
      <w:r w:rsidRPr="00983F85">
        <w:rPr>
          <w:rFonts w:cs="Times New Roman"/>
        </w:rPr>
        <w:lastRenderedPageBreak/>
        <w:t>required to authorise investment and this made it clear where research by the public was wanting.</w:t>
      </w:r>
    </w:p>
    <w:p w14:paraId="313F476A" w14:textId="77777777" w:rsidR="009D0B5B" w:rsidRDefault="009D0B5B" w:rsidP="009D0B5B">
      <w:pPr>
        <w:pStyle w:val="Heading2"/>
      </w:pPr>
      <w:bookmarkStart w:id="17" w:name="_Toc235901553"/>
      <w:r>
        <w:rPr>
          <w:rFonts w:eastAsia="Times New Roman" w:cs="Times New Roman"/>
          <w:color w:val="000000"/>
        </w:rPr>
        <w:t>5.2 Feelings</w:t>
      </w:r>
      <w:bookmarkEnd w:id="17"/>
    </w:p>
    <w:p w14:paraId="63A37F54" w14:textId="77777777" w:rsidR="009D0B5B" w:rsidRPr="00983F85" w:rsidRDefault="009D0B5B" w:rsidP="009D0B5B">
      <w:pPr>
        <w:rPr>
          <w:rFonts w:cs="Times New Roman"/>
        </w:rPr>
      </w:pPr>
      <w:r w:rsidRPr="00983F85">
        <w:rPr>
          <w:rFonts w:cs="Times New Roman"/>
        </w:rPr>
        <w:t>First, I thought that there was a huge untapped market to warrant entry. The belief was shattered as it was revealed that there were specialist local roasters, international cafes and a newly announced scaled player. It was also hard to determine absence due to the unofficial pages and imported products that might be confused with official operations. The lack of rents, footfall and willingness-to-pay data were a sore point in making a confident recommendation. The uncertainty proved fruitful since it promoted conditional gates as opposed to accurate assumptions. I did not consider this as a weakness that I needed to hide but rather I used it to define the main evidence that was necessary prior to entry.</w:t>
      </w:r>
    </w:p>
    <w:p w14:paraId="1258A0D8" w14:textId="77777777" w:rsidR="009D0B5B" w:rsidRDefault="009D0B5B" w:rsidP="009D0B5B">
      <w:r w:rsidRPr="00983F85">
        <w:rPr>
          <w:rFonts w:cs="Times New Roman"/>
        </w:rPr>
        <w:t>Nothing was more than a turning point than partner analysis. I first considered the experience at the restaurant of Transcom to be good enough to be nominated. Comparisons between Navana and Bashundhara revealed that there can be operational capability and conflicts. I modified recommended partner to leading candidate that is subject to competition. This made me understand that the confidence of language must not change the information available to the public into a due diligence that is yet to be done.</w:t>
      </w:r>
    </w:p>
    <w:p w14:paraId="6D1F4473" w14:textId="77777777" w:rsidR="009D0B5B" w:rsidRDefault="009D0B5B" w:rsidP="009D0B5B">
      <w:pPr>
        <w:pStyle w:val="Heading2"/>
      </w:pPr>
      <w:bookmarkStart w:id="18" w:name="_Toc235901554"/>
      <w:r>
        <w:rPr>
          <w:rFonts w:eastAsia="Times New Roman" w:cs="Times New Roman"/>
          <w:color w:val="000000"/>
        </w:rPr>
        <w:t>5.3 Evaluation</w:t>
      </w:r>
      <w:bookmarkEnd w:id="18"/>
    </w:p>
    <w:p w14:paraId="6391E2A4" w14:textId="77777777" w:rsidR="009D0B5B" w:rsidRPr="00983F85" w:rsidRDefault="009D0B5B" w:rsidP="009D0B5B">
      <w:pPr>
        <w:rPr>
          <w:rFonts w:cs="Times New Roman"/>
        </w:rPr>
      </w:pPr>
      <w:r w:rsidRPr="00983F85">
        <w:rPr>
          <w:rFonts w:cs="Times New Roman"/>
        </w:rPr>
        <w:t>The best aspect of the process was triangulation. The annual report and the release of the FY2026 by Starbucks were in line with the international estate; the tariff schedule bridged the gap between macroeconomics and the landed cost; and B-READY was a divorce between the formal openness and implementation. The competitor evidence has helped me to rectify my assumption that the global awareness was decisive. The ability of North End to compete with credible quality with regards to network and roasting. I turned down a favourable market-growth statistic since its procedure was not known as I relied on observable outlets, prices and primary-research conditions. The number of doubts about certainty increased, and the academic authority enhanced. Contradictions were also identified as a result of triangulation and not just confirmation of claims, which has assisted me in the differentiation of market potential and readiness to operate.</w:t>
      </w:r>
    </w:p>
    <w:p w14:paraId="6EB098F3" w14:textId="77777777" w:rsidR="009D0B5B" w:rsidRDefault="009D0B5B" w:rsidP="009D0B5B">
      <w:r w:rsidRPr="00983F85">
        <w:rPr>
          <w:rFonts w:cs="Times New Roman"/>
        </w:rPr>
        <w:t xml:space="preserve">I separated factual claims and managerial tests, too. In previous drafts, the precise length of the licence, menu share and sourcing percentage without similar contracts or primary information </w:t>
      </w:r>
      <w:r w:rsidRPr="00983F85">
        <w:rPr>
          <w:rFonts w:cs="Times New Roman"/>
        </w:rPr>
        <w:lastRenderedPageBreak/>
        <w:t>were used. Making them more defensible and easier to justify by removing or labeling them as scenarios made the recommendation less superficially precise but more defensible and easier to validate.</w:t>
      </w:r>
    </w:p>
    <w:p w14:paraId="07E88749" w14:textId="77777777" w:rsidR="009D0B5B" w:rsidRDefault="009D0B5B" w:rsidP="009D0B5B">
      <w:pPr>
        <w:pStyle w:val="Heading2"/>
      </w:pPr>
      <w:bookmarkStart w:id="19" w:name="_Toc235901555"/>
      <w:r>
        <w:rPr>
          <w:rFonts w:eastAsia="Times New Roman" w:cs="Times New Roman"/>
          <w:color w:val="000000"/>
        </w:rPr>
        <w:t>5.4 Analysis</w:t>
      </w:r>
      <w:bookmarkEnd w:id="19"/>
    </w:p>
    <w:p w14:paraId="7E9AA94C" w14:textId="77777777" w:rsidR="009D0B5B" w:rsidRPr="00983F85" w:rsidRDefault="009D0B5B" w:rsidP="009D0B5B">
      <w:pPr>
        <w:rPr>
          <w:rFonts w:cs="Times New Roman"/>
        </w:rPr>
      </w:pPr>
      <w:r w:rsidRPr="00983F85">
        <w:rPr>
          <w:rFonts w:cs="Times New Roman"/>
        </w:rPr>
        <w:t>The frameworks responded to various questions. Bartlett and Ghoshal described the notion of integration and responsiveness but simplified the differences in functions. Transferable assets, location benefits and reasons to be controlled, but not sequencing were identified by OLI. CAGE emphasized distance but did not indicate whether it resulted in cost or differentiation. The temporal reasoning was provided by real-options reasoning: a pilot purchases information and retains expansion or exit. The integration of the models influenced my decision to shift preference to a traditional joint venture to a controlled licence in which there is an option of ownership. I also got to know that a local partner minimizes outsider liability and generates conflict, exposure to compliance and dependency and that selection and contractual rights are part of the strategy. The synthesis showed that the best way to use frameworks is to make their assumptions and blindspots explicit and not in the form of independent checklists.</w:t>
      </w:r>
    </w:p>
    <w:p w14:paraId="0E5DC824" w14:textId="77777777" w:rsidR="009D0B5B" w:rsidRDefault="009D0B5B" w:rsidP="009D0B5B">
      <w:r w:rsidRPr="00983F85">
        <w:rPr>
          <w:rFonts w:cs="Times New Roman"/>
        </w:rPr>
        <w:t>The discussion of the institutional distance and entry-mode trade-offs in the course helped me realize that my belief in ownership as a source of control is incorrect. I have come to consider control as an incentive and information issue. The failure of ownership occurs when a headquarters does not know about the local area, and the contracts can be successful when standards are verifiable, audits are credible and termination is possible. This learning will have an impact on my evaluation of alliances and franchises in the future of this assignment.</w:t>
      </w:r>
    </w:p>
    <w:p w14:paraId="3ED3C68C" w14:textId="77777777" w:rsidR="009D0B5B" w:rsidRDefault="009D0B5B" w:rsidP="009D0B5B">
      <w:pPr>
        <w:pStyle w:val="Heading2"/>
      </w:pPr>
      <w:bookmarkStart w:id="20" w:name="_Toc235901556"/>
      <w:r>
        <w:rPr>
          <w:rFonts w:eastAsia="Times New Roman" w:cs="Times New Roman"/>
          <w:color w:val="000000"/>
        </w:rPr>
        <w:t>5.5 Conclusion</w:t>
      </w:r>
      <w:bookmarkEnd w:id="20"/>
    </w:p>
    <w:p w14:paraId="5D74CEE9" w14:textId="77777777" w:rsidR="009D0B5B" w:rsidRDefault="009D0B5B" w:rsidP="009D0B5B">
      <w:r w:rsidRPr="00C716ED">
        <w:rPr>
          <w:rFonts w:cs="Times New Roman"/>
        </w:rPr>
        <w:t>This experience helped me to develop my skills to differentiate between market potential and market readiness. Despite the long-term potential of supporting premium coffeehouses in Bangladesh, market readiness lies in the demand of the customers, site economics, operational efficiency, regulatory compliance and quality of local partners. I also felt more at ease with making a conditional judgement without necessarily assuming that missing evidence can be easily just guessed. Consequently, my ultimate suggestion is stronger since it clearly outlines the evidence needed prior to making the decision to enter the market and under what circumstances that decision is to be reevaluated.</w:t>
      </w:r>
    </w:p>
    <w:p w14:paraId="6532A99E" w14:textId="77777777" w:rsidR="009D0B5B" w:rsidRDefault="009D0B5B" w:rsidP="009D0B5B">
      <w:pPr>
        <w:pStyle w:val="Heading2"/>
      </w:pPr>
      <w:bookmarkStart w:id="21" w:name="_Toc235901557"/>
      <w:r>
        <w:rPr>
          <w:rFonts w:eastAsia="Times New Roman" w:cs="Times New Roman"/>
          <w:color w:val="000000"/>
        </w:rPr>
        <w:lastRenderedPageBreak/>
        <w:t>5.6 Action plan</w:t>
      </w:r>
      <w:bookmarkEnd w:id="21"/>
    </w:p>
    <w:p w14:paraId="63A1FE98" w14:textId="77777777" w:rsidR="009D0B5B" w:rsidRDefault="009D0B5B" w:rsidP="009D0B5B">
      <w:r>
        <w:rPr>
          <w:rFonts w:cs="Times New Roman"/>
        </w:rPr>
        <w:t>For future assessments, I will define the decision, cutoff date and evidence hierarchy; verify market presence through primary corporate sources; separate facts, estimates and assumptions; map industry value drivers before selecting frameworks; build site-level scenarios using verified rent, price, traffic, margin, tax and currency inputs; and conduct a red-team case for deferral. In practice, I would add site observations, customer interviews, mystery shopping, legal opinions and partner financial due diligence. My measurable goal is to complete a full site model before drafting the recommendation in my next market-entry project. I will document whether each new evidence item confirms, qualifies or reverses the provisional decision.</w:t>
      </w:r>
    </w:p>
    <w:p w14:paraId="58B0F225" w14:textId="77777777" w:rsidR="009D0B5B" w:rsidRDefault="009D0B5B" w:rsidP="009D0B5B">
      <w:pPr>
        <w:pStyle w:val="Heading1"/>
      </w:pPr>
      <w:bookmarkStart w:id="22" w:name="_Toc235901558"/>
      <w:r>
        <w:rPr>
          <w:rFonts w:eastAsia="Times New Roman"/>
          <w:color w:val="000000"/>
        </w:rPr>
        <w:t>References</w:t>
      </w:r>
      <w:bookmarkEnd w:id="22"/>
    </w:p>
    <w:p w14:paraId="174668FC" w14:textId="77777777" w:rsidR="009D0B5B" w:rsidRPr="00C716ED" w:rsidRDefault="009D0B5B" w:rsidP="009D0B5B">
      <w:pPr>
        <w:pStyle w:val="References"/>
        <w:spacing w:line="360" w:lineRule="auto"/>
        <w:jc w:val="both"/>
        <w:rPr>
          <w:sz w:val="24"/>
          <w:szCs w:val="24"/>
        </w:rPr>
      </w:pPr>
      <w:r w:rsidRPr="00C716ED">
        <w:rPr>
          <w:sz w:val="24"/>
          <w:szCs w:val="24"/>
        </w:rPr>
        <w:t xml:space="preserve">Bangladesh Bank (2025) Mobile financial services data. Available at: https://www.bb.org.bd/en/index.php/financialactivity/mfsdata </w:t>
      </w:r>
    </w:p>
    <w:p w14:paraId="03364279" w14:textId="77777777" w:rsidR="009D0B5B" w:rsidRPr="00C716ED" w:rsidRDefault="009D0B5B" w:rsidP="009D0B5B">
      <w:pPr>
        <w:pStyle w:val="References"/>
        <w:spacing w:line="360" w:lineRule="auto"/>
        <w:jc w:val="both"/>
        <w:rPr>
          <w:sz w:val="24"/>
          <w:szCs w:val="24"/>
        </w:rPr>
      </w:pPr>
      <w:r w:rsidRPr="00C716ED">
        <w:rPr>
          <w:sz w:val="24"/>
          <w:szCs w:val="24"/>
        </w:rPr>
        <w:t xml:space="preserve">Bangladesh Bureau of Statistics (2022) Population and Housing Census 2022: Preliminary Report. Dhaka: Bangladesh Bureau of Statistics. Available at: https://nsds.bbs.gov.bd/storage/files/1/Publications/BBS_Preliminary_Census_2022.pdf </w:t>
      </w:r>
    </w:p>
    <w:p w14:paraId="53A0D4E7" w14:textId="77777777" w:rsidR="009D0B5B" w:rsidRPr="00C716ED" w:rsidRDefault="009D0B5B" w:rsidP="009D0B5B">
      <w:pPr>
        <w:pStyle w:val="References"/>
        <w:spacing w:line="360" w:lineRule="auto"/>
        <w:jc w:val="both"/>
        <w:rPr>
          <w:sz w:val="24"/>
          <w:szCs w:val="24"/>
        </w:rPr>
      </w:pPr>
      <w:r w:rsidRPr="00C716ED">
        <w:rPr>
          <w:sz w:val="24"/>
          <w:szCs w:val="24"/>
        </w:rPr>
        <w:t xml:space="preserve">Bangladesh Investment Development Authority (2026) BIDA FAQ: investment registration and foreign ownership. Available at: https://bida.gov.bd/faq </w:t>
      </w:r>
    </w:p>
    <w:p w14:paraId="5C147D8E" w14:textId="77777777" w:rsidR="009D0B5B" w:rsidRPr="00C716ED" w:rsidRDefault="009D0B5B" w:rsidP="009D0B5B">
      <w:pPr>
        <w:pStyle w:val="References"/>
        <w:spacing w:line="360" w:lineRule="auto"/>
        <w:jc w:val="both"/>
        <w:rPr>
          <w:sz w:val="24"/>
          <w:szCs w:val="24"/>
        </w:rPr>
      </w:pPr>
      <w:r w:rsidRPr="00C716ED">
        <w:rPr>
          <w:sz w:val="24"/>
          <w:szCs w:val="24"/>
        </w:rPr>
        <w:t xml:space="preserve">Brouthers, K.D., Chen, L., Li, S. and Shaheer, N. (2022) ‘Charting new courses to enter foreign markets: conceptualization, theoretical framework, and research directions on non-traditional entry modes’, Journal of International Business Studies, 53(9), pp. 2088-2115. Available at: https://link.springer.com/content/pdf/10.1057/s41267-022-00521-x.pdf </w:t>
      </w:r>
    </w:p>
    <w:p w14:paraId="1921A70D" w14:textId="77777777" w:rsidR="009D0B5B" w:rsidRPr="00C716ED" w:rsidRDefault="009D0B5B" w:rsidP="009D0B5B">
      <w:pPr>
        <w:pStyle w:val="References"/>
        <w:spacing w:line="360" w:lineRule="auto"/>
        <w:jc w:val="both"/>
        <w:rPr>
          <w:sz w:val="24"/>
          <w:szCs w:val="24"/>
        </w:rPr>
      </w:pPr>
      <w:r w:rsidRPr="00C716ED">
        <w:rPr>
          <w:sz w:val="24"/>
          <w:szCs w:val="24"/>
        </w:rPr>
        <w:t xml:space="preserve">Crimson Cup Bangladesh (2026) Location. Available at: https://crimsoncupbangladesh.com/pages/location </w:t>
      </w:r>
    </w:p>
    <w:p w14:paraId="3B1257DE" w14:textId="77777777" w:rsidR="009D0B5B" w:rsidRPr="00C716ED" w:rsidRDefault="009D0B5B" w:rsidP="009D0B5B">
      <w:pPr>
        <w:pStyle w:val="References"/>
        <w:spacing w:line="360" w:lineRule="auto"/>
        <w:jc w:val="both"/>
        <w:rPr>
          <w:sz w:val="24"/>
          <w:szCs w:val="24"/>
        </w:rPr>
      </w:pPr>
      <w:r w:rsidRPr="00C716ED">
        <w:rPr>
          <w:sz w:val="24"/>
          <w:szCs w:val="24"/>
        </w:rPr>
        <w:t xml:space="preserve">Fischer, D. and Roy, K. (2019) ‘Market entry in India: the curious case of Starbucks’, Rutgers Business Review, 4(2), pp. 124-139. Available at: https://rbr.business.rutgers.edu/sites/default/files/documents/rbr-040204.pdf </w:t>
      </w:r>
    </w:p>
    <w:p w14:paraId="49C1B7B0" w14:textId="77777777" w:rsidR="009D0B5B" w:rsidRPr="00C716ED" w:rsidRDefault="009D0B5B" w:rsidP="009D0B5B">
      <w:pPr>
        <w:pStyle w:val="References"/>
        <w:spacing w:line="360" w:lineRule="auto"/>
        <w:jc w:val="both"/>
        <w:rPr>
          <w:sz w:val="24"/>
          <w:szCs w:val="24"/>
        </w:rPr>
      </w:pPr>
      <w:r w:rsidRPr="00C716ED">
        <w:rPr>
          <w:sz w:val="24"/>
          <w:szCs w:val="24"/>
        </w:rPr>
        <w:t xml:space="preserve">Ghemawat, P. (2001) ‘Distance still matters: the hard reality of global expansion’, Harvard Business Review, 79(8), pp. 137-147. Available at: https://www.ekof.bg.ac.rs/wp-content/uploads/2014/05/HBR-2.pdf </w:t>
      </w:r>
    </w:p>
    <w:p w14:paraId="27B0C530" w14:textId="77777777" w:rsidR="009D0B5B" w:rsidRPr="00C716ED" w:rsidRDefault="009D0B5B" w:rsidP="009D0B5B">
      <w:pPr>
        <w:pStyle w:val="References"/>
        <w:spacing w:line="360" w:lineRule="auto"/>
        <w:jc w:val="both"/>
        <w:rPr>
          <w:sz w:val="24"/>
          <w:szCs w:val="24"/>
        </w:rPr>
      </w:pPr>
      <w:r w:rsidRPr="00C716ED">
        <w:rPr>
          <w:sz w:val="24"/>
          <w:szCs w:val="24"/>
        </w:rPr>
        <w:lastRenderedPageBreak/>
        <w:t xml:space="preserve">Gibbs, G. (1988) Learning by Doing: A Guide to Teaching and Learning Methods. Oxford: Oxford Polytechnic. Available at: https://thoughtsmostlyaboutlearning.files.wordpress.com/2015/12/learning-by-doing-graham-gibbs.pdf </w:t>
      </w:r>
    </w:p>
    <w:p w14:paraId="43898BA4" w14:textId="77777777" w:rsidR="009D0B5B" w:rsidRPr="00C716ED" w:rsidRDefault="009D0B5B" w:rsidP="009D0B5B">
      <w:pPr>
        <w:pStyle w:val="References"/>
        <w:spacing w:line="360" w:lineRule="auto"/>
        <w:jc w:val="both"/>
        <w:rPr>
          <w:sz w:val="24"/>
          <w:szCs w:val="24"/>
        </w:rPr>
      </w:pPr>
      <w:r w:rsidRPr="00C716ED">
        <w:rPr>
          <w:sz w:val="24"/>
          <w:szCs w:val="24"/>
        </w:rPr>
        <w:t xml:space="preserve">Gloria Jean’s Coffees Bangladesh (2026) Menu. Available at: https://gloriajeanscoffeesbd.com/menu </w:t>
      </w:r>
    </w:p>
    <w:p w14:paraId="0EBEFE2E" w14:textId="77777777" w:rsidR="009D0B5B" w:rsidRPr="00C716ED" w:rsidRDefault="009D0B5B" w:rsidP="009D0B5B">
      <w:pPr>
        <w:pStyle w:val="References"/>
        <w:spacing w:line="360" w:lineRule="auto"/>
        <w:jc w:val="both"/>
        <w:rPr>
          <w:sz w:val="24"/>
          <w:szCs w:val="24"/>
        </w:rPr>
      </w:pPr>
      <w:r w:rsidRPr="00C716ED">
        <w:rPr>
          <w:sz w:val="24"/>
          <w:szCs w:val="24"/>
        </w:rPr>
        <w:t xml:space="preserve">Government of Bangladesh (2025) Personal Data Protection Ordinance, 2025. Available at: https://bdlaws.minlaw.gov.bd/act-1574.html </w:t>
      </w:r>
    </w:p>
    <w:p w14:paraId="5029D7E4" w14:textId="77777777" w:rsidR="009D0B5B" w:rsidRPr="00C716ED" w:rsidRDefault="009D0B5B" w:rsidP="009D0B5B">
      <w:pPr>
        <w:pStyle w:val="References"/>
        <w:spacing w:line="360" w:lineRule="auto"/>
        <w:jc w:val="both"/>
        <w:rPr>
          <w:sz w:val="24"/>
          <w:szCs w:val="24"/>
        </w:rPr>
      </w:pPr>
      <w:r w:rsidRPr="00C716ED">
        <w:rPr>
          <w:sz w:val="24"/>
          <w:szCs w:val="24"/>
        </w:rPr>
        <w:t xml:space="preserve">Government of Bangladesh (2026) Personal Data Protection (Amendment) Ordinance, 2026. Available at: https://bdlaws.minlaw.gov.bd/act-details-1616.html </w:t>
      </w:r>
    </w:p>
    <w:p w14:paraId="704C33F8" w14:textId="77777777" w:rsidR="009D0B5B" w:rsidRPr="00C716ED" w:rsidRDefault="009D0B5B" w:rsidP="009D0B5B">
      <w:pPr>
        <w:pStyle w:val="References"/>
        <w:spacing w:line="360" w:lineRule="auto"/>
        <w:jc w:val="both"/>
        <w:rPr>
          <w:sz w:val="24"/>
          <w:szCs w:val="24"/>
        </w:rPr>
      </w:pPr>
      <w:r w:rsidRPr="00C716ED">
        <w:rPr>
          <w:sz w:val="24"/>
          <w:szCs w:val="24"/>
        </w:rPr>
        <w:t xml:space="preserve">Harzing, A.-W. (2000) ‘An empirical analysis and extension of the Bartlett and Ghoshal typology of multinational companies’, Journal of International Business Studies, 31(1), pp. 101-120. Available at: https://www.researchgate.net/profile/Anne-Wil-Harzing/publication/5222887_An_Empirical_Analysis_and_Extension_of_the_Bartlett_and_Ghoshal_Typology_of_Multinational_Companies/links/0912f50e363bbc4911000000/An-Empirical-Analysis-and-Extension-of-the-Bartlett-and-Ghoshal-Typology-of-Multinational-Companies.pdf </w:t>
      </w:r>
    </w:p>
    <w:p w14:paraId="3672B1BF" w14:textId="77777777" w:rsidR="009D0B5B" w:rsidRPr="00C716ED" w:rsidRDefault="009D0B5B" w:rsidP="009D0B5B">
      <w:pPr>
        <w:pStyle w:val="References"/>
        <w:spacing w:line="360" w:lineRule="auto"/>
        <w:jc w:val="both"/>
        <w:rPr>
          <w:sz w:val="24"/>
          <w:szCs w:val="24"/>
        </w:rPr>
      </w:pPr>
      <w:r w:rsidRPr="00C716ED">
        <w:rPr>
          <w:sz w:val="24"/>
          <w:szCs w:val="24"/>
        </w:rPr>
        <w:t xml:space="preserve">International Crisis Group (2026) Bangladesh’s New Government Gets Down to Business. Asia Briefing No. 187. Brussels: International Crisis Group. Available at: https://www.crisisgroup.org/sites/default/files/2026-04/b187-bangladesh-new-government.pdf </w:t>
      </w:r>
    </w:p>
    <w:p w14:paraId="6919C194" w14:textId="77777777" w:rsidR="009D0B5B" w:rsidRPr="00C716ED" w:rsidRDefault="009D0B5B" w:rsidP="009D0B5B">
      <w:pPr>
        <w:pStyle w:val="References"/>
        <w:spacing w:line="360" w:lineRule="auto"/>
        <w:jc w:val="both"/>
        <w:rPr>
          <w:sz w:val="24"/>
          <w:szCs w:val="24"/>
        </w:rPr>
      </w:pPr>
      <w:r w:rsidRPr="00C716ED">
        <w:rPr>
          <w:sz w:val="24"/>
          <w:szCs w:val="24"/>
        </w:rPr>
        <w:t xml:space="preserve">International Monetary Fund (2026) Bangladesh: 2025 Article IV Consultation. IMF Country Report No. 26/24. Washington, DC: IMF. Available at: https://www.imf.org/en/publications/cr/issues/2026/01/30/bangladesh-2025-article-iv-consultation-press-release-staff-report-and-statement-by-the-573579 </w:t>
      </w:r>
    </w:p>
    <w:p w14:paraId="1C2438C3" w14:textId="77777777" w:rsidR="009D0B5B" w:rsidRPr="00C716ED" w:rsidRDefault="009D0B5B" w:rsidP="009D0B5B">
      <w:pPr>
        <w:pStyle w:val="References"/>
        <w:spacing w:line="360" w:lineRule="auto"/>
        <w:jc w:val="both"/>
        <w:rPr>
          <w:sz w:val="24"/>
          <w:szCs w:val="24"/>
        </w:rPr>
      </w:pPr>
      <w:r w:rsidRPr="00C716ED">
        <w:rPr>
          <w:sz w:val="24"/>
          <w:szCs w:val="24"/>
        </w:rPr>
        <w:t xml:space="preserve">Karim, S.R. (2025) ‘Café culture, youth, and the future of coffee in Bangladesh’, The Daily Star, 5 May. Available at: https://www.thedailystar.net/lifestyle/news/cafe-culture-youth-and-the-future-coffee-bangladesh-3887416 </w:t>
      </w:r>
    </w:p>
    <w:p w14:paraId="34A25D31" w14:textId="77777777" w:rsidR="009D0B5B" w:rsidRPr="00C716ED" w:rsidRDefault="009D0B5B" w:rsidP="009D0B5B">
      <w:pPr>
        <w:pStyle w:val="References"/>
        <w:spacing w:line="360" w:lineRule="auto"/>
        <w:jc w:val="both"/>
        <w:rPr>
          <w:sz w:val="24"/>
          <w:szCs w:val="24"/>
        </w:rPr>
      </w:pPr>
      <w:r w:rsidRPr="00C716ED">
        <w:rPr>
          <w:sz w:val="24"/>
          <w:szCs w:val="24"/>
        </w:rPr>
        <w:t xml:space="preserve">Kyriakopoulos, P., Narooz, R. and Ji, J. (2025) ‘Ownership choices of emerging market micromultinationals under uncertainty: a real option approach’, International Business Review, 34(6), 102403. Available at: https://eprints.gla.ac.uk/346581/1/346581.pdf </w:t>
      </w:r>
    </w:p>
    <w:p w14:paraId="53DDFE29" w14:textId="77777777" w:rsidR="009D0B5B" w:rsidRPr="00C716ED" w:rsidRDefault="009D0B5B" w:rsidP="009D0B5B">
      <w:pPr>
        <w:pStyle w:val="References"/>
        <w:spacing w:line="360" w:lineRule="auto"/>
        <w:jc w:val="both"/>
        <w:rPr>
          <w:sz w:val="24"/>
          <w:szCs w:val="24"/>
        </w:rPr>
      </w:pPr>
      <w:r w:rsidRPr="00C716ED">
        <w:rPr>
          <w:sz w:val="24"/>
          <w:szCs w:val="24"/>
        </w:rPr>
        <w:lastRenderedPageBreak/>
        <w:t xml:space="preserve">Munjal, S. (2017) ‘The Eclectic Paradigm: A Framework for Synthesizing and Comparing Theories of International Business from Different Disciplines or Perspectives’, Transnational Corporations, 24(2), pp. 117-124. Available at: https://unctad.org/system/files/official-document/diaeia2017d3a6_en.pdf </w:t>
      </w:r>
    </w:p>
    <w:p w14:paraId="066C512D" w14:textId="77777777" w:rsidR="009D0B5B" w:rsidRPr="00C716ED" w:rsidRDefault="009D0B5B" w:rsidP="009D0B5B">
      <w:pPr>
        <w:pStyle w:val="References"/>
        <w:spacing w:line="360" w:lineRule="auto"/>
        <w:jc w:val="both"/>
        <w:rPr>
          <w:sz w:val="24"/>
          <w:szCs w:val="24"/>
        </w:rPr>
      </w:pPr>
      <w:r w:rsidRPr="00C716ED">
        <w:rPr>
          <w:sz w:val="24"/>
          <w:szCs w:val="24"/>
        </w:rPr>
        <w:t xml:space="preserve">National Board of Revenue (2025) Customs Tariff: Fiscal Year 2025-2026. Dhaka: Government of Bangladesh. Available at: https://nbr.gov.bd/uploads/budget_at_a_glance/Customs_Tariff-2025-2026%2802-06-2025%29.pdf </w:t>
      </w:r>
    </w:p>
    <w:p w14:paraId="0472DC81" w14:textId="77777777" w:rsidR="009D0B5B" w:rsidRPr="00C716ED" w:rsidRDefault="009D0B5B" w:rsidP="009D0B5B">
      <w:pPr>
        <w:pStyle w:val="References"/>
        <w:spacing w:line="360" w:lineRule="auto"/>
        <w:jc w:val="both"/>
        <w:rPr>
          <w:sz w:val="24"/>
          <w:szCs w:val="24"/>
        </w:rPr>
      </w:pPr>
      <w:r w:rsidRPr="00C716ED">
        <w:rPr>
          <w:sz w:val="24"/>
          <w:szCs w:val="24"/>
        </w:rPr>
        <w:t xml:space="preserve">Navana Group (2026) Navana Foods. Available at: https://navana.com/concerns/navana-foods/ </w:t>
      </w:r>
    </w:p>
    <w:p w14:paraId="4581FA55" w14:textId="77777777" w:rsidR="009D0B5B" w:rsidRPr="00C716ED" w:rsidRDefault="009D0B5B" w:rsidP="009D0B5B">
      <w:pPr>
        <w:pStyle w:val="References"/>
        <w:spacing w:line="360" w:lineRule="auto"/>
        <w:jc w:val="both"/>
        <w:rPr>
          <w:sz w:val="24"/>
          <w:szCs w:val="24"/>
        </w:rPr>
      </w:pPr>
      <w:r w:rsidRPr="00C716ED">
        <w:rPr>
          <w:sz w:val="24"/>
          <w:szCs w:val="24"/>
        </w:rPr>
        <w:t xml:space="preserve">North End Coffee Roasters (2026) North End Coffee Roasters. Available at: https://www.northendcoffee.com/ </w:t>
      </w:r>
    </w:p>
    <w:p w14:paraId="266D74EF" w14:textId="77777777" w:rsidR="009D0B5B" w:rsidRPr="00C716ED" w:rsidRDefault="009D0B5B" w:rsidP="009D0B5B">
      <w:pPr>
        <w:pStyle w:val="References"/>
        <w:spacing w:line="360" w:lineRule="auto"/>
        <w:jc w:val="both"/>
        <w:rPr>
          <w:sz w:val="24"/>
          <w:szCs w:val="24"/>
        </w:rPr>
      </w:pPr>
      <w:r w:rsidRPr="00C716ED">
        <w:rPr>
          <w:sz w:val="24"/>
          <w:szCs w:val="24"/>
        </w:rPr>
        <w:t xml:space="preserve">Reuters (2026) ‘Key priorities of the BNP, winner of Bangladesh election’, 13 February. Available at: https://www.reuters.com/world/asia-pacific/key-priorities-bnp-winner-bangladesh-election-2026-02-13/ </w:t>
      </w:r>
    </w:p>
    <w:p w14:paraId="502BB76F" w14:textId="77777777" w:rsidR="009D0B5B" w:rsidRPr="00C716ED" w:rsidRDefault="009D0B5B" w:rsidP="009D0B5B">
      <w:pPr>
        <w:pStyle w:val="References"/>
        <w:spacing w:line="360" w:lineRule="auto"/>
        <w:jc w:val="both"/>
        <w:rPr>
          <w:sz w:val="24"/>
          <w:szCs w:val="24"/>
        </w:rPr>
      </w:pPr>
      <w:r w:rsidRPr="00C716ED">
        <w:rPr>
          <w:sz w:val="24"/>
          <w:szCs w:val="24"/>
        </w:rPr>
        <w:t xml:space="preserve">Safeer, A.A., Zhou, Y., Abrar, M. and Luo, F. (2022) ‘Consumer perceptions of brand localness and globalness in emerging markets: a cross-cultural context’, Frontiers in Psychology, 13, 919020. Available at: https://www.frontiersin.org/journals/psychology/articles/10.3389/fpsyg.2022.919020/pdf </w:t>
      </w:r>
    </w:p>
    <w:p w14:paraId="38290985" w14:textId="77777777" w:rsidR="009D0B5B" w:rsidRPr="00C716ED" w:rsidRDefault="009D0B5B" w:rsidP="009D0B5B">
      <w:pPr>
        <w:pStyle w:val="References"/>
        <w:spacing w:line="360" w:lineRule="auto"/>
        <w:jc w:val="both"/>
        <w:rPr>
          <w:sz w:val="24"/>
          <w:szCs w:val="24"/>
        </w:rPr>
      </w:pPr>
      <w:r w:rsidRPr="00C716ED">
        <w:rPr>
          <w:sz w:val="24"/>
          <w:szCs w:val="24"/>
        </w:rPr>
        <w:t xml:space="preserve">Schau, H.J., Akaka, M.A. and Segabinazzi, R.C. (2023) ‘Localized globalization through structures of common difference and the in-store curation of a glocal retailscape’, Journal of Retailing, 99(4), pp. 634-653. Available at: https://search.proquest.com/openview/ee0a6482f6a3be6f88b12ea212f04d26/1.pdf?cbl=41988&amp;pq-origsite=gscholar </w:t>
      </w:r>
    </w:p>
    <w:p w14:paraId="195F183F" w14:textId="77777777" w:rsidR="009D0B5B" w:rsidRPr="00C716ED" w:rsidRDefault="009D0B5B" w:rsidP="009D0B5B">
      <w:pPr>
        <w:pStyle w:val="References"/>
        <w:spacing w:line="360" w:lineRule="auto"/>
        <w:jc w:val="both"/>
        <w:rPr>
          <w:sz w:val="24"/>
          <w:szCs w:val="24"/>
        </w:rPr>
      </w:pPr>
      <w:r w:rsidRPr="00C716ED">
        <w:rPr>
          <w:sz w:val="24"/>
          <w:szCs w:val="24"/>
        </w:rPr>
        <w:t xml:space="preserve">Starbucks (2013) ‘Starbucks announces entry into the dynamic Vietnam market’, 2 January. Available at: https://stories.starbucks.com/asia/stories/2013/starbucks-announces-much-anticipated-entry-into-the-dynamic-vietnam-market/ </w:t>
      </w:r>
    </w:p>
    <w:p w14:paraId="7031F60F" w14:textId="77777777" w:rsidR="009D0B5B" w:rsidRPr="00C716ED" w:rsidRDefault="009D0B5B" w:rsidP="009D0B5B">
      <w:pPr>
        <w:pStyle w:val="References"/>
        <w:spacing w:line="360" w:lineRule="auto"/>
        <w:jc w:val="both"/>
        <w:rPr>
          <w:sz w:val="24"/>
          <w:szCs w:val="24"/>
        </w:rPr>
      </w:pPr>
      <w:r w:rsidRPr="00C716ED">
        <w:rPr>
          <w:sz w:val="24"/>
          <w:szCs w:val="24"/>
        </w:rPr>
        <w:t xml:space="preserve">Starbucks (2020) ‘Starbucks announces entry into Laos’, 1 November. Available at: https://stories.starbucks.com/asia/stories/2020/starbucks-announces-entry-into-laos/ </w:t>
      </w:r>
    </w:p>
    <w:p w14:paraId="47B9A119" w14:textId="77777777" w:rsidR="009D0B5B" w:rsidRPr="00C716ED" w:rsidRDefault="009D0B5B" w:rsidP="009D0B5B">
      <w:pPr>
        <w:pStyle w:val="References"/>
        <w:spacing w:line="360" w:lineRule="auto"/>
        <w:jc w:val="both"/>
        <w:rPr>
          <w:sz w:val="24"/>
          <w:szCs w:val="24"/>
        </w:rPr>
      </w:pPr>
      <w:r w:rsidRPr="00C716ED">
        <w:rPr>
          <w:sz w:val="24"/>
          <w:szCs w:val="24"/>
        </w:rPr>
        <w:t xml:space="preserve">Starbucks (2024) ‘Tata Starbucks to accelerate growth to 1,000 stores, double employment in India by 2028’, 8 January. Available at: https://about.starbucks.com/press/2024/tata-starbucks-to-accelerate-growth-to-1000-stores-double-employment-in-india-by-2028/ </w:t>
      </w:r>
    </w:p>
    <w:p w14:paraId="37661B77" w14:textId="77777777" w:rsidR="009D0B5B" w:rsidRPr="00C716ED" w:rsidRDefault="009D0B5B" w:rsidP="009D0B5B">
      <w:pPr>
        <w:pStyle w:val="References"/>
        <w:spacing w:line="360" w:lineRule="auto"/>
        <w:jc w:val="both"/>
        <w:rPr>
          <w:sz w:val="24"/>
          <w:szCs w:val="24"/>
        </w:rPr>
      </w:pPr>
      <w:r w:rsidRPr="00C716ED">
        <w:rPr>
          <w:sz w:val="24"/>
          <w:szCs w:val="24"/>
        </w:rPr>
        <w:lastRenderedPageBreak/>
        <w:t xml:space="preserve">Starbucks (2025) Fiscal 2025 Annual Report. Seattle, WA: Starbucks Corporation. Available at: https://s203.q4cdn.com/326826266/files/doc_financials/2025/ar/Starbucks-Corporation_2025-Annual-Report-Web-Ready.pdf </w:t>
      </w:r>
    </w:p>
    <w:p w14:paraId="633886D6" w14:textId="77777777" w:rsidR="009D0B5B" w:rsidRPr="00C716ED" w:rsidRDefault="009D0B5B" w:rsidP="009D0B5B">
      <w:pPr>
        <w:pStyle w:val="References"/>
        <w:spacing w:line="360" w:lineRule="auto"/>
        <w:jc w:val="both"/>
        <w:rPr>
          <w:sz w:val="24"/>
          <w:szCs w:val="24"/>
        </w:rPr>
      </w:pPr>
      <w:r w:rsidRPr="00C716ED">
        <w:rPr>
          <w:sz w:val="24"/>
          <w:szCs w:val="24"/>
        </w:rPr>
        <w:t xml:space="preserve">Starbucks (2026) ‘Starbucks reports Q2 fiscal year 2026 results’, 28 April. Available at: https://investor.starbucks.com/news/financial-releases/news-details/2026/Starbucks-Reports-Q2-Fiscal-Year-2026-Results/default.aspx </w:t>
      </w:r>
    </w:p>
    <w:p w14:paraId="0A999B15" w14:textId="77777777" w:rsidR="009D0B5B" w:rsidRPr="00C716ED" w:rsidRDefault="009D0B5B" w:rsidP="009D0B5B">
      <w:pPr>
        <w:pStyle w:val="References"/>
        <w:spacing w:line="360" w:lineRule="auto"/>
        <w:jc w:val="both"/>
        <w:rPr>
          <w:sz w:val="24"/>
          <w:szCs w:val="24"/>
        </w:rPr>
      </w:pPr>
      <w:r w:rsidRPr="00C716ED">
        <w:rPr>
          <w:sz w:val="24"/>
          <w:szCs w:val="24"/>
        </w:rPr>
        <w:t xml:space="preserve">Transcom Group (2026) Transcom Foods Limited. Available at: https://www.transcombd.com/businesses/restaurant-franchise/transcom-food-ltd/ </w:t>
      </w:r>
    </w:p>
    <w:p w14:paraId="41DF3837" w14:textId="77777777" w:rsidR="009D0B5B" w:rsidRPr="00C716ED" w:rsidRDefault="009D0B5B" w:rsidP="009D0B5B">
      <w:pPr>
        <w:pStyle w:val="References"/>
        <w:spacing w:line="360" w:lineRule="auto"/>
        <w:jc w:val="both"/>
        <w:rPr>
          <w:sz w:val="24"/>
          <w:szCs w:val="24"/>
        </w:rPr>
      </w:pPr>
      <w:r w:rsidRPr="00C716ED">
        <w:rPr>
          <w:sz w:val="24"/>
          <w:szCs w:val="24"/>
        </w:rPr>
        <w:t xml:space="preserve">US Department of Agriculture Foreign Agricultural Service (USDA FAS) (2025) FAIRS Country Report Annual: Bangladesh. Report No. BG2025-0006. Washington, DC: USDA. Available at: https://apps.fas.usda.gov/newgainapi/api/Report/DownloadReportByFileName?fileName=FAIRS+Country+Report+Annual_Dhaka_Bangladesh_BG2025-0006.pdf </w:t>
      </w:r>
    </w:p>
    <w:p w14:paraId="2B7C69AD" w14:textId="77777777" w:rsidR="009D0B5B" w:rsidRPr="00C716ED" w:rsidRDefault="009D0B5B" w:rsidP="009D0B5B">
      <w:pPr>
        <w:pStyle w:val="References"/>
        <w:spacing w:line="360" w:lineRule="auto"/>
        <w:jc w:val="both"/>
        <w:rPr>
          <w:sz w:val="24"/>
          <w:szCs w:val="24"/>
        </w:rPr>
      </w:pPr>
      <w:r w:rsidRPr="00C716ED">
        <w:rPr>
          <w:sz w:val="24"/>
          <w:szCs w:val="24"/>
        </w:rPr>
        <w:t xml:space="preserve">US Department of Commerce (2026) Bangladesh: Investment Climate Statement. Washington, DC: International Trade Administration. Available at: https://www.trade.gov/country-commercial-guides/bangladesh-investment-climate-statement </w:t>
      </w:r>
    </w:p>
    <w:p w14:paraId="5EEEE790" w14:textId="77777777" w:rsidR="009D0B5B" w:rsidRPr="00C716ED" w:rsidRDefault="009D0B5B" w:rsidP="009D0B5B">
      <w:pPr>
        <w:pStyle w:val="References"/>
        <w:spacing w:line="360" w:lineRule="auto"/>
        <w:jc w:val="both"/>
        <w:rPr>
          <w:sz w:val="24"/>
          <w:szCs w:val="24"/>
        </w:rPr>
      </w:pPr>
      <w:r w:rsidRPr="00C716ED">
        <w:rPr>
          <w:sz w:val="24"/>
          <w:szCs w:val="24"/>
        </w:rPr>
        <w:t xml:space="preserve">World Bank (2025) B-READY 2025: Bangladesh. Washington, DC: World Bank. Available at: https://www.worldbank.org/content/dam/sites/b-ready/documents/pdf/economy/2025/bangladesh-2025.pdf </w:t>
      </w:r>
    </w:p>
    <w:p w14:paraId="0E3677BA" w14:textId="77777777" w:rsidR="009D0B5B" w:rsidRPr="00C716ED" w:rsidRDefault="009D0B5B" w:rsidP="009D0B5B">
      <w:pPr>
        <w:pStyle w:val="References"/>
        <w:spacing w:line="360" w:lineRule="auto"/>
        <w:jc w:val="both"/>
        <w:rPr>
          <w:sz w:val="24"/>
          <w:szCs w:val="24"/>
        </w:rPr>
      </w:pPr>
      <w:r w:rsidRPr="00C716ED">
        <w:rPr>
          <w:sz w:val="24"/>
          <w:szCs w:val="24"/>
        </w:rPr>
        <w:t xml:space="preserve">World Coffee Portal (2024) ‘Café Amazon to launch in Bangladesh with long-term plan for 100 stores’, 1 August. Available at: https://www.worldcoffeeportal.com/news/cafe-amazon-to-launch-in-bangladesh-with-long-term-plan-for-100-stores/ </w:t>
      </w:r>
    </w:p>
    <w:p w14:paraId="0F1AE5A8" w14:textId="77777777" w:rsidR="0050630F" w:rsidRDefault="0050630F"/>
    <w:sectPr w:rsidR="0050630F" w:rsidSect="009D0B5B">
      <w:footerReference w:type="first" r:id="rId8"/>
      <w:pgSz w:w="11909" w:h="16834"/>
      <w:pgMar w:top="1440" w:right="1440" w:bottom="1440" w:left="1440" w:header="57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1D25D" w14:textId="77777777" w:rsidR="00761296" w:rsidRDefault="00761296" w:rsidP="009D0B5B">
      <w:pPr>
        <w:spacing w:line="240" w:lineRule="auto"/>
      </w:pPr>
      <w:r>
        <w:separator/>
      </w:r>
    </w:p>
  </w:endnote>
  <w:endnote w:type="continuationSeparator" w:id="0">
    <w:p w14:paraId="7DE59506" w14:textId="77777777" w:rsidR="00761296" w:rsidRDefault="00761296" w:rsidP="009D0B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84418" w14:textId="77C31D26" w:rsidR="00F331FC" w:rsidRDefault="0000000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764889"/>
      <w:docPartObj>
        <w:docPartGallery w:val="Page Numbers (Bottom of Page)"/>
        <w:docPartUnique/>
      </w:docPartObj>
    </w:sdtPr>
    <w:sdtEndPr>
      <w:rPr>
        <w:noProof/>
      </w:rPr>
    </w:sdtEndPr>
    <w:sdtContent>
      <w:p w14:paraId="14D29D71" w14:textId="5459D5AC" w:rsidR="009D0B5B" w:rsidRDefault="009D0B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4D43A" w14:textId="77777777" w:rsidR="009D0B5B" w:rsidRDefault="009D0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935A9" w14:textId="77777777" w:rsidR="00761296" w:rsidRDefault="00761296" w:rsidP="009D0B5B">
      <w:pPr>
        <w:spacing w:line="240" w:lineRule="auto"/>
      </w:pPr>
      <w:r>
        <w:separator/>
      </w:r>
    </w:p>
  </w:footnote>
  <w:footnote w:type="continuationSeparator" w:id="0">
    <w:p w14:paraId="40FE8E77" w14:textId="77777777" w:rsidR="00761296" w:rsidRDefault="00761296" w:rsidP="009D0B5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C0E"/>
    <w:rsid w:val="00010AF4"/>
    <w:rsid w:val="000C189C"/>
    <w:rsid w:val="00225EF4"/>
    <w:rsid w:val="0026773F"/>
    <w:rsid w:val="00305232"/>
    <w:rsid w:val="00483415"/>
    <w:rsid w:val="0050630F"/>
    <w:rsid w:val="005F2466"/>
    <w:rsid w:val="00761296"/>
    <w:rsid w:val="009D0B5B"/>
    <w:rsid w:val="00E82C0E"/>
    <w:rsid w:val="00F55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7F1A3"/>
  <w15:chartTrackingRefBased/>
  <w15:docId w15:val="{3D46491E-5F48-4351-929C-45B4CF8A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B5B"/>
    <w:pPr>
      <w:spacing w:after="0" w:line="360" w:lineRule="auto"/>
      <w:jc w:val="both"/>
    </w:pPr>
    <w:rPr>
      <w:rFonts w:ascii="Times New Roman" w:eastAsia="Times New Roman" w:hAnsi="Times New Roman"/>
      <w:color w:val="000000"/>
      <w:kern w:val="0"/>
      <w:szCs w:val="22"/>
      <w14:ligatures w14:val="none"/>
    </w:rPr>
  </w:style>
  <w:style w:type="paragraph" w:styleId="Heading1">
    <w:name w:val="heading 1"/>
    <w:basedOn w:val="Normal"/>
    <w:next w:val="Normal"/>
    <w:link w:val="Heading1Char"/>
    <w:uiPriority w:val="9"/>
    <w:qFormat/>
    <w:rsid w:val="0050630F"/>
    <w:pPr>
      <w:keepNext/>
      <w:keepLines/>
      <w:spacing w:before="240" w:after="240"/>
      <w:outlineLvl w:val="0"/>
    </w:pPr>
    <w:rPr>
      <w:rFonts w:eastAsiaTheme="majorEastAsia" w:cstheme="majorBidi"/>
      <w:b/>
      <w:color w:val="000000" w:themeColor="text1"/>
      <w:kern w:val="2"/>
      <w:sz w:val="28"/>
      <w:szCs w:val="40"/>
      <w14:ligatures w14:val="standardContextual"/>
    </w:rPr>
  </w:style>
  <w:style w:type="paragraph" w:styleId="Heading2">
    <w:name w:val="heading 2"/>
    <w:basedOn w:val="Normal"/>
    <w:next w:val="Normal"/>
    <w:link w:val="Heading2Char"/>
    <w:uiPriority w:val="9"/>
    <w:unhideWhenUsed/>
    <w:qFormat/>
    <w:rsid w:val="0050630F"/>
    <w:pPr>
      <w:keepNext/>
      <w:keepLines/>
      <w:spacing w:before="240" w:after="240"/>
      <w:outlineLvl w:val="1"/>
    </w:pPr>
    <w:rPr>
      <w:rFonts w:eastAsiaTheme="majorEastAsia" w:cstheme="majorBidi"/>
      <w:b/>
      <w:color w:val="000000" w:themeColor="text1"/>
      <w:kern w:val="2"/>
      <w:szCs w:val="32"/>
      <w14:ligatures w14:val="standardContextual"/>
    </w:rPr>
  </w:style>
  <w:style w:type="paragraph" w:styleId="Heading3">
    <w:name w:val="heading 3"/>
    <w:basedOn w:val="Normal"/>
    <w:next w:val="Normal"/>
    <w:link w:val="Heading3Char"/>
    <w:uiPriority w:val="9"/>
    <w:unhideWhenUsed/>
    <w:qFormat/>
    <w:rsid w:val="0050630F"/>
    <w:pPr>
      <w:keepNext/>
      <w:keepLines/>
      <w:spacing w:before="240" w:after="240"/>
      <w:outlineLvl w:val="2"/>
    </w:pPr>
    <w:rPr>
      <w:rFonts w:eastAsiaTheme="majorEastAsia" w:cstheme="majorBidi"/>
      <w:b/>
      <w:i/>
      <w:color w:val="000000" w:themeColor="text1"/>
      <w:kern w:val="2"/>
      <w:szCs w:val="28"/>
      <w14:ligatures w14:val="standardContextual"/>
    </w:rPr>
  </w:style>
  <w:style w:type="paragraph" w:styleId="Heading4">
    <w:name w:val="heading 4"/>
    <w:basedOn w:val="Normal"/>
    <w:next w:val="Normal"/>
    <w:link w:val="Heading4Char"/>
    <w:uiPriority w:val="9"/>
    <w:semiHidden/>
    <w:unhideWhenUsed/>
    <w:qFormat/>
    <w:rsid w:val="0050630F"/>
    <w:pPr>
      <w:keepNext/>
      <w:keepLines/>
      <w:spacing w:before="240" w:after="240"/>
      <w:outlineLvl w:val="3"/>
    </w:pPr>
    <w:rPr>
      <w:rFonts w:eastAsiaTheme="majorEastAsia" w:cstheme="majorBidi"/>
      <w:i/>
      <w:iCs/>
      <w:color w:val="000000" w:themeColor="text1"/>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630F"/>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50630F"/>
    <w:rPr>
      <w:rFonts w:ascii="Times New Roman" w:eastAsiaTheme="majorEastAsia" w:hAnsi="Times New Roman" w:cstheme="majorBidi"/>
      <w:i/>
      <w:iCs/>
      <w:color w:val="000000" w:themeColor="text1"/>
    </w:rPr>
  </w:style>
  <w:style w:type="character" w:customStyle="1" w:styleId="Heading2Char">
    <w:name w:val="Heading 2 Char"/>
    <w:basedOn w:val="DefaultParagraphFont"/>
    <w:link w:val="Heading2"/>
    <w:uiPriority w:val="9"/>
    <w:rsid w:val="0050630F"/>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50630F"/>
    <w:rPr>
      <w:rFonts w:ascii="Times New Roman" w:eastAsiaTheme="majorEastAsia" w:hAnsi="Times New Roman" w:cstheme="majorBidi"/>
      <w:b/>
      <w:color w:val="000000" w:themeColor="text1"/>
      <w:sz w:val="28"/>
      <w:szCs w:val="40"/>
    </w:rPr>
  </w:style>
  <w:style w:type="paragraph" w:styleId="Footer">
    <w:name w:val="footer"/>
    <w:basedOn w:val="Normal"/>
    <w:link w:val="FooterChar"/>
    <w:uiPriority w:val="99"/>
    <w:unhideWhenUsed/>
    <w:rsid w:val="009D0B5B"/>
    <w:pPr>
      <w:tabs>
        <w:tab w:val="center" w:pos="4680"/>
        <w:tab w:val="right" w:pos="9360"/>
      </w:tabs>
      <w:spacing w:line="240" w:lineRule="auto"/>
    </w:pPr>
  </w:style>
  <w:style w:type="character" w:customStyle="1" w:styleId="FooterChar">
    <w:name w:val="Footer Char"/>
    <w:basedOn w:val="DefaultParagraphFont"/>
    <w:link w:val="Footer"/>
    <w:uiPriority w:val="99"/>
    <w:rsid w:val="009D0B5B"/>
    <w:rPr>
      <w:rFonts w:ascii="Times New Roman" w:eastAsia="Times New Roman" w:hAnsi="Times New Roman"/>
      <w:color w:val="000000"/>
      <w:kern w:val="0"/>
      <w:szCs w:val="22"/>
      <w14:ligatures w14:val="none"/>
    </w:rPr>
  </w:style>
  <w:style w:type="paragraph" w:styleId="Caption">
    <w:name w:val="caption"/>
    <w:basedOn w:val="Normal"/>
    <w:next w:val="Normal"/>
    <w:uiPriority w:val="35"/>
    <w:semiHidden/>
    <w:unhideWhenUsed/>
    <w:qFormat/>
    <w:rsid w:val="009D0B5B"/>
    <w:pPr>
      <w:keepNext/>
      <w:spacing w:before="120" w:after="80"/>
      <w:jc w:val="left"/>
    </w:pPr>
    <w:rPr>
      <w:b/>
      <w:bCs/>
      <w:sz w:val="22"/>
      <w:szCs w:val="18"/>
    </w:rPr>
  </w:style>
  <w:style w:type="table" w:styleId="TableGrid">
    <w:name w:val="Table Grid"/>
    <w:basedOn w:val="TableNormal"/>
    <w:uiPriority w:val="59"/>
    <w:rsid w:val="009D0B5B"/>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s">
    <w:name w:val="References"/>
    <w:rsid w:val="009D0B5B"/>
    <w:pPr>
      <w:spacing w:after="120" w:line="276" w:lineRule="auto"/>
      <w:ind w:left="432" w:hanging="432"/>
    </w:pPr>
    <w:rPr>
      <w:rFonts w:ascii="Times New Roman" w:eastAsia="Times New Roman" w:hAnsi="Times New Roman"/>
      <w:color w:val="000000"/>
      <w:kern w:val="0"/>
      <w:sz w:val="22"/>
      <w:szCs w:val="22"/>
      <w14:ligatures w14:val="none"/>
    </w:rPr>
  </w:style>
  <w:style w:type="paragraph" w:styleId="TOC1">
    <w:name w:val="toc 1"/>
    <w:basedOn w:val="Normal"/>
    <w:next w:val="Normal"/>
    <w:autoRedefine/>
    <w:uiPriority w:val="39"/>
    <w:unhideWhenUsed/>
    <w:rsid w:val="009D0B5B"/>
    <w:pPr>
      <w:spacing w:after="100"/>
    </w:pPr>
  </w:style>
  <w:style w:type="paragraph" w:styleId="TOC2">
    <w:name w:val="toc 2"/>
    <w:basedOn w:val="Normal"/>
    <w:next w:val="Normal"/>
    <w:autoRedefine/>
    <w:uiPriority w:val="39"/>
    <w:unhideWhenUsed/>
    <w:rsid w:val="009D0B5B"/>
    <w:pPr>
      <w:spacing w:after="100"/>
      <w:ind w:left="240"/>
    </w:pPr>
  </w:style>
  <w:style w:type="character" w:styleId="Hyperlink">
    <w:name w:val="Hyperlink"/>
    <w:basedOn w:val="DefaultParagraphFont"/>
    <w:uiPriority w:val="99"/>
    <w:unhideWhenUsed/>
    <w:rsid w:val="009D0B5B"/>
    <w:rPr>
      <w:color w:val="467886" w:themeColor="hyperlink"/>
      <w:u w:val="single"/>
    </w:rPr>
  </w:style>
  <w:style w:type="paragraph" w:styleId="Header">
    <w:name w:val="header"/>
    <w:basedOn w:val="Normal"/>
    <w:link w:val="HeaderChar"/>
    <w:uiPriority w:val="99"/>
    <w:unhideWhenUsed/>
    <w:rsid w:val="009D0B5B"/>
    <w:pPr>
      <w:tabs>
        <w:tab w:val="center" w:pos="4680"/>
        <w:tab w:val="right" w:pos="9360"/>
      </w:tabs>
      <w:spacing w:line="240" w:lineRule="auto"/>
    </w:pPr>
  </w:style>
  <w:style w:type="character" w:customStyle="1" w:styleId="HeaderChar">
    <w:name w:val="Header Char"/>
    <w:basedOn w:val="DefaultParagraphFont"/>
    <w:link w:val="Header"/>
    <w:uiPriority w:val="99"/>
    <w:rsid w:val="009D0B5B"/>
    <w:rPr>
      <w:rFonts w:ascii="Times New Roman" w:eastAsia="Times New Roman" w:hAnsi="Times New Roman"/>
      <w:color w:val="000000"/>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6997</Words>
  <Characters>39887</Characters>
  <Application>Microsoft Office Word</Application>
  <DocSecurity>0</DocSecurity>
  <Lines>332</Lines>
  <Paragraphs>93</Paragraphs>
  <ScaleCrop>false</ScaleCrop>
  <Company/>
  <LinksUpToDate>false</LinksUpToDate>
  <CharactersWithSpaces>46791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LLP</dc:creator>
  <cp:keywords/>
  <dc:description/>
  <cp:lastModifiedBy>LLP</cp:lastModifiedBy>
  <cp:revision>7</cp:revision>
  <dcterms:created xsi:type="dcterms:W3CDTF">2026-07-25T13:50:00Z</dcterms:created>
  <dcterms:modified xsi:type="dcterms:W3CDTF">2026-07-25T13:55:00Z</dcterms:modified>
</cp:coreProperties>
</file>