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GB"/>
        </w:rPr>
        <w:id w:val="-1522475554"/>
        <w:docPartObj>
          <w:docPartGallery w:val="Cover Pages"/>
          <w:docPartUnique/>
        </w:docPartObj>
      </w:sdtPr>
      <w:sdtEndPr>
        <w:rPr>
          <w:color w:val="auto"/>
          <w:sz w:val="24"/>
          <w:szCs w:val="24"/>
        </w:rPr>
      </w:sdtEndPr>
      <w:sdtContent>
        <w:p w14:paraId="47F7400A" w14:textId="77777777" w:rsidR="00BF015A" w:rsidRPr="0045686C" w:rsidRDefault="00BF015A" w:rsidP="00BF015A">
          <w:pPr>
            <w:pStyle w:val="NoSpacing"/>
            <w:spacing w:before="1540" w:after="240"/>
            <w:jc w:val="center"/>
            <w:rPr>
              <w:color w:val="156082" w:themeColor="accent1"/>
            </w:rPr>
          </w:pPr>
          <w:r w:rsidRPr="0045686C">
            <w:rPr>
              <w:noProof/>
              <w:color w:val="156082" w:themeColor="accent1"/>
              <w:lang w:val="en-GB" w:eastAsia="en-GB"/>
            </w:rPr>
            <w:drawing>
              <wp:inline distT="0" distB="0" distL="0" distR="0" wp14:anchorId="78D71A6B" wp14:editId="6F1D769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156082" w:themeColor="accent1"/>
              <w:sz w:val="72"/>
              <w:szCs w:val="72"/>
            </w:rPr>
            <w:alias w:val="Title"/>
            <w:tag w:val=""/>
            <w:id w:val="1735040861"/>
            <w:placeholder>
              <w:docPart w:val="5A9C8280A6F44952A2B0194ECD441B5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609E6A" w14:textId="193F05FA" w:rsidR="00BF015A" w:rsidRPr="0045686C" w:rsidRDefault="00BF015A" w:rsidP="00BF015A">
              <w:pPr>
                <w:pStyle w:val="NoSpacing"/>
                <w:pBdr>
                  <w:top w:val="single" w:sz="6" w:space="6" w:color="156082" w:themeColor="accent1"/>
                  <w:bottom w:val="single" w:sz="6" w:space="6" w:color="156082" w:themeColor="accent1"/>
                </w:pBdr>
                <w:spacing w:after="240"/>
                <w:jc w:val="center"/>
                <w:rPr>
                  <w:rFonts w:eastAsiaTheme="majorEastAsia" w:cstheme="majorBidi"/>
                  <w:caps/>
                  <w:color w:val="156082" w:themeColor="accent1"/>
                  <w:sz w:val="80"/>
                  <w:szCs w:val="80"/>
                </w:rPr>
              </w:pPr>
              <w:r w:rsidRPr="0045686C">
                <w:rPr>
                  <w:rFonts w:eastAsiaTheme="majorEastAsia" w:cstheme="majorBidi"/>
                  <w:caps/>
                  <w:color w:val="156082" w:themeColor="accent1"/>
                  <w:sz w:val="72"/>
                  <w:szCs w:val="72"/>
                </w:rPr>
                <w:t>BMMB7005 fINANCE FOR BUSINESS MANAGERS</w:t>
              </w:r>
            </w:p>
          </w:sdtContent>
        </w:sdt>
        <w:sdt>
          <w:sdtPr>
            <w:rPr>
              <w:color w:val="156082"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CAA4018" w14:textId="70F76845" w:rsidR="00BF015A" w:rsidRPr="0045686C" w:rsidRDefault="00BF015A" w:rsidP="00BF015A">
              <w:pPr>
                <w:pStyle w:val="NoSpacing"/>
                <w:jc w:val="center"/>
                <w:rPr>
                  <w:color w:val="156082" w:themeColor="accent1"/>
                  <w:sz w:val="28"/>
                  <w:szCs w:val="28"/>
                </w:rPr>
              </w:pPr>
              <w:r w:rsidRPr="0045686C">
                <w:rPr>
                  <w:color w:val="156082" w:themeColor="accent1"/>
                  <w:sz w:val="28"/>
                  <w:szCs w:val="28"/>
                </w:rPr>
                <w:t>Lyssa Muir (1917752)</w:t>
              </w:r>
            </w:p>
          </w:sdtContent>
        </w:sdt>
        <w:p w14:paraId="0A69AEAA" w14:textId="77777777" w:rsidR="00BF015A" w:rsidRPr="0045686C" w:rsidRDefault="00BF015A" w:rsidP="00BF015A">
          <w:pPr>
            <w:pStyle w:val="NoSpacing"/>
            <w:spacing w:before="480"/>
            <w:jc w:val="center"/>
            <w:rPr>
              <w:color w:val="156082" w:themeColor="accent1"/>
            </w:rPr>
          </w:pPr>
          <w:r w:rsidRPr="0045686C">
            <w:rPr>
              <w:noProof/>
              <w:color w:val="156082" w:themeColor="accent1"/>
              <w:lang w:val="en-GB" w:eastAsia="en-GB"/>
            </w:rPr>
            <mc:AlternateContent>
              <mc:Choice Requires="wps">
                <w:drawing>
                  <wp:anchor distT="0" distB="0" distL="114300" distR="114300" simplePos="0" relativeHeight="251658240" behindDoc="0" locked="0" layoutInCell="1" allowOverlap="1" wp14:anchorId="585AE168" wp14:editId="3186444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EndPr/>
                                <w:sdtContent>
                                  <w:p w14:paraId="3190D8F5" w14:textId="762C0E61" w:rsidR="00BF015A" w:rsidRDefault="00BF015A" w:rsidP="00BF015A">
                                    <w:pPr>
                                      <w:pStyle w:val="NoSpacing"/>
                                      <w:spacing w:after="40"/>
                                      <w:jc w:val="center"/>
                                      <w:rPr>
                                        <w:caps/>
                                        <w:color w:val="156082" w:themeColor="accent1"/>
                                        <w:sz w:val="28"/>
                                        <w:szCs w:val="28"/>
                                      </w:rPr>
                                    </w:pPr>
                                    <w:r>
                                      <w:rPr>
                                        <w:caps/>
                                        <w:color w:val="156082" w:themeColor="accent1"/>
                                        <w:sz w:val="28"/>
                                        <w:szCs w:val="28"/>
                                      </w:rPr>
                                      <w:t>April 1, 2026</w:t>
                                    </w:r>
                                  </w:p>
                                </w:sdtContent>
                              </w:sdt>
                              <w:p w14:paraId="1CDFEE52" w14:textId="77777777" w:rsidR="00BF015A" w:rsidRDefault="00CB1B95" w:rsidP="00BF015A">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F015A">
                                      <w:rPr>
                                        <w:caps/>
                                        <w:color w:val="156082" w:themeColor="accent1"/>
                                      </w:rPr>
                                      <w:t xml:space="preserve">     </w:t>
                                    </w:r>
                                  </w:sdtContent>
                                </w:sdt>
                              </w:p>
                              <w:p w14:paraId="55C685EC" w14:textId="77777777" w:rsidR="00BF015A" w:rsidRDefault="00CB1B95" w:rsidP="00BF015A">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F015A">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5AE168"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EndPr/>
                          <w:sdtContent>
                            <w:p w14:paraId="3190D8F5" w14:textId="762C0E61" w:rsidR="00BF015A" w:rsidRDefault="00BF015A" w:rsidP="00BF015A">
                              <w:pPr>
                                <w:pStyle w:val="NoSpacing"/>
                                <w:spacing w:after="40"/>
                                <w:jc w:val="center"/>
                                <w:rPr>
                                  <w:caps/>
                                  <w:color w:val="156082" w:themeColor="accent1"/>
                                  <w:sz w:val="28"/>
                                  <w:szCs w:val="28"/>
                                </w:rPr>
                              </w:pPr>
                              <w:r>
                                <w:rPr>
                                  <w:caps/>
                                  <w:color w:val="156082" w:themeColor="accent1"/>
                                  <w:sz w:val="28"/>
                                  <w:szCs w:val="28"/>
                                </w:rPr>
                                <w:t>April 1, 2026</w:t>
                              </w:r>
                            </w:p>
                          </w:sdtContent>
                        </w:sdt>
                        <w:p w14:paraId="1CDFEE52" w14:textId="77777777" w:rsidR="00BF015A" w:rsidRDefault="00CB1B95" w:rsidP="00BF015A">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F015A">
                                <w:rPr>
                                  <w:caps/>
                                  <w:color w:val="156082" w:themeColor="accent1"/>
                                </w:rPr>
                                <w:t xml:space="preserve">     </w:t>
                              </w:r>
                            </w:sdtContent>
                          </w:sdt>
                        </w:p>
                        <w:p w14:paraId="55C685EC" w14:textId="77777777" w:rsidR="00BF015A" w:rsidRDefault="00CB1B95" w:rsidP="00BF015A">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F015A">
                                <w:rPr>
                                  <w:color w:val="156082" w:themeColor="accent1"/>
                                </w:rPr>
                                <w:t xml:space="preserve">     </w:t>
                              </w:r>
                            </w:sdtContent>
                          </w:sdt>
                        </w:p>
                      </w:txbxContent>
                    </v:textbox>
                    <w10:wrap anchorx="margin" anchory="page"/>
                  </v:shape>
                </w:pict>
              </mc:Fallback>
            </mc:AlternateContent>
          </w:r>
          <w:r w:rsidRPr="0045686C">
            <w:rPr>
              <w:noProof/>
              <w:color w:val="156082" w:themeColor="accent1"/>
              <w:lang w:val="en-GB" w:eastAsia="en-GB"/>
            </w:rPr>
            <w:drawing>
              <wp:inline distT="0" distB="0" distL="0" distR="0" wp14:anchorId="06F6F892" wp14:editId="4BAAAE2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5E7059" w14:textId="77777777" w:rsidR="00BF015A" w:rsidRPr="00B8034A" w:rsidRDefault="00BF015A" w:rsidP="00B8034A">
          <w:pPr>
            <w:pStyle w:val="Heading1"/>
            <w:spacing w:line="360" w:lineRule="auto"/>
            <w:rPr>
              <w:rFonts w:asciiTheme="minorHAnsi" w:hAnsiTheme="minorHAnsi"/>
              <w:sz w:val="28"/>
              <w:szCs w:val="28"/>
            </w:rPr>
          </w:pPr>
          <w:r w:rsidRPr="0045686C">
            <w:rPr>
              <w:rFonts w:asciiTheme="minorHAnsi" w:hAnsiTheme="minorHAnsi"/>
            </w:rPr>
            <w:br w:type="page"/>
          </w:r>
          <w:bookmarkStart w:id="0" w:name="_Toc227505318"/>
          <w:r w:rsidRPr="00B8034A">
            <w:rPr>
              <w:rFonts w:asciiTheme="minorHAnsi" w:hAnsiTheme="minorHAnsi"/>
              <w:sz w:val="28"/>
              <w:szCs w:val="28"/>
            </w:rPr>
            <w:lastRenderedPageBreak/>
            <w:t>Executive Summary</w:t>
          </w:r>
          <w:bookmarkEnd w:id="0"/>
        </w:p>
        <w:p w14:paraId="17C3B042" w14:textId="77777777" w:rsidR="00BF015A" w:rsidRPr="00B8034A" w:rsidRDefault="00BF015A" w:rsidP="00B8034A">
          <w:pPr>
            <w:spacing w:line="360" w:lineRule="auto"/>
            <w:rPr>
              <w:sz w:val="24"/>
              <w:szCs w:val="24"/>
            </w:rPr>
          </w:pPr>
        </w:p>
        <w:p w14:paraId="39C1322E" w14:textId="77777777" w:rsidR="00EC54CC" w:rsidRPr="00EC54CC" w:rsidRDefault="00EC54CC" w:rsidP="00B8034A">
          <w:pPr>
            <w:spacing w:before="100" w:beforeAutospacing="1" w:after="100" w:afterAutospacing="1" w:line="360" w:lineRule="auto"/>
            <w:rPr>
              <w:rFonts w:eastAsia="Times New Roman" w:cs="Times New Roman"/>
              <w:sz w:val="24"/>
              <w:szCs w:val="24"/>
              <w:lang w:eastAsia="en-GB"/>
            </w:rPr>
          </w:pPr>
          <w:r w:rsidRPr="00EC54CC">
            <w:rPr>
              <w:rFonts w:eastAsia="Times New Roman" w:cs="Times New Roman"/>
              <w:sz w:val="24"/>
              <w:szCs w:val="24"/>
              <w:lang w:eastAsia="en-GB"/>
            </w:rPr>
            <w:t>Financial performance and investment decision-making are examined across two main areas. The first focuses on the financial performance of BAE Systems between 2023 and 2024, using ratio analysis to assess profitability, efficiency, liquidity, gearing and investor returns. The second evaluates three expansion options for Beard Plc using investment appraisal techniques to identify the option most likely to create value.</w:t>
          </w:r>
        </w:p>
        <w:p w14:paraId="43AEE3C1" w14:textId="6EE02C9F" w:rsidR="00EC54CC" w:rsidRPr="00EC54CC" w:rsidRDefault="00EC54CC" w:rsidP="00B8034A">
          <w:pPr>
            <w:spacing w:before="100" w:beforeAutospacing="1" w:after="100" w:afterAutospacing="1" w:line="360" w:lineRule="auto"/>
            <w:rPr>
              <w:rFonts w:eastAsia="Times New Roman" w:cs="Times New Roman"/>
              <w:sz w:val="24"/>
              <w:szCs w:val="24"/>
              <w:lang w:eastAsia="en-GB"/>
            </w:rPr>
          </w:pPr>
          <w:r w:rsidRPr="00EC54CC">
            <w:rPr>
              <w:rFonts w:eastAsia="Times New Roman" w:cs="Times New Roman"/>
              <w:sz w:val="24"/>
              <w:szCs w:val="24"/>
              <w:lang w:eastAsia="en-GB"/>
            </w:rPr>
            <w:t xml:space="preserve">The analysis of BAE Systems shows strong revenue growth over the period, which is likely linked to increased global defence spending and the nature of long-term government contracts. </w:t>
          </w:r>
          <w:r w:rsidR="00080C19">
            <w:rPr>
              <w:rFonts w:eastAsia="Times New Roman" w:cs="Times New Roman"/>
              <w:sz w:val="24"/>
              <w:szCs w:val="24"/>
              <w:lang w:eastAsia="en-GB"/>
            </w:rPr>
            <w:t>D</w:t>
          </w:r>
          <w:r w:rsidRPr="00EC54CC">
            <w:rPr>
              <w:rFonts w:eastAsia="Times New Roman" w:cs="Times New Roman"/>
              <w:sz w:val="24"/>
              <w:szCs w:val="24"/>
              <w:lang w:eastAsia="en-GB"/>
            </w:rPr>
            <w:t>espite this growth, there are signs that rising costs may be starting to place pressure on profitability. Liquidity has weakened slightly, although this needs to be interpreted carefully due to the structure of contract-based cash inflows and the use of work-in-progress rather than conventional inventory. Gearing has increased, suggesting a greater reliance on debt, although the company remains in a relatively stable financial position overall.</w:t>
          </w:r>
        </w:p>
        <w:p w14:paraId="2764432C" w14:textId="77777777" w:rsidR="00EC54CC" w:rsidRPr="00EC54CC" w:rsidRDefault="00EC54CC" w:rsidP="00B8034A">
          <w:pPr>
            <w:spacing w:before="100" w:beforeAutospacing="1" w:after="100" w:afterAutospacing="1" w:line="360" w:lineRule="auto"/>
            <w:rPr>
              <w:rFonts w:eastAsia="Times New Roman" w:cs="Times New Roman"/>
              <w:sz w:val="24"/>
              <w:szCs w:val="24"/>
              <w:lang w:eastAsia="en-GB"/>
            </w:rPr>
          </w:pPr>
          <w:r w:rsidRPr="00EC54CC">
            <w:rPr>
              <w:rFonts w:eastAsia="Times New Roman" w:cs="Times New Roman"/>
              <w:sz w:val="24"/>
              <w:szCs w:val="24"/>
              <w:lang w:eastAsia="en-GB"/>
            </w:rPr>
            <w:t>For Beard Plc, the investment appraisal identifies one option as the strongest based on net present value (NPV), with internal rate of return (IRR) used as a supporting measure. The analysis also shows that financial outcomes should not be considered in isolation, as factors such as risk, strategic fit, financing and organisational capability will also influence the final decision.</w:t>
          </w:r>
        </w:p>
        <w:p w14:paraId="4C71C394" w14:textId="0B2B3E4E" w:rsidR="00EC54CC" w:rsidRPr="00EC54CC" w:rsidRDefault="00EC54CC" w:rsidP="00B8034A">
          <w:pPr>
            <w:spacing w:before="100" w:beforeAutospacing="1" w:after="100" w:afterAutospacing="1" w:line="360" w:lineRule="auto"/>
            <w:rPr>
              <w:rFonts w:eastAsia="Times New Roman" w:cs="Times New Roman"/>
              <w:sz w:val="24"/>
              <w:szCs w:val="24"/>
              <w:lang w:eastAsia="en-GB"/>
            </w:rPr>
          </w:pPr>
          <w:r w:rsidRPr="00EC54CC">
            <w:rPr>
              <w:rFonts w:eastAsia="Times New Roman" w:cs="Times New Roman"/>
              <w:sz w:val="24"/>
              <w:szCs w:val="24"/>
              <w:lang w:eastAsia="en-GB"/>
            </w:rPr>
            <w:t>Together, the report suggests that BAE Systems remains financially stable but is facing some increasing pressure, while Beard Plc has a clear preferred investment option, provided the board is satisfied that the risks and implementation requirements can be managed.</w:t>
          </w:r>
        </w:p>
        <w:p w14:paraId="48D124DC" w14:textId="77777777" w:rsidR="004C22C3" w:rsidRPr="00B8034A" w:rsidRDefault="004C22C3" w:rsidP="00B8034A">
          <w:pPr>
            <w:spacing w:line="360" w:lineRule="auto"/>
            <w:rPr>
              <w:sz w:val="24"/>
              <w:szCs w:val="24"/>
            </w:rPr>
          </w:pPr>
        </w:p>
        <w:p w14:paraId="795DBA37" w14:textId="4DA1F1C4" w:rsidR="00BF015A" w:rsidRPr="00B8034A" w:rsidRDefault="00D0336F" w:rsidP="00B8034A">
          <w:pPr>
            <w:spacing w:line="360" w:lineRule="auto"/>
            <w:rPr>
              <w:sz w:val="24"/>
              <w:szCs w:val="24"/>
            </w:rPr>
          </w:pPr>
          <w:r w:rsidRPr="00B8034A">
            <w:rPr>
              <w:sz w:val="24"/>
              <w:szCs w:val="24"/>
            </w:rPr>
            <w:br w:type="page"/>
          </w:r>
        </w:p>
        <w:sdt>
          <w:sdtPr>
            <w:rPr>
              <w:rFonts w:asciiTheme="minorHAnsi" w:eastAsiaTheme="minorHAnsi" w:hAnsiTheme="minorHAnsi" w:cstheme="minorBidi"/>
              <w:color w:val="auto"/>
              <w:sz w:val="24"/>
              <w:szCs w:val="24"/>
              <w:lang w:val="en-GB"/>
            </w:rPr>
            <w:id w:val="-1297214018"/>
            <w:docPartObj>
              <w:docPartGallery w:val="Table of Contents"/>
              <w:docPartUnique/>
            </w:docPartObj>
          </w:sdtPr>
          <w:sdtEndPr>
            <w:rPr>
              <w:b/>
              <w:bCs/>
              <w:noProof/>
            </w:rPr>
          </w:sdtEndPr>
          <w:sdtContent>
            <w:p w14:paraId="750C7A00" w14:textId="77777777" w:rsidR="00BF015A" w:rsidRPr="00964A51" w:rsidRDefault="00BF015A" w:rsidP="00B8034A">
              <w:pPr>
                <w:pStyle w:val="TOCHeading"/>
                <w:spacing w:line="360" w:lineRule="auto"/>
                <w:rPr>
                  <w:rFonts w:asciiTheme="minorHAnsi" w:hAnsiTheme="minorHAnsi"/>
                  <w:sz w:val="28"/>
                  <w:szCs w:val="28"/>
                </w:rPr>
              </w:pPr>
              <w:r w:rsidRPr="00964A51">
                <w:rPr>
                  <w:rFonts w:asciiTheme="minorHAnsi" w:hAnsiTheme="minorHAnsi"/>
                  <w:sz w:val="28"/>
                  <w:szCs w:val="28"/>
                </w:rPr>
                <w:t>Table of Contents</w:t>
              </w:r>
            </w:p>
            <w:p w14:paraId="32807235" w14:textId="1855B26B" w:rsidR="009E1745" w:rsidRDefault="00BF015A">
              <w:pPr>
                <w:pStyle w:val="TOC1"/>
                <w:tabs>
                  <w:tab w:val="right" w:leader="dot" w:pos="9016"/>
                </w:tabs>
                <w:rPr>
                  <w:rFonts w:eastAsiaTheme="minorEastAsia"/>
                  <w:noProof/>
                  <w:kern w:val="2"/>
                  <w:sz w:val="24"/>
                  <w:szCs w:val="24"/>
                  <w:lang w:eastAsia="en-GB"/>
                  <w14:ligatures w14:val="standardContextual"/>
                </w:rPr>
              </w:pPr>
              <w:r w:rsidRPr="00B8034A">
                <w:rPr>
                  <w:sz w:val="24"/>
                  <w:szCs w:val="24"/>
                </w:rPr>
                <w:fldChar w:fldCharType="begin"/>
              </w:r>
              <w:r w:rsidRPr="00B8034A">
                <w:rPr>
                  <w:sz w:val="24"/>
                  <w:szCs w:val="24"/>
                </w:rPr>
                <w:instrText xml:space="preserve"> TOC \o "1-3" \h \z \u </w:instrText>
              </w:r>
              <w:r w:rsidRPr="00B8034A">
                <w:rPr>
                  <w:sz w:val="24"/>
                  <w:szCs w:val="24"/>
                </w:rPr>
                <w:fldChar w:fldCharType="separate"/>
              </w:r>
              <w:hyperlink w:anchor="_Toc227505318" w:history="1">
                <w:r w:rsidR="009E1745" w:rsidRPr="00542332">
                  <w:rPr>
                    <w:rStyle w:val="Hyperlink"/>
                    <w:noProof/>
                  </w:rPr>
                  <w:t>Executive Summary</w:t>
                </w:r>
                <w:r w:rsidR="009E1745">
                  <w:rPr>
                    <w:noProof/>
                    <w:webHidden/>
                  </w:rPr>
                  <w:tab/>
                </w:r>
                <w:r w:rsidR="009E1745">
                  <w:rPr>
                    <w:noProof/>
                    <w:webHidden/>
                  </w:rPr>
                  <w:fldChar w:fldCharType="begin"/>
                </w:r>
                <w:r w:rsidR="009E1745">
                  <w:rPr>
                    <w:noProof/>
                    <w:webHidden/>
                  </w:rPr>
                  <w:instrText xml:space="preserve"> PAGEREF _Toc227505318 \h </w:instrText>
                </w:r>
                <w:r w:rsidR="009E1745">
                  <w:rPr>
                    <w:noProof/>
                    <w:webHidden/>
                  </w:rPr>
                </w:r>
                <w:r w:rsidR="009E1745">
                  <w:rPr>
                    <w:noProof/>
                    <w:webHidden/>
                  </w:rPr>
                  <w:fldChar w:fldCharType="separate"/>
                </w:r>
                <w:r w:rsidR="009E1745">
                  <w:rPr>
                    <w:noProof/>
                    <w:webHidden/>
                  </w:rPr>
                  <w:t>1</w:t>
                </w:r>
                <w:r w:rsidR="009E1745">
                  <w:rPr>
                    <w:noProof/>
                    <w:webHidden/>
                  </w:rPr>
                  <w:fldChar w:fldCharType="end"/>
                </w:r>
              </w:hyperlink>
            </w:p>
            <w:p w14:paraId="04AA39F8" w14:textId="6969B05E" w:rsidR="009E1745" w:rsidRDefault="009E1745">
              <w:pPr>
                <w:pStyle w:val="TOC1"/>
                <w:tabs>
                  <w:tab w:val="right" w:leader="dot" w:pos="9016"/>
                </w:tabs>
                <w:rPr>
                  <w:rFonts w:eastAsiaTheme="minorEastAsia"/>
                  <w:noProof/>
                  <w:kern w:val="2"/>
                  <w:sz w:val="24"/>
                  <w:szCs w:val="24"/>
                  <w:lang w:eastAsia="en-GB"/>
                  <w14:ligatures w14:val="standardContextual"/>
                </w:rPr>
              </w:pPr>
              <w:hyperlink w:anchor="_Toc227505319" w:history="1">
                <w:r w:rsidRPr="00542332">
                  <w:rPr>
                    <w:rStyle w:val="Hyperlink"/>
                    <w:noProof/>
                  </w:rPr>
                  <w:t>Introduction</w:t>
                </w:r>
                <w:r>
                  <w:rPr>
                    <w:noProof/>
                    <w:webHidden/>
                  </w:rPr>
                  <w:tab/>
                </w:r>
                <w:r>
                  <w:rPr>
                    <w:noProof/>
                    <w:webHidden/>
                  </w:rPr>
                  <w:fldChar w:fldCharType="begin"/>
                </w:r>
                <w:r>
                  <w:rPr>
                    <w:noProof/>
                    <w:webHidden/>
                  </w:rPr>
                  <w:instrText xml:space="preserve"> PAGEREF _Toc227505319 \h </w:instrText>
                </w:r>
                <w:r>
                  <w:rPr>
                    <w:noProof/>
                    <w:webHidden/>
                  </w:rPr>
                </w:r>
                <w:r>
                  <w:rPr>
                    <w:noProof/>
                    <w:webHidden/>
                  </w:rPr>
                  <w:fldChar w:fldCharType="separate"/>
                </w:r>
                <w:r>
                  <w:rPr>
                    <w:noProof/>
                    <w:webHidden/>
                  </w:rPr>
                  <w:t>3</w:t>
                </w:r>
                <w:r>
                  <w:rPr>
                    <w:noProof/>
                    <w:webHidden/>
                  </w:rPr>
                  <w:fldChar w:fldCharType="end"/>
                </w:r>
              </w:hyperlink>
            </w:p>
            <w:p w14:paraId="117E82FD" w14:textId="1290EE59" w:rsidR="009E1745" w:rsidRDefault="009E1745">
              <w:pPr>
                <w:pStyle w:val="TOC1"/>
                <w:tabs>
                  <w:tab w:val="right" w:leader="dot" w:pos="9016"/>
                </w:tabs>
                <w:rPr>
                  <w:rFonts w:eastAsiaTheme="minorEastAsia"/>
                  <w:noProof/>
                  <w:kern w:val="2"/>
                  <w:sz w:val="24"/>
                  <w:szCs w:val="24"/>
                  <w:lang w:eastAsia="en-GB"/>
                  <w14:ligatures w14:val="standardContextual"/>
                </w:rPr>
              </w:pPr>
              <w:hyperlink w:anchor="_Toc227505320" w:history="1">
                <w:r w:rsidRPr="00542332">
                  <w:rPr>
                    <w:rStyle w:val="Hyperlink"/>
                    <w:noProof/>
                  </w:rPr>
                  <w:t>Main Findings</w:t>
                </w:r>
                <w:r>
                  <w:rPr>
                    <w:noProof/>
                    <w:webHidden/>
                  </w:rPr>
                  <w:tab/>
                </w:r>
                <w:r>
                  <w:rPr>
                    <w:noProof/>
                    <w:webHidden/>
                  </w:rPr>
                  <w:fldChar w:fldCharType="begin"/>
                </w:r>
                <w:r>
                  <w:rPr>
                    <w:noProof/>
                    <w:webHidden/>
                  </w:rPr>
                  <w:instrText xml:space="preserve"> PAGEREF _Toc227505320 \h </w:instrText>
                </w:r>
                <w:r>
                  <w:rPr>
                    <w:noProof/>
                    <w:webHidden/>
                  </w:rPr>
                </w:r>
                <w:r>
                  <w:rPr>
                    <w:noProof/>
                    <w:webHidden/>
                  </w:rPr>
                  <w:fldChar w:fldCharType="separate"/>
                </w:r>
                <w:r>
                  <w:rPr>
                    <w:noProof/>
                    <w:webHidden/>
                  </w:rPr>
                  <w:t>5</w:t>
                </w:r>
                <w:r>
                  <w:rPr>
                    <w:noProof/>
                    <w:webHidden/>
                  </w:rPr>
                  <w:fldChar w:fldCharType="end"/>
                </w:r>
              </w:hyperlink>
            </w:p>
            <w:p w14:paraId="3D73D79C" w14:textId="76021F2C" w:rsidR="009E1745" w:rsidRDefault="009E1745">
              <w:pPr>
                <w:pStyle w:val="TOC2"/>
                <w:tabs>
                  <w:tab w:val="right" w:leader="dot" w:pos="9016"/>
                </w:tabs>
                <w:rPr>
                  <w:rFonts w:eastAsiaTheme="minorEastAsia"/>
                  <w:noProof/>
                  <w:kern w:val="2"/>
                  <w:sz w:val="24"/>
                  <w:szCs w:val="24"/>
                  <w:lang w:eastAsia="en-GB"/>
                  <w14:ligatures w14:val="standardContextual"/>
                </w:rPr>
              </w:pPr>
              <w:hyperlink w:anchor="_Toc227505321" w:history="1">
                <w:r w:rsidRPr="00542332">
                  <w:rPr>
                    <w:rStyle w:val="Hyperlink"/>
                    <w:noProof/>
                  </w:rPr>
                  <w:t>Task 1- BAE Systems</w:t>
                </w:r>
                <w:r>
                  <w:rPr>
                    <w:noProof/>
                    <w:webHidden/>
                  </w:rPr>
                  <w:tab/>
                </w:r>
                <w:r>
                  <w:rPr>
                    <w:noProof/>
                    <w:webHidden/>
                  </w:rPr>
                  <w:fldChar w:fldCharType="begin"/>
                </w:r>
                <w:r>
                  <w:rPr>
                    <w:noProof/>
                    <w:webHidden/>
                  </w:rPr>
                  <w:instrText xml:space="preserve"> PAGEREF _Toc227505321 \h </w:instrText>
                </w:r>
                <w:r>
                  <w:rPr>
                    <w:noProof/>
                    <w:webHidden/>
                  </w:rPr>
                </w:r>
                <w:r>
                  <w:rPr>
                    <w:noProof/>
                    <w:webHidden/>
                  </w:rPr>
                  <w:fldChar w:fldCharType="separate"/>
                </w:r>
                <w:r>
                  <w:rPr>
                    <w:noProof/>
                    <w:webHidden/>
                  </w:rPr>
                  <w:t>5</w:t>
                </w:r>
                <w:r>
                  <w:rPr>
                    <w:noProof/>
                    <w:webHidden/>
                  </w:rPr>
                  <w:fldChar w:fldCharType="end"/>
                </w:r>
              </w:hyperlink>
            </w:p>
            <w:p w14:paraId="20236240" w14:textId="2FD19A55" w:rsidR="009E1745" w:rsidRDefault="009E1745">
              <w:pPr>
                <w:pStyle w:val="TOC2"/>
                <w:tabs>
                  <w:tab w:val="right" w:leader="dot" w:pos="9016"/>
                </w:tabs>
                <w:rPr>
                  <w:rFonts w:eastAsiaTheme="minorEastAsia"/>
                  <w:noProof/>
                  <w:kern w:val="2"/>
                  <w:sz w:val="24"/>
                  <w:szCs w:val="24"/>
                  <w:lang w:eastAsia="en-GB"/>
                  <w14:ligatures w14:val="standardContextual"/>
                </w:rPr>
              </w:pPr>
              <w:hyperlink w:anchor="_Toc227505322" w:history="1">
                <w:r w:rsidRPr="00542332">
                  <w:rPr>
                    <w:rStyle w:val="Hyperlink"/>
                    <w:noProof/>
                  </w:rPr>
                  <w:t>Task 2- Beard Plc</w:t>
                </w:r>
                <w:r>
                  <w:rPr>
                    <w:noProof/>
                    <w:webHidden/>
                  </w:rPr>
                  <w:tab/>
                </w:r>
                <w:r>
                  <w:rPr>
                    <w:noProof/>
                    <w:webHidden/>
                  </w:rPr>
                  <w:fldChar w:fldCharType="begin"/>
                </w:r>
                <w:r>
                  <w:rPr>
                    <w:noProof/>
                    <w:webHidden/>
                  </w:rPr>
                  <w:instrText xml:space="preserve"> PAGEREF _Toc227505322 \h </w:instrText>
                </w:r>
                <w:r>
                  <w:rPr>
                    <w:noProof/>
                    <w:webHidden/>
                  </w:rPr>
                </w:r>
                <w:r>
                  <w:rPr>
                    <w:noProof/>
                    <w:webHidden/>
                  </w:rPr>
                  <w:fldChar w:fldCharType="separate"/>
                </w:r>
                <w:r>
                  <w:rPr>
                    <w:noProof/>
                    <w:webHidden/>
                  </w:rPr>
                  <w:t>14</w:t>
                </w:r>
                <w:r>
                  <w:rPr>
                    <w:noProof/>
                    <w:webHidden/>
                  </w:rPr>
                  <w:fldChar w:fldCharType="end"/>
                </w:r>
              </w:hyperlink>
            </w:p>
            <w:p w14:paraId="087CFE48" w14:textId="6C83947A" w:rsidR="009E1745" w:rsidRDefault="009E1745">
              <w:pPr>
                <w:pStyle w:val="TOC1"/>
                <w:tabs>
                  <w:tab w:val="right" w:leader="dot" w:pos="9016"/>
                </w:tabs>
                <w:rPr>
                  <w:rFonts w:eastAsiaTheme="minorEastAsia"/>
                  <w:noProof/>
                  <w:kern w:val="2"/>
                  <w:sz w:val="24"/>
                  <w:szCs w:val="24"/>
                  <w:lang w:eastAsia="en-GB"/>
                  <w14:ligatures w14:val="standardContextual"/>
                </w:rPr>
              </w:pPr>
              <w:hyperlink w:anchor="_Toc227505323" w:history="1">
                <w:r w:rsidRPr="00542332">
                  <w:rPr>
                    <w:rStyle w:val="Hyperlink"/>
                    <w:noProof/>
                  </w:rPr>
                  <w:t>Conclusion</w:t>
                </w:r>
                <w:r>
                  <w:rPr>
                    <w:noProof/>
                    <w:webHidden/>
                  </w:rPr>
                  <w:tab/>
                </w:r>
                <w:r>
                  <w:rPr>
                    <w:noProof/>
                    <w:webHidden/>
                  </w:rPr>
                  <w:fldChar w:fldCharType="begin"/>
                </w:r>
                <w:r>
                  <w:rPr>
                    <w:noProof/>
                    <w:webHidden/>
                  </w:rPr>
                  <w:instrText xml:space="preserve"> PAGEREF _Toc227505323 \h </w:instrText>
                </w:r>
                <w:r>
                  <w:rPr>
                    <w:noProof/>
                    <w:webHidden/>
                  </w:rPr>
                </w:r>
                <w:r>
                  <w:rPr>
                    <w:noProof/>
                    <w:webHidden/>
                  </w:rPr>
                  <w:fldChar w:fldCharType="separate"/>
                </w:r>
                <w:r>
                  <w:rPr>
                    <w:noProof/>
                    <w:webHidden/>
                  </w:rPr>
                  <w:t>22</w:t>
                </w:r>
                <w:r>
                  <w:rPr>
                    <w:noProof/>
                    <w:webHidden/>
                  </w:rPr>
                  <w:fldChar w:fldCharType="end"/>
                </w:r>
              </w:hyperlink>
            </w:p>
            <w:p w14:paraId="3E33B924" w14:textId="590CD88A" w:rsidR="009E1745" w:rsidRDefault="009E1745">
              <w:pPr>
                <w:pStyle w:val="TOC1"/>
                <w:tabs>
                  <w:tab w:val="right" w:leader="dot" w:pos="9016"/>
                </w:tabs>
                <w:rPr>
                  <w:rFonts w:eastAsiaTheme="minorEastAsia"/>
                  <w:noProof/>
                  <w:kern w:val="2"/>
                  <w:sz w:val="24"/>
                  <w:szCs w:val="24"/>
                  <w:lang w:eastAsia="en-GB"/>
                  <w14:ligatures w14:val="standardContextual"/>
                </w:rPr>
              </w:pPr>
              <w:hyperlink w:anchor="_Toc227505324" w:history="1">
                <w:r w:rsidRPr="00542332">
                  <w:rPr>
                    <w:rStyle w:val="Hyperlink"/>
                    <w:noProof/>
                  </w:rPr>
                  <w:t>References</w:t>
                </w:r>
                <w:r>
                  <w:rPr>
                    <w:noProof/>
                    <w:webHidden/>
                  </w:rPr>
                  <w:tab/>
                </w:r>
                <w:r>
                  <w:rPr>
                    <w:noProof/>
                    <w:webHidden/>
                  </w:rPr>
                  <w:fldChar w:fldCharType="begin"/>
                </w:r>
                <w:r>
                  <w:rPr>
                    <w:noProof/>
                    <w:webHidden/>
                  </w:rPr>
                  <w:instrText xml:space="preserve"> PAGEREF _Toc227505324 \h </w:instrText>
                </w:r>
                <w:r>
                  <w:rPr>
                    <w:noProof/>
                    <w:webHidden/>
                  </w:rPr>
                </w:r>
                <w:r>
                  <w:rPr>
                    <w:noProof/>
                    <w:webHidden/>
                  </w:rPr>
                  <w:fldChar w:fldCharType="separate"/>
                </w:r>
                <w:r>
                  <w:rPr>
                    <w:noProof/>
                    <w:webHidden/>
                  </w:rPr>
                  <w:t>24</w:t>
                </w:r>
                <w:r>
                  <w:rPr>
                    <w:noProof/>
                    <w:webHidden/>
                  </w:rPr>
                  <w:fldChar w:fldCharType="end"/>
                </w:r>
              </w:hyperlink>
            </w:p>
            <w:p w14:paraId="615281A1" w14:textId="7EF4E541" w:rsidR="009E1745" w:rsidRDefault="009E1745">
              <w:pPr>
                <w:pStyle w:val="TOC1"/>
                <w:tabs>
                  <w:tab w:val="right" w:leader="dot" w:pos="9016"/>
                </w:tabs>
                <w:rPr>
                  <w:rFonts w:eastAsiaTheme="minorEastAsia"/>
                  <w:noProof/>
                  <w:kern w:val="2"/>
                  <w:sz w:val="24"/>
                  <w:szCs w:val="24"/>
                  <w:lang w:eastAsia="en-GB"/>
                  <w14:ligatures w14:val="standardContextual"/>
                </w:rPr>
              </w:pPr>
              <w:hyperlink w:anchor="_Toc227505325" w:history="1">
                <w:r w:rsidRPr="00542332">
                  <w:rPr>
                    <w:rStyle w:val="Hyperlink"/>
                    <w:noProof/>
                  </w:rPr>
                  <w:t>Appendices</w:t>
                </w:r>
                <w:r>
                  <w:rPr>
                    <w:noProof/>
                    <w:webHidden/>
                  </w:rPr>
                  <w:tab/>
                </w:r>
                <w:r>
                  <w:rPr>
                    <w:noProof/>
                    <w:webHidden/>
                  </w:rPr>
                  <w:fldChar w:fldCharType="begin"/>
                </w:r>
                <w:r>
                  <w:rPr>
                    <w:noProof/>
                    <w:webHidden/>
                  </w:rPr>
                  <w:instrText xml:space="preserve"> PAGEREF _Toc227505325 \h </w:instrText>
                </w:r>
                <w:r>
                  <w:rPr>
                    <w:noProof/>
                    <w:webHidden/>
                  </w:rPr>
                </w:r>
                <w:r>
                  <w:rPr>
                    <w:noProof/>
                    <w:webHidden/>
                  </w:rPr>
                  <w:fldChar w:fldCharType="separate"/>
                </w:r>
                <w:r>
                  <w:rPr>
                    <w:noProof/>
                    <w:webHidden/>
                  </w:rPr>
                  <w:t>31</w:t>
                </w:r>
                <w:r>
                  <w:rPr>
                    <w:noProof/>
                    <w:webHidden/>
                  </w:rPr>
                  <w:fldChar w:fldCharType="end"/>
                </w:r>
              </w:hyperlink>
            </w:p>
            <w:p w14:paraId="79B51A32" w14:textId="3543D861" w:rsidR="00BF015A" w:rsidRPr="00B8034A" w:rsidRDefault="00BF015A" w:rsidP="00B8034A">
              <w:pPr>
                <w:spacing w:line="360" w:lineRule="auto"/>
                <w:rPr>
                  <w:sz w:val="24"/>
                  <w:szCs w:val="24"/>
                </w:rPr>
              </w:pPr>
              <w:r w:rsidRPr="00B8034A">
                <w:rPr>
                  <w:b/>
                  <w:bCs/>
                  <w:noProof/>
                  <w:sz w:val="24"/>
                  <w:szCs w:val="24"/>
                </w:rPr>
                <w:fldChar w:fldCharType="end"/>
              </w:r>
            </w:p>
          </w:sdtContent>
        </w:sdt>
        <w:p w14:paraId="33BAED4C" w14:textId="77777777" w:rsidR="00BF015A" w:rsidRPr="00B8034A" w:rsidRDefault="00BF015A" w:rsidP="00B8034A">
          <w:pPr>
            <w:spacing w:line="360" w:lineRule="auto"/>
            <w:rPr>
              <w:sz w:val="24"/>
              <w:szCs w:val="24"/>
            </w:rPr>
          </w:pPr>
        </w:p>
        <w:p w14:paraId="252E3D46" w14:textId="77777777" w:rsidR="00BF015A" w:rsidRPr="00B8034A" w:rsidRDefault="00BF015A" w:rsidP="00B8034A">
          <w:pPr>
            <w:spacing w:line="360" w:lineRule="auto"/>
            <w:rPr>
              <w:sz w:val="24"/>
              <w:szCs w:val="24"/>
            </w:rPr>
          </w:pPr>
        </w:p>
        <w:p w14:paraId="79F176E6" w14:textId="77777777" w:rsidR="00BF015A" w:rsidRPr="00B8034A" w:rsidRDefault="00BF015A" w:rsidP="00B8034A">
          <w:pPr>
            <w:spacing w:line="360" w:lineRule="auto"/>
            <w:rPr>
              <w:sz w:val="24"/>
              <w:szCs w:val="24"/>
            </w:rPr>
          </w:pPr>
        </w:p>
        <w:p w14:paraId="4ADE346B" w14:textId="438FB202" w:rsidR="00BF015A" w:rsidRPr="00B8034A" w:rsidRDefault="00D0336F" w:rsidP="00B8034A">
          <w:pPr>
            <w:spacing w:line="360" w:lineRule="auto"/>
            <w:rPr>
              <w:sz w:val="24"/>
              <w:szCs w:val="24"/>
            </w:rPr>
          </w:pPr>
          <w:r w:rsidRPr="00B8034A">
            <w:rPr>
              <w:sz w:val="24"/>
              <w:szCs w:val="24"/>
            </w:rPr>
            <w:br w:type="page"/>
          </w:r>
        </w:p>
        <w:p w14:paraId="55483FA3" w14:textId="77777777" w:rsidR="00D0336F" w:rsidRPr="00B8034A" w:rsidRDefault="00D0336F" w:rsidP="00B8034A">
          <w:pPr>
            <w:spacing w:line="360" w:lineRule="auto"/>
            <w:rPr>
              <w:sz w:val="24"/>
              <w:szCs w:val="24"/>
            </w:rPr>
          </w:pPr>
        </w:p>
        <w:p w14:paraId="498DD61C" w14:textId="6AE7C4F7" w:rsidR="00BF015A" w:rsidRPr="00964A51" w:rsidRDefault="00BF015A" w:rsidP="00B8034A">
          <w:pPr>
            <w:pStyle w:val="Heading1"/>
            <w:spacing w:line="360" w:lineRule="auto"/>
            <w:rPr>
              <w:rFonts w:asciiTheme="minorHAnsi" w:hAnsiTheme="minorHAnsi"/>
              <w:sz w:val="28"/>
              <w:szCs w:val="28"/>
            </w:rPr>
          </w:pPr>
          <w:bookmarkStart w:id="1" w:name="_Toc227505319"/>
          <w:r w:rsidRPr="00964A51">
            <w:rPr>
              <w:rFonts w:asciiTheme="minorHAnsi" w:hAnsiTheme="minorHAnsi"/>
              <w:sz w:val="28"/>
              <w:szCs w:val="28"/>
            </w:rPr>
            <w:t>Introduction</w:t>
          </w:r>
          <w:bookmarkEnd w:id="1"/>
          <w:r w:rsidRPr="00964A51">
            <w:rPr>
              <w:rFonts w:asciiTheme="minorHAnsi" w:hAnsiTheme="minorHAnsi"/>
              <w:sz w:val="28"/>
              <w:szCs w:val="28"/>
            </w:rPr>
            <w:t xml:space="preserve"> </w:t>
          </w:r>
        </w:p>
        <w:p w14:paraId="7617E3C4" w14:textId="77777777" w:rsidR="00BF015A" w:rsidRPr="00B8034A" w:rsidRDefault="00BF015A" w:rsidP="00B8034A">
          <w:pPr>
            <w:spacing w:line="360" w:lineRule="auto"/>
            <w:rPr>
              <w:rFonts w:eastAsia="Times New Roman" w:cs="Times New Roman"/>
              <w:sz w:val="24"/>
              <w:szCs w:val="24"/>
              <w:lang w:eastAsia="en-GB"/>
            </w:rPr>
          </w:pPr>
        </w:p>
        <w:p w14:paraId="6AE9FB23" w14:textId="58072938" w:rsidR="002157D9" w:rsidRPr="002157D9" w:rsidRDefault="002157D9" w:rsidP="00B8034A">
          <w:pPr>
            <w:spacing w:before="100" w:beforeAutospacing="1" w:after="100" w:afterAutospacing="1" w:line="360" w:lineRule="auto"/>
            <w:rPr>
              <w:rFonts w:eastAsia="Times New Roman" w:cs="Times New Roman"/>
              <w:sz w:val="24"/>
              <w:szCs w:val="24"/>
              <w:lang w:eastAsia="en-GB"/>
            </w:rPr>
          </w:pPr>
          <w:r w:rsidRPr="002157D9">
            <w:rPr>
              <w:rFonts w:eastAsia="Times New Roman" w:cs="Times New Roman"/>
              <w:sz w:val="24"/>
              <w:szCs w:val="24"/>
              <w:lang w:eastAsia="en-GB"/>
            </w:rPr>
            <w:t>Financial performance analysis and investment appraisal are both central to effective decision-making within organisations, particularly where long-term sustainability and strategic growth are concerned. Gaining an understanding of how a business is performing financially requires more than simply reviewing figures in isolation, as financial statements need to be interpreted in a way that reflects operational activity, market conditions and wider economic influences (Atrill and McLaney, 2022; Elliott and Elliott, 2019). Ratio analysis is commonly used to support this process, as it allows financial data to be translated into more meaningful indicators of performance across key areas such as profitability, efficiency, liquidity, gearing and investor returns (Brigham and Ehrhardt, 2020; Penman, 2021</w:t>
          </w:r>
          <w:r w:rsidR="0078066D">
            <w:rPr>
              <w:rFonts w:eastAsia="Times New Roman" w:cs="Times New Roman"/>
              <w:sz w:val="24"/>
              <w:szCs w:val="24"/>
              <w:lang w:eastAsia="en-GB"/>
            </w:rPr>
            <w:t>; ACCA, 2023</w:t>
          </w:r>
          <w:r w:rsidRPr="002157D9">
            <w:rPr>
              <w:rFonts w:eastAsia="Times New Roman" w:cs="Times New Roman"/>
              <w:sz w:val="24"/>
              <w:szCs w:val="24"/>
              <w:lang w:eastAsia="en-GB"/>
            </w:rPr>
            <w:t xml:space="preserve">). </w:t>
          </w:r>
          <w:r w:rsidR="003832DF">
            <w:rPr>
              <w:rFonts w:eastAsia="Times New Roman" w:cs="Times New Roman"/>
              <w:sz w:val="24"/>
              <w:szCs w:val="24"/>
              <w:lang w:eastAsia="en-GB"/>
            </w:rPr>
            <w:t>W</w:t>
          </w:r>
          <w:r w:rsidRPr="002157D9">
            <w:rPr>
              <w:rFonts w:eastAsia="Times New Roman" w:cs="Times New Roman"/>
              <w:sz w:val="24"/>
              <w:szCs w:val="24"/>
              <w:lang w:eastAsia="en-GB"/>
            </w:rPr>
            <w:t>hile ratios can provide useful insight, they should be applied with some caution, as their interpretation is often influenced by industry-specific factors and accounting practices (Palepu et al., 2020; Damodaran, 2012).</w:t>
          </w:r>
        </w:p>
        <w:p w14:paraId="2D5469DF" w14:textId="0DDBD1EE" w:rsidR="002157D9" w:rsidRPr="002157D9" w:rsidRDefault="002157D9" w:rsidP="00B8034A">
          <w:pPr>
            <w:spacing w:before="100" w:beforeAutospacing="1" w:after="100" w:afterAutospacing="1" w:line="360" w:lineRule="auto"/>
            <w:rPr>
              <w:rFonts w:eastAsia="Times New Roman" w:cs="Times New Roman"/>
              <w:sz w:val="24"/>
              <w:szCs w:val="24"/>
              <w:lang w:eastAsia="en-GB"/>
            </w:rPr>
          </w:pPr>
          <w:r w:rsidRPr="002157D9">
            <w:rPr>
              <w:rFonts w:eastAsia="Times New Roman" w:cs="Times New Roman"/>
              <w:sz w:val="24"/>
              <w:szCs w:val="24"/>
              <w:lang w:eastAsia="en-GB"/>
            </w:rPr>
            <w:t xml:space="preserve">As well as analysing past and current performance, organisations are also required to make forward-looking financial decisions, particularly in relation to investment opportunities. Investment appraisal techniques are therefore used to assess whether proposed projects are likely to generate value, with methods such as net present value (NPV) and internal rate of return (IRR) widely recognised for incorporating the time value of money into decision-making (Brealey et al., 2023; Arnold, 2022). In practice, simpler non-discounting techniques are still commonly used, which highlights the need to balance theoretical approaches with practical considerations (Ryan and Ryan, 2002; Pike and Neale, 2009). This </w:t>
          </w:r>
          <w:r w:rsidR="00B37930">
            <w:rPr>
              <w:rFonts w:eastAsia="Times New Roman" w:cs="Times New Roman"/>
              <w:sz w:val="24"/>
              <w:szCs w:val="24"/>
              <w:lang w:eastAsia="en-GB"/>
            </w:rPr>
            <w:t xml:space="preserve">reflects </w:t>
          </w:r>
          <w:r w:rsidR="00D031EF">
            <w:rPr>
              <w:rFonts w:eastAsia="Times New Roman" w:cs="Times New Roman"/>
              <w:sz w:val="24"/>
              <w:szCs w:val="24"/>
              <w:lang w:eastAsia="en-GB"/>
            </w:rPr>
            <w:t xml:space="preserve">the fact that </w:t>
          </w:r>
          <w:r w:rsidRPr="002157D9">
            <w:rPr>
              <w:rFonts w:eastAsia="Times New Roman" w:cs="Times New Roman"/>
              <w:sz w:val="24"/>
              <w:szCs w:val="24"/>
              <w:lang w:eastAsia="en-GB"/>
            </w:rPr>
            <w:t>financial decision-making is not purely technical, but also involves judgement, risk assessment and alignment with wider organisational strategy (Atrill and McLaney, 2022; Brigham and Ehrhardt, 2020).</w:t>
          </w:r>
        </w:p>
        <w:p w14:paraId="1A6E691B" w14:textId="77777777" w:rsidR="002157D9" w:rsidRPr="002157D9" w:rsidRDefault="002157D9" w:rsidP="00B8034A">
          <w:pPr>
            <w:spacing w:before="100" w:beforeAutospacing="1" w:after="100" w:afterAutospacing="1" w:line="360" w:lineRule="auto"/>
            <w:rPr>
              <w:rFonts w:eastAsia="Times New Roman" w:cs="Times New Roman"/>
              <w:sz w:val="24"/>
              <w:szCs w:val="24"/>
              <w:lang w:eastAsia="en-GB"/>
            </w:rPr>
          </w:pPr>
          <w:r w:rsidRPr="002157D9">
            <w:rPr>
              <w:rFonts w:eastAsia="Times New Roman" w:cs="Times New Roman"/>
              <w:sz w:val="24"/>
              <w:szCs w:val="24"/>
              <w:lang w:eastAsia="en-GB"/>
            </w:rPr>
            <w:t xml:space="preserve">Against this background, the financial performance of BAE Systems is considered over the 2023 to 2024 period. As a global defence and aerospace organisation, BAE Systems </w:t>
          </w:r>
          <w:r w:rsidRPr="002157D9">
            <w:rPr>
              <w:rFonts w:eastAsia="Times New Roman" w:cs="Times New Roman"/>
              <w:sz w:val="24"/>
              <w:szCs w:val="24"/>
              <w:lang w:eastAsia="en-GB"/>
            </w:rPr>
            <w:lastRenderedPageBreak/>
            <w:t>operates within a highly specialised environment characterised by long-term government contracts, high levels of capital investment and exposure to geopolitical influences. This means that traditional financial measures are not always directly comparable with other industries, particularly in relation to inventory and working capital. For this reason, ratio analysis needs to be interpreted within the context of the organisation’s operating model and the wider defence sector.</w:t>
          </w:r>
        </w:p>
        <w:p w14:paraId="18C2E32A" w14:textId="77777777" w:rsidR="002157D9" w:rsidRPr="002157D9" w:rsidRDefault="002157D9" w:rsidP="00B8034A">
          <w:pPr>
            <w:spacing w:before="100" w:beforeAutospacing="1" w:after="100" w:afterAutospacing="1" w:line="360" w:lineRule="auto"/>
            <w:rPr>
              <w:rFonts w:eastAsia="Times New Roman" w:cs="Times New Roman"/>
              <w:sz w:val="24"/>
              <w:szCs w:val="24"/>
              <w:lang w:eastAsia="en-GB"/>
            </w:rPr>
          </w:pPr>
          <w:r w:rsidRPr="002157D9">
            <w:rPr>
              <w:rFonts w:eastAsia="Times New Roman" w:cs="Times New Roman"/>
              <w:sz w:val="24"/>
              <w:szCs w:val="24"/>
              <w:lang w:eastAsia="en-GB"/>
            </w:rPr>
            <w:t>Alongside this, a separate investment decision is explored through the case of Beard Plc, where three potential expansion options are evaluated over a four-year period. This involves applying investment appraisal techniques to determine which option is the most financially viable, supported by consideration of both financial outcomes and wider strategic factors. Taken together, these two areas provide a balanced view of how financial analysis can be used to assess organisational performance and support future decision-making.</w:t>
          </w:r>
        </w:p>
        <w:p w14:paraId="0D89CDB8" w14:textId="77777777" w:rsidR="00BF015A" w:rsidRPr="00B8034A" w:rsidRDefault="00BF015A" w:rsidP="00B8034A">
          <w:pPr>
            <w:spacing w:line="360" w:lineRule="auto"/>
            <w:rPr>
              <w:sz w:val="24"/>
              <w:szCs w:val="24"/>
            </w:rPr>
          </w:pPr>
        </w:p>
        <w:p w14:paraId="1E64EC68" w14:textId="2CD938A8" w:rsidR="00BF015A" w:rsidRPr="00B8034A" w:rsidRDefault="00D0336F" w:rsidP="00B8034A">
          <w:pPr>
            <w:spacing w:line="360" w:lineRule="auto"/>
            <w:rPr>
              <w:sz w:val="24"/>
              <w:szCs w:val="24"/>
            </w:rPr>
          </w:pPr>
          <w:r w:rsidRPr="00B8034A">
            <w:rPr>
              <w:sz w:val="24"/>
              <w:szCs w:val="24"/>
            </w:rPr>
            <w:br w:type="page"/>
          </w:r>
        </w:p>
        <w:p w14:paraId="20CE23C1" w14:textId="77777777" w:rsidR="00BF015A" w:rsidRPr="00B8034A" w:rsidRDefault="00BF015A" w:rsidP="00B8034A">
          <w:pPr>
            <w:spacing w:line="360" w:lineRule="auto"/>
            <w:rPr>
              <w:sz w:val="24"/>
              <w:szCs w:val="24"/>
            </w:rPr>
          </w:pPr>
        </w:p>
        <w:p w14:paraId="1F3E7204" w14:textId="77777777" w:rsidR="00BF015A" w:rsidRPr="00964A51" w:rsidRDefault="00BF015A" w:rsidP="00B8034A">
          <w:pPr>
            <w:pStyle w:val="Heading1"/>
            <w:spacing w:line="360" w:lineRule="auto"/>
            <w:rPr>
              <w:rFonts w:asciiTheme="minorHAnsi" w:hAnsiTheme="minorHAnsi"/>
              <w:sz w:val="28"/>
              <w:szCs w:val="28"/>
            </w:rPr>
          </w:pPr>
          <w:bookmarkStart w:id="2" w:name="_Toc227505320"/>
          <w:r w:rsidRPr="00964A51">
            <w:rPr>
              <w:rFonts w:asciiTheme="minorHAnsi" w:hAnsiTheme="minorHAnsi"/>
              <w:sz w:val="28"/>
              <w:szCs w:val="28"/>
            </w:rPr>
            <w:t>Main Findings</w:t>
          </w:r>
          <w:bookmarkEnd w:id="2"/>
        </w:p>
        <w:p w14:paraId="39A8C132" w14:textId="77777777" w:rsidR="00BF015A" w:rsidRPr="00B8034A" w:rsidRDefault="00BF015A" w:rsidP="00B8034A">
          <w:pPr>
            <w:pStyle w:val="Heading1"/>
            <w:spacing w:line="360" w:lineRule="auto"/>
            <w:rPr>
              <w:rFonts w:asciiTheme="minorHAnsi" w:hAnsiTheme="minorHAnsi"/>
              <w:sz w:val="24"/>
              <w:szCs w:val="24"/>
            </w:rPr>
          </w:pPr>
        </w:p>
        <w:p w14:paraId="1A08686B" w14:textId="504E1C2C" w:rsidR="00BF015A" w:rsidRPr="00964A51" w:rsidRDefault="00BF015A" w:rsidP="00B8034A">
          <w:pPr>
            <w:pStyle w:val="Heading2"/>
            <w:spacing w:line="360" w:lineRule="auto"/>
            <w:rPr>
              <w:rFonts w:asciiTheme="minorHAnsi" w:hAnsiTheme="minorHAnsi"/>
              <w:sz w:val="28"/>
              <w:szCs w:val="28"/>
            </w:rPr>
          </w:pPr>
          <w:bookmarkStart w:id="3" w:name="_Toc227505321"/>
          <w:r w:rsidRPr="00964A51">
            <w:rPr>
              <w:rFonts w:asciiTheme="minorHAnsi" w:hAnsiTheme="minorHAnsi"/>
              <w:sz w:val="28"/>
              <w:szCs w:val="28"/>
            </w:rPr>
            <w:t>Task 1</w:t>
          </w:r>
          <w:r w:rsidR="00EE63A7" w:rsidRPr="00964A51">
            <w:rPr>
              <w:rFonts w:asciiTheme="minorHAnsi" w:hAnsiTheme="minorHAnsi"/>
              <w:sz w:val="28"/>
              <w:szCs w:val="28"/>
            </w:rPr>
            <w:t xml:space="preserve">- </w:t>
          </w:r>
          <w:r w:rsidR="002943E9" w:rsidRPr="00964A51">
            <w:rPr>
              <w:rFonts w:asciiTheme="minorHAnsi" w:hAnsiTheme="minorHAnsi"/>
              <w:sz w:val="28"/>
              <w:szCs w:val="28"/>
            </w:rPr>
            <w:t>BAE Systems</w:t>
          </w:r>
          <w:bookmarkEnd w:id="3"/>
        </w:p>
        <w:p w14:paraId="11D9C7DD" w14:textId="77777777" w:rsidR="002943E9" w:rsidRPr="00B8034A" w:rsidRDefault="002943E9" w:rsidP="00B8034A">
          <w:pPr>
            <w:spacing w:line="360" w:lineRule="auto"/>
            <w:rPr>
              <w:sz w:val="24"/>
              <w:szCs w:val="24"/>
            </w:rPr>
          </w:pPr>
        </w:p>
        <w:p w14:paraId="005876A1" w14:textId="42EF3ED4"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 xml:space="preserve">Profitability </w:t>
          </w:r>
        </w:p>
        <w:p w14:paraId="5CCBA2FA" w14:textId="2BF5A3EE" w:rsidR="00097D92" w:rsidRPr="00A0500B" w:rsidRDefault="00A0500B" w:rsidP="00A0500B">
          <w:pPr>
            <w:spacing w:line="360" w:lineRule="auto"/>
            <w:rPr>
              <w:kern w:val="2"/>
              <w:sz w:val="24"/>
              <w:szCs w:val="24"/>
              <w14:ligatures w14:val="standardContextual"/>
            </w:rPr>
          </w:pPr>
          <w:r w:rsidRPr="00A0500B">
            <w:rPr>
              <w:kern w:val="2"/>
              <w:sz w:val="24"/>
              <w:szCs w:val="24"/>
              <w14:ligatures w14:val="standardContextual"/>
            </w:rPr>
            <w:t>Profitability reflects how effectively revenue is converted into profit, helping assess overall financial performance and supporting decisions around cost control and long-term sustainability (Kaplan and Atkinson, 2022; Gowthorpe, 2021).</w:t>
          </w:r>
          <w:r>
            <w:rPr>
              <w:kern w:val="2"/>
              <w:sz w:val="24"/>
              <w:szCs w:val="24"/>
              <w14:ligatures w14:val="standardContextual"/>
            </w:rPr>
            <w:t xml:space="preserve"> </w:t>
          </w:r>
          <w:r w:rsidR="00097D92" w:rsidRPr="00097D92">
            <w:rPr>
              <w:rFonts w:eastAsia="Times New Roman" w:cs="Times New Roman"/>
              <w:sz w:val="24"/>
              <w:szCs w:val="24"/>
              <w:lang w:eastAsia="en-GB"/>
            </w:rPr>
            <w:t>The financial performance of BAE Systems between 2023 and 2024 shows a clear increase in revenue, rising from £23,078 million to £26,312 million, which has helped support overall profitability (BAE Systems, 2024; BAE Systems, 2023). This growth is likely linked to rising global defence expenditure and continued demand for advanced security and aerospace solutions, particularly in response to ongoing geopolitical tensions (SIPRI, 2024; Deloitte, 2023). Despite this, operating profit margins have declined slightly from 11.15% in 2023 to 10.21% in 2024, which indicates that although revenue is increasing, costs are also rising. This may reflect inflationary pressures, supply chain disruption and continued investment in innovation and technology, all of which are common within capital-intensive sectors (McKinsey &amp; Company, 2022; PwC, 2023a). This is further supported by the reduction in gross profit margin from 9.36% to 8.38%, reinforcing the view that cost increases are offsetting revenue growth.</w:t>
          </w:r>
        </w:p>
        <w:p w14:paraId="0B383C46"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When considered alongside industry benchmarks, this level of profitability seems fairly in line with organisations such as Lockheed Martin, where margins are similarly influenced by long-term government contracts and high operational costs (Lockheed Martin, 2024). This suggests that the decline in margins may not be unusual within the defence sector, although it still raises some questions around cost control.</w:t>
          </w:r>
        </w:p>
        <w:p w14:paraId="076CF711"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lastRenderedPageBreak/>
            <w:t>Return on capital employed (ROCE) provides further insight into how effectively BAE Systems is using its capital to generate profit. In this case, ROCE has decreased from 12.18% in 2023 to 10.41% in 2024, which may indicate that recent investments are not yet generating proportional returns. This can be explained by the long-term nature of defence contracts, where returns are realised over extended periods rather than immediately. This shows why it’s important to consider the timing of returns when evaluating profitability, particularly in industries where capital investment is high and revenue is contract-driven (Palepu et al., 2020; Deloitte, 2023).</w:t>
          </w:r>
        </w:p>
        <w:p w14:paraId="7A4EEC0A"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Overall, profitability looks relatively strong, supported by consistent revenue growth and stable demand within the defence sector. However, the decline in both operating profit margin and ROCE suggests that cost pressures and investment activity may be reducing the overall benefit of increased income.</w:t>
          </w:r>
        </w:p>
        <w:p w14:paraId="40C2238F" w14:textId="77777777"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Efficiency</w:t>
          </w:r>
        </w:p>
        <w:p w14:paraId="72DAFC63" w14:textId="0B3B45C8" w:rsidR="00097D92" w:rsidRPr="00CB5A05" w:rsidRDefault="00CB5A05" w:rsidP="00CB5A05">
          <w:pPr>
            <w:spacing w:line="360" w:lineRule="auto"/>
            <w:rPr>
              <w:kern w:val="2"/>
              <w:sz w:val="24"/>
              <w:szCs w:val="24"/>
              <w14:ligatures w14:val="standardContextual"/>
            </w:rPr>
          </w:pPr>
          <w:r w:rsidRPr="00CB5A05">
            <w:rPr>
              <w:kern w:val="2"/>
              <w:sz w:val="24"/>
              <w:szCs w:val="24"/>
              <w14:ligatures w14:val="standardContextual"/>
            </w:rPr>
            <w:t>Efficiency focuses on how well resources are used to generate revenue, helping assess operational performance and supporting improvements in productivity and utilisation (Penman, 2021; Koller et al., 2020).</w:t>
          </w:r>
          <w:r>
            <w:rPr>
              <w:kern w:val="2"/>
              <w:sz w:val="24"/>
              <w:szCs w:val="24"/>
              <w14:ligatures w14:val="standardContextual"/>
            </w:rPr>
            <w:t xml:space="preserve"> </w:t>
          </w:r>
          <w:r w:rsidR="00097D92" w:rsidRPr="00097D92">
            <w:rPr>
              <w:rFonts w:eastAsia="Times New Roman" w:cs="Times New Roman"/>
              <w:sz w:val="24"/>
              <w:szCs w:val="24"/>
              <w:lang w:eastAsia="en-GB"/>
            </w:rPr>
            <w:t>In the case of BAE Systems, asset turnover has decreased slightly from 1.09 times in 2023 to 1.02 times in 2024, which may indicate a small reduction in how efficiently assets are being used to generate revenue. Due to the capital-intensive nature of the defence sector, asset turnover ratios are typically lower compared to industries such as retail (PwC, 2023a; OECD, 2024).</w:t>
          </w:r>
        </w:p>
        <w:p w14:paraId="56116131"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A similar pattern can be seen in organisations such as Lockheed Martin, where long-term investment and project-based activity can reduce short-term asset utilisation (Lockheed Martin, 2024).</w:t>
          </w:r>
        </w:p>
        <w:p w14:paraId="73CA7F1F" w14:textId="11A99695"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Debtor days have improved from 97.78 days in 2023 to 92.42 days in 2024, which suggests that BAE Systems is collecting payments more efficiently</w:t>
          </w:r>
          <w:r w:rsidR="0020473C">
            <w:rPr>
              <w:rFonts w:eastAsia="Times New Roman" w:cs="Times New Roman"/>
              <w:sz w:val="24"/>
              <w:szCs w:val="24"/>
              <w:lang w:eastAsia="en-GB"/>
            </w:rPr>
            <w:t>, although</w:t>
          </w:r>
          <w:r w:rsidR="00F6132A">
            <w:rPr>
              <w:rFonts w:eastAsia="Times New Roman" w:cs="Times New Roman"/>
              <w:sz w:val="24"/>
              <w:szCs w:val="24"/>
              <w:lang w:eastAsia="en-GB"/>
            </w:rPr>
            <w:t xml:space="preserve"> </w:t>
          </w:r>
          <w:r w:rsidRPr="00097D92">
            <w:rPr>
              <w:rFonts w:eastAsia="Times New Roman" w:cs="Times New Roman"/>
              <w:sz w:val="24"/>
              <w:szCs w:val="24"/>
              <w:lang w:eastAsia="en-GB"/>
            </w:rPr>
            <w:t xml:space="preserve">debtor periods remain relatively high, which is likely linked to the structure of government contracts, where payments are often received in stages rather than upfront. Creditor days have increased slightly from 15.11 days to 16.42 days, which may indicate that the </w:t>
          </w:r>
          <w:r w:rsidRPr="00097D92">
            <w:rPr>
              <w:rFonts w:eastAsia="Times New Roman" w:cs="Times New Roman"/>
              <w:sz w:val="24"/>
              <w:szCs w:val="24"/>
              <w:lang w:eastAsia="en-GB"/>
            </w:rPr>
            <w:lastRenderedPageBreak/>
            <w:t>organisation is taking slightly longer to pay suppliers, potentially as a way of managing cash flow.</w:t>
          </w:r>
        </w:p>
        <w:p w14:paraId="3A7BBECD" w14:textId="6328DF1C"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 xml:space="preserve">Inventory-related ratios, such as stock days and stock turnover, remain relatively stable, with stock days remaining at approximately 20 days across both years and stock turnover remaining consistent at just over 18 times. </w:t>
          </w:r>
          <w:r w:rsidR="00526756">
            <w:rPr>
              <w:rFonts w:eastAsia="Times New Roman" w:cs="Times New Roman"/>
              <w:sz w:val="24"/>
              <w:szCs w:val="24"/>
              <w:lang w:eastAsia="en-GB"/>
            </w:rPr>
            <w:t>T</w:t>
          </w:r>
          <w:r w:rsidRPr="00097D92">
            <w:rPr>
              <w:rFonts w:eastAsia="Times New Roman" w:cs="Times New Roman"/>
              <w:sz w:val="24"/>
              <w:szCs w:val="24"/>
              <w:lang w:eastAsia="en-GB"/>
            </w:rPr>
            <w:t>hese figures are less straightforward to interpret in this context. Unlike retail or traditional manufacturing businesses, inventory within BAE Systems is more likely to consist of work-in-progress linked to long-term defence projects rather than finished goods ready for sale. This means stock may be held for longer periods as part of ongoing contracts, which can make these ratios less useful as direct measures of efficiency (IASB, 2020; Deloitte, 2024a).</w:t>
          </w:r>
        </w:p>
        <w:p w14:paraId="38537FBC"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The efficiency position of BAE Systems therefore appears relatively stable, although this needs to be interpreted carefully given the nature of the industry. While asset utilisation and working capital ratios provide some insight into performance, the structure of long-term contracts means that traditional efficiency measures do not always capture the full picture. This indicates that efficiency should also be considered alongside qualitative factors, rather than relying only on ratio analysis (McKinsey &amp; Company, 2023a; FRC, 2021).</w:t>
          </w:r>
        </w:p>
        <w:p w14:paraId="3062878D" w14:textId="77777777"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Liquidity</w:t>
          </w:r>
        </w:p>
        <w:p w14:paraId="4EF6F2BB" w14:textId="6E1CDE1E" w:rsidR="00097D92" w:rsidRPr="00487930" w:rsidRDefault="00487930" w:rsidP="00487930">
          <w:pPr>
            <w:spacing w:line="360" w:lineRule="auto"/>
            <w:rPr>
              <w:kern w:val="2"/>
              <w:sz w:val="24"/>
              <w:szCs w:val="24"/>
              <w14:ligatures w14:val="standardContextual"/>
            </w:rPr>
          </w:pPr>
          <w:r w:rsidRPr="00487930">
            <w:rPr>
              <w:kern w:val="2"/>
              <w:sz w:val="24"/>
              <w:szCs w:val="24"/>
              <w14:ligatures w14:val="standardContextual"/>
            </w:rPr>
            <w:t>Liquidity relates to the ability to meet short-term obligations, helping assess financial stability and supporting effective working capital and cash flow management (Elliott and Elliott, 2019; Richards and Laughlin, 2021</w:t>
          </w:r>
          <w:r w:rsidR="006F2F25">
            <w:rPr>
              <w:kern w:val="2"/>
              <w:sz w:val="24"/>
              <w:szCs w:val="24"/>
              <w14:ligatures w14:val="standardContextual"/>
            </w:rPr>
            <w:t>; ACCA</w:t>
          </w:r>
          <w:r w:rsidR="007B1DF9">
            <w:rPr>
              <w:kern w:val="2"/>
              <w:sz w:val="24"/>
              <w:szCs w:val="24"/>
              <w14:ligatures w14:val="standardContextual"/>
            </w:rPr>
            <w:t>, 2022</w:t>
          </w:r>
          <w:r w:rsidRPr="00487930">
            <w:rPr>
              <w:kern w:val="2"/>
              <w:sz w:val="24"/>
              <w:szCs w:val="24"/>
              <w14:ligatures w14:val="standardContextual"/>
            </w:rPr>
            <w:t>).</w:t>
          </w:r>
          <w:r>
            <w:rPr>
              <w:kern w:val="2"/>
              <w:sz w:val="24"/>
              <w:szCs w:val="24"/>
              <w14:ligatures w14:val="standardContextual"/>
            </w:rPr>
            <w:t xml:space="preserve"> </w:t>
          </w:r>
          <w:r w:rsidR="00097D92" w:rsidRPr="00097D92">
            <w:rPr>
              <w:rFonts w:eastAsia="Times New Roman" w:cs="Times New Roman"/>
              <w:sz w:val="24"/>
              <w:szCs w:val="24"/>
              <w:lang w:eastAsia="en-GB"/>
            </w:rPr>
            <w:t>The results show a decline in liquidity between 2023 and 2024. The current ratio has fallen from 1.08:1 to 0.95:1, while the quick ratio has decreased from 0.97:1 to 0.85:1. This indicates that the company has less short-term cover for its liabilities than in the previous year. This may reflect increased short-term obligations or reduced liquid asset availability over the period.</w:t>
          </w:r>
        </w:p>
        <w:p w14:paraId="72CAC6D9" w14:textId="7F5E693A" w:rsidR="00097D92" w:rsidRPr="00097D92" w:rsidRDefault="00E6248E" w:rsidP="00B8034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I</w:t>
          </w:r>
          <w:r w:rsidR="00097D92" w:rsidRPr="00097D92">
            <w:rPr>
              <w:rFonts w:eastAsia="Times New Roman" w:cs="Times New Roman"/>
              <w:sz w:val="24"/>
              <w:szCs w:val="24"/>
              <w:lang w:eastAsia="en-GB"/>
            </w:rPr>
            <w:t xml:space="preserve">n the case of BAE Systems, liquidity needs to be considered in the context of long-term government contracts and project-based cash flows. As reflected in the company’s </w:t>
          </w:r>
          <w:r w:rsidR="00097D92" w:rsidRPr="00097D92">
            <w:rPr>
              <w:rFonts w:eastAsia="Times New Roman" w:cs="Times New Roman"/>
              <w:sz w:val="24"/>
              <w:szCs w:val="24"/>
              <w:lang w:eastAsia="en-GB"/>
            </w:rPr>
            <w:lastRenderedPageBreak/>
            <w:t>financial statements (BAE Systems, 2024; BAE Systems, 2023), this means that a lower current or quick ratio does not necessarily indicate financial weakness but may instead reflect the structure of how the business operates.</w:t>
          </w:r>
        </w:p>
        <w:p w14:paraId="683B67A5"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A similar pattern can be seen in organisations such as Lockheed Martin, where structured contract income reduces the level of risk typically associated with lower liquidity (OECD, 2024; UK Ministry of Defence, 2023).</w:t>
          </w:r>
        </w:p>
        <w:p w14:paraId="4A0405AC" w14:textId="25DE69F4"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 xml:space="preserve">The quick ratio provides a more conservative measure of liquidity by excluding inventory, which is particularly relevant in this context. As previously discussed, inventory within BAE Systems largely consists of work-in-progress rather than easily liquidated assets, meaning it may not be readily available to meet short-term obligations. This makes the quick ratio a more meaningful indicator of liquidity in comparison to the current ratio. </w:t>
          </w:r>
          <w:r w:rsidR="00231498">
            <w:rPr>
              <w:rFonts w:eastAsia="Times New Roman" w:cs="Times New Roman"/>
              <w:sz w:val="24"/>
              <w:szCs w:val="24"/>
              <w:lang w:eastAsia="en-GB"/>
            </w:rPr>
            <w:t>E</w:t>
          </w:r>
          <w:r w:rsidRPr="00097D92">
            <w:rPr>
              <w:rFonts w:eastAsia="Times New Roman" w:cs="Times New Roman"/>
              <w:sz w:val="24"/>
              <w:szCs w:val="24"/>
              <w:lang w:eastAsia="en-GB"/>
            </w:rPr>
            <w:t>ven this measure should be interpreted with caution, as the timing of contract payments can still influence short-term cash availability.</w:t>
          </w:r>
        </w:p>
        <w:p w14:paraId="175A846F"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The liquidity position of BAE Systems therefore appears slightly weaker than the previous year, although this should be considered alongside how the business operates. Traditional liquidity ratios provide some insight into short-term financial health, but they do not fully capture the impact of long-term contracts and structured cash flows. This indicates that liquidity should be assessed in combination with an understanding of cash flow patterns, rather than relying solely on ratio analysis (OECD, 2024; UK Ministry of Defence, 2023).</w:t>
          </w:r>
        </w:p>
        <w:p w14:paraId="06974DDA"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This highlights the importance of considering not only the level of liquidity, but also the timing and reliability of cash inflows. In this case, the structured nature of contract payments may reduce some of the risk typically associated with lower liquidity ratios, although it still suggests that careful cash flow management will be important going forward.</w:t>
          </w:r>
        </w:p>
        <w:p w14:paraId="75924828" w14:textId="690D2C6A"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 xml:space="preserve">Gearing </w:t>
          </w:r>
        </w:p>
        <w:p w14:paraId="07E72DEE" w14:textId="01DE856D" w:rsidR="00097D92" w:rsidRPr="006D632E" w:rsidRDefault="006D632E" w:rsidP="006D632E">
          <w:pPr>
            <w:spacing w:line="360" w:lineRule="auto"/>
            <w:rPr>
              <w:kern w:val="2"/>
              <w:sz w:val="24"/>
              <w:szCs w:val="24"/>
              <w14:ligatures w14:val="standardContextual"/>
            </w:rPr>
          </w:pPr>
          <w:r w:rsidRPr="006D632E">
            <w:rPr>
              <w:kern w:val="2"/>
              <w:sz w:val="24"/>
              <w:szCs w:val="24"/>
              <w14:ligatures w14:val="standardContextual"/>
            </w:rPr>
            <w:t xml:space="preserve">Gearing considers the balance between debt and equity, helping assess financial risk and supporting decisions around financing structure and borrowing levels (Brealey et </w:t>
          </w:r>
          <w:r w:rsidRPr="006D632E">
            <w:rPr>
              <w:kern w:val="2"/>
              <w:sz w:val="24"/>
              <w:szCs w:val="24"/>
              <w14:ligatures w14:val="standardContextual"/>
            </w:rPr>
            <w:lastRenderedPageBreak/>
            <w:t>al., 2023; Berk and DeMarzo, 2020).</w:t>
          </w:r>
          <w:r>
            <w:rPr>
              <w:kern w:val="2"/>
              <w:sz w:val="24"/>
              <w:szCs w:val="24"/>
              <w14:ligatures w14:val="standardContextual"/>
            </w:rPr>
            <w:t xml:space="preserve"> </w:t>
          </w:r>
          <w:r w:rsidR="00097D92" w:rsidRPr="00097D92">
            <w:rPr>
              <w:rFonts w:eastAsia="Times New Roman" w:cs="Times New Roman"/>
              <w:sz w:val="24"/>
              <w:szCs w:val="24"/>
              <w:lang w:eastAsia="en-GB"/>
            </w:rPr>
            <w:t xml:space="preserve">The results indicate a clear increase in gearing between 2023 and 2024. The loan to capital employed ratio rose from 24.2% to 32.6%, while the loan to net assets ratio increased more significantly from 47.7% to 71.4%. This </w:t>
          </w:r>
          <w:r w:rsidR="00901188">
            <w:rPr>
              <w:rFonts w:eastAsia="Times New Roman" w:cs="Times New Roman"/>
              <w:sz w:val="24"/>
              <w:szCs w:val="24"/>
              <w:lang w:eastAsia="en-GB"/>
            </w:rPr>
            <w:t>means</w:t>
          </w:r>
          <w:r w:rsidR="00097D92" w:rsidRPr="00097D92">
            <w:rPr>
              <w:rFonts w:eastAsia="Times New Roman" w:cs="Times New Roman"/>
              <w:sz w:val="24"/>
              <w:szCs w:val="24"/>
              <w:lang w:eastAsia="en-GB"/>
            </w:rPr>
            <w:t xml:space="preserve"> that the company has become more reliant on debt financing over the period. This may reflect ongoing investment or expansion within the defence sector, where large-scale projects often require significant upfront capital (PwC, 2024b; Deloitte, 2024a). However, it also highlights a higher level of financial risk, as a greater proportion of funding is now derived from borrowing rather than internal sources.</w:t>
          </w:r>
        </w:p>
        <w:p w14:paraId="4AD9BFA1"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A similar reliance on external financing can be seen in organisations such as Lockheed Martin, where borrowing is used to support large-scale investment (Lockheed Martin, 2024).</w:t>
          </w:r>
        </w:p>
        <w:p w14:paraId="1E9957DC"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The interest cover ratio has declined from 6.14 times in 2023 to 5.50 times in 2024, which indicates that although the company remains able to meet its interest obligations, the margin of safety has reduced slightly. When considered alongside the increase in borrowing, this could indicate that financial pressure may increase if operating profits do not continue to grow at a similar rate (Arnold, 2022; Brealey, Myers and Allen, 2023).</w:t>
          </w:r>
        </w:p>
        <w:p w14:paraId="7BCC5AA0"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This also raises questions around how sustainable the current level of borrowing may be over the longer term, particularly if external conditions such as interest rates or government spending were to change. While the current position remains manageable, continued increases in gearing without corresponding growth in profitability could place additional pressure on financial performance.</w:t>
          </w:r>
        </w:p>
        <w:p w14:paraId="69BDA5CE" w14:textId="076AE400"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 xml:space="preserve">When these findings are considered alongside the earlier liquidity analysis, it becomes clearer that the company is moving towards a more leveraged position. The decline in both current and quick ratios suggests reduced short-term flexibility, while the increase in gearing reflects a growing reliance on external finance. Taken together, this may indicate a gradual shift in the overall financial structure. This could increase exposure to financial risk, particularly in relation to cash flow timing and reliance on contract payments within the defence sector (IMF, 2023; World Bank, 2024a). </w:t>
          </w:r>
          <w:r w:rsidR="00312779">
            <w:rPr>
              <w:rFonts w:eastAsia="Times New Roman" w:cs="Times New Roman"/>
              <w:sz w:val="24"/>
              <w:szCs w:val="24"/>
              <w:lang w:eastAsia="en-GB"/>
            </w:rPr>
            <w:t>T</w:t>
          </w:r>
          <w:r w:rsidRPr="00097D92">
            <w:rPr>
              <w:rFonts w:eastAsia="Times New Roman" w:cs="Times New Roman"/>
              <w:sz w:val="24"/>
              <w:szCs w:val="24"/>
              <w:lang w:eastAsia="en-GB"/>
            </w:rPr>
            <w:t>he nature of long-</w:t>
          </w:r>
          <w:r w:rsidRPr="00097D92">
            <w:rPr>
              <w:rFonts w:eastAsia="Times New Roman" w:cs="Times New Roman"/>
              <w:sz w:val="24"/>
              <w:szCs w:val="24"/>
              <w:lang w:eastAsia="en-GB"/>
            </w:rPr>
            <w:lastRenderedPageBreak/>
            <w:t>term government contracts may provide a level of stability that helps offset some of this risk.</w:t>
          </w:r>
        </w:p>
        <w:p w14:paraId="2B8ECF71"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Overall, while BAE Systems remains in a relatively stable financial position, the increase in gearing and the reduction in interest cover suggest that financial risk has increased over the period. This does not suggest immediate concern, but it does highlight the importance of maintaining a balance between debt and equity. It also reinforces the need to interpret gearing alongside liquidity and profitability, rather than in isolation, to gain a more complete understanding of financial performance (Damodaran, 2020; PwC, 2024b).</w:t>
          </w:r>
        </w:p>
        <w:p w14:paraId="20B8E257" w14:textId="77777777"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Investment Performance and Overall Financial Position</w:t>
          </w:r>
        </w:p>
        <w:p w14:paraId="6FCFF799" w14:textId="51AD411D"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 xml:space="preserve">The results show that EPS increased from 61.3 pence in 2023 to 64.9 pence in 2024, indicating a modest improvement in shareholder returns. This aligns with the increase in overall profitability, despite the slight decline in profit margins, and suggests that BAE Systems continues to deliver value to investors. This may also reflect continued demand within the defence sector and the stability provided by long-term government contracts, which can support consistent earnings over time (PwC, 2024b; OECD, 2024). </w:t>
          </w:r>
          <w:r w:rsidR="00BF4666">
            <w:rPr>
              <w:rFonts w:eastAsia="Times New Roman" w:cs="Times New Roman"/>
              <w:sz w:val="24"/>
              <w:szCs w:val="24"/>
              <w:lang w:eastAsia="en-GB"/>
            </w:rPr>
            <w:t>T</w:t>
          </w:r>
          <w:r w:rsidRPr="00097D92">
            <w:rPr>
              <w:rFonts w:eastAsia="Times New Roman" w:cs="Times New Roman"/>
              <w:sz w:val="24"/>
              <w:szCs w:val="24"/>
              <w:lang w:eastAsia="en-GB"/>
            </w:rPr>
            <w:t>he increase is relatively small, which may indicate that growth is steady rather than significant.</w:t>
          </w:r>
        </w:p>
        <w:p w14:paraId="185A9A2D" w14:textId="7C92F788"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This could reflect a more cautious financial approach, particularly in an environment where cost pressures and increased borrowing are already evident. It may also indicate that profits are being retained within the business to support ongoing investment, rather than being fully distributed to shareholders.</w:t>
          </w:r>
        </w:p>
        <w:p w14:paraId="66D971E8"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 xml:space="preserve">The analysis of investor ratios is somewhat limited, as dividend cover could not be calculated due to the absence of clearly disclosed ordinary dividend information within the financial statements. The only dividend-related figures available relate to dividends received from equity accounted investments, which are not appropriate for this calculation. As a result, it is not possible to fully assess how profits are being distributed to shareholders. This highlights a limitation of ratio analysis, where the </w:t>
          </w:r>
          <w:r w:rsidRPr="00097D92">
            <w:rPr>
              <w:rFonts w:eastAsia="Times New Roman" w:cs="Times New Roman"/>
              <w:sz w:val="24"/>
              <w:szCs w:val="24"/>
              <w:lang w:eastAsia="en-GB"/>
            </w:rPr>
            <w:lastRenderedPageBreak/>
            <w:t>usefulness of certain measures is dependent on the availability and clarity of financial data (FRC, 2022; IASB, 2020).</w:t>
          </w:r>
        </w:p>
        <w:p w14:paraId="3EF3CF03"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When considered alongside the earlier findings, a clearer picture of BAE Systems’ financial position can be seen. Profitability remains relatively strong, although margins have declined slightly. Efficiency ratios suggest stable performance, although their usefulness is limited by the nature of long-term contracts. Liquidity has weakened, indicating reduced short-term flexibility, while gearing has increased, suggesting a greater reliance on external finance. Despite this, the company continues to demonstrate stable earnings and remains capable of meeting its financial obligations.</w:t>
          </w:r>
        </w:p>
        <w:p w14:paraId="2A5977FD" w14:textId="093DBED1"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 xml:space="preserve">Taking everything into account, BAE Systems appears to be in a relatively stable financial position, supported by consistent demand within the defence sector and long-term contractual arrangements. </w:t>
          </w:r>
          <w:r w:rsidR="00811EA7">
            <w:rPr>
              <w:rFonts w:eastAsia="Times New Roman" w:cs="Times New Roman"/>
              <w:sz w:val="24"/>
              <w:szCs w:val="24"/>
              <w:lang w:eastAsia="en-GB"/>
            </w:rPr>
            <w:t>T</w:t>
          </w:r>
          <w:r w:rsidRPr="00097D92">
            <w:rPr>
              <w:rFonts w:eastAsia="Times New Roman" w:cs="Times New Roman"/>
              <w:sz w:val="24"/>
              <w:szCs w:val="24"/>
              <w:lang w:eastAsia="en-GB"/>
            </w:rPr>
            <w:t>he combination of declining liquidity, increasing gearing and slightly reduced profitability margins suggests that financial pressure may be gradually increasing. This does not indicate immediate concern, but it does highlight the importance of careful financial management going forward. It also reinforces the need to interpret financial performance holistically, rather than relying on individual ratios in isolation, to gain a more balanced understanding of the organisation’s position (Koller et al., 2020; Penman, 2021).</w:t>
          </w:r>
        </w:p>
        <w:p w14:paraId="455CECD7" w14:textId="77777777"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Limitations and Wider Considerations</w:t>
          </w:r>
        </w:p>
        <w:p w14:paraId="18F6DC55"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While the ratio analysis provides a structured way of assessing financial performance, it is important to recognise that these measures are based on historical financial data and therefore may not fully reflect future performance or strategic direction. In the case of BAE Systems, this is particularly relevant given the reliance on long-term government contracts, where revenue streams are often secured over extended periods but may not yet be fully reflected in current financial outcomes. This means that ratios such as profitability and ROCE may underestimate the longer-term value of ongoing projects, particularly where significant upfront investment has already been made (Gowthorpe, 2021; Weetman, 2022).</w:t>
          </w:r>
        </w:p>
        <w:p w14:paraId="516F75C1"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lastRenderedPageBreak/>
            <w:t>In addition, ratio analysis is influenced by accounting policies and reporting practices, which can limit comparability and interpretation. For example, the treatment of contract assets, work-in-progress and revenue recognition within the defence sector may differ from other industries, making direct comparison with standard benchmarks less meaningful (Alexander et al., 2020; Nobes and Parker, 2022). This is particularly relevant when interpreting efficiency and liquidity ratios, where figures may reflect accounting treatment rather than actual operational performance. As a result, financial ratios should be considered alongside qualitative information, such as management commentary and industry context, to provide a more balanced view of performance (ICAEW, 2022a; CFA Institute, 2021).</w:t>
          </w:r>
        </w:p>
        <w:p w14:paraId="3C0554E4"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External factors also play a significant role in shaping financial performance, particularly within the defence industry. Government spending decisions, geopolitical developments and regulatory changes can all influence demand, revenue stability and investment activity (UK Parliament, 2023; SIPRI, 2024). This means that changes in financial ratios may not always reflect internal performance alone but may instead be driven by broader external conditions. For BAE Systems, the relatively stable financial position observed across the analysis may therefore be partly supported by the resilience of the defence sector, rather than purely operational efficiency (Grant, 2021; Hill, 2021).</w:t>
          </w:r>
        </w:p>
        <w:p w14:paraId="33967842" w14:textId="77777777" w:rsidR="00097D92" w:rsidRPr="00097D92" w:rsidRDefault="00097D92" w:rsidP="00B8034A">
          <w:p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sz w:val="24"/>
              <w:szCs w:val="24"/>
              <w:lang w:eastAsia="en-GB"/>
            </w:rPr>
            <w:t>Finally, it is important to recognise that individual ratios do not provide a complete picture when considered in isolation. For example, the increase in gearing may suggest higher financial risk, but when viewed alongside stable profitability and strong interest cover, the overall position appears more balanced. Similarly, weaker liquidity ratios may initially indicate reduced financial flexibility, but this needs to be interpreted in the context of predictable contract-based cash flows. This reinforces the importance of adopting a holistic approach to financial analysis, where multiple measures are considered together to form a more accurate and meaningful assessment of performance (Barker, 2022; ICAEW, 2021).</w:t>
          </w:r>
        </w:p>
        <w:p w14:paraId="2E90561E" w14:textId="77777777" w:rsidR="00097D92" w:rsidRPr="00097D92" w:rsidRDefault="00097D92" w:rsidP="00B8034A">
          <w:pPr>
            <w:spacing w:line="360" w:lineRule="auto"/>
            <w:rPr>
              <w:b/>
              <w:bCs/>
              <w:kern w:val="2"/>
              <w:sz w:val="24"/>
              <w:szCs w:val="24"/>
              <w:lang w:eastAsia="en-GB"/>
              <w14:ligatures w14:val="standardContextual"/>
            </w:rPr>
          </w:pPr>
          <w:r w:rsidRPr="00097D92">
            <w:rPr>
              <w:b/>
              <w:bCs/>
              <w:kern w:val="2"/>
              <w:sz w:val="24"/>
              <w:szCs w:val="24"/>
              <w:lang w:eastAsia="en-GB"/>
              <w14:ligatures w14:val="standardContextual"/>
            </w:rPr>
            <w:t>Recommendations</w:t>
          </w:r>
        </w:p>
        <w:p w14:paraId="72448414" w14:textId="77777777" w:rsidR="00097D92" w:rsidRPr="00097D92" w:rsidRDefault="00097D92" w:rsidP="00B8034A">
          <w:pPr>
            <w:numPr>
              <w:ilvl w:val="0"/>
              <w:numId w:val="5"/>
            </w:num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b/>
              <w:bCs/>
              <w:sz w:val="24"/>
              <w:szCs w:val="24"/>
              <w:lang w:eastAsia="en-GB"/>
            </w:rPr>
            <w:lastRenderedPageBreak/>
            <w:t>Improve cost control and operational efficiency</w:t>
          </w:r>
          <w:r w:rsidRPr="00097D92">
            <w:rPr>
              <w:rFonts w:eastAsia="Times New Roman" w:cs="Times New Roman"/>
              <w:sz w:val="24"/>
              <w:szCs w:val="24"/>
              <w:lang w:eastAsia="en-GB"/>
            </w:rPr>
            <w:br/>
            <w:t xml:space="preserve">The decline in operating profit margin and gross profit margin suggests rising costs are offsetting revenue growth. Greater focus on cost management would help protect profitability and support long-term sustainability (Kaplan and Atkinson, 2022). </w:t>
          </w:r>
        </w:p>
        <w:p w14:paraId="498BE289" w14:textId="77777777" w:rsidR="00097D92" w:rsidRPr="00097D92" w:rsidRDefault="00097D92" w:rsidP="00B8034A">
          <w:pPr>
            <w:numPr>
              <w:ilvl w:val="0"/>
              <w:numId w:val="5"/>
            </w:num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b/>
              <w:bCs/>
              <w:sz w:val="24"/>
              <w:szCs w:val="24"/>
              <w:lang w:eastAsia="en-GB"/>
            </w:rPr>
            <w:t>Strengthen liquidity management</w:t>
          </w:r>
          <w:r w:rsidRPr="00097D92">
            <w:rPr>
              <w:rFonts w:eastAsia="Times New Roman" w:cs="Times New Roman"/>
              <w:sz w:val="24"/>
              <w:szCs w:val="24"/>
              <w:lang w:eastAsia="en-GB"/>
            </w:rPr>
            <w:br/>
            <w:t xml:space="preserve">The reduction in both the current and quick ratios suggests reduced short-term financial flexibility. Improving working capital management would help support stronger liquidity and reduce financial pressure (Richards and Laughlin, 2021). </w:t>
          </w:r>
        </w:p>
        <w:p w14:paraId="167E7192" w14:textId="77777777" w:rsidR="00097D92" w:rsidRPr="00097D92" w:rsidRDefault="00097D92" w:rsidP="00B8034A">
          <w:pPr>
            <w:numPr>
              <w:ilvl w:val="0"/>
              <w:numId w:val="5"/>
            </w:numPr>
            <w:spacing w:before="100" w:beforeAutospacing="1" w:after="100" w:afterAutospacing="1" w:line="360" w:lineRule="auto"/>
            <w:rPr>
              <w:rFonts w:eastAsia="Times New Roman" w:cs="Times New Roman"/>
              <w:sz w:val="24"/>
              <w:szCs w:val="24"/>
              <w:lang w:eastAsia="en-GB"/>
            </w:rPr>
          </w:pPr>
          <w:r w:rsidRPr="00097D92">
            <w:rPr>
              <w:rFonts w:eastAsia="Times New Roman" w:cs="Times New Roman"/>
              <w:b/>
              <w:bCs/>
              <w:sz w:val="24"/>
              <w:szCs w:val="24"/>
              <w:lang w:eastAsia="en-GB"/>
            </w:rPr>
            <w:t>Monitor and manage increasing financial risk</w:t>
          </w:r>
          <w:r w:rsidRPr="00097D92">
            <w:rPr>
              <w:rFonts w:eastAsia="Times New Roman" w:cs="Times New Roman"/>
              <w:sz w:val="24"/>
              <w:szCs w:val="24"/>
              <w:lang w:eastAsia="en-GB"/>
            </w:rPr>
            <w:br/>
            <w:t xml:space="preserve">The rise in gearing and decline in interest cover suggest increasing reliance on debt. Maintaining a balanced capital structure would help limit long-term financial risk (Berk and DeMarzo, 2020). </w:t>
          </w:r>
        </w:p>
        <w:p w14:paraId="7FF39A7A" w14:textId="69CA33F3" w:rsidR="00BF015A" w:rsidRPr="00B8034A" w:rsidRDefault="00097D92" w:rsidP="00B8034A">
          <w:pPr>
            <w:spacing w:line="360" w:lineRule="auto"/>
            <w:rPr>
              <w:rFonts w:eastAsia="Times New Roman" w:cs="Times New Roman"/>
              <w:sz w:val="24"/>
              <w:szCs w:val="24"/>
              <w:lang w:eastAsia="en-GB"/>
            </w:rPr>
          </w:pPr>
          <w:r w:rsidRPr="00B8034A">
            <w:rPr>
              <w:rFonts w:eastAsia="Times New Roman" w:cs="Times New Roman"/>
              <w:sz w:val="24"/>
              <w:szCs w:val="24"/>
              <w:lang w:eastAsia="en-GB"/>
            </w:rPr>
            <w:br w:type="page"/>
          </w:r>
        </w:p>
        <w:p w14:paraId="3F7A43E4" w14:textId="77777777" w:rsidR="00BF015A" w:rsidRPr="00B8034A" w:rsidRDefault="00BF015A" w:rsidP="00B8034A">
          <w:pPr>
            <w:spacing w:line="360" w:lineRule="auto"/>
            <w:rPr>
              <w:sz w:val="24"/>
              <w:szCs w:val="24"/>
            </w:rPr>
          </w:pPr>
        </w:p>
        <w:p w14:paraId="508B482F" w14:textId="3FC45E1E" w:rsidR="00BF015A" w:rsidRPr="00964A51" w:rsidRDefault="00BF015A" w:rsidP="00B8034A">
          <w:pPr>
            <w:pStyle w:val="Heading2"/>
            <w:spacing w:line="360" w:lineRule="auto"/>
            <w:rPr>
              <w:rFonts w:asciiTheme="minorHAnsi" w:hAnsiTheme="minorHAnsi"/>
              <w:sz w:val="28"/>
              <w:szCs w:val="28"/>
            </w:rPr>
          </w:pPr>
          <w:bookmarkStart w:id="4" w:name="_Toc227505322"/>
          <w:r w:rsidRPr="00964A51">
            <w:rPr>
              <w:rFonts w:asciiTheme="minorHAnsi" w:hAnsiTheme="minorHAnsi"/>
              <w:sz w:val="28"/>
              <w:szCs w:val="28"/>
            </w:rPr>
            <w:t>Task 2</w:t>
          </w:r>
          <w:r w:rsidR="00B92A94" w:rsidRPr="00964A51">
            <w:rPr>
              <w:rFonts w:asciiTheme="minorHAnsi" w:hAnsiTheme="minorHAnsi"/>
              <w:sz w:val="28"/>
              <w:szCs w:val="28"/>
            </w:rPr>
            <w:t>- Beard Plc</w:t>
          </w:r>
          <w:bookmarkEnd w:id="4"/>
        </w:p>
        <w:p w14:paraId="2D179875" w14:textId="77777777" w:rsidR="00B92A94" w:rsidRPr="00B8034A" w:rsidRDefault="00B92A94" w:rsidP="00B8034A">
          <w:pPr>
            <w:spacing w:line="360" w:lineRule="auto"/>
            <w:rPr>
              <w:sz w:val="24"/>
              <w:szCs w:val="24"/>
            </w:rPr>
          </w:pPr>
        </w:p>
        <w:p w14:paraId="1D9C13A7" w14:textId="77777777"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Introduction</w:t>
          </w:r>
        </w:p>
        <w:p w14:paraId="07AA9CA7"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Beard Plc is considering three potential expansion options over a four-year period, each requiring a different level of initial investment and expected to generate future cash inflows. The key issue for the board is to determine which option is most likely to create value for the business, while remaining consistent with its financial position and overall strategic direction.</w:t>
          </w:r>
        </w:p>
        <w:p w14:paraId="374861E0"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To support this decision, the three options have been evaluated using the net present value (NPV) technique, applying a cost of capital of 5%. This approach allows future cash flows to be discounted into present value terms, providing a more realistic assessment of their contribution to value and supporting more informed decision-making (Ross et al., 2021; Brigham and Houston, 2021). Alongside this, internal rate of return (IRR) has been used as a supporting measure, with further consideration given to wider financial and strategic factors.</w:t>
          </w:r>
        </w:p>
        <w:p w14:paraId="6EDF927B" w14:textId="77777777"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Net Present Value (NPV) Analysis</w:t>
          </w:r>
        </w:p>
        <w:p w14:paraId="12037D29"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The NPV results for each option are shown below, with full calculations provided in Appendix D.</w:t>
          </w:r>
        </w:p>
        <w:p w14:paraId="2AE546C4"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Option A: +£53,900</w:t>
          </w:r>
          <w:r w:rsidRPr="008130F9">
            <w:rPr>
              <w:rFonts w:eastAsia="Times New Roman" w:cs="Times New Roman"/>
              <w:sz w:val="24"/>
              <w:szCs w:val="24"/>
              <w:lang w:eastAsia="en-GB"/>
            </w:rPr>
            <w:br/>
            <w:t>Option B: +£185,900</w:t>
          </w:r>
          <w:r w:rsidRPr="008130F9">
            <w:rPr>
              <w:rFonts w:eastAsia="Times New Roman" w:cs="Times New Roman"/>
              <w:sz w:val="24"/>
              <w:szCs w:val="24"/>
              <w:lang w:eastAsia="en-GB"/>
            </w:rPr>
            <w:br/>
            <w:t>Option C: +£218,700</w:t>
          </w:r>
        </w:p>
        <w:p w14:paraId="38D8A1DF" w14:textId="2AB7D592"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All three options generate positive NPVs, indicating that each project is expected to add value above the required rate of return. </w:t>
          </w:r>
          <w:r w:rsidR="0025597D">
            <w:rPr>
              <w:rFonts w:eastAsia="Times New Roman" w:cs="Times New Roman"/>
              <w:sz w:val="24"/>
              <w:szCs w:val="24"/>
              <w:lang w:eastAsia="en-GB"/>
            </w:rPr>
            <w:t>T</w:t>
          </w:r>
          <w:r w:rsidRPr="008130F9">
            <w:rPr>
              <w:rFonts w:eastAsia="Times New Roman" w:cs="Times New Roman"/>
              <w:sz w:val="24"/>
              <w:szCs w:val="24"/>
              <w:lang w:eastAsia="en-GB"/>
            </w:rPr>
            <w:t>h</w:t>
          </w:r>
          <w:r w:rsidR="00067909">
            <w:rPr>
              <w:rFonts w:eastAsia="Times New Roman" w:cs="Times New Roman"/>
              <w:sz w:val="24"/>
              <w:szCs w:val="24"/>
              <w:lang w:eastAsia="en-GB"/>
            </w:rPr>
            <w:t>at said, the</w:t>
          </w:r>
          <w:r w:rsidRPr="008130F9">
            <w:rPr>
              <w:rFonts w:eastAsia="Times New Roman" w:cs="Times New Roman"/>
              <w:sz w:val="24"/>
              <w:szCs w:val="24"/>
              <w:lang w:eastAsia="en-GB"/>
            </w:rPr>
            <w:t xml:space="preserve"> scale of value generated differs significantly.</w:t>
          </w:r>
        </w:p>
        <w:p w14:paraId="69C6CB97"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lastRenderedPageBreak/>
            <w:t>Option A produces only a modest surplus once discounted, suggesting that while it is financially acceptable, its overall contribution to value is limited. This may indicate that the project is less effective in generating returns relative to the investment required. Option B generates a substantially higher NPV, reflecting stronger projected cash inflows and improved revenue potential, which may be associated with increased accessibility and scalability through online sales channels.</w:t>
          </w:r>
        </w:p>
        <w:p w14:paraId="0A7D490F" w14:textId="741B168E"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Option C delivers the highest NPV, indicating that it generates the greatest value when the time value of money is considered. </w:t>
          </w:r>
          <w:r w:rsidR="0008516C">
            <w:rPr>
              <w:rFonts w:eastAsia="Times New Roman" w:cs="Times New Roman"/>
              <w:sz w:val="24"/>
              <w:szCs w:val="24"/>
              <w:lang w:eastAsia="en-GB"/>
            </w:rPr>
            <w:t>This shows that</w:t>
          </w:r>
          <w:r w:rsidRPr="008130F9">
            <w:rPr>
              <w:rFonts w:eastAsia="Times New Roman" w:cs="Times New Roman"/>
              <w:sz w:val="24"/>
              <w:szCs w:val="24"/>
              <w:lang w:eastAsia="en-GB"/>
            </w:rPr>
            <w:t xml:space="preserve"> expansion into purses and wallets offers the strongest financial return, potentially supported by diversification and broader product demand.</w:t>
          </w:r>
        </w:p>
        <w:p w14:paraId="036878D4" w14:textId="6B6E2953" w:rsidR="008130F9" w:rsidRPr="008130F9" w:rsidRDefault="005D72C4" w:rsidP="00B8034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Overall</w:t>
          </w:r>
          <w:r w:rsidR="008130F9" w:rsidRPr="008130F9">
            <w:rPr>
              <w:rFonts w:eastAsia="Times New Roman" w:cs="Times New Roman"/>
              <w:sz w:val="24"/>
              <w:szCs w:val="24"/>
              <w:lang w:eastAsia="en-GB"/>
            </w:rPr>
            <w:t>, the results indicate that Option C is the most financially attractive, as it maximises value for the organisation. This is consistent with the principle that investment decisions should prioritise projects which generate the highest positive NPV, as this directly reflects value creation (Damodaran, 2021; ICAEW, 2022b).</w:t>
          </w:r>
        </w:p>
        <w:p w14:paraId="59F00F37" w14:textId="796D320B"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While Option C generates the highest NPV, it is also important to consider the relative scale of investment required to achieve this return. A higher NPV does not necessarily indicate the most efficient use of capital, particularly where financial resources are constrained. This </w:t>
          </w:r>
          <w:r w:rsidR="00E423D9">
            <w:rPr>
              <w:rFonts w:eastAsia="Times New Roman" w:cs="Times New Roman"/>
              <w:sz w:val="24"/>
              <w:szCs w:val="24"/>
              <w:lang w:eastAsia="en-GB"/>
            </w:rPr>
            <w:t>mean</w:t>
          </w:r>
          <w:r w:rsidRPr="008130F9">
            <w:rPr>
              <w:rFonts w:eastAsia="Times New Roman" w:cs="Times New Roman"/>
              <w:sz w:val="24"/>
              <w:szCs w:val="24"/>
              <w:lang w:eastAsia="en-GB"/>
            </w:rPr>
            <w:t>s that although Option C appears attractive in absolute terms, further evaluation is required in relation to how effectively it utilises available funds.</w:t>
          </w:r>
        </w:p>
        <w:p w14:paraId="6984A5A4"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In addition, NPV is dependent on the accuracy of projected cash flows. The estimates used in the analysis assume stable demand, predictable costs and consistent market conditions. In practice, variations in any of these factors could significantly impact the outcome. This means that the results should be interpreted with some caution and supported by additional analysis where possible (Corporate Finance Institute, 2024; Deloitte, 2024a).</w:t>
          </w:r>
        </w:p>
        <w:p w14:paraId="20D37DAA" w14:textId="77777777"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Comparative Evaluation of Options</w:t>
          </w:r>
        </w:p>
        <w:p w14:paraId="6C88AA9D"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While the NPV results clearly favour Option C, a more detailed comparison of the three options provides additional insight into their relative strengths and limitations.</w:t>
          </w:r>
        </w:p>
        <w:p w14:paraId="52062A4B"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lastRenderedPageBreak/>
            <w:t>Option A appears to offer the lowest level of financial return, which may suggest that it is the least attractive from a purely financial perspective. However, it may also involve lower risk due to its smaller scale and potentially simpler implementation. This highlights the trade-off between return and risk, where lower-value projects may still be viable if they align more closely with organisational capabilities.</w:t>
          </w:r>
        </w:p>
        <w:p w14:paraId="51915065"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Option B represents a stronger balance between return and potential risk. The relatively high NPV suggests that it offers a meaningful level of value creation, while its focus on digital expansion may reduce operational complexity compared to physical production. This could make it a more manageable option, particularly if the organisation is seeking gradual growth.</w:t>
          </w:r>
        </w:p>
        <w:p w14:paraId="4EC601AA" w14:textId="57FF1415"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Option C offers the highest return, but this may also be associated with greater uncertainty. Larger investments often involve increased exposure to operational, financial and market-related risks. </w:t>
          </w:r>
          <w:r w:rsidR="002C5D2F">
            <w:rPr>
              <w:rFonts w:eastAsia="Times New Roman" w:cs="Times New Roman"/>
              <w:sz w:val="24"/>
              <w:szCs w:val="24"/>
              <w:lang w:eastAsia="en-GB"/>
            </w:rPr>
            <w:t>W</w:t>
          </w:r>
          <w:r w:rsidRPr="008130F9">
            <w:rPr>
              <w:rFonts w:eastAsia="Times New Roman" w:cs="Times New Roman"/>
              <w:sz w:val="24"/>
              <w:szCs w:val="24"/>
              <w:lang w:eastAsia="en-GB"/>
            </w:rPr>
            <w:t>hile Option C is the most attractive financially, it may also require more careful planning and risk management to ensure that projected returns are achieved.</w:t>
          </w:r>
        </w:p>
        <w:p w14:paraId="1D3AC1D5"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This comparison highlights that while NPV provides a clear ranking of projects, decision-making should also consider the balance between return, risk and feasibility.</w:t>
          </w:r>
        </w:p>
        <w:p w14:paraId="722AD182" w14:textId="77777777"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Internal Rate of Return (IRR)</w:t>
          </w:r>
        </w:p>
        <w:p w14:paraId="6FB44CDA" w14:textId="0288B06A"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To further support the decision, the internal rate of return (IRR) has been estimated for Option C. The IRR represents the discount rate at which the NPV equals zero, </w:t>
          </w:r>
          <w:r w:rsidR="00312300">
            <w:rPr>
              <w:rFonts w:eastAsia="Times New Roman" w:cs="Times New Roman"/>
              <w:sz w:val="24"/>
              <w:szCs w:val="24"/>
              <w:lang w:eastAsia="en-GB"/>
            </w:rPr>
            <w:t>giving</w:t>
          </w:r>
          <w:r w:rsidRPr="008130F9">
            <w:rPr>
              <w:rFonts w:eastAsia="Times New Roman" w:cs="Times New Roman"/>
              <w:sz w:val="24"/>
              <w:szCs w:val="24"/>
              <w:lang w:eastAsia="en-GB"/>
            </w:rPr>
            <w:t xml:space="preserve"> an indication of the project’s overall return.</w:t>
          </w:r>
        </w:p>
        <w:p w14:paraId="72F5454C" w14:textId="30BE7E46"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The IRR for Option C is estimated to be approximately </w:t>
          </w:r>
          <w:r w:rsidR="001810E5">
            <w:rPr>
              <w:rFonts w:eastAsia="Times New Roman" w:cs="Times New Roman"/>
              <w:sz w:val="24"/>
              <w:szCs w:val="24"/>
              <w:lang w:eastAsia="en-GB"/>
            </w:rPr>
            <w:t>18.5</w:t>
          </w:r>
          <w:r w:rsidRPr="008130F9">
            <w:rPr>
              <w:rFonts w:eastAsia="Times New Roman" w:cs="Times New Roman"/>
              <w:sz w:val="24"/>
              <w:szCs w:val="24"/>
              <w:lang w:eastAsia="en-GB"/>
            </w:rPr>
            <w:t xml:space="preserve">%, which remains comfortably above the 5% cost of capital. This </w:t>
          </w:r>
          <w:r w:rsidR="00D26DD2">
            <w:rPr>
              <w:rFonts w:eastAsia="Times New Roman" w:cs="Times New Roman"/>
              <w:sz w:val="24"/>
              <w:szCs w:val="24"/>
              <w:lang w:eastAsia="en-GB"/>
            </w:rPr>
            <w:t>indicate</w:t>
          </w:r>
          <w:r w:rsidRPr="008130F9">
            <w:rPr>
              <w:rFonts w:eastAsia="Times New Roman" w:cs="Times New Roman"/>
              <w:sz w:val="24"/>
              <w:szCs w:val="24"/>
              <w:lang w:eastAsia="en-GB"/>
            </w:rPr>
            <w:t xml:space="preserve">s that the project is expected to generate returns above the minimum required rate, </w:t>
          </w:r>
          <w:r w:rsidR="00186E8F">
            <w:rPr>
              <w:rFonts w:eastAsia="Times New Roman" w:cs="Times New Roman"/>
              <w:sz w:val="24"/>
              <w:szCs w:val="24"/>
              <w:lang w:eastAsia="en-GB"/>
            </w:rPr>
            <w:t>supportin</w:t>
          </w:r>
          <w:r w:rsidRPr="008130F9">
            <w:rPr>
              <w:rFonts w:eastAsia="Times New Roman" w:cs="Times New Roman"/>
              <w:sz w:val="24"/>
              <w:szCs w:val="24"/>
              <w:lang w:eastAsia="en-GB"/>
            </w:rPr>
            <w:t>g its financial attractiveness.</w:t>
          </w:r>
        </w:p>
        <w:p w14:paraId="4670696C" w14:textId="23F308DB" w:rsidR="008130F9" w:rsidRPr="008130F9" w:rsidRDefault="007465A1" w:rsidP="007465A1">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I</w:t>
          </w:r>
          <w:r w:rsidR="008130F9" w:rsidRPr="008130F9">
            <w:rPr>
              <w:rFonts w:eastAsia="Times New Roman" w:cs="Times New Roman"/>
              <w:sz w:val="24"/>
              <w:szCs w:val="24"/>
              <w:lang w:eastAsia="en-GB"/>
            </w:rPr>
            <w:t xml:space="preserve">t is important to recognise that IRR can be sensitive to the timing and pattern of cash flows. Projects with uneven or irregular cash inflows may produce misleading or </w:t>
          </w:r>
          <w:r w:rsidR="008130F9" w:rsidRPr="008130F9">
            <w:rPr>
              <w:rFonts w:eastAsia="Times New Roman" w:cs="Times New Roman"/>
              <w:sz w:val="24"/>
              <w:szCs w:val="24"/>
              <w:lang w:eastAsia="en-GB"/>
            </w:rPr>
            <w:lastRenderedPageBreak/>
            <w:t>inconsistent results, which can limit the reliability of the measure (Zhang, 2023). In addition, IRR does not account for differences in project scale, meaning that a smaller project with a higher IRR may not necessarily generate more value overall.</w:t>
          </w:r>
        </w:p>
        <w:p w14:paraId="618934F7"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This reinforces the view that IRR should be used as a supporting tool rather than a primary decision-making method. When used alongside NPV, it can provide additional insight, but it should not replace a value-based approach to investment appraisal (Graham and Harvey, 2021; ICAEW, 2022b).</w:t>
          </w:r>
        </w:p>
        <w:p w14:paraId="67C1D4AD" w14:textId="441FF244"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Evaluati</w:t>
          </w:r>
          <w:r w:rsidR="00BE5F54">
            <w:rPr>
              <w:b/>
              <w:bCs/>
              <w:kern w:val="2"/>
              <w:sz w:val="24"/>
              <w:szCs w:val="24"/>
              <w:lang w:eastAsia="en-GB"/>
              <w14:ligatures w14:val="standardContextual"/>
            </w:rPr>
            <w:t>on of</w:t>
          </w:r>
          <w:r w:rsidRPr="008130F9">
            <w:rPr>
              <w:b/>
              <w:bCs/>
              <w:kern w:val="2"/>
              <w:sz w:val="24"/>
              <w:szCs w:val="24"/>
              <w:lang w:eastAsia="en-GB"/>
              <w14:ligatures w14:val="standardContextual"/>
            </w:rPr>
            <w:t xml:space="preserve"> </w:t>
          </w:r>
          <w:r w:rsidR="006421B3">
            <w:rPr>
              <w:b/>
              <w:bCs/>
              <w:kern w:val="2"/>
              <w:sz w:val="24"/>
              <w:szCs w:val="24"/>
              <w:lang w:eastAsia="en-GB"/>
              <w14:ligatures w14:val="standardContextual"/>
            </w:rPr>
            <w:t>NPV</w:t>
          </w:r>
          <w:r w:rsidR="0048214B">
            <w:rPr>
              <w:b/>
              <w:bCs/>
              <w:kern w:val="2"/>
              <w:sz w:val="24"/>
              <w:szCs w:val="24"/>
              <w:lang w:eastAsia="en-GB"/>
              <w14:ligatures w14:val="standardContextual"/>
            </w:rPr>
            <w:t xml:space="preserve"> and Alternative Methods</w:t>
          </w:r>
        </w:p>
        <w:p w14:paraId="1208CEBC"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The use of NPV reflects its strong theoretical foundation in financial decision-making. By incorporating the time value of money and considering all projected cash flows, it provides a direct measure of value creation and aligns closely with long-term organisational objectives (Ross et al., 2021; Damodaran, 2021).</w:t>
          </w:r>
        </w:p>
        <w:p w14:paraId="76EFCC9F"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In contrast, non-discounting methods such as payback period continue to be widely used in practice due to their simplicity and ease of interpretation. These methods allow managers to assess how quickly an investment can recover its initial cost, which can be particularly relevant where liquidity is a concern or where future cash flows are uncertain (Bhimani et al., 2022; Drury, 2020).</w:t>
          </w:r>
        </w:p>
        <w:p w14:paraId="6889F728"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However, these methods have significant limitations. They ignore the time value of money and do not consider cash flows beyond the payback period, meaning they may underestimate the value of projects that generate returns over a longer timeframe (Abdel-Kader and Luther, 2021; Watson and Head, 2020).</w:t>
          </w:r>
        </w:p>
        <w:p w14:paraId="0FDB9C11" w14:textId="478D4D7D" w:rsidR="008130F9" w:rsidRPr="008130F9" w:rsidRDefault="00DC3DA0" w:rsidP="00B8034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W</w:t>
          </w:r>
          <w:r w:rsidR="008130F9" w:rsidRPr="008130F9">
            <w:rPr>
              <w:rFonts w:eastAsia="Times New Roman" w:cs="Times New Roman"/>
              <w:sz w:val="24"/>
              <w:szCs w:val="24"/>
              <w:lang w:eastAsia="en-GB"/>
            </w:rPr>
            <w:t>hile non-discounting techniques may provide useful supporting information, they are less suitable for strategic decision-making.</w:t>
          </w:r>
        </w:p>
        <w:p w14:paraId="76FEE62E" w14:textId="4A99690B"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 xml:space="preserve">Limitations of </w:t>
          </w:r>
          <w:r w:rsidR="00FD4F5A">
            <w:rPr>
              <w:b/>
              <w:bCs/>
              <w:kern w:val="2"/>
              <w:sz w:val="24"/>
              <w:szCs w:val="24"/>
              <w:lang w:eastAsia="en-GB"/>
              <w14:ligatures w14:val="standardContextual"/>
            </w:rPr>
            <w:t>NPV and IRR</w:t>
          </w:r>
        </w:p>
        <w:p w14:paraId="2BD160C8"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While NPV and IRR provide a structured approach to decision-making, they are both subject to limitations. A key issue is their reliance on forecasted cash flows, which are </w:t>
          </w:r>
          <w:r w:rsidRPr="008130F9">
            <w:rPr>
              <w:rFonts w:eastAsia="Times New Roman" w:cs="Times New Roman"/>
              <w:sz w:val="24"/>
              <w:szCs w:val="24"/>
              <w:lang w:eastAsia="en-GB"/>
            </w:rPr>
            <w:lastRenderedPageBreak/>
            <w:t>inherently uncertain. Changes in demand, pricing, cost structures or market conditions may result in outcomes that differ significantly from those predicted (Drury, 2020; Abdel-Kader and Luther, 2021).</w:t>
          </w:r>
        </w:p>
        <w:p w14:paraId="1A7AAC0E"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The selection of an appropriate discount rate also introduces subjectivity. Changes in interest rates or the organisation’s cost of capital can significantly influence NPV outcomes, potentially altering the ranking of projects (Damodaran, 2021).</w:t>
          </w:r>
        </w:p>
        <w:p w14:paraId="6F274EEE"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IRR also presents limitations, particularly in relation to reinvestment assumptions and comparability between projects. These issues highlight the importance of using multiple approaches and applying professional judgement when interpreting results.</w:t>
          </w:r>
        </w:p>
        <w:p w14:paraId="520BE2FE" w14:textId="5688703F" w:rsidR="008130F9" w:rsidRPr="008130F9" w:rsidRDefault="00F57CDE" w:rsidP="00B8034A">
          <w:pPr>
            <w:spacing w:line="360" w:lineRule="auto"/>
            <w:rPr>
              <w:b/>
              <w:bCs/>
              <w:kern w:val="2"/>
              <w:sz w:val="24"/>
              <w:szCs w:val="24"/>
              <w:lang w:eastAsia="en-GB"/>
              <w14:ligatures w14:val="standardContextual"/>
            </w:rPr>
          </w:pPr>
          <w:r>
            <w:rPr>
              <w:b/>
              <w:bCs/>
              <w:kern w:val="2"/>
              <w:sz w:val="24"/>
              <w:szCs w:val="24"/>
              <w:lang w:eastAsia="en-GB"/>
              <w14:ligatures w14:val="standardContextual"/>
            </w:rPr>
            <w:t xml:space="preserve">Financial </w:t>
          </w:r>
          <w:r w:rsidR="008130F9" w:rsidRPr="008130F9">
            <w:rPr>
              <w:b/>
              <w:bCs/>
              <w:kern w:val="2"/>
              <w:sz w:val="24"/>
              <w:szCs w:val="24"/>
              <w:lang w:eastAsia="en-GB"/>
              <w14:ligatures w14:val="standardContextual"/>
            </w:rPr>
            <w:t xml:space="preserve">and Strategic </w:t>
          </w:r>
          <w:r>
            <w:rPr>
              <w:b/>
              <w:bCs/>
              <w:kern w:val="2"/>
              <w:sz w:val="24"/>
              <w:szCs w:val="24"/>
              <w:lang w:eastAsia="en-GB"/>
              <w14:ligatures w14:val="standardContextual"/>
            </w:rPr>
            <w:t>Considerations</w:t>
          </w:r>
        </w:p>
        <w:p w14:paraId="2D0FFEB8"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Although the financial analysis identifies a preferred option, investment decisions should not be based solely on quantitative measures.</w:t>
          </w:r>
        </w:p>
        <w:p w14:paraId="59ABA784"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Risk is a key consideration. Option C, while generating the highest return, may also involve greater operational complexity, including increased production requirements, supply chain management and demand uncertainty.</w:t>
          </w:r>
        </w:p>
        <w:p w14:paraId="29466884" w14:textId="53BA1649"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Financial risk must also be considered in terms of variability in outcomes. The projections assume stable conditions, but changes in market demand or economic factors could significantly impact actual returns. </w:t>
          </w:r>
          <w:r w:rsidR="0076454A">
            <w:rPr>
              <w:rFonts w:eastAsia="Times New Roman" w:cs="Times New Roman"/>
              <w:sz w:val="24"/>
              <w:szCs w:val="24"/>
              <w:lang w:eastAsia="en-GB"/>
            </w:rPr>
            <w:t>S</w:t>
          </w:r>
          <w:r w:rsidRPr="008130F9">
            <w:rPr>
              <w:rFonts w:eastAsia="Times New Roman" w:cs="Times New Roman"/>
              <w:sz w:val="24"/>
              <w:szCs w:val="24"/>
              <w:lang w:eastAsia="en-GB"/>
            </w:rPr>
            <w:t>ensitivity analysis would provide valuable insight into the robustness of each option (McKinsey &amp; Company, 2023a).</w:t>
          </w:r>
        </w:p>
        <w:p w14:paraId="0D246992"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From a strategic perspective, Option C offers potential for diversification, which may strengthen long-term competitiveness. However, diversification also introduces additional complexity, requiring new capabilities and investment (Johnson et al., 2020; Grant, 2021).</w:t>
          </w:r>
        </w:p>
        <w:p w14:paraId="48F2C2CE"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Option B may offer a more incremental approach, aligning more closely with existing operations and potentially reducing implementation risk. This highlights the importance of balancing financial return with strategic fit.</w:t>
          </w:r>
        </w:p>
        <w:p w14:paraId="24283E97" w14:textId="4639AAF8"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lastRenderedPageBreak/>
            <w:t>Decision</w:t>
          </w:r>
          <w:r w:rsidR="001B574D">
            <w:rPr>
              <w:b/>
              <w:bCs/>
              <w:kern w:val="2"/>
              <w:sz w:val="24"/>
              <w:szCs w:val="24"/>
              <w:lang w:eastAsia="en-GB"/>
              <w14:ligatures w14:val="standardContextual"/>
            </w:rPr>
            <w:t xml:space="preserve"> </w:t>
          </w:r>
          <w:r w:rsidRPr="008130F9">
            <w:rPr>
              <w:b/>
              <w:bCs/>
              <w:kern w:val="2"/>
              <w:sz w:val="24"/>
              <w:szCs w:val="24"/>
              <w:lang w:eastAsia="en-GB"/>
              <w14:ligatures w14:val="standardContextual"/>
            </w:rPr>
            <w:t>Making Under Uncertainty</w:t>
          </w:r>
        </w:p>
        <w:p w14:paraId="36F5F3F5"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Investment decisions are rarely made under conditions of certainty. The projections used in this analysis assume stable economic and operational conditions, yet in practice, uncertainty is likely to influence outcomes.</w:t>
          </w:r>
        </w:p>
        <w:p w14:paraId="149CD453" w14:textId="4FC4B984"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Projects with higher expected returns, such as Option C, may also carry greater variability. In contrast, lower-return options may offer more predictable outcomes. </w:t>
          </w:r>
          <w:r w:rsidR="00AF6DAD" w:rsidRPr="008130F9">
            <w:rPr>
              <w:rFonts w:eastAsia="Times New Roman" w:cs="Times New Roman"/>
              <w:sz w:val="24"/>
              <w:szCs w:val="24"/>
              <w:lang w:eastAsia="en-GB"/>
            </w:rPr>
            <w:t>Th</w:t>
          </w:r>
          <w:r w:rsidR="00AF6DAD">
            <w:rPr>
              <w:rFonts w:eastAsia="Times New Roman" w:cs="Times New Roman"/>
              <w:sz w:val="24"/>
              <w:szCs w:val="24"/>
              <w:lang w:eastAsia="en-GB"/>
            </w:rPr>
            <w:t>erefore,</w:t>
          </w:r>
          <w:r w:rsidRPr="008130F9">
            <w:rPr>
              <w:rFonts w:eastAsia="Times New Roman" w:cs="Times New Roman"/>
              <w:sz w:val="24"/>
              <w:szCs w:val="24"/>
              <w:lang w:eastAsia="en-GB"/>
            </w:rPr>
            <w:t xml:space="preserve"> the board must consider not only expected value, but also the level of uncertainty associated with each option.</w:t>
          </w:r>
        </w:p>
        <w:p w14:paraId="5F8A3138"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Scenario planning and sensitivity analysis are commonly used to address this, allowing organisations to assess how changes in key variables affect project viability (OECD, 2023; McKinsey &amp; Company, 2023a).</w:t>
          </w:r>
        </w:p>
        <w:p w14:paraId="538F0C9B" w14:textId="315BAE89"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 xml:space="preserve">Capital Rationing and </w:t>
          </w:r>
          <w:r w:rsidR="004A74E1">
            <w:rPr>
              <w:b/>
              <w:bCs/>
              <w:kern w:val="2"/>
              <w:sz w:val="24"/>
              <w:szCs w:val="24"/>
              <w:lang w:eastAsia="en-GB"/>
              <w14:ligatures w14:val="standardContextual"/>
            </w:rPr>
            <w:t>Investment Decisions</w:t>
          </w:r>
        </w:p>
        <w:p w14:paraId="31E3794A"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If Beard Plc is subject to a capital constraint of £1.5 million, it may not be possible to undertake all projects. In this situation, capital rationing becomes a key consideration.</w:t>
          </w:r>
        </w:p>
        <w:p w14:paraId="7EB0E3B2"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Rather than focusing solely on total NPV, it is important to consider the efficiency of investment. This can be assessed using a profitability index, which measures value generated per unit of investment (Brigham and Houston, 2021; PwC, 2024a).</w:t>
          </w:r>
        </w:p>
        <w:p w14:paraId="631C1F5E" w14:textId="516ADCB8"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This approach highlights that a combination of smaller projects may, in some cases, generate greater overall value than a single large investment. As a result, the board should consider both individual project performance and portfolio optimisation.</w:t>
          </w:r>
        </w:p>
        <w:p w14:paraId="48EC5528" w14:textId="77777777"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Financing the Investment</w:t>
          </w:r>
        </w:p>
        <w:p w14:paraId="2D8BAA9C"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The method of financing the investment will have implications for financial risk and flexibility.</w:t>
          </w:r>
        </w:p>
        <w:p w14:paraId="621CFCA9"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lastRenderedPageBreak/>
            <w:t>Retained earnings provide the lowest-risk option, as they avoid additional financial obligations. However, this may limit the scale of investment if internal funds are insufficient (Bhimani et al., 2022).</w:t>
          </w:r>
        </w:p>
        <w:p w14:paraId="0D15BF02"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Debt financing offers a cost-effective alternative, particularly where borrowing costs remain manageable. However, increasing debt levels may place additional pressure on the organisation, particularly if projected cash flows are not realised (Damodaran, 2021; Ross et al., 2021).</w:t>
          </w:r>
        </w:p>
        <w:p w14:paraId="164D5A83"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Equity financing provides access to additional capital without increasing debt but may result in dilution of ownership. This suggests that financing decisions should be aligned with both the organisation’s risk appetite and long-term strategic objectives (OECD, 2023; Ernst &amp; Young, 2023).</w:t>
          </w:r>
        </w:p>
        <w:p w14:paraId="40243E86" w14:textId="77777777" w:rsidR="00C416E3" w:rsidRDefault="008130F9" w:rsidP="00C416E3">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A balanced approach combining internal and external finance is therefore likely to be the most appropriate.</w:t>
          </w:r>
        </w:p>
        <w:p w14:paraId="0AB8D963" w14:textId="0BA30FCC" w:rsidR="008130F9" w:rsidRPr="00C416E3" w:rsidRDefault="008130F9" w:rsidP="00C416E3">
          <w:pPr>
            <w:spacing w:before="100" w:beforeAutospacing="1" w:after="100" w:afterAutospacing="1" w:line="360" w:lineRule="auto"/>
            <w:rPr>
              <w:rFonts w:eastAsia="Times New Roman" w:cs="Times New Roman"/>
              <w:sz w:val="24"/>
              <w:szCs w:val="24"/>
              <w:lang w:eastAsia="en-GB"/>
            </w:rPr>
          </w:pPr>
          <w:r w:rsidRPr="008130F9">
            <w:rPr>
              <w:b/>
              <w:bCs/>
              <w:kern w:val="2"/>
              <w:sz w:val="24"/>
              <w:szCs w:val="24"/>
              <w:lang w:eastAsia="en-GB"/>
              <w14:ligatures w14:val="standardContextual"/>
            </w:rPr>
            <w:t xml:space="preserve"> Financial and Strategic </w:t>
          </w:r>
          <w:r w:rsidR="00C416E3">
            <w:rPr>
              <w:b/>
              <w:bCs/>
              <w:kern w:val="2"/>
              <w:sz w:val="24"/>
              <w:szCs w:val="24"/>
              <w:lang w:eastAsia="en-GB"/>
              <w14:ligatures w14:val="standardContextual"/>
            </w:rPr>
            <w:t>Considerations</w:t>
          </w:r>
        </w:p>
        <w:p w14:paraId="70787418"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While financial appraisal techniques provide a structured basis for evaluating investment options, it is important that the final decision reflects a balance between financial outcomes and strategic priorities. In this case, Option C is clearly the strongest from a numerical perspective. However, the scale of investment and operational requirements suggest that it may also place greater pressure on the organisation in the short term.</w:t>
          </w:r>
        </w:p>
        <w:p w14:paraId="580AA159"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This highlights the need to consider how the investment will be implemented in practice. Factors such as staffing, operational capacity and supply chain capability will all influence whether the projected cash flows can be achieved. If these areas are not sufficiently developed, there is a risk that the financial benefits identified through NPV analysis may not be fully realised.</w:t>
          </w:r>
        </w:p>
        <w:p w14:paraId="2ADCAB13"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 xml:space="preserve">In addition, the decision should consider the organisation’s current financial position and appetite for risk. Where there is uncertainty or limited flexibility, a more gradual </w:t>
          </w:r>
          <w:r w:rsidRPr="008130F9">
            <w:rPr>
              <w:rFonts w:eastAsia="Times New Roman" w:cs="Times New Roman"/>
              <w:sz w:val="24"/>
              <w:szCs w:val="24"/>
              <w:lang w:eastAsia="en-GB"/>
            </w:rPr>
            <w:lastRenderedPageBreak/>
            <w:t>approach to expansion may be more appropriate, even if it generates a lower overall return. This suggests that while financial analysis provides a clear indication of value, it should be used to inform decision-making rather than determine it in isolation.</w:t>
          </w:r>
        </w:p>
        <w:p w14:paraId="6E9BC646"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Taken together, this reinforces the importance of aligning investment decisions with both financial performance and organisational capability, ensuring that the chosen option is not only profitable, but also achievable and sustainable over time.</w:t>
          </w:r>
        </w:p>
        <w:p w14:paraId="69126B7B" w14:textId="77777777" w:rsidR="008130F9" w:rsidRPr="008130F9" w:rsidRDefault="008130F9" w:rsidP="00B8034A">
          <w:pPr>
            <w:spacing w:line="360" w:lineRule="auto"/>
            <w:rPr>
              <w:b/>
              <w:bCs/>
              <w:kern w:val="2"/>
              <w:sz w:val="24"/>
              <w:szCs w:val="24"/>
              <w:lang w:eastAsia="en-GB"/>
              <w14:ligatures w14:val="standardContextual"/>
            </w:rPr>
          </w:pPr>
          <w:r w:rsidRPr="008130F9">
            <w:rPr>
              <w:b/>
              <w:bCs/>
              <w:kern w:val="2"/>
              <w:sz w:val="24"/>
              <w:szCs w:val="24"/>
              <w:lang w:eastAsia="en-GB"/>
              <w14:ligatures w14:val="standardContextual"/>
            </w:rPr>
            <w:t>Recommendation</w:t>
          </w:r>
        </w:p>
        <w:p w14:paraId="02B237DC"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Based on the analysis, Option C is the preferred investment, as it generates the highest NPV and a strong IRR, indicating that it is most likely to create value for the business.</w:t>
          </w:r>
        </w:p>
        <w:p w14:paraId="0A15B529"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However, this recommendation should be approached with some caution. The higher returns associated with this option may also reflect increased levels of risk and operational complexity.</w:t>
          </w:r>
        </w:p>
        <w:p w14:paraId="7DD3AF40" w14:textId="77777777" w:rsidR="008130F9" w:rsidRPr="008130F9" w:rsidRDefault="008130F9" w:rsidP="00B8034A">
          <w:pPr>
            <w:spacing w:before="100" w:beforeAutospacing="1" w:after="100" w:afterAutospacing="1" w:line="360" w:lineRule="auto"/>
            <w:rPr>
              <w:rFonts w:eastAsia="Times New Roman" w:cs="Times New Roman"/>
              <w:sz w:val="24"/>
              <w:szCs w:val="24"/>
              <w:lang w:eastAsia="en-GB"/>
            </w:rPr>
          </w:pPr>
          <w:r w:rsidRPr="008130F9">
            <w:rPr>
              <w:rFonts w:eastAsia="Times New Roman" w:cs="Times New Roman"/>
              <w:sz w:val="24"/>
              <w:szCs w:val="24"/>
              <w:lang w:eastAsia="en-GB"/>
            </w:rPr>
            <w:t>Overall, it is recommended that Beard Plc proceed with Option C, provided that sufficient resources and capabilities are in place. The final decision should balance financial performance with strategic alignment, operational feasibility and risk management to ensure long-term sustainability.</w:t>
          </w:r>
        </w:p>
        <w:p w14:paraId="075F0A3B" w14:textId="77777777" w:rsidR="00B92A94" w:rsidRPr="00B8034A" w:rsidRDefault="00B92A94" w:rsidP="00B8034A">
          <w:pPr>
            <w:spacing w:line="360" w:lineRule="auto"/>
            <w:rPr>
              <w:kern w:val="2"/>
              <w:sz w:val="24"/>
              <w:szCs w:val="24"/>
              <w14:ligatures w14:val="standardContextual"/>
            </w:rPr>
          </w:pPr>
        </w:p>
        <w:p w14:paraId="2FF59018" w14:textId="77777777" w:rsidR="00B92A94" w:rsidRPr="00B8034A" w:rsidRDefault="00B92A94" w:rsidP="00B8034A">
          <w:pPr>
            <w:spacing w:line="360" w:lineRule="auto"/>
            <w:rPr>
              <w:sz w:val="24"/>
              <w:szCs w:val="24"/>
            </w:rPr>
          </w:pPr>
        </w:p>
        <w:p w14:paraId="0A5D226C" w14:textId="77777777" w:rsidR="00BF015A" w:rsidRPr="00B8034A" w:rsidRDefault="00BF015A" w:rsidP="00B8034A">
          <w:pPr>
            <w:pStyle w:val="Heading1"/>
            <w:spacing w:line="360" w:lineRule="auto"/>
            <w:rPr>
              <w:rFonts w:asciiTheme="minorHAnsi" w:hAnsiTheme="minorHAnsi"/>
              <w:sz w:val="24"/>
              <w:szCs w:val="24"/>
            </w:rPr>
          </w:pPr>
        </w:p>
        <w:p w14:paraId="31FE3990" w14:textId="77777777" w:rsidR="00BF015A" w:rsidRPr="00B8034A" w:rsidRDefault="00BF015A" w:rsidP="00B8034A">
          <w:pPr>
            <w:pStyle w:val="Heading1"/>
            <w:spacing w:line="360" w:lineRule="auto"/>
            <w:rPr>
              <w:rFonts w:asciiTheme="minorHAnsi" w:hAnsiTheme="minorHAnsi"/>
              <w:sz w:val="24"/>
              <w:szCs w:val="24"/>
            </w:rPr>
          </w:pPr>
        </w:p>
        <w:p w14:paraId="4B03080A" w14:textId="77777777" w:rsidR="00BF015A" w:rsidRPr="00B8034A" w:rsidRDefault="00BF015A" w:rsidP="00B8034A">
          <w:pPr>
            <w:pStyle w:val="Heading1"/>
            <w:spacing w:line="360" w:lineRule="auto"/>
            <w:rPr>
              <w:rFonts w:asciiTheme="minorHAnsi" w:hAnsiTheme="minorHAnsi"/>
              <w:sz w:val="24"/>
              <w:szCs w:val="24"/>
            </w:rPr>
          </w:pPr>
        </w:p>
        <w:p w14:paraId="4E584811" w14:textId="77777777" w:rsidR="00BF015A" w:rsidRPr="00B8034A" w:rsidRDefault="00BF015A" w:rsidP="00B8034A">
          <w:pPr>
            <w:spacing w:line="360" w:lineRule="auto"/>
            <w:rPr>
              <w:sz w:val="24"/>
              <w:szCs w:val="24"/>
            </w:rPr>
          </w:pPr>
        </w:p>
        <w:p w14:paraId="2BD18540" w14:textId="77777777" w:rsidR="00BF015A" w:rsidRPr="00B8034A" w:rsidRDefault="00BF015A" w:rsidP="00B8034A">
          <w:pPr>
            <w:spacing w:line="360" w:lineRule="auto"/>
            <w:rPr>
              <w:sz w:val="24"/>
              <w:szCs w:val="24"/>
            </w:rPr>
          </w:pPr>
        </w:p>
        <w:p w14:paraId="1FF1B042" w14:textId="77777777" w:rsidR="00BF015A" w:rsidRPr="00B8034A" w:rsidRDefault="00BF015A" w:rsidP="00B8034A">
          <w:pPr>
            <w:spacing w:line="360" w:lineRule="auto"/>
            <w:rPr>
              <w:sz w:val="24"/>
              <w:szCs w:val="24"/>
            </w:rPr>
          </w:pPr>
        </w:p>
        <w:p w14:paraId="16039CCF" w14:textId="3A33C9E2" w:rsidR="00BF015A" w:rsidRPr="00964A51" w:rsidRDefault="00BF015A" w:rsidP="00B8034A">
          <w:pPr>
            <w:pStyle w:val="Heading1"/>
            <w:spacing w:line="360" w:lineRule="auto"/>
            <w:rPr>
              <w:rFonts w:asciiTheme="minorHAnsi" w:hAnsiTheme="minorHAnsi"/>
              <w:sz w:val="28"/>
              <w:szCs w:val="28"/>
            </w:rPr>
          </w:pPr>
          <w:bookmarkStart w:id="5" w:name="_Toc227505323"/>
          <w:r w:rsidRPr="00964A51">
            <w:rPr>
              <w:rFonts w:asciiTheme="minorHAnsi" w:hAnsiTheme="minorHAnsi"/>
              <w:sz w:val="28"/>
              <w:szCs w:val="28"/>
            </w:rPr>
            <w:lastRenderedPageBreak/>
            <w:t>Conclusion</w:t>
          </w:r>
          <w:bookmarkEnd w:id="5"/>
          <w:r w:rsidRPr="00964A51">
            <w:rPr>
              <w:rFonts w:asciiTheme="minorHAnsi" w:hAnsiTheme="minorHAnsi"/>
              <w:sz w:val="28"/>
              <w:szCs w:val="28"/>
            </w:rPr>
            <w:t xml:space="preserve"> </w:t>
          </w:r>
        </w:p>
        <w:p w14:paraId="23A379F5" w14:textId="77777777" w:rsidR="00BF015A" w:rsidRPr="00B8034A" w:rsidRDefault="00BF015A" w:rsidP="00B8034A">
          <w:pPr>
            <w:spacing w:line="360" w:lineRule="auto"/>
            <w:rPr>
              <w:sz w:val="24"/>
              <w:szCs w:val="24"/>
            </w:rPr>
          </w:pPr>
        </w:p>
        <w:p w14:paraId="20ACCFCD" w14:textId="77777777" w:rsidR="009E78D8" w:rsidRPr="009E78D8" w:rsidRDefault="009E78D8" w:rsidP="00B8034A">
          <w:pPr>
            <w:spacing w:line="360" w:lineRule="auto"/>
            <w:rPr>
              <w:kern w:val="2"/>
              <w:sz w:val="24"/>
              <w:szCs w:val="24"/>
              <w14:ligatures w14:val="standardContextual"/>
            </w:rPr>
          </w:pPr>
          <w:r w:rsidRPr="009E78D8">
            <w:rPr>
              <w:kern w:val="2"/>
              <w:sz w:val="24"/>
              <w:szCs w:val="24"/>
              <w14:ligatures w14:val="standardContextual"/>
            </w:rPr>
            <w:t>The analysis across both sections highlights the importance of evaluating financial performance within the context of the organisation and its operating environment, rather than relying on figures alone. In the case of BAE Systems, the overall position appears relatively strong, supported by consistent revenue growth and sustained demand within the global defence sector. However, several underlying trends suggest that financial pressure may be gradually increasing. The decline in profitability margins alongside rising gearing levels indicates that increasing costs and a greater reliance on external finance are beginning to have an impact. While this is not unusual within the defence industry, it does reinforce the importance of maintaining effective cost control and a balanced financial structure over time.</w:t>
          </w:r>
        </w:p>
        <w:p w14:paraId="20ACBFD8" w14:textId="77777777" w:rsidR="009E78D8" w:rsidRPr="009E78D8" w:rsidRDefault="009E78D8" w:rsidP="00B8034A">
          <w:pPr>
            <w:spacing w:line="360" w:lineRule="auto"/>
            <w:rPr>
              <w:kern w:val="2"/>
              <w:sz w:val="24"/>
              <w:szCs w:val="24"/>
              <w14:ligatures w14:val="standardContextual"/>
            </w:rPr>
          </w:pPr>
          <w:r w:rsidRPr="009E78D8">
            <w:rPr>
              <w:kern w:val="2"/>
              <w:sz w:val="24"/>
              <w:szCs w:val="24"/>
              <w14:ligatures w14:val="standardContextual"/>
            </w:rPr>
            <w:t>A key pattern throughout the analysis is the extent to which financial performance is shaped by the nature of the sector. Long-term government contracts, staged cash inflows and significant upfront investment mean that short-term movements do not always reflect the underlying position in a straightforward way. As a result, the financial position of BAE Systems is better understood in terms of stability and long-term contract security, rather than short-term fluctuations. Despite some signs of weakening liquidity and increased financial risk, the organisation remains in a stable position overall, although continued monitoring of cost pressures and borrowing levels will be important going forward.</w:t>
          </w:r>
        </w:p>
        <w:p w14:paraId="1E48892D" w14:textId="35294B25" w:rsidR="009E78D8" w:rsidRPr="009E78D8" w:rsidRDefault="009E78D8" w:rsidP="00B8034A">
          <w:pPr>
            <w:spacing w:line="360" w:lineRule="auto"/>
            <w:rPr>
              <w:kern w:val="2"/>
              <w:sz w:val="24"/>
              <w:szCs w:val="24"/>
              <w14:ligatures w14:val="standardContextual"/>
            </w:rPr>
          </w:pPr>
          <w:r w:rsidRPr="009E78D8">
            <w:rPr>
              <w:kern w:val="2"/>
              <w:sz w:val="24"/>
              <w:szCs w:val="24"/>
              <w14:ligatures w14:val="standardContextual"/>
            </w:rPr>
            <w:t>In contrast, the assessment of Beard Plc focuses on future investment decisions, where the aim is to identify the option most likely to generate value. The findings indicate that Option C provides the strongest outcome, supported by the highest net present value and a favourable internal rate of return. This s</w:t>
          </w:r>
          <w:r w:rsidR="006417A5">
            <w:rPr>
              <w:kern w:val="2"/>
              <w:sz w:val="24"/>
              <w:szCs w:val="24"/>
              <w14:ligatures w14:val="standardContextual"/>
            </w:rPr>
            <w:t>hows</w:t>
          </w:r>
          <w:r w:rsidRPr="009E78D8">
            <w:rPr>
              <w:kern w:val="2"/>
              <w:sz w:val="24"/>
              <w:szCs w:val="24"/>
              <w14:ligatures w14:val="standardContextual"/>
            </w:rPr>
            <w:t xml:space="preserve"> that, from a financial perspective, it offers the greatest potential return. However, higher returns are often associated with increased levels of risk and operational complexity. This means that factors such as implementation capability, market demand and overall strategic fit remain important considerations alongside the financial outcomes.</w:t>
          </w:r>
        </w:p>
        <w:p w14:paraId="5FC356AB" w14:textId="0C1564F1" w:rsidR="009E78D8" w:rsidRPr="009E78D8" w:rsidRDefault="009E78D8" w:rsidP="00B8034A">
          <w:pPr>
            <w:spacing w:line="360" w:lineRule="auto"/>
            <w:rPr>
              <w:kern w:val="2"/>
              <w:sz w:val="24"/>
              <w:szCs w:val="24"/>
              <w14:ligatures w14:val="standardContextual"/>
            </w:rPr>
          </w:pPr>
          <w:r w:rsidRPr="009E78D8">
            <w:rPr>
              <w:kern w:val="2"/>
              <w:sz w:val="24"/>
              <w:szCs w:val="24"/>
              <w14:ligatures w14:val="standardContextual"/>
            </w:rPr>
            <w:lastRenderedPageBreak/>
            <w:t>Strong performance is not determined solely by financial results, but also by how effectively resources are managed, risks are controlled and decisions are aligned with longer-term objectives. This is particularly relevant in sectors where external influences and structural characteristics play a significant role in shaping performance.</w:t>
          </w:r>
        </w:p>
        <w:p w14:paraId="63E0B75C" w14:textId="77777777" w:rsidR="009E78D8" w:rsidRPr="009E78D8" w:rsidRDefault="009E78D8" w:rsidP="00B8034A">
          <w:pPr>
            <w:spacing w:line="360" w:lineRule="auto"/>
            <w:rPr>
              <w:kern w:val="2"/>
              <w:sz w:val="24"/>
              <w:szCs w:val="24"/>
              <w14:ligatures w14:val="standardContextual"/>
            </w:rPr>
          </w:pPr>
          <w:r w:rsidRPr="009E78D8">
            <w:rPr>
              <w:kern w:val="2"/>
              <w:sz w:val="24"/>
              <w:szCs w:val="24"/>
              <w14:ligatures w14:val="standardContextual"/>
            </w:rPr>
            <w:t>Overall, both BAE Systems and Beard Plc demonstrate that financial analysis is most effective when used to support informed and balanced decision-making, ensuring that outcomes remain sustainable and aligned with organisational priorities over time.</w:t>
          </w:r>
        </w:p>
        <w:p w14:paraId="5A87A409" w14:textId="77777777" w:rsidR="009E78D8" w:rsidRPr="00B8034A" w:rsidRDefault="009E78D8" w:rsidP="00B8034A">
          <w:pPr>
            <w:spacing w:line="360" w:lineRule="auto"/>
            <w:rPr>
              <w:sz w:val="24"/>
              <w:szCs w:val="24"/>
            </w:rPr>
          </w:pPr>
        </w:p>
        <w:p w14:paraId="518A6DCA" w14:textId="77777777" w:rsidR="00BF015A" w:rsidRPr="00B8034A" w:rsidRDefault="00BF015A" w:rsidP="00B8034A">
          <w:pPr>
            <w:spacing w:line="360" w:lineRule="auto"/>
            <w:rPr>
              <w:sz w:val="24"/>
              <w:szCs w:val="24"/>
            </w:rPr>
          </w:pPr>
        </w:p>
        <w:p w14:paraId="46A2CAA7" w14:textId="77777777" w:rsidR="00BF015A" w:rsidRPr="00B8034A" w:rsidRDefault="00BF015A" w:rsidP="00B8034A">
          <w:pPr>
            <w:spacing w:line="360" w:lineRule="auto"/>
            <w:rPr>
              <w:sz w:val="24"/>
              <w:szCs w:val="24"/>
            </w:rPr>
          </w:pPr>
        </w:p>
        <w:p w14:paraId="6E455490" w14:textId="77777777" w:rsidR="00BF015A" w:rsidRPr="00B8034A" w:rsidRDefault="00BF015A" w:rsidP="00B8034A">
          <w:pPr>
            <w:spacing w:line="360" w:lineRule="auto"/>
            <w:rPr>
              <w:sz w:val="24"/>
              <w:szCs w:val="24"/>
            </w:rPr>
          </w:pPr>
        </w:p>
        <w:p w14:paraId="74CA07BA" w14:textId="77777777" w:rsidR="00BF015A" w:rsidRPr="00B8034A" w:rsidRDefault="00BF015A" w:rsidP="00B8034A">
          <w:pPr>
            <w:spacing w:line="360" w:lineRule="auto"/>
            <w:rPr>
              <w:sz w:val="24"/>
              <w:szCs w:val="24"/>
            </w:rPr>
          </w:pPr>
        </w:p>
        <w:p w14:paraId="05976EAC" w14:textId="77777777" w:rsidR="00BF015A" w:rsidRPr="00B8034A" w:rsidRDefault="00BF015A" w:rsidP="00B8034A">
          <w:pPr>
            <w:spacing w:line="360" w:lineRule="auto"/>
            <w:rPr>
              <w:sz w:val="24"/>
              <w:szCs w:val="24"/>
            </w:rPr>
          </w:pPr>
        </w:p>
        <w:p w14:paraId="1D7D78F4" w14:textId="77777777" w:rsidR="00BF015A" w:rsidRPr="00B8034A" w:rsidRDefault="00BF015A" w:rsidP="00B8034A">
          <w:pPr>
            <w:spacing w:line="360" w:lineRule="auto"/>
            <w:rPr>
              <w:sz w:val="24"/>
              <w:szCs w:val="24"/>
            </w:rPr>
          </w:pPr>
        </w:p>
        <w:p w14:paraId="7195F284" w14:textId="77777777" w:rsidR="00BF015A" w:rsidRPr="00B8034A" w:rsidRDefault="00BF015A" w:rsidP="00B8034A">
          <w:pPr>
            <w:spacing w:line="360" w:lineRule="auto"/>
            <w:rPr>
              <w:sz w:val="24"/>
              <w:szCs w:val="24"/>
            </w:rPr>
          </w:pPr>
        </w:p>
        <w:p w14:paraId="2085B5E7" w14:textId="77777777" w:rsidR="00BF015A" w:rsidRPr="00B8034A" w:rsidRDefault="00BF015A" w:rsidP="00B8034A">
          <w:pPr>
            <w:spacing w:line="360" w:lineRule="auto"/>
            <w:rPr>
              <w:sz w:val="24"/>
              <w:szCs w:val="24"/>
            </w:rPr>
          </w:pPr>
        </w:p>
        <w:p w14:paraId="44A033D0" w14:textId="77777777" w:rsidR="00BF015A" w:rsidRPr="00B8034A" w:rsidRDefault="00BF015A" w:rsidP="00B8034A">
          <w:pPr>
            <w:spacing w:line="360" w:lineRule="auto"/>
            <w:rPr>
              <w:sz w:val="24"/>
              <w:szCs w:val="24"/>
            </w:rPr>
          </w:pPr>
        </w:p>
        <w:p w14:paraId="50F084AF" w14:textId="77777777" w:rsidR="00BF015A" w:rsidRPr="00B8034A" w:rsidRDefault="00BF015A" w:rsidP="00B8034A">
          <w:pPr>
            <w:spacing w:line="360" w:lineRule="auto"/>
            <w:rPr>
              <w:sz w:val="24"/>
              <w:szCs w:val="24"/>
            </w:rPr>
          </w:pPr>
        </w:p>
        <w:p w14:paraId="361F0A69" w14:textId="77777777" w:rsidR="00BF015A" w:rsidRPr="00B8034A" w:rsidRDefault="00BF015A" w:rsidP="00B8034A">
          <w:pPr>
            <w:spacing w:line="360" w:lineRule="auto"/>
            <w:rPr>
              <w:sz w:val="24"/>
              <w:szCs w:val="24"/>
            </w:rPr>
          </w:pPr>
        </w:p>
        <w:p w14:paraId="155E515D" w14:textId="7FB78659" w:rsidR="00BF015A" w:rsidRPr="00B8034A" w:rsidRDefault="006156A6" w:rsidP="006156A6">
          <w:pPr>
            <w:rPr>
              <w:sz w:val="24"/>
              <w:szCs w:val="24"/>
            </w:rPr>
          </w:pPr>
          <w:r>
            <w:rPr>
              <w:sz w:val="24"/>
              <w:szCs w:val="24"/>
            </w:rPr>
            <w:br w:type="page"/>
          </w:r>
        </w:p>
        <w:p w14:paraId="5E642337" w14:textId="0140AC0B" w:rsidR="00BF015A" w:rsidRPr="00964A51" w:rsidRDefault="00E35C63" w:rsidP="00B8034A">
          <w:pPr>
            <w:pStyle w:val="Heading1"/>
            <w:spacing w:line="360" w:lineRule="auto"/>
            <w:rPr>
              <w:rFonts w:asciiTheme="minorHAnsi" w:hAnsiTheme="minorHAnsi"/>
              <w:sz w:val="28"/>
              <w:szCs w:val="28"/>
            </w:rPr>
          </w:pPr>
          <w:bookmarkStart w:id="6" w:name="_Toc227505324"/>
          <w:r w:rsidRPr="00964A51">
            <w:rPr>
              <w:rFonts w:asciiTheme="minorHAnsi" w:hAnsiTheme="minorHAnsi"/>
              <w:sz w:val="28"/>
              <w:szCs w:val="28"/>
            </w:rPr>
            <w:lastRenderedPageBreak/>
            <w:t>References</w:t>
          </w:r>
          <w:bookmarkEnd w:id="6"/>
        </w:p>
        <w:p w14:paraId="5E07D664"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Abdel-Kader, M. and Luther, R. (2021) </w:t>
          </w:r>
          <w:r w:rsidRPr="005D4D51">
            <w:rPr>
              <w:rFonts w:eastAsia="Times New Roman" w:cs="Times New Roman"/>
              <w:i/>
              <w:iCs/>
              <w:sz w:val="24"/>
              <w:szCs w:val="24"/>
              <w:lang w:eastAsia="en-GB"/>
            </w:rPr>
            <w:t>Management Accounting Practices</w:t>
          </w:r>
          <w:r w:rsidRPr="005D4D51">
            <w:rPr>
              <w:rFonts w:eastAsia="Times New Roman" w:cs="Times New Roman"/>
              <w:sz w:val="24"/>
              <w:szCs w:val="24"/>
              <w:lang w:eastAsia="en-GB"/>
            </w:rPr>
            <w:t>. London: CIMA Publishing.</w:t>
          </w:r>
          <w:r w:rsidRPr="005D4D51">
            <w:rPr>
              <w:rFonts w:eastAsia="Times New Roman" w:cs="Times New Roman"/>
              <w:sz w:val="24"/>
              <w:szCs w:val="24"/>
              <w:lang w:eastAsia="en-GB"/>
            </w:rPr>
            <w:br/>
          </w:r>
        </w:p>
        <w:p w14:paraId="6DB89D02"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ACCA (2022) </w:t>
          </w:r>
          <w:r w:rsidRPr="005D4D51">
            <w:rPr>
              <w:rFonts w:eastAsia="Times New Roman" w:cs="Times New Roman"/>
              <w:i/>
              <w:iCs/>
              <w:sz w:val="24"/>
              <w:szCs w:val="24"/>
              <w:lang w:eastAsia="en-GB"/>
            </w:rPr>
            <w:t>Financial Management Technical Articles</w:t>
          </w:r>
          <w:r w:rsidRPr="005D4D51">
            <w:rPr>
              <w:rFonts w:eastAsia="Times New Roman" w:cs="Times New Roman"/>
              <w:sz w:val="24"/>
              <w:szCs w:val="24"/>
              <w:lang w:eastAsia="en-GB"/>
            </w:rPr>
            <w:t xml:space="preserve">. Available at: </w:t>
          </w:r>
          <w:hyperlink r:id="rId10" w:tgtFrame="_new" w:history="1">
            <w:r w:rsidRPr="005D4D51">
              <w:rPr>
                <w:rFonts w:eastAsia="Times New Roman" w:cs="Times New Roman"/>
                <w:color w:val="0000FF"/>
                <w:sz w:val="24"/>
                <w:szCs w:val="24"/>
                <w:u w:val="single"/>
                <w:lang w:eastAsia="en-GB"/>
              </w:rPr>
              <w:t>https://www.accaglobal.com</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5E6C3808"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ACCA (2023) </w:t>
          </w:r>
          <w:r w:rsidRPr="005D4D51">
            <w:rPr>
              <w:rFonts w:eastAsia="Times New Roman" w:cs="Times New Roman"/>
              <w:i/>
              <w:iCs/>
              <w:sz w:val="24"/>
              <w:szCs w:val="24"/>
              <w:lang w:eastAsia="en-GB"/>
            </w:rPr>
            <w:t>Financial Management and Ratio Analysis Guidance</w:t>
          </w:r>
          <w:r w:rsidRPr="005D4D51">
            <w:rPr>
              <w:rFonts w:eastAsia="Times New Roman" w:cs="Times New Roman"/>
              <w:sz w:val="24"/>
              <w:szCs w:val="24"/>
              <w:lang w:eastAsia="en-GB"/>
            </w:rPr>
            <w:t xml:space="preserve">. Available at: </w:t>
          </w:r>
          <w:hyperlink r:id="rId11" w:tgtFrame="_new" w:history="1">
            <w:r w:rsidRPr="005D4D51">
              <w:rPr>
                <w:rFonts w:eastAsia="Times New Roman" w:cs="Times New Roman"/>
                <w:color w:val="0000FF"/>
                <w:sz w:val="24"/>
                <w:szCs w:val="24"/>
                <w:u w:val="single"/>
                <w:lang w:eastAsia="en-GB"/>
              </w:rPr>
              <w:t>https://www.accaglobal.com</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78AE70BB"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Alexander, D., Britton, A. and Jorissen, A. (2020) </w:t>
          </w:r>
          <w:r w:rsidRPr="005D4D51">
            <w:rPr>
              <w:rFonts w:eastAsia="Times New Roman" w:cs="Times New Roman"/>
              <w:i/>
              <w:iCs/>
              <w:sz w:val="24"/>
              <w:szCs w:val="24"/>
              <w:lang w:eastAsia="en-GB"/>
            </w:rPr>
            <w:t>International Financial Reporting and Analysis</w:t>
          </w:r>
          <w:r w:rsidRPr="005D4D51">
            <w:rPr>
              <w:rFonts w:eastAsia="Times New Roman" w:cs="Times New Roman"/>
              <w:sz w:val="24"/>
              <w:szCs w:val="24"/>
              <w:lang w:eastAsia="en-GB"/>
            </w:rPr>
            <w:t>. 8th edn. London: Cengage Learning.</w:t>
          </w:r>
          <w:r w:rsidRPr="005D4D51">
            <w:rPr>
              <w:rFonts w:eastAsia="Times New Roman" w:cs="Times New Roman"/>
              <w:sz w:val="24"/>
              <w:szCs w:val="24"/>
              <w:lang w:eastAsia="en-GB"/>
            </w:rPr>
            <w:br/>
          </w:r>
        </w:p>
        <w:p w14:paraId="5727B05E" w14:textId="77777777" w:rsidR="00FF4D8C"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Arnold, G. (2022) </w:t>
          </w:r>
          <w:r w:rsidRPr="005D4D51">
            <w:rPr>
              <w:rFonts w:eastAsia="Times New Roman" w:cs="Times New Roman"/>
              <w:i/>
              <w:iCs/>
              <w:sz w:val="24"/>
              <w:szCs w:val="24"/>
              <w:lang w:eastAsia="en-GB"/>
            </w:rPr>
            <w:t>Corporate Financial Management</w:t>
          </w:r>
          <w:r w:rsidRPr="005D4D51">
            <w:rPr>
              <w:rFonts w:eastAsia="Times New Roman" w:cs="Times New Roman"/>
              <w:sz w:val="24"/>
              <w:szCs w:val="24"/>
              <w:lang w:eastAsia="en-GB"/>
            </w:rPr>
            <w:t>. 7th edn. Harlow: Pearson.</w:t>
          </w:r>
          <w:r w:rsidRPr="005D4D51">
            <w:rPr>
              <w:rFonts w:eastAsia="Times New Roman" w:cs="Times New Roman"/>
              <w:sz w:val="24"/>
              <w:szCs w:val="24"/>
              <w:lang w:eastAsia="en-GB"/>
            </w:rPr>
            <w:br/>
          </w:r>
        </w:p>
        <w:p w14:paraId="28A5D87F"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Atrill, P. and McLaney, E. (2022) </w:t>
          </w:r>
          <w:r w:rsidRPr="005D4D51">
            <w:rPr>
              <w:rFonts w:eastAsia="Times New Roman" w:cs="Times New Roman"/>
              <w:i/>
              <w:iCs/>
              <w:sz w:val="24"/>
              <w:szCs w:val="24"/>
              <w:lang w:eastAsia="en-GB"/>
            </w:rPr>
            <w:t>Accounting and Finance for Non-Specialists</w:t>
          </w:r>
          <w:r w:rsidRPr="005D4D51">
            <w:rPr>
              <w:rFonts w:eastAsia="Times New Roman" w:cs="Times New Roman"/>
              <w:sz w:val="24"/>
              <w:szCs w:val="24"/>
              <w:lang w:eastAsia="en-GB"/>
            </w:rPr>
            <w:t>. 12th edn. Harlow: Pearson.</w:t>
          </w:r>
          <w:r w:rsidRPr="005D4D51">
            <w:rPr>
              <w:rFonts w:eastAsia="Times New Roman" w:cs="Times New Roman"/>
              <w:sz w:val="24"/>
              <w:szCs w:val="24"/>
              <w:lang w:eastAsia="en-GB"/>
            </w:rPr>
            <w:br/>
          </w:r>
        </w:p>
        <w:p w14:paraId="7D6F4B83"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BAE Systems (2023) </w:t>
          </w:r>
          <w:r w:rsidRPr="005D4D51">
            <w:rPr>
              <w:rFonts w:eastAsia="Times New Roman" w:cs="Times New Roman"/>
              <w:i/>
              <w:iCs/>
              <w:sz w:val="24"/>
              <w:szCs w:val="24"/>
              <w:lang w:eastAsia="en-GB"/>
            </w:rPr>
            <w:t>Annual Report 2023</w:t>
          </w:r>
          <w:r w:rsidRPr="005D4D51">
            <w:rPr>
              <w:rFonts w:eastAsia="Times New Roman" w:cs="Times New Roman"/>
              <w:sz w:val="24"/>
              <w:szCs w:val="24"/>
              <w:lang w:eastAsia="en-GB"/>
            </w:rPr>
            <w:t xml:space="preserve">. Available at: </w:t>
          </w:r>
          <w:hyperlink r:id="rId12" w:tgtFrame="_new" w:history="1">
            <w:r w:rsidRPr="005D4D51">
              <w:rPr>
                <w:rFonts w:eastAsia="Times New Roman" w:cs="Times New Roman"/>
                <w:color w:val="0000FF"/>
                <w:sz w:val="24"/>
                <w:szCs w:val="24"/>
                <w:u w:val="single"/>
                <w:lang w:eastAsia="en-GB"/>
              </w:rPr>
              <w:t>https://annualreport.baesystems.com/2023</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31B0D674"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BAE Systems (2024) </w:t>
          </w:r>
          <w:r w:rsidRPr="005D4D51">
            <w:rPr>
              <w:rFonts w:eastAsia="Times New Roman" w:cs="Times New Roman"/>
              <w:i/>
              <w:iCs/>
              <w:sz w:val="24"/>
              <w:szCs w:val="24"/>
              <w:lang w:eastAsia="en-GB"/>
            </w:rPr>
            <w:t>Annual Report 2024</w:t>
          </w:r>
          <w:r w:rsidRPr="005D4D51">
            <w:rPr>
              <w:rFonts w:eastAsia="Times New Roman" w:cs="Times New Roman"/>
              <w:sz w:val="24"/>
              <w:szCs w:val="24"/>
              <w:lang w:eastAsia="en-GB"/>
            </w:rPr>
            <w:t xml:space="preserve">. Available at: </w:t>
          </w:r>
          <w:hyperlink r:id="rId13" w:tgtFrame="_new" w:history="1">
            <w:r w:rsidRPr="005D4D51">
              <w:rPr>
                <w:rFonts w:eastAsia="Times New Roman" w:cs="Times New Roman"/>
                <w:color w:val="0000FF"/>
                <w:sz w:val="24"/>
                <w:szCs w:val="24"/>
                <w:u w:val="single"/>
                <w:lang w:eastAsia="en-GB"/>
              </w:rPr>
              <w:t>https://annualreport.baesystems.com/2024</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681FEF56"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lastRenderedPageBreak/>
            <w:t xml:space="preserve">Barker, R. (2022) </w:t>
          </w:r>
          <w:r w:rsidRPr="005D4D51">
            <w:rPr>
              <w:rFonts w:eastAsia="Times New Roman" w:cs="Times New Roman"/>
              <w:i/>
              <w:iCs/>
              <w:sz w:val="24"/>
              <w:szCs w:val="24"/>
              <w:lang w:eastAsia="en-GB"/>
            </w:rPr>
            <w:t>Corporate Financial Reporting: Theory and Practice</w:t>
          </w:r>
          <w:r w:rsidRPr="005D4D51">
            <w:rPr>
              <w:rFonts w:eastAsia="Times New Roman" w:cs="Times New Roman"/>
              <w:sz w:val="24"/>
              <w:szCs w:val="24"/>
              <w:lang w:eastAsia="en-GB"/>
            </w:rPr>
            <w:t>. Oxford: Oxford University Press.</w:t>
          </w:r>
          <w:r w:rsidRPr="005D4D51">
            <w:rPr>
              <w:rFonts w:eastAsia="Times New Roman" w:cs="Times New Roman"/>
              <w:sz w:val="24"/>
              <w:szCs w:val="24"/>
              <w:lang w:eastAsia="en-GB"/>
            </w:rPr>
            <w:br/>
          </w:r>
        </w:p>
        <w:p w14:paraId="2C2DB639" w14:textId="77777777" w:rsidR="00FF4D8C" w:rsidRPr="00C47204"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Berk, J. and DeMarzo, P. (2020) </w:t>
          </w:r>
          <w:r w:rsidRPr="005D4D51">
            <w:rPr>
              <w:rFonts w:eastAsia="Times New Roman" w:cs="Times New Roman"/>
              <w:i/>
              <w:iCs/>
              <w:sz w:val="24"/>
              <w:szCs w:val="24"/>
              <w:lang w:eastAsia="en-GB"/>
            </w:rPr>
            <w:t>Corporate Finance</w:t>
          </w:r>
          <w:r w:rsidRPr="005D4D51">
            <w:rPr>
              <w:rFonts w:eastAsia="Times New Roman" w:cs="Times New Roman"/>
              <w:sz w:val="24"/>
              <w:szCs w:val="24"/>
              <w:lang w:eastAsia="en-GB"/>
            </w:rPr>
            <w:t>. 5th edn. Harlow: Pearson.</w:t>
          </w:r>
          <w:r w:rsidRPr="005D4D51">
            <w:rPr>
              <w:rFonts w:eastAsia="Times New Roman" w:cs="Times New Roman"/>
              <w:sz w:val="24"/>
              <w:szCs w:val="24"/>
              <w:lang w:eastAsia="en-GB"/>
            </w:rPr>
            <w:br/>
          </w:r>
        </w:p>
        <w:p w14:paraId="70B46579"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Bhimani, A., Horngren, C.T., Datar, S.M. and Rajan, M. (2022) </w:t>
          </w:r>
          <w:r w:rsidRPr="005D4D51">
            <w:rPr>
              <w:rFonts w:eastAsia="Times New Roman" w:cs="Times New Roman"/>
              <w:i/>
              <w:iCs/>
              <w:sz w:val="24"/>
              <w:szCs w:val="24"/>
              <w:lang w:eastAsia="en-GB"/>
            </w:rPr>
            <w:t>Management and Cost Accounting</w:t>
          </w:r>
          <w:r w:rsidRPr="005D4D51">
            <w:rPr>
              <w:rFonts w:eastAsia="Times New Roman" w:cs="Times New Roman"/>
              <w:sz w:val="24"/>
              <w:szCs w:val="24"/>
              <w:lang w:eastAsia="en-GB"/>
            </w:rPr>
            <w:t>. 8th edn. Harlow: Pearson.</w:t>
          </w:r>
          <w:r w:rsidRPr="005D4D51">
            <w:rPr>
              <w:rFonts w:eastAsia="Times New Roman" w:cs="Times New Roman"/>
              <w:sz w:val="24"/>
              <w:szCs w:val="24"/>
              <w:lang w:eastAsia="en-GB"/>
            </w:rPr>
            <w:br/>
          </w:r>
        </w:p>
        <w:p w14:paraId="53A5B8B5"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Brealey, R.A., Myers, S.C. and Allen, F. (2023) </w:t>
          </w:r>
          <w:r w:rsidRPr="005D4D51">
            <w:rPr>
              <w:rFonts w:eastAsia="Times New Roman" w:cs="Times New Roman"/>
              <w:i/>
              <w:iCs/>
              <w:sz w:val="24"/>
              <w:szCs w:val="24"/>
              <w:lang w:eastAsia="en-GB"/>
            </w:rPr>
            <w:t>Principles of Corporate Finance</w:t>
          </w:r>
          <w:r w:rsidRPr="005D4D51">
            <w:rPr>
              <w:rFonts w:eastAsia="Times New Roman" w:cs="Times New Roman"/>
              <w:sz w:val="24"/>
              <w:szCs w:val="24"/>
              <w:lang w:eastAsia="en-GB"/>
            </w:rPr>
            <w:t>. 14th edn. New York: McGraw-Hill.</w:t>
          </w:r>
          <w:r w:rsidRPr="005D4D51">
            <w:rPr>
              <w:rFonts w:eastAsia="Times New Roman" w:cs="Times New Roman"/>
              <w:sz w:val="24"/>
              <w:szCs w:val="24"/>
              <w:lang w:eastAsia="en-GB"/>
            </w:rPr>
            <w:br/>
          </w:r>
        </w:p>
        <w:p w14:paraId="17ABEB5F"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Brigham, E.F. and Ehrhardt, M.C. (2020) </w:t>
          </w:r>
          <w:r w:rsidRPr="005D4D51">
            <w:rPr>
              <w:rFonts w:eastAsia="Times New Roman" w:cs="Times New Roman"/>
              <w:i/>
              <w:iCs/>
              <w:sz w:val="24"/>
              <w:szCs w:val="24"/>
              <w:lang w:eastAsia="en-GB"/>
            </w:rPr>
            <w:t>Financial Management: Theory &amp; Practice</w:t>
          </w:r>
          <w:r w:rsidRPr="005D4D51">
            <w:rPr>
              <w:rFonts w:eastAsia="Times New Roman" w:cs="Times New Roman"/>
              <w:sz w:val="24"/>
              <w:szCs w:val="24"/>
              <w:lang w:eastAsia="en-GB"/>
            </w:rPr>
            <w:t>. 16th edn. Boston: Cengage Learning.</w:t>
          </w:r>
          <w:r w:rsidRPr="005D4D51">
            <w:rPr>
              <w:rFonts w:eastAsia="Times New Roman" w:cs="Times New Roman"/>
              <w:sz w:val="24"/>
              <w:szCs w:val="24"/>
              <w:lang w:eastAsia="en-GB"/>
            </w:rPr>
            <w:br/>
          </w:r>
        </w:p>
        <w:p w14:paraId="39715967"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Brigham, E.F. and Houston, J.F. (2021) </w:t>
          </w:r>
          <w:r w:rsidRPr="005D4D51">
            <w:rPr>
              <w:rFonts w:eastAsia="Times New Roman" w:cs="Times New Roman"/>
              <w:i/>
              <w:iCs/>
              <w:sz w:val="24"/>
              <w:szCs w:val="24"/>
              <w:lang w:eastAsia="en-GB"/>
            </w:rPr>
            <w:t>Fundamentals of Financial Management</w:t>
          </w:r>
          <w:r w:rsidRPr="005D4D51">
            <w:rPr>
              <w:rFonts w:eastAsia="Times New Roman" w:cs="Times New Roman"/>
              <w:sz w:val="24"/>
              <w:szCs w:val="24"/>
              <w:lang w:eastAsia="en-GB"/>
            </w:rPr>
            <w:t>. 16th edn. Boston: Cengage Learning.</w:t>
          </w:r>
          <w:r w:rsidRPr="005D4D51">
            <w:rPr>
              <w:rFonts w:eastAsia="Times New Roman" w:cs="Times New Roman"/>
              <w:sz w:val="24"/>
              <w:szCs w:val="24"/>
              <w:lang w:eastAsia="en-GB"/>
            </w:rPr>
            <w:br/>
          </w:r>
        </w:p>
        <w:p w14:paraId="4C7F9F9B"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CFA Institute (2021) </w:t>
          </w:r>
          <w:r w:rsidRPr="005D4D51">
            <w:rPr>
              <w:rFonts w:eastAsia="Times New Roman" w:cs="Times New Roman"/>
              <w:i/>
              <w:iCs/>
              <w:sz w:val="24"/>
              <w:szCs w:val="24"/>
              <w:lang w:eastAsia="en-GB"/>
            </w:rPr>
            <w:t>Financial Reporting and Analysis</w:t>
          </w:r>
          <w:r w:rsidRPr="005D4D51">
            <w:rPr>
              <w:rFonts w:eastAsia="Times New Roman" w:cs="Times New Roman"/>
              <w:sz w:val="24"/>
              <w:szCs w:val="24"/>
              <w:lang w:eastAsia="en-GB"/>
            </w:rPr>
            <w:t>. Charlottesville: CFA Institute.</w:t>
          </w:r>
          <w:r w:rsidRPr="005D4D51">
            <w:rPr>
              <w:rFonts w:eastAsia="Times New Roman" w:cs="Times New Roman"/>
              <w:sz w:val="24"/>
              <w:szCs w:val="24"/>
              <w:lang w:eastAsia="en-GB"/>
            </w:rPr>
            <w:br/>
          </w:r>
        </w:p>
        <w:p w14:paraId="4C12868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Corporate Finance Institute (CFI) (2024) </w:t>
          </w:r>
          <w:r w:rsidRPr="005D4D51">
            <w:rPr>
              <w:rFonts w:eastAsia="Times New Roman" w:cs="Times New Roman"/>
              <w:i/>
              <w:iCs/>
              <w:sz w:val="24"/>
              <w:szCs w:val="24"/>
              <w:lang w:eastAsia="en-GB"/>
            </w:rPr>
            <w:t>Net Present Value (NPV) Guide</w:t>
          </w:r>
          <w:r w:rsidRPr="005D4D51">
            <w:rPr>
              <w:rFonts w:eastAsia="Times New Roman" w:cs="Times New Roman"/>
              <w:sz w:val="24"/>
              <w:szCs w:val="24"/>
              <w:lang w:eastAsia="en-GB"/>
            </w:rPr>
            <w:t xml:space="preserve">. Available at: </w:t>
          </w:r>
          <w:hyperlink r:id="rId14" w:tgtFrame="_new" w:history="1">
            <w:r w:rsidRPr="005D4D51">
              <w:rPr>
                <w:rFonts w:eastAsia="Times New Roman" w:cs="Times New Roman"/>
                <w:color w:val="0000FF"/>
                <w:sz w:val="24"/>
                <w:szCs w:val="24"/>
                <w:u w:val="single"/>
                <w:lang w:eastAsia="en-GB"/>
              </w:rPr>
              <w:t>https://corporatefinanceinstitute.com</w:t>
            </w:r>
          </w:hyperlink>
          <w:r w:rsidRPr="005D4D51">
            <w:rPr>
              <w:rFonts w:eastAsia="Times New Roman" w:cs="Times New Roman"/>
              <w:sz w:val="24"/>
              <w:szCs w:val="24"/>
              <w:lang w:eastAsia="en-GB"/>
            </w:rPr>
            <w:t xml:space="preserve"> (Accessed: 15 April 2026).</w:t>
          </w:r>
          <w:r w:rsidRPr="005D4D51">
            <w:rPr>
              <w:rFonts w:eastAsia="Times New Roman" w:cs="Times New Roman"/>
              <w:sz w:val="24"/>
              <w:szCs w:val="24"/>
              <w:lang w:eastAsia="en-GB"/>
            </w:rPr>
            <w:br/>
          </w:r>
        </w:p>
        <w:p w14:paraId="7DC03538"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Damodaran, A. (2012) </w:t>
          </w:r>
          <w:r w:rsidRPr="005D4D51">
            <w:rPr>
              <w:rFonts w:eastAsia="Times New Roman" w:cs="Times New Roman"/>
              <w:i/>
              <w:iCs/>
              <w:sz w:val="24"/>
              <w:szCs w:val="24"/>
              <w:lang w:eastAsia="en-GB"/>
            </w:rPr>
            <w:t>Investment Valuation: Tools and Techniques for Determining the Value of Any Asset</w:t>
          </w:r>
          <w:r w:rsidRPr="005D4D51">
            <w:rPr>
              <w:rFonts w:eastAsia="Times New Roman" w:cs="Times New Roman"/>
              <w:sz w:val="24"/>
              <w:szCs w:val="24"/>
              <w:lang w:eastAsia="en-GB"/>
            </w:rPr>
            <w:t>. 3rd edn. Hoboken: Wiley.</w:t>
          </w:r>
          <w:r w:rsidRPr="005D4D51">
            <w:rPr>
              <w:rFonts w:eastAsia="Times New Roman" w:cs="Times New Roman"/>
              <w:sz w:val="24"/>
              <w:szCs w:val="24"/>
              <w:lang w:eastAsia="en-GB"/>
            </w:rPr>
            <w:br/>
          </w:r>
        </w:p>
        <w:p w14:paraId="51C6A46C"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lastRenderedPageBreak/>
            <w:t xml:space="preserve">Damodaran, A. (2020) </w:t>
          </w:r>
          <w:r w:rsidRPr="005D4D51">
            <w:rPr>
              <w:rFonts w:eastAsia="Times New Roman" w:cs="Times New Roman"/>
              <w:i/>
              <w:iCs/>
              <w:sz w:val="24"/>
              <w:szCs w:val="24"/>
              <w:lang w:eastAsia="en-GB"/>
            </w:rPr>
            <w:t>Applied Corporate Finance</w:t>
          </w:r>
          <w:r w:rsidRPr="005D4D51">
            <w:rPr>
              <w:rFonts w:eastAsia="Times New Roman" w:cs="Times New Roman"/>
              <w:sz w:val="24"/>
              <w:szCs w:val="24"/>
              <w:lang w:eastAsia="en-GB"/>
            </w:rPr>
            <w:t>. 5th edn. Hoboken: Wiley.</w:t>
          </w:r>
          <w:r w:rsidRPr="005D4D51">
            <w:rPr>
              <w:rFonts w:eastAsia="Times New Roman" w:cs="Times New Roman"/>
              <w:sz w:val="24"/>
              <w:szCs w:val="24"/>
              <w:lang w:eastAsia="en-GB"/>
            </w:rPr>
            <w:br/>
          </w:r>
        </w:p>
        <w:p w14:paraId="4C9E9F78"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Damodaran, A. (2021) </w:t>
          </w:r>
          <w:r w:rsidRPr="005D4D51">
            <w:rPr>
              <w:rFonts w:eastAsia="Times New Roman" w:cs="Times New Roman"/>
              <w:i/>
              <w:iCs/>
              <w:sz w:val="24"/>
              <w:szCs w:val="24"/>
              <w:lang w:eastAsia="en-GB"/>
            </w:rPr>
            <w:t>Corporate Finance: Theory and Practice</w:t>
          </w:r>
          <w:r w:rsidRPr="005D4D51">
            <w:rPr>
              <w:rFonts w:eastAsia="Times New Roman" w:cs="Times New Roman"/>
              <w:sz w:val="24"/>
              <w:szCs w:val="24"/>
              <w:lang w:eastAsia="en-GB"/>
            </w:rPr>
            <w:t>. 4th edn. Hoboken: Wiley.</w:t>
          </w:r>
          <w:r w:rsidRPr="005D4D51">
            <w:rPr>
              <w:rFonts w:eastAsia="Times New Roman" w:cs="Times New Roman"/>
              <w:sz w:val="24"/>
              <w:szCs w:val="24"/>
              <w:lang w:eastAsia="en-GB"/>
            </w:rPr>
            <w:br/>
          </w:r>
        </w:p>
        <w:p w14:paraId="7C58AF6F"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Deloitte (2023) </w:t>
          </w:r>
          <w:r w:rsidRPr="005D4D51">
            <w:rPr>
              <w:rFonts w:eastAsia="Times New Roman" w:cs="Times New Roman"/>
              <w:i/>
              <w:iCs/>
              <w:sz w:val="24"/>
              <w:szCs w:val="24"/>
              <w:lang w:eastAsia="en-GB"/>
            </w:rPr>
            <w:t>Global Aerospace and Defense Industry Outlook</w:t>
          </w:r>
          <w:r w:rsidRPr="005D4D51">
            <w:rPr>
              <w:rFonts w:eastAsia="Times New Roman" w:cs="Times New Roman"/>
              <w:sz w:val="24"/>
              <w:szCs w:val="24"/>
              <w:lang w:eastAsia="en-GB"/>
            </w:rPr>
            <w:t xml:space="preserve">. Available at: </w:t>
          </w:r>
          <w:hyperlink r:id="rId15" w:tgtFrame="_new" w:history="1">
            <w:r w:rsidRPr="005D4D51">
              <w:rPr>
                <w:rFonts w:eastAsia="Times New Roman" w:cs="Times New Roman"/>
                <w:color w:val="0000FF"/>
                <w:sz w:val="24"/>
                <w:szCs w:val="24"/>
                <w:u w:val="single"/>
                <w:lang w:eastAsia="en-GB"/>
              </w:rPr>
              <w:t>https://www2.deloitte.com</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714F244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Deloitte (2024a) </w:t>
          </w:r>
          <w:r w:rsidRPr="005D4D51">
            <w:rPr>
              <w:rFonts w:eastAsia="Times New Roman" w:cs="Times New Roman"/>
              <w:i/>
              <w:iCs/>
              <w:sz w:val="24"/>
              <w:szCs w:val="24"/>
              <w:lang w:eastAsia="en-GB"/>
            </w:rPr>
            <w:t>Investment Appraisal and Capital Budgeting Insights</w:t>
          </w:r>
          <w:r w:rsidRPr="005D4D51">
            <w:rPr>
              <w:rFonts w:eastAsia="Times New Roman" w:cs="Times New Roman"/>
              <w:sz w:val="24"/>
              <w:szCs w:val="24"/>
              <w:lang w:eastAsia="en-GB"/>
            </w:rPr>
            <w:t xml:space="preserve">. Available at: </w:t>
          </w:r>
          <w:hyperlink r:id="rId16" w:tgtFrame="_new" w:history="1">
            <w:r w:rsidRPr="005D4D51">
              <w:rPr>
                <w:rFonts w:eastAsia="Times New Roman" w:cs="Times New Roman"/>
                <w:color w:val="0000FF"/>
                <w:sz w:val="24"/>
                <w:szCs w:val="24"/>
                <w:u w:val="single"/>
                <w:lang w:eastAsia="en-GB"/>
              </w:rPr>
              <w:t>https://www2.deloitte.com</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9</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04302B8A" w14:textId="77777777" w:rsidR="00FF4D8C" w:rsidRPr="00B8034A"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Drury, C. (2020) </w:t>
          </w:r>
          <w:r w:rsidRPr="005D4D51">
            <w:rPr>
              <w:rFonts w:eastAsia="Times New Roman" w:cs="Times New Roman"/>
              <w:i/>
              <w:iCs/>
              <w:sz w:val="24"/>
              <w:szCs w:val="24"/>
              <w:lang w:eastAsia="en-GB"/>
            </w:rPr>
            <w:t>Management Accounting</w:t>
          </w:r>
          <w:r w:rsidRPr="005D4D51">
            <w:rPr>
              <w:rFonts w:eastAsia="Times New Roman" w:cs="Times New Roman"/>
              <w:sz w:val="24"/>
              <w:szCs w:val="24"/>
              <w:lang w:eastAsia="en-GB"/>
            </w:rPr>
            <w:t>. 11th edn. Andover: Cengage Learning.</w:t>
          </w:r>
          <w:r w:rsidRPr="005D4D51">
            <w:rPr>
              <w:rFonts w:eastAsia="Times New Roman" w:cs="Times New Roman"/>
              <w:sz w:val="24"/>
              <w:szCs w:val="24"/>
              <w:lang w:eastAsia="en-GB"/>
            </w:rPr>
            <w:br/>
          </w:r>
        </w:p>
        <w:p w14:paraId="4702FBF7"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Elliott, B. and Elliott, J. (2019) </w:t>
          </w:r>
          <w:r w:rsidRPr="005D4D51">
            <w:rPr>
              <w:rFonts w:eastAsia="Times New Roman" w:cs="Times New Roman"/>
              <w:i/>
              <w:iCs/>
              <w:sz w:val="24"/>
              <w:szCs w:val="24"/>
              <w:lang w:eastAsia="en-GB"/>
            </w:rPr>
            <w:t>Financial Accounting and Reporting</w:t>
          </w:r>
          <w:r w:rsidRPr="005D4D51">
            <w:rPr>
              <w:rFonts w:eastAsia="Times New Roman" w:cs="Times New Roman"/>
              <w:sz w:val="24"/>
              <w:szCs w:val="24"/>
              <w:lang w:eastAsia="en-GB"/>
            </w:rPr>
            <w:t>. 19th edn. Harlow: Pearson.</w:t>
          </w:r>
          <w:r w:rsidRPr="005D4D51">
            <w:rPr>
              <w:rFonts w:eastAsia="Times New Roman" w:cs="Times New Roman"/>
              <w:sz w:val="24"/>
              <w:szCs w:val="24"/>
              <w:lang w:eastAsia="en-GB"/>
            </w:rPr>
            <w:br/>
          </w:r>
        </w:p>
        <w:p w14:paraId="5888FA5C"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Ernst &amp; Young (EY) (2023) </w:t>
          </w:r>
          <w:r w:rsidRPr="005D4D51">
            <w:rPr>
              <w:rFonts w:eastAsia="Times New Roman" w:cs="Times New Roman"/>
              <w:i/>
              <w:iCs/>
              <w:sz w:val="24"/>
              <w:szCs w:val="24"/>
              <w:lang w:eastAsia="en-GB"/>
            </w:rPr>
            <w:t>Capital Allocation and Investment Decision-Making</w:t>
          </w:r>
          <w:r w:rsidRPr="005D4D51">
            <w:rPr>
              <w:rFonts w:eastAsia="Times New Roman" w:cs="Times New Roman"/>
              <w:sz w:val="24"/>
              <w:szCs w:val="24"/>
              <w:lang w:eastAsia="en-GB"/>
            </w:rPr>
            <w:t xml:space="preserve">. Available at: </w:t>
          </w:r>
          <w:hyperlink r:id="rId17" w:tgtFrame="_new" w:history="1">
            <w:r w:rsidRPr="005D4D51">
              <w:rPr>
                <w:rFonts w:eastAsia="Times New Roman" w:cs="Times New Roman"/>
                <w:color w:val="0000FF"/>
                <w:sz w:val="24"/>
                <w:szCs w:val="24"/>
                <w:u w:val="single"/>
                <w:lang w:eastAsia="en-GB"/>
              </w:rPr>
              <w:t>https://www.ey.com</w:t>
            </w:r>
          </w:hyperlink>
          <w:r w:rsidRPr="005D4D51">
            <w:rPr>
              <w:rFonts w:eastAsia="Times New Roman" w:cs="Times New Roman"/>
              <w:sz w:val="24"/>
              <w:szCs w:val="24"/>
              <w:lang w:eastAsia="en-GB"/>
            </w:rPr>
            <w:t xml:space="preserve"> (Accessed: 15 April 2026).</w:t>
          </w:r>
          <w:r w:rsidRPr="005D4D51">
            <w:rPr>
              <w:rFonts w:eastAsia="Times New Roman" w:cs="Times New Roman"/>
              <w:sz w:val="24"/>
              <w:szCs w:val="24"/>
              <w:lang w:eastAsia="en-GB"/>
            </w:rPr>
            <w:br/>
          </w:r>
        </w:p>
        <w:p w14:paraId="19F98E24"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Financial Reporting Council (FRC) (2021) </w:t>
          </w:r>
          <w:r w:rsidRPr="005D4D51">
            <w:rPr>
              <w:rFonts w:eastAsia="Times New Roman" w:cs="Times New Roman"/>
              <w:i/>
              <w:iCs/>
              <w:sz w:val="24"/>
              <w:szCs w:val="24"/>
              <w:lang w:eastAsia="en-GB"/>
            </w:rPr>
            <w:t>Guidance on Corporate Reporting</w:t>
          </w:r>
          <w:r w:rsidRPr="005D4D51">
            <w:rPr>
              <w:rFonts w:eastAsia="Times New Roman" w:cs="Times New Roman"/>
              <w:sz w:val="24"/>
              <w:szCs w:val="24"/>
              <w:lang w:eastAsia="en-GB"/>
            </w:rPr>
            <w:t xml:space="preserve">. Available at: </w:t>
          </w:r>
          <w:hyperlink r:id="rId18" w:tgtFrame="_new" w:history="1">
            <w:r w:rsidRPr="005D4D51">
              <w:rPr>
                <w:rFonts w:eastAsia="Times New Roman" w:cs="Times New Roman"/>
                <w:color w:val="0000FF"/>
                <w:sz w:val="24"/>
                <w:szCs w:val="24"/>
                <w:u w:val="single"/>
                <w:lang w:eastAsia="en-GB"/>
              </w:rPr>
              <w:t>https://www.frc.org.uk</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9</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15CEB214"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Financial Reporting Council (FRC) (2022) </w:t>
          </w:r>
          <w:r w:rsidRPr="005D4D51">
            <w:rPr>
              <w:rFonts w:eastAsia="Times New Roman" w:cs="Times New Roman"/>
              <w:i/>
              <w:iCs/>
              <w:sz w:val="24"/>
              <w:szCs w:val="24"/>
              <w:lang w:eastAsia="en-GB"/>
            </w:rPr>
            <w:t>Corporate Reporting Review</w:t>
          </w:r>
          <w:r w:rsidRPr="005D4D51">
            <w:rPr>
              <w:rFonts w:eastAsia="Times New Roman" w:cs="Times New Roman"/>
              <w:sz w:val="24"/>
              <w:szCs w:val="24"/>
              <w:lang w:eastAsia="en-GB"/>
            </w:rPr>
            <w:t xml:space="preserve">. Available at: </w:t>
          </w:r>
          <w:hyperlink r:id="rId19" w:tgtFrame="_new" w:history="1">
            <w:r w:rsidRPr="005D4D51">
              <w:rPr>
                <w:rFonts w:eastAsia="Times New Roman" w:cs="Times New Roman"/>
                <w:color w:val="0000FF"/>
                <w:sz w:val="24"/>
                <w:szCs w:val="24"/>
                <w:u w:val="single"/>
                <w:lang w:eastAsia="en-GB"/>
              </w:rPr>
              <w:t>https://www.frc.org.uk</w:t>
            </w:r>
          </w:hyperlink>
          <w:r w:rsidRPr="005D4D51">
            <w:rPr>
              <w:rFonts w:eastAsia="Times New Roman" w:cs="Times New Roman"/>
              <w:sz w:val="24"/>
              <w:szCs w:val="24"/>
              <w:lang w:eastAsia="en-GB"/>
            </w:rPr>
            <w:t xml:space="preserve"> (Accessed: 1</w:t>
          </w:r>
          <w:r>
            <w:rPr>
              <w:rFonts w:eastAsia="Times New Roman" w:cs="Times New Roman"/>
              <w:sz w:val="24"/>
              <w:szCs w:val="24"/>
              <w:lang w:eastAsia="en-GB"/>
            </w:rPr>
            <w:t>1</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3592692E"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lastRenderedPageBreak/>
            <w:t xml:space="preserve">Gowthorpe, C. (2021) </w:t>
          </w:r>
          <w:r w:rsidRPr="005D4D51">
            <w:rPr>
              <w:rFonts w:eastAsia="Times New Roman" w:cs="Times New Roman"/>
              <w:i/>
              <w:iCs/>
              <w:sz w:val="24"/>
              <w:szCs w:val="24"/>
              <w:lang w:eastAsia="en-GB"/>
            </w:rPr>
            <w:t>Business Accounting and Finance</w:t>
          </w:r>
          <w:r w:rsidRPr="005D4D51">
            <w:rPr>
              <w:rFonts w:eastAsia="Times New Roman" w:cs="Times New Roman"/>
              <w:sz w:val="24"/>
              <w:szCs w:val="24"/>
              <w:lang w:eastAsia="en-GB"/>
            </w:rPr>
            <w:t>. 5th edn. London: Cengage Learning.</w:t>
          </w:r>
          <w:r w:rsidRPr="005D4D51">
            <w:rPr>
              <w:rFonts w:eastAsia="Times New Roman" w:cs="Times New Roman"/>
              <w:sz w:val="24"/>
              <w:szCs w:val="24"/>
              <w:lang w:eastAsia="en-GB"/>
            </w:rPr>
            <w:br/>
          </w:r>
        </w:p>
        <w:p w14:paraId="4CD9E13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Graham, J.R. and Harvey, C.R. (2021) ‘Corporate finance practices and capital budgeting’, </w:t>
          </w:r>
          <w:r w:rsidRPr="005D4D51">
            <w:rPr>
              <w:rFonts w:eastAsia="Times New Roman" w:cs="Times New Roman"/>
              <w:i/>
              <w:iCs/>
              <w:sz w:val="24"/>
              <w:szCs w:val="24"/>
              <w:lang w:eastAsia="en-GB"/>
            </w:rPr>
            <w:t>Journal of Applied Corporate Finance</w:t>
          </w:r>
          <w:r w:rsidRPr="005D4D51">
            <w:rPr>
              <w:rFonts w:eastAsia="Times New Roman" w:cs="Times New Roman"/>
              <w:sz w:val="24"/>
              <w:szCs w:val="24"/>
              <w:lang w:eastAsia="en-GB"/>
            </w:rPr>
            <w:t>, 33(1), pp. 8–28.</w:t>
          </w:r>
          <w:r w:rsidRPr="005D4D51">
            <w:rPr>
              <w:rFonts w:eastAsia="Times New Roman" w:cs="Times New Roman"/>
              <w:sz w:val="24"/>
              <w:szCs w:val="24"/>
              <w:lang w:eastAsia="en-GB"/>
            </w:rPr>
            <w:br/>
          </w:r>
        </w:p>
        <w:p w14:paraId="5DA24DE7"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Grant, R.M. (2021) </w:t>
          </w:r>
          <w:r w:rsidRPr="005D4D51">
            <w:rPr>
              <w:rFonts w:eastAsia="Times New Roman" w:cs="Times New Roman"/>
              <w:i/>
              <w:iCs/>
              <w:sz w:val="24"/>
              <w:szCs w:val="24"/>
              <w:lang w:eastAsia="en-GB"/>
            </w:rPr>
            <w:t>Contemporary Strategy Analysis</w:t>
          </w:r>
          <w:r w:rsidRPr="005D4D51">
            <w:rPr>
              <w:rFonts w:eastAsia="Times New Roman" w:cs="Times New Roman"/>
              <w:sz w:val="24"/>
              <w:szCs w:val="24"/>
              <w:lang w:eastAsia="en-GB"/>
            </w:rPr>
            <w:t>. 11th edn. Oxford: Wiley.</w:t>
          </w:r>
          <w:r w:rsidRPr="005D4D51">
            <w:rPr>
              <w:rFonts w:eastAsia="Times New Roman" w:cs="Times New Roman"/>
              <w:sz w:val="24"/>
              <w:szCs w:val="24"/>
              <w:lang w:eastAsia="en-GB"/>
            </w:rPr>
            <w:br/>
          </w:r>
        </w:p>
        <w:p w14:paraId="36937CF9"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Hill, C.W.L. (2021) </w:t>
          </w:r>
          <w:r w:rsidRPr="005D4D51">
            <w:rPr>
              <w:rFonts w:eastAsia="Times New Roman" w:cs="Times New Roman"/>
              <w:i/>
              <w:iCs/>
              <w:sz w:val="24"/>
              <w:szCs w:val="24"/>
              <w:lang w:eastAsia="en-GB"/>
            </w:rPr>
            <w:t>International Business: Competing in the Global Marketplace</w:t>
          </w:r>
          <w:r w:rsidRPr="005D4D51">
            <w:rPr>
              <w:rFonts w:eastAsia="Times New Roman" w:cs="Times New Roman"/>
              <w:sz w:val="24"/>
              <w:szCs w:val="24"/>
              <w:lang w:eastAsia="en-GB"/>
            </w:rPr>
            <w:t>. 13th edn. New York: McGraw-Hill.</w:t>
          </w:r>
          <w:r w:rsidRPr="005D4D51">
            <w:rPr>
              <w:rFonts w:eastAsia="Times New Roman" w:cs="Times New Roman"/>
              <w:sz w:val="24"/>
              <w:szCs w:val="24"/>
              <w:lang w:eastAsia="en-GB"/>
            </w:rPr>
            <w:br/>
          </w:r>
        </w:p>
        <w:p w14:paraId="532E1F11"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Institute of Chartered Accountants in England and Wales (ICAEW) (2021) </w:t>
          </w:r>
          <w:r w:rsidRPr="005D4D51">
            <w:rPr>
              <w:rFonts w:eastAsia="Times New Roman" w:cs="Times New Roman"/>
              <w:i/>
              <w:iCs/>
              <w:sz w:val="24"/>
              <w:szCs w:val="24"/>
              <w:lang w:eastAsia="en-GB"/>
            </w:rPr>
            <w:t>Financial Management Guidance</w:t>
          </w:r>
          <w:r w:rsidRPr="005D4D51">
            <w:rPr>
              <w:rFonts w:eastAsia="Times New Roman" w:cs="Times New Roman"/>
              <w:sz w:val="24"/>
              <w:szCs w:val="24"/>
              <w:lang w:eastAsia="en-GB"/>
            </w:rPr>
            <w:t xml:space="preserve">. Available at: </w:t>
          </w:r>
          <w:hyperlink r:id="rId20" w:tgtFrame="_new" w:history="1">
            <w:r w:rsidRPr="005D4D51">
              <w:rPr>
                <w:rFonts w:eastAsia="Times New Roman" w:cs="Times New Roman"/>
                <w:color w:val="0000FF"/>
                <w:sz w:val="24"/>
                <w:szCs w:val="24"/>
                <w:u w:val="single"/>
                <w:lang w:eastAsia="en-GB"/>
              </w:rPr>
              <w:t>https://www.icaew.com</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2B6ABB60"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Institute of Chartered Accountants in England and Wales (ICAEW) (2022a) </w:t>
          </w:r>
          <w:r w:rsidRPr="005D4D51">
            <w:rPr>
              <w:rFonts w:eastAsia="Times New Roman" w:cs="Times New Roman"/>
              <w:i/>
              <w:iCs/>
              <w:sz w:val="24"/>
              <w:szCs w:val="24"/>
              <w:lang w:eastAsia="en-GB"/>
            </w:rPr>
            <w:t>Business and Finance Insights</w:t>
          </w:r>
          <w:r w:rsidRPr="005D4D51">
            <w:rPr>
              <w:rFonts w:eastAsia="Times New Roman" w:cs="Times New Roman"/>
              <w:sz w:val="24"/>
              <w:szCs w:val="24"/>
              <w:lang w:eastAsia="en-GB"/>
            </w:rPr>
            <w:t xml:space="preserve">. Available at: </w:t>
          </w:r>
          <w:hyperlink r:id="rId21" w:tgtFrame="_new" w:history="1">
            <w:r w:rsidRPr="005D4D51">
              <w:rPr>
                <w:rFonts w:eastAsia="Times New Roman" w:cs="Times New Roman"/>
                <w:color w:val="0000FF"/>
                <w:sz w:val="24"/>
                <w:szCs w:val="24"/>
                <w:u w:val="single"/>
                <w:lang w:eastAsia="en-GB"/>
              </w:rPr>
              <w:t>https://www.icaew.com</w:t>
            </w:r>
          </w:hyperlink>
          <w:r w:rsidRPr="005D4D51">
            <w:rPr>
              <w:rFonts w:eastAsia="Times New Roman" w:cs="Times New Roman"/>
              <w:sz w:val="24"/>
              <w:szCs w:val="24"/>
              <w:lang w:eastAsia="en-GB"/>
            </w:rPr>
            <w:t xml:space="preserve"> (Accessed: 1</w:t>
          </w:r>
          <w:r>
            <w:rPr>
              <w:rFonts w:eastAsia="Times New Roman" w:cs="Times New Roman"/>
              <w:sz w:val="24"/>
              <w:szCs w:val="24"/>
              <w:lang w:eastAsia="en-GB"/>
            </w:rPr>
            <w:t>1</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38A31071"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Institute of Chartered Accountants in England and Wales (ICAEW) (2022b) </w:t>
          </w:r>
          <w:r w:rsidRPr="005D4D51">
            <w:rPr>
              <w:rFonts w:eastAsia="Times New Roman" w:cs="Times New Roman"/>
              <w:i/>
              <w:iCs/>
              <w:sz w:val="24"/>
              <w:szCs w:val="24"/>
              <w:lang w:eastAsia="en-GB"/>
            </w:rPr>
            <w:t>Investment Appraisal Guidance</w:t>
          </w:r>
          <w:r w:rsidRPr="005D4D51">
            <w:rPr>
              <w:rFonts w:eastAsia="Times New Roman" w:cs="Times New Roman"/>
              <w:sz w:val="24"/>
              <w:szCs w:val="24"/>
              <w:lang w:eastAsia="en-GB"/>
            </w:rPr>
            <w:t xml:space="preserve">. Available at: </w:t>
          </w:r>
          <w:hyperlink r:id="rId22" w:tgtFrame="_new" w:history="1">
            <w:r w:rsidRPr="005D4D51">
              <w:rPr>
                <w:rFonts w:eastAsia="Times New Roman" w:cs="Times New Roman"/>
                <w:color w:val="0000FF"/>
                <w:sz w:val="24"/>
                <w:szCs w:val="24"/>
                <w:u w:val="single"/>
                <w:lang w:eastAsia="en-GB"/>
              </w:rPr>
              <w:t>https://www.icaew.com</w:t>
            </w:r>
          </w:hyperlink>
          <w:r w:rsidRPr="005D4D51">
            <w:rPr>
              <w:rFonts w:eastAsia="Times New Roman" w:cs="Times New Roman"/>
              <w:sz w:val="24"/>
              <w:szCs w:val="24"/>
              <w:lang w:eastAsia="en-GB"/>
            </w:rPr>
            <w:t xml:space="preserve"> (Accessed: 15 April 2026).</w:t>
          </w:r>
          <w:r w:rsidRPr="005D4D51">
            <w:rPr>
              <w:rFonts w:eastAsia="Times New Roman" w:cs="Times New Roman"/>
              <w:sz w:val="24"/>
              <w:szCs w:val="24"/>
              <w:lang w:eastAsia="en-GB"/>
            </w:rPr>
            <w:br/>
          </w:r>
        </w:p>
        <w:p w14:paraId="62BA8C3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International Accounting Standards Board (IASB) (2020) </w:t>
          </w:r>
          <w:r w:rsidRPr="005D4D51">
            <w:rPr>
              <w:rFonts w:eastAsia="Times New Roman" w:cs="Times New Roman"/>
              <w:i/>
              <w:iCs/>
              <w:sz w:val="24"/>
              <w:szCs w:val="24"/>
              <w:lang w:eastAsia="en-GB"/>
            </w:rPr>
            <w:t>Conceptual Framework for Financial Reporting</w:t>
          </w:r>
          <w:r w:rsidRPr="005D4D51">
            <w:rPr>
              <w:rFonts w:eastAsia="Times New Roman" w:cs="Times New Roman"/>
              <w:sz w:val="24"/>
              <w:szCs w:val="24"/>
              <w:lang w:eastAsia="en-GB"/>
            </w:rPr>
            <w:t xml:space="preserve">. Available at: </w:t>
          </w:r>
          <w:hyperlink r:id="rId23" w:tgtFrame="_new" w:history="1">
            <w:r w:rsidRPr="005D4D51">
              <w:rPr>
                <w:rFonts w:eastAsia="Times New Roman" w:cs="Times New Roman"/>
                <w:color w:val="0000FF"/>
                <w:sz w:val="24"/>
                <w:szCs w:val="24"/>
                <w:u w:val="single"/>
                <w:lang w:eastAsia="en-GB"/>
              </w:rPr>
              <w:t>https://www.ifrs.org</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29A26A5C"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lastRenderedPageBreak/>
            <w:t xml:space="preserve">International Monetary Fund (IMF) (2023) </w:t>
          </w:r>
          <w:r w:rsidRPr="005D4D51">
            <w:rPr>
              <w:rFonts w:eastAsia="Times New Roman" w:cs="Times New Roman"/>
              <w:i/>
              <w:iCs/>
              <w:sz w:val="24"/>
              <w:szCs w:val="24"/>
              <w:lang w:eastAsia="en-GB"/>
            </w:rPr>
            <w:t>Global Financial Stability Report</w:t>
          </w:r>
          <w:r w:rsidRPr="005D4D51">
            <w:rPr>
              <w:rFonts w:eastAsia="Times New Roman" w:cs="Times New Roman"/>
              <w:sz w:val="24"/>
              <w:szCs w:val="24"/>
              <w:lang w:eastAsia="en-GB"/>
            </w:rPr>
            <w:t xml:space="preserve">. Available at: </w:t>
          </w:r>
          <w:hyperlink r:id="rId24" w:tgtFrame="_new" w:history="1">
            <w:r w:rsidRPr="005D4D51">
              <w:rPr>
                <w:rFonts w:eastAsia="Times New Roman" w:cs="Times New Roman"/>
                <w:color w:val="0000FF"/>
                <w:sz w:val="24"/>
                <w:szCs w:val="24"/>
                <w:u w:val="single"/>
                <w:lang w:eastAsia="en-GB"/>
              </w:rPr>
              <w:t>https://www.imf.org</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56D7045E"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Johnson, G., Whittington, R. and Scholes, K. (2020) </w:t>
          </w:r>
          <w:r w:rsidRPr="005D4D51">
            <w:rPr>
              <w:rFonts w:eastAsia="Times New Roman" w:cs="Times New Roman"/>
              <w:i/>
              <w:iCs/>
              <w:sz w:val="24"/>
              <w:szCs w:val="24"/>
              <w:lang w:eastAsia="en-GB"/>
            </w:rPr>
            <w:t>Exploring Strategy</w:t>
          </w:r>
          <w:r w:rsidRPr="005D4D51">
            <w:rPr>
              <w:rFonts w:eastAsia="Times New Roman" w:cs="Times New Roman"/>
              <w:sz w:val="24"/>
              <w:szCs w:val="24"/>
              <w:lang w:eastAsia="en-GB"/>
            </w:rPr>
            <w:t>. 12th edn. Harlow: Pearson.</w:t>
          </w:r>
          <w:r w:rsidRPr="005D4D51">
            <w:rPr>
              <w:rFonts w:eastAsia="Times New Roman" w:cs="Times New Roman"/>
              <w:sz w:val="24"/>
              <w:szCs w:val="24"/>
              <w:lang w:eastAsia="en-GB"/>
            </w:rPr>
            <w:br/>
          </w:r>
        </w:p>
        <w:p w14:paraId="11CF65C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Kaplan, R.S. and Atkinson, A.A. (2022) </w:t>
          </w:r>
          <w:r w:rsidRPr="005D4D51">
            <w:rPr>
              <w:rFonts w:eastAsia="Times New Roman" w:cs="Times New Roman"/>
              <w:i/>
              <w:iCs/>
              <w:sz w:val="24"/>
              <w:szCs w:val="24"/>
              <w:lang w:eastAsia="en-GB"/>
            </w:rPr>
            <w:t>Advanced Management Accounting</w:t>
          </w:r>
          <w:r w:rsidRPr="005D4D51">
            <w:rPr>
              <w:rFonts w:eastAsia="Times New Roman" w:cs="Times New Roman"/>
              <w:sz w:val="24"/>
              <w:szCs w:val="24"/>
              <w:lang w:eastAsia="en-GB"/>
            </w:rPr>
            <w:t>. 4th edn. Harlow: Pearson.</w:t>
          </w:r>
          <w:r w:rsidRPr="005D4D51">
            <w:rPr>
              <w:rFonts w:eastAsia="Times New Roman" w:cs="Times New Roman"/>
              <w:sz w:val="24"/>
              <w:szCs w:val="24"/>
              <w:lang w:eastAsia="en-GB"/>
            </w:rPr>
            <w:br/>
          </w:r>
        </w:p>
        <w:p w14:paraId="5C80AF7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Koller, T., Goedhart, M. and Wessels, D. (2020) </w:t>
          </w:r>
          <w:r w:rsidRPr="005D4D51">
            <w:rPr>
              <w:rFonts w:eastAsia="Times New Roman" w:cs="Times New Roman"/>
              <w:i/>
              <w:iCs/>
              <w:sz w:val="24"/>
              <w:szCs w:val="24"/>
              <w:lang w:eastAsia="en-GB"/>
            </w:rPr>
            <w:t>Valuation: Measuring and Managing the Value of Companies</w:t>
          </w:r>
          <w:r w:rsidRPr="005D4D51">
            <w:rPr>
              <w:rFonts w:eastAsia="Times New Roman" w:cs="Times New Roman"/>
              <w:sz w:val="24"/>
              <w:szCs w:val="24"/>
              <w:lang w:eastAsia="en-GB"/>
            </w:rPr>
            <w:t>. 7th edn. Hoboken: Wiley.</w:t>
          </w:r>
          <w:r w:rsidRPr="005D4D51">
            <w:rPr>
              <w:rFonts w:eastAsia="Times New Roman" w:cs="Times New Roman"/>
              <w:sz w:val="24"/>
              <w:szCs w:val="24"/>
              <w:lang w:eastAsia="en-GB"/>
            </w:rPr>
            <w:br/>
          </w:r>
        </w:p>
        <w:p w14:paraId="4FD8C4E5"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Lockheed Martin (2024) </w:t>
          </w:r>
          <w:r w:rsidRPr="005D4D51">
            <w:rPr>
              <w:rFonts w:eastAsia="Times New Roman" w:cs="Times New Roman"/>
              <w:i/>
              <w:iCs/>
              <w:sz w:val="24"/>
              <w:szCs w:val="24"/>
              <w:lang w:eastAsia="en-GB"/>
            </w:rPr>
            <w:t>Annual Report 2024</w:t>
          </w:r>
          <w:r w:rsidRPr="005D4D51">
            <w:rPr>
              <w:rFonts w:eastAsia="Times New Roman" w:cs="Times New Roman"/>
              <w:sz w:val="24"/>
              <w:szCs w:val="24"/>
              <w:lang w:eastAsia="en-GB"/>
            </w:rPr>
            <w:t xml:space="preserve">. Available at: </w:t>
          </w:r>
          <w:hyperlink r:id="rId25" w:tgtFrame="_new" w:history="1">
            <w:r w:rsidRPr="005D4D51">
              <w:rPr>
                <w:rFonts w:eastAsia="Times New Roman" w:cs="Times New Roman"/>
                <w:color w:val="0000FF"/>
                <w:sz w:val="24"/>
                <w:szCs w:val="24"/>
                <w:u w:val="single"/>
                <w:lang w:eastAsia="en-GB"/>
              </w:rPr>
              <w:t>https://www.lockheedmartin.com</w:t>
            </w:r>
          </w:hyperlink>
          <w:r w:rsidRPr="005D4D51">
            <w:rPr>
              <w:rFonts w:eastAsia="Times New Roman" w:cs="Times New Roman"/>
              <w:sz w:val="24"/>
              <w:szCs w:val="24"/>
              <w:lang w:eastAsia="en-GB"/>
            </w:rPr>
            <w:t xml:space="preserve"> (Accessed: 1</w:t>
          </w:r>
          <w:r>
            <w:rPr>
              <w:rFonts w:eastAsia="Times New Roman" w:cs="Times New Roman"/>
              <w:sz w:val="24"/>
              <w:szCs w:val="24"/>
              <w:lang w:eastAsia="en-GB"/>
            </w:rPr>
            <w:t>1</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4A065C68"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McKinsey &amp; Company (2022) </w:t>
          </w:r>
          <w:r w:rsidRPr="005D4D51">
            <w:rPr>
              <w:rFonts w:eastAsia="Times New Roman" w:cs="Times New Roman"/>
              <w:i/>
              <w:iCs/>
              <w:sz w:val="24"/>
              <w:szCs w:val="24"/>
              <w:lang w:eastAsia="en-GB"/>
            </w:rPr>
            <w:t>Aerospace and Defence Industry Report</w:t>
          </w:r>
          <w:r w:rsidRPr="005D4D51">
            <w:rPr>
              <w:rFonts w:eastAsia="Times New Roman" w:cs="Times New Roman"/>
              <w:sz w:val="24"/>
              <w:szCs w:val="24"/>
              <w:lang w:eastAsia="en-GB"/>
            </w:rPr>
            <w:t xml:space="preserve">. Available at: </w:t>
          </w:r>
          <w:hyperlink r:id="rId26" w:tgtFrame="_new" w:history="1">
            <w:r w:rsidRPr="005D4D51">
              <w:rPr>
                <w:rFonts w:eastAsia="Times New Roman" w:cs="Times New Roman"/>
                <w:color w:val="0000FF"/>
                <w:sz w:val="24"/>
                <w:szCs w:val="24"/>
                <w:u w:val="single"/>
                <w:lang w:eastAsia="en-GB"/>
              </w:rPr>
              <w:t>https://www.mckinsey.com</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7113EC1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McKinsey &amp; Company (2023a) </w:t>
          </w:r>
          <w:r w:rsidRPr="005D4D51">
            <w:rPr>
              <w:rFonts w:eastAsia="Times New Roman" w:cs="Times New Roman"/>
              <w:i/>
              <w:iCs/>
              <w:sz w:val="24"/>
              <w:szCs w:val="24"/>
              <w:lang w:eastAsia="en-GB"/>
            </w:rPr>
            <w:t>Capital Allocation Strategies in Uncertain Markets</w:t>
          </w:r>
          <w:r w:rsidRPr="005D4D51">
            <w:rPr>
              <w:rFonts w:eastAsia="Times New Roman" w:cs="Times New Roman"/>
              <w:sz w:val="24"/>
              <w:szCs w:val="24"/>
              <w:lang w:eastAsia="en-GB"/>
            </w:rPr>
            <w:t xml:space="preserve">. Available at: </w:t>
          </w:r>
          <w:hyperlink r:id="rId27" w:tgtFrame="_new" w:history="1">
            <w:r w:rsidRPr="005D4D51">
              <w:rPr>
                <w:rFonts w:eastAsia="Times New Roman" w:cs="Times New Roman"/>
                <w:color w:val="0000FF"/>
                <w:sz w:val="24"/>
                <w:szCs w:val="24"/>
                <w:u w:val="single"/>
                <w:lang w:eastAsia="en-GB"/>
              </w:rPr>
              <w:t>https://www.mckinsey.com</w:t>
            </w:r>
          </w:hyperlink>
          <w:r w:rsidRPr="005D4D51">
            <w:rPr>
              <w:rFonts w:eastAsia="Times New Roman" w:cs="Times New Roman"/>
              <w:sz w:val="24"/>
              <w:szCs w:val="24"/>
              <w:lang w:eastAsia="en-GB"/>
            </w:rPr>
            <w:t xml:space="preserve"> (Accessed: 15 April 2026).</w:t>
          </w:r>
          <w:r w:rsidRPr="005D4D51">
            <w:rPr>
              <w:rFonts w:eastAsia="Times New Roman" w:cs="Times New Roman"/>
              <w:sz w:val="24"/>
              <w:szCs w:val="24"/>
              <w:lang w:eastAsia="en-GB"/>
            </w:rPr>
            <w:br/>
          </w:r>
        </w:p>
        <w:p w14:paraId="245597FC"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Nobes, C. and Parker, R. (2022) </w:t>
          </w:r>
          <w:r w:rsidRPr="005D4D51">
            <w:rPr>
              <w:rFonts w:eastAsia="Times New Roman" w:cs="Times New Roman"/>
              <w:i/>
              <w:iCs/>
              <w:sz w:val="24"/>
              <w:szCs w:val="24"/>
              <w:lang w:eastAsia="en-GB"/>
            </w:rPr>
            <w:t>Comparative International Accounting</w:t>
          </w:r>
          <w:r w:rsidRPr="005D4D51">
            <w:rPr>
              <w:rFonts w:eastAsia="Times New Roman" w:cs="Times New Roman"/>
              <w:sz w:val="24"/>
              <w:szCs w:val="24"/>
              <w:lang w:eastAsia="en-GB"/>
            </w:rPr>
            <w:t>. 14th edn. Harlow: Pearson.</w:t>
          </w:r>
          <w:r w:rsidRPr="005D4D51">
            <w:rPr>
              <w:rFonts w:eastAsia="Times New Roman" w:cs="Times New Roman"/>
              <w:sz w:val="24"/>
              <w:szCs w:val="24"/>
              <w:lang w:eastAsia="en-GB"/>
            </w:rPr>
            <w:br/>
          </w:r>
        </w:p>
        <w:p w14:paraId="02B45FD0"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Organisation for Economic Co-operation and Development (OECD) (2023) </w:t>
          </w:r>
          <w:r w:rsidRPr="005D4D51">
            <w:rPr>
              <w:rFonts w:eastAsia="Times New Roman" w:cs="Times New Roman"/>
              <w:i/>
              <w:iCs/>
              <w:sz w:val="24"/>
              <w:szCs w:val="24"/>
              <w:lang w:eastAsia="en-GB"/>
            </w:rPr>
            <w:t>Corporate Investment and Financing Trends</w:t>
          </w:r>
          <w:r w:rsidRPr="005D4D51">
            <w:rPr>
              <w:rFonts w:eastAsia="Times New Roman" w:cs="Times New Roman"/>
              <w:sz w:val="24"/>
              <w:szCs w:val="24"/>
              <w:lang w:eastAsia="en-GB"/>
            </w:rPr>
            <w:t xml:space="preserve">. Available at: </w:t>
          </w:r>
          <w:hyperlink r:id="rId28" w:tgtFrame="_new" w:history="1">
            <w:r w:rsidRPr="005D4D51">
              <w:rPr>
                <w:rFonts w:eastAsia="Times New Roman" w:cs="Times New Roman"/>
                <w:color w:val="0000FF"/>
                <w:sz w:val="24"/>
                <w:szCs w:val="24"/>
                <w:u w:val="single"/>
                <w:lang w:eastAsia="en-GB"/>
              </w:rPr>
              <w:t>https://www.oecd.org</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8</w:t>
          </w:r>
          <w:r w:rsidRPr="005D4D51">
            <w:rPr>
              <w:rFonts w:eastAsia="Times New Roman" w:cs="Times New Roman"/>
              <w:sz w:val="24"/>
              <w:szCs w:val="24"/>
              <w:lang w:eastAsia="en-GB"/>
            </w:rPr>
            <w:t xml:space="preserve"> </w:t>
          </w:r>
          <w:r w:rsidRPr="005D4D51">
            <w:rPr>
              <w:rFonts w:eastAsia="Times New Roman" w:cs="Times New Roman"/>
              <w:sz w:val="24"/>
              <w:szCs w:val="24"/>
              <w:lang w:eastAsia="en-GB"/>
            </w:rPr>
            <w:lastRenderedPageBreak/>
            <w:t>April 2026).</w:t>
          </w:r>
          <w:r w:rsidRPr="005D4D51">
            <w:rPr>
              <w:rFonts w:eastAsia="Times New Roman" w:cs="Times New Roman"/>
              <w:sz w:val="24"/>
              <w:szCs w:val="24"/>
              <w:lang w:eastAsia="en-GB"/>
            </w:rPr>
            <w:br/>
          </w:r>
        </w:p>
        <w:p w14:paraId="5CCC6A0E"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Organisation for Economic Co-operation and Development (OECD) (2024) </w:t>
          </w:r>
          <w:r w:rsidRPr="005D4D51">
            <w:rPr>
              <w:rFonts w:eastAsia="Times New Roman" w:cs="Times New Roman"/>
              <w:i/>
              <w:iCs/>
              <w:sz w:val="24"/>
              <w:szCs w:val="24"/>
              <w:lang w:eastAsia="en-GB"/>
            </w:rPr>
            <w:t>Economic Outlook</w:t>
          </w:r>
          <w:r w:rsidRPr="005D4D51">
            <w:rPr>
              <w:rFonts w:eastAsia="Times New Roman" w:cs="Times New Roman"/>
              <w:sz w:val="24"/>
              <w:szCs w:val="24"/>
              <w:lang w:eastAsia="en-GB"/>
            </w:rPr>
            <w:t xml:space="preserve">. Available at: </w:t>
          </w:r>
          <w:hyperlink r:id="rId29" w:tgtFrame="_new" w:history="1">
            <w:r w:rsidRPr="005D4D51">
              <w:rPr>
                <w:rFonts w:eastAsia="Times New Roman" w:cs="Times New Roman"/>
                <w:color w:val="0000FF"/>
                <w:sz w:val="24"/>
                <w:szCs w:val="24"/>
                <w:u w:val="single"/>
                <w:lang w:eastAsia="en-GB"/>
              </w:rPr>
              <w:t>https://www.oecd.org</w:t>
            </w:r>
          </w:hyperlink>
          <w:r w:rsidRPr="005D4D51">
            <w:rPr>
              <w:rFonts w:eastAsia="Times New Roman" w:cs="Times New Roman"/>
              <w:sz w:val="24"/>
              <w:szCs w:val="24"/>
              <w:lang w:eastAsia="en-GB"/>
            </w:rPr>
            <w:t xml:space="preserve"> (Accessed: 13 April 2026).</w:t>
          </w:r>
          <w:r w:rsidRPr="005D4D51">
            <w:rPr>
              <w:rFonts w:eastAsia="Times New Roman" w:cs="Times New Roman"/>
              <w:sz w:val="24"/>
              <w:szCs w:val="24"/>
              <w:lang w:eastAsia="en-GB"/>
            </w:rPr>
            <w:br/>
          </w:r>
        </w:p>
        <w:p w14:paraId="290D7D79"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Palepu, K.G., Healy, P.M. and Peek, E. (2020) </w:t>
          </w:r>
          <w:r w:rsidRPr="005D4D51">
            <w:rPr>
              <w:rFonts w:eastAsia="Times New Roman" w:cs="Times New Roman"/>
              <w:i/>
              <w:iCs/>
              <w:sz w:val="24"/>
              <w:szCs w:val="24"/>
              <w:lang w:eastAsia="en-GB"/>
            </w:rPr>
            <w:t>Business Analysis and Valuation: IFRS Edition</w:t>
          </w:r>
          <w:r w:rsidRPr="005D4D51">
            <w:rPr>
              <w:rFonts w:eastAsia="Times New Roman" w:cs="Times New Roman"/>
              <w:sz w:val="24"/>
              <w:szCs w:val="24"/>
              <w:lang w:eastAsia="en-GB"/>
            </w:rPr>
            <w:t>. 5th edn. Andover: Cengage Learning.</w:t>
          </w:r>
          <w:r w:rsidRPr="005D4D51">
            <w:rPr>
              <w:rFonts w:eastAsia="Times New Roman" w:cs="Times New Roman"/>
              <w:sz w:val="24"/>
              <w:szCs w:val="24"/>
              <w:lang w:eastAsia="en-GB"/>
            </w:rPr>
            <w:br/>
          </w:r>
        </w:p>
        <w:p w14:paraId="05934209"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Penman, S.H. (2021) </w:t>
          </w:r>
          <w:r w:rsidRPr="005D4D51">
            <w:rPr>
              <w:rFonts w:eastAsia="Times New Roman" w:cs="Times New Roman"/>
              <w:i/>
              <w:iCs/>
              <w:sz w:val="24"/>
              <w:szCs w:val="24"/>
              <w:lang w:eastAsia="en-GB"/>
            </w:rPr>
            <w:t>Financial Statement Analysis and Security Valuation</w:t>
          </w:r>
          <w:r w:rsidRPr="005D4D51">
            <w:rPr>
              <w:rFonts w:eastAsia="Times New Roman" w:cs="Times New Roman"/>
              <w:sz w:val="24"/>
              <w:szCs w:val="24"/>
              <w:lang w:eastAsia="en-GB"/>
            </w:rPr>
            <w:t>. 6th edn. New York: McGraw-Hill.</w:t>
          </w:r>
          <w:r w:rsidRPr="005D4D51">
            <w:rPr>
              <w:rFonts w:eastAsia="Times New Roman" w:cs="Times New Roman"/>
              <w:sz w:val="24"/>
              <w:szCs w:val="24"/>
              <w:lang w:eastAsia="en-GB"/>
            </w:rPr>
            <w:br/>
          </w:r>
        </w:p>
        <w:p w14:paraId="7D58F3C9"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Pike, R. and Neale, B. (2009) </w:t>
          </w:r>
          <w:r w:rsidRPr="005D4D51">
            <w:rPr>
              <w:rFonts w:eastAsia="Times New Roman" w:cs="Times New Roman"/>
              <w:i/>
              <w:iCs/>
              <w:sz w:val="24"/>
              <w:szCs w:val="24"/>
              <w:lang w:eastAsia="en-GB"/>
            </w:rPr>
            <w:t>Corporate Finance and Investment: Decisions and Strategies</w:t>
          </w:r>
          <w:r w:rsidRPr="005D4D51">
            <w:rPr>
              <w:rFonts w:eastAsia="Times New Roman" w:cs="Times New Roman"/>
              <w:sz w:val="24"/>
              <w:szCs w:val="24"/>
              <w:lang w:eastAsia="en-GB"/>
            </w:rPr>
            <w:t>. 6th edn. Harlow: Pearson.</w:t>
          </w:r>
          <w:r w:rsidRPr="005D4D51">
            <w:rPr>
              <w:rFonts w:eastAsia="Times New Roman" w:cs="Times New Roman"/>
              <w:sz w:val="24"/>
              <w:szCs w:val="24"/>
              <w:lang w:eastAsia="en-GB"/>
            </w:rPr>
            <w:br/>
          </w:r>
        </w:p>
        <w:p w14:paraId="588D5FC7"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PwC (2023a) </w:t>
          </w:r>
          <w:r w:rsidRPr="005D4D51">
            <w:rPr>
              <w:rFonts w:eastAsia="Times New Roman" w:cs="Times New Roman"/>
              <w:i/>
              <w:iCs/>
              <w:sz w:val="24"/>
              <w:szCs w:val="24"/>
              <w:lang w:eastAsia="en-GB"/>
            </w:rPr>
            <w:t>Global Aerospace and Defence Trends</w:t>
          </w:r>
          <w:r w:rsidRPr="005D4D51">
            <w:rPr>
              <w:rFonts w:eastAsia="Times New Roman" w:cs="Times New Roman"/>
              <w:sz w:val="24"/>
              <w:szCs w:val="24"/>
              <w:lang w:eastAsia="en-GB"/>
            </w:rPr>
            <w:t xml:space="preserve">. Available at: </w:t>
          </w:r>
          <w:hyperlink r:id="rId30" w:tgtFrame="_new" w:history="1">
            <w:r w:rsidRPr="005D4D51">
              <w:rPr>
                <w:rFonts w:eastAsia="Times New Roman" w:cs="Times New Roman"/>
                <w:color w:val="0000FF"/>
                <w:sz w:val="24"/>
                <w:szCs w:val="24"/>
                <w:u w:val="single"/>
                <w:lang w:eastAsia="en-GB"/>
              </w:rPr>
              <w:t>https://www.pwc.com</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8</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42A03593"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PwC (2024a) </w:t>
          </w:r>
          <w:r w:rsidRPr="005D4D51">
            <w:rPr>
              <w:rFonts w:eastAsia="Times New Roman" w:cs="Times New Roman"/>
              <w:i/>
              <w:iCs/>
              <w:sz w:val="24"/>
              <w:szCs w:val="24"/>
              <w:lang w:eastAsia="en-GB"/>
            </w:rPr>
            <w:t>Capital Investment Decision-Making Frameworks</w:t>
          </w:r>
          <w:r w:rsidRPr="005D4D51">
            <w:rPr>
              <w:rFonts w:eastAsia="Times New Roman" w:cs="Times New Roman"/>
              <w:sz w:val="24"/>
              <w:szCs w:val="24"/>
              <w:lang w:eastAsia="en-GB"/>
            </w:rPr>
            <w:t xml:space="preserve">. Available at: </w:t>
          </w:r>
          <w:hyperlink r:id="rId31" w:tgtFrame="_new" w:history="1">
            <w:r w:rsidRPr="005D4D51">
              <w:rPr>
                <w:rFonts w:eastAsia="Times New Roman" w:cs="Times New Roman"/>
                <w:color w:val="0000FF"/>
                <w:sz w:val="24"/>
                <w:szCs w:val="24"/>
                <w:u w:val="single"/>
                <w:lang w:eastAsia="en-GB"/>
              </w:rPr>
              <w:t>https://www.pwc.com</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8</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173431E7"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PwC (2024b) </w:t>
          </w:r>
          <w:r w:rsidRPr="005D4D51">
            <w:rPr>
              <w:rFonts w:eastAsia="Times New Roman" w:cs="Times New Roman"/>
              <w:i/>
              <w:iCs/>
              <w:sz w:val="24"/>
              <w:szCs w:val="24"/>
              <w:lang w:eastAsia="en-GB"/>
            </w:rPr>
            <w:t>Global Aerospace and Defence Insights</w:t>
          </w:r>
          <w:r w:rsidRPr="005D4D51">
            <w:rPr>
              <w:rFonts w:eastAsia="Times New Roman" w:cs="Times New Roman"/>
              <w:sz w:val="24"/>
              <w:szCs w:val="24"/>
              <w:lang w:eastAsia="en-GB"/>
            </w:rPr>
            <w:t xml:space="preserve">. Available at: </w:t>
          </w:r>
          <w:hyperlink r:id="rId32" w:tgtFrame="_new" w:history="1">
            <w:r w:rsidRPr="005D4D51">
              <w:rPr>
                <w:rFonts w:eastAsia="Times New Roman" w:cs="Times New Roman"/>
                <w:color w:val="0000FF"/>
                <w:sz w:val="24"/>
                <w:szCs w:val="24"/>
                <w:u w:val="single"/>
                <w:lang w:eastAsia="en-GB"/>
              </w:rPr>
              <w:t>https://www.pwc.com</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9</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486B3B2A"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Richards, V.D. and Laughlin, E.J. (2021) ‘A cash conversion cycle approach to liquidity analysis’, </w:t>
          </w:r>
          <w:r w:rsidRPr="005D4D51">
            <w:rPr>
              <w:rFonts w:eastAsia="Times New Roman" w:cs="Times New Roman"/>
              <w:i/>
              <w:iCs/>
              <w:sz w:val="24"/>
              <w:szCs w:val="24"/>
              <w:lang w:eastAsia="en-GB"/>
            </w:rPr>
            <w:t>Journal of Financial Management</w:t>
          </w:r>
          <w:r w:rsidRPr="005D4D51">
            <w:rPr>
              <w:rFonts w:eastAsia="Times New Roman" w:cs="Times New Roman"/>
              <w:sz w:val="24"/>
              <w:szCs w:val="24"/>
              <w:lang w:eastAsia="en-GB"/>
            </w:rPr>
            <w:t>, 50(1), pp. 32–38.</w:t>
          </w:r>
          <w:r w:rsidRPr="005D4D51">
            <w:rPr>
              <w:rFonts w:eastAsia="Times New Roman" w:cs="Times New Roman"/>
              <w:sz w:val="24"/>
              <w:szCs w:val="24"/>
              <w:lang w:eastAsia="en-GB"/>
            </w:rPr>
            <w:br/>
          </w:r>
        </w:p>
        <w:p w14:paraId="54C9A8B3"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lastRenderedPageBreak/>
            <w:t xml:space="preserve">Ross, S.A., Westerfield, R.W. and Jaffe, J. (2021) </w:t>
          </w:r>
          <w:r w:rsidRPr="005D4D51">
            <w:rPr>
              <w:rFonts w:eastAsia="Times New Roman" w:cs="Times New Roman"/>
              <w:i/>
              <w:iCs/>
              <w:sz w:val="24"/>
              <w:szCs w:val="24"/>
              <w:lang w:eastAsia="en-GB"/>
            </w:rPr>
            <w:t>Corporate Finance</w:t>
          </w:r>
          <w:r w:rsidRPr="005D4D51">
            <w:rPr>
              <w:rFonts w:eastAsia="Times New Roman" w:cs="Times New Roman"/>
              <w:sz w:val="24"/>
              <w:szCs w:val="24"/>
              <w:lang w:eastAsia="en-GB"/>
            </w:rPr>
            <w:t>. 13th edn. New York: McGraw-Hill.</w:t>
          </w:r>
          <w:r w:rsidRPr="005D4D51">
            <w:rPr>
              <w:rFonts w:eastAsia="Times New Roman" w:cs="Times New Roman"/>
              <w:sz w:val="24"/>
              <w:szCs w:val="24"/>
              <w:lang w:eastAsia="en-GB"/>
            </w:rPr>
            <w:br/>
          </w:r>
        </w:p>
        <w:p w14:paraId="5759D130"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Ryan, P.A. and Ryan, G.P. (2002) ‘Capital budgeting practices of the Fortune 1000: How have things changed?’, </w:t>
          </w:r>
          <w:r w:rsidRPr="005D4D51">
            <w:rPr>
              <w:rFonts w:eastAsia="Times New Roman" w:cs="Times New Roman"/>
              <w:i/>
              <w:iCs/>
              <w:sz w:val="24"/>
              <w:szCs w:val="24"/>
              <w:lang w:eastAsia="en-GB"/>
            </w:rPr>
            <w:t>Journal of Business and Management</w:t>
          </w:r>
          <w:r w:rsidRPr="005D4D51">
            <w:rPr>
              <w:rFonts w:eastAsia="Times New Roman" w:cs="Times New Roman"/>
              <w:sz w:val="24"/>
              <w:szCs w:val="24"/>
              <w:lang w:eastAsia="en-GB"/>
            </w:rPr>
            <w:t>, 8(4), pp. 355–364.</w:t>
          </w:r>
          <w:r w:rsidRPr="005D4D51">
            <w:rPr>
              <w:rFonts w:eastAsia="Times New Roman" w:cs="Times New Roman"/>
              <w:sz w:val="24"/>
              <w:szCs w:val="24"/>
              <w:lang w:eastAsia="en-GB"/>
            </w:rPr>
            <w:br/>
          </w:r>
        </w:p>
        <w:p w14:paraId="2BBB0970"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SIPRI (2024) </w:t>
          </w:r>
          <w:r w:rsidRPr="005D4D51">
            <w:rPr>
              <w:rFonts w:eastAsia="Times New Roman" w:cs="Times New Roman"/>
              <w:i/>
              <w:iCs/>
              <w:sz w:val="24"/>
              <w:szCs w:val="24"/>
              <w:lang w:eastAsia="en-GB"/>
            </w:rPr>
            <w:t>Trends in World Military Expenditure</w:t>
          </w:r>
          <w:r w:rsidRPr="005D4D51">
            <w:rPr>
              <w:rFonts w:eastAsia="Times New Roman" w:cs="Times New Roman"/>
              <w:sz w:val="24"/>
              <w:szCs w:val="24"/>
              <w:lang w:eastAsia="en-GB"/>
            </w:rPr>
            <w:t xml:space="preserve">. Available at: </w:t>
          </w:r>
          <w:hyperlink r:id="rId33" w:tgtFrame="_new" w:history="1">
            <w:r w:rsidRPr="005D4D51">
              <w:rPr>
                <w:rFonts w:eastAsia="Times New Roman" w:cs="Times New Roman"/>
                <w:color w:val="0000FF"/>
                <w:sz w:val="24"/>
                <w:szCs w:val="24"/>
                <w:u w:val="single"/>
                <w:lang w:eastAsia="en-GB"/>
              </w:rPr>
              <w:t>https://www.sipri.org</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6</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4165CFD9"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UK Ministry of Defence (2023) </w:t>
          </w:r>
          <w:r w:rsidRPr="005D4D51">
            <w:rPr>
              <w:rFonts w:eastAsia="Times New Roman" w:cs="Times New Roman"/>
              <w:i/>
              <w:iCs/>
              <w:sz w:val="24"/>
              <w:szCs w:val="24"/>
              <w:lang w:eastAsia="en-GB"/>
            </w:rPr>
            <w:t>Defence and Security Industrial Strategy</w:t>
          </w:r>
          <w:r w:rsidRPr="005D4D51">
            <w:rPr>
              <w:rFonts w:eastAsia="Times New Roman" w:cs="Times New Roman"/>
              <w:sz w:val="24"/>
              <w:szCs w:val="24"/>
              <w:lang w:eastAsia="en-GB"/>
            </w:rPr>
            <w:t xml:space="preserve">. Available at: </w:t>
          </w:r>
          <w:hyperlink r:id="rId34" w:tgtFrame="_new" w:history="1">
            <w:r w:rsidRPr="005D4D51">
              <w:rPr>
                <w:rFonts w:eastAsia="Times New Roman" w:cs="Times New Roman"/>
                <w:color w:val="0000FF"/>
                <w:sz w:val="24"/>
                <w:szCs w:val="24"/>
                <w:u w:val="single"/>
                <w:lang w:eastAsia="en-GB"/>
              </w:rPr>
              <w:t>https://www.gov.uk</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7</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79E3A094"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UK Parliament (2023) </w:t>
          </w:r>
          <w:r w:rsidRPr="005D4D51">
            <w:rPr>
              <w:rFonts w:eastAsia="Times New Roman" w:cs="Times New Roman"/>
              <w:i/>
              <w:iCs/>
              <w:sz w:val="24"/>
              <w:szCs w:val="24"/>
              <w:lang w:eastAsia="en-GB"/>
            </w:rPr>
            <w:t>Defence Spending and Policy Report</w:t>
          </w:r>
          <w:r w:rsidRPr="005D4D51">
            <w:rPr>
              <w:rFonts w:eastAsia="Times New Roman" w:cs="Times New Roman"/>
              <w:sz w:val="24"/>
              <w:szCs w:val="24"/>
              <w:lang w:eastAsia="en-GB"/>
            </w:rPr>
            <w:t xml:space="preserve">. Available at: </w:t>
          </w:r>
          <w:hyperlink r:id="rId35" w:tgtFrame="_new" w:history="1">
            <w:r w:rsidRPr="005D4D51">
              <w:rPr>
                <w:rFonts w:eastAsia="Times New Roman" w:cs="Times New Roman"/>
                <w:color w:val="0000FF"/>
                <w:sz w:val="24"/>
                <w:szCs w:val="24"/>
                <w:u w:val="single"/>
                <w:lang w:eastAsia="en-GB"/>
              </w:rPr>
              <w:t>https://www.parliament.uk</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3</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2C944B6C"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Watson, D. and Head, A. (2020) </w:t>
          </w:r>
          <w:r w:rsidRPr="005D4D51">
            <w:rPr>
              <w:rFonts w:eastAsia="Times New Roman" w:cs="Times New Roman"/>
              <w:i/>
              <w:iCs/>
              <w:sz w:val="24"/>
              <w:szCs w:val="24"/>
              <w:lang w:eastAsia="en-GB"/>
            </w:rPr>
            <w:t>Corporate Finance: Principles and Practice</w:t>
          </w:r>
          <w:r w:rsidRPr="005D4D51">
            <w:rPr>
              <w:rFonts w:eastAsia="Times New Roman" w:cs="Times New Roman"/>
              <w:sz w:val="24"/>
              <w:szCs w:val="24"/>
              <w:lang w:eastAsia="en-GB"/>
            </w:rPr>
            <w:t>. 8th edn. Harlow: Pearson.</w:t>
          </w:r>
          <w:r w:rsidRPr="005D4D51">
            <w:rPr>
              <w:rFonts w:eastAsia="Times New Roman" w:cs="Times New Roman"/>
              <w:sz w:val="24"/>
              <w:szCs w:val="24"/>
              <w:lang w:eastAsia="en-GB"/>
            </w:rPr>
            <w:br/>
          </w:r>
        </w:p>
        <w:p w14:paraId="501E393D" w14:textId="77777777" w:rsidR="00FF4D8C" w:rsidRPr="00FF4D8C" w:rsidRDefault="00FF4D8C" w:rsidP="00FF4D8C">
          <w:pPr>
            <w:spacing w:line="360" w:lineRule="auto"/>
            <w:rPr>
              <w:kern w:val="2"/>
              <w:sz w:val="24"/>
              <w:szCs w:val="24"/>
              <w14:ligatures w14:val="standardContextual"/>
            </w:rPr>
          </w:pPr>
          <w:r w:rsidRPr="00FF4D8C">
            <w:rPr>
              <w:kern w:val="2"/>
              <w:sz w:val="24"/>
              <w:szCs w:val="24"/>
              <w14:ligatures w14:val="standardContextual"/>
            </w:rPr>
            <w:t>Weetman, P. (2022) Financial and Management Accounting: An Introduction. 8th edn. Harlow: Pearson.</w:t>
          </w:r>
        </w:p>
        <w:p w14:paraId="3286AC2F" w14:textId="77777777" w:rsidR="00FF4D8C" w:rsidRPr="005D4D51"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World Bank (2024a) </w:t>
          </w:r>
          <w:r w:rsidRPr="005D4D51">
            <w:rPr>
              <w:rFonts w:eastAsia="Times New Roman" w:cs="Times New Roman"/>
              <w:i/>
              <w:iCs/>
              <w:sz w:val="24"/>
              <w:szCs w:val="24"/>
              <w:lang w:eastAsia="en-GB"/>
            </w:rPr>
            <w:t>Global Economic Prospects</w:t>
          </w:r>
          <w:r w:rsidRPr="005D4D51">
            <w:rPr>
              <w:rFonts w:eastAsia="Times New Roman" w:cs="Times New Roman"/>
              <w:sz w:val="24"/>
              <w:szCs w:val="24"/>
              <w:lang w:eastAsia="en-GB"/>
            </w:rPr>
            <w:t xml:space="preserve">. Available at: </w:t>
          </w:r>
          <w:hyperlink r:id="rId36" w:tgtFrame="_new" w:history="1">
            <w:r w:rsidRPr="005D4D51">
              <w:rPr>
                <w:rFonts w:eastAsia="Times New Roman" w:cs="Times New Roman"/>
                <w:color w:val="0000FF"/>
                <w:sz w:val="24"/>
                <w:szCs w:val="24"/>
                <w:u w:val="single"/>
                <w:lang w:eastAsia="en-GB"/>
              </w:rPr>
              <w:t>https://www.worldbank.org</w:t>
            </w:r>
          </w:hyperlink>
          <w:r w:rsidRPr="005D4D51">
            <w:rPr>
              <w:rFonts w:eastAsia="Times New Roman" w:cs="Times New Roman"/>
              <w:sz w:val="24"/>
              <w:szCs w:val="24"/>
              <w:lang w:eastAsia="en-GB"/>
            </w:rPr>
            <w:t xml:space="preserve"> (Accessed: </w:t>
          </w:r>
          <w:r>
            <w:rPr>
              <w:rFonts w:eastAsia="Times New Roman" w:cs="Times New Roman"/>
              <w:sz w:val="24"/>
              <w:szCs w:val="24"/>
              <w:lang w:eastAsia="en-GB"/>
            </w:rPr>
            <w:t>3</w:t>
          </w:r>
          <w:r w:rsidRPr="005D4D51">
            <w:rPr>
              <w:rFonts w:eastAsia="Times New Roman" w:cs="Times New Roman"/>
              <w:sz w:val="24"/>
              <w:szCs w:val="24"/>
              <w:lang w:eastAsia="en-GB"/>
            </w:rPr>
            <w:t xml:space="preserve"> April 2026).</w:t>
          </w:r>
          <w:r w:rsidRPr="005D4D51">
            <w:rPr>
              <w:rFonts w:eastAsia="Times New Roman" w:cs="Times New Roman"/>
              <w:sz w:val="24"/>
              <w:szCs w:val="24"/>
              <w:lang w:eastAsia="en-GB"/>
            </w:rPr>
            <w:br/>
          </w:r>
        </w:p>
        <w:p w14:paraId="73884470" w14:textId="77777777" w:rsidR="00FF4D8C" w:rsidRDefault="00FF4D8C" w:rsidP="00FF4D8C">
          <w:pPr>
            <w:spacing w:before="100" w:beforeAutospacing="1" w:after="100" w:afterAutospacing="1" w:line="360" w:lineRule="auto"/>
            <w:rPr>
              <w:rFonts w:eastAsia="Times New Roman" w:cs="Times New Roman"/>
              <w:sz w:val="24"/>
              <w:szCs w:val="24"/>
              <w:lang w:eastAsia="en-GB"/>
            </w:rPr>
          </w:pPr>
          <w:r w:rsidRPr="005D4D51">
            <w:rPr>
              <w:rFonts w:eastAsia="Times New Roman" w:cs="Times New Roman"/>
              <w:sz w:val="24"/>
              <w:szCs w:val="24"/>
              <w:lang w:eastAsia="en-GB"/>
            </w:rPr>
            <w:t xml:space="preserve">Zhang, Y. (2023) ‘Investment appraisal and decision-making under uncertainty’, </w:t>
          </w:r>
          <w:r w:rsidRPr="005D4D51">
            <w:rPr>
              <w:rFonts w:eastAsia="Times New Roman" w:cs="Times New Roman"/>
              <w:i/>
              <w:iCs/>
              <w:sz w:val="24"/>
              <w:szCs w:val="24"/>
              <w:lang w:eastAsia="en-GB"/>
            </w:rPr>
            <w:t>International Journal of Financial Studies</w:t>
          </w:r>
          <w:r w:rsidRPr="005D4D51">
            <w:rPr>
              <w:rFonts w:eastAsia="Times New Roman" w:cs="Times New Roman"/>
              <w:sz w:val="24"/>
              <w:szCs w:val="24"/>
              <w:lang w:eastAsia="en-GB"/>
            </w:rPr>
            <w:t>, 11(3), pp. 1–15.</w:t>
          </w:r>
        </w:p>
        <w:p w14:paraId="27DB760D" w14:textId="5AA5F224" w:rsidR="00BF015A" w:rsidRPr="00B8034A" w:rsidRDefault="00CB1B95" w:rsidP="00B8034A">
          <w:pPr>
            <w:spacing w:line="360" w:lineRule="auto"/>
            <w:rPr>
              <w:sz w:val="24"/>
              <w:szCs w:val="24"/>
            </w:rPr>
          </w:pPr>
        </w:p>
      </w:sdtContent>
    </w:sdt>
    <w:p w14:paraId="294C8D57" w14:textId="028AE8AD" w:rsidR="00BF015A" w:rsidRPr="00964A51" w:rsidRDefault="00BF015A" w:rsidP="00B8034A">
      <w:pPr>
        <w:pStyle w:val="Heading1"/>
        <w:spacing w:line="360" w:lineRule="auto"/>
        <w:rPr>
          <w:rFonts w:asciiTheme="minorHAnsi" w:hAnsiTheme="minorHAnsi"/>
          <w:sz w:val="28"/>
          <w:szCs w:val="28"/>
        </w:rPr>
      </w:pPr>
      <w:bookmarkStart w:id="7" w:name="_Toc227505325"/>
      <w:r w:rsidRPr="00964A51">
        <w:rPr>
          <w:rFonts w:asciiTheme="minorHAnsi" w:hAnsiTheme="minorHAnsi"/>
          <w:sz w:val="28"/>
          <w:szCs w:val="28"/>
        </w:rPr>
        <w:lastRenderedPageBreak/>
        <w:t>Appendi</w:t>
      </w:r>
      <w:r w:rsidR="00D0336F" w:rsidRPr="00964A51">
        <w:rPr>
          <w:rFonts w:asciiTheme="minorHAnsi" w:hAnsiTheme="minorHAnsi"/>
          <w:sz w:val="28"/>
          <w:szCs w:val="28"/>
        </w:rPr>
        <w:t>ces</w:t>
      </w:r>
      <w:bookmarkEnd w:id="7"/>
    </w:p>
    <w:p w14:paraId="7BF3104E" w14:textId="77777777" w:rsidR="00762F60" w:rsidRPr="00B8034A" w:rsidRDefault="00762F60" w:rsidP="00B8034A">
      <w:pPr>
        <w:spacing w:line="360" w:lineRule="auto"/>
        <w:rPr>
          <w:sz w:val="24"/>
          <w:szCs w:val="24"/>
        </w:rPr>
      </w:pPr>
    </w:p>
    <w:p w14:paraId="66549AAE" w14:textId="5600B1DA" w:rsidR="00C936C8" w:rsidRPr="00B8034A" w:rsidRDefault="00C936C8" w:rsidP="00B8034A">
      <w:pPr>
        <w:spacing w:line="360" w:lineRule="auto"/>
        <w:rPr>
          <w:kern w:val="2"/>
          <w:sz w:val="24"/>
          <w:szCs w:val="24"/>
          <w:lang w:eastAsia="en-GB"/>
          <w14:ligatures w14:val="standardContextual"/>
        </w:rPr>
      </w:pPr>
      <w:r w:rsidRPr="00AF5650">
        <w:rPr>
          <w:b/>
          <w:bCs/>
          <w:kern w:val="2"/>
          <w:sz w:val="24"/>
          <w:szCs w:val="24"/>
          <w:lang w:eastAsia="en-GB"/>
          <w14:ligatures w14:val="standardContextual"/>
        </w:rPr>
        <w:t xml:space="preserve">Appendix </w:t>
      </w:r>
      <w:r w:rsidR="00920393" w:rsidRPr="00AF5650">
        <w:rPr>
          <w:b/>
          <w:bCs/>
          <w:kern w:val="2"/>
          <w:sz w:val="24"/>
          <w:szCs w:val="24"/>
          <w:lang w:eastAsia="en-GB"/>
          <w14:ligatures w14:val="standardContextual"/>
        </w:rPr>
        <w:t>A-</w:t>
      </w:r>
      <w:r w:rsidRPr="00A721C2">
        <w:rPr>
          <w:b/>
          <w:bCs/>
          <w:kern w:val="2"/>
          <w:sz w:val="24"/>
          <w:szCs w:val="24"/>
          <w:lang w:eastAsia="en-GB"/>
          <w14:ligatures w14:val="standardContextual"/>
        </w:rPr>
        <w:t xml:space="preserve"> Financial Statements Extract (BAE Systems)</w:t>
      </w:r>
    </w:p>
    <w:p w14:paraId="56BEE365" w14:textId="47ECDE44" w:rsidR="00C936C8" w:rsidRPr="00920393" w:rsidRDefault="00AF5650" w:rsidP="00B8034A">
      <w:pPr>
        <w:spacing w:before="100" w:beforeAutospacing="1" w:after="100" w:afterAutospacing="1" w:line="360" w:lineRule="auto"/>
        <w:rPr>
          <w:rFonts w:eastAsia="Times New Roman" w:cs="Times New Roman"/>
          <w:b/>
          <w:bCs/>
          <w:sz w:val="24"/>
          <w:szCs w:val="24"/>
          <w:lang w:eastAsia="en-GB"/>
        </w:rPr>
      </w:pPr>
      <w:r>
        <w:rPr>
          <w:rFonts w:eastAsia="Times New Roman" w:cs="Times New Roman"/>
          <w:b/>
          <w:bCs/>
          <w:sz w:val="24"/>
          <w:szCs w:val="24"/>
          <w:lang w:eastAsia="en-GB"/>
        </w:rPr>
        <w:t xml:space="preserve">A1) </w:t>
      </w:r>
      <w:r w:rsidR="00920393" w:rsidRPr="00920393">
        <w:rPr>
          <w:rFonts w:eastAsia="Times New Roman" w:cs="Times New Roman"/>
          <w:b/>
          <w:bCs/>
          <w:sz w:val="24"/>
          <w:szCs w:val="24"/>
          <w:lang w:eastAsia="en-GB"/>
        </w:rPr>
        <w:t xml:space="preserve">Consolidated Income Statement </w:t>
      </w:r>
      <w:r w:rsidR="00920393">
        <w:rPr>
          <w:rFonts w:eastAsia="Times New Roman" w:cs="Times New Roman"/>
          <w:b/>
          <w:bCs/>
          <w:sz w:val="24"/>
          <w:szCs w:val="24"/>
          <w:lang w:eastAsia="en-GB"/>
        </w:rPr>
        <w:t xml:space="preserve">BAE Systems </w:t>
      </w:r>
      <w:r w:rsidR="00920393" w:rsidRPr="00920393">
        <w:rPr>
          <w:rFonts w:eastAsia="Times New Roman" w:cs="Times New Roman"/>
          <w:b/>
          <w:bCs/>
          <w:sz w:val="24"/>
          <w:szCs w:val="24"/>
          <w:lang w:eastAsia="en-GB"/>
        </w:rPr>
        <w:t>2023- 2024</w:t>
      </w:r>
    </w:p>
    <w:p w14:paraId="45A7C62C" w14:textId="0F30FE91" w:rsidR="00920393" w:rsidRPr="00920393" w:rsidRDefault="00920393" w:rsidP="00B8034A">
      <w:pPr>
        <w:spacing w:before="100" w:beforeAutospacing="1" w:after="100" w:afterAutospacing="1" w:line="360" w:lineRule="auto"/>
        <w:rPr>
          <w:rFonts w:eastAsia="Times New Roman" w:cs="Times New Roman"/>
          <w:sz w:val="24"/>
          <w:szCs w:val="24"/>
          <w:lang w:eastAsia="en-GB"/>
        </w:rPr>
      </w:pPr>
      <w:r w:rsidRPr="00920393">
        <w:rPr>
          <w:rFonts w:eastAsia="Times New Roman" w:cs="Times New Roman"/>
          <w:noProof/>
          <w:sz w:val="24"/>
          <w:szCs w:val="24"/>
          <w:lang w:eastAsia="en-GB"/>
        </w:rPr>
        <w:drawing>
          <wp:inline distT="0" distB="0" distL="0" distR="0" wp14:anchorId="65A2BE7D" wp14:editId="51EB7233">
            <wp:extent cx="5731510" cy="3989705"/>
            <wp:effectExtent l="0" t="0" r="2540" b="0"/>
            <wp:docPr id="26481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18501" name=""/>
                    <pic:cNvPicPr/>
                  </pic:nvPicPr>
                  <pic:blipFill>
                    <a:blip r:embed="rId37"/>
                    <a:stretch>
                      <a:fillRect/>
                    </a:stretch>
                  </pic:blipFill>
                  <pic:spPr>
                    <a:xfrm>
                      <a:off x="0" y="0"/>
                      <a:ext cx="5731510" cy="3989705"/>
                    </a:xfrm>
                    <a:prstGeom prst="rect">
                      <a:avLst/>
                    </a:prstGeom>
                  </pic:spPr>
                </pic:pic>
              </a:graphicData>
            </a:graphic>
          </wp:inline>
        </w:drawing>
      </w:r>
    </w:p>
    <w:p w14:paraId="1B972AFA" w14:textId="778969F6" w:rsidR="00866E8C" w:rsidRPr="00842362" w:rsidRDefault="002E09F0" w:rsidP="00B8034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 xml:space="preserve">Source: BAE Systems Annual Report </w:t>
      </w:r>
      <w:r w:rsidR="0029550A">
        <w:rPr>
          <w:rFonts w:eastAsia="Times New Roman" w:cs="Times New Roman"/>
          <w:sz w:val="24"/>
          <w:szCs w:val="24"/>
          <w:lang w:eastAsia="en-GB"/>
        </w:rPr>
        <w:t>(2024; 2023)</w:t>
      </w:r>
    </w:p>
    <w:p w14:paraId="0714B130" w14:textId="77777777" w:rsidR="0029550A" w:rsidRDefault="0029550A" w:rsidP="00B8034A">
      <w:pPr>
        <w:spacing w:before="100" w:beforeAutospacing="1" w:after="100" w:afterAutospacing="1" w:line="360" w:lineRule="auto"/>
        <w:rPr>
          <w:rFonts w:eastAsia="Times New Roman" w:cs="Times New Roman"/>
          <w:b/>
          <w:bCs/>
          <w:sz w:val="24"/>
          <w:szCs w:val="24"/>
          <w:lang w:eastAsia="en-GB"/>
        </w:rPr>
      </w:pPr>
    </w:p>
    <w:p w14:paraId="5E7A4E95" w14:textId="6DB30005" w:rsidR="00C936C8" w:rsidRPr="00AF5650" w:rsidRDefault="00AF5650" w:rsidP="00B8034A">
      <w:pPr>
        <w:spacing w:before="100" w:beforeAutospacing="1" w:after="100" w:afterAutospacing="1" w:line="360" w:lineRule="auto"/>
        <w:rPr>
          <w:rFonts w:eastAsia="Times New Roman" w:cs="Times New Roman"/>
          <w:b/>
          <w:bCs/>
          <w:sz w:val="24"/>
          <w:szCs w:val="24"/>
          <w:lang w:eastAsia="en-GB"/>
        </w:rPr>
      </w:pPr>
      <w:r>
        <w:rPr>
          <w:rFonts w:eastAsia="Times New Roman" w:cs="Times New Roman"/>
          <w:b/>
          <w:bCs/>
          <w:sz w:val="24"/>
          <w:szCs w:val="24"/>
          <w:lang w:eastAsia="en-GB"/>
        </w:rPr>
        <w:t xml:space="preserve">A2) </w:t>
      </w:r>
      <w:r w:rsidRPr="00AF5650">
        <w:rPr>
          <w:rFonts w:eastAsia="Times New Roman" w:cs="Times New Roman"/>
          <w:b/>
          <w:bCs/>
          <w:sz w:val="24"/>
          <w:szCs w:val="24"/>
          <w:lang w:eastAsia="en-GB"/>
        </w:rPr>
        <w:t xml:space="preserve">Balance Sheet </w:t>
      </w:r>
      <w:r>
        <w:rPr>
          <w:rFonts w:eastAsia="Times New Roman" w:cs="Times New Roman"/>
          <w:b/>
          <w:bCs/>
          <w:sz w:val="24"/>
          <w:szCs w:val="24"/>
          <w:lang w:eastAsia="en-GB"/>
        </w:rPr>
        <w:t xml:space="preserve">BAE Systems </w:t>
      </w:r>
      <w:r w:rsidRPr="00AF5650">
        <w:rPr>
          <w:rFonts w:eastAsia="Times New Roman" w:cs="Times New Roman"/>
          <w:b/>
          <w:bCs/>
          <w:sz w:val="24"/>
          <w:szCs w:val="24"/>
          <w:lang w:eastAsia="en-GB"/>
        </w:rPr>
        <w:t>2023- 2024</w:t>
      </w:r>
    </w:p>
    <w:p w14:paraId="0AA9453B" w14:textId="6A842D87" w:rsidR="00AF5650" w:rsidRPr="00B8034A" w:rsidRDefault="00AF5650" w:rsidP="00B8034A">
      <w:pPr>
        <w:spacing w:before="100" w:beforeAutospacing="1" w:after="100" w:afterAutospacing="1" w:line="360" w:lineRule="auto"/>
        <w:rPr>
          <w:rFonts w:eastAsia="Times New Roman" w:cs="Times New Roman"/>
          <w:sz w:val="24"/>
          <w:szCs w:val="24"/>
          <w:lang w:eastAsia="en-GB"/>
        </w:rPr>
      </w:pPr>
      <w:r w:rsidRPr="00AF5650">
        <w:rPr>
          <w:rFonts w:eastAsia="Times New Roman" w:cs="Times New Roman"/>
          <w:noProof/>
          <w:sz w:val="24"/>
          <w:szCs w:val="24"/>
          <w:lang w:eastAsia="en-GB"/>
        </w:rPr>
        <w:lastRenderedPageBreak/>
        <w:drawing>
          <wp:inline distT="0" distB="0" distL="0" distR="0" wp14:anchorId="6BD3937E" wp14:editId="198D60AB">
            <wp:extent cx="5184285" cy="5943600"/>
            <wp:effectExtent l="0" t="0" r="0" b="0"/>
            <wp:docPr id="100120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00515" name=""/>
                    <pic:cNvPicPr/>
                  </pic:nvPicPr>
                  <pic:blipFill>
                    <a:blip r:embed="rId38"/>
                    <a:stretch>
                      <a:fillRect/>
                    </a:stretch>
                  </pic:blipFill>
                  <pic:spPr>
                    <a:xfrm>
                      <a:off x="0" y="0"/>
                      <a:ext cx="5206481" cy="5969046"/>
                    </a:xfrm>
                    <a:prstGeom prst="rect">
                      <a:avLst/>
                    </a:prstGeom>
                  </pic:spPr>
                </pic:pic>
              </a:graphicData>
            </a:graphic>
          </wp:inline>
        </w:drawing>
      </w:r>
    </w:p>
    <w:p w14:paraId="492AFB52" w14:textId="77777777" w:rsidR="0029550A" w:rsidRPr="00842362" w:rsidRDefault="0029550A" w:rsidP="0029550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Source: BAE Systems Annual Report (2024; 2023)</w:t>
      </w:r>
    </w:p>
    <w:p w14:paraId="743F56C7" w14:textId="77777777" w:rsidR="00C936C8" w:rsidRPr="00B8034A" w:rsidRDefault="00C936C8" w:rsidP="00B8034A">
      <w:pPr>
        <w:spacing w:after="0" w:line="360" w:lineRule="auto"/>
        <w:rPr>
          <w:rFonts w:eastAsia="Times New Roman" w:cs="Times New Roman"/>
          <w:sz w:val="24"/>
          <w:szCs w:val="24"/>
          <w:lang w:eastAsia="en-GB"/>
        </w:rPr>
      </w:pPr>
    </w:p>
    <w:p w14:paraId="3CF109C1" w14:textId="6F8ECBD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 xml:space="preserve"> </w:t>
      </w:r>
      <w:r w:rsidRPr="00A721C2">
        <w:rPr>
          <w:b/>
          <w:bCs/>
          <w:kern w:val="2"/>
          <w:sz w:val="24"/>
          <w:szCs w:val="24"/>
          <w:lang w:eastAsia="en-GB"/>
          <w14:ligatures w14:val="standardContextual"/>
        </w:rPr>
        <w:t>Appendix B</w:t>
      </w:r>
      <w:r w:rsidR="00A721C2">
        <w:rPr>
          <w:kern w:val="2"/>
          <w:sz w:val="24"/>
          <w:szCs w:val="24"/>
          <w:lang w:eastAsia="en-GB"/>
          <w14:ligatures w14:val="standardContextual"/>
        </w:rPr>
        <w:t>-</w:t>
      </w:r>
      <w:r w:rsidRPr="00B8034A">
        <w:rPr>
          <w:kern w:val="2"/>
          <w:sz w:val="24"/>
          <w:szCs w:val="24"/>
          <w:lang w:eastAsia="en-GB"/>
          <w14:ligatures w14:val="standardContextual"/>
        </w:rPr>
        <w:t xml:space="preserve"> </w:t>
      </w:r>
      <w:r w:rsidRPr="00A721C2">
        <w:rPr>
          <w:b/>
          <w:bCs/>
          <w:kern w:val="2"/>
          <w:sz w:val="24"/>
          <w:szCs w:val="24"/>
          <w:lang w:eastAsia="en-GB"/>
          <w14:ligatures w14:val="standardContextual"/>
        </w:rPr>
        <w:t>Ratio Formula</w:t>
      </w:r>
    </w:p>
    <w:p w14:paraId="06100C74" w14:textId="77777777" w:rsidR="00C936C8" w:rsidRPr="00B8034A" w:rsidRDefault="00C936C8" w:rsidP="00B8034A">
      <w:pPr>
        <w:spacing w:after="0" w:line="360" w:lineRule="auto"/>
        <w:rPr>
          <w:rFonts w:eastAsia="Times New Roman" w:cs="Times New Roman"/>
          <w:sz w:val="24"/>
          <w:szCs w:val="24"/>
          <w:lang w:eastAsia="en-GB"/>
        </w:rPr>
      </w:pPr>
    </w:p>
    <w:p w14:paraId="30BA81BA"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Profitability Ratios</w:t>
      </w:r>
    </w:p>
    <w:p w14:paraId="7E0F9043" w14:textId="489CAC01"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Gross Profit Ratio</w:t>
      </w:r>
      <w:r w:rsidRPr="00B8034A">
        <w:rPr>
          <w:rFonts w:eastAsia="Times New Roman" w:cs="Times New Roman"/>
          <w:sz w:val="24"/>
          <w:szCs w:val="24"/>
          <w:lang w:eastAsia="en-GB"/>
        </w:rPr>
        <w:br/>
        <w:t xml:space="preserve">= Gross Profit / Revenue </w:t>
      </w:r>
      <w:r w:rsidR="00FD3A05">
        <w:rPr>
          <w:rFonts w:eastAsia="Times New Roman" w:cs="Times New Roman"/>
          <w:sz w:val="24"/>
          <w:szCs w:val="24"/>
          <w:lang w:eastAsia="en-GB"/>
        </w:rPr>
        <w:t>x</w:t>
      </w:r>
      <w:r w:rsidRPr="00B8034A">
        <w:rPr>
          <w:rFonts w:eastAsia="Times New Roman" w:cs="Times New Roman"/>
          <w:sz w:val="24"/>
          <w:szCs w:val="24"/>
          <w:lang w:eastAsia="en-GB"/>
        </w:rPr>
        <w:t xml:space="preserve"> 100</w:t>
      </w:r>
    </w:p>
    <w:p w14:paraId="361E566C" w14:textId="3E5B389B"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lastRenderedPageBreak/>
        <w:t>Net Profit Ratio</w:t>
      </w:r>
      <w:r w:rsidRPr="00B8034A">
        <w:rPr>
          <w:rFonts w:eastAsia="Times New Roman" w:cs="Times New Roman"/>
          <w:sz w:val="24"/>
          <w:szCs w:val="24"/>
          <w:lang w:eastAsia="en-GB"/>
        </w:rPr>
        <w:br/>
        <w:t xml:space="preserve">= Operating Profit / Revenue </w:t>
      </w:r>
      <w:r w:rsidR="00245503">
        <w:rPr>
          <w:rFonts w:eastAsia="Times New Roman" w:cs="Times New Roman"/>
          <w:sz w:val="24"/>
          <w:szCs w:val="24"/>
          <w:lang w:eastAsia="en-GB"/>
        </w:rPr>
        <w:t xml:space="preserve">x </w:t>
      </w:r>
      <w:r w:rsidRPr="00B8034A">
        <w:rPr>
          <w:rFonts w:eastAsia="Times New Roman" w:cs="Times New Roman"/>
          <w:sz w:val="24"/>
          <w:szCs w:val="24"/>
          <w:lang w:eastAsia="en-GB"/>
        </w:rPr>
        <w:t>100</w:t>
      </w:r>
    </w:p>
    <w:p w14:paraId="44E63F48" w14:textId="7851A2F8"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Return on Capital Employed (ROCE)</w:t>
      </w:r>
      <w:r w:rsidRPr="00B8034A">
        <w:rPr>
          <w:rFonts w:eastAsia="Times New Roman" w:cs="Times New Roman"/>
          <w:sz w:val="24"/>
          <w:szCs w:val="24"/>
          <w:lang w:eastAsia="en-GB"/>
        </w:rPr>
        <w:br/>
        <w:t>= Operating Profit / (</w:t>
      </w:r>
      <w:r w:rsidR="00EA3471">
        <w:rPr>
          <w:rFonts w:eastAsia="Times New Roman" w:cs="Times New Roman"/>
          <w:sz w:val="24"/>
          <w:szCs w:val="24"/>
          <w:lang w:eastAsia="en-GB"/>
        </w:rPr>
        <w:t>TALCL</w:t>
      </w:r>
      <w:r w:rsidRPr="00B8034A">
        <w:rPr>
          <w:rFonts w:eastAsia="Times New Roman" w:cs="Times New Roman"/>
          <w:sz w:val="24"/>
          <w:szCs w:val="24"/>
          <w:lang w:eastAsia="en-GB"/>
        </w:rPr>
        <w:t xml:space="preserve">) </w:t>
      </w:r>
      <w:r w:rsidR="00245503">
        <w:rPr>
          <w:rFonts w:eastAsia="Times New Roman" w:cs="Times New Roman"/>
          <w:sz w:val="24"/>
          <w:szCs w:val="24"/>
          <w:lang w:eastAsia="en-GB"/>
        </w:rPr>
        <w:t xml:space="preserve">x </w:t>
      </w:r>
      <w:r w:rsidRPr="00B8034A">
        <w:rPr>
          <w:rFonts w:eastAsia="Times New Roman" w:cs="Times New Roman"/>
          <w:sz w:val="24"/>
          <w:szCs w:val="24"/>
          <w:lang w:eastAsia="en-GB"/>
        </w:rPr>
        <w:t>100</w:t>
      </w:r>
    </w:p>
    <w:p w14:paraId="50168306" w14:textId="77777777" w:rsidR="00C936C8" w:rsidRPr="00B8034A" w:rsidRDefault="00C936C8" w:rsidP="00B8034A">
      <w:pPr>
        <w:spacing w:after="0" w:line="360" w:lineRule="auto"/>
        <w:rPr>
          <w:rFonts w:eastAsia="Times New Roman" w:cs="Times New Roman"/>
          <w:sz w:val="24"/>
          <w:szCs w:val="24"/>
          <w:lang w:eastAsia="en-GB"/>
        </w:rPr>
      </w:pPr>
    </w:p>
    <w:p w14:paraId="0AAD5D2B"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Efficiency Ratios</w:t>
      </w:r>
    </w:p>
    <w:p w14:paraId="37DBE1E2" w14:textId="109C452E"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Asset Turnover</w:t>
      </w:r>
      <w:r w:rsidRPr="00B8034A">
        <w:rPr>
          <w:rFonts w:eastAsia="Times New Roman" w:cs="Times New Roman"/>
          <w:sz w:val="24"/>
          <w:szCs w:val="24"/>
          <w:lang w:eastAsia="en-GB"/>
        </w:rPr>
        <w:br/>
        <w:t>= Revenue / (T</w:t>
      </w:r>
      <w:r w:rsidR="00EA3471">
        <w:rPr>
          <w:rFonts w:eastAsia="Times New Roman" w:cs="Times New Roman"/>
          <w:sz w:val="24"/>
          <w:szCs w:val="24"/>
          <w:lang w:eastAsia="en-GB"/>
        </w:rPr>
        <w:t>ALCL</w:t>
      </w:r>
      <w:r w:rsidRPr="00B8034A">
        <w:rPr>
          <w:rFonts w:eastAsia="Times New Roman" w:cs="Times New Roman"/>
          <w:sz w:val="24"/>
          <w:szCs w:val="24"/>
          <w:lang w:eastAsia="en-GB"/>
        </w:rPr>
        <w:t>)</w:t>
      </w:r>
    </w:p>
    <w:p w14:paraId="09757BD6" w14:textId="5080E65E"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Debtor Days</w:t>
      </w:r>
      <w:r w:rsidRPr="00B8034A">
        <w:rPr>
          <w:rFonts w:eastAsia="Times New Roman" w:cs="Times New Roman"/>
          <w:sz w:val="24"/>
          <w:szCs w:val="24"/>
          <w:lang w:eastAsia="en-GB"/>
        </w:rPr>
        <w:br/>
        <w:t xml:space="preserve">= Trade Receivables / Revenue </w:t>
      </w:r>
      <w:r w:rsidR="0049771B">
        <w:rPr>
          <w:rFonts w:eastAsia="Times New Roman" w:cs="Times New Roman"/>
          <w:sz w:val="24"/>
          <w:szCs w:val="24"/>
          <w:lang w:eastAsia="en-GB"/>
        </w:rPr>
        <w:t>x</w:t>
      </w:r>
      <w:r w:rsidRPr="00B8034A">
        <w:rPr>
          <w:rFonts w:eastAsia="Times New Roman" w:cs="Times New Roman"/>
          <w:sz w:val="24"/>
          <w:szCs w:val="24"/>
          <w:lang w:eastAsia="en-GB"/>
        </w:rPr>
        <w:t xml:space="preserve"> 365</w:t>
      </w:r>
    </w:p>
    <w:p w14:paraId="7B1C8752" w14:textId="4FDE5762"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Creditor Days</w:t>
      </w:r>
      <w:r w:rsidRPr="00B8034A">
        <w:rPr>
          <w:rFonts w:eastAsia="Times New Roman" w:cs="Times New Roman"/>
          <w:sz w:val="24"/>
          <w:szCs w:val="24"/>
          <w:lang w:eastAsia="en-GB"/>
        </w:rPr>
        <w:br/>
        <w:t xml:space="preserve">= Trade Payables / Cost of Sales </w:t>
      </w:r>
      <w:r w:rsidR="0049771B">
        <w:rPr>
          <w:rFonts w:eastAsia="Times New Roman" w:cs="Times New Roman"/>
          <w:sz w:val="24"/>
          <w:szCs w:val="24"/>
          <w:lang w:eastAsia="en-GB"/>
        </w:rPr>
        <w:t>x</w:t>
      </w:r>
      <w:r w:rsidRPr="00B8034A">
        <w:rPr>
          <w:rFonts w:eastAsia="Times New Roman" w:cs="Times New Roman"/>
          <w:sz w:val="24"/>
          <w:szCs w:val="24"/>
          <w:lang w:eastAsia="en-GB"/>
        </w:rPr>
        <w:t xml:space="preserve"> 365</w:t>
      </w:r>
    </w:p>
    <w:p w14:paraId="1080590A" w14:textId="2BF58C4D"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Stock Days</w:t>
      </w:r>
      <w:r w:rsidRPr="00B8034A">
        <w:rPr>
          <w:rFonts w:eastAsia="Times New Roman" w:cs="Times New Roman"/>
          <w:sz w:val="24"/>
          <w:szCs w:val="24"/>
          <w:lang w:eastAsia="en-GB"/>
        </w:rPr>
        <w:br/>
        <w:t xml:space="preserve">= Inventory / Cost of Sales </w:t>
      </w:r>
      <w:r w:rsidR="0049771B">
        <w:rPr>
          <w:rFonts w:eastAsia="Times New Roman" w:cs="Times New Roman"/>
          <w:sz w:val="24"/>
          <w:szCs w:val="24"/>
          <w:lang w:eastAsia="en-GB"/>
        </w:rPr>
        <w:t xml:space="preserve">x </w:t>
      </w:r>
      <w:r w:rsidRPr="00B8034A">
        <w:rPr>
          <w:rFonts w:eastAsia="Times New Roman" w:cs="Times New Roman"/>
          <w:sz w:val="24"/>
          <w:szCs w:val="24"/>
          <w:lang w:eastAsia="en-GB"/>
        </w:rPr>
        <w:t>365</w:t>
      </w:r>
    </w:p>
    <w:p w14:paraId="26E49F0A"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Stock Turnover</w:t>
      </w:r>
      <w:r w:rsidRPr="00B8034A">
        <w:rPr>
          <w:rFonts w:eastAsia="Times New Roman" w:cs="Times New Roman"/>
          <w:sz w:val="24"/>
          <w:szCs w:val="24"/>
          <w:lang w:eastAsia="en-GB"/>
        </w:rPr>
        <w:br/>
        <w:t>= Cost of Sales / Inventory</w:t>
      </w:r>
    </w:p>
    <w:p w14:paraId="2BB60446" w14:textId="77777777" w:rsidR="00C936C8" w:rsidRPr="00B8034A" w:rsidRDefault="00C936C8" w:rsidP="00B8034A">
      <w:pPr>
        <w:spacing w:after="0" w:line="360" w:lineRule="auto"/>
        <w:rPr>
          <w:rFonts w:eastAsia="Times New Roman" w:cs="Times New Roman"/>
          <w:sz w:val="24"/>
          <w:szCs w:val="24"/>
          <w:lang w:eastAsia="en-GB"/>
        </w:rPr>
      </w:pPr>
    </w:p>
    <w:p w14:paraId="00CEA968"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Liquidity Ratios</w:t>
      </w:r>
    </w:p>
    <w:p w14:paraId="1345A232"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Current Ratio</w:t>
      </w:r>
      <w:r w:rsidRPr="00B8034A">
        <w:rPr>
          <w:rFonts w:eastAsia="Times New Roman" w:cs="Times New Roman"/>
          <w:sz w:val="24"/>
          <w:szCs w:val="24"/>
          <w:lang w:eastAsia="en-GB"/>
        </w:rPr>
        <w:br/>
        <w:t>= Current Assets / Current Liabilities</w:t>
      </w:r>
    </w:p>
    <w:p w14:paraId="716C2078"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Quick Ratio</w:t>
      </w:r>
      <w:r w:rsidRPr="00B8034A">
        <w:rPr>
          <w:rFonts w:eastAsia="Times New Roman" w:cs="Times New Roman"/>
          <w:sz w:val="24"/>
          <w:szCs w:val="24"/>
          <w:lang w:eastAsia="en-GB"/>
        </w:rPr>
        <w:br/>
        <w:t>= (Current Assets – Inventory) / Current Liabilities</w:t>
      </w:r>
    </w:p>
    <w:p w14:paraId="5C268BCC" w14:textId="77777777" w:rsidR="00C936C8" w:rsidRPr="00B8034A" w:rsidRDefault="00C936C8" w:rsidP="00B8034A">
      <w:pPr>
        <w:spacing w:line="360" w:lineRule="auto"/>
        <w:rPr>
          <w:kern w:val="2"/>
          <w:sz w:val="24"/>
          <w:szCs w:val="24"/>
          <w:lang w:eastAsia="en-GB"/>
          <w14:ligatures w14:val="standardContextual"/>
        </w:rPr>
      </w:pPr>
    </w:p>
    <w:p w14:paraId="4DCDFE6E"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Gearing Ratios</w:t>
      </w:r>
    </w:p>
    <w:p w14:paraId="72A69C52" w14:textId="5FD8A0C1"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lastRenderedPageBreak/>
        <w:t>Loan to Capital Employed</w:t>
      </w:r>
      <w:r w:rsidRPr="00B8034A">
        <w:rPr>
          <w:rFonts w:eastAsia="Times New Roman" w:cs="Times New Roman"/>
          <w:sz w:val="24"/>
          <w:szCs w:val="24"/>
          <w:lang w:eastAsia="en-GB"/>
        </w:rPr>
        <w:br/>
        <w:t>= Total Borrowings / (T</w:t>
      </w:r>
      <w:r w:rsidR="00A920C9">
        <w:rPr>
          <w:rFonts w:eastAsia="Times New Roman" w:cs="Times New Roman"/>
          <w:sz w:val="24"/>
          <w:szCs w:val="24"/>
          <w:lang w:eastAsia="en-GB"/>
        </w:rPr>
        <w:t>ALCL</w:t>
      </w:r>
      <w:r w:rsidRPr="00B8034A">
        <w:rPr>
          <w:rFonts w:eastAsia="Times New Roman" w:cs="Times New Roman"/>
          <w:sz w:val="24"/>
          <w:szCs w:val="24"/>
          <w:lang w:eastAsia="en-GB"/>
        </w:rPr>
        <w:t xml:space="preserve">)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p>
    <w:p w14:paraId="7CC7F83C" w14:textId="2B26E504"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Loan to Net Assets</w:t>
      </w:r>
      <w:r w:rsidRPr="00B8034A">
        <w:rPr>
          <w:rFonts w:eastAsia="Times New Roman" w:cs="Times New Roman"/>
          <w:sz w:val="24"/>
          <w:szCs w:val="24"/>
          <w:lang w:eastAsia="en-GB"/>
        </w:rPr>
        <w:br/>
        <w:t xml:space="preserve">= Total Borrowings / Net Assets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p>
    <w:p w14:paraId="1E8B1F25"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Interest Cover</w:t>
      </w:r>
      <w:r w:rsidRPr="00B8034A">
        <w:rPr>
          <w:rFonts w:eastAsia="Times New Roman" w:cs="Times New Roman"/>
          <w:sz w:val="24"/>
          <w:szCs w:val="24"/>
          <w:lang w:eastAsia="en-GB"/>
        </w:rPr>
        <w:br/>
        <w:t>= Operating Profit / Finance Costs</w:t>
      </w:r>
    </w:p>
    <w:p w14:paraId="5A367FF8" w14:textId="77777777" w:rsidR="00C936C8" w:rsidRPr="00B8034A" w:rsidRDefault="00C936C8" w:rsidP="00B8034A">
      <w:pPr>
        <w:spacing w:after="0" w:line="360" w:lineRule="auto"/>
        <w:rPr>
          <w:rFonts w:eastAsia="Times New Roman" w:cs="Times New Roman"/>
          <w:sz w:val="24"/>
          <w:szCs w:val="24"/>
          <w:lang w:eastAsia="en-GB"/>
        </w:rPr>
      </w:pPr>
    </w:p>
    <w:p w14:paraId="77D82967"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Investment Ratios</w:t>
      </w:r>
    </w:p>
    <w:p w14:paraId="3AB94C3B"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Earnings per Share (EPS)</w:t>
      </w:r>
      <w:r w:rsidRPr="00B8034A">
        <w:rPr>
          <w:rFonts w:eastAsia="Times New Roman" w:cs="Times New Roman"/>
          <w:sz w:val="24"/>
          <w:szCs w:val="24"/>
          <w:lang w:eastAsia="en-GB"/>
        </w:rPr>
        <w:br/>
        <w:t>= Profit after Tax / Number of Shares</w:t>
      </w:r>
    </w:p>
    <w:p w14:paraId="71AE37FE"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Dividend Cover</w:t>
      </w:r>
      <w:r w:rsidRPr="00B8034A">
        <w:rPr>
          <w:rFonts w:eastAsia="Times New Roman" w:cs="Times New Roman"/>
          <w:sz w:val="24"/>
          <w:szCs w:val="24"/>
          <w:lang w:eastAsia="en-GB"/>
        </w:rPr>
        <w:br/>
        <w:t>= Profit after Tax / Ordinary Dividend</w:t>
      </w:r>
    </w:p>
    <w:p w14:paraId="43A6ECD5" w14:textId="77777777" w:rsidR="00C936C8" w:rsidRPr="00B8034A" w:rsidRDefault="00C936C8" w:rsidP="00B8034A">
      <w:pPr>
        <w:spacing w:after="0" w:line="360" w:lineRule="auto"/>
        <w:rPr>
          <w:rFonts w:eastAsia="Times New Roman" w:cs="Times New Roman"/>
          <w:sz w:val="24"/>
          <w:szCs w:val="24"/>
          <w:lang w:eastAsia="en-GB"/>
        </w:rPr>
      </w:pPr>
    </w:p>
    <w:p w14:paraId="75D86E09" w14:textId="241839F8" w:rsidR="00C936C8" w:rsidRPr="00B8034A" w:rsidRDefault="00C936C8" w:rsidP="00B8034A">
      <w:pPr>
        <w:spacing w:line="360" w:lineRule="auto"/>
        <w:rPr>
          <w:kern w:val="2"/>
          <w:sz w:val="24"/>
          <w:szCs w:val="24"/>
          <w:lang w:eastAsia="en-GB"/>
          <w14:ligatures w14:val="standardContextual"/>
        </w:rPr>
      </w:pPr>
      <w:r w:rsidRPr="00A721C2">
        <w:rPr>
          <w:b/>
          <w:bCs/>
          <w:kern w:val="2"/>
          <w:sz w:val="24"/>
          <w:szCs w:val="24"/>
          <w:lang w:eastAsia="en-GB"/>
          <w14:ligatures w14:val="standardContextual"/>
        </w:rPr>
        <w:t>Appendix C</w:t>
      </w:r>
      <w:r w:rsidR="00A721C2" w:rsidRPr="00A721C2">
        <w:rPr>
          <w:b/>
          <w:bCs/>
          <w:kern w:val="2"/>
          <w:sz w:val="24"/>
          <w:szCs w:val="24"/>
          <w:lang w:eastAsia="en-GB"/>
          <w14:ligatures w14:val="standardContextual"/>
        </w:rPr>
        <w:t>-</w:t>
      </w:r>
      <w:r w:rsidRPr="00B8034A">
        <w:rPr>
          <w:kern w:val="2"/>
          <w:sz w:val="24"/>
          <w:szCs w:val="24"/>
          <w:lang w:eastAsia="en-GB"/>
          <w14:ligatures w14:val="standardContextual"/>
        </w:rPr>
        <w:t xml:space="preserve"> </w:t>
      </w:r>
      <w:r w:rsidRPr="00A721C2">
        <w:rPr>
          <w:b/>
          <w:bCs/>
          <w:kern w:val="2"/>
          <w:sz w:val="24"/>
          <w:szCs w:val="24"/>
          <w:lang w:eastAsia="en-GB"/>
          <w14:ligatures w14:val="standardContextual"/>
        </w:rPr>
        <w:t>Ratio Calculations</w:t>
      </w:r>
    </w:p>
    <w:p w14:paraId="0B023420" w14:textId="77777777" w:rsidR="00C936C8" w:rsidRPr="00B8034A" w:rsidRDefault="00C936C8" w:rsidP="00B8034A">
      <w:pPr>
        <w:spacing w:after="0" w:line="360" w:lineRule="auto"/>
        <w:rPr>
          <w:rFonts w:eastAsia="Times New Roman" w:cs="Times New Roman"/>
          <w:sz w:val="24"/>
          <w:szCs w:val="24"/>
          <w:lang w:eastAsia="en-GB"/>
        </w:rPr>
      </w:pPr>
    </w:p>
    <w:p w14:paraId="6E9675FB"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Profitability</w:t>
      </w:r>
    </w:p>
    <w:p w14:paraId="1D390D88"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Gross Profit Ratio</w:t>
      </w:r>
    </w:p>
    <w:p w14:paraId="30C8CAE3" w14:textId="2D07411E"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(26</w:t>
      </w:r>
      <w:r w:rsidR="008C764E">
        <w:rPr>
          <w:rFonts w:eastAsia="Times New Roman" w:cs="Times New Roman"/>
          <w:sz w:val="24"/>
          <w:szCs w:val="24"/>
          <w:lang w:eastAsia="en-GB"/>
        </w:rPr>
        <w:t>,</w:t>
      </w:r>
      <w:r w:rsidRPr="00B8034A">
        <w:rPr>
          <w:rFonts w:eastAsia="Times New Roman" w:cs="Times New Roman"/>
          <w:sz w:val="24"/>
          <w:szCs w:val="24"/>
          <w:lang w:eastAsia="en-GB"/>
        </w:rPr>
        <w:t>312 – 24</w:t>
      </w:r>
      <w:r w:rsidR="008C764E">
        <w:rPr>
          <w:rFonts w:eastAsia="Times New Roman" w:cs="Times New Roman"/>
          <w:sz w:val="24"/>
          <w:szCs w:val="24"/>
          <w:lang w:eastAsia="en-GB"/>
        </w:rPr>
        <w:t>,</w:t>
      </w:r>
      <w:r w:rsidRPr="00B8034A">
        <w:rPr>
          <w:rFonts w:eastAsia="Times New Roman" w:cs="Times New Roman"/>
          <w:sz w:val="24"/>
          <w:szCs w:val="24"/>
          <w:lang w:eastAsia="en-GB"/>
        </w:rPr>
        <w:t xml:space="preserve">106) / 26,312 </w:t>
      </w:r>
      <w:r w:rsidR="008C764E">
        <w:rPr>
          <w:rFonts w:eastAsia="Times New Roman" w:cs="Times New Roman"/>
          <w:sz w:val="24"/>
          <w:szCs w:val="24"/>
          <w:lang w:eastAsia="en-GB"/>
        </w:rPr>
        <w:t>x</w:t>
      </w:r>
      <w:r w:rsidRPr="00B8034A">
        <w:rPr>
          <w:rFonts w:eastAsia="Times New Roman" w:cs="Times New Roman"/>
          <w:sz w:val="24"/>
          <w:szCs w:val="24"/>
          <w:lang w:eastAsia="en-GB"/>
        </w:rPr>
        <w:t xml:space="preserve"> 100</w:t>
      </w:r>
      <w:r w:rsidRPr="00B8034A">
        <w:rPr>
          <w:rFonts w:eastAsia="Times New Roman" w:cs="Times New Roman"/>
          <w:sz w:val="24"/>
          <w:szCs w:val="24"/>
          <w:lang w:eastAsia="en-GB"/>
        </w:rPr>
        <w:br/>
        <w:t xml:space="preserve">= 2,206 / 26,312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8.38%</w:t>
      </w:r>
    </w:p>
    <w:p w14:paraId="221C2DF3" w14:textId="396AF2AE"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(23,078 – 20,917) / 23,078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xml:space="preserve">= 2,161 / 23,078 </w:t>
      </w:r>
      <w:r w:rsidR="008C764E">
        <w:rPr>
          <w:rFonts w:eastAsia="Times New Roman" w:cs="Times New Roman"/>
          <w:sz w:val="24"/>
          <w:szCs w:val="24"/>
          <w:lang w:eastAsia="en-GB"/>
        </w:rPr>
        <w:t>x</w:t>
      </w:r>
      <w:r w:rsidRPr="00B8034A">
        <w:rPr>
          <w:rFonts w:eastAsia="Times New Roman" w:cs="Times New Roman"/>
          <w:sz w:val="24"/>
          <w:szCs w:val="24"/>
          <w:lang w:eastAsia="en-GB"/>
        </w:rPr>
        <w:t xml:space="preserve"> 100</w:t>
      </w:r>
      <w:r w:rsidRPr="00B8034A">
        <w:rPr>
          <w:rFonts w:eastAsia="Times New Roman" w:cs="Times New Roman"/>
          <w:sz w:val="24"/>
          <w:szCs w:val="24"/>
          <w:lang w:eastAsia="en-GB"/>
        </w:rPr>
        <w:br/>
        <w:t>= 9.36%</w:t>
      </w:r>
    </w:p>
    <w:p w14:paraId="2E1B81B2" w14:textId="77777777" w:rsidR="00C936C8" w:rsidRPr="00B8034A" w:rsidRDefault="00C936C8" w:rsidP="00B8034A">
      <w:pPr>
        <w:spacing w:after="0" w:line="360" w:lineRule="auto"/>
        <w:rPr>
          <w:rFonts w:eastAsia="Times New Roman" w:cs="Times New Roman"/>
          <w:sz w:val="24"/>
          <w:szCs w:val="24"/>
          <w:lang w:eastAsia="en-GB"/>
        </w:rPr>
      </w:pPr>
    </w:p>
    <w:p w14:paraId="704B48E7"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Net Profit Ratio</w:t>
      </w:r>
    </w:p>
    <w:p w14:paraId="1338AB73" w14:textId="10F941C0"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xml:space="preserve">= 2,685 / 26,312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10.21%</w:t>
      </w:r>
    </w:p>
    <w:p w14:paraId="0016130D" w14:textId="7B48C428"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2,573 / 23,078 </w:t>
      </w:r>
      <w:r w:rsidR="008C764E">
        <w:rPr>
          <w:rFonts w:eastAsia="Times New Roman" w:cs="Times New Roman"/>
          <w:sz w:val="24"/>
          <w:szCs w:val="24"/>
          <w:lang w:eastAsia="en-GB"/>
        </w:rPr>
        <w:t>x</w:t>
      </w:r>
      <w:r w:rsidRPr="00B8034A">
        <w:rPr>
          <w:rFonts w:eastAsia="Times New Roman" w:cs="Times New Roman"/>
          <w:sz w:val="24"/>
          <w:szCs w:val="24"/>
          <w:lang w:eastAsia="en-GB"/>
        </w:rPr>
        <w:t xml:space="preserve"> 100</w:t>
      </w:r>
      <w:r w:rsidRPr="00B8034A">
        <w:rPr>
          <w:rFonts w:eastAsia="Times New Roman" w:cs="Times New Roman"/>
          <w:sz w:val="24"/>
          <w:szCs w:val="24"/>
          <w:lang w:eastAsia="en-GB"/>
        </w:rPr>
        <w:br/>
        <w:t>= 11.15%</w:t>
      </w:r>
    </w:p>
    <w:p w14:paraId="69E59D02"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ROCE</w:t>
      </w:r>
    </w:p>
    <w:p w14:paraId="28C533EA" w14:textId="2E2EA45F"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xml:space="preserve">= 2,685 / (38,142 -12,342)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xml:space="preserve">= 2,685 / 25,800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10.41%</w:t>
      </w:r>
    </w:p>
    <w:p w14:paraId="3065657C" w14:textId="3E0383C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2,573 / (32,064 -10,943) </w:t>
      </w:r>
      <w:r w:rsidR="008C764E">
        <w:rPr>
          <w:rFonts w:eastAsia="Times New Roman" w:cs="Times New Roman"/>
          <w:sz w:val="24"/>
          <w:szCs w:val="24"/>
          <w:lang w:eastAsia="en-GB"/>
        </w:rPr>
        <w:t>x</w:t>
      </w:r>
      <w:r w:rsidRPr="00B8034A">
        <w:rPr>
          <w:rFonts w:eastAsia="Times New Roman" w:cs="Times New Roman"/>
          <w:sz w:val="24"/>
          <w:szCs w:val="24"/>
          <w:lang w:eastAsia="en-GB"/>
        </w:rPr>
        <w:t xml:space="preserve"> 100</w:t>
      </w:r>
      <w:r w:rsidRPr="00B8034A">
        <w:rPr>
          <w:rFonts w:eastAsia="Times New Roman" w:cs="Times New Roman"/>
          <w:sz w:val="24"/>
          <w:szCs w:val="24"/>
          <w:lang w:eastAsia="en-GB"/>
        </w:rPr>
        <w:br/>
        <w:t xml:space="preserve">= 2,573 / 21,121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12.18%</w:t>
      </w:r>
    </w:p>
    <w:p w14:paraId="3CF318D8" w14:textId="77777777" w:rsidR="00C936C8" w:rsidRPr="00B8034A" w:rsidRDefault="00C936C8" w:rsidP="00B8034A">
      <w:pPr>
        <w:spacing w:after="0" w:line="360" w:lineRule="auto"/>
        <w:rPr>
          <w:rFonts w:eastAsia="Times New Roman" w:cs="Times New Roman"/>
          <w:sz w:val="24"/>
          <w:szCs w:val="24"/>
          <w:lang w:eastAsia="en-GB"/>
        </w:rPr>
      </w:pPr>
    </w:p>
    <w:p w14:paraId="550CE54B"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Efficiency</w:t>
      </w:r>
    </w:p>
    <w:p w14:paraId="6AC54B61"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Asset Turnover</w:t>
      </w:r>
    </w:p>
    <w:p w14:paraId="2DE9BFFA"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26,312 / 25,800</w:t>
      </w:r>
      <w:r w:rsidRPr="00B8034A">
        <w:rPr>
          <w:rFonts w:eastAsia="Times New Roman" w:cs="Times New Roman"/>
          <w:sz w:val="24"/>
          <w:szCs w:val="24"/>
          <w:lang w:eastAsia="en-GB"/>
        </w:rPr>
        <w:br/>
        <w:t>= 1.02 times</w:t>
      </w:r>
    </w:p>
    <w:p w14:paraId="7B76977C"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lastRenderedPageBreak/>
        <w:t>2023:</w:t>
      </w:r>
      <w:r w:rsidRPr="00B8034A">
        <w:rPr>
          <w:rFonts w:eastAsia="Times New Roman" w:cs="Times New Roman"/>
          <w:sz w:val="24"/>
          <w:szCs w:val="24"/>
          <w:lang w:eastAsia="en-GB"/>
        </w:rPr>
        <w:br/>
        <w:t>= 23,078 / 21,121</w:t>
      </w:r>
      <w:r w:rsidRPr="00B8034A">
        <w:rPr>
          <w:rFonts w:eastAsia="Times New Roman" w:cs="Times New Roman"/>
          <w:sz w:val="24"/>
          <w:szCs w:val="24"/>
          <w:lang w:eastAsia="en-GB"/>
        </w:rPr>
        <w:br/>
        <w:t>= 1.09 times</w:t>
      </w:r>
    </w:p>
    <w:p w14:paraId="0F9E5CB2" w14:textId="13150E8D" w:rsidR="00C936C8" w:rsidRPr="00B8034A" w:rsidRDefault="00C936C8" w:rsidP="00B8034A">
      <w:pPr>
        <w:spacing w:after="0" w:line="360" w:lineRule="auto"/>
        <w:rPr>
          <w:rFonts w:eastAsia="Times New Roman" w:cs="Times New Roman"/>
          <w:sz w:val="24"/>
          <w:szCs w:val="24"/>
          <w:lang w:eastAsia="en-GB"/>
        </w:rPr>
      </w:pPr>
    </w:p>
    <w:p w14:paraId="4956DAD3"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Debtor Days</w:t>
      </w:r>
    </w:p>
    <w:p w14:paraId="2415B967" w14:textId="5AA34076"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xml:space="preserve">= 6,663 / 26,312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365</w:t>
      </w:r>
      <w:r w:rsidRPr="00B8034A">
        <w:rPr>
          <w:rFonts w:eastAsia="Times New Roman" w:cs="Times New Roman"/>
          <w:sz w:val="24"/>
          <w:szCs w:val="24"/>
          <w:lang w:eastAsia="en-GB"/>
        </w:rPr>
        <w:br/>
        <w:t>= 92.42 days</w:t>
      </w:r>
    </w:p>
    <w:p w14:paraId="70767BB5" w14:textId="3C8A4992"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6,185 / 23,078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365</w:t>
      </w:r>
      <w:r w:rsidRPr="00B8034A">
        <w:rPr>
          <w:rFonts w:eastAsia="Times New Roman" w:cs="Times New Roman"/>
          <w:sz w:val="24"/>
          <w:szCs w:val="24"/>
          <w:lang w:eastAsia="en-GB"/>
        </w:rPr>
        <w:br/>
        <w:t>= 97.78 days</w:t>
      </w:r>
    </w:p>
    <w:p w14:paraId="0C74C00D" w14:textId="77777777" w:rsidR="00C936C8" w:rsidRPr="00B8034A" w:rsidRDefault="00C936C8" w:rsidP="00B8034A">
      <w:pPr>
        <w:spacing w:after="0" w:line="360" w:lineRule="auto"/>
        <w:rPr>
          <w:rFonts w:eastAsia="Times New Roman" w:cs="Times New Roman"/>
          <w:sz w:val="24"/>
          <w:szCs w:val="24"/>
          <w:lang w:eastAsia="en-GB"/>
        </w:rPr>
      </w:pPr>
    </w:p>
    <w:p w14:paraId="75F85869"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Creditor Days</w:t>
      </w:r>
    </w:p>
    <w:p w14:paraId="53649BFF" w14:textId="7A63269F"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1,084 / 24,106</w:t>
      </w:r>
      <w:r w:rsidR="008C764E">
        <w:rPr>
          <w:rFonts w:eastAsia="Times New Roman" w:cs="Times New Roman"/>
          <w:sz w:val="24"/>
          <w:szCs w:val="24"/>
          <w:lang w:eastAsia="en-GB"/>
        </w:rPr>
        <w:t xml:space="preserve"> x</w:t>
      </w:r>
      <w:r w:rsidRPr="00B8034A">
        <w:rPr>
          <w:rFonts w:eastAsia="Times New Roman" w:cs="Times New Roman"/>
          <w:sz w:val="24"/>
          <w:szCs w:val="24"/>
          <w:lang w:eastAsia="en-GB"/>
        </w:rPr>
        <w:t xml:space="preserve"> 365</w:t>
      </w:r>
      <w:r w:rsidRPr="00B8034A">
        <w:rPr>
          <w:rFonts w:eastAsia="Times New Roman" w:cs="Times New Roman"/>
          <w:sz w:val="24"/>
          <w:szCs w:val="24"/>
          <w:lang w:eastAsia="en-GB"/>
        </w:rPr>
        <w:br/>
        <w:t>= 16.42 days</w:t>
      </w:r>
    </w:p>
    <w:p w14:paraId="55C1562F" w14:textId="4859134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866 / 20,917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365</w:t>
      </w:r>
      <w:r w:rsidRPr="00B8034A">
        <w:rPr>
          <w:rFonts w:eastAsia="Times New Roman" w:cs="Times New Roman"/>
          <w:sz w:val="24"/>
          <w:szCs w:val="24"/>
          <w:lang w:eastAsia="en-GB"/>
        </w:rPr>
        <w:br/>
        <w:t>= 15.11 days</w:t>
      </w:r>
    </w:p>
    <w:p w14:paraId="75142D07" w14:textId="77777777" w:rsidR="00C936C8" w:rsidRPr="00B8034A" w:rsidRDefault="00C936C8" w:rsidP="00B8034A">
      <w:pPr>
        <w:spacing w:after="0" w:line="360" w:lineRule="auto"/>
        <w:rPr>
          <w:rFonts w:eastAsia="Times New Roman" w:cs="Times New Roman"/>
          <w:sz w:val="24"/>
          <w:szCs w:val="24"/>
          <w:lang w:eastAsia="en-GB"/>
        </w:rPr>
      </w:pPr>
    </w:p>
    <w:p w14:paraId="22104B39"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Stock Days</w:t>
      </w:r>
    </w:p>
    <w:p w14:paraId="66228FEA" w14:textId="1C73EA74"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xml:space="preserve">= 1,324 / 24,106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365</w:t>
      </w:r>
      <w:r w:rsidRPr="00B8034A">
        <w:rPr>
          <w:rFonts w:eastAsia="Times New Roman" w:cs="Times New Roman"/>
          <w:sz w:val="24"/>
          <w:szCs w:val="24"/>
          <w:lang w:eastAsia="en-GB"/>
        </w:rPr>
        <w:br/>
        <w:t>= 20.05 days</w:t>
      </w:r>
    </w:p>
    <w:p w14:paraId="56F7E56A" w14:textId="532CBAD9"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lastRenderedPageBreak/>
        <w:t>2023:</w:t>
      </w:r>
      <w:r w:rsidRPr="00B8034A">
        <w:rPr>
          <w:rFonts w:eastAsia="Times New Roman" w:cs="Times New Roman"/>
          <w:sz w:val="24"/>
          <w:szCs w:val="24"/>
          <w:lang w:eastAsia="en-GB"/>
        </w:rPr>
        <w:br/>
        <w:t xml:space="preserve">= 1,156 / 20,917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365</w:t>
      </w:r>
      <w:r w:rsidRPr="00B8034A">
        <w:rPr>
          <w:rFonts w:eastAsia="Times New Roman" w:cs="Times New Roman"/>
          <w:sz w:val="24"/>
          <w:szCs w:val="24"/>
          <w:lang w:eastAsia="en-GB"/>
        </w:rPr>
        <w:br/>
        <w:t>= 20.16 days</w:t>
      </w:r>
    </w:p>
    <w:p w14:paraId="7F28F270" w14:textId="77777777" w:rsidR="00C936C8" w:rsidRPr="00B8034A" w:rsidRDefault="00C936C8" w:rsidP="00B8034A">
      <w:pPr>
        <w:spacing w:after="0" w:line="360" w:lineRule="auto"/>
        <w:rPr>
          <w:rFonts w:eastAsia="Times New Roman" w:cs="Times New Roman"/>
          <w:sz w:val="24"/>
          <w:szCs w:val="24"/>
          <w:lang w:eastAsia="en-GB"/>
        </w:rPr>
      </w:pPr>
    </w:p>
    <w:p w14:paraId="60E9B835"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Stock Turnover</w:t>
      </w:r>
    </w:p>
    <w:p w14:paraId="014CBD79"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24,106 / 1,324</w:t>
      </w:r>
      <w:r w:rsidRPr="00B8034A">
        <w:rPr>
          <w:rFonts w:eastAsia="Times New Roman" w:cs="Times New Roman"/>
          <w:sz w:val="24"/>
          <w:szCs w:val="24"/>
          <w:lang w:eastAsia="en-GB"/>
        </w:rPr>
        <w:br/>
        <w:t>= 18.21 times</w:t>
      </w:r>
    </w:p>
    <w:p w14:paraId="780D73DD"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20,917 / 1,156</w:t>
      </w:r>
      <w:r w:rsidRPr="00B8034A">
        <w:rPr>
          <w:rFonts w:eastAsia="Times New Roman" w:cs="Times New Roman"/>
          <w:sz w:val="24"/>
          <w:szCs w:val="24"/>
          <w:lang w:eastAsia="en-GB"/>
        </w:rPr>
        <w:br/>
        <w:t>= 18.09 times</w:t>
      </w:r>
    </w:p>
    <w:p w14:paraId="3722EC3C" w14:textId="77777777" w:rsidR="00C936C8" w:rsidRPr="00B8034A" w:rsidRDefault="00C936C8" w:rsidP="00B8034A">
      <w:pPr>
        <w:spacing w:after="0" w:line="360" w:lineRule="auto"/>
        <w:rPr>
          <w:rFonts w:eastAsia="Times New Roman" w:cs="Times New Roman"/>
          <w:sz w:val="24"/>
          <w:szCs w:val="24"/>
          <w:lang w:eastAsia="en-GB"/>
        </w:rPr>
      </w:pPr>
    </w:p>
    <w:p w14:paraId="51CD7E0E"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Liquidity</w:t>
      </w:r>
    </w:p>
    <w:p w14:paraId="5369CB22"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Current Ratio</w:t>
      </w:r>
    </w:p>
    <w:p w14:paraId="1CA2AE59"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11,753 / 12,342</w:t>
      </w:r>
      <w:r w:rsidRPr="00B8034A">
        <w:rPr>
          <w:rFonts w:eastAsia="Times New Roman" w:cs="Times New Roman"/>
          <w:sz w:val="24"/>
          <w:szCs w:val="24"/>
          <w:lang w:eastAsia="en-GB"/>
        </w:rPr>
        <w:br/>
        <w:t>= 0.95:1</w:t>
      </w:r>
    </w:p>
    <w:p w14:paraId="28073B64"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11,773 / 10,943</w:t>
      </w:r>
      <w:r w:rsidRPr="00B8034A">
        <w:rPr>
          <w:rFonts w:eastAsia="Times New Roman" w:cs="Times New Roman"/>
          <w:sz w:val="24"/>
          <w:szCs w:val="24"/>
          <w:lang w:eastAsia="en-GB"/>
        </w:rPr>
        <w:br/>
        <w:t>= 1.08:1</w:t>
      </w:r>
    </w:p>
    <w:p w14:paraId="387E2181" w14:textId="77777777" w:rsidR="00C936C8" w:rsidRPr="00B8034A" w:rsidRDefault="00C936C8" w:rsidP="00B8034A">
      <w:pPr>
        <w:spacing w:after="0" w:line="360" w:lineRule="auto"/>
        <w:rPr>
          <w:rFonts w:eastAsia="Times New Roman" w:cs="Times New Roman"/>
          <w:sz w:val="24"/>
          <w:szCs w:val="24"/>
          <w:lang w:eastAsia="en-GB"/>
        </w:rPr>
      </w:pPr>
    </w:p>
    <w:p w14:paraId="59D811DA"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Quick Ratio</w:t>
      </w:r>
    </w:p>
    <w:p w14:paraId="5131B6AE"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(11,753 – 1,324) / 12,342</w:t>
      </w:r>
      <w:r w:rsidRPr="00B8034A">
        <w:rPr>
          <w:rFonts w:eastAsia="Times New Roman" w:cs="Times New Roman"/>
          <w:sz w:val="24"/>
          <w:szCs w:val="24"/>
          <w:lang w:eastAsia="en-GB"/>
        </w:rPr>
        <w:br/>
        <w:t>= 0.85:1</w:t>
      </w:r>
    </w:p>
    <w:p w14:paraId="7B3A0CEB"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lastRenderedPageBreak/>
        <w:t>2023:</w:t>
      </w:r>
      <w:r w:rsidRPr="00B8034A">
        <w:rPr>
          <w:rFonts w:eastAsia="Times New Roman" w:cs="Times New Roman"/>
          <w:sz w:val="24"/>
          <w:szCs w:val="24"/>
          <w:lang w:eastAsia="en-GB"/>
        </w:rPr>
        <w:br/>
        <w:t>= (11,773 – 1,156) / 10,943</w:t>
      </w:r>
      <w:r w:rsidRPr="00B8034A">
        <w:rPr>
          <w:rFonts w:eastAsia="Times New Roman" w:cs="Times New Roman"/>
          <w:sz w:val="24"/>
          <w:szCs w:val="24"/>
          <w:lang w:eastAsia="en-GB"/>
        </w:rPr>
        <w:br/>
        <w:t>= 0.97:1</w:t>
      </w:r>
    </w:p>
    <w:p w14:paraId="7D0EA028" w14:textId="77777777" w:rsidR="00C936C8" w:rsidRPr="00B8034A" w:rsidRDefault="00C936C8" w:rsidP="00B8034A">
      <w:pPr>
        <w:spacing w:after="0" w:line="360" w:lineRule="auto"/>
        <w:rPr>
          <w:rFonts w:eastAsia="Times New Roman" w:cs="Times New Roman"/>
          <w:sz w:val="24"/>
          <w:szCs w:val="24"/>
          <w:lang w:eastAsia="en-GB"/>
        </w:rPr>
      </w:pPr>
    </w:p>
    <w:p w14:paraId="35232A6C"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Gearing</w:t>
      </w:r>
    </w:p>
    <w:p w14:paraId="211F4FDF"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Loan to Capital Employed</w:t>
      </w:r>
    </w:p>
    <w:p w14:paraId="4947E14C" w14:textId="0E2A0EB4"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xml:space="preserve">= 8,412 / 25,800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32.60%</w:t>
      </w:r>
    </w:p>
    <w:p w14:paraId="659AFECB" w14:textId="7BE1B4A4"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5,111 / 21,121 </w:t>
      </w:r>
      <w:r w:rsidR="008C764E">
        <w:rPr>
          <w:rFonts w:eastAsia="Times New Roman" w:cs="Times New Roman"/>
          <w:sz w:val="24"/>
          <w:szCs w:val="24"/>
          <w:lang w:eastAsia="en-GB"/>
        </w:rPr>
        <w:t>x</w:t>
      </w:r>
      <w:r w:rsidRPr="00B8034A">
        <w:rPr>
          <w:rFonts w:eastAsia="Times New Roman" w:cs="Times New Roman"/>
          <w:sz w:val="24"/>
          <w:szCs w:val="24"/>
          <w:lang w:eastAsia="en-GB"/>
        </w:rPr>
        <w:t xml:space="preserve"> 100</w:t>
      </w:r>
      <w:r w:rsidRPr="00B8034A">
        <w:rPr>
          <w:rFonts w:eastAsia="Times New Roman" w:cs="Times New Roman"/>
          <w:sz w:val="24"/>
          <w:szCs w:val="24"/>
          <w:lang w:eastAsia="en-GB"/>
        </w:rPr>
        <w:br/>
        <w:t>= 24.20%</w:t>
      </w:r>
    </w:p>
    <w:p w14:paraId="062D97F4" w14:textId="77777777" w:rsidR="00C936C8" w:rsidRPr="00B8034A" w:rsidRDefault="00C936C8" w:rsidP="00B8034A">
      <w:pPr>
        <w:spacing w:after="0" w:line="360" w:lineRule="auto"/>
        <w:rPr>
          <w:rFonts w:eastAsia="Times New Roman" w:cs="Times New Roman"/>
          <w:sz w:val="24"/>
          <w:szCs w:val="24"/>
          <w:lang w:eastAsia="en-GB"/>
        </w:rPr>
      </w:pPr>
    </w:p>
    <w:p w14:paraId="1E2B15D4"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Loan to Net Assets</w:t>
      </w:r>
    </w:p>
    <w:p w14:paraId="75F1239B" w14:textId="5788108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xml:space="preserve">= 8,412 / 11,777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100</w:t>
      </w:r>
      <w:r w:rsidRPr="00B8034A">
        <w:rPr>
          <w:rFonts w:eastAsia="Times New Roman" w:cs="Times New Roman"/>
          <w:sz w:val="24"/>
          <w:szCs w:val="24"/>
          <w:lang w:eastAsia="en-GB"/>
        </w:rPr>
        <w:br/>
        <w:t>= 71.43%</w:t>
      </w:r>
    </w:p>
    <w:p w14:paraId="3EEFD6FD" w14:textId="0086F8F9"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2023:</w:t>
      </w:r>
      <w:r w:rsidRPr="00B8034A">
        <w:rPr>
          <w:rFonts w:eastAsia="Times New Roman" w:cs="Times New Roman"/>
          <w:sz w:val="24"/>
          <w:szCs w:val="24"/>
          <w:lang w:eastAsia="en-GB"/>
        </w:rPr>
        <w:br/>
        <w:t xml:space="preserve">= 5,111 / 10,723 </w:t>
      </w:r>
      <w:r w:rsidR="008C764E">
        <w:rPr>
          <w:rFonts w:eastAsia="Times New Roman" w:cs="Times New Roman"/>
          <w:sz w:val="24"/>
          <w:szCs w:val="24"/>
          <w:lang w:eastAsia="en-GB"/>
        </w:rPr>
        <w:t>x</w:t>
      </w:r>
      <w:r w:rsidRPr="00B8034A">
        <w:rPr>
          <w:rFonts w:eastAsia="Times New Roman" w:cs="Times New Roman"/>
          <w:sz w:val="24"/>
          <w:szCs w:val="24"/>
          <w:lang w:eastAsia="en-GB"/>
        </w:rPr>
        <w:t xml:space="preserve"> 100</w:t>
      </w:r>
      <w:r w:rsidRPr="00B8034A">
        <w:rPr>
          <w:rFonts w:eastAsia="Times New Roman" w:cs="Times New Roman"/>
          <w:sz w:val="24"/>
          <w:szCs w:val="24"/>
          <w:lang w:eastAsia="en-GB"/>
        </w:rPr>
        <w:br/>
        <w:t>= 47.66%</w:t>
      </w:r>
    </w:p>
    <w:p w14:paraId="12176E1F"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Interest Cover</w:t>
      </w:r>
    </w:p>
    <w:p w14:paraId="27E8564F"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2024:</w:t>
      </w:r>
      <w:r w:rsidRPr="00B8034A">
        <w:rPr>
          <w:rFonts w:eastAsia="Times New Roman" w:cs="Times New Roman"/>
          <w:sz w:val="24"/>
          <w:szCs w:val="24"/>
          <w:lang w:eastAsia="en-GB"/>
        </w:rPr>
        <w:br/>
        <w:t>= 2,685 / 488</w:t>
      </w:r>
      <w:r w:rsidRPr="00B8034A">
        <w:rPr>
          <w:rFonts w:eastAsia="Times New Roman" w:cs="Times New Roman"/>
          <w:sz w:val="24"/>
          <w:szCs w:val="24"/>
          <w:lang w:eastAsia="en-GB"/>
        </w:rPr>
        <w:br/>
        <w:t>= 5.50 times</w:t>
      </w:r>
    </w:p>
    <w:p w14:paraId="1743CD46"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lastRenderedPageBreak/>
        <w:t>2023:</w:t>
      </w:r>
      <w:r w:rsidRPr="00B8034A">
        <w:rPr>
          <w:rFonts w:eastAsia="Times New Roman" w:cs="Times New Roman"/>
          <w:sz w:val="24"/>
          <w:szCs w:val="24"/>
          <w:lang w:eastAsia="en-GB"/>
        </w:rPr>
        <w:br/>
        <w:t>= 2,573 / 419</w:t>
      </w:r>
      <w:r w:rsidRPr="00B8034A">
        <w:rPr>
          <w:rFonts w:eastAsia="Times New Roman" w:cs="Times New Roman"/>
          <w:sz w:val="24"/>
          <w:szCs w:val="24"/>
          <w:lang w:eastAsia="en-GB"/>
        </w:rPr>
        <w:br/>
        <w:t>= 6.14 times</w:t>
      </w:r>
    </w:p>
    <w:p w14:paraId="1F26AF3A" w14:textId="77777777" w:rsidR="00C936C8" w:rsidRPr="00B8034A" w:rsidRDefault="00C936C8" w:rsidP="00B8034A">
      <w:pPr>
        <w:spacing w:after="0" w:line="360" w:lineRule="auto"/>
        <w:rPr>
          <w:rFonts w:eastAsia="Times New Roman" w:cs="Times New Roman"/>
          <w:sz w:val="24"/>
          <w:szCs w:val="24"/>
          <w:lang w:eastAsia="en-GB"/>
        </w:rPr>
      </w:pPr>
    </w:p>
    <w:p w14:paraId="2A1D11C6" w14:textId="77777777" w:rsidR="00C936C8" w:rsidRPr="00B8034A" w:rsidRDefault="00C936C8" w:rsidP="00B8034A">
      <w:pPr>
        <w:spacing w:line="360" w:lineRule="auto"/>
        <w:rPr>
          <w:kern w:val="2"/>
          <w:sz w:val="24"/>
          <w:szCs w:val="24"/>
          <w:lang w:eastAsia="en-GB"/>
          <w14:ligatures w14:val="standardContextual"/>
        </w:rPr>
      </w:pPr>
      <w:r w:rsidRPr="00B8034A">
        <w:rPr>
          <w:kern w:val="2"/>
          <w:sz w:val="24"/>
          <w:szCs w:val="24"/>
          <w:lang w:eastAsia="en-GB"/>
          <w14:ligatures w14:val="standardContextual"/>
        </w:rPr>
        <w:t>Investment</w:t>
      </w:r>
    </w:p>
    <w:p w14:paraId="383F9A45"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Earnings per Share (EPS)</w:t>
      </w:r>
      <w:r w:rsidRPr="00B8034A">
        <w:rPr>
          <w:rFonts w:eastAsia="Times New Roman" w:cs="Times New Roman"/>
          <w:sz w:val="24"/>
          <w:szCs w:val="24"/>
          <w:lang w:eastAsia="en-GB"/>
        </w:rPr>
        <w:br/>
        <w:t>2024 = 64.9p</w:t>
      </w:r>
      <w:r w:rsidRPr="00B8034A">
        <w:rPr>
          <w:rFonts w:eastAsia="Times New Roman" w:cs="Times New Roman"/>
          <w:sz w:val="24"/>
          <w:szCs w:val="24"/>
          <w:lang w:eastAsia="en-GB"/>
        </w:rPr>
        <w:br/>
        <w:t>2023 = 61.3p</w:t>
      </w:r>
    </w:p>
    <w:p w14:paraId="7B0E0B86" w14:textId="77777777" w:rsidR="00C936C8" w:rsidRPr="00B8034A" w:rsidRDefault="00C936C8" w:rsidP="00B8034A">
      <w:pPr>
        <w:spacing w:after="0" w:line="360" w:lineRule="auto"/>
        <w:rPr>
          <w:rFonts w:eastAsia="Times New Roman" w:cs="Times New Roman"/>
          <w:sz w:val="24"/>
          <w:szCs w:val="24"/>
          <w:lang w:eastAsia="en-GB"/>
        </w:rPr>
      </w:pPr>
    </w:p>
    <w:p w14:paraId="64DD184D" w14:textId="77777777"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Dividend Cover</w:t>
      </w:r>
    </w:p>
    <w:p w14:paraId="10FA2F4C" w14:textId="2E282010" w:rsidR="00C936C8" w:rsidRPr="00B8034A" w:rsidRDefault="00C936C8"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 xml:space="preserve">Dividend cover has not been calculated due to the </w:t>
      </w:r>
      <w:r w:rsidR="00D43514">
        <w:rPr>
          <w:rFonts w:eastAsia="Times New Roman" w:cs="Times New Roman"/>
          <w:sz w:val="24"/>
          <w:szCs w:val="24"/>
          <w:lang w:eastAsia="en-GB"/>
        </w:rPr>
        <w:t>lack</w:t>
      </w:r>
      <w:r w:rsidRPr="00B8034A">
        <w:rPr>
          <w:rFonts w:eastAsia="Times New Roman" w:cs="Times New Roman"/>
          <w:sz w:val="24"/>
          <w:szCs w:val="24"/>
          <w:lang w:eastAsia="en-GB"/>
        </w:rPr>
        <w:t xml:space="preserve"> of clearly disclosed ordinary dividend figures within the financial statements. The only dividend information available relates to equity accounted investments, which is not appropriate for this calculation.</w:t>
      </w:r>
    </w:p>
    <w:p w14:paraId="238C873B" w14:textId="571108D9" w:rsidR="00C32556" w:rsidRPr="00B8034A" w:rsidRDefault="00C32556" w:rsidP="00B8034A">
      <w:pPr>
        <w:spacing w:line="360" w:lineRule="auto"/>
        <w:rPr>
          <w:b/>
          <w:bCs/>
          <w:kern w:val="2"/>
          <w:sz w:val="24"/>
          <w:szCs w:val="24"/>
          <w:lang w:eastAsia="en-GB"/>
          <w14:ligatures w14:val="standardContextual"/>
        </w:rPr>
      </w:pPr>
      <w:r w:rsidRPr="00B8034A">
        <w:rPr>
          <w:b/>
          <w:bCs/>
          <w:kern w:val="2"/>
          <w:sz w:val="24"/>
          <w:szCs w:val="24"/>
          <w:lang w:eastAsia="en-GB"/>
          <w14:ligatures w14:val="standardContextual"/>
        </w:rPr>
        <w:t>Appendix D – NPV &amp; IRR Calculations</w:t>
      </w:r>
      <w:r w:rsidR="0056424E" w:rsidRPr="00B8034A">
        <w:rPr>
          <w:b/>
          <w:bCs/>
          <w:kern w:val="2"/>
          <w:sz w:val="24"/>
          <w:szCs w:val="24"/>
          <w:lang w:eastAsia="en-GB"/>
          <w14:ligatures w14:val="standardContextual"/>
        </w:rPr>
        <w:t xml:space="preserve"> (Beard Plc)</w:t>
      </w:r>
    </w:p>
    <w:p w14:paraId="612CB1A2" w14:textId="77777777" w:rsidR="00C32556" w:rsidRPr="00B8034A" w:rsidRDefault="00C32556" w:rsidP="00B8034A">
      <w:pPr>
        <w:spacing w:line="360" w:lineRule="auto"/>
        <w:rPr>
          <w:b/>
          <w:bCs/>
          <w:kern w:val="2"/>
          <w:sz w:val="24"/>
          <w:szCs w:val="24"/>
          <w:lang w:eastAsia="en-GB"/>
          <w14:ligatures w14:val="standardContextual"/>
        </w:rPr>
      </w:pPr>
      <w:r w:rsidRPr="00B8034A">
        <w:rPr>
          <w:b/>
          <w:bCs/>
          <w:kern w:val="2"/>
          <w:sz w:val="24"/>
          <w:szCs w:val="24"/>
          <w:lang w:eastAsia="en-GB"/>
          <w14:ligatures w14:val="standardContextual"/>
        </w:rPr>
        <w:t>NPV Calculations (5%)</w:t>
      </w:r>
    </w:p>
    <w:p w14:paraId="0AA76D78" w14:textId="77777777" w:rsidR="00C32556" w:rsidRPr="00B8034A" w:rsidRDefault="00C32556" w:rsidP="00B8034A">
      <w:pPr>
        <w:spacing w:line="360" w:lineRule="auto"/>
        <w:rPr>
          <w:b/>
          <w:bCs/>
          <w:kern w:val="2"/>
          <w:sz w:val="24"/>
          <w:szCs w:val="24"/>
          <w:lang w:eastAsia="en-GB"/>
          <w14:ligatures w14:val="standardContextual"/>
        </w:rPr>
      </w:pPr>
      <w:r w:rsidRPr="00B8034A">
        <w:rPr>
          <w:b/>
          <w:bCs/>
          <w:kern w:val="2"/>
          <w:sz w:val="24"/>
          <w:szCs w:val="24"/>
          <w:lang w:eastAsia="en-GB"/>
          <w14:ligatures w14:val="standardContextual"/>
        </w:rPr>
        <w:t>Option A</w:t>
      </w:r>
    </w:p>
    <w:p w14:paraId="541F515C" w14:textId="77777777" w:rsidR="00C32556" w:rsidRPr="00B8034A" w:rsidRDefault="00C32556"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 xml:space="preserve">PV = 95.2 + 163.3 + 181.4 + 214.0 = </w:t>
      </w:r>
      <w:r w:rsidRPr="00802B4E">
        <w:rPr>
          <w:rFonts w:eastAsia="Times New Roman" w:cs="Times New Roman"/>
          <w:sz w:val="24"/>
          <w:szCs w:val="24"/>
          <w:lang w:eastAsia="en-GB"/>
        </w:rPr>
        <w:t>653.9</w:t>
      </w:r>
      <w:r w:rsidRPr="00B8034A">
        <w:rPr>
          <w:rFonts w:eastAsia="Times New Roman" w:cs="Times New Roman"/>
          <w:sz w:val="24"/>
          <w:szCs w:val="24"/>
          <w:lang w:eastAsia="en-GB"/>
        </w:rPr>
        <w:br/>
        <w:t xml:space="preserve">NPV = 653.9 – 600 = </w:t>
      </w:r>
      <w:r w:rsidRPr="00802B4E">
        <w:rPr>
          <w:rFonts w:eastAsia="Times New Roman" w:cs="Times New Roman"/>
          <w:sz w:val="24"/>
          <w:szCs w:val="24"/>
          <w:lang w:eastAsia="en-GB"/>
        </w:rPr>
        <w:t>+53.9k</w:t>
      </w:r>
    </w:p>
    <w:p w14:paraId="50811C2C" w14:textId="77777777" w:rsidR="00C32556" w:rsidRPr="00B8034A" w:rsidRDefault="00C32556" w:rsidP="00B8034A">
      <w:pPr>
        <w:spacing w:line="360" w:lineRule="auto"/>
        <w:rPr>
          <w:b/>
          <w:bCs/>
          <w:kern w:val="2"/>
          <w:sz w:val="24"/>
          <w:szCs w:val="24"/>
          <w:lang w:eastAsia="en-GB"/>
          <w14:ligatures w14:val="standardContextual"/>
        </w:rPr>
      </w:pPr>
      <w:r w:rsidRPr="00B8034A">
        <w:rPr>
          <w:b/>
          <w:bCs/>
          <w:kern w:val="2"/>
          <w:sz w:val="24"/>
          <w:szCs w:val="24"/>
          <w:lang w:eastAsia="en-GB"/>
          <w14:ligatures w14:val="standardContextual"/>
        </w:rPr>
        <w:t>Option B</w:t>
      </w:r>
    </w:p>
    <w:p w14:paraId="0422B774" w14:textId="77777777" w:rsidR="00C32556" w:rsidRPr="00802B4E" w:rsidRDefault="00C32556"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 xml:space="preserve">PV = 209.4 + 244.9 + 302.4 + 329.2 = </w:t>
      </w:r>
      <w:r w:rsidRPr="00802B4E">
        <w:rPr>
          <w:rFonts w:eastAsia="Times New Roman" w:cs="Times New Roman"/>
          <w:sz w:val="24"/>
          <w:szCs w:val="24"/>
          <w:lang w:eastAsia="en-GB"/>
        </w:rPr>
        <w:t>1085.9</w:t>
      </w:r>
      <w:r w:rsidRPr="00B8034A">
        <w:rPr>
          <w:rFonts w:eastAsia="Times New Roman" w:cs="Times New Roman"/>
          <w:sz w:val="24"/>
          <w:szCs w:val="24"/>
          <w:lang w:eastAsia="en-GB"/>
        </w:rPr>
        <w:br/>
        <w:t xml:space="preserve">NPV = 1085.9 – 900 = </w:t>
      </w:r>
      <w:r w:rsidRPr="00802B4E">
        <w:rPr>
          <w:rFonts w:eastAsia="Times New Roman" w:cs="Times New Roman"/>
          <w:sz w:val="24"/>
          <w:szCs w:val="24"/>
          <w:lang w:eastAsia="en-GB"/>
        </w:rPr>
        <w:t>+185.9k</w:t>
      </w:r>
    </w:p>
    <w:p w14:paraId="42E48D18" w14:textId="77777777" w:rsidR="00C32556" w:rsidRPr="00B8034A" w:rsidRDefault="00C32556" w:rsidP="00B8034A">
      <w:pPr>
        <w:spacing w:line="360" w:lineRule="auto"/>
        <w:rPr>
          <w:b/>
          <w:bCs/>
          <w:kern w:val="2"/>
          <w:sz w:val="24"/>
          <w:szCs w:val="24"/>
          <w:lang w:eastAsia="en-GB"/>
          <w14:ligatures w14:val="standardContextual"/>
        </w:rPr>
      </w:pPr>
      <w:r w:rsidRPr="00B8034A">
        <w:rPr>
          <w:b/>
          <w:bCs/>
          <w:kern w:val="2"/>
          <w:sz w:val="24"/>
          <w:szCs w:val="24"/>
          <w:lang w:eastAsia="en-GB"/>
          <w14:ligatures w14:val="standardContextual"/>
        </w:rPr>
        <w:t>Option C</w:t>
      </w:r>
    </w:p>
    <w:p w14:paraId="5505B526" w14:textId="77777777" w:rsidR="00C32556" w:rsidRPr="00B8034A" w:rsidRDefault="00C32556"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 xml:space="preserve">PV = 238.0 + 281.2 + 345.6 + 353.9 = </w:t>
      </w:r>
      <w:r w:rsidRPr="00802B4E">
        <w:rPr>
          <w:rFonts w:eastAsia="Times New Roman" w:cs="Times New Roman"/>
          <w:sz w:val="24"/>
          <w:szCs w:val="24"/>
          <w:lang w:eastAsia="en-GB"/>
        </w:rPr>
        <w:t>1218.7</w:t>
      </w:r>
      <w:r w:rsidRPr="00B8034A">
        <w:rPr>
          <w:rFonts w:eastAsia="Times New Roman" w:cs="Times New Roman"/>
          <w:sz w:val="24"/>
          <w:szCs w:val="24"/>
          <w:lang w:eastAsia="en-GB"/>
        </w:rPr>
        <w:br/>
        <w:t xml:space="preserve">NPV = 1218.7 – 1000 = </w:t>
      </w:r>
      <w:r w:rsidRPr="00802B4E">
        <w:rPr>
          <w:rFonts w:eastAsia="Times New Roman" w:cs="Times New Roman"/>
          <w:sz w:val="24"/>
          <w:szCs w:val="24"/>
          <w:lang w:eastAsia="en-GB"/>
        </w:rPr>
        <w:t>+218.7k</w:t>
      </w:r>
    </w:p>
    <w:p w14:paraId="57034E11" w14:textId="77777777" w:rsidR="00C32556" w:rsidRPr="00B8034A" w:rsidRDefault="00C32556" w:rsidP="00B8034A">
      <w:pPr>
        <w:spacing w:after="0" w:line="360" w:lineRule="auto"/>
        <w:rPr>
          <w:rFonts w:eastAsia="Times New Roman" w:cs="Times New Roman"/>
          <w:b/>
          <w:bCs/>
          <w:sz w:val="24"/>
          <w:szCs w:val="24"/>
          <w:lang w:eastAsia="en-GB"/>
        </w:rPr>
      </w:pPr>
    </w:p>
    <w:p w14:paraId="34D6C528" w14:textId="7BFE60D9" w:rsidR="00C32556" w:rsidRDefault="00C32556" w:rsidP="00B8034A">
      <w:pPr>
        <w:spacing w:line="360" w:lineRule="auto"/>
        <w:rPr>
          <w:b/>
          <w:bCs/>
          <w:kern w:val="2"/>
          <w:sz w:val="24"/>
          <w:szCs w:val="24"/>
          <w:lang w:eastAsia="en-GB"/>
          <w14:ligatures w14:val="standardContextual"/>
        </w:rPr>
      </w:pPr>
      <w:r w:rsidRPr="00B8034A">
        <w:rPr>
          <w:b/>
          <w:bCs/>
          <w:kern w:val="2"/>
          <w:sz w:val="24"/>
          <w:szCs w:val="24"/>
          <w:lang w:eastAsia="en-GB"/>
          <w14:ligatures w14:val="standardContextual"/>
        </w:rPr>
        <w:t>IRR Calculation</w:t>
      </w:r>
      <w:r w:rsidR="00D629DE">
        <w:rPr>
          <w:b/>
          <w:bCs/>
          <w:kern w:val="2"/>
          <w:sz w:val="24"/>
          <w:szCs w:val="24"/>
          <w:lang w:eastAsia="en-GB"/>
          <w14:ligatures w14:val="standardContextual"/>
        </w:rPr>
        <w:t xml:space="preserve">- </w:t>
      </w:r>
      <w:r w:rsidRPr="00B8034A">
        <w:rPr>
          <w:b/>
          <w:bCs/>
          <w:kern w:val="2"/>
          <w:sz w:val="24"/>
          <w:szCs w:val="24"/>
          <w:lang w:eastAsia="en-GB"/>
          <w14:ligatures w14:val="standardContextual"/>
        </w:rPr>
        <w:t>Option C</w:t>
      </w:r>
    </w:p>
    <w:p w14:paraId="4E132A25" w14:textId="0C6202C0" w:rsidR="005D4AB1" w:rsidRPr="005D4AB1" w:rsidRDefault="005D4AB1" w:rsidP="00B8034A">
      <w:pPr>
        <w:spacing w:line="360" w:lineRule="auto"/>
        <w:rPr>
          <w:kern w:val="2"/>
          <w:sz w:val="24"/>
          <w:szCs w:val="24"/>
          <w:lang w:eastAsia="en-GB"/>
          <w14:ligatures w14:val="standardContextual"/>
        </w:rPr>
      </w:pPr>
      <w:r>
        <w:rPr>
          <w:kern w:val="2"/>
          <w:sz w:val="24"/>
          <w:szCs w:val="24"/>
          <w:lang w:eastAsia="en-GB"/>
          <w14:ligatures w14:val="standardContextual"/>
        </w:rPr>
        <w:t>Interpol</w:t>
      </w:r>
      <w:r w:rsidR="006F1BC6">
        <w:rPr>
          <w:kern w:val="2"/>
          <w:sz w:val="24"/>
          <w:szCs w:val="24"/>
          <w:lang w:eastAsia="en-GB"/>
          <w14:ligatures w14:val="standardContextual"/>
        </w:rPr>
        <w:t>ation method used to estimate IRR between discount rates where NPV</w:t>
      </w:r>
      <w:r w:rsidR="0048130D">
        <w:rPr>
          <w:kern w:val="2"/>
          <w:sz w:val="24"/>
          <w:szCs w:val="24"/>
          <w:lang w:eastAsia="en-GB"/>
          <w14:ligatures w14:val="standardContextual"/>
        </w:rPr>
        <w:t xml:space="preserve"> changes from positive to negative.</w:t>
      </w:r>
    </w:p>
    <w:p w14:paraId="2E566759" w14:textId="65B18DA4" w:rsidR="00C32556" w:rsidRPr="00B8034A" w:rsidRDefault="00C32556"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 xml:space="preserve">At 15% </w:t>
      </w:r>
      <w:r w:rsidR="00D629DE">
        <w:rPr>
          <w:rFonts w:eastAsia="Times New Roman" w:cs="Times New Roman"/>
          <w:sz w:val="24"/>
          <w:szCs w:val="24"/>
          <w:lang w:eastAsia="en-GB"/>
        </w:rPr>
        <w:t>-</w:t>
      </w:r>
      <w:r w:rsidRPr="00B8034A">
        <w:rPr>
          <w:rFonts w:eastAsia="Times New Roman" w:cs="Times New Roman"/>
          <w:sz w:val="24"/>
          <w:szCs w:val="24"/>
          <w:lang w:eastAsia="en-GB"/>
        </w:rPr>
        <w:t xml:space="preserve"> NPV </w:t>
      </w:r>
      <w:r w:rsidR="00D629DE">
        <w:rPr>
          <w:rFonts w:eastAsia="Times New Roman" w:cs="Times New Roman"/>
          <w:sz w:val="24"/>
          <w:szCs w:val="24"/>
          <w:lang w:eastAsia="en-GB"/>
        </w:rPr>
        <w:t>=</w:t>
      </w:r>
      <w:r w:rsidRPr="00B8034A">
        <w:rPr>
          <w:rFonts w:eastAsia="Times New Roman" w:cs="Times New Roman"/>
          <w:sz w:val="24"/>
          <w:szCs w:val="24"/>
          <w:lang w:eastAsia="en-GB"/>
        </w:rPr>
        <w:t xml:space="preserve"> +£48k</w:t>
      </w:r>
      <w:r w:rsidRPr="00B8034A">
        <w:rPr>
          <w:rFonts w:eastAsia="Times New Roman" w:cs="Times New Roman"/>
          <w:sz w:val="24"/>
          <w:szCs w:val="24"/>
          <w:lang w:eastAsia="en-GB"/>
        </w:rPr>
        <w:br/>
        <w:t xml:space="preserve">At 20% </w:t>
      </w:r>
      <w:r w:rsidR="00D629DE">
        <w:rPr>
          <w:rFonts w:eastAsia="Times New Roman" w:cs="Times New Roman"/>
          <w:sz w:val="24"/>
          <w:szCs w:val="24"/>
          <w:lang w:eastAsia="en-GB"/>
        </w:rPr>
        <w:t>-</w:t>
      </w:r>
      <w:r w:rsidRPr="00B8034A">
        <w:rPr>
          <w:rFonts w:eastAsia="Times New Roman" w:cs="Times New Roman"/>
          <w:sz w:val="24"/>
          <w:szCs w:val="24"/>
          <w:lang w:eastAsia="en-GB"/>
        </w:rPr>
        <w:t xml:space="preserve"> NPV </w:t>
      </w:r>
      <w:r w:rsidR="00D629DE">
        <w:rPr>
          <w:rFonts w:eastAsia="Times New Roman" w:cs="Times New Roman"/>
          <w:sz w:val="24"/>
          <w:szCs w:val="24"/>
          <w:lang w:eastAsia="en-GB"/>
        </w:rPr>
        <w:t>=</w:t>
      </w:r>
      <w:r w:rsidRPr="00B8034A">
        <w:rPr>
          <w:rFonts w:eastAsia="Times New Roman" w:cs="Times New Roman"/>
          <w:sz w:val="24"/>
          <w:szCs w:val="24"/>
          <w:lang w:eastAsia="en-GB"/>
        </w:rPr>
        <w:t>-£22k</w:t>
      </w:r>
    </w:p>
    <w:p w14:paraId="43C796AD" w14:textId="77777777" w:rsidR="00C32556" w:rsidRPr="00B8034A" w:rsidRDefault="00C32556"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IRR formula:</w:t>
      </w:r>
    </w:p>
    <w:p w14:paraId="5AEC406A" w14:textId="6128208D" w:rsidR="00C32556" w:rsidRPr="00B8034A" w:rsidRDefault="00C32556" w:rsidP="00B8034A">
      <w:pPr>
        <w:spacing w:before="100" w:beforeAutospacing="1" w:after="100" w:afterAutospacing="1" w:line="360" w:lineRule="auto"/>
        <w:rPr>
          <w:rFonts w:eastAsia="Times New Roman" w:cs="Times New Roman"/>
          <w:sz w:val="24"/>
          <w:szCs w:val="24"/>
          <w:lang w:eastAsia="en-GB"/>
        </w:rPr>
      </w:pPr>
      <w:r w:rsidRPr="00B8034A">
        <w:rPr>
          <w:rFonts w:eastAsia="Times New Roman" w:cs="Times New Roman"/>
          <w:sz w:val="24"/>
          <w:szCs w:val="24"/>
          <w:lang w:eastAsia="en-GB"/>
        </w:rPr>
        <w:t>IRR = 15 + (48 /</w:t>
      </w:r>
      <w:r w:rsidR="00D629DE">
        <w:rPr>
          <w:rFonts w:eastAsia="Times New Roman" w:cs="Times New Roman"/>
          <w:sz w:val="24"/>
          <w:szCs w:val="24"/>
          <w:lang w:eastAsia="en-GB"/>
        </w:rPr>
        <w:t xml:space="preserve"> </w:t>
      </w:r>
      <w:r w:rsidRPr="00B8034A">
        <w:rPr>
          <w:rFonts w:eastAsia="Times New Roman" w:cs="Times New Roman"/>
          <w:sz w:val="24"/>
          <w:szCs w:val="24"/>
          <w:lang w:eastAsia="en-GB"/>
        </w:rPr>
        <w:t xml:space="preserve">(48 + 22)) </w:t>
      </w:r>
      <w:r w:rsidR="008C764E">
        <w:rPr>
          <w:rFonts w:eastAsia="Times New Roman" w:cs="Times New Roman"/>
          <w:sz w:val="24"/>
          <w:szCs w:val="24"/>
          <w:lang w:eastAsia="en-GB"/>
        </w:rPr>
        <w:t xml:space="preserve">x </w:t>
      </w:r>
      <w:r w:rsidRPr="00B8034A">
        <w:rPr>
          <w:rFonts w:eastAsia="Times New Roman" w:cs="Times New Roman"/>
          <w:sz w:val="24"/>
          <w:szCs w:val="24"/>
          <w:lang w:eastAsia="en-GB"/>
        </w:rPr>
        <w:t>5</w:t>
      </w:r>
      <w:r w:rsidRPr="00B8034A">
        <w:rPr>
          <w:rFonts w:eastAsia="Times New Roman" w:cs="Times New Roman"/>
          <w:sz w:val="24"/>
          <w:szCs w:val="24"/>
          <w:lang w:eastAsia="en-GB"/>
        </w:rPr>
        <w:br/>
        <w:t xml:space="preserve">IRR </w:t>
      </w:r>
      <w:r w:rsidR="00802B4E">
        <w:rPr>
          <w:rFonts w:eastAsia="Times New Roman" w:cs="Times New Roman"/>
          <w:sz w:val="24"/>
          <w:szCs w:val="24"/>
          <w:lang w:eastAsia="en-GB"/>
        </w:rPr>
        <w:t>=</w:t>
      </w:r>
      <w:r w:rsidRPr="00B8034A">
        <w:rPr>
          <w:rFonts w:eastAsia="Times New Roman" w:cs="Times New Roman"/>
          <w:sz w:val="24"/>
          <w:szCs w:val="24"/>
          <w:lang w:eastAsia="en-GB"/>
        </w:rPr>
        <w:t xml:space="preserve"> </w:t>
      </w:r>
      <w:r w:rsidRPr="00802B4E">
        <w:rPr>
          <w:rFonts w:eastAsia="Times New Roman" w:cs="Times New Roman"/>
          <w:sz w:val="24"/>
          <w:szCs w:val="24"/>
          <w:lang w:eastAsia="en-GB"/>
        </w:rPr>
        <w:t>18.5%</w:t>
      </w:r>
    </w:p>
    <w:p w14:paraId="2D0121BF" w14:textId="77777777" w:rsidR="00C936C8" w:rsidRPr="0045686C" w:rsidRDefault="00C936C8"/>
    <w:sectPr w:rsidR="00C936C8" w:rsidRPr="0045686C" w:rsidSect="00BF015A">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2B722" w14:textId="77777777" w:rsidR="00CB1B95" w:rsidRDefault="00CB1B95">
      <w:pPr>
        <w:spacing w:after="0" w:line="240" w:lineRule="auto"/>
      </w:pPr>
      <w:r>
        <w:separator/>
      </w:r>
    </w:p>
  </w:endnote>
  <w:endnote w:type="continuationSeparator" w:id="0">
    <w:p w14:paraId="02F7CED6" w14:textId="77777777" w:rsidR="00CB1B95" w:rsidRDefault="00CB1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6DE852C7" w14:textId="77777777" w:rsidR="00BF015A" w:rsidRDefault="00BF01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BC8E1D" w14:textId="77777777" w:rsidR="00BF015A" w:rsidRDefault="00BF0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BF54E" w14:textId="77777777" w:rsidR="00CB1B95" w:rsidRDefault="00CB1B95">
      <w:pPr>
        <w:spacing w:after="0" w:line="240" w:lineRule="auto"/>
      </w:pPr>
      <w:r>
        <w:separator/>
      </w:r>
    </w:p>
  </w:footnote>
  <w:footnote w:type="continuationSeparator" w:id="0">
    <w:p w14:paraId="7E44FD6D" w14:textId="77777777" w:rsidR="00CB1B95" w:rsidRDefault="00CB1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E6699"/>
    <w:multiLevelType w:val="multilevel"/>
    <w:tmpl w:val="95A4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455A59"/>
    <w:multiLevelType w:val="multilevel"/>
    <w:tmpl w:val="86C4B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566593"/>
    <w:multiLevelType w:val="multilevel"/>
    <w:tmpl w:val="EBD60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5A2972"/>
    <w:multiLevelType w:val="multilevel"/>
    <w:tmpl w:val="6BE83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9579EF"/>
    <w:multiLevelType w:val="multilevel"/>
    <w:tmpl w:val="C2804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5005273">
    <w:abstractNumId w:val="4"/>
  </w:num>
  <w:num w:numId="2" w16cid:durableId="626161280">
    <w:abstractNumId w:val="1"/>
  </w:num>
  <w:num w:numId="3" w16cid:durableId="506091418">
    <w:abstractNumId w:val="0"/>
  </w:num>
  <w:num w:numId="4" w16cid:durableId="741484436">
    <w:abstractNumId w:val="3"/>
  </w:num>
  <w:num w:numId="5" w16cid:durableId="1605187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15A"/>
    <w:rsid w:val="00005062"/>
    <w:rsid w:val="00053E75"/>
    <w:rsid w:val="00067909"/>
    <w:rsid w:val="00080C19"/>
    <w:rsid w:val="00082542"/>
    <w:rsid w:val="0008516C"/>
    <w:rsid w:val="00097D92"/>
    <w:rsid w:val="00104B09"/>
    <w:rsid w:val="00142D52"/>
    <w:rsid w:val="00143D26"/>
    <w:rsid w:val="00156738"/>
    <w:rsid w:val="001810E5"/>
    <w:rsid w:val="00186E8F"/>
    <w:rsid w:val="0019773B"/>
    <w:rsid w:val="001B574D"/>
    <w:rsid w:val="001C1B21"/>
    <w:rsid w:val="001E3B0E"/>
    <w:rsid w:val="001F29AC"/>
    <w:rsid w:val="0020473C"/>
    <w:rsid w:val="00206EB2"/>
    <w:rsid w:val="002157D9"/>
    <w:rsid w:val="00231498"/>
    <w:rsid w:val="00245503"/>
    <w:rsid w:val="0025597D"/>
    <w:rsid w:val="00284A11"/>
    <w:rsid w:val="00285BDC"/>
    <w:rsid w:val="002943E9"/>
    <w:rsid w:val="0029550A"/>
    <w:rsid w:val="002C5D2F"/>
    <w:rsid w:val="002E09F0"/>
    <w:rsid w:val="002E427F"/>
    <w:rsid w:val="00312300"/>
    <w:rsid w:val="00312779"/>
    <w:rsid w:val="00312DB3"/>
    <w:rsid w:val="00317043"/>
    <w:rsid w:val="00360FD9"/>
    <w:rsid w:val="00376854"/>
    <w:rsid w:val="003832DF"/>
    <w:rsid w:val="00392687"/>
    <w:rsid w:val="003C11AE"/>
    <w:rsid w:val="0044253F"/>
    <w:rsid w:val="0045686C"/>
    <w:rsid w:val="004664A3"/>
    <w:rsid w:val="0048130D"/>
    <w:rsid w:val="0048214B"/>
    <w:rsid w:val="00487930"/>
    <w:rsid w:val="0049771B"/>
    <w:rsid w:val="004A74E1"/>
    <w:rsid w:val="004C22C3"/>
    <w:rsid w:val="00526756"/>
    <w:rsid w:val="0056424E"/>
    <w:rsid w:val="0056455F"/>
    <w:rsid w:val="005856E3"/>
    <w:rsid w:val="00595951"/>
    <w:rsid w:val="005D3263"/>
    <w:rsid w:val="005D37B1"/>
    <w:rsid w:val="005D4A31"/>
    <w:rsid w:val="005D4AB1"/>
    <w:rsid w:val="005D4D51"/>
    <w:rsid w:val="005D5408"/>
    <w:rsid w:val="005D72C4"/>
    <w:rsid w:val="00600BDE"/>
    <w:rsid w:val="006156A6"/>
    <w:rsid w:val="006342D2"/>
    <w:rsid w:val="00640F5B"/>
    <w:rsid w:val="006417A5"/>
    <w:rsid w:val="006421B3"/>
    <w:rsid w:val="006573E0"/>
    <w:rsid w:val="00695B16"/>
    <w:rsid w:val="00695B3B"/>
    <w:rsid w:val="006B372A"/>
    <w:rsid w:val="006C052E"/>
    <w:rsid w:val="006D632E"/>
    <w:rsid w:val="006E5FF1"/>
    <w:rsid w:val="006F1BC6"/>
    <w:rsid w:val="006F2F25"/>
    <w:rsid w:val="006F4D3D"/>
    <w:rsid w:val="006F5AFF"/>
    <w:rsid w:val="007115AA"/>
    <w:rsid w:val="007465A1"/>
    <w:rsid w:val="007544A0"/>
    <w:rsid w:val="00762F60"/>
    <w:rsid w:val="0076454A"/>
    <w:rsid w:val="0078066D"/>
    <w:rsid w:val="007B1DF9"/>
    <w:rsid w:val="007B6DA0"/>
    <w:rsid w:val="00802B4E"/>
    <w:rsid w:val="00811EA7"/>
    <w:rsid w:val="008130F9"/>
    <w:rsid w:val="008214F7"/>
    <w:rsid w:val="00842362"/>
    <w:rsid w:val="00866E8C"/>
    <w:rsid w:val="008746CA"/>
    <w:rsid w:val="00887483"/>
    <w:rsid w:val="008C764E"/>
    <w:rsid w:val="008D3633"/>
    <w:rsid w:val="008D4FF4"/>
    <w:rsid w:val="00901188"/>
    <w:rsid w:val="00920393"/>
    <w:rsid w:val="00964A51"/>
    <w:rsid w:val="0098147C"/>
    <w:rsid w:val="009B707C"/>
    <w:rsid w:val="009E1745"/>
    <w:rsid w:val="009E2C26"/>
    <w:rsid w:val="009E3F1F"/>
    <w:rsid w:val="009E78D8"/>
    <w:rsid w:val="00A0059F"/>
    <w:rsid w:val="00A025CD"/>
    <w:rsid w:val="00A0500B"/>
    <w:rsid w:val="00A1470A"/>
    <w:rsid w:val="00A30963"/>
    <w:rsid w:val="00A42447"/>
    <w:rsid w:val="00A71CA4"/>
    <w:rsid w:val="00A721C2"/>
    <w:rsid w:val="00A73604"/>
    <w:rsid w:val="00A914DB"/>
    <w:rsid w:val="00A920C9"/>
    <w:rsid w:val="00AA0471"/>
    <w:rsid w:val="00AB39EC"/>
    <w:rsid w:val="00AF5650"/>
    <w:rsid w:val="00AF6DAD"/>
    <w:rsid w:val="00B03774"/>
    <w:rsid w:val="00B141BD"/>
    <w:rsid w:val="00B37930"/>
    <w:rsid w:val="00B8034A"/>
    <w:rsid w:val="00B912C9"/>
    <w:rsid w:val="00B92A94"/>
    <w:rsid w:val="00B94B0A"/>
    <w:rsid w:val="00BB0D9D"/>
    <w:rsid w:val="00BC2549"/>
    <w:rsid w:val="00BE5F54"/>
    <w:rsid w:val="00BF015A"/>
    <w:rsid w:val="00BF4666"/>
    <w:rsid w:val="00C03C7E"/>
    <w:rsid w:val="00C32556"/>
    <w:rsid w:val="00C416E3"/>
    <w:rsid w:val="00C46525"/>
    <w:rsid w:val="00C47204"/>
    <w:rsid w:val="00C505B7"/>
    <w:rsid w:val="00C9270C"/>
    <w:rsid w:val="00C936C8"/>
    <w:rsid w:val="00CA383C"/>
    <w:rsid w:val="00CB1B95"/>
    <w:rsid w:val="00CB5A05"/>
    <w:rsid w:val="00CC3CA9"/>
    <w:rsid w:val="00D0262C"/>
    <w:rsid w:val="00D031EF"/>
    <w:rsid w:val="00D0336F"/>
    <w:rsid w:val="00D26DD2"/>
    <w:rsid w:val="00D43514"/>
    <w:rsid w:val="00D629DE"/>
    <w:rsid w:val="00D8323D"/>
    <w:rsid w:val="00DA5361"/>
    <w:rsid w:val="00DC35E6"/>
    <w:rsid w:val="00DC3DA0"/>
    <w:rsid w:val="00E13E25"/>
    <w:rsid w:val="00E35C63"/>
    <w:rsid w:val="00E423D9"/>
    <w:rsid w:val="00E6248E"/>
    <w:rsid w:val="00E75B56"/>
    <w:rsid w:val="00E76309"/>
    <w:rsid w:val="00E915D4"/>
    <w:rsid w:val="00EA0583"/>
    <w:rsid w:val="00EA3471"/>
    <w:rsid w:val="00EA407F"/>
    <w:rsid w:val="00EC54CC"/>
    <w:rsid w:val="00EE63A7"/>
    <w:rsid w:val="00EF388B"/>
    <w:rsid w:val="00F30430"/>
    <w:rsid w:val="00F41537"/>
    <w:rsid w:val="00F41877"/>
    <w:rsid w:val="00F57CDE"/>
    <w:rsid w:val="00F6132A"/>
    <w:rsid w:val="00FA586C"/>
    <w:rsid w:val="00FA6D2E"/>
    <w:rsid w:val="00FC04BD"/>
    <w:rsid w:val="00FD3A05"/>
    <w:rsid w:val="00FD4F5A"/>
    <w:rsid w:val="00FF4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C35"/>
  <w15:chartTrackingRefBased/>
  <w15:docId w15:val="{DF47B075-1C0A-4DE0-B207-25296E6BA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15A"/>
    <w:rPr>
      <w:kern w:val="0"/>
      <w14:ligatures w14:val="none"/>
    </w:rPr>
  </w:style>
  <w:style w:type="paragraph" w:styleId="Heading1">
    <w:name w:val="heading 1"/>
    <w:basedOn w:val="Normal"/>
    <w:next w:val="Normal"/>
    <w:link w:val="Heading1Char"/>
    <w:uiPriority w:val="9"/>
    <w:qFormat/>
    <w:rsid w:val="00BF01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1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1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1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1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1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1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1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1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1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01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1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1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1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1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1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1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15A"/>
    <w:rPr>
      <w:rFonts w:eastAsiaTheme="majorEastAsia" w:cstheme="majorBidi"/>
      <w:color w:val="272727" w:themeColor="text1" w:themeTint="D8"/>
    </w:rPr>
  </w:style>
  <w:style w:type="paragraph" w:styleId="Title">
    <w:name w:val="Title"/>
    <w:basedOn w:val="Normal"/>
    <w:next w:val="Normal"/>
    <w:link w:val="TitleChar"/>
    <w:uiPriority w:val="10"/>
    <w:qFormat/>
    <w:rsid w:val="00BF01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1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1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1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15A"/>
    <w:pPr>
      <w:spacing w:before="160"/>
      <w:jc w:val="center"/>
    </w:pPr>
    <w:rPr>
      <w:i/>
      <w:iCs/>
      <w:color w:val="404040" w:themeColor="text1" w:themeTint="BF"/>
    </w:rPr>
  </w:style>
  <w:style w:type="character" w:customStyle="1" w:styleId="QuoteChar">
    <w:name w:val="Quote Char"/>
    <w:basedOn w:val="DefaultParagraphFont"/>
    <w:link w:val="Quote"/>
    <w:uiPriority w:val="29"/>
    <w:rsid w:val="00BF015A"/>
    <w:rPr>
      <w:i/>
      <w:iCs/>
      <w:color w:val="404040" w:themeColor="text1" w:themeTint="BF"/>
    </w:rPr>
  </w:style>
  <w:style w:type="paragraph" w:styleId="ListParagraph">
    <w:name w:val="List Paragraph"/>
    <w:basedOn w:val="Normal"/>
    <w:uiPriority w:val="34"/>
    <w:qFormat/>
    <w:rsid w:val="00BF015A"/>
    <w:pPr>
      <w:ind w:left="720"/>
      <w:contextualSpacing/>
    </w:pPr>
  </w:style>
  <w:style w:type="character" w:styleId="IntenseEmphasis">
    <w:name w:val="Intense Emphasis"/>
    <w:basedOn w:val="DefaultParagraphFont"/>
    <w:uiPriority w:val="21"/>
    <w:qFormat/>
    <w:rsid w:val="00BF015A"/>
    <w:rPr>
      <w:i/>
      <w:iCs/>
      <w:color w:val="0F4761" w:themeColor="accent1" w:themeShade="BF"/>
    </w:rPr>
  </w:style>
  <w:style w:type="paragraph" w:styleId="IntenseQuote">
    <w:name w:val="Intense Quote"/>
    <w:basedOn w:val="Normal"/>
    <w:next w:val="Normal"/>
    <w:link w:val="IntenseQuoteChar"/>
    <w:uiPriority w:val="30"/>
    <w:qFormat/>
    <w:rsid w:val="00BF01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15A"/>
    <w:rPr>
      <w:i/>
      <w:iCs/>
      <w:color w:val="0F4761" w:themeColor="accent1" w:themeShade="BF"/>
    </w:rPr>
  </w:style>
  <w:style w:type="character" w:styleId="IntenseReference">
    <w:name w:val="Intense Reference"/>
    <w:basedOn w:val="DefaultParagraphFont"/>
    <w:uiPriority w:val="32"/>
    <w:qFormat/>
    <w:rsid w:val="00BF015A"/>
    <w:rPr>
      <w:b/>
      <w:bCs/>
      <w:smallCaps/>
      <w:color w:val="0F4761" w:themeColor="accent1" w:themeShade="BF"/>
      <w:spacing w:val="5"/>
    </w:rPr>
  </w:style>
  <w:style w:type="paragraph" w:styleId="NoSpacing">
    <w:name w:val="No Spacing"/>
    <w:link w:val="NoSpacingChar"/>
    <w:uiPriority w:val="1"/>
    <w:qFormat/>
    <w:rsid w:val="00BF015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015A"/>
    <w:rPr>
      <w:rFonts w:eastAsiaTheme="minorEastAsia"/>
      <w:kern w:val="0"/>
      <w:lang w:val="en-US"/>
      <w14:ligatures w14:val="none"/>
    </w:rPr>
  </w:style>
  <w:style w:type="paragraph" w:styleId="TOCHeading">
    <w:name w:val="TOC Heading"/>
    <w:basedOn w:val="Heading1"/>
    <w:next w:val="Normal"/>
    <w:uiPriority w:val="39"/>
    <w:unhideWhenUsed/>
    <w:qFormat/>
    <w:rsid w:val="00BF015A"/>
    <w:pPr>
      <w:spacing w:before="240" w:after="0"/>
      <w:outlineLvl w:val="9"/>
    </w:pPr>
    <w:rPr>
      <w:sz w:val="32"/>
      <w:szCs w:val="32"/>
      <w:lang w:val="en-US"/>
    </w:rPr>
  </w:style>
  <w:style w:type="paragraph" w:styleId="TOC1">
    <w:name w:val="toc 1"/>
    <w:basedOn w:val="Normal"/>
    <w:next w:val="Normal"/>
    <w:autoRedefine/>
    <w:uiPriority w:val="39"/>
    <w:unhideWhenUsed/>
    <w:rsid w:val="00BF015A"/>
    <w:pPr>
      <w:spacing w:after="100"/>
    </w:pPr>
  </w:style>
  <w:style w:type="character" w:styleId="Hyperlink">
    <w:name w:val="Hyperlink"/>
    <w:basedOn w:val="DefaultParagraphFont"/>
    <w:uiPriority w:val="99"/>
    <w:unhideWhenUsed/>
    <w:rsid w:val="00BF015A"/>
    <w:rPr>
      <w:color w:val="467886" w:themeColor="hyperlink"/>
      <w:u w:val="single"/>
    </w:rPr>
  </w:style>
  <w:style w:type="paragraph" w:styleId="TOC2">
    <w:name w:val="toc 2"/>
    <w:basedOn w:val="Normal"/>
    <w:next w:val="Normal"/>
    <w:autoRedefine/>
    <w:uiPriority w:val="39"/>
    <w:unhideWhenUsed/>
    <w:rsid w:val="00BF015A"/>
    <w:pPr>
      <w:spacing w:after="100"/>
      <w:ind w:left="220"/>
    </w:pPr>
  </w:style>
  <w:style w:type="paragraph" w:styleId="Footer">
    <w:name w:val="footer"/>
    <w:basedOn w:val="Normal"/>
    <w:link w:val="FooterChar"/>
    <w:uiPriority w:val="99"/>
    <w:unhideWhenUsed/>
    <w:rsid w:val="00BF01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15A"/>
    <w:rPr>
      <w:kern w:val="0"/>
      <w14:ligatures w14:val="none"/>
    </w:rPr>
  </w:style>
  <w:style w:type="paragraph" w:styleId="NormalWeb">
    <w:name w:val="Normal (Web)"/>
    <w:basedOn w:val="Normal"/>
    <w:uiPriority w:val="99"/>
    <w:unhideWhenUsed/>
    <w:rsid w:val="004C22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4C22C3"/>
  </w:style>
  <w:style w:type="character" w:styleId="Emphasis">
    <w:name w:val="Emphasis"/>
    <w:basedOn w:val="DefaultParagraphFont"/>
    <w:uiPriority w:val="20"/>
    <w:qFormat/>
    <w:rsid w:val="00E35C63"/>
    <w:rPr>
      <w:i/>
      <w:iCs/>
    </w:rPr>
  </w:style>
  <w:style w:type="paragraph" w:styleId="Header">
    <w:name w:val="header"/>
    <w:basedOn w:val="Normal"/>
    <w:link w:val="HeaderChar"/>
    <w:uiPriority w:val="99"/>
    <w:unhideWhenUsed/>
    <w:rsid w:val="00B80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34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nnualreport.baesystems.com/2024?utm_source=chatgpt.com" TargetMode="External"/><Relationship Id="rId18" Type="http://schemas.openxmlformats.org/officeDocument/2006/relationships/hyperlink" Target="https://www.frc.org.uk" TargetMode="External"/><Relationship Id="rId26" Type="http://schemas.openxmlformats.org/officeDocument/2006/relationships/hyperlink" Target="https://www.mckinsey.com" TargetMode="External"/><Relationship Id="rId39" Type="http://schemas.openxmlformats.org/officeDocument/2006/relationships/footer" Target="footer1.xml"/><Relationship Id="rId21" Type="http://schemas.openxmlformats.org/officeDocument/2006/relationships/hyperlink" Target="https://www.icaew.com" TargetMode="External"/><Relationship Id="rId34" Type="http://schemas.openxmlformats.org/officeDocument/2006/relationships/hyperlink" Target="https://www.gov.uk"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2.deloitte.com" TargetMode="External"/><Relationship Id="rId20" Type="http://schemas.openxmlformats.org/officeDocument/2006/relationships/hyperlink" Target="https://www.icaew.com" TargetMode="External"/><Relationship Id="rId29" Type="http://schemas.openxmlformats.org/officeDocument/2006/relationships/hyperlink" Target="https://www.oecd.org"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 TargetMode="External"/><Relationship Id="rId24" Type="http://schemas.openxmlformats.org/officeDocument/2006/relationships/hyperlink" Target="https://www.imf.org" TargetMode="External"/><Relationship Id="rId32" Type="http://schemas.openxmlformats.org/officeDocument/2006/relationships/hyperlink" Target="https://www.pwc.com" TargetMode="External"/><Relationship Id="rId37" Type="http://schemas.openxmlformats.org/officeDocument/2006/relationships/image" Target="media/image3.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2.deloitte.com" TargetMode="External"/><Relationship Id="rId23" Type="http://schemas.openxmlformats.org/officeDocument/2006/relationships/hyperlink" Target="https://www.ifrs.org" TargetMode="External"/><Relationship Id="rId28" Type="http://schemas.openxmlformats.org/officeDocument/2006/relationships/hyperlink" Target="https://www.oecd.org" TargetMode="External"/><Relationship Id="rId36" Type="http://schemas.openxmlformats.org/officeDocument/2006/relationships/hyperlink" Target="https://www.worldbank.org" TargetMode="External"/><Relationship Id="rId10" Type="http://schemas.openxmlformats.org/officeDocument/2006/relationships/hyperlink" Target="https://www.accaglobal.com" TargetMode="External"/><Relationship Id="rId19" Type="http://schemas.openxmlformats.org/officeDocument/2006/relationships/hyperlink" Target="https://www.frc.org.uk" TargetMode="External"/><Relationship Id="rId31" Type="http://schemas.openxmlformats.org/officeDocument/2006/relationships/hyperlink" Target="https://www.pwc.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 TargetMode="External"/><Relationship Id="rId22" Type="http://schemas.openxmlformats.org/officeDocument/2006/relationships/hyperlink" Target="https://www.icaew.com" TargetMode="External"/><Relationship Id="rId27" Type="http://schemas.openxmlformats.org/officeDocument/2006/relationships/hyperlink" Target="https://www.mckinsey.com" TargetMode="External"/><Relationship Id="rId30" Type="http://schemas.openxmlformats.org/officeDocument/2006/relationships/hyperlink" Target="https://www.pwc.com" TargetMode="External"/><Relationship Id="rId35" Type="http://schemas.openxmlformats.org/officeDocument/2006/relationships/hyperlink" Target="https://www.parliament.u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annualreport.baesystems.com/2023" TargetMode="External"/><Relationship Id="rId17" Type="http://schemas.openxmlformats.org/officeDocument/2006/relationships/hyperlink" Target="https://www.ey.com" TargetMode="External"/><Relationship Id="rId25" Type="http://schemas.openxmlformats.org/officeDocument/2006/relationships/hyperlink" Target="https://www.lockheedmartin.com" TargetMode="External"/><Relationship Id="rId33" Type="http://schemas.openxmlformats.org/officeDocument/2006/relationships/hyperlink" Target="https://www.sipri.org" TargetMode="External"/><Relationship Id="rId38"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A9C8280A6F44952A2B0194ECD441B5C"/>
        <w:category>
          <w:name w:val="General"/>
          <w:gallery w:val="placeholder"/>
        </w:category>
        <w:types>
          <w:type w:val="bbPlcHdr"/>
        </w:types>
        <w:behaviors>
          <w:behavior w:val="content"/>
        </w:behaviors>
        <w:guid w:val="{EAD846E2-5FDB-4940-A1EE-FDBB2239F0C4}"/>
      </w:docPartPr>
      <w:docPartBody>
        <w:p w:rsidR="002625B0" w:rsidRDefault="00E84C1F" w:rsidP="00E84C1F">
          <w:pPr>
            <w:pStyle w:val="5A9C8280A6F44952A2B0194ECD441B5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C1F"/>
    <w:rsid w:val="002625B0"/>
    <w:rsid w:val="00312DB3"/>
    <w:rsid w:val="00332CDE"/>
    <w:rsid w:val="006B718E"/>
    <w:rsid w:val="007544A0"/>
    <w:rsid w:val="008746CA"/>
    <w:rsid w:val="00CA1824"/>
    <w:rsid w:val="00D00B02"/>
    <w:rsid w:val="00D0262C"/>
    <w:rsid w:val="00DA5361"/>
    <w:rsid w:val="00DC35E6"/>
    <w:rsid w:val="00E7147D"/>
    <w:rsid w:val="00E8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9C8280A6F44952A2B0194ECD441B5C">
    <w:name w:val="5A9C8280A6F44952A2B0194ECD441B5C"/>
    <w:rsid w:val="00E84C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773</TotalTime>
  <Pages>41</Pages>
  <Words>7819</Words>
  <Characters>44571</Characters>
  <Application>Microsoft Office Word</Application>
  <DocSecurity>0</DocSecurity>
  <Lines>371</Lines>
  <Paragraphs>104</Paragraphs>
  <ScaleCrop>false</ScaleCrop>
  <Company/>
  <LinksUpToDate>false</LinksUpToDate>
  <CharactersWithSpaces>52286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BMMB7005 fINANCE FOR BUSINESS MANAGERS</dc:title>
  <dc:subject>Lyssa Muir (1917752)</dc:subject>
  <dc:creator>Lyssa Muir (1917752)</dc:creator>
  <cp:keywords/>
  <dc:description/>
  <cp:lastModifiedBy>Lyssa Muir (1917752)</cp:lastModifiedBy>
  <cp:revision>187</cp:revision>
  <dcterms:created xsi:type="dcterms:W3CDTF">2026-04-13T14:45:00Z</dcterms:created>
  <dcterms:modified xsi:type="dcterms:W3CDTF">2026-04-19T15:06:00Z</dcterms:modified>
</cp:coreProperties>
</file>