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834BC" w14:textId="77777777" w:rsidR="00F8497A" w:rsidRDefault="00000000">
      <w:pPr>
        <w:pStyle w:val="Title"/>
        <w:spacing w:after="120" w:line="360" w:lineRule="auto"/>
        <w:jc w:val="center"/>
      </w:pPr>
      <w:r>
        <w:t>LCLM5003 Project Management</w:t>
      </w:r>
    </w:p>
    <w:p w14:paraId="7D6BDCDF" w14:textId="77777777" w:rsidR="00F8497A" w:rsidRDefault="00000000">
      <w:pPr>
        <w:spacing w:after="120" w:line="360" w:lineRule="auto"/>
        <w:jc w:val="center"/>
      </w:pPr>
      <w:r>
        <w:rPr>
          <w:b/>
          <w:sz w:val="32"/>
        </w:rPr>
        <w:t>Project Portfolio</w:t>
      </w:r>
    </w:p>
    <w:p w14:paraId="2E054947" w14:textId="77777777" w:rsidR="00F8497A" w:rsidRDefault="00000000">
      <w:pPr>
        <w:spacing w:after="120" w:line="360" w:lineRule="auto"/>
        <w:jc w:val="center"/>
      </w:pPr>
      <w:r>
        <w:t>BA (Hons) Leadership and Management Skills in the Workplace</w:t>
      </w:r>
    </w:p>
    <w:p w14:paraId="1BD902C9" w14:textId="77777777" w:rsidR="00F8497A" w:rsidRDefault="00000000">
      <w:pPr>
        <w:spacing w:after="120" w:line="360" w:lineRule="auto"/>
        <w:jc w:val="center"/>
      </w:pPr>
      <w:r>
        <w:t>Module code: LCLM5003</w:t>
      </w:r>
    </w:p>
    <w:p w14:paraId="6F4C9243" w14:textId="77777777" w:rsidR="00F8497A" w:rsidRDefault="00000000">
      <w:pPr>
        <w:spacing w:after="120" w:line="360" w:lineRule="auto"/>
        <w:jc w:val="center"/>
      </w:pPr>
      <w:r>
        <w:t>Assessment title: Project portfolio</w:t>
      </w:r>
    </w:p>
    <w:p w14:paraId="3597793F" w14:textId="77777777" w:rsidR="00F8497A" w:rsidRDefault="00000000">
      <w:pPr>
        <w:spacing w:after="120" w:line="360" w:lineRule="auto"/>
        <w:jc w:val="center"/>
      </w:pPr>
      <w:r>
        <w:t>Portfolio components: Part A Poster, Part B Reflection on Feedback, Part C Project Management Plan</w:t>
      </w:r>
    </w:p>
    <w:p w14:paraId="1BF75F99" w14:textId="1E95B564" w:rsidR="00B9208A" w:rsidRDefault="00B9208A">
      <w:pPr>
        <w:spacing w:after="120" w:line="360" w:lineRule="auto"/>
        <w:jc w:val="center"/>
      </w:pPr>
      <w:r>
        <w:t>Student Name: Natalia Potapenko</w:t>
      </w:r>
    </w:p>
    <w:p w14:paraId="2809A1DC" w14:textId="63ABFD2C" w:rsidR="00B9208A" w:rsidRDefault="00B9208A">
      <w:pPr>
        <w:spacing w:after="120" w:line="360" w:lineRule="auto"/>
        <w:jc w:val="center"/>
      </w:pPr>
      <w:r>
        <w:t>Student ID: 2336464</w:t>
      </w:r>
    </w:p>
    <w:p w14:paraId="55EE7EA1" w14:textId="576EA782" w:rsidR="00B9208A" w:rsidRDefault="00B9208A">
      <w:pPr>
        <w:spacing w:after="120" w:line="360" w:lineRule="auto"/>
        <w:jc w:val="center"/>
      </w:pPr>
      <w:r>
        <w:t xml:space="preserve">Lecturer: </w:t>
      </w:r>
      <w:proofErr w:type="spellStart"/>
      <w:r>
        <w:t>Rexon</w:t>
      </w:r>
      <w:proofErr w:type="spellEnd"/>
      <w:r>
        <w:t xml:space="preserve"> Nting</w:t>
      </w:r>
    </w:p>
    <w:p w14:paraId="4B772273" w14:textId="77777777" w:rsidR="00B16E80" w:rsidRDefault="00B16E80"/>
    <w:p w14:paraId="25DD54E6" w14:textId="71A93C02" w:rsidR="00B16E80" w:rsidRDefault="00000000">
      <w:r>
        <w:br w:type="page"/>
      </w:r>
    </w:p>
    <w:p w14:paraId="4BD31B41" w14:textId="77777777" w:rsidR="00B16E80" w:rsidRDefault="00B16E80"/>
    <w:p w14:paraId="58158329" w14:textId="1E31A590" w:rsidR="00B16E80" w:rsidRPr="00B16E80" w:rsidRDefault="00B16E80">
      <w:pPr>
        <w:rPr>
          <w:b/>
          <w:bCs/>
        </w:rPr>
      </w:pPr>
      <w:r w:rsidRPr="00B16E80">
        <w:rPr>
          <w:b/>
          <w:bCs/>
        </w:rPr>
        <w:t>TABLE OF CONTENT</w:t>
      </w:r>
    </w:p>
    <w:p w14:paraId="59290ED9" w14:textId="77777777" w:rsidR="00B16E80" w:rsidRDefault="00B16E80"/>
    <w:p w14:paraId="63893FCE" w14:textId="737218CA" w:rsidR="00B16E80" w:rsidRDefault="00B16E80">
      <w:pPr>
        <w:pStyle w:val="TOC1"/>
        <w:tabs>
          <w:tab w:val="right" w:leader="dot" w:pos="9638"/>
        </w:tabs>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227997068" w:history="1">
        <w:r w:rsidRPr="004C427F">
          <w:rPr>
            <w:rStyle w:val="Hyperlink"/>
            <w:rFonts w:ascii="Times New Roman" w:hAnsi="Times New Roman" w:cs="Times New Roman"/>
            <w:noProof/>
          </w:rPr>
          <w:t>Part A: Project Proposal Poster</w:t>
        </w:r>
        <w:r>
          <w:rPr>
            <w:noProof/>
            <w:webHidden/>
          </w:rPr>
          <w:tab/>
        </w:r>
        <w:r>
          <w:rPr>
            <w:noProof/>
            <w:webHidden/>
          </w:rPr>
          <w:fldChar w:fldCharType="begin"/>
        </w:r>
        <w:r>
          <w:rPr>
            <w:noProof/>
            <w:webHidden/>
          </w:rPr>
          <w:instrText xml:space="preserve"> PAGEREF _Toc227997068 \h </w:instrText>
        </w:r>
        <w:r>
          <w:rPr>
            <w:noProof/>
            <w:webHidden/>
          </w:rPr>
        </w:r>
        <w:r>
          <w:rPr>
            <w:noProof/>
            <w:webHidden/>
          </w:rPr>
          <w:fldChar w:fldCharType="separate"/>
        </w:r>
        <w:r>
          <w:rPr>
            <w:noProof/>
            <w:webHidden/>
          </w:rPr>
          <w:t>3</w:t>
        </w:r>
        <w:r>
          <w:rPr>
            <w:noProof/>
            <w:webHidden/>
          </w:rPr>
          <w:fldChar w:fldCharType="end"/>
        </w:r>
      </w:hyperlink>
    </w:p>
    <w:p w14:paraId="2361B334" w14:textId="2CB148E6" w:rsidR="00B16E80" w:rsidRDefault="00000000">
      <w:pPr>
        <w:pStyle w:val="TOC1"/>
        <w:tabs>
          <w:tab w:val="right" w:leader="dot" w:pos="9638"/>
        </w:tabs>
        <w:rPr>
          <w:noProof/>
        </w:rPr>
      </w:pPr>
      <w:hyperlink w:anchor="_Toc227997069" w:history="1">
        <w:r w:rsidR="00B16E80" w:rsidRPr="004C427F">
          <w:rPr>
            <w:rStyle w:val="Hyperlink"/>
            <w:rFonts w:ascii="Times New Roman" w:hAnsi="Times New Roman" w:cs="Times New Roman"/>
            <w:noProof/>
          </w:rPr>
          <w:t>Part B: Reflection on Feedback</w:t>
        </w:r>
        <w:r w:rsidR="00B16E80">
          <w:rPr>
            <w:noProof/>
            <w:webHidden/>
          </w:rPr>
          <w:tab/>
        </w:r>
        <w:r w:rsidR="00B16E80">
          <w:rPr>
            <w:noProof/>
            <w:webHidden/>
          </w:rPr>
          <w:fldChar w:fldCharType="begin"/>
        </w:r>
        <w:r w:rsidR="00B16E80">
          <w:rPr>
            <w:noProof/>
            <w:webHidden/>
          </w:rPr>
          <w:instrText xml:space="preserve"> PAGEREF _Toc227997069 \h </w:instrText>
        </w:r>
        <w:r w:rsidR="00B16E80">
          <w:rPr>
            <w:noProof/>
            <w:webHidden/>
          </w:rPr>
        </w:r>
        <w:r w:rsidR="00B16E80">
          <w:rPr>
            <w:noProof/>
            <w:webHidden/>
          </w:rPr>
          <w:fldChar w:fldCharType="separate"/>
        </w:r>
        <w:r w:rsidR="00B16E80">
          <w:rPr>
            <w:noProof/>
            <w:webHidden/>
          </w:rPr>
          <w:t>4</w:t>
        </w:r>
        <w:r w:rsidR="00B16E80">
          <w:rPr>
            <w:noProof/>
            <w:webHidden/>
          </w:rPr>
          <w:fldChar w:fldCharType="end"/>
        </w:r>
      </w:hyperlink>
    </w:p>
    <w:p w14:paraId="7624A4E8" w14:textId="2FCC0A79" w:rsidR="00B16E80" w:rsidRDefault="00000000">
      <w:pPr>
        <w:pStyle w:val="TOC1"/>
        <w:tabs>
          <w:tab w:val="right" w:leader="dot" w:pos="9638"/>
        </w:tabs>
        <w:rPr>
          <w:noProof/>
        </w:rPr>
      </w:pPr>
      <w:hyperlink w:anchor="_Toc227997070" w:history="1">
        <w:r w:rsidR="00B16E80" w:rsidRPr="004C427F">
          <w:rPr>
            <w:rStyle w:val="Hyperlink"/>
            <w:rFonts w:ascii="Times New Roman" w:hAnsi="Times New Roman" w:cs="Times New Roman"/>
            <w:noProof/>
          </w:rPr>
          <w:t>Part C: Project Management Plan</w:t>
        </w:r>
        <w:r w:rsidR="00B16E80">
          <w:rPr>
            <w:noProof/>
            <w:webHidden/>
          </w:rPr>
          <w:tab/>
        </w:r>
        <w:r w:rsidR="00B16E80">
          <w:rPr>
            <w:noProof/>
            <w:webHidden/>
          </w:rPr>
          <w:fldChar w:fldCharType="begin"/>
        </w:r>
        <w:r w:rsidR="00B16E80">
          <w:rPr>
            <w:noProof/>
            <w:webHidden/>
          </w:rPr>
          <w:instrText xml:space="preserve"> PAGEREF _Toc227997070 \h </w:instrText>
        </w:r>
        <w:r w:rsidR="00B16E80">
          <w:rPr>
            <w:noProof/>
            <w:webHidden/>
          </w:rPr>
        </w:r>
        <w:r w:rsidR="00B16E80">
          <w:rPr>
            <w:noProof/>
            <w:webHidden/>
          </w:rPr>
          <w:fldChar w:fldCharType="separate"/>
        </w:r>
        <w:r w:rsidR="00B16E80">
          <w:rPr>
            <w:noProof/>
            <w:webHidden/>
          </w:rPr>
          <w:t>7</w:t>
        </w:r>
        <w:r w:rsidR="00B16E80">
          <w:rPr>
            <w:noProof/>
            <w:webHidden/>
          </w:rPr>
          <w:fldChar w:fldCharType="end"/>
        </w:r>
      </w:hyperlink>
    </w:p>
    <w:p w14:paraId="76D7625F" w14:textId="2C534EAB" w:rsidR="00B16E80" w:rsidRDefault="00000000">
      <w:pPr>
        <w:pStyle w:val="TOC2"/>
        <w:tabs>
          <w:tab w:val="right" w:leader="dot" w:pos="9638"/>
        </w:tabs>
        <w:rPr>
          <w:noProof/>
        </w:rPr>
      </w:pPr>
      <w:hyperlink w:anchor="_Toc227997071" w:history="1">
        <w:r w:rsidR="00B16E80" w:rsidRPr="004C427F">
          <w:rPr>
            <w:rStyle w:val="Hyperlink"/>
            <w:rFonts w:ascii="Times New Roman" w:hAnsi="Times New Roman" w:cs="Times New Roman"/>
            <w:noProof/>
          </w:rPr>
          <w:t>1. Introduction</w:t>
        </w:r>
        <w:r w:rsidR="00B16E80">
          <w:rPr>
            <w:noProof/>
            <w:webHidden/>
          </w:rPr>
          <w:tab/>
        </w:r>
        <w:r w:rsidR="00B16E80">
          <w:rPr>
            <w:noProof/>
            <w:webHidden/>
          </w:rPr>
          <w:fldChar w:fldCharType="begin"/>
        </w:r>
        <w:r w:rsidR="00B16E80">
          <w:rPr>
            <w:noProof/>
            <w:webHidden/>
          </w:rPr>
          <w:instrText xml:space="preserve"> PAGEREF _Toc227997071 \h </w:instrText>
        </w:r>
        <w:r w:rsidR="00B16E80">
          <w:rPr>
            <w:noProof/>
            <w:webHidden/>
          </w:rPr>
        </w:r>
        <w:r w:rsidR="00B16E80">
          <w:rPr>
            <w:noProof/>
            <w:webHidden/>
          </w:rPr>
          <w:fldChar w:fldCharType="separate"/>
        </w:r>
        <w:r w:rsidR="00B16E80">
          <w:rPr>
            <w:noProof/>
            <w:webHidden/>
          </w:rPr>
          <w:t>7</w:t>
        </w:r>
        <w:r w:rsidR="00B16E80">
          <w:rPr>
            <w:noProof/>
            <w:webHidden/>
          </w:rPr>
          <w:fldChar w:fldCharType="end"/>
        </w:r>
      </w:hyperlink>
    </w:p>
    <w:p w14:paraId="3FE5CDB9" w14:textId="29239B76" w:rsidR="00B16E80" w:rsidRDefault="00000000">
      <w:pPr>
        <w:pStyle w:val="TOC2"/>
        <w:tabs>
          <w:tab w:val="right" w:leader="dot" w:pos="9638"/>
        </w:tabs>
        <w:rPr>
          <w:noProof/>
        </w:rPr>
      </w:pPr>
      <w:hyperlink w:anchor="_Toc227997072" w:history="1">
        <w:r w:rsidR="00B16E80" w:rsidRPr="004C427F">
          <w:rPr>
            <w:rStyle w:val="Hyperlink"/>
            <w:rFonts w:ascii="Times New Roman" w:hAnsi="Times New Roman" w:cs="Times New Roman"/>
            <w:noProof/>
          </w:rPr>
          <w:t>2. Project Description</w:t>
        </w:r>
        <w:r w:rsidR="00B16E80">
          <w:rPr>
            <w:noProof/>
            <w:webHidden/>
          </w:rPr>
          <w:tab/>
        </w:r>
        <w:r w:rsidR="00B16E80">
          <w:rPr>
            <w:noProof/>
            <w:webHidden/>
          </w:rPr>
          <w:fldChar w:fldCharType="begin"/>
        </w:r>
        <w:r w:rsidR="00B16E80">
          <w:rPr>
            <w:noProof/>
            <w:webHidden/>
          </w:rPr>
          <w:instrText xml:space="preserve"> PAGEREF _Toc227997072 \h </w:instrText>
        </w:r>
        <w:r w:rsidR="00B16E80">
          <w:rPr>
            <w:noProof/>
            <w:webHidden/>
          </w:rPr>
        </w:r>
        <w:r w:rsidR="00B16E80">
          <w:rPr>
            <w:noProof/>
            <w:webHidden/>
          </w:rPr>
          <w:fldChar w:fldCharType="separate"/>
        </w:r>
        <w:r w:rsidR="00B16E80">
          <w:rPr>
            <w:noProof/>
            <w:webHidden/>
          </w:rPr>
          <w:t>8</w:t>
        </w:r>
        <w:r w:rsidR="00B16E80">
          <w:rPr>
            <w:noProof/>
            <w:webHidden/>
          </w:rPr>
          <w:fldChar w:fldCharType="end"/>
        </w:r>
      </w:hyperlink>
    </w:p>
    <w:p w14:paraId="6E120BBE" w14:textId="37016161" w:rsidR="00B16E80" w:rsidRDefault="00000000">
      <w:pPr>
        <w:pStyle w:val="TOC2"/>
        <w:tabs>
          <w:tab w:val="right" w:leader="dot" w:pos="9638"/>
        </w:tabs>
        <w:rPr>
          <w:noProof/>
        </w:rPr>
      </w:pPr>
      <w:hyperlink w:anchor="_Toc227997073" w:history="1">
        <w:r w:rsidR="00B16E80" w:rsidRPr="004C427F">
          <w:rPr>
            <w:rStyle w:val="Hyperlink"/>
            <w:rFonts w:ascii="Times New Roman" w:hAnsi="Times New Roman" w:cs="Times New Roman"/>
            <w:noProof/>
          </w:rPr>
          <w:t>3. Scope</w:t>
        </w:r>
        <w:r w:rsidR="00B16E80">
          <w:rPr>
            <w:noProof/>
            <w:webHidden/>
          </w:rPr>
          <w:tab/>
        </w:r>
        <w:r w:rsidR="00B16E80">
          <w:rPr>
            <w:noProof/>
            <w:webHidden/>
          </w:rPr>
          <w:fldChar w:fldCharType="begin"/>
        </w:r>
        <w:r w:rsidR="00B16E80">
          <w:rPr>
            <w:noProof/>
            <w:webHidden/>
          </w:rPr>
          <w:instrText xml:space="preserve"> PAGEREF _Toc227997073 \h </w:instrText>
        </w:r>
        <w:r w:rsidR="00B16E80">
          <w:rPr>
            <w:noProof/>
            <w:webHidden/>
          </w:rPr>
        </w:r>
        <w:r w:rsidR="00B16E80">
          <w:rPr>
            <w:noProof/>
            <w:webHidden/>
          </w:rPr>
          <w:fldChar w:fldCharType="separate"/>
        </w:r>
        <w:r w:rsidR="00B16E80">
          <w:rPr>
            <w:noProof/>
            <w:webHidden/>
          </w:rPr>
          <w:t>9</w:t>
        </w:r>
        <w:r w:rsidR="00B16E80">
          <w:rPr>
            <w:noProof/>
            <w:webHidden/>
          </w:rPr>
          <w:fldChar w:fldCharType="end"/>
        </w:r>
      </w:hyperlink>
    </w:p>
    <w:p w14:paraId="45597A8C" w14:textId="14E6194A" w:rsidR="00B16E80" w:rsidRDefault="00000000">
      <w:pPr>
        <w:pStyle w:val="TOC2"/>
        <w:tabs>
          <w:tab w:val="right" w:leader="dot" w:pos="9638"/>
        </w:tabs>
        <w:rPr>
          <w:noProof/>
        </w:rPr>
      </w:pPr>
      <w:hyperlink w:anchor="_Toc227997074" w:history="1">
        <w:r w:rsidR="00B16E80" w:rsidRPr="004C427F">
          <w:rPr>
            <w:rStyle w:val="Hyperlink"/>
            <w:rFonts w:ascii="Times New Roman" w:hAnsi="Times New Roman" w:cs="Times New Roman"/>
            <w:noProof/>
          </w:rPr>
          <w:t>4. Work Breakdown Structure</w:t>
        </w:r>
        <w:r w:rsidR="00B16E80">
          <w:rPr>
            <w:noProof/>
            <w:webHidden/>
          </w:rPr>
          <w:tab/>
        </w:r>
        <w:r w:rsidR="00B16E80">
          <w:rPr>
            <w:noProof/>
            <w:webHidden/>
          </w:rPr>
          <w:fldChar w:fldCharType="begin"/>
        </w:r>
        <w:r w:rsidR="00B16E80">
          <w:rPr>
            <w:noProof/>
            <w:webHidden/>
          </w:rPr>
          <w:instrText xml:space="preserve"> PAGEREF _Toc227997074 \h </w:instrText>
        </w:r>
        <w:r w:rsidR="00B16E80">
          <w:rPr>
            <w:noProof/>
            <w:webHidden/>
          </w:rPr>
        </w:r>
        <w:r w:rsidR="00B16E80">
          <w:rPr>
            <w:noProof/>
            <w:webHidden/>
          </w:rPr>
          <w:fldChar w:fldCharType="separate"/>
        </w:r>
        <w:r w:rsidR="00B16E80">
          <w:rPr>
            <w:noProof/>
            <w:webHidden/>
          </w:rPr>
          <w:t>10</w:t>
        </w:r>
        <w:r w:rsidR="00B16E80">
          <w:rPr>
            <w:noProof/>
            <w:webHidden/>
          </w:rPr>
          <w:fldChar w:fldCharType="end"/>
        </w:r>
      </w:hyperlink>
    </w:p>
    <w:p w14:paraId="14BF36E3" w14:textId="6DBF3CBA" w:rsidR="00B16E80" w:rsidRDefault="00000000">
      <w:pPr>
        <w:pStyle w:val="TOC2"/>
        <w:tabs>
          <w:tab w:val="right" w:leader="dot" w:pos="9638"/>
        </w:tabs>
        <w:rPr>
          <w:noProof/>
        </w:rPr>
      </w:pPr>
      <w:hyperlink w:anchor="_Toc227997075" w:history="1">
        <w:r w:rsidR="00B16E80" w:rsidRPr="004C427F">
          <w:rPr>
            <w:rStyle w:val="Hyperlink"/>
            <w:rFonts w:ascii="Times New Roman" w:hAnsi="Times New Roman" w:cs="Times New Roman"/>
            <w:noProof/>
          </w:rPr>
          <w:t>5. Quad Chart</w:t>
        </w:r>
        <w:r w:rsidR="00B16E80">
          <w:rPr>
            <w:noProof/>
            <w:webHidden/>
          </w:rPr>
          <w:tab/>
        </w:r>
        <w:r w:rsidR="00B16E80">
          <w:rPr>
            <w:noProof/>
            <w:webHidden/>
          </w:rPr>
          <w:fldChar w:fldCharType="begin"/>
        </w:r>
        <w:r w:rsidR="00B16E80">
          <w:rPr>
            <w:noProof/>
            <w:webHidden/>
          </w:rPr>
          <w:instrText xml:space="preserve"> PAGEREF _Toc227997075 \h </w:instrText>
        </w:r>
        <w:r w:rsidR="00B16E80">
          <w:rPr>
            <w:noProof/>
            <w:webHidden/>
          </w:rPr>
        </w:r>
        <w:r w:rsidR="00B16E80">
          <w:rPr>
            <w:noProof/>
            <w:webHidden/>
          </w:rPr>
          <w:fldChar w:fldCharType="separate"/>
        </w:r>
        <w:r w:rsidR="00B16E80">
          <w:rPr>
            <w:noProof/>
            <w:webHidden/>
          </w:rPr>
          <w:t>11</w:t>
        </w:r>
        <w:r w:rsidR="00B16E80">
          <w:rPr>
            <w:noProof/>
            <w:webHidden/>
          </w:rPr>
          <w:fldChar w:fldCharType="end"/>
        </w:r>
      </w:hyperlink>
    </w:p>
    <w:p w14:paraId="06A956C5" w14:textId="24624CCA" w:rsidR="00B16E80" w:rsidRDefault="00000000">
      <w:pPr>
        <w:pStyle w:val="TOC2"/>
        <w:tabs>
          <w:tab w:val="right" w:leader="dot" w:pos="9638"/>
        </w:tabs>
        <w:rPr>
          <w:noProof/>
        </w:rPr>
      </w:pPr>
      <w:hyperlink w:anchor="_Toc227997076" w:history="1">
        <w:r w:rsidR="00B16E80" w:rsidRPr="004C427F">
          <w:rPr>
            <w:rStyle w:val="Hyperlink"/>
            <w:rFonts w:ascii="Times New Roman" w:hAnsi="Times New Roman" w:cs="Times New Roman"/>
            <w:noProof/>
          </w:rPr>
          <w:t>6. Gantt Chart</w:t>
        </w:r>
        <w:r w:rsidR="00B16E80">
          <w:rPr>
            <w:noProof/>
            <w:webHidden/>
          </w:rPr>
          <w:tab/>
        </w:r>
        <w:r w:rsidR="00B16E80">
          <w:rPr>
            <w:noProof/>
            <w:webHidden/>
          </w:rPr>
          <w:fldChar w:fldCharType="begin"/>
        </w:r>
        <w:r w:rsidR="00B16E80">
          <w:rPr>
            <w:noProof/>
            <w:webHidden/>
          </w:rPr>
          <w:instrText xml:space="preserve"> PAGEREF _Toc227997076 \h </w:instrText>
        </w:r>
        <w:r w:rsidR="00B16E80">
          <w:rPr>
            <w:noProof/>
            <w:webHidden/>
          </w:rPr>
        </w:r>
        <w:r w:rsidR="00B16E80">
          <w:rPr>
            <w:noProof/>
            <w:webHidden/>
          </w:rPr>
          <w:fldChar w:fldCharType="separate"/>
        </w:r>
        <w:r w:rsidR="00B16E80">
          <w:rPr>
            <w:noProof/>
            <w:webHidden/>
          </w:rPr>
          <w:t>12</w:t>
        </w:r>
        <w:r w:rsidR="00B16E80">
          <w:rPr>
            <w:noProof/>
            <w:webHidden/>
          </w:rPr>
          <w:fldChar w:fldCharType="end"/>
        </w:r>
      </w:hyperlink>
    </w:p>
    <w:p w14:paraId="29726ECD" w14:textId="32A424EE" w:rsidR="00B16E80" w:rsidRDefault="00000000">
      <w:pPr>
        <w:pStyle w:val="TOC2"/>
        <w:tabs>
          <w:tab w:val="right" w:leader="dot" w:pos="9638"/>
        </w:tabs>
        <w:rPr>
          <w:noProof/>
        </w:rPr>
      </w:pPr>
      <w:hyperlink w:anchor="_Toc227997077" w:history="1">
        <w:r w:rsidR="00B16E80" w:rsidRPr="004C427F">
          <w:rPr>
            <w:rStyle w:val="Hyperlink"/>
            <w:rFonts w:ascii="Times New Roman" w:hAnsi="Times New Roman" w:cs="Times New Roman"/>
            <w:noProof/>
          </w:rPr>
          <w:t>7. Stakeholders' Involvement</w:t>
        </w:r>
        <w:r w:rsidR="00B16E80">
          <w:rPr>
            <w:noProof/>
            <w:webHidden/>
          </w:rPr>
          <w:tab/>
        </w:r>
        <w:r w:rsidR="00B16E80">
          <w:rPr>
            <w:noProof/>
            <w:webHidden/>
          </w:rPr>
          <w:fldChar w:fldCharType="begin"/>
        </w:r>
        <w:r w:rsidR="00B16E80">
          <w:rPr>
            <w:noProof/>
            <w:webHidden/>
          </w:rPr>
          <w:instrText xml:space="preserve"> PAGEREF _Toc227997077 \h </w:instrText>
        </w:r>
        <w:r w:rsidR="00B16E80">
          <w:rPr>
            <w:noProof/>
            <w:webHidden/>
          </w:rPr>
        </w:r>
        <w:r w:rsidR="00B16E80">
          <w:rPr>
            <w:noProof/>
            <w:webHidden/>
          </w:rPr>
          <w:fldChar w:fldCharType="separate"/>
        </w:r>
        <w:r w:rsidR="00B16E80">
          <w:rPr>
            <w:noProof/>
            <w:webHidden/>
          </w:rPr>
          <w:t>13</w:t>
        </w:r>
        <w:r w:rsidR="00B16E80">
          <w:rPr>
            <w:noProof/>
            <w:webHidden/>
          </w:rPr>
          <w:fldChar w:fldCharType="end"/>
        </w:r>
      </w:hyperlink>
    </w:p>
    <w:p w14:paraId="261180E5" w14:textId="7B91017B" w:rsidR="00B16E80" w:rsidRDefault="00000000">
      <w:pPr>
        <w:pStyle w:val="TOC2"/>
        <w:tabs>
          <w:tab w:val="right" w:leader="dot" w:pos="9638"/>
        </w:tabs>
        <w:rPr>
          <w:noProof/>
        </w:rPr>
      </w:pPr>
      <w:hyperlink w:anchor="_Toc227997078" w:history="1">
        <w:r w:rsidR="00B16E80" w:rsidRPr="004C427F">
          <w:rPr>
            <w:rStyle w:val="Hyperlink"/>
            <w:rFonts w:ascii="Times New Roman" w:hAnsi="Times New Roman" w:cs="Times New Roman"/>
            <w:noProof/>
          </w:rPr>
          <w:t>8. Allocation of Resources</w:t>
        </w:r>
        <w:r w:rsidR="00B16E80">
          <w:rPr>
            <w:noProof/>
            <w:webHidden/>
          </w:rPr>
          <w:tab/>
        </w:r>
        <w:r w:rsidR="00B16E80">
          <w:rPr>
            <w:noProof/>
            <w:webHidden/>
          </w:rPr>
          <w:fldChar w:fldCharType="begin"/>
        </w:r>
        <w:r w:rsidR="00B16E80">
          <w:rPr>
            <w:noProof/>
            <w:webHidden/>
          </w:rPr>
          <w:instrText xml:space="preserve"> PAGEREF _Toc227997078 \h </w:instrText>
        </w:r>
        <w:r w:rsidR="00B16E80">
          <w:rPr>
            <w:noProof/>
            <w:webHidden/>
          </w:rPr>
        </w:r>
        <w:r w:rsidR="00B16E80">
          <w:rPr>
            <w:noProof/>
            <w:webHidden/>
          </w:rPr>
          <w:fldChar w:fldCharType="separate"/>
        </w:r>
        <w:r w:rsidR="00B16E80">
          <w:rPr>
            <w:noProof/>
            <w:webHidden/>
          </w:rPr>
          <w:t>14</w:t>
        </w:r>
        <w:r w:rsidR="00B16E80">
          <w:rPr>
            <w:noProof/>
            <w:webHidden/>
          </w:rPr>
          <w:fldChar w:fldCharType="end"/>
        </w:r>
      </w:hyperlink>
    </w:p>
    <w:p w14:paraId="088AA38B" w14:textId="6E8AD78E" w:rsidR="00B16E80" w:rsidRDefault="00000000">
      <w:pPr>
        <w:pStyle w:val="TOC2"/>
        <w:tabs>
          <w:tab w:val="right" w:leader="dot" w:pos="9638"/>
        </w:tabs>
        <w:rPr>
          <w:noProof/>
        </w:rPr>
      </w:pPr>
      <w:hyperlink w:anchor="_Toc227997079" w:history="1">
        <w:r w:rsidR="00B16E80" w:rsidRPr="004C427F">
          <w:rPr>
            <w:rStyle w:val="Hyperlink"/>
            <w:rFonts w:ascii="Times New Roman" w:hAnsi="Times New Roman" w:cs="Times New Roman"/>
            <w:noProof/>
          </w:rPr>
          <w:t>9. Risk Analysis</w:t>
        </w:r>
        <w:r w:rsidR="00B16E80">
          <w:rPr>
            <w:noProof/>
            <w:webHidden/>
          </w:rPr>
          <w:tab/>
        </w:r>
        <w:r w:rsidR="00B16E80">
          <w:rPr>
            <w:noProof/>
            <w:webHidden/>
          </w:rPr>
          <w:fldChar w:fldCharType="begin"/>
        </w:r>
        <w:r w:rsidR="00B16E80">
          <w:rPr>
            <w:noProof/>
            <w:webHidden/>
          </w:rPr>
          <w:instrText xml:space="preserve"> PAGEREF _Toc227997079 \h </w:instrText>
        </w:r>
        <w:r w:rsidR="00B16E80">
          <w:rPr>
            <w:noProof/>
            <w:webHidden/>
          </w:rPr>
        </w:r>
        <w:r w:rsidR="00B16E80">
          <w:rPr>
            <w:noProof/>
            <w:webHidden/>
          </w:rPr>
          <w:fldChar w:fldCharType="separate"/>
        </w:r>
        <w:r w:rsidR="00B16E80">
          <w:rPr>
            <w:noProof/>
            <w:webHidden/>
          </w:rPr>
          <w:t>15</w:t>
        </w:r>
        <w:r w:rsidR="00B16E80">
          <w:rPr>
            <w:noProof/>
            <w:webHidden/>
          </w:rPr>
          <w:fldChar w:fldCharType="end"/>
        </w:r>
      </w:hyperlink>
    </w:p>
    <w:p w14:paraId="49B0B083" w14:textId="40DB5D3B" w:rsidR="00B16E80" w:rsidRDefault="00000000">
      <w:pPr>
        <w:pStyle w:val="TOC2"/>
        <w:tabs>
          <w:tab w:val="right" w:leader="dot" w:pos="9638"/>
        </w:tabs>
        <w:rPr>
          <w:noProof/>
        </w:rPr>
      </w:pPr>
      <w:hyperlink w:anchor="_Toc227997080" w:history="1">
        <w:r w:rsidR="00B16E80" w:rsidRPr="004C427F">
          <w:rPr>
            <w:rStyle w:val="Hyperlink"/>
            <w:rFonts w:ascii="Times New Roman" w:hAnsi="Times New Roman" w:cs="Times New Roman"/>
            <w:noProof/>
          </w:rPr>
          <w:t>10. Conclusion</w:t>
        </w:r>
        <w:r w:rsidR="00B16E80">
          <w:rPr>
            <w:noProof/>
            <w:webHidden/>
          </w:rPr>
          <w:tab/>
        </w:r>
        <w:r w:rsidR="00B16E80">
          <w:rPr>
            <w:noProof/>
            <w:webHidden/>
          </w:rPr>
          <w:fldChar w:fldCharType="begin"/>
        </w:r>
        <w:r w:rsidR="00B16E80">
          <w:rPr>
            <w:noProof/>
            <w:webHidden/>
          </w:rPr>
          <w:instrText xml:space="preserve"> PAGEREF _Toc227997080 \h </w:instrText>
        </w:r>
        <w:r w:rsidR="00B16E80">
          <w:rPr>
            <w:noProof/>
            <w:webHidden/>
          </w:rPr>
        </w:r>
        <w:r w:rsidR="00B16E80">
          <w:rPr>
            <w:noProof/>
            <w:webHidden/>
          </w:rPr>
          <w:fldChar w:fldCharType="separate"/>
        </w:r>
        <w:r w:rsidR="00B16E80">
          <w:rPr>
            <w:noProof/>
            <w:webHidden/>
          </w:rPr>
          <w:t>16</w:t>
        </w:r>
        <w:r w:rsidR="00B16E80">
          <w:rPr>
            <w:noProof/>
            <w:webHidden/>
          </w:rPr>
          <w:fldChar w:fldCharType="end"/>
        </w:r>
      </w:hyperlink>
    </w:p>
    <w:p w14:paraId="1A706117" w14:textId="6F1AAA78" w:rsidR="00B16E80" w:rsidRDefault="00000000">
      <w:pPr>
        <w:pStyle w:val="TOC1"/>
        <w:tabs>
          <w:tab w:val="right" w:leader="dot" w:pos="9638"/>
        </w:tabs>
        <w:rPr>
          <w:noProof/>
        </w:rPr>
      </w:pPr>
      <w:hyperlink w:anchor="_Toc227997081" w:history="1">
        <w:r w:rsidR="00B16E80" w:rsidRPr="004C427F">
          <w:rPr>
            <w:rStyle w:val="Hyperlink"/>
            <w:rFonts w:ascii="Times New Roman" w:hAnsi="Times New Roman" w:cs="Times New Roman"/>
            <w:noProof/>
          </w:rPr>
          <w:t>References</w:t>
        </w:r>
        <w:r w:rsidR="00B16E80">
          <w:rPr>
            <w:noProof/>
            <w:webHidden/>
          </w:rPr>
          <w:tab/>
        </w:r>
        <w:r w:rsidR="00B16E80">
          <w:rPr>
            <w:noProof/>
            <w:webHidden/>
          </w:rPr>
          <w:fldChar w:fldCharType="begin"/>
        </w:r>
        <w:r w:rsidR="00B16E80">
          <w:rPr>
            <w:noProof/>
            <w:webHidden/>
          </w:rPr>
          <w:instrText xml:space="preserve"> PAGEREF _Toc227997081 \h </w:instrText>
        </w:r>
        <w:r w:rsidR="00B16E80">
          <w:rPr>
            <w:noProof/>
            <w:webHidden/>
          </w:rPr>
        </w:r>
        <w:r w:rsidR="00B16E80">
          <w:rPr>
            <w:noProof/>
            <w:webHidden/>
          </w:rPr>
          <w:fldChar w:fldCharType="separate"/>
        </w:r>
        <w:r w:rsidR="00B16E80">
          <w:rPr>
            <w:noProof/>
            <w:webHidden/>
          </w:rPr>
          <w:t>17</w:t>
        </w:r>
        <w:r w:rsidR="00B16E80">
          <w:rPr>
            <w:noProof/>
            <w:webHidden/>
          </w:rPr>
          <w:fldChar w:fldCharType="end"/>
        </w:r>
      </w:hyperlink>
    </w:p>
    <w:p w14:paraId="77013DE7" w14:textId="64497E7A" w:rsidR="00D33A09" w:rsidRPr="00B16E80" w:rsidRDefault="00B16E80" w:rsidP="00B16E80">
      <w:pPr>
        <w:pStyle w:val="ListBullet"/>
        <w:numPr>
          <w:ilvl w:val="0"/>
          <w:numId w:val="0"/>
        </w:numPr>
        <w:spacing w:after="120" w:line="360" w:lineRule="auto"/>
        <w:ind w:left="360" w:hanging="360"/>
        <w:rPr>
          <w:rFonts w:ascii="Times New Roman" w:hAnsi="Times New Roman" w:cs="Times New Roman"/>
          <w:sz w:val="24"/>
          <w:szCs w:val="24"/>
        </w:rPr>
      </w:pPr>
      <w:r>
        <w:rPr>
          <w:rFonts w:ascii="Times New Roman" w:hAnsi="Times New Roman" w:cs="Times New Roman"/>
          <w:sz w:val="24"/>
          <w:szCs w:val="24"/>
        </w:rPr>
        <w:fldChar w:fldCharType="end"/>
      </w:r>
    </w:p>
    <w:p w14:paraId="6A693B48"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3A850BA4"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65B77F35"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1FA6F41B"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19416556"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361FD556"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2EB428F1"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439107C3"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0F89B4DF"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7B20550C"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15929A38"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293CBEB9"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791F5855"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278DC086" w14:textId="77777777" w:rsidR="00D33A09" w:rsidRPr="00B16E80" w:rsidRDefault="00D33A09" w:rsidP="00B16E80">
      <w:pPr>
        <w:pStyle w:val="ListBullet"/>
        <w:numPr>
          <w:ilvl w:val="0"/>
          <w:numId w:val="0"/>
        </w:numPr>
        <w:spacing w:after="120" w:line="360" w:lineRule="auto"/>
        <w:ind w:left="360" w:hanging="360"/>
        <w:rPr>
          <w:rFonts w:ascii="Times New Roman" w:hAnsi="Times New Roman" w:cs="Times New Roman"/>
          <w:sz w:val="24"/>
          <w:szCs w:val="24"/>
        </w:rPr>
      </w:pPr>
    </w:p>
    <w:p w14:paraId="3DD143F6" w14:textId="77777777" w:rsidR="00F8497A" w:rsidRPr="00B16E80" w:rsidRDefault="00000000" w:rsidP="00B16E80">
      <w:pPr>
        <w:pStyle w:val="Heading1"/>
        <w:spacing w:after="120" w:line="360" w:lineRule="auto"/>
        <w:rPr>
          <w:rFonts w:ascii="Times New Roman" w:hAnsi="Times New Roman" w:cs="Times New Roman"/>
          <w:b w:val="0"/>
          <w:sz w:val="24"/>
          <w:szCs w:val="24"/>
        </w:rPr>
      </w:pPr>
      <w:bookmarkStart w:id="0" w:name="_Toc227997068"/>
      <w:r w:rsidRPr="00B16E80">
        <w:rPr>
          <w:rFonts w:ascii="Times New Roman" w:hAnsi="Times New Roman" w:cs="Times New Roman"/>
          <w:b w:val="0"/>
          <w:sz w:val="24"/>
          <w:szCs w:val="24"/>
        </w:rPr>
        <w:lastRenderedPageBreak/>
        <w:t>Part A: Project Proposal Poster</w:t>
      </w:r>
      <w:bookmarkEnd w:id="0"/>
    </w:p>
    <w:p w14:paraId="16AD6768" w14:textId="7C07409A" w:rsidR="00D33A09" w:rsidRPr="00DD5E0A"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Figure 1 represents the updated poster, which features the repair of the electricity infrastructure in Worcester following the flooding that resulted from the July 2025 flooding event in the West Midlands. The information included in this poster is background information about the project, the objectives of the project, the stakeholders in the project, an estimate of the costs and durations of the project, the WBS for the project, the eighteen month schedule for the project, as well as a discussion of the risks associated with the project. The report that follows has been redrafted to reflect the inclusion of this project and to replace the concept of the road-corridor recovery with the electricity infrastructure repair project for Worcester.</w:t>
      </w:r>
    </w:p>
    <w:p w14:paraId="5E97C104" w14:textId="57BE74DD" w:rsidR="00F8497A" w:rsidRPr="00B16E80" w:rsidRDefault="00D33A09" w:rsidP="00B16E80">
      <w:pPr>
        <w:spacing w:line="360" w:lineRule="auto"/>
        <w:rPr>
          <w:rFonts w:ascii="Times New Roman" w:hAnsi="Times New Roman" w:cs="Times New Roman"/>
          <w:sz w:val="24"/>
          <w:szCs w:val="24"/>
        </w:rPr>
      </w:pPr>
      <w:r w:rsidRPr="00B16E80">
        <w:rPr>
          <w:rFonts w:ascii="Times New Roman" w:hAnsi="Times New Roman" w:cs="Times New Roman"/>
          <w:noProof/>
          <w:sz w:val="24"/>
          <w:szCs w:val="24"/>
        </w:rPr>
        <w:drawing>
          <wp:inline distT="0" distB="0" distL="0" distR="0" wp14:anchorId="40961515" wp14:editId="4D37265B">
            <wp:extent cx="5112385" cy="5605670"/>
            <wp:effectExtent l="0" t="0" r="0" b="0"/>
            <wp:docPr id="487142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142054" name=""/>
                    <pic:cNvPicPr/>
                  </pic:nvPicPr>
                  <pic:blipFill>
                    <a:blip r:embed="rId8"/>
                    <a:stretch>
                      <a:fillRect/>
                    </a:stretch>
                  </pic:blipFill>
                  <pic:spPr>
                    <a:xfrm>
                      <a:off x="0" y="0"/>
                      <a:ext cx="5117231" cy="5610983"/>
                    </a:xfrm>
                    <a:prstGeom prst="rect">
                      <a:avLst/>
                    </a:prstGeom>
                  </pic:spPr>
                </pic:pic>
              </a:graphicData>
            </a:graphic>
          </wp:inline>
        </w:drawing>
      </w:r>
    </w:p>
    <w:p w14:paraId="7ED49B61" w14:textId="77777777" w:rsidR="00F8497A" w:rsidRPr="00B16E80" w:rsidRDefault="00000000" w:rsidP="00B16E80">
      <w:pPr>
        <w:spacing w:after="120" w:line="360" w:lineRule="auto"/>
        <w:jc w:val="center"/>
        <w:rPr>
          <w:rFonts w:ascii="Times New Roman" w:hAnsi="Times New Roman" w:cs="Times New Roman"/>
          <w:sz w:val="24"/>
          <w:szCs w:val="24"/>
        </w:rPr>
      </w:pPr>
      <w:r w:rsidRPr="00B16E80">
        <w:rPr>
          <w:rFonts w:ascii="Times New Roman" w:hAnsi="Times New Roman" w:cs="Times New Roman"/>
          <w:sz w:val="24"/>
          <w:szCs w:val="24"/>
        </w:rPr>
        <w:t>Figure 1. Project proposal poster for the Worcester electricity infrastructure restoration project.</w:t>
      </w:r>
    </w:p>
    <w:p w14:paraId="2F0552A0" w14:textId="3D465B44" w:rsidR="002B5734" w:rsidRPr="00DD5E0A" w:rsidRDefault="00000000" w:rsidP="00DD5E0A">
      <w:pPr>
        <w:pStyle w:val="Heading1"/>
        <w:spacing w:after="120" w:line="360" w:lineRule="auto"/>
        <w:rPr>
          <w:rFonts w:ascii="Times New Roman" w:hAnsi="Times New Roman" w:cs="Times New Roman"/>
          <w:b w:val="0"/>
          <w:sz w:val="24"/>
          <w:szCs w:val="24"/>
        </w:rPr>
      </w:pPr>
      <w:bookmarkStart w:id="1" w:name="_Toc227997069"/>
      <w:r w:rsidRPr="00B16E80">
        <w:rPr>
          <w:rFonts w:ascii="Times New Roman" w:hAnsi="Times New Roman" w:cs="Times New Roman"/>
          <w:b w:val="0"/>
          <w:sz w:val="24"/>
          <w:szCs w:val="24"/>
        </w:rPr>
        <w:lastRenderedPageBreak/>
        <w:t>Part B: Reflection on Feedback</w:t>
      </w:r>
      <w:bookmarkEnd w:id="1"/>
    </w:p>
    <w:p w14:paraId="1B60CEB0" w14:textId="77777777" w:rsidR="002B5734" w:rsidRPr="00B16E80" w:rsidRDefault="002B5734" w:rsidP="00B16E80">
      <w:pPr>
        <w:pStyle w:val="text-base"/>
        <w:spacing w:line="360" w:lineRule="auto"/>
      </w:pPr>
      <w:r w:rsidRPr="00B16E80">
        <w:t>The updated poster for the project created a clearer connection between the nominated problem, the outputs of the project and the long term resilience target. The most compelling element of the new concept was its proximity to the flood and the potential damage that would occur to the electrical infrastructure of the town, which would impact numerous locations such as homes, schools, hospitals, businesses and emergency response locations. The rationale for the project was considered to be more compelling than before as a result of acknowledging the critical impact that the failure of the power grid would have upon the town. The determination of the need for the restoration of the safe and reliable electricity system in Worcester provided a justification for the project that had public-interest nature, which would form the foundation for the project management plan.</w:t>
      </w:r>
    </w:p>
    <w:p w14:paraId="6BE5F27A" w14:textId="77777777" w:rsidR="002B5734" w:rsidRPr="00B16E80" w:rsidRDefault="002B5734" w:rsidP="00B16E80">
      <w:pPr>
        <w:pStyle w:val="text-base"/>
        <w:spacing w:line="360" w:lineRule="auto"/>
      </w:pPr>
      <w:r w:rsidRPr="00B16E80">
        <w:t xml:space="preserve">Written plan ( Feedback also highlighted multiple areas for improvement). One of the first areas of improvement was the precision of the scope of the project. While the poster included plans for both restoration and resilience elements of the project, the first draft of the project did not include a clear distinction between the two. Current works will be limited to the flood impacted distribution infrastructure, the substations and the restoration of the electrical system in the impacted area of Worcester. The flag of the United </w:t>
      </w:r>
      <w:proofErr w:type="spellStart"/>
      <w:r w:rsidRPr="00B16E80">
        <w:t>NationsIt</w:t>
      </w:r>
      <w:proofErr w:type="spellEnd"/>
      <w:r w:rsidRPr="00B16E80">
        <w:t xml:space="preserve"> is now determined that works beyond the flooded areas, such as works related to the general energy system of the area and other capital works will be out of scope for the project. This will add to the control of the project.</w:t>
      </w:r>
    </w:p>
    <w:p w14:paraId="6F942987" w14:textId="77777777" w:rsidR="002B5734" w:rsidRPr="00B16E80" w:rsidRDefault="002B5734" w:rsidP="00B16E80">
      <w:pPr>
        <w:pStyle w:val="text-base"/>
        <w:spacing w:line="360" w:lineRule="auto"/>
      </w:pPr>
      <w:r w:rsidRPr="00B16E80">
        <w:t>Feedback Topic 2: Stakeholder Analysis The poster includes the stakeholders for the project, however the written plan did not adequately explain the different priorities of these groups. The last report includes an elaboration of the power, interest and role of each of the stakeholders in the project. For example, local councils will have power and a role in approving funds for the project, energy companies will have the expertise required to restore the power to the town, and the residents have an interest in the project, however they will not be stakeholders in the project. This will make the stakeholder section more useful to the team.</w:t>
      </w:r>
    </w:p>
    <w:p w14:paraId="220A1FF3" w14:textId="77777777" w:rsidR="002B5734" w:rsidRPr="00B16E80" w:rsidRDefault="002B5734" w:rsidP="00B16E80">
      <w:pPr>
        <w:pStyle w:val="text-base"/>
        <w:spacing w:line="360" w:lineRule="auto"/>
      </w:pPr>
      <w:r w:rsidRPr="00B16E80">
        <w:t xml:space="preserve">The third one was about scheduling. While the budget and the length of the project was mentioned on the poster, the written plan did not include an explanation of the scheduling of the project. The last plan to include explanations of the scheduling of the project, including an explanation of the logic behind each of the phases of the project, as related to the components of the project. The plan </w:t>
      </w:r>
      <w:r w:rsidRPr="00B16E80">
        <w:lastRenderedPageBreak/>
        <w:t>now includes descriptions of the stages of the project, including planning, assessment, design, construction and testing. Additionally, there is an explanation of how some stages will be occurring in parallel with others. This will make for a more realistic schedule for the project.</w:t>
      </w:r>
    </w:p>
    <w:p w14:paraId="79786326" w14:textId="77777777" w:rsidR="002B5734" w:rsidRPr="00B16E80" w:rsidRDefault="002B5734" w:rsidP="00B16E80">
      <w:pPr>
        <w:pStyle w:val="text-base"/>
        <w:spacing w:line="360" w:lineRule="auto"/>
      </w:pPr>
      <w:r w:rsidRPr="00B16E80">
        <w:t>Lastly, stakeholders shared with me that the risk analysis for the project could have been further developed in the written plan, as well as links made between the risk analysis and project management theory. The risk analysis is now more comprehensive than before, with a discussion of risks such as severe weather, damage to electrical infrastructure, procurement of necessary materials, possible impact on the budget of the project and ineffective communications between the stakeholders involved. Additionally, there are discussions of concepts related to project management theory, such as scope control, work breakdown structures, Gantt scheduling of the project, stakeholder mapping and risk mitigation. This indicates that the project is more prepared for these issues, and that there is a general understanding of the methods that will be applied to address them. Thus, the improved written plan for the project enhances the coherence of the project, ensures that the relation between the poster and the report is more apparent to readers, and presents a more developed, contextual project management plan for the Worcester-based power restoration project.</w:t>
      </w:r>
    </w:p>
    <w:p w14:paraId="197D56D7" w14:textId="77777777" w:rsidR="002B5734" w:rsidRDefault="002B5734" w:rsidP="002B5734">
      <w:pPr>
        <w:pStyle w:val="text-base"/>
      </w:pPr>
    </w:p>
    <w:p w14:paraId="5EC0C252" w14:textId="77777777" w:rsidR="002B5734" w:rsidRDefault="002B5734" w:rsidP="002B5734">
      <w:pPr>
        <w:pStyle w:val="text-base"/>
      </w:pPr>
    </w:p>
    <w:p w14:paraId="232762D9" w14:textId="77777777" w:rsidR="002B5734" w:rsidRDefault="002B5734" w:rsidP="002B5734">
      <w:pPr>
        <w:pStyle w:val="text-base"/>
      </w:pPr>
    </w:p>
    <w:p w14:paraId="00AAFDDE" w14:textId="77777777" w:rsidR="002B5734" w:rsidRDefault="002B5734" w:rsidP="002B5734">
      <w:pPr>
        <w:pStyle w:val="text-base"/>
      </w:pPr>
    </w:p>
    <w:p w14:paraId="55C64177" w14:textId="77777777" w:rsidR="002B5734" w:rsidRDefault="002B5734" w:rsidP="002B5734">
      <w:pPr>
        <w:pStyle w:val="text-base"/>
      </w:pPr>
    </w:p>
    <w:p w14:paraId="3CA3945F" w14:textId="77777777" w:rsidR="002B5734" w:rsidRDefault="002B5734" w:rsidP="002B5734">
      <w:pPr>
        <w:pStyle w:val="text-base"/>
      </w:pPr>
    </w:p>
    <w:p w14:paraId="4372FCB1" w14:textId="77777777" w:rsidR="002B5734" w:rsidRDefault="002B5734" w:rsidP="002B5734">
      <w:pPr>
        <w:pStyle w:val="text-base"/>
      </w:pPr>
    </w:p>
    <w:p w14:paraId="2B2832F4" w14:textId="77777777" w:rsidR="002B5734" w:rsidRDefault="002B5734" w:rsidP="002B5734">
      <w:pPr>
        <w:pStyle w:val="text-base"/>
      </w:pPr>
    </w:p>
    <w:p w14:paraId="2DC3F5D1" w14:textId="77777777" w:rsidR="002B5734" w:rsidRDefault="002B5734" w:rsidP="002B5734">
      <w:pPr>
        <w:pStyle w:val="text-base"/>
      </w:pPr>
    </w:p>
    <w:p w14:paraId="6B65EEA0" w14:textId="77777777" w:rsidR="002B5734" w:rsidRDefault="002B5734" w:rsidP="002B5734">
      <w:pPr>
        <w:pStyle w:val="text-base"/>
      </w:pPr>
    </w:p>
    <w:p w14:paraId="1A877682" w14:textId="77777777" w:rsidR="002B5734" w:rsidRDefault="002B5734" w:rsidP="002B5734">
      <w:pPr>
        <w:pStyle w:val="text-base"/>
      </w:pPr>
    </w:p>
    <w:p w14:paraId="208D1FE1" w14:textId="77777777" w:rsidR="002B5734" w:rsidRDefault="002B5734" w:rsidP="002B5734">
      <w:pPr>
        <w:pStyle w:val="text-base"/>
      </w:pPr>
    </w:p>
    <w:p w14:paraId="7843A6FD" w14:textId="77777777" w:rsidR="00F8497A" w:rsidRPr="00B16E80" w:rsidRDefault="00000000" w:rsidP="00B16E80">
      <w:pPr>
        <w:pStyle w:val="Heading1"/>
        <w:spacing w:after="120" w:line="360" w:lineRule="auto"/>
        <w:rPr>
          <w:rFonts w:ascii="Times New Roman" w:hAnsi="Times New Roman" w:cs="Times New Roman"/>
          <w:sz w:val="24"/>
          <w:szCs w:val="24"/>
        </w:rPr>
      </w:pPr>
      <w:bookmarkStart w:id="2" w:name="_Toc227997070"/>
      <w:r w:rsidRPr="00B16E80">
        <w:rPr>
          <w:rFonts w:ascii="Times New Roman" w:hAnsi="Times New Roman" w:cs="Times New Roman"/>
          <w:b w:val="0"/>
          <w:sz w:val="24"/>
          <w:szCs w:val="24"/>
        </w:rPr>
        <w:lastRenderedPageBreak/>
        <w:t>Part C: Project Management Plan</w:t>
      </w:r>
      <w:bookmarkEnd w:id="2"/>
    </w:p>
    <w:p w14:paraId="566A25FB" w14:textId="77777777" w:rsidR="00F8497A" w:rsidRPr="00B16E80" w:rsidRDefault="00000000" w:rsidP="00B16E80">
      <w:pPr>
        <w:pStyle w:val="Heading2"/>
        <w:spacing w:after="120" w:line="360" w:lineRule="auto"/>
        <w:rPr>
          <w:rFonts w:ascii="Times New Roman" w:hAnsi="Times New Roman" w:cs="Times New Roman"/>
          <w:sz w:val="24"/>
          <w:szCs w:val="24"/>
        </w:rPr>
      </w:pPr>
      <w:bookmarkStart w:id="3" w:name="_Toc227997071"/>
      <w:r w:rsidRPr="00B16E80">
        <w:rPr>
          <w:rFonts w:ascii="Times New Roman" w:hAnsi="Times New Roman" w:cs="Times New Roman"/>
          <w:b w:val="0"/>
          <w:sz w:val="24"/>
          <w:szCs w:val="24"/>
        </w:rPr>
        <w:t>1. Introduction</w:t>
      </w:r>
      <w:bookmarkEnd w:id="3"/>
    </w:p>
    <w:p w14:paraId="4DE575C5" w14:textId="77777777" w:rsidR="002B5734" w:rsidRPr="00B16E80" w:rsidRDefault="002B5734" w:rsidP="00B16E80">
      <w:pPr>
        <w:pStyle w:val="text-base"/>
        <w:spacing w:line="360" w:lineRule="auto"/>
      </w:pPr>
      <w:r w:rsidRPr="00B16E80">
        <w:t>The long period of extremely heavy rain that fell across the West Midlands resulted in devastating flooding in towns like Worcester in July 2025. The rains led to the destruction of roads, homes, businesses, and services in the impacted towns. One of the damages to the area was the failure of certain segments of the electricity infrastructure, leading to the loss of power in those areas. The collapse of the electricity supply for the region contributed to the additional damage that occurred to the region, as well as the exhaustion of the public regarding the essential services that are provided by the power grid. In line with these devastating outcomes of the flood, the chosen project is the repair of the electricity infrastructure within Worcester to restore the power to the area and to increase the resilience of the town to any future flooding events. Furthermore, this project is appropriate for a Project Management Plan due to the fact that the plan will allow for an estimation of the need of the public, involves various stakeholders, has measurable outputs, has a high level of technical risk, and due to the bounded schedule and budget for the project.</w:t>
      </w:r>
    </w:p>
    <w:p w14:paraId="76E3D709" w14:textId="77777777" w:rsidR="002B5734" w:rsidRPr="00B16E80" w:rsidRDefault="002B5734" w:rsidP="00B16E80">
      <w:pPr>
        <w:pStyle w:val="text-base"/>
        <w:spacing w:line="360" w:lineRule="auto"/>
      </w:pPr>
      <w:r w:rsidRPr="00B16E80">
        <w:t xml:space="preserve">Project management is a process that provides the foundation for the development of a project. According to the Project Management Institute (PMI, 2021), projects are </w:t>
      </w:r>
      <w:proofErr w:type="spellStart"/>
      <w:r w:rsidRPr="00B16E80">
        <w:t>endeavors</w:t>
      </w:r>
      <w:proofErr w:type="spellEnd"/>
      <w:r w:rsidRPr="00B16E80">
        <w:t xml:space="preserve"> that are temporary in nature, but which are undertaken to create a unique product, service, or result. Furthermore, Maylor (2021) explains that a project should be managed to ensure that factors like the scope of the project, the time in which it occurs, the cost of the project, the risks of the project, and the expectations of the stakeholders are all optimized in the planning and execution of the project. A balance must be found between expediting the project to minimize the negative impacts on the stakeholders, yet ensuring that the project is fully designed, approved, resourced, and tested prior to its execution. Thus, an objective of this project management plan is to provide a thorough description of the project, including its description, scope, work breakdown structure, quad chart, Gantt s schedule, the stakeholders that will be involved in the project, the resources that will be allocated to the project, and a thorough analysis of the risks that may impact the project.</w:t>
      </w:r>
    </w:p>
    <w:p w14:paraId="6E2094FC" w14:textId="77777777" w:rsidR="00F8497A" w:rsidRPr="00B16E80" w:rsidRDefault="00000000" w:rsidP="00B16E80">
      <w:pPr>
        <w:pStyle w:val="Heading2"/>
        <w:spacing w:after="120" w:line="360" w:lineRule="auto"/>
        <w:rPr>
          <w:rFonts w:ascii="Times New Roman" w:hAnsi="Times New Roman" w:cs="Times New Roman"/>
          <w:sz w:val="24"/>
          <w:szCs w:val="24"/>
        </w:rPr>
      </w:pPr>
      <w:bookmarkStart w:id="4" w:name="_Toc227997072"/>
      <w:r w:rsidRPr="00B16E80">
        <w:rPr>
          <w:rFonts w:ascii="Times New Roman" w:hAnsi="Times New Roman" w:cs="Times New Roman"/>
          <w:b w:val="0"/>
          <w:sz w:val="24"/>
          <w:szCs w:val="24"/>
        </w:rPr>
        <w:t>2. Project Description</w:t>
      </w:r>
      <w:bookmarkEnd w:id="4"/>
    </w:p>
    <w:p w14:paraId="04FE13B1" w14:textId="77777777" w:rsidR="002B5734" w:rsidRPr="00B16E80" w:rsidRDefault="002B5734" w:rsidP="00B16E80">
      <w:pPr>
        <w:pStyle w:val="text-base"/>
        <w:spacing w:line="360" w:lineRule="auto"/>
      </w:pPr>
      <w:r w:rsidRPr="00B16E80">
        <w:t xml:space="preserve">Worcester receives support to restore and reinforce its flood-damaged electricity assets. The short term objective is to provide reliable electricity supply to the thousands of homes, business and </w:t>
      </w:r>
      <w:r w:rsidRPr="00B16E80">
        <w:lastRenderedPageBreak/>
        <w:t>public services in Worcester. The longer term objective is to ensure that the town is able to withstand future floods. Specifically, the works to be undertaken include surveying the electricity assets for damage, repairing or replacing those damaged assets, reinforcing the local electricity network, and testing the restored electricity network to ensure that it can be handed over to the area for restoration of power. The goal of the project is to have the electricity system in Worcester restored within 18 months with an initial budget of £8M for the power company, which aligns with the goal that is presented on the poster.</w:t>
      </w:r>
    </w:p>
    <w:p w14:paraId="22461CE2" w14:textId="77777777" w:rsidR="002B5734" w:rsidRPr="00B16E80" w:rsidRDefault="002B5734" w:rsidP="00B16E80">
      <w:pPr>
        <w:pStyle w:val="text-base"/>
        <w:spacing w:line="360" w:lineRule="auto"/>
      </w:pPr>
      <w:r w:rsidRPr="00B16E80">
        <w:t>The outputs of the project will lead to the restoration of power to the homes of Worcester’s residents, the restoration of power to businesses in the town, power to the hospitals and emergency services, the restoration of the electricity balance in the town, the forecasting of flood movements, and the restoration of power to the schools and other public services. Beyond these initial goals, there are some additional benefits of restoring the reliability of the area’s electricity grid; beyond the benefit of mitigating the damage to the area, the excess reliability can mitigate the disruption in the area, increase public safety, enable recovery of the town and its residents, and enable the electricity company to provide reliable power to the area’s businesses. The success of the project will include the completion of the project, but also the virtual achievement of the intended benefits of the project altogether; Kerzner (2022). Thus, this project is to be presented as a project of restoration and increased resilience for Worcester. While the majority of the works to be completed are technical in nature, there are some attributes of the project that indicate its value to the public and society.</w:t>
      </w:r>
    </w:p>
    <w:p w14:paraId="76CECAB0" w14:textId="77777777" w:rsidR="002B5734" w:rsidRPr="00B16E80" w:rsidRDefault="002B5734" w:rsidP="00B16E80">
      <w:pPr>
        <w:pStyle w:val="text-base"/>
        <w:spacing w:line="360" w:lineRule="auto"/>
      </w:pPr>
      <w:r w:rsidRPr="00B16E80">
        <w:t xml:space="preserve">Furthermore, because the various steps of the project are dependent upon one another to occur, the project has a great deal of delivery logic as to the order in which the project will be completed. For instance, the project must first perform a design of the electrical power network before it can plan for the site assessment for the power network, it must first design the power network before it can purchase the needed materials for the power network, it must first complete the construction of the power network before it can provide the power to the area’s homes and businesses, and the project can only provide the power once it has completed testing of the power network. Thus, it is only ever going to give the power company the full handover of restoring power once the power network has passed inspections. However, some small overlap in the work steps will be performed in order to minimize the delay in the project. According to Lock (2020), "exposing schedule logic makes it easier for non-technical stakeholders the understand schedule" (p. 82). Thus, presenting the </w:t>
      </w:r>
      <w:r w:rsidRPr="00B16E80">
        <w:lastRenderedPageBreak/>
        <w:t>schedule of the project is relevant to the key stakeholders of the project, such as the residents of Worcester, the local councils, the contractors, the emergency services, and the power companies in the area.</w:t>
      </w:r>
    </w:p>
    <w:p w14:paraId="4E4AB746" w14:textId="77777777" w:rsidR="00F8497A" w:rsidRPr="00B16E80" w:rsidRDefault="00000000" w:rsidP="00B16E80">
      <w:pPr>
        <w:pStyle w:val="Heading2"/>
        <w:spacing w:after="120" w:line="360" w:lineRule="auto"/>
        <w:rPr>
          <w:rFonts w:ascii="Times New Roman" w:hAnsi="Times New Roman" w:cs="Times New Roman"/>
          <w:sz w:val="24"/>
          <w:szCs w:val="24"/>
        </w:rPr>
      </w:pPr>
      <w:bookmarkStart w:id="5" w:name="_Toc227997073"/>
      <w:r w:rsidRPr="00B16E80">
        <w:rPr>
          <w:rFonts w:ascii="Times New Roman" w:hAnsi="Times New Roman" w:cs="Times New Roman"/>
          <w:b w:val="0"/>
          <w:sz w:val="24"/>
          <w:szCs w:val="24"/>
        </w:rPr>
        <w:t>3. Scope</w:t>
      </w:r>
      <w:bookmarkEnd w:id="5"/>
    </w:p>
    <w:p w14:paraId="6D995DFB" w14:textId="77777777" w:rsidR="002B5734" w:rsidRPr="00B16E80" w:rsidRDefault="002B5734" w:rsidP="00B16E80">
      <w:pPr>
        <w:pStyle w:val="text-base"/>
        <w:spacing w:line="360" w:lineRule="auto"/>
      </w:pPr>
      <w:r w:rsidRPr="00B16E80">
        <w:t xml:space="preserve">Why is the concept of a defined scope important in infrastructure recovery projects that are always at risk of scope creep from stakeholders who propose wider solutions than the project can support? According to Burke (2013), the scope of a project defines what the project will include and what it will not include. The scope of this project will include the following works: assessing the flood damage to the local electricity infrastructure that was affected by the recent flooding in Worcester; the engineering designs that will be undertaken to repair the electricity infrastructure; repairing and replacing the electrical components that were damaged during the flooding; restoring power to the connections made to both priority and general electricity users; testing and commissioning the electrical installation after repairs were made to ensure that the power supply to the town is restored and functioning normally; the communication that will be undertaken with the stakeholders of the project; and the staging of the electricity infrastructure once the repairs have been completed. Some of the activities that will be included within this project scope may include the surveying of the effected electricity infrastructure; assessing the condition of the electricity infrastructure; planning for temporary access to the power and electricity infrastructure for the assessment and repair works; the procurement of the electrical components that will be used to repair the power distribution network; the electrical repair works themselves; any changes to the power supply that are made to provide increased resilience against flooding; testing the repaired power supply; and staging the repaired power supply for distribution to the town that was affected by the flooding. Furthermore, as the restoration of power distribution to a region that experienced a natural disaster will include coordination between several different organizations and agencies, the scope of this project will also include the planning of coordination between those different agencies. While the poster for this project discussed the benefit of being able to assist in the reopening of schools and other services in the affected area, these benefits are not part of the project scope. The works that will be excluded from the scope of this project will include any plans for regional reforms of the electric systems, the building of new power generating plants, flood defence projects, road upgrades, and electrical repairs to private properties. No project can hope to accomplish both the repair and reinforcement of local electricity systems and become a solution to all the electricity infrastructure problems in the </w:t>
      </w:r>
      <w:r w:rsidRPr="00B16E80">
        <w:lastRenderedPageBreak/>
        <w:t>regional power grid. Thus, procedures for controlling the project scope should be applied every time any of the project’s stakeholders propose changing any of the work that has already been approved for the project.</w:t>
      </w:r>
    </w:p>
    <w:p w14:paraId="7097DB5A" w14:textId="77777777" w:rsidR="00F8497A" w:rsidRPr="00B16E80" w:rsidRDefault="00000000" w:rsidP="00B16E80">
      <w:pPr>
        <w:pStyle w:val="Heading2"/>
        <w:spacing w:after="120" w:line="360" w:lineRule="auto"/>
        <w:rPr>
          <w:rFonts w:ascii="Times New Roman" w:hAnsi="Times New Roman" w:cs="Times New Roman"/>
          <w:sz w:val="24"/>
          <w:szCs w:val="24"/>
        </w:rPr>
      </w:pPr>
      <w:bookmarkStart w:id="6" w:name="_Toc227997074"/>
      <w:r w:rsidRPr="00B16E80">
        <w:rPr>
          <w:rFonts w:ascii="Times New Roman" w:hAnsi="Times New Roman" w:cs="Times New Roman"/>
          <w:b w:val="0"/>
          <w:sz w:val="24"/>
          <w:szCs w:val="24"/>
        </w:rPr>
        <w:t>4. Work Breakdown Structure</w:t>
      </w:r>
      <w:bookmarkEnd w:id="6"/>
    </w:p>
    <w:p w14:paraId="61BD1CAB"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A Work Breakdown Structure (WBS) decomposes a project into manageable work packages (Meredith, Shafer and Mantel, 2020). The poster contains six phases for the project, which are reflected in the WBS as the Level 1 WBS. These phases include the initiation and planning phase, the site assessment phase, the engineering design phase, the procurement phase, the construction and testing and inspection phase. The WBS is displayed in Table 1.</w:t>
      </w:r>
    </w:p>
    <w:p w14:paraId="481ECE6A" w14:textId="77777777" w:rsidR="002B5734" w:rsidRPr="00B16E80" w:rsidRDefault="002B5734" w:rsidP="00B16E80">
      <w:pPr>
        <w:spacing w:after="120" w:line="360" w:lineRule="auto"/>
        <w:rPr>
          <w:rFonts w:ascii="Times New Roman" w:hAnsi="Times New Roman" w:cs="Times New Roman"/>
          <w:sz w:val="24"/>
          <w:szCs w:val="24"/>
        </w:rPr>
      </w:pPr>
    </w:p>
    <w:p w14:paraId="486B878B"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Table 1. Level 1–2 work breakdown structure for the Worcester electricity restoration project.</w:t>
      </w:r>
    </w:p>
    <w:tbl>
      <w:tblPr>
        <w:tblStyle w:val="TableGrid"/>
        <w:tblW w:w="0" w:type="auto"/>
        <w:jc w:val="center"/>
        <w:tblLook w:val="04A0" w:firstRow="1" w:lastRow="0" w:firstColumn="1" w:lastColumn="0" w:noHBand="0" w:noVBand="1"/>
      </w:tblPr>
      <w:tblGrid>
        <w:gridCol w:w="4818"/>
        <w:gridCol w:w="4820"/>
      </w:tblGrid>
      <w:tr w:rsidR="00F8497A" w:rsidRPr="00B16E80" w14:paraId="6D8C6FF2" w14:textId="77777777" w:rsidTr="002B5734">
        <w:trPr>
          <w:jc w:val="center"/>
        </w:trPr>
        <w:tc>
          <w:tcPr>
            <w:tcW w:w="4818" w:type="dxa"/>
          </w:tcPr>
          <w:p w14:paraId="603BC28D"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WBS level</w:t>
            </w:r>
          </w:p>
        </w:tc>
        <w:tc>
          <w:tcPr>
            <w:tcW w:w="4820" w:type="dxa"/>
          </w:tcPr>
          <w:p w14:paraId="6FA37A01"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Work package</w:t>
            </w:r>
          </w:p>
        </w:tc>
      </w:tr>
      <w:tr w:rsidR="00F8497A" w:rsidRPr="00B16E80" w14:paraId="685AB6FC" w14:textId="77777777" w:rsidTr="002B5734">
        <w:trPr>
          <w:jc w:val="center"/>
        </w:trPr>
        <w:tc>
          <w:tcPr>
            <w:tcW w:w="4818" w:type="dxa"/>
          </w:tcPr>
          <w:p w14:paraId="3FAF9338"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1.0</w:t>
            </w:r>
          </w:p>
        </w:tc>
        <w:tc>
          <w:tcPr>
            <w:tcW w:w="4820" w:type="dxa"/>
          </w:tcPr>
          <w:p w14:paraId="4DAFB25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Initiation and planning</w:t>
            </w:r>
          </w:p>
        </w:tc>
      </w:tr>
      <w:tr w:rsidR="00F8497A" w:rsidRPr="00B16E80" w14:paraId="6C242403" w14:textId="77777777" w:rsidTr="002B5734">
        <w:trPr>
          <w:jc w:val="center"/>
        </w:trPr>
        <w:tc>
          <w:tcPr>
            <w:tcW w:w="4818" w:type="dxa"/>
          </w:tcPr>
          <w:p w14:paraId="7B2ABE88"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1.1</w:t>
            </w:r>
          </w:p>
        </w:tc>
        <w:tc>
          <w:tcPr>
            <w:tcW w:w="4820" w:type="dxa"/>
          </w:tcPr>
          <w:p w14:paraId="31DC513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Define project brief and governance arrangements</w:t>
            </w:r>
          </w:p>
        </w:tc>
      </w:tr>
      <w:tr w:rsidR="00F8497A" w:rsidRPr="00B16E80" w14:paraId="269EDD79" w14:textId="77777777" w:rsidTr="002B5734">
        <w:trPr>
          <w:jc w:val="center"/>
        </w:trPr>
        <w:tc>
          <w:tcPr>
            <w:tcW w:w="4818" w:type="dxa"/>
          </w:tcPr>
          <w:p w14:paraId="4186650D"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1.2</w:t>
            </w:r>
          </w:p>
        </w:tc>
        <w:tc>
          <w:tcPr>
            <w:tcW w:w="4820" w:type="dxa"/>
          </w:tcPr>
          <w:p w14:paraId="5BDF752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Confirm funding and reporting routes</w:t>
            </w:r>
          </w:p>
        </w:tc>
      </w:tr>
      <w:tr w:rsidR="00F8497A" w:rsidRPr="00B16E80" w14:paraId="20F087EF" w14:textId="77777777" w:rsidTr="002B5734">
        <w:trPr>
          <w:jc w:val="center"/>
        </w:trPr>
        <w:tc>
          <w:tcPr>
            <w:tcW w:w="4818" w:type="dxa"/>
          </w:tcPr>
          <w:p w14:paraId="37A31F2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1.3</w:t>
            </w:r>
          </w:p>
        </w:tc>
        <w:tc>
          <w:tcPr>
            <w:tcW w:w="4820" w:type="dxa"/>
          </w:tcPr>
          <w:p w14:paraId="07F018B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Identify stakeholders and approvals pathway</w:t>
            </w:r>
          </w:p>
        </w:tc>
      </w:tr>
      <w:tr w:rsidR="00F8497A" w:rsidRPr="00B16E80" w14:paraId="5C2942D4" w14:textId="77777777" w:rsidTr="002B5734">
        <w:trPr>
          <w:jc w:val="center"/>
        </w:trPr>
        <w:tc>
          <w:tcPr>
            <w:tcW w:w="4818" w:type="dxa"/>
          </w:tcPr>
          <w:p w14:paraId="469BADC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2.0</w:t>
            </w:r>
          </w:p>
        </w:tc>
        <w:tc>
          <w:tcPr>
            <w:tcW w:w="4820" w:type="dxa"/>
          </w:tcPr>
          <w:p w14:paraId="5D673A02"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Site assessment</w:t>
            </w:r>
          </w:p>
        </w:tc>
      </w:tr>
      <w:tr w:rsidR="00F8497A" w:rsidRPr="00B16E80" w14:paraId="06868A37" w14:textId="77777777" w:rsidTr="002B5734">
        <w:trPr>
          <w:jc w:val="center"/>
        </w:trPr>
        <w:tc>
          <w:tcPr>
            <w:tcW w:w="4818" w:type="dxa"/>
          </w:tcPr>
          <w:p w14:paraId="35F5B2A2"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2.1</w:t>
            </w:r>
          </w:p>
        </w:tc>
        <w:tc>
          <w:tcPr>
            <w:tcW w:w="4820" w:type="dxa"/>
          </w:tcPr>
          <w:p w14:paraId="2DD2AEBE"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Survey damaged electricity assets</w:t>
            </w:r>
          </w:p>
        </w:tc>
      </w:tr>
      <w:tr w:rsidR="00F8497A" w:rsidRPr="00B16E80" w14:paraId="773F33A3" w14:textId="77777777" w:rsidTr="002B5734">
        <w:trPr>
          <w:jc w:val="center"/>
        </w:trPr>
        <w:tc>
          <w:tcPr>
            <w:tcW w:w="4818" w:type="dxa"/>
          </w:tcPr>
          <w:p w14:paraId="727115A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2.2</w:t>
            </w:r>
          </w:p>
        </w:tc>
        <w:tc>
          <w:tcPr>
            <w:tcW w:w="4820" w:type="dxa"/>
          </w:tcPr>
          <w:p w14:paraId="77579D6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Assess safety and access constraints</w:t>
            </w:r>
          </w:p>
        </w:tc>
      </w:tr>
      <w:tr w:rsidR="00F8497A" w:rsidRPr="00B16E80" w14:paraId="6E061292" w14:textId="77777777" w:rsidTr="002B5734">
        <w:trPr>
          <w:jc w:val="center"/>
        </w:trPr>
        <w:tc>
          <w:tcPr>
            <w:tcW w:w="4818" w:type="dxa"/>
          </w:tcPr>
          <w:p w14:paraId="4EACFAB6"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2.3</w:t>
            </w:r>
          </w:p>
        </w:tc>
        <w:tc>
          <w:tcPr>
            <w:tcW w:w="4820" w:type="dxa"/>
          </w:tcPr>
          <w:p w14:paraId="5D1AF3C1"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Prioritise critical service restoration needs</w:t>
            </w:r>
          </w:p>
        </w:tc>
      </w:tr>
      <w:tr w:rsidR="00F8497A" w:rsidRPr="00B16E80" w14:paraId="4AE47B85" w14:textId="77777777" w:rsidTr="002B5734">
        <w:trPr>
          <w:jc w:val="center"/>
        </w:trPr>
        <w:tc>
          <w:tcPr>
            <w:tcW w:w="4818" w:type="dxa"/>
          </w:tcPr>
          <w:p w14:paraId="7A03549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3.0</w:t>
            </w:r>
          </w:p>
        </w:tc>
        <w:tc>
          <w:tcPr>
            <w:tcW w:w="4820" w:type="dxa"/>
          </w:tcPr>
          <w:p w14:paraId="6CD1E253"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Engineering design</w:t>
            </w:r>
          </w:p>
        </w:tc>
      </w:tr>
      <w:tr w:rsidR="00F8497A" w:rsidRPr="00B16E80" w14:paraId="06FC6920" w14:textId="77777777" w:rsidTr="002B5734">
        <w:trPr>
          <w:jc w:val="center"/>
        </w:trPr>
        <w:tc>
          <w:tcPr>
            <w:tcW w:w="4818" w:type="dxa"/>
          </w:tcPr>
          <w:p w14:paraId="3A63706A"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3.1</w:t>
            </w:r>
          </w:p>
        </w:tc>
        <w:tc>
          <w:tcPr>
            <w:tcW w:w="4820" w:type="dxa"/>
          </w:tcPr>
          <w:p w14:paraId="13DC56D8"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Specify repairs and resilience upgrades</w:t>
            </w:r>
          </w:p>
        </w:tc>
      </w:tr>
      <w:tr w:rsidR="00F8497A" w:rsidRPr="00B16E80" w14:paraId="282F1F75" w14:textId="77777777" w:rsidTr="002B5734">
        <w:trPr>
          <w:jc w:val="center"/>
        </w:trPr>
        <w:tc>
          <w:tcPr>
            <w:tcW w:w="4818" w:type="dxa"/>
          </w:tcPr>
          <w:p w14:paraId="1C599D23"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3.2</w:t>
            </w:r>
          </w:p>
        </w:tc>
        <w:tc>
          <w:tcPr>
            <w:tcW w:w="4820" w:type="dxa"/>
          </w:tcPr>
          <w:p w14:paraId="34EDF72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Prepare technical drawings and compliance documents</w:t>
            </w:r>
          </w:p>
        </w:tc>
      </w:tr>
      <w:tr w:rsidR="00F8497A" w:rsidRPr="00B16E80" w14:paraId="4761AAC7" w14:textId="77777777" w:rsidTr="002B5734">
        <w:trPr>
          <w:jc w:val="center"/>
        </w:trPr>
        <w:tc>
          <w:tcPr>
            <w:tcW w:w="4818" w:type="dxa"/>
          </w:tcPr>
          <w:p w14:paraId="32D69D4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4.0</w:t>
            </w:r>
          </w:p>
        </w:tc>
        <w:tc>
          <w:tcPr>
            <w:tcW w:w="4820" w:type="dxa"/>
          </w:tcPr>
          <w:p w14:paraId="6E5B809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Procurement</w:t>
            </w:r>
          </w:p>
        </w:tc>
      </w:tr>
      <w:tr w:rsidR="00F8497A" w:rsidRPr="00B16E80" w14:paraId="2C71D778" w14:textId="77777777" w:rsidTr="002B5734">
        <w:trPr>
          <w:jc w:val="center"/>
        </w:trPr>
        <w:tc>
          <w:tcPr>
            <w:tcW w:w="4818" w:type="dxa"/>
          </w:tcPr>
          <w:p w14:paraId="08E1608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4.1</w:t>
            </w:r>
          </w:p>
        </w:tc>
        <w:tc>
          <w:tcPr>
            <w:tcW w:w="4820" w:type="dxa"/>
          </w:tcPr>
          <w:p w14:paraId="493FB78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Source contractors, plant and electrical materials</w:t>
            </w:r>
          </w:p>
        </w:tc>
      </w:tr>
      <w:tr w:rsidR="00F8497A" w:rsidRPr="00B16E80" w14:paraId="27585183" w14:textId="77777777" w:rsidTr="002B5734">
        <w:trPr>
          <w:jc w:val="center"/>
        </w:trPr>
        <w:tc>
          <w:tcPr>
            <w:tcW w:w="4818" w:type="dxa"/>
          </w:tcPr>
          <w:p w14:paraId="2663ED5D"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4.2</w:t>
            </w:r>
          </w:p>
        </w:tc>
        <w:tc>
          <w:tcPr>
            <w:tcW w:w="4820" w:type="dxa"/>
          </w:tcPr>
          <w:p w14:paraId="6295C94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Arrange utility and specialist supplier coordination</w:t>
            </w:r>
          </w:p>
        </w:tc>
      </w:tr>
      <w:tr w:rsidR="00F8497A" w:rsidRPr="00B16E80" w14:paraId="4E84589B" w14:textId="77777777" w:rsidTr="002B5734">
        <w:trPr>
          <w:jc w:val="center"/>
        </w:trPr>
        <w:tc>
          <w:tcPr>
            <w:tcW w:w="4818" w:type="dxa"/>
          </w:tcPr>
          <w:p w14:paraId="023BCD7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lastRenderedPageBreak/>
              <w:t>5.0</w:t>
            </w:r>
          </w:p>
        </w:tc>
        <w:tc>
          <w:tcPr>
            <w:tcW w:w="4820" w:type="dxa"/>
          </w:tcPr>
          <w:p w14:paraId="4B45C431"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Construction and restoration works</w:t>
            </w:r>
          </w:p>
        </w:tc>
      </w:tr>
      <w:tr w:rsidR="00F8497A" w:rsidRPr="00B16E80" w14:paraId="44E9D0F5" w14:textId="77777777" w:rsidTr="002B5734">
        <w:trPr>
          <w:jc w:val="center"/>
        </w:trPr>
        <w:tc>
          <w:tcPr>
            <w:tcW w:w="4818" w:type="dxa"/>
          </w:tcPr>
          <w:p w14:paraId="464803C1"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5.1</w:t>
            </w:r>
          </w:p>
        </w:tc>
        <w:tc>
          <w:tcPr>
            <w:tcW w:w="4820" w:type="dxa"/>
          </w:tcPr>
          <w:p w14:paraId="53C4EDF6"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Repair or replace damaged components</w:t>
            </w:r>
          </w:p>
        </w:tc>
      </w:tr>
      <w:tr w:rsidR="00F8497A" w:rsidRPr="00B16E80" w14:paraId="1211D6AB" w14:textId="77777777" w:rsidTr="002B5734">
        <w:trPr>
          <w:jc w:val="center"/>
        </w:trPr>
        <w:tc>
          <w:tcPr>
            <w:tcW w:w="4818" w:type="dxa"/>
          </w:tcPr>
          <w:p w14:paraId="590211A2"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5.2</w:t>
            </w:r>
          </w:p>
        </w:tc>
        <w:tc>
          <w:tcPr>
            <w:tcW w:w="4820" w:type="dxa"/>
          </w:tcPr>
          <w:p w14:paraId="3F6B4A6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Reinstate power distribution and strengthen vulnerable sections</w:t>
            </w:r>
          </w:p>
        </w:tc>
      </w:tr>
      <w:tr w:rsidR="00F8497A" w:rsidRPr="00B16E80" w14:paraId="162BEEF8" w14:textId="77777777" w:rsidTr="002B5734">
        <w:trPr>
          <w:jc w:val="center"/>
        </w:trPr>
        <w:tc>
          <w:tcPr>
            <w:tcW w:w="4818" w:type="dxa"/>
          </w:tcPr>
          <w:p w14:paraId="516506A8"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6.0</w:t>
            </w:r>
          </w:p>
        </w:tc>
        <w:tc>
          <w:tcPr>
            <w:tcW w:w="4820" w:type="dxa"/>
          </w:tcPr>
          <w:p w14:paraId="2BBD3F23"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Testing and inspection</w:t>
            </w:r>
          </w:p>
        </w:tc>
      </w:tr>
      <w:tr w:rsidR="00F8497A" w:rsidRPr="00B16E80" w14:paraId="7585734E" w14:textId="77777777" w:rsidTr="002B5734">
        <w:trPr>
          <w:jc w:val="center"/>
        </w:trPr>
        <w:tc>
          <w:tcPr>
            <w:tcW w:w="4818" w:type="dxa"/>
          </w:tcPr>
          <w:p w14:paraId="2E7B5DF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6.1</w:t>
            </w:r>
          </w:p>
        </w:tc>
        <w:tc>
          <w:tcPr>
            <w:tcW w:w="4820" w:type="dxa"/>
          </w:tcPr>
          <w:p w14:paraId="4DD167B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Carry out system testing and safety sign-off</w:t>
            </w:r>
          </w:p>
        </w:tc>
      </w:tr>
      <w:tr w:rsidR="00F8497A" w:rsidRPr="00B16E80" w14:paraId="25ACBF09" w14:textId="77777777" w:rsidTr="002B5734">
        <w:trPr>
          <w:jc w:val="center"/>
        </w:trPr>
        <w:tc>
          <w:tcPr>
            <w:tcW w:w="4818" w:type="dxa"/>
          </w:tcPr>
          <w:p w14:paraId="1BA579A4"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6.2</w:t>
            </w:r>
          </w:p>
        </w:tc>
        <w:tc>
          <w:tcPr>
            <w:tcW w:w="4820" w:type="dxa"/>
          </w:tcPr>
          <w:p w14:paraId="36383742"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Complete staged handover and close-out reporting</w:t>
            </w:r>
          </w:p>
        </w:tc>
      </w:tr>
    </w:tbl>
    <w:p w14:paraId="48098294"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By establishing a framework in which shared structure is created, the WBS enables the control of scheduling of the project, the assignment of resources to the project, as well as reporting on their progress. Furthermore, each work package can be evaluated individually to determine any risks associated with that section of the project. The degree of clarity provided to the project enables the broker to quickly respond to any slippage in the project’s schedule.</w:t>
      </w:r>
    </w:p>
    <w:p w14:paraId="3F4AA8D8" w14:textId="77777777" w:rsidR="002B5734" w:rsidRPr="00B16E80" w:rsidRDefault="002B5734" w:rsidP="00B16E80">
      <w:pPr>
        <w:spacing w:after="120" w:line="360" w:lineRule="auto"/>
        <w:rPr>
          <w:rFonts w:ascii="Times New Roman" w:hAnsi="Times New Roman" w:cs="Times New Roman"/>
          <w:sz w:val="24"/>
          <w:szCs w:val="24"/>
        </w:rPr>
      </w:pPr>
    </w:p>
    <w:p w14:paraId="28A74AE6" w14:textId="77777777" w:rsidR="00F8497A" w:rsidRPr="00B16E80" w:rsidRDefault="00000000" w:rsidP="00B16E80">
      <w:pPr>
        <w:pStyle w:val="Heading2"/>
        <w:spacing w:after="120" w:line="360" w:lineRule="auto"/>
        <w:rPr>
          <w:rFonts w:ascii="Times New Roman" w:hAnsi="Times New Roman" w:cs="Times New Roman"/>
          <w:sz w:val="24"/>
          <w:szCs w:val="24"/>
        </w:rPr>
      </w:pPr>
      <w:bookmarkStart w:id="7" w:name="_Toc227997075"/>
      <w:r w:rsidRPr="00B16E80">
        <w:rPr>
          <w:rFonts w:ascii="Times New Roman" w:hAnsi="Times New Roman" w:cs="Times New Roman"/>
          <w:b w:val="0"/>
          <w:sz w:val="24"/>
          <w:szCs w:val="24"/>
        </w:rPr>
        <w:t>5. Quad Chart</w:t>
      </w:r>
      <w:bookmarkEnd w:id="7"/>
    </w:p>
    <w:p w14:paraId="5BBF1116"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The approach utilizes a quad chart to summarize the project in a few sentences from four different points of view: mission, stakeholders, resources and cost &amp; benefits. This approach reduces the complexity of the problem while retaining all the information that is relevant to the decisions to be made. The quad chart is especially helpful when communicating with a mixed audience. Using this technique, the poster was constructed in such a way as to abide by the summary formalised in Table 2.</w:t>
      </w:r>
    </w:p>
    <w:p w14:paraId="4BFF542E"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Table 2. Worcester electricity restoration - Quad chart Summary</w:t>
      </w:r>
    </w:p>
    <w:p w14:paraId="06162540" w14:textId="77777777" w:rsidR="002B5734" w:rsidRPr="00B16E80" w:rsidRDefault="002B5734" w:rsidP="00B16E80">
      <w:pPr>
        <w:spacing w:after="120" w:line="360" w:lineRule="auto"/>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4819"/>
        <w:gridCol w:w="4819"/>
      </w:tblGrid>
      <w:tr w:rsidR="00F8497A" w:rsidRPr="00B16E80" w14:paraId="75B8E62A" w14:textId="77777777">
        <w:trPr>
          <w:jc w:val="center"/>
        </w:trPr>
        <w:tc>
          <w:tcPr>
            <w:tcW w:w="4824" w:type="dxa"/>
          </w:tcPr>
          <w:p w14:paraId="3E323BBA"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Purpose</w:t>
            </w:r>
          </w:p>
        </w:tc>
        <w:tc>
          <w:tcPr>
            <w:tcW w:w="4824" w:type="dxa"/>
          </w:tcPr>
          <w:p w14:paraId="282A317A"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Stakeholders</w:t>
            </w:r>
          </w:p>
        </w:tc>
      </w:tr>
      <w:tr w:rsidR="00F8497A" w:rsidRPr="00B16E80" w14:paraId="1CAD16D0" w14:textId="77777777">
        <w:trPr>
          <w:jc w:val="center"/>
        </w:trPr>
        <w:tc>
          <w:tcPr>
            <w:tcW w:w="4824" w:type="dxa"/>
          </w:tcPr>
          <w:p w14:paraId="5162D916"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Restore and strengthen electricity infrastructure in Worcester to ensure reliable and flood-resistant supply.</w:t>
            </w:r>
          </w:p>
        </w:tc>
        <w:tc>
          <w:tcPr>
            <w:tcW w:w="4824" w:type="dxa"/>
          </w:tcPr>
          <w:p w14:paraId="582EF656"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Local councils; energy companies; contractors; local residents; emergency services.</w:t>
            </w:r>
          </w:p>
        </w:tc>
      </w:tr>
      <w:tr w:rsidR="00F8497A" w:rsidRPr="00B16E80" w14:paraId="35084F74" w14:textId="77777777">
        <w:trPr>
          <w:jc w:val="center"/>
        </w:trPr>
        <w:tc>
          <w:tcPr>
            <w:tcW w:w="4824" w:type="dxa"/>
          </w:tcPr>
          <w:p w14:paraId="3750EDA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Cost: Estimated budget £8 million.</w:t>
            </w:r>
          </w:p>
        </w:tc>
        <w:tc>
          <w:tcPr>
            <w:tcW w:w="4824" w:type="dxa"/>
          </w:tcPr>
          <w:p w14:paraId="36BABD98"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Benefits: Reliable electricity supply; support for hospitals and emergency services; improved public safety; faster recovery after flooding.</w:t>
            </w:r>
          </w:p>
        </w:tc>
      </w:tr>
    </w:tbl>
    <w:p w14:paraId="374E63CE" w14:textId="77777777" w:rsidR="002B5734" w:rsidRPr="00B16E80" w:rsidRDefault="002B5734" w:rsidP="00B16E80">
      <w:pPr>
        <w:spacing w:after="120" w:line="360" w:lineRule="auto"/>
        <w:rPr>
          <w:rFonts w:ascii="Times New Roman" w:hAnsi="Times New Roman" w:cs="Times New Roman"/>
          <w:sz w:val="24"/>
          <w:szCs w:val="24"/>
        </w:rPr>
      </w:pPr>
    </w:p>
    <w:p w14:paraId="6734E60C"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 xml:space="preserve">In addition to being qualified as being “bounded” AND “benefit” in the Quad Chart, the project also sheds light on the </w:t>
      </w:r>
      <w:proofErr w:type="spellStart"/>
      <w:r w:rsidRPr="00B16E80">
        <w:rPr>
          <w:rFonts w:ascii="Times New Roman" w:hAnsi="Times New Roman" w:cs="Times New Roman"/>
          <w:sz w:val="24"/>
          <w:szCs w:val="24"/>
          <w:lang w:val="en-GB"/>
        </w:rPr>
        <w:t>trade off</w:t>
      </w:r>
      <w:proofErr w:type="spellEnd"/>
      <w:r w:rsidRPr="00B16E80">
        <w:rPr>
          <w:rFonts w:ascii="Times New Roman" w:hAnsi="Times New Roman" w:cs="Times New Roman"/>
          <w:sz w:val="24"/>
          <w:szCs w:val="24"/>
          <w:lang w:val="en-GB"/>
        </w:rPr>
        <w:t xml:space="preserve"> between cost efficiency and outcomes. For instance, while the project may result in cost savings in the short term, it also lays the foundations for costly flood risk management in the long term. Thus, overall, the project intends to provide a recovery that is both restorative and preventative.</w:t>
      </w:r>
    </w:p>
    <w:p w14:paraId="2103C5A0" w14:textId="77777777" w:rsidR="002B5734" w:rsidRPr="00B16E80" w:rsidRDefault="002B5734" w:rsidP="00B16E80">
      <w:pPr>
        <w:spacing w:after="120" w:line="360" w:lineRule="auto"/>
        <w:rPr>
          <w:rFonts w:ascii="Times New Roman" w:hAnsi="Times New Roman" w:cs="Times New Roman"/>
          <w:sz w:val="24"/>
          <w:szCs w:val="24"/>
        </w:rPr>
      </w:pPr>
    </w:p>
    <w:p w14:paraId="28028DC8" w14:textId="77777777" w:rsidR="00F8497A" w:rsidRPr="00B16E80" w:rsidRDefault="00000000" w:rsidP="00B16E80">
      <w:pPr>
        <w:pStyle w:val="Heading2"/>
        <w:spacing w:after="120" w:line="360" w:lineRule="auto"/>
        <w:rPr>
          <w:rFonts w:ascii="Times New Roman" w:hAnsi="Times New Roman" w:cs="Times New Roman"/>
          <w:sz w:val="24"/>
          <w:szCs w:val="24"/>
        </w:rPr>
      </w:pPr>
      <w:bookmarkStart w:id="8" w:name="_Toc227997076"/>
      <w:r w:rsidRPr="00B16E80">
        <w:rPr>
          <w:rFonts w:ascii="Times New Roman" w:hAnsi="Times New Roman" w:cs="Times New Roman"/>
          <w:b w:val="0"/>
          <w:sz w:val="24"/>
          <w:szCs w:val="24"/>
        </w:rPr>
        <w:t>6. Gantt Chart</w:t>
      </w:r>
      <w:bookmarkEnd w:id="8"/>
    </w:p>
    <w:p w14:paraId="5F699091"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The schedule of eighteen months for completion of the project is appropriate for the complexity of the project. The use of Gantt charts allows for the visualization of the schedule of the project (Lock, 2020). Table 3 presents the indicative schedule for the project.</w:t>
      </w:r>
    </w:p>
    <w:p w14:paraId="72FBD10C" w14:textId="77777777" w:rsidR="002B5734" w:rsidRPr="00B16E80" w:rsidRDefault="002B5734" w:rsidP="00B16E80">
      <w:pPr>
        <w:spacing w:after="120" w:line="360" w:lineRule="auto"/>
        <w:rPr>
          <w:rFonts w:ascii="Times New Roman" w:hAnsi="Times New Roman" w:cs="Times New Roman"/>
          <w:sz w:val="24"/>
          <w:szCs w:val="24"/>
        </w:rPr>
      </w:pPr>
    </w:p>
    <w:p w14:paraId="50816083"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Table 3. Indicative Gantt schedule for the Worcester electricity restoration project (18 months).</w:t>
      </w:r>
    </w:p>
    <w:tbl>
      <w:tblPr>
        <w:tblStyle w:val="TableGrid"/>
        <w:tblW w:w="0" w:type="auto"/>
        <w:jc w:val="center"/>
        <w:tblLook w:val="04A0" w:firstRow="1" w:lastRow="0" w:firstColumn="1" w:lastColumn="0" w:noHBand="0" w:noVBand="1"/>
      </w:tblPr>
      <w:tblGrid>
        <w:gridCol w:w="1456"/>
        <w:gridCol w:w="1362"/>
        <w:gridCol w:w="1362"/>
        <w:gridCol w:w="1363"/>
        <w:gridCol w:w="1365"/>
        <w:gridCol w:w="1365"/>
        <w:gridCol w:w="1365"/>
      </w:tblGrid>
      <w:tr w:rsidR="00F8497A" w:rsidRPr="00B16E80" w14:paraId="1D0423BD" w14:textId="77777777">
        <w:trPr>
          <w:jc w:val="center"/>
        </w:trPr>
        <w:tc>
          <w:tcPr>
            <w:tcW w:w="1378" w:type="dxa"/>
          </w:tcPr>
          <w:p w14:paraId="0E605A29"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Activity</w:t>
            </w:r>
          </w:p>
        </w:tc>
        <w:tc>
          <w:tcPr>
            <w:tcW w:w="1378" w:type="dxa"/>
          </w:tcPr>
          <w:p w14:paraId="216F7ED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1-3</w:t>
            </w:r>
          </w:p>
        </w:tc>
        <w:tc>
          <w:tcPr>
            <w:tcW w:w="1378" w:type="dxa"/>
          </w:tcPr>
          <w:p w14:paraId="4D618419"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4-6</w:t>
            </w:r>
          </w:p>
        </w:tc>
        <w:tc>
          <w:tcPr>
            <w:tcW w:w="1378" w:type="dxa"/>
          </w:tcPr>
          <w:p w14:paraId="3115A14E"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7-9</w:t>
            </w:r>
          </w:p>
        </w:tc>
        <w:tc>
          <w:tcPr>
            <w:tcW w:w="1378" w:type="dxa"/>
          </w:tcPr>
          <w:p w14:paraId="25D9E83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10-12</w:t>
            </w:r>
          </w:p>
        </w:tc>
        <w:tc>
          <w:tcPr>
            <w:tcW w:w="1378" w:type="dxa"/>
          </w:tcPr>
          <w:p w14:paraId="33AEF06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13-15</w:t>
            </w:r>
          </w:p>
        </w:tc>
        <w:tc>
          <w:tcPr>
            <w:tcW w:w="1378" w:type="dxa"/>
          </w:tcPr>
          <w:p w14:paraId="594A935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16-18</w:t>
            </w:r>
          </w:p>
        </w:tc>
      </w:tr>
      <w:tr w:rsidR="00F8497A" w:rsidRPr="00B16E80" w14:paraId="7C76C7C0" w14:textId="77777777">
        <w:trPr>
          <w:jc w:val="center"/>
        </w:trPr>
        <w:tc>
          <w:tcPr>
            <w:tcW w:w="1378" w:type="dxa"/>
          </w:tcPr>
          <w:p w14:paraId="42DBD20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Project planning</w:t>
            </w:r>
          </w:p>
        </w:tc>
        <w:tc>
          <w:tcPr>
            <w:tcW w:w="1378" w:type="dxa"/>
          </w:tcPr>
          <w:p w14:paraId="0615B54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09D94BDA"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703FADDA"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55FD8539"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79ECAD73"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07C71B81" w14:textId="77777777" w:rsidR="00F8497A" w:rsidRPr="00B16E80" w:rsidRDefault="00F8497A" w:rsidP="00B16E80">
            <w:pPr>
              <w:spacing w:line="360" w:lineRule="auto"/>
              <w:rPr>
                <w:rFonts w:ascii="Times New Roman" w:hAnsi="Times New Roman" w:cs="Times New Roman"/>
                <w:sz w:val="24"/>
                <w:szCs w:val="24"/>
              </w:rPr>
            </w:pPr>
          </w:p>
        </w:tc>
      </w:tr>
      <w:tr w:rsidR="00F8497A" w:rsidRPr="00B16E80" w14:paraId="5A6C078D" w14:textId="77777777">
        <w:trPr>
          <w:jc w:val="center"/>
        </w:trPr>
        <w:tc>
          <w:tcPr>
            <w:tcW w:w="1378" w:type="dxa"/>
          </w:tcPr>
          <w:p w14:paraId="73DA112D"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Site assessment</w:t>
            </w:r>
          </w:p>
        </w:tc>
        <w:tc>
          <w:tcPr>
            <w:tcW w:w="1378" w:type="dxa"/>
          </w:tcPr>
          <w:p w14:paraId="0FD1D214"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7F74FDF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463ED4A0"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736FE273"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264F5E4C"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4DE161A6" w14:textId="77777777" w:rsidR="00F8497A" w:rsidRPr="00B16E80" w:rsidRDefault="00F8497A" w:rsidP="00B16E80">
            <w:pPr>
              <w:spacing w:line="360" w:lineRule="auto"/>
              <w:rPr>
                <w:rFonts w:ascii="Times New Roman" w:hAnsi="Times New Roman" w:cs="Times New Roman"/>
                <w:sz w:val="24"/>
                <w:szCs w:val="24"/>
              </w:rPr>
            </w:pPr>
          </w:p>
        </w:tc>
      </w:tr>
      <w:tr w:rsidR="00F8497A" w:rsidRPr="00B16E80" w14:paraId="05FBAB93" w14:textId="77777777">
        <w:trPr>
          <w:jc w:val="center"/>
        </w:trPr>
        <w:tc>
          <w:tcPr>
            <w:tcW w:w="1378" w:type="dxa"/>
          </w:tcPr>
          <w:p w14:paraId="7D6A9BCA"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Engineering design</w:t>
            </w:r>
          </w:p>
        </w:tc>
        <w:tc>
          <w:tcPr>
            <w:tcW w:w="1378" w:type="dxa"/>
          </w:tcPr>
          <w:p w14:paraId="7DE77FFA"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352593B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7DA134C9"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2C730AA4"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546C06B9"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4F4ADC8B" w14:textId="77777777" w:rsidR="00F8497A" w:rsidRPr="00B16E80" w:rsidRDefault="00F8497A" w:rsidP="00B16E80">
            <w:pPr>
              <w:spacing w:line="360" w:lineRule="auto"/>
              <w:rPr>
                <w:rFonts w:ascii="Times New Roman" w:hAnsi="Times New Roman" w:cs="Times New Roman"/>
                <w:sz w:val="24"/>
                <w:szCs w:val="24"/>
              </w:rPr>
            </w:pPr>
          </w:p>
        </w:tc>
      </w:tr>
      <w:tr w:rsidR="00F8497A" w:rsidRPr="00B16E80" w14:paraId="70DEB9F4" w14:textId="77777777">
        <w:trPr>
          <w:jc w:val="center"/>
        </w:trPr>
        <w:tc>
          <w:tcPr>
            <w:tcW w:w="1378" w:type="dxa"/>
          </w:tcPr>
          <w:p w14:paraId="22F1C92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Procurement</w:t>
            </w:r>
          </w:p>
        </w:tc>
        <w:tc>
          <w:tcPr>
            <w:tcW w:w="1378" w:type="dxa"/>
          </w:tcPr>
          <w:p w14:paraId="30BF5B40"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381C7DEB"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381767C7"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74F51B1A"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7A1D9E2A"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5D49BCD9" w14:textId="77777777" w:rsidR="00F8497A" w:rsidRPr="00B16E80" w:rsidRDefault="00F8497A" w:rsidP="00B16E80">
            <w:pPr>
              <w:spacing w:line="360" w:lineRule="auto"/>
              <w:rPr>
                <w:rFonts w:ascii="Times New Roman" w:hAnsi="Times New Roman" w:cs="Times New Roman"/>
                <w:sz w:val="24"/>
                <w:szCs w:val="24"/>
              </w:rPr>
            </w:pPr>
          </w:p>
        </w:tc>
      </w:tr>
      <w:tr w:rsidR="00F8497A" w:rsidRPr="00B16E80" w14:paraId="61538866" w14:textId="77777777">
        <w:trPr>
          <w:jc w:val="center"/>
        </w:trPr>
        <w:tc>
          <w:tcPr>
            <w:tcW w:w="1378" w:type="dxa"/>
          </w:tcPr>
          <w:p w14:paraId="2B90BFC6"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Construction</w:t>
            </w:r>
          </w:p>
        </w:tc>
        <w:tc>
          <w:tcPr>
            <w:tcW w:w="1378" w:type="dxa"/>
          </w:tcPr>
          <w:p w14:paraId="6B19EBC3"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5C769A10"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4D014C53"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45D9F74D"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55F11512"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c>
          <w:tcPr>
            <w:tcW w:w="1378" w:type="dxa"/>
          </w:tcPr>
          <w:p w14:paraId="1CC2340D" w14:textId="77777777" w:rsidR="00F8497A" w:rsidRPr="00B16E80" w:rsidRDefault="00F8497A" w:rsidP="00B16E80">
            <w:pPr>
              <w:spacing w:line="360" w:lineRule="auto"/>
              <w:rPr>
                <w:rFonts w:ascii="Times New Roman" w:hAnsi="Times New Roman" w:cs="Times New Roman"/>
                <w:sz w:val="24"/>
                <w:szCs w:val="24"/>
              </w:rPr>
            </w:pPr>
          </w:p>
        </w:tc>
      </w:tr>
      <w:tr w:rsidR="00F8497A" w:rsidRPr="00B16E80" w14:paraId="13817BA2" w14:textId="77777777">
        <w:trPr>
          <w:jc w:val="center"/>
        </w:trPr>
        <w:tc>
          <w:tcPr>
            <w:tcW w:w="1378" w:type="dxa"/>
          </w:tcPr>
          <w:p w14:paraId="5CA49B4D"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Testing and inspection</w:t>
            </w:r>
          </w:p>
        </w:tc>
        <w:tc>
          <w:tcPr>
            <w:tcW w:w="1378" w:type="dxa"/>
          </w:tcPr>
          <w:p w14:paraId="31E6C88B"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7DA841BA"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3AEE767B"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6944148A"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73D4D363" w14:textId="77777777" w:rsidR="00F8497A" w:rsidRPr="00B16E80" w:rsidRDefault="00F8497A" w:rsidP="00B16E80">
            <w:pPr>
              <w:spacing w:line="360" w:lineRule="auto"/>
              <w:rPr>
                <w:rFonts w:ascii="Times New Roman" w:hAnsi="Times New Roman" w:cs="Times New Roman"/>
                <w:sz w:val="24"/>
                <w:szCs w:val="24"/>
              </w:rPr>
            </w:pPr>
          </w:p>
        </w:tc>
        <w:tc>
          <w:tcPr>
            <w:tcW w:w="1378" w:type="dxa"/>
          </w:tcPr>
          <w:p w14:paraId="46BE7453"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t>
            </w:r>
          </w:p>
        </w:tc>
      </w:tr>
    </w:tbl>
    <w:p w14:paraId="6C64F5FD" w14:textId="77777777" w:rsidR="002B5734" w:rsidRPr="00B16E80" w:rsidRDefault="002B5734" w:rsidP="00B16E80">
      <w:pPr>
        <w:spacing w:after="120" w:line="360" w:lineRule="auto"/>
        <w:rPr>
          <w:rFonts w:ascii="Times New Roman" w:hAnsi="Times New Roman" w:cs="Times New Roman"/>
          <w:sz w:val="24"/>
          <w:szCs w:val="24"/>
        </w:rPr>
      </w:pPr>
    </w:p>
    <w:p w14:paraId="540C0FDB"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Note that the overlap between these two phases is also deliberate in that it provides for an acceleration in the delivery of the project while tempering some of the controls that are placed upon the project. For instance, the end of the site assessment will allow for the initial phases of engineering design and procurement to occur in tandem; the procurement phase can then begin once the design phases are complete. Furthermore, construction will occur during the majority of the project life cycle, with testing and inspection of the constructed elements taking place during the last phase of construction; the project will then be declared complete upon its completion. Each of these posters maintains the eighteen-month time period for the project rather than the sixteen-week time period for the road-based construction project.</w:t>
      </w:r>
    </w:p>
    <w:p w14:paraId="78973EB1" w14:textId="77777777" w:rsidR="002B5734" w:rsidRPr="00B16E80" w:rsidRDefault="002B5734" w:rsidP="00B16E80">
      <w:pPr>
        <w:spacing w:after="120" w:line="360" w:lineRule="auto"/>
        <w:rPr>
          <w:rFonts w:ascii="Times New Roman" w:hAnsi="Times New Roman" w:cs="Times New Roman"/>
          <w:sz w:val="24"/>
          <w:szCs w:val="24"/>
        </w:rPr>
      </w:pPr>
    </w:p>
    <w:p w14:paraId="2139B768" w14:textId="77777777" w:rsidR="00F8497A" w:rsidRPr="00B16E80" w:rsidRDefault="00000000" w:rsidP="00B16E80">
      <w:pPr>
        <w:pStyle w:val="Heading2"/>
        <w:spacing w:after="120" w:line="360" w:lineRule="auto"/>
        <w:rPr>
          <w:rFonts w:ascii="Times New Roman" w:hAnsi="Times New Roman" w:cs="Times New Roman"/>
          <w:sz w:val="24"/>
          <w:szCs w:val="24"/>
        </w:rPr>
      </w:pPr>
      <w:bookmarkStart w:id="9" w:name="_Toc227997077"/>
      <w:r w:rsidRPr="00B16E80">
        <w:rPr>
          <w:rFonts w:ascii="Times New Roman" w:hAnsi="Times New Roman" w:cs="Times New Roman"/>
          <w:b w:val="0"/>
          <w:sz w:val="24"/>
          <w:szCs w:val="24"/>
        </w:rPr>
        <w:t>7. Stakeholders' Involvement</w:t>
      </w:r>
      <w:bookmarkEnd w:id="9"/>
    </w:p>
    <w:p w14:paraId="6E4D65AC"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The five stakeholders that are to be considered within this analysis are local councils, power companies, contractors, local residents and emergency services. Each of these groups has a different role within the disaster, a different degree of influence over the disaster response and a different group of projects of interest to each group, hence the applicability of this stakeholder analysis. Due to the common implementation issues that often occur in the planning of disaster response projects (even if technically sound) if the decisions are made without considering the stakeholders involved (APM, 2019; Bourne, 2016), conducting a stakeholder analysis is crucial. Table 4 summarises the stakeholder analysis that was performed for this project.</w:t>
      </w:r>
    </w:p>
    <w:p w14:paraId="51580720" w14:textId="77777777" w:rsidR="002B5734" w:rsidRPr="00B16E80" w:rsidRDefault="002B5734" w:rsidP="00B16E80">
      <w:pPr>
        <w:spacing w:after="120" w:line="360" w:lineRule="auto"/>
        <w:rPr>
          <w:rFonts w:ascii="Times New Roman" w:hAnsi="Times New Roman" w:cs="Times New Roman"/>
          <w:sz w:val="24"/>
          <w:szCs w:val="24"/>
        </w:rPr>
      </w:pPr>
    </w:p>
    <w:p w14:paraId="7F8B91E4" w14:textId="77777777" w:rsidR="002B5734" w:rsidRPr="00B16E80" w:rsidRDefault="002B5734" w:rsidP="00B16E80">
      <w:pPr>
        <w:spacing w:after="120" w:line="360" w:lineRule="auto"/>
        <w:rPr>
          <w:rFonts w:ascii="Times New Roman" w:hAnsi="Times New Roman" w:cs="Times New Roman"/>
          <w:sz w:val="24"/>
          <w:szCs w:val="24"/>
        </w:rPr>
      </w:pPr>
    </w:p>
    <w:p w14:paraId="59E99FF8" w14:textId="77777777" w:rsidR="002B5734" w:rsidRPr="00B16E80" w:rsidRDefault="002B5734" w:rsidP="00B16E80">
      <w:pPr>
        <w:spacing w:after="120" w:line="360" w:lineRule="auto"/>
        <w:rPr>
          <w:rFonts w:ascii="Times New Roman" w:hAnsi="Times New Roman" w:cs="Times New Roman"/>
          <w:sz w:val="24"/>
          <w:szCs w:val="24"/>
        </w:rPr>
      </w:pPr>
    </w:p>
    <w:p w14:paraId="65596A38"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Table 4. Stakeholder analysis.</w:t>
      </w:r>
    </w:p>
    <w:tbl>
      <w:tblPr>
        <w:tblStyle w:val="TableGrid"/>
        <w:tblW w:w="0" w:type="auto"/>
        <w:jc w:val="center"/>
        <w:tblLook w:val="04A0" w:firstRow="1" w:lastRow="0" w:firstColumn="1" w:lastColumn="0" w:noHBand="0" w:noVBand="1"/>
      </w:tblPr>
      <w:tblGrid>
        <w:gridCol w:w="2410"/>
        <w:gridCol w:w="2409"/>
        <w:gridCol w:w="2409"/>
        <w:gridCol w:w="2410"/>
      </w:tblGrid>
      <w:tr w:rsidR="00F8497A" w:rsidRPr="00B16E80" w14:paraId="524D384C" w14:textId="77777777">
        <w:trPr>
          <w:jc w:val="center"/>
        </w:trPr>
        <w:tc>
          <w:tcPr>
            <w:tcW w:w="2412" w:type="dxa"/>
          </w:tcPr>
          <w:p w14:paraId="324CE22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Stakeholder</w:t>
            </w:r>
          </w:p>
        </w:tc>
        <w:tc>
          <w:tcPr>
            <w:tcW w:w="2412" w:type="dxa"/>
          </w:tcPr>
          <w:p w14:paraId="4A8BC229"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Power</w:t>
            </w:r>
          </w:p>
        </w:tc>
        <w:tc>
          <w:tcPr>
            <w:tcW w:w="2412" w:type="dxa"/>
          </w:tcPr>
          <w:p w14:paraId="6EA4853E"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Interest</w:t>
            </w:r>
          </w:p>
        </w:tc>
        <w:tc>
          <w:tcPr>
            <w:tcW w:w="2412" w:type="dxa"/>
          </w:tcPr>
          <w:p w14:paraId="3898A05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Role</w:t>
            </w:r>
          </w:p>
        </w:tc>
      </w:tr>
      <w:tr w:rsidR="00F8497A" w:rsidRPr="00B16E80" w14:paraId="569973A7" w14:textId="77777777">
        <w:trPr>
          <w:jc w:val="center"/>
        </w:trPr>
        <w:tc>
          <w:tcPr>
            <w:tcW w:w="2412" w:type="dxa"/>
          </w:tcPr>
          <w:p w14:paraId="7775A90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Local councils</w:t>
            </w:r>
          </w:p>
        </w:tc>
        <w:tc>
          <w:tcPr>
            <w:tcW w:w="2412" w:type="dxa"/>
          </w:tcPr>
          <w:p w14:paraId="77E16CB1"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High</w:t>
            </w:r>
          </w:p>
        </w:tc>
        <w:tc>
          <w:tcPr>
            <w:tcW w:w="2412" w:type="dxa"/>
          </w:tcPr>
          <w:p w14:paraId="1E13C0B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High</w:t>
            </w:r>
          </w:p>
        </w:tc>
        <w:tc>
          <w:tcPr>
            <w:tcW w:w="2412" w:type="dxa"/>
          </w:tcPr>
          <w:p w14:paraId="76D4A3B6"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Funding, coordination and local approvals</w:t>
            </w:r>
          </w:p>
        </w:tc>
      </w:tr>
      <w:tr w:rsidR="00F8497A" w:rsidRPr="00B16E80" w14:paraId="52F329BA" w14:textId="77777777">
        <w:trPr>
          <w:jc w:val="center"/>
        </w:trPr>
        <w:tc>
          <w:tcPr>
            <w:tcW w:w="2412" w:type="dxa"/>
          </w:tcPr>
          <w:p w14:paraId="57F6B54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Energy companies</w:t>
            </w:r>
          </w:p>
        </w:tc>
        <w:tc>
          <w:tcPr>
            <w:tcW w:w="2412" w:type="dxa"/>
          </w:tcPr>
          <w:p w14:paraId="2E95E01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High</w:t>
            </w:r>
          </w:p>
        </w:tc>
        <w:tc>
          <w:tcPr>
            <w:tcW w:w="2412" w:type="dxa"/>
          </w:tcPr>
          <w:p w14:paraId="46C327D3"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High</w:t>
            </w:r>
          </w:p>
        </w:tc>
        <w:tc>
          <w:tcPr>
            <w:tcW w:w="2412" w:type="dxa"/>
          </w:tcPr>
          <w:p w14:paraId="47DBB673"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Technical supply, network access and restoration expertise</w:t>
            </w:r>
          </w:p>
        </w:tc>
      </w:tr>
      <w:tr w:rsidR="00F8497A" w:rsidRPr="00B16E80" w14:paraId="211446A1" w14:textId="77777777">
        <w:trPr>
          <w:jc w:val="center"/>
        </w:trPr>
        <w:tc>
          <w:tcPr>
            <w:tcW w:w="2412" w:type="dxa"/>
          </w:tcPr>
          <w:p w14:paraId="55949724"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Contractors</w:t>
            </w:r>
          </w:p>
        </w:tc>
        <w:tc>
          <w:tcPr>
            <w:tcW w:w="2412" w:type="dxa"/>
          </w:tcPr>
          <w:p w14:paraId="4077205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Medium</w:t>
            </w:r>
          </w:p>
        </w:tc>
        <w:tc>
          <w:tcPr>
            <w:tcW w:w="2412" w:type="dxa"/>
          </w:tcPr>
          <w:p w14:paraId="352152E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High</w:t>
            </w:r>
          </w:p>
        </w:tc>
        <w:tc>
          <w:tcPr>
            <w:tcW w:w="2412" w:type="dxa"/>
          </w:tcPr>
          <w:p w14:paraId="5A76F7F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Repair, replacement and construction works</w:t>
            </w:r>
          </w:p>
        </w:tc>
      </w:tr>
      <w:tr w:rsidR="00F8497A" w:rsidRPr="00B16E80" w14:paraId="1DB88BD5" w14:textId="77777777">
        <w:trPr>
          <w:jc w:val="center"/>
        </w:trPr>
        <w:tc>
          <w:tcPr>
            <w:tcW w:w="2412" w:type="dxa"/>
          </w:tcPr>
          <w:p w14:paraId="21E65E4A"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Local residents</w:t>
            </w:r>
          </w:p>
        </w:tc>
        <w:tc>
          <w:tcPr>
            <w:tcW w:w="2412" w:type="dxa"/>
          </w:tcPr>
          <w:p w14:paraId="1DBC018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Low</w:t>
            </w:r>
          </w:p>
        </w:tc>
        <w:tc>
          <w:tcPr>
            <w:tcW w:w="2412" w:type="dxa"/>
          </w:tcPr>
          <w:p w14:paraId="50930D7A"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High</w:t>
            </w:r>
          </w:p>
        </w:tc>
        <w:tc>
          <w:tcPr>
            <w:tcW w:w="2412" w:type="dxa"/>
          </w:tcPr>
          <w:p w14:paraId="3478EA12"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End users, local information and community legitimacy</w:t>
            </w:r>
          </w:p>
        </w:tc>
      </w:tr>
      <w:tr w:rsidR="00F8497A" w:rsidRPr="00B16E80" w14:paraId="33201DFD" w14:textId="77777777">
        <w:trPr>
          <w:jc w:val="center"/>
        </w:trPr>
        <w:tc>
          <w:tcPr>
            <w:tcW w:w="2412" w:type="dxa"/>
          </w:tcPr>
          <w:p w14:paraId="4BD9354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Emergency services</w:t>
            </w:r>
          </w:p>
        </w:tc>
        <w:tc>
          <w:tcPr>
            <w:tcW w:w="2412" w:type="dxa"/>
          </w:tcPr>
          <w:p w14:paraId="66DEE3C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Medium</w:t>
            </w:r>
          </w:p>
        </w:tc>
        <w:tc>
          <w:tcPr>
            <w:tcW w:w="2412" w:type="dxa"/>
          </w:tcPr>
          <w:p w14:paraId="0FD4249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High</w:t>
            </w:r>
          </w:p>
        </w:tc>
        <w:tc>
          <w:tcPr>
            <w:tcW w:w="2412" w:type="dxa"/>
          </w:tcPr>
          <w:p w14:paraId="588CF858"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Public safety coordination and priority service continuity</w:t>
            </w:r>
          </w:p>
        </w:tc>
      </w:tr>
    </w:tbl>
    <w:p w14:paraId="1DBB23B2" w14:textId="77777777" w:rsidR="002B5734" w:rsidRPr="00B16E80" w:rsidRDefault="002B5734" w:rsidP="00B16E80">
      <w:pPr>
        <w:spacing w:after="120" w:line="360" w:lineRule="auto"/>
        <w:rPr>
          <w:rFonts w:ascii="Times New Roman" w:hAnsi="Times New Roman" w:cs="Times New Roman"/>
          <w:sz w:val="24"/>
          <w:szCs w:val="24"/>
        </w:rPr>
      </w:pPr>
    </w:p>
    <w:p w14:paraId="79A4A48B"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Stakeholders are not all the same so they should be treated differently. For example, the decision making meetings are structured in a way that allows for formal reporting to the councils about the power outages and the routes for escalation to the energy companies. The contractors require different types of communications than the councils yet they will need to be regularly updated regarding the power outages and any changes to the restoration of the power. Finally, if the restoration of power to certain areas will impact critical facilities like hospitals, communications and emergency response offices, these organisations will also need to be consulted. By treating the various stakeholders in this way, the efficiency of the communications will improve and there will be less chance of missing any stakeholders in the communication process.</w:t>
      </w:r>
    </w:p>
    <w:p w14:paraId="7070BA36" w14:textId="77777777" w:rsidR="002B5734" w:rsidRPr="00B16E80" w:rsidRDefault="002B5734" w:rsidP="00B16E80">
      <w:pPr>
        <w:spacing w:after="120" w:line="360" w:lineRule="auto"/>
        <w:rPr>
          <w:rFonts w:ascii="Times New Roman" w:hAnsi="Times New Roman" w:cs="Times New Roman"/>
          <w:sz w:val="24"/>
          <w:szCs w:val="24"/>
        </w:rPr>
      </w:pPr>
    </w:p>
    <w:p w14:paraId="7F6ED2F9" w14:textId="77777777" w:rsidR="00F8497A" w:rsidRPr="00B16E80" w:rsidRDefault="00000000" w:rsidP="00B16E80">
      <w:pPr>
        <w:pStyle w:val="Heading2"/>
        <w:spacing w:after="120" w:line="360" w:lineRule="auto"/>
        <w:rPr>
          <w:rFonts w:ascii="Times New Roman" w:hAnsi="Times New Roman" w:cs="Times New Roman"/>
          <w:b w:val="0"/>
          <w:sz w:val="24"/>
          <w:szCs w:val="24"/>
        </w:rPr>
      </w:pPr>
      <w:bookmarkStart w:id="10" w:name="_Toc227997078"/>
      <w:r w:rsidRPr="00B16E80">
        <w:rPr>
          <w:rFonts w:ascii="Times New Roman" w:hAnsi="Times New Roman" w:cs="Times New Roman"/>
          <w:b w:val="0"/>
          <w:sz w:val="24"/>
          <w:szCs w:val="24"/>
        </w:rPr>
        <w:t>8. Allocation of Resources</w:t>
      </w:r>
      <w:bookmarkEnd w:id="10"/>
    </w:p>
    <w:p w14:paraId="0F7C98D0" w14:textId="77777777" w:rsidR="002B5734" w:rsidRPr="00B16E80" w:rsidRDefault="002B5734" w:rsidP="00B16E80">
      <w:pPr>
        <w:spacing w:line="360" w:lineRule="auto"/>
        <w:rPr>
          <w:rFonts w:ascii="Times New Roman" w:hAnsi="Times New Roman" w:cs="Times New Roman"/>
          <w:sz w:val="24"/>
          <w:szCs w:val="24"/>
        </w:rPr>
      </w:pPr>
    </w:p>
    <w:p w14:paraId="750AC778"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The technical and organisational needs of the project will dictate the resources required for the project. The bare minimum resources for the project include individuals with the skills of a project manager, utility engineers, design experts, procurement aid, electrical contractors, plant &amp; equipment operators, and testers, health-and-safety personnel, and communication supporters. The materials that will be required for the project can be grouped into a variety of categories, such as electrical components, cables and electrical systems, enclosures, access equipment, temporary facilities, and transport/inspection equipment (or other). The estimated cost of the project of £8 million represents a cap and range for the project’s costs, and is to be utilized as the baseline for the project’s financial resources.</w:t>
      </w:r>
    </w:p>
    <w:p w14:paraId="39934CDE" w14:textId="77777777" w:rsidR="002B5734" w:rsidRPr="00B16E80" w:rsidRDefault="002B5734"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The allocation of resources will correspond to the project schedule. For instance, the phases of planning and assessing the site will require the skills of the aforementioned team members, but will require fewer construction resources. Procurement efforts will require individuals with the skills of procurement aid, but who do not necessarily need to be present on site at the same rate as the other phases of the project; in particular, there may be little availability of the required materials following regional flooding. In contrast, focus on the labour, equipment, and site management will be the utmost focus during the construction phase or the restoration phase of the project. Finally, testing and inspection teams will be required at the conclusion of the project. Therefore, it is likely that some smoothing and prioritisation of the resources will be required should there be competition between the various project tasks for those scarce team members (Kerzner, 2022). Overall, the critical resources and skills will be allocated to the activities that will determine the start of the next work packages for the project.</w:t>
      </w:r>
    </w:p>
    <w:p w14:paraId="0993F2C6" w14:textId="77777777" w:rsidR="002B5734" w:rsidRPr="00B16E80" w:rsidRDefault="002B5734" w:rsidP="00B16E80">
      <w:pPr>
        <w:spacing w:after="120" w:line="360" w:lineRule="auto"/>
        <w:rPr>
          <w:rFonts w:ascii="Times New Roman" w:hAnsi="Times New Roman" w:cs="Times New Roman"/>
          <w:sz w:val="24"/>
          <w:szCs w:val="24"/>
        </w:rPr>
      </w:pPr>
    </w:p>
    <w:p w14:paraId="44D1A511" w14:textId="77777777" w:rsidR="00F8497A" w:rsidRPr="00B16E80" w:rsidRDefault="00000000" w:rsidP="00B16E80">
      <w:pPr>
        <w:pStyle w:val="Heading2"/>
        <w:spacing w:after="120" w:line="360" w:lineRule="auto"/>
        <w:rPr>
          <w:rFonts w:ascii="Times New Roman" w:hAnsi="Times New Roman" w:cs="Times New Roman"/>
          <w:b w:val="0"/>
          <w:sz w:val="24"/>
          <w:szCs w:val="24"/>
        </w:rPr>
      </w:pPr>
      <w:bookmarkStart w:id="11" w:name="_Toc227997079"/>
      <w:r w:rsidRPr="00B16E80">
        <w:rPr>
          <w:rFonts w:ascii="Times New Roman" w:hAnsi="Times New Roman" w:cs="Times New Roman"/>
          <w:b w:val="0"/>
          <w:sz w:val="24"/>
          <w:szCs w:val="24"/>
        </w:rPr>
        <w:t>9. Risk Analysis</w:t>
      </w:r>
      <w:bookmarkEnd w:id="11"/>
    </w:p>
    <w:p w14:paraId="13FD7085" w14:textId="77777777" w:rsidR="002B5734" w:rsidRPr="00B16E80" w:rsidRDefault="002B5734" w:rsidP="00B16E80">
      <w:pPr>
        <w:spacing w:line="360" w:lineRule="auto"/>
        <w:rPr>
          <w:rFonts w:ascii="Times New Roman" w:hAnsi="Times New Roman" w:cs="Times New Roman"/>
          <w:sz w:val="24"/>
          <w:szCs w:val="24"/>
        </w:rPr>
      </w:pPr>
    </w:p>
    <w:p w14:paraId="700E011D" w14:textId="77777777" w:rsidR="00B16E80" w:rsidRPr="00B16E80" w:rsidRDefault="00B16E80"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Severe weather, delays and budget constraints are among the major risks listed on the poster. In the report these are retained and expounded. Post-flooding infrastructure reconstruction work is beset with uncertainty because of the latent nature of the damage, unstable access conditions and resource scarcity that may become apparent during the intervention. Both proactive risk identification and planned strategic responses on the project side is the requirement for effective project risk management (Hillson, 2017). Five main risks to project and mitigation measures are summarised in Table 5.</w:t>
      </w:r>
    </w:p>
    <w:p w14:paraId="2DD4B0AF" w14:textId="77777777" w:rsidR="002B5734" w:rsidRPr="00B16E80" w:rsidRDefault="002B5734" w:rsidP="00B16E80">
      <w:pPr>
        <w:spacing w:after="120" w:line="360" w:lineRule="auto"/>
        <w:rPr>
          <w:rFonts w:ascii="Times New Roman" w:hAnsi="Times New Roman" w:cs="Times New Roman"/>
          <w:sz w:val="24"/>
          <w:szCs w:val="24"/>
        </w:rPr>
      </w:pPr>
    </w:p>
    <w:p w14:paraId="20F07741"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Table 5. Project risk analysis.</w:t>
      </w:r>
    </w:p>
    <w:tbl>
      <w:tblPr>
        <w:tblStyle w:val="TableGrid"/>
        <w:tblW w:w="0" w:type="auto"/>
        <w:jc w:val="center"/>
        <w:tblLook w:val="04A0" w:firstRow="1" w:lastRow="0" w:firstColumn="1" w:lastColumn="0" w:noHBand="0" w:noVBand="1"/>
      </w:tblPr>
      <w:tblGrid>
        <w:gridCol w:w="3213"/>
        <w:gridCol w:w="3213"/>
        <w:gridCol w:w="3212"/>
      </w:tblGrid>
      <w:tr w:rsidR="00F8497A" w:rsidRPr="00B16E80" w14:paraId="2DFAEEE4" w14:textId="77777777">
        <w:trPr>
          <w:jc w:val="center"/>
        </w:trPr>
        <w:tc>
          <w:tcPr>
            <w:tcW w:w="3216" w:type="dxa"/>
          </w:tcPr>
          <w:p w14:paraId="441BBD66"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Risk</w:t>
            </w:r>
          </w:p>
        </w:tc>
        <w:tc>
          <w:tcPr>
            <w:tcW w:w="3216" w:type="dxa"/>
          </w:tcPr>
          <w:p w14:paraId="773DC226"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Potential impact</w:t>
            </w:r>
          </w:p>
        </w:tc>
        <w:tc>
          <w:tcPr>
            <w:tcW w:w="3216" w:type="dxa"/>
          </w:tcPr>
          <w:p w14:paraId="174E32AE"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Mitigation</w:t>
            </w:r>
          </w:p>
        </w:tc>
      </w:tr>
      <w:tr w:rsidR="00F8497A" w:rsidRPr="00B16E80" w14:paraId="6FF56D87" w14:textId="77777777">
        <w:trPr>
          <w:jc w:val="center"/>
        </w:trPr>
        <w:tc>
          <w:tcPr>
            <w:tcW w:w="3216" w:type="dxa"/>
          </w:tcPr>
          <w:p w14:paraId="0EAB64B7"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Further severe weather or flooding</w:t>
            </w:r>
          </w:p>
        </w:tc>
        <w:tc>
          <w:tcPr>
            <w:tcW w:w="3216" w:type="dxa"/>
          </w:tcPr>
          <w:p w14:paraId="604389A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Delay to site works, safety incidents and damage to incomplete assets</w:t>
            </w:r>
          </w:p>
        </w:tc>
        <w:tc>
          <w:tcPr>
            <w:tcW w:w="3216" w:type="dxa"/>
          </w:tcPr>
          <w:p w14:paraId="1A05EA2D"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Weather contingency planning, temporary protection measures and schedule review points</w:t>
            </w:r>
          </w:p>
        </w:tc>
      </w:tr>
      <w:tr w:rsidR="00F8497A" w:rsidRPr="00B16E80" w14:paraId="24F7EBBF" w14:textId="77777777">
        <w:trPr>
          <w:jc w:val="center"/>
        </w:trPr>
        <w:tc>
          <w:tcPr>
            <w:tcW w:w="3216" w:type="dxa"/>
          </w:tcPr>
          <w:p w14:paraId="3577C23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Hidden infrastructure damage</w:t>
            </w:r>
          </w:p>
        </w:tc>
        <w:tc>
          <w:tcPr>
            <w:tcW w:w="3216" w:type="dxa"/>
          </w:tcPr>
          <w:p w14:paraId="4E6185E0"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Additional repair scope, time overruns and increased costs</w:t>
            </w:r>
          </w:p>
        </w:tc>
        <w:tc>
          <w:tcPr>
            <w:tcW w:w="3216" w:type="dxa"/>
          </w:tcPr>
          <w:p w14:paraId="0E59C56F"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Early inspections, technical surveys and phased verification before major works</w:t>
            </w:r>
          </w:p>
        </w:tc>
      </w:tr>
      <w:tr w:rsidR="00F8497A" w:rsidRPr="00B16E80" w14:paraId="3A2BBD6A" w14:textId="77777777">
        <w:trPr>
          <w:jc w:val="center"/>
        </w:trPr>
        <w:tc>
          <w:tcPr>
            <w:tcW w:w="3216" w:type="dxa"/>
          </w:tcPr>
          <w:p w14:paraId="561BCF9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Supply chain or contractor delays</w:t>
            </w:r>
          </w:p>
        </w:tc>
        <w:tc>
          <w:tcPr>
            <w:tcW w:w="3216" w:type="dxa"/>
          </w:tcPr>
          <w:p w14:paraId="03F8699E"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Procurement slippage and construction disruption</w:t>
            </w:r>
          </w:p>
        </w:tc>
        <w:tc>
          <w:tcPr>
            <w:tcW w:w="3216" w:type="dxa"/>
          </w:tcPr>
          <w:p w14:paraId="6BF892FC"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Framework suppliers, early ordering and alternative sourcing options</w:t>
            </w:r>
          </w:p>
        </w:tc>
      </w:tr>
      <w:tr w:rsidR="00F8497A" w:rsidRPr="00B16E80" w14:paraId="34347236" w14:textId="77777777">
        <w:trPr>
          <w:jc w:val="center"/>
        </w:trPr>
        <w:tc>
          <w:tcPr>
            <w:tcW w:w="3216" w:type="dxa"/>
          </w:tcPr>
          <w:p w14:paraId="3B0E6CB1"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Budget pressure</w:t>
            </w:r>
          </w:p>
        </w:tc>
        <w:tc>
          <w:tcPr>
            <w:tcW w:w="3216" w:type="dxa"/>
          </w:tcPr>
          <w:p w14:paraId="336C8C5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Reduced scope quality or need for change control</w:t>
            </w:r>
          </w:p>
        </w:tc>
        <w:tc>
          <w:tcPr>
            <w:tcW w:w="3216" w:type="dxa"/>
          </w:tcPr>
          <w:p w14:paraId="66505E09"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Cost monitoring, stage-gate approvals and formal contingency use</w:t>
            </w:r>
          </w:p>
        </w:tc>
      </w:tr>
      <w:tr w:rsidR="00F8497A" w:rsidRPr="00B16E80" w14:paraId="4CE5272C" w14:textId="77777777">
        <w:trPr>
          <w:jc w:val="center"/>
        </w:trPr>
        <w:tc>
          <w:tcPr>
            <w:tcW w:w="3216" w:type="dxa"/>
          </w:tcPr>
          <w:p w14:paraId="5B0E4D85"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Poor community communication</w:t>
            </w:r>
          </w:p>
        </w:tc>
        <w:tc>
          <w:tcPr>
            <w:tcW w:w="3216" w:type="dxa"/>
          </w:tcPr>
          <w:p w14:paraId="4EC0C13B"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Complaints, reputational damage and reduced trust</w:t>
            </w:r>
          </w:p>
        </w:tc>
        <w:tc>
          <w:tcPr>
            <w:tcW w:w="3216" w:type="dxa"/>
          </w:tcPr>
          <w:p w14:paraId="53C1CD13" w14:textId="77777777" w:rsidR="00F8497A" w:rsidRPr="00B16E80" w:rsidRDefault="00000000" w:rsidP="00B16E80">
            <w:pPr>
              <w:spacing w:line="360" w:lineRule="auto"/>
              <w:rPr>
                <w:rFonts w:ascii="Times New Roman" w:hAnsi="Times New Roman" w:cs="Times New Roman"/>
                <w:sz w:val="24"/>
                <w:szCs w:val="24"/>
              </w:rPr>
            </w:pPr>
            <w:r w:rsidRPr="00B16E80">
              <w:rPr>
                <w:rFonts w:ascii="Times New Roman" w:hAnsi="Times New Roman" w:cs="Times New Roman"/>
                <w:sz w:val="24"/>
                <w:szCs w:val="24"/>
              </w:rPr>
              <w:t>Regular updates, named contact point and accessible public information channels</w:t>
            </w:r>
          </w:p>
        </w:tc>
      </w:tr>
    </w:tbl>
    <w:p w14:paraId="7EFF2F67" w14:textId="77777777" w:rsidR="00B16E80" w:rsidRPr="00B16E80" w:rsidRDefault="00B16E80" w:rsidP="00B16E80">
      <w:pPr>
        <w:spacing w:after="120" w:line="360" w:lineRule="auto"/>
        <w:rPr>
          <w:rFonts w:ascii="Times New Roman" w:hAnsi="Times New Roman" w:cs="Times New Roman"/>
          <w:sz w:val="24"/>
          <w:szCs w:val="24"/>
        </w:rPr>
      </w:pPr>
    </w:p>
    <w:p w14:paraId="196B0E3F" w14:textId="77777777" w:rsidR="00B16E80" w:rsidRPr="00B16E80" w:rsidRDefault="00B16E80"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Of these risks, the ones that pose the most fundamental threat to the project are those relating to the weather and the damage that the weather can do to the infrastructure. Thus, flexible hours, cost and expenditure surveillance, and system evaluations can be performed, which is in accordance with the poster. Furthermore, conducting a review of these threats and risks should be a permanent item on the agenda for the governance meetings of the project.</w:t>
      </w:r>
    </w:p>
    <w:p w14:paraId="5B4C70B6" w14:textId="77777777" w:rsidR="00B16E80" w:rsidRPr="00B16E80" w:rsidRDefault="00B16E80" w:rsidP="00B16E80">
      <w:pPr>
        <w:spacing w:after="120" w:line="360" w:lineRule="auto"/>
        <w:rPr>
          <w:rFonts w:ascii="Times New Roman" w:hAnsi="Times New Roman" w:cs="Times New Roman"/>
          <w:sz w:val="24"/>
          <w:szCs w:val="24"/>
        </w:rPr>
      </w:pPr>
    </w:p>
    <w:p w14:paraId="7909EFB8" w14:textId="77777777" w:rsidR="00F8497A" w:rsidRPr="00B16E80" w:rsidRDefault="00000000" w:rsidP="00B16E80">
      <w:pPr>
        <w:pStyle w:val="Heading2"/>
        <w:spacing w:after="120" w:line="360" w:lineRule="auto"/>
        <w:rPr>
          <w:rFonts w:ascii="Times New Roman" w:hAnsi="Times New Roman" w:cs="Times New Roman"/>
          <w:sz w:val="24"/>
          <w:szCs w:val="24"/>
        </w:rPr>
      </w:pPr>
      <w:bookmarkStart w:id="12" w:name="_Toc227997080"/>
      <w:r w:rsidRPr="00B16E80">
        <w:rPr>
          <w:rFonts w:ascii="Times New Roman" w:hAnsi="Times New Roman" w:cs="Times New Roman"/>
          <w:b w:val="0"/>
          <w:sz w:val="24"/>
          <w:szCs w:val="24"/>
        </w:rPr>
        <w:t>10. Conclusion</w:t>
      </w:r>
      <w:bookmarkEnd w:id="12"/>
    </w:p>
    <w:p w14:paraId="6CB3B110" w14:textId="77777777" w:rsidR="00B16E80" w:rsidRPr="00B16E80" w:rsidRDefault="00B16E80" w:rsidP="00B16E80">
      <w:pPr>
        <w:spacing w:after="120" w:line="360" w:lineRule="auto"/>
        <w:rPr>
          <w:rFonts w:ascii="Times New Roman" w:hAnsi="Times New Roman" w:cs="Times New Roman"/>
          <w:sz w:val="24"/>
          <w:szCs w:val="24"/>
          <w:lang w:val="en-GB"/>
        </w:rPr>
      </w:pPr>
      <w:r w:rsidRPr="00B16E80">
        <w:rPr>
          <w:rFonts w:ascii="Times New Roman" w:hAnsi="Times New Roman" w:cs="Times New Roman"/>
          <w:sz w:val="24"/>
          <w:szCs w:val="24"/>
          <w:lang w:val="en-GB"/>
        </w:rPr>
        <w:t>Updated portfolio here is fully aligned with the report on the Worcester electricity infrastructure restoration poster. The project chosen for this portfolio was undertaken as a response to the story of the flooding that occurred in July of 2025, as the failure of the electricity infrastructure impacts so many different aspects of the community and the rebuilding of that community. Overall, project management plan is an example of the use of these various project management techniques within the context of the project. The scope of the project limits the possibility of uncontrolled expansion, the work breakdown structure increases the manageability of the project, the quad chart provides a summary of the project, the Gantt chart establishes the timeline of the project, the stakeholder analysis identifies the various stakeholders in the project, the resource allocation establishes the feasibility of the project, and the risk analysis establishes the preparedness of the project team for any potential risks to the project. Thus, each of these elements show that the Worcester electricity infrastructure restoration project was both necessary and possible within the established project management framework. Furthermore, the two reports are aligned with one another in relation to the objectives, stakeholders, timing, costs, and desired results of the project, indicating the comprehensive nature of the portfolio in relation to this project.</w:t>
      </w:r>
    </w:p>
    <w:p w14:paraId="5CE63BC7" w14:textId="77777777" w:rsidR="00B16E80" w:rsidRPr="00B16E80" w:rsidRDefault="00B16E80" w:rsidP="00B16E80">
      <w:pPr>
        <w:spacing w:after="120" w:line="360" w:lineRule="auto"/>
        <w:rPr>
          <w:rFonts w:ascii="Times New Roman" w:hAnsi="Times New Roman" w:cs="Times New Roman"/>
          <w:sz w:val="24"/>
          <w:szCs w:val="24"/>
        </w:rPr>
      </w:pPr>
    </w:p>
    <w:p w14:paraId="416496E2" w14:textId="77777777" w:rsidR="00B16E80" w:rsidRDefault="00B16E80" w:rsidP="00B16E80">
      <w:pPr>
        <w:spacing w:after="120" w:line="360" w:lineRule="auto"/>
        <w:rPr>
          <w:rFonts w:ascii="Times New Roman" w:hAnsi="Times New Roman" w:cs="Times New Roman"/>
          <w:sz w:val="24"/>
          <w:szCs w:val="24"/>
        </w:rPr>
      </w:pPr>
    </w:p>
    <w:p w14:paraId="50ADB810" w14:textId="77777777" w:rsidR="00DD5E0A" w:rsidRDefault="00DD5E0A" w:rsidP="00B16E80">
      <w:pPr>
        <w:spacing w:after="120" w:line="360" w:lineRule="auto"/>
        <w:rPr>
          <w:rFonts w:ascii="Times New Roman" w:hAnsi="Times New Roman" w:cs="Times New Roman"/>
          <w:sz w:val="24"/>
          <w:szCs w:val="24"/>
        </w:rPr>
      </w:pPr>
    </w:p>
    <w:p w14:paraId="5BB87AAC" w14:textId="77777777" w:rsidR="00DD5E0A" w:rsidRDefault="00DD5E0A" w:rsidP="00B16E80">
      <w:pPr>
        <w:spacing w:after="120" w:line="360" w:lineRule="auto"/>
        <w:rPr>
          <w:rFonts w:ascii="Times New Roman" w:hAnsi="Times New Roman" w:cs="Times New Roman"/>
          <w:sz w:val="24"/>
          <w:szCs w:val="24"/>
        </w:rPr>
      </w:pPr>
    </w:p>
    <w:p w14:paraId="7312860F" w14:textId="77777777" w:rsidR="00DD5E0A" w:rsidRDefault="00DD5E0A" w:rsidP="00B16E80">
      <w:pPr>
        <w:spacing w:after="120" w:line="360" w:lineRule="auto"/>
        <w:rPr>
          <w:rFonts w:ascii="Times New Roman" w:hAnsi="Times New Roman" w:cs="Times New Roman"/>
          <w:sz w:val="24"/>
          <w:szCs w:val="24"/>
        </w:rPr>
      </w:pPr>
    </w:p>
    <w:p w14:paraId="31554A81" w14:textId="77777777" w:rsidR="00DD5E0A" w:rsidRDefault="00DD5E0A" w:rsidP="00B16E80">
      <w:pPr>
        <w:spacing w:after="120" w:line="360" w:lineRule="auto"/>
        <w:rPr>
          <w:rFonts w:ascii="Times New Roman" w:hAnsi="Times New Roman" w:cs="Times New Roman"/>
          <w:sz w:val="24"/>
          <w:szCs w:val="24"/>
        </w:rPr>
      </w:pPr>
    </w:p>
    <w:p w14:paraId="2653FA6B" w14:textId="77777777" w:rsidR="00DD5E0A" w:rsidRDefault="00DD5E0A" w:rsidP="00B16E80">
      <w:pPr>
        <w:spacing w:after="120" w:line="360" w:lineRule="auto"/>
        <w:rPr>
          <w:rFonts w:ascii="Times New Roman" w:hAnsi="Times New Roman" w:cs="Times New Roman"/>
          <w:sz w:val="24"/>
          <w:szCs w:val="24"/>
        </w:rPr>
      </w:pPr>
    </w:p>
    <w:p w14:paraId="588BC021" w14:textId="77777777" w:rsidR="00DD5E0A" w:rsidRDefault="00DD5E0A" w:rsidP="00B16E80">
      <w:pPr>
        <w:spacing w:after="120" w:line="360" w:lineRule="auto"/>
        <w:rPr>
          <w:rFonts w:ascii="Times New Roman" w:hAnsi="Times New Roman" w:cs="Times New Roman"/>
          <w:sz w:val="24"/>
          <w:szCs w:val="24"/>
        </w:rPr>
      </w:pPr>
    </w:p>
    <w:p w14:paraId="0841CA0D" w14:textId="77777777" w:rsidR="00DD5E0A" w:rsidRDefault="00DD5E0A" w:rsidP="00B16E80">
      <w:pPr>
        <w:spacing w:after="120" w:line="360" w:lineRule="auto"/>
        <w:rPr>
          <w:rFonts w:ascii="Times New Roman" w:hAnsi="Times New Roman" w:cs="Times New Roman"/>
          <w:sz w:val="24"/>
          <w:szCs w:val="24"/>
        </w:rPr>
      </w:pPr>
    </w:p>
    <w:p w14:paraId="61ABC8FD" w14:textId="77777777" w:rsidR="00DD5E0A" w:rsidRDefault="00DD5E0A" w:rsidP="00B16E80">
      <w:pPr>
        <w:spacing w:after="120" w:line="360" w:lineRule="auto"/>
        <w:rPr>
          <w:rFonts w:ascii="Times New Roman" w:hAnsi="Times New Roman" w:cs="Times New Roman"/>
          <w:sz w:val="24"/>
          <w:szCs w:val="24"/>
        </w:rPr>
      </w:pPr>
    </w:p>
    <w:p w14:paraId="42369DDA" w14:textId="77777777" w:rsidR="00DD5E0A" w:rsidRDefault="00DD5E0A" w:rsidP="00B16E80">
      <w:pPr>
        <w:spacing w:after="120" w:line="360" w:lineRule="auto"/>
        <w:rPr>
          <w:rFonts w:ascii="Times New Roman" w:hAnsi="Times New Roman" w:cs="Times New Roman"/>
          <w:sz w:val="24"/>
          <w:szCs w:val="24"/>
        </w:rPr>
      </w:pPr>
    </w:p>
    <w:p w14:paraId="2BB2DCE1" w14:textId="77777777" w:rsidR="00DD5E0A" w:rsidRDefault="00DD5E0A" w:rsidP="00B16E80">
      <w:pPr>
        <w:spacing w:after="120" w:line="360" w:lineRule="auto"/>
        <w:rPr>
          <w:rFonts w:ascii="Times New Roman" w:hAnsi="Times New Roman" w:cs="Times New Roman"/>
          <w:sz w:val="24"/>
          <w:szCs w:val="24"/>
        </w:rPr>
      </w:pPr>
    </w:p>
    <w:p w14:paraId="5FC85DFA" w14:textId="77777777" w:rsidR="00DD5E0A" w:rsidRDefault="00DD5E0A" w:rsidP="00B16E80">
      <w:pPr>
        <w:spacing w:after="120" w:line="360" w:lineRule="auto"/>
        <w:rPr>
          <w:rFonts w:ascii="Times New Roman" w:hAnsi="Times New Roman" w:cs="Times New Roman"/>
          <w:sz w:val="24"/>
          <w:szCs w:val="24"/>
        </w:rPr>
      </w:pPr>
    </w:p>
    <w:p w14:paraId="7AED9B8B" w14:textId="77777777" w:rsidR="00DD5E0A" w:rsidRDefault="00DD5E0A" w:rsidP="00B16E80">
      <w:pPr>
        <w:spacing w:after="120" w:line="360" w:lineRule="auto"/>
        <w:rPr>
          <w:rFonts w:ascii="Times New Roman" w:hAnsi="Times New Roman" w:cs="Times New Roman"/>
          <w:sz w:val="24"/>
          <w:szCs w:val="24"/>
        </w:rPr>
      </w:pPr>
    </w:p>
    <w:p w14:paraId="0ED0B3D5" w14:textId="77777777" w:rsidR="00DD5E0A" w:rsidRDefault="00DD5E0A" w:rsidP="00B16E80">
      <w:pPr>
        <w:spacing w:after="120" w:line="360" w:lineRule="auto"/>
        <w:rPr>
          <w:rFonts w:ascii="Times New Roman" w:hAnsi="Times New Roman" w:cs="Times New Roman"/>
          <w:sz w:val="24"/>
          <w:szCs w:val="24"/>
        </w:rPr>
      </w:pPr>
    </w:p>
    <w:p w14:paraId="5DB7EA45" w14:textId="77777777" w:rsidR="00DD5E0A" w:rsidRDefault="00DD5E0A" w:rsidP="00B16E80">
      <w:pPr>
        <w:spacing w:after="120" w:line="360" w:lineRule="auto"/>
        <w:rPr>
          <w:rFonts w:ascii="Times New Roman" w:hAnsi="Times New Roman" w:cs="Times New Roman"/>
          <w:sz w:val="24"/>
          <w:szCs w:val="24"/>
        </w:rPr>
      </w:pPr>
    </w:p>
    <w:p w14:paraId="5B06905C" w14:textId="77777777" w:rsidR="00DD5E0A" w:rsidRDefault="00DD5E0A" w:rsidP="00B16E80">
      <w:pPr>
        <w:spacing w:after="120" w:line="360" w:lineRule="auto"/>
        <w:rPr>
          <w:rFonts w:ascii="Times New Roman" w:hAnsi="Times New Roman" w:cs="Times New Roman"/>
          <w:sz w:val="24"/>
          <w:szCs w:val="24"/>
        </w:rPr>
      </w:pPr>
    </w:p>
    <w:p w14:paraId="2B13847E" w14:textId="77777777" w:rsidR="00DD5E0A" w:rsidRDefault="00DD5E0A" w:rsidP="00B16E80">
      <w:pPr>
        <w:spacing w:after="120" w:line="360" w:lineRule="auto"/>
        <w:rPr>
          <w:rFonts w:ascii="Times New Roman" w:hAnsi="Times New Roman" w:cs="Times New Roman"/>
          <w:sz w:val="24"/>
          <w:szCs w:val="24"/>
        </w:rPr>
      </w:pPr>
    </w:p>
    <w:p w14:paraId="601D43C3" w14:textId="77777777" w:rsidR="00DD5E0A" w:rsidRDefault="00DD5E0A" w:rsidP="00B16E80">
      <w:pPr>
        <w:spacing w:after="120" w:line="360" w:lineRule="auto"/>
        <w:rPr>
          <w:rFonts w:ascii="Times New Roman" w:hAnsi="Times New Roman" w:cs="Times New Roman"/>
          <w:sz w:val="24"/>
          <w:szCs w:val="24"/>
        </w:rPr>
      </w:pPr>
    </w:p>
    <w:p w14:paraId="465E0BF4" w14:textId="77777777" w:rsidR="00DD5E0A" w:rsidRPr="00B16E80" w:rsidRDefault="00DD5E0A" w:rsidP="00B16E80">
      <w:pPr>
        <w:spacing w:after="120" w:line="360" w:lineRule="auto"/>
        <w:rPr>
          <w:rFonts w:ascii="Times New Roman" w:hAnsi="Times New Roman" w:cs="Times New Roman"/>
          <w:sz w:val="24"/>
          <w:szCs w:val="24"/>
        </w:rPr>
      </w:pPr>
    </w:p>
    <w:p w14:paraId="6CE908CB" w14:textId="77777777" w:rsidR="00B16E80" w:rsidRPr="00B16E80" w:rsidRDefault="00B16E80" w:rsidP="00B16E80">
      <w:pPr>
        <w:spacing w:after="120" w:line="360" w:lineRule="auto"/>
        <w:rPr>
          <w:rFonts w:ascii="Times New Roman" w:hAnsi="Times New Roman" w:cs="Times New Roman"/>
          <w:sz w:val="24"/>
          <w:szCs w:val="24"/>
        </w:rPr>
      </w:pPr>
    </w:p>
    <w:p w14:paraId="126DEA7C" w14:textId="77777777" w:rsidR="00F8497A" w:rsidRPr="00B16E80" w:rsidRDefault="00000000" w:rsidP="00B16E80">
      <w:pPr>
        <w:pStyle w:val="Heading1"/>
        <w:spacing w:after="120" w:line="360" w:lineRule="auto"/>
        <w:rPr>
          <w:rFonts w:ascii="Times New Roman" w:hAnsi="Times New Roman" w:cs="Times New Roman"/>
          <w:sz w:val="24"/>
          <w:szCs w:val="24"/>
        </w:rPr>
      </w:pPr>
      <w:bookmarkStart w:id="13" w:name="_Toc227997081"/>
      <w:r w:rsidRPr="00B16E80">
        <w:rPr>
          <w:rFonts w:ascii="Times New Roman" w:hAnsi="Times New Roman" w:cs="Times New Roman"/>
          <w:b w:val="0"/>
          <w:sz w:val="24"/>
          <w:szCs w:val="24"/>
        </w:rPr>
        <w:t>References</w:t>
      </w:r>
      <w:bookmarkEnd w:id="13"/>
    </w:p>
    <w:p w14:paraId="1DC94E45"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Association for Project Management (APM) (2019) APM body of knowledge. 7th edn. Princes Risborough: APM.</w:t>
      </w:r>
    </w:p>
    <w:p w14:paraId="4ECC81E2"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Bourne, L. (2016) Advising upwards: A framework for understanding and engaging senior management stakeholders. Farnham: Gower.</w:t>
      </w:r>
    </w:p>
    <w:p w14:paraId="169FAC9F"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Burke, R. (2013) Project management: Planning and control techniques. 5th edn. Chichester: Wiley.</w:t>
      </w:r>
    </w:p>
    <w:p w14:paraId="06AE0A5C"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Hillson, D. (2017) Practical project risk management: The ATOM methodology. 3rd edn. Vienna: Management Concepts.</w:t>
      </w:r>
    </w:p>
    <w:p w14:paraId="5DD0208B"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Kerzner, H. (2022) Project management: A systems approach to planning, scheduling, and controlling. 13th edn. Hoboken, NJ: Wiley.</w:t>
      </w:r>
    </w:p>
    <w:p w14:paraId="147D6C62"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Lock, D. (2020) Project management. 11th edn. London: Routledge.</w:t>
      </w:r>
    </w:p>
    <w:p w14:paraId="2AB3B70E"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Maylor, H. (2021) Project management. 5th edn. Harlow: Pearson.</w:t>
      </w:r>
    </w:p>
    <w:p w14:paraId="4B826A8E"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Meredith, J.R., Shafer, S.M. and Mantel, S.J. (2020) Project management: A strategic managerial approach. 10th edn. Hoboken, NJ: Wiley.</w:t>
      </w:r>
    </w:p>
    <w:p w14:paraId="653E9496"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Project Management Institute (PMI) (2021) A guide to the project management body of knowledge (PMBOK guide). 7th edn. Newtown Square, PA: PMI.</w:t>
      </w:r>
    </w:p>
    <w:p w14:paraId="2CD737E1"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Turner, J.R. (2016) Gower handbook of project management. 5th edn. London: Routledge.</w:t>
      </w:r>
    </w:p>
    <w:p w14:paraId="5787701A"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Ward, S. and Chapman, C. (2003) ‘Transforming project risk management into project uncertainty management’, International Journal of Project Management, 21(2), pp. 97–105.</w:t>
      </w:r>
    </w:p>
    <w:p w14:paraId="01E48C96" w14:textId="77777777" w:rsidR="00F8497A" w:rsidRPr="00B16E80" w:rsidRDefault="00000000" w:rsidP="00B16E80">
      <w:pPr>
        <w:spacing w:after="120" w:line="360" w:lineRule="auto"/>
        <w:rPr>
          <w:rFonts w:ascii="Times New Roman" w:hAnsi="Times New Roman" w:cs="Times New Roman"/>
          <w:sz w:val="24"/>
          <w:szCs w:val="24"/>
        </w:rPr>
      </w:pPr>
      <w:r w:rsidRPr="00B16E80">
        <w:rPr>
          <w:rFonts w:ascii="Times New Roman" w:hAnsi="Times New Roman" w:cs="Times New Roman"/>
          <w:sz w:val="24"/>
          <w:szCs w:val="24"/>
        </w:rPr>
        <w:t>Too, E.G. and Weaver, P. (2014) ‘The management of project management: A conceptual framework for project governance’, International Journal of Project Management, 32(8), pp. 1382–1394.</w:t>
      </w:r>
    </w:p>
    <w:sectPr w:rsidR="00F8497A" w:rsidRPr="00B16E80" w:rsidSect="00034616">
      <w:footerReference w:type="default" r:id="rId9"/>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9489B" w14:textId="77777777" w:rsidR="00046EF6" w:rsidRDefault="00046EF6">
      <w:pPr>
        <w:spacing w:after="0" w:line="240" w:lineRule="auto"/>
      </w:pPr>
      <w:r>
        <w:separator/>
      </w:r>
    </w:p>
  </w:endnote>
  <w:endnote w:type="continuationSeparator" w:id="0">
    <w:p w14:paraId="37A506F1" w14:textId="77777777" w:rsidR="00046EF6" w:rsidRDefault="00046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B7B26" w14:textId="77777777" w:rsidR="00F8497A" w:rsidRDefault="00000000">
    <w:pPr>
      <w:pStyle w:val="Footer"/>
      <w:jc w:val="center"/>
    </w:pPr>
    <w:r>
      <w:fldChar w:fldCharType="begin"/>
    </w:r>
    <w:r>
      <w:instrText>PAGE</w:instrText>
    </w:r>
    <w:r>
      <w:fldChar w:fldCharType="separate"/>
    </w:r>
    <w:r w:rsidR="00D33A0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D5DB6" w14:textId="77777777" w:rsidR="00046EF6" w:rsidRDefault="00046EF6">
      <w:pPr>
        <w:spacing w:after="0" w:line="240" w:lineRule="auto"/>
      </w:pPr>
      <w:r>
        <w:separator/>
      </w:r>
    </w:p>
  </w:footnote>
  <w:footnote w:type="continuationSeparator" w:id="0">
    <w:p w14:paraId="463C3E75" w14:textId="77777777" w:rsidR="00046EF6" w:rsidRDefault="00046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81155298">
    <w:abstractNumId w:val="8"/>
  </w:num>
  <w:num w:numId="2" w16cid:durableId="182476233">
    <w:abstractNumId w:val="6"/>
  </w:num>
  <w:num w:numId="3" w16cid:durableId="145900656">
    <w:abstractNumId w:val="5"/>
  </w:num>
  <w:num w:numId="4" w16cid:durableId="730277342">
    <w:abstractNumId w:val="4"/>
  </w:num>
  <w:num w:numId="5" w16cid:durableId="1610237665">
    <w:abstractNumId w:val="7"/>
  </w:num>
  <w:num w:numId="6" w16cid:durableId="1500927670">
    <w:abstractNumId w:val="3"/>
  </w:num>
  <w:num w:numId="7" w16cid:durableId="1746298803">
    <w:abstractNumId w:val="2"/>
  </w:num>
  <w:num w:numId="8" w16cid:durableId="1859736246">
    <w:abstractNumId w:val="1"/>
  </w:num>
  <w:num w:numId="9" w16cid:durableId="576551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6EF6"/>
    <w:rsid w:val="0006063C"/>
    <w:rsid w:val="0015074B"/>
    <w:rsid w:val="00226F3A"/>
    <w:rsid w:val="0029639D"/>
    <w:rsid w:val="002B5734"/>
    <w:rsid w:val="002C4E01"/>
    <w:rsid w:val="00326F90"/>
    <w:rsid w:val="006E1D0B"/>
    <w:rsid w:val="00AA1D8D"/>
    <w:rsid w:val="00B16E80"/>
    <w:rsid w:val="00B47730"/>
    <w:rsid w:val="00B9208A"/>
    <w:rsid w:val="00CB0664"/>
    <w:rsid w:val="00D33A09"/>
    <w:rsid w:val="00DD5E0A"/>
    <w:rsid w:val="00F8497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C58725"/>
  <w14:defaultImageDpi w14:val="300"/>
  <w15:docId w15:val="{4F9DDE21-D37F-4312-ACF7-B57BA1637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ext-base">
    <w:name w:val="text-base"/>
    <w:basedOn w:val="Normal"/>
    <w:rsid w:val="002B573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B16E80"/>
    <w:pPr>
      <w:spacing w:after="100"/>
    </w:pPr>
  </w:style>
  <w:style w:type="paragraph" w:styleId="TOC2">
    <w:name w:val="toc 2"/>
    <w:basedOn w:val="Normal"/>
    <w:next w:val="Normal"/>
    <w:autoRedefine/>
    <w:uiPriority w:val="39"/>
    <w:unhideWhenUsed/>
    <w:rsid w:val="00B16E80"/>
    <w:pPr>
      <w:spacing w:after="100"/>
      <w:ind w:left="220"/>
    </w:pPr>
  </w:style>
  <w:style w:type="character" w:styleId="Hyperlink">
    <w:name w:val="Hyperlink"/>
    <w:basedOn w:val="DefaultParagraphFont"/>
    <w:uiPriority w:val="99"/>
    <w:unhideWhenUsed/>
    <w:rsid w:val="00B16E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4334</Words>
  <Characters>24710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28987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Natalia Potapenko</cp:lastModifiedBy>
  <cp:revision>2</cp:revision>
  <dcterms:created xsi:type="dcterms:W3CDTF">2026-04-25T19:17:00Z</dcterms:created>
  <dcterms:modified xsi:type="dcterms:W3CDTF">2026-04-25T19:17:00Z</dcterms:modified>
  <cp:category/>
</cp:coreProperties>
</file>