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43572A" w14:textId="77777777" w:rsidR="006273D8" w:rsidRPr="00EE5BC3" w:rsidRDefault="006273D8" w:rsidP="006273D8">
      <w:pPr>
        <w:jc w:val="center"/>
        <w:rPr>
          <w:b/>
          <w:sz w:val="28"/>
          <w:szCs w:val="28"/>
        </w:rPr>
      </w:pPr>
      <w:r w:rsidRPr="00EE5BC3">
        <w:rPr>
          <w:b/>
          <w:sz w:val="28"/>
          <w:szCs w:val="28"/>
        </w:rPr>
        <w:t>Task 4</w:t>
      </w:r>
    </w:p>
    <w:p w14:paraId="0C739FCE" w14:textId="77777777" w:rsidR="006273D8" w:rsidRPr="00EE5BC3" w:rsidRDefault="006273D8" w:rsidP="006273D8">
      <w:pPr>
        <w:jc w:val="center"/>
        <w:rPr>
          <w:b/>
          <w:sz w:val="28"/>
          <w:szCs w:val="28"/>
        </w:rPr>
      </w:pPr>
    </w:p>
    <w:p w14:paraId="4AC6687E" w14:textId="77777777" w:rsidR="006273D8" w:rsidRPr="00EE5BC3" w:rsidRDefault="006273D8" w:rsidP="006273D8">
      <w:pPr>
        <w:jc w:val="center"/>
        <w:rPr>
          <w:b/>
          <w:sz w:val="28"/>
          <w:szCs w:val="28"/>
        </w:rPr>
      </w:pPr>
      <w:r w:rsidRPr="00EE5BC3">
        <w:rPr>
          <w:b/>
          <w:sz w:val="28"/>
          <w:szCs w:val="28"/>
        </w:rPr>
        <w:t>Safeguarding</w:t>
      </w:r>
      <w:r>
        <w:rPr>
          <w:b/>
          <w:sz w:val="28"/>
          <w:szCs w:val="28"/>
        </w:rPr>
        <w:t xml:space="preserve"> in an area which is not your main area of work</w:t>
      </w:r>
    </w:p>
    <w:p w14:paraId="38A38EA1" w14:textId="77777777" w:rsidR="006273D8" w:rsidRPr="008B28E7" w:rsidRDefault="006273D8" w:rsidP="006273D8">
      <w:pPr>
        <w:jc w:val="both"/>
        <w:rPr>
          <w:b/>
          <w:sz w:val="24"/>
          <w:szCs w:val="24"/>
        </w:rPr>
      </w:pPr>
    </w:p>
    <w:p w14:paraId="75A37CB1" w14:textId="77777777" w:rsidR="006273D8" w:rsidRPr="00EE5BC3" w:rsidRDefault="006273D8" w:rsidP="006273D8">
      <w:pPr>
        <w:ind w:left="-90"/>
        <w:jc w:val="both"/>
        <w:rPr>
          <w:b/>
          <w:i/>
          <w:sz w:val="24"/>
          <w:szCs w:val="24"/>
        </w:rPr>
      </w:pPr>
      <w:r w:rsidRPr="00EE5BC3">
        <w:rPr>
          <w:b/>
          <w:i/>
          <w:sz w:val="24"/>
          <w:szCs w:val="24"/>
        </w:rPr>
        <w:t xml:space="preserve">Guidance: </w:t>
      </w:r>
    </w:p>
    <w:p w14:paraId="1BF39A13" w14:textId="77777777" w:rsidR="006273D8" w:rsidRPr="00706BB5" w:rsidRDefault="006273D8" w:rsidP="006273D8">
      <w:pPr>
        <w:ind w:left="-90"/>
        <w:jc w:val="both"/>
        <w:rPr>
          <w:i/>
          <w:iCs/>
          <w:sz w:val="24"/>
          <w:szCs w:val="24"/>
        </w:rPr>
      </w:pPr>
      <w:r w:rsidRPr="00F15354">
        <w:rPr>
          <w:i/>
          <w:iCs/>
          <w:sz w:val="24"/>
          <w:szCs w:val="24"/>
        </w:rPr>
        <w:t>Social Care Wales</w:t>
      </w:r>
      <w:r w:rsidRPr="006179BB">
        <w:rPr>
          <w:i/>
          <w:iCs/>
          <w:sz w:val="24"/>
          <w:szCs w:val="24"/>
        </w:rPr>
        <w:t xml:space="preserve"> require newly qualified social workers to provide evidence of </w:t>
      </w:r>
      <w:r w:rsidRPr="00A5656A">
        <w:rPr>
          <w:i/>
          <w:iCs/>
          <w:sz w:val="24"/>
          <w:szCs w:val="24"/>
        </w:rPr>
        <w:t>their understanding of safeguarding work with adults and children</w:t>
      </w:r>
      <w:r w:rsidRPr="009C7342">
        <w:rPr>
          <w:i/>
          <w:iCs/>
          <w:sz w:val="24"/>
          <w:szCs w:val="24"/>
        </w:rPr>
        <w:t xml:space="preserve">. </w:t>
      </w:r>
      <w:r w:rsidRPr="00706BB5">
        <w:rPr>
          <w:i/>
          <w:iCs/>
          <w:sz w:val="24"/>
          <w:szCs w:val="24"/>
        </w:rPr>
        <w:t xml:space="preserve">The assignment below will enable you to demonstrate this. </w:t>
      </w:r>
      <w:r w:rsidRPr="00706BB5">
        <w:rPr>
          <w:b/>
          <w:bCs/>
          <w:i/>
          <w:iCs/>
          <w:sz w:val="24"/>
          <w:szCs w:val="24"/>
        </w:rPr>
        <w:t>N.B</w:t>
      </w:r>
      <w:r w:rsidRPr="00706BB5">
        <w:rPr>
          <w:i/>
          <w:iCs/>
          <w:sz w:val="24"/>
          <w:szCs w:val="24"/>
        </w:rPr>
        <w:t xml:space="preserve">. if your usual area of work is with children please write about adult safeguarding. If you usually work with adults, then write about child safeguarding.  Ensure you meet the learning out comes for this task (see appendix </w:t>
      </w:r>
      <w:r>
        <w:rPr>
          <w:i/>
          <w:iCs/>
          <w:sz w:val="24"/>
          <w:szCs w:val="24"/>
        </w:rPr>
        <w:t>5</w:t>
      </w:r>
      <w:r w:rsidRPr="00706BB5">
        <w:rPr>
          <w:i/>
          <w:iCs/>
          <w:sz w:val="24"/>
          <w:szCs w:val="24"/>
        </w:rPr>
        <w:t xml:space="preserve"> </w:t>
      </w:r>
      <w:r w:rsidRPr="00F15354">
        <w:rPr>
          <w:i/>
          <w:iCs/>
          <w:sz w:val="24"/>
          <w:szCs w:val="24"/>
        </w:rPr>
        <w:t>of the</w:t>
      </w:r>
      <w:r w:rsidRPr="4EC15626">
        <w:rPr>
          <w:i/>
          <w:iCs/>
          <w:sz w:val="24"/>
          <w:szCs w:val="24"/>
        </w:rPr>
        <w:t xml:space="preserve"> h</w:t>
      </w:r>
      <w:r w:rsidRPr="00F15354">
        <w:rPr>
          <w:i/>
          <w:iCs/>
          <w:sz w:val="24"/>
          <w:szCs w:val="24"/>
        </w:rPr>
        <w:t>andbook</w:t>
      </w:r>
      <w:r w:rsidRPr="006179BB">
        <w:rPr>
          <w:i/>
          <w:iCs/>
          <w:sz w:val="24"/>
          <w:szCs w:val="24"/>
        </w:rPr>
        <w:t>).</w:t>
      </w:r>
    </w:p>
    <w:p w14:paraId="6B6A8379" w14:textId="77777777" w:rsidR="006273D8" w:rsidRPr="008B28E7" w:rsidRDefault="006273D8" w:rsidP="006273D8">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273D8" w:rsidRPr="008B28E7" w14:paraId="0A200B86" w14:textId="77777777" w:rsidTr="00DB12D6">
        <w:tc>
          <w:tcPr>
            <w:tcW w:w="10188" w:type="dxa"/>
            <w:shd w:val="clear" w:color="auto" w:fill="auto"/>
          </w:tcPr>
          <w:p w14:paraId="7042981D" w14:textId="77777777" w:rsidR="006273D8" w:rsidRPr="00EB695F" w:rsidRDefault="006273D8" w:rsidP="00DB12D6">
            <w:pPr>
              <w:jc w:val="both"/>
              <w:rPr>
                <w:b/>
                <w:sz w:val="24"/>
                <w:szCs w:val="24"/>
              </w:rPr>
            </w:pPr>
            <w:r w:rsidRPr="00EB695F">
              <w:rPr>
                <w:b/>
                <w:sz w:val="24"/>
                <w:szCs w:val="24"/>
              </w:rPr>
              <w:t>Question</w:t>
            </w:r>
            <w:r>
              <w:rPr>
                <w:b/>
                <w:sz w:val="24"/>
                <w:szCs w:val="24"/>
              </w:rPr>
              <w:t xml:space="preserve"> a:</w:t>
            </w:r>
          </w:p>
          <w:p w14:paraId="45D284C0" w14:textId="77777777" w:rsidR="006273D8" w:rsidRDefault="006273D8" w:rsidP="00DB12D6">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14:paraId="3E18AF07" w14:textId="77777777" w:rsidR="006E23BA" w:rsidRDefault="006E23BA" w:rsidP="00DB12D6">
            <w:pPr>
              <w:jc w:val="both"/>
              <w:rPr>
                <w:sz w:val="24"/>
                <w:szCs w:val="24"/>
              </w:rPr>
            </w:pPr>
          </w:p>
          <w:p w14:paraId="093CC929" w14:textId="2DAFE10B" w:rsidR="006E23BA" w:rsidRDefault="006E23BA" w:rsidP="00DB12D6">
            <w:pPr>
              <w:jc w:val="both"/>
              <w:rPr>
                <w:sz w:val="24"/>
                <w:szCs w:val="24"/>
              </w:rPr>
            </w:pPr>
            <w:r w:rsidRPr="006E23BA">
              <w:rPr>
                <w:sz w:val="24"/>
                <w:szCs w:val="24"/>
              </w:rPr>
              <w:t>The social services and Wellbeing (Wales) act (2014) outlines that safeguarding is everyone’s responsibility.</w:t>
            </w:r>
            <w:r w:rsidR="00530122">
              <w:rPr>
                <w:sz w:val="24"/>
                <w:szCs w:val="24"/>
              </w:rPr>
              <w:t xml:space="preserve"> </w:t>
            </w:r>
            <w:r w:rsidR="00685BF1">
              <w:rPr>
                <w:sz w:val="24"/>
                <w:szCs w:val="24"/>
              </w:rPr>
              <w:t xml:space="preserve">Part 7 of the act outlines a duty to investigate </w:t>
            </w:r>
            <w:r w:rsidR="0075691B">
              <w:rPr>
                <w:sz w:val="24"/>
                <w:szCs w:val="24"/>
              </w:rPr>
              <w:t xml:space="preserve">concerns of abuse and/or neglect and also a duty to act to ensure safety for an adult. </w:t>
            </w:r>
            <w:r w:rsidR="00530122">
              <w:rPr>
                <w:sz w:val="24"/>
                <w:szCs w:val="24"/>
              </w:rPr>
              <w:t xml:space="preserve">The Wales safeguarding procedures </w:t>
            </w:r>
            <w:r w:rsidR="00E70B6D">
              <w:rPr>
                <w:sz w:val="24"/>
                <w:szCs w:val="24"/>
              </w:rPr>
              <w:t xml:space="preserve">(2019) </w:t>
            </w:r>
            <w:r w:rsidR="009925C3">
              <w:rPr>
                <w:sz w:val="24"/>
                <w:szCs w:val="24"/>
              </w:rPr>
              <w:t xml:space="preserve">outlines </w:t>
            </w:r>
            <w:r w:rsidR="009603EC">
              <w:rPr>
                <w:sz w:val="24"/>
                <w:szCs w:val="24"/>
              </w:rPr>
              <w:t>a duty to report an adult at risk of abuse and/or neglect and also a duty to respond to this.</w:t>
            </w:r>
            <w:r w:rsidR="00721D14">
              <w:rPr>
                <w:sz w:val="24"/>
                <w:szCs w:val="24"/>
              </w:rPr>
              <w:t xml:space="preserve"> Any concerns would be reported to adult safeguarding team who would hold</w:t>
            </w:r>
            <w:r w:rsidR="009519F0">
              <w:rPr>
                <w:sz w:val="24"/>
                <w:szCs w:val="24"/>
              </w:rPr>
              <w:t xml:space="preserve"> an initial consultation. The safeguarding officer will assess whether there is a need for further investigation and will suggest a safety plan. </w:t>
            </w:r>
            <w:r w:rsidR="00E779B5">
              <w:rPr>
                <w:sz w:val="24"/>
                <w:szCs w:val="24"/>
              </w:rPr>
              <w:t>If there is cause for concern, a strategy meeting will be held and a multi-agency approach will be explored.</w:t>
            </w:r>
            <w:r w:rsidR="009B7A17">
              <w:rPr>
                <w:sz w:val="24"/>
                <w:szCs w:val="24"/>
              </w:rPr>
              <w:t xml:space="preserve"> The guidance also addresses how this should be responded to and how to plan and provide interventions to safeguard adults.</w:t>
            </w:r>
            <w:r w:rsidR="00E00495">
              <w:rPr>
                <w:sz w:val="24"/>
                <w:szCs w:val="24"/>
              </w:rPr>
              <w:t xml:space="preserve"> Human rights act</w:t>
            </w:r>
            <w:r w:rsidR="00C5316D">
              <w:rPr>
                <w:sz w:val="24"/>
                <w:szCs w:val="24"/>
              </w:rPr>
              <w:t xml:space="preserve"> 1989</w:t>
            </w:r>
            <w:r w:rsidR="00753C5A">
              <w:rPr>
                <w:sz w:val="24"/>
                <w:szCs w:val="24"/>
              </w:rPr>
              <w:t xml:space="preserve"> prohibits torture </w:t>
            </w:r>
            <w:r w:rsidR="00544D3E">
              <w:rPr>
                <w:sz w:val="24"/>
                <w:szCs w:val="24"/>
              </w:rPr>
              <w:t>and inhumane or degrading treatment. This would extend as protection from abuse and therefore be a duty on professionals to protect adults from abuse.</w:t>
            </w:r>
            <w:r w:rsidR="00916C47">
              <w:rPr>
                <w:sz w:val="24"/>
                <w:szCs w:val="24"/>
              </w:rPr>
              <w:t xml:space="preserve"> The </w:t>
            </w:r>
            <w:r w:rsidR="000B1F58" w:rsidRPr="000B1F58">
              <w:rPr>
                <w:sz w:val="24"/>
                <w:szCs w:val="24"/>
              </w:rPr>
              <w:t>Violence Against Women and Girls, Domestic Abuse and Sexual Violence (Wales) Act 2015</w:t>
            </w:r>
            <w:r w:rsidR="000B1F58">
              <w:rPr>
                <w:sz w:val="24"/>
                <w:szCs w:val="24"/>
              </w:rPr>
              <w:t xml:space="preserve"> outlines a legal duty for practitioners to ask about </w:t>
            </w:r>
            <w:r w:rsidR="002A2A76">
              <w:rPr>
                <w:sz w:val="24"/>
                <w:szCs w:val="24"/>
              </w:rPr>
              <w:t>suspicions of domestic violence and act accordingly to protect individuals from further abuse.</w:t>
            </w:r>
          </w:p>
          <w:p w14:paraId="6471604D" w14:textId="77777777" w:rsidR="002276E1" w:rsidRDefault="002276E1" w:rsidP="00DB12D6">
            <w:pPr>
              <w:jc w:val="both"/>
              <w:rPr>
                <w:sz w:val="24"/>
                <w:szCs w:val="24"/>
              </w:rPr>
            </w:pPr>
          </w:p>
          <w:p w14:paraId="03A7F82C" w14:textId="77777777" w:rsidR="000669A3" w:rsidRDefault="002276E1" w:rsidP="00DB12D6">
            <w:pPr>
              <w:jc w:val="both"/>
              <w:rPr>
                <w:sz w:val="24"/>
                <w:szCs w:val="24"/>
              </w:rPr>
            </w:pPr>
            <w:r>
              <w:rPr>
                <w:sz w:val="24"/>
                <w:szCs w:val="24"/>
              </w:rPr>
              <w:t>There are numerous</w:t>
            </w:r>
            <w:r w:rsidR="00B32F50">
              <w:rPr>
                <w:sz w:val="24"/>
                <w:szCs w:val="24"/>
              </w:rPr>
              <w:t xml:space="preserve"> potential</w:t>
            </w:r>
            <w:r>
              <w:rPr>
                <w:sz w:val="24"/>
                <w:szCs w:val="24"/>
              </w:rPr>
              <w:t xml:space="preserve"> indicators </w:t>
            </w:r>
            <w:r w:rsidR="00B32F50">
              <w:rPr>
                <w:sz w:val="24"/>
                <w:szCs w:val="24"/>
              </w:rPr>
              <w:t xml:space="preserve">that an adult may be experiencing harm, neglect or abuse. </w:t>
            </w:r>
            <w:r w:rsidR="008B594C">
              <w:rPr>
                <w:sz w:val="24"/>
                <w:szCs w:val="24"/>
              </w:rPr>
              <w:t>C</w:t>
            </w:r>
            <w:r w:rsidR="005F287D">
              <w:rPr>
                <w:sz w:val="24"/>
                <w:szCs w:val="24"/>
              </w:rPr>
              <w:t>h</w:t>
            </w:r>
            <w:r w:rsidR="008B594C">
              <w:rPr>
                <w:sz w:val="24"/>
                <w:szCs w:val="24"/>
              </w:rPr>
              <w:t xml:space="preserve">isnell &amp; Kelly (2016) </w:t>
            </w:r>
            <w:r w:rsidR="005F287D">
              <w:rPr>
                <w:sz w:val="24"/>
                <w:szCs w:val="24"/>
              </w:rPr>
              <w:t>provide many examples of these. T</w:t>
            </w:r>
            <w:r w:rsidR="00B32F50">
              <w:rPr>
                <w:sz w:val="24"/>
                <w:szCs w:val="24"/>
              </w:rPr>
              <w:t>hese include unexplained bruising or injury, bed sores, weight loss,</w:t>
            </w:r>
            <w:r w:rsidR="002852A7">
              <w:rPr>
                <w:sz w:val="24"/>
                <w:szCs w:val="24"/>
              </w:rPr>
              <w:t xml:space="preserve"> sudden on-set of soiling, </w:t>
            </w:r>
            <w:r w:rsidR="00675B96">
              <w:rPr>
                <w:sz w:val="24"/>
                <w:szCs w:val="24"/>
              </w:rPr>
              <w:t xml:space="preserve">becoming isolated, displays of physical violence, </w:t>
            </w:r>
            <w:r w:rsidR="00806376">
              <w:rPr>
                <w:sz w:val="24"/>
                <w:szCs w:val="24"/>
              </w:rPr>
              <w:t>u</w:t>
            </w:r>
            <w:r w:rsidR="00806376" w:rsidRPr="00806376">
              <w:rPr>
                <w:sz w:val="24"/>
                <w:szCs w:val="24"/>
              </w:rPr>
              <w:t>nexplained or sudden inability to pay</w:t>
            </w:r>
            <w:r w:rsidR="00806376">
              <w:rPr>
                <w:sz w:val="24"/>
                <w:szCs w:val="24"/>
              </w:rPr>
              <w:t xml:space="preserve"> bills or services, personal items going missing and many more</w:t>
            </w:r>
            <w:r w:rsidR="005F287D">
              <w:rPr>
                <w:sz w:val="24"/>
                <w:szCs w:val="24"/>
              </w:rPr>
              <w:t xml:space="preserve">. </w:t>
            </w:r>
            <w:r w:rsidR="00836BB4">
              <w:rPr>
                <w:sz w:val="24"/>
                <w:szCs w:val="24"/>
              </w:rPr>
              <w:t xml:space="preserve">These indicators may </w:t>
            </w:r>
            <w:r w:rsidR="00EC3C4B">
              <w:rPr>
                <w:sz w:val="24"/>
                <w:szCs w:val="24"/>
              </w:rPr>
              <w:t>suggest that an adult is experiencing physical, emotional, sexual, financial</w:t>
            </w:r>
            <w:r w:rsidR="008F3DC4">
              <w:rPr>
                <w:sz w:val="24"/>
                <w:szCs w:val="24"/>
              </w:rPr>
              <w:t xml:space="preserve">, </w:t>
            </w:r>
            <w:r w:rsidR="00EC3C4B">
              <w:rPr>
                <w:sz w:val="24"/>
                <w:szCs w:val="24"/>
              </w:rPr>
              <w:t xml:space="preserve">domestic abuse or even neglect. </w:t>
            </w:r>
          </w:p>
          <w:p w14:paraId="3736B7CC" w14:textId="77777777" w:rsidR="000669A3" w:rsidRDefault="000669A3" w:rsidP="00DB12D6">
            <w:pPr>
              <w:jc w:val="both"/>
              <w:rPr>
                <w:sz w:val="24"/>
                <w:szCs w:val="24"/>
              </w:rPr>
            </w:pPr>
          </w:p>
          <w:p w14:paraId="439868FC" w14:textId="1E4B5F92" w:rsidR="002276E1" w:rsidRDefault="00EF4952" w:rsidP="00DB12D6">
            <w:pPr>
              <w:jc w:val="both"/>
              <w:rPr>
                <w:sz w:val="24"/>
                <w:szCs w:val="24"/>
              </w:rPr>
            </w:pPr>
            <w:r>
              <w:rPr>
                <w:sz w:val="24"/>
                <w:szCs w:val="24"/>
              </w:rPr>
              <w:t xml:space="preserve">The challenge when working with adults is </w:t>
            </w:r>
            <w:r w:rsidR="00BA592C">
              <w:rPr>
                <w:sz w:val="24"/>
                <w:szCs w:val="24"/>
              </w:rPr>
              <w:t>that many of these indicators may be attributed with disabilities</w:t>
            </w:r>
            <w:r w:rsidR="008F3DC4">
              <w:rPr>
                <w:sz w:val="24"/>
                <w:szCs w:val="24"/>
              </w:rPr>
              <w:t xml:space="preserve">, old age or poor financial management. </w:t>
            </w:r>
            <w:r w:rsidR="008F75F1">
              <w:rPr>
                <w:sz w:val="24"/>
                <w:szCs w:val="24"/>
              </w:rPr>
              <w:t xml:space="preserve">For example, if an adult presented with unexplained bruising, whilst this could indicate physical abuse; it could also be attributed to a disability </w:t>
            </w:r>
            <w:r w:rsidR="00B83951">
              <w:rPr>
                <w:sz w:val="24"/>
                <w:szCs w:val="24"/>
              </w:rPr>
              <w:t>or a person may be older and have issues with memory. Therefore, indicators of abuse must be considered in context alongside other professionals. This strengthens decision making as it becomes more evidence-based.</w:t>
            </w:r>
          </w:p>
          <w:p w14:paraId="2FEF1313" w14:textId="77777777" w:rsidR="007F3DEE" w:rsidRDefault="007F3DEE" w:rsidP="00DB12D6">
            <w:pPr>
              <w:jc w:val="both"/>
              <w:rPr>
                <w:sz w:val="24"/>
                <w:szCs w:val="24"/>
              </w:rPr>
            </w:pPr>
          </w:p>
          <w:p w14:paraId="12FACE3D" w14:textId="5324B9B6" w:rsidR="007F3DEE" w:rsidRDefault="007F3DEE" w:rsidP="00DB12D6">
            <w:pPr>
              <w:jc w:val="both"/>
              <w:rPr>
                <w:sz w:val="24"/>
                <w:szCs w:val="24"/>
              </w:rPr>
            </w:pPr>
            <w:r>
              <w:rPr>
                <w:sz w:val="24"/>
                <w:szCs w:val="24"/>
              </w:rPr>
              <w:lastRenderedPageBreak/>
              <w:t>One challenge when attempting to safeguard adults</w:t>
            </w:r>
            <w:r w:rsidR="00A6224E">
              <w:rPr>
                <w:sz w:val="24"/>
                <w:szCs w:val="24"/>
              </w:rPr>
              <w:t xml:space="preserve"> is that if they have capacity to make decisions, they may chose to remain in an environment in which they are at risk of abuse and/or neglect</w:t>
            </w:r>
            <w:r w:rsidR="005373B1">
              <w:rPr>
                <w:sz w:val="24"/>
                <w:szCs w:val="24"/>
              </w:rPr>
              <w:t xml:space="preserve">. This is outlined in the mental capacity Act </w:t>
            </w:r>
            <w:r w:rsidR="00811053">
              <w:rPr>
                <w:sz w:val="24"/>
                <w:szCs w:val="24"/>
              </w:rPr>
              <w:t xml:space="preserve">2005 which </w:t>
            </w:r>
            <w:r w:rsidR="00B65FBB">
              <w:rPr>
                <w:sz w:val="24"/>
                <w:szCs w:val="24"/>
              </w:rPr>
              <w:t>outlines an individuals right to make an unwise decision.</w:t>
            </w:r>
          </w:p>
          <w:p w14:paraId="680FA460" w14:textId="77777777" w:rsidR="008353F1" w:rsidRDefault="008353F1" w:rsidP="00DB12D6">
            <w:pPr>
              <w:jc w:val="both"/>
              <w:rPr>
                <w:sz w:val="24"/>
                <w:szCs w:val="24"/>
              </w:rPr>
            </w:pPr>
          </w:p>
          <w:p w14:paraId="1DF44FC3" w14:textId="5D4F02B0" w:rsidR="008353F1" w:rsidRDefault="008353F1" w:rsidP="00DB12D6">
            <w:pPr>
              <w:jc w:val="both"/>
              <w:rPr>
                <w:sz w:val="24"/>
                <w:szCs w:val="24"/>
              </w:rPr>
            </w:pPr>
            <w:r>
              <w:rPr>
                <w:sz w:val="24"/>
                <w:szCs w:val="24"/>
              </w:rPr>
              <w:t xml:space="preserve">If an individual feels that they are part of the process to safeguard them, they are able to share their preferred outcomes for this safeguarding. Therefore, the </w:t>
            </w:r>
            <w:r w:rsidR="00A02446">
              <w:rPr>
                <w:sz w:val="24"/>
                <w:szCs w:val="24"/>
              </w:rPr>
              <w:t>interventions are more likely to success as the person has ownership over their intervention plan and can be accountable to it.</w:t>
            </w:r>
            <w:r w:rsidR="00A76F25">
              <w:rPr>
                <w:sz w:val="24"/>
                <w:szCs w:val="24"/>
              </w:rPr>
              <w:t xml:space="preserve"> Hohman. M (2012) suggests that this approach leads to more successful interventions</w:t>
            </w:r>
            <w:r w:rsidR="00AA24C5">
              <w:rPr>
                <w:sz w:val="24"/>
                <w:szCs w:val="24"/>
              </w:rPr>
              <w:t>.</w:t>
            </w:r>
          </w:p>
          <w:p w14:paraId="383B891A" w14:textId="77777777" w:rsidR="006273D8" w:rsidRDefault="006273D8" w:rsidP="00DB12D6">
            <w:pPr>
              <w:jc w:val="both"/>
              <w:rPr>
                <w:sz w:val="24"/>
                <w:szCs w:val="24"/>
              </w:rPr>
            </w:pPr>
          </w:p>
          <w:p w14:paraId="5F00A2C5" w14:textId="771E9FE5" w:rsidR="00123A70" w:rsidRDefault="00123A70" w:rsidP="00DB12D6">
            <w:pPr>
              <w:jc w:val="both"/>
              <w:rPr>
                <w:sz w:val="24"/>
                <w:szCs w:val="24"/>
              </w:rPr>
            </w:pPr>
            <w:r>
              <w:rPr>
                <w:sz w:val="24"/>
                <w:szCs w:val="24"/>
              </w:rPr>
              <w:t>475 words</w:t>
            </w:r>
          </w:p>
          <w:p w14:paraId="665E3929" w14:textId="77777777" w:rsidR="006273D8" w:rsidRDefault="006273D8" w:rsidP="00DB12D6">
            <w:pPr>
              <w:jc w:val="both"/>
              <w:rPr>
                <w:sz w:val="24"/>
                <w:szCs w:val="24"/>
              </w:rPr>
            </w:pPr>
          </w:p>
          <w:p w14:paraId="29A5C6D4" w14:textId="6CEB0A39" w:rsidR="002A2A76" w:rsidRDefault="002A2A76" w:rsidP="00DB12D6">
            <w:pPr>
              <w:jc w:val="both"/>
              <w:rPr>
                <w:sz w:val="24"/>
                <w:szCs w:val="24"/>
              </w:rPr>
            </w:pPr>
            <w:r>
              <w:rPr>
                <w:sz w:val="24"/>
                <w:szCs w:val="24"/>
              </w:rPr>
              <w:t xml:space="preserve">Great Britain (2015), </w:t>
            </w:r>
            <w:r w:rsidRPr="002A2A76">
              <w:rPr>
                <w:i/>
                <w:iCs/>
                <w:sz w:val="24"/>
                <w:szCs w:val="24"/>
              </w:rPr>
              <w:t>Violence Against Women and Girls, Domestic Abuse and Sexual Violence (Wales) Act:</w:t>
            </w:r>
            <w:r>
              <w:rPr>
                <w:i/>
                <w:iCs/>
                <w:sz w:val="24"/>
                <w:szCs w:val="24"/>
              </w:rPr>
              <w:t xml:space="preserve"> Elizabeth II,</w:t>
            </w:r>
            <w:r>
              <w:rPr>
                <w:sz w:val="24"/>
                <w:szCs w:val="24"/>
              </w:rPr>
              <w:t xml:space="preserve"> London</w:t>
            </w:r>
            <w:r w:rsidR="00EC42ED">
              <w:rPr>
                <w:sz w:val="24"/>
                <w:szCs w:val="24"/>
              </w:rPr>
              <w:t>, HMRC</w:t>
            </w:r>
          </w:p>
          <w:p w14:paraId="2FF9960B" w14:textId="64006ADF" w:rsidR="00EC42ED" w:rsidRDefault="00811691" w:rsidP="00DB12D6">
            <w:pPr>
              <w:jc w:val="both"/>
              <w:rPr>
                <w:sz w:val="24"/>
                <w:szCs w:val="24"/>
              </w:rPr>
            </w:pPr>
            <w:r w:rsidRPr="00811691">
              <w:rPr>
                <w:sz w:val="24"/>
                <w:szCs w:val="24"/>
              </w:rPr>
              <w:t xml:space="preserve">Great Britain (2014), </w:t>
            </w:r>
            <w:r w:rsidRPr="00BB2088">
              <w:rPr>
                <w:i/>
                <w:iCs/>
                <w:sz w:val="24"/>
                <w:szCs w:val="24"/>
              </w:rPr>
              <w:t>Social services &amp; Wellbeing Act:</w:t>
            </w:r>
            <w:r w:rsidR="00BB2088" w:rsidRPr="00BB2088">
              <w:rPr>
                <w:i/>
                <w:iCs/>
                <w:sz w:val="24"/>
                <w:szCs w:val="24"/>
              </w:rPr>
              <w:t xml:space="preserve"> </w:t>
            </w:r>
            <w:r w:rsidRPr="00BB2088">
              <w:rPr>
                <w:i/>
                <w:iCs/>
                <w:sz w:val="24"/>
                <w:szCs w:val="24"/>
              </w:rPr>
              <w:t>Elizabeth</w:t>
            </w:r>
            <w:r w:rsidR="00BB2088" w:rsidRPr="00BB2088">
              <w:rPr>
                <w:i/>
                <w:iCs/>
                <w:sz w:val="24"/>
                <w:szCs w:val="24"/>
              </w:rPr>
              <w:t xml:space="preserve"> II</w:t>
            </w:r>
            <w:r w:rsidRPr="00BB2088">
              <w:rPr>
                <w:i/>
                <w:iCs/>
                <w:sz w:val="24"/>
                <w:szCs w:val="24"/>
              </w:rPr>
              <w:t xml:space="preserve">, </w:t>
            </w:r>
            <w:r w:rsidRPr="00811691">
              <w:rPr>
                <w:sz w:val="24"/>
                <w:szCs w:val="24"/>
              </w:rPr>
              <w:t>London, HMRC</w:t>
            </w:r>
          </w:p>
          <w:p w14:paraId="73B12E98" w14:textId="62B9E063" w:rsidR="00811691" w:rsidRDefault="00811691" w:rsidP="00DB12D6">
            <w:pPr>
              <w:jc w:val="both"/>
              <w:rPr>
                <w:sz w:val="24"/>
                <w:szCs w:val="24"/>
              </w:rPr>
            </w:pPr>
            <w:r>
              <w:rPr>
                <w:sz w:val="24"/>
                <w:szCs w:val="24"/>
              </w:rPr>
              <w:t>Great Britain (1989),</w:t>
            </w:r>
            <w:r w:rsidR="00BB2088">
              <w:rPr>
                <w:sz w:val="24"/>
                <w:szCs w:val="24"/>
              </w:rPr>
              <w:t xml:space="preserve"> </w:t>
            </w:r>
            <w:r w:rsidR="00BB2088">
              <w:rPr>
                <w:i/>
                <w:iCs/>
                <w:sz w:val="24"/>
                <w:szCs w:val="24"/>
              </w:rPr>
              <w:t xml:space="preserve">Human Rights Act: Elizabeth II, </w:t>
            </w:r>
            <w:r w:rsidR="00BB2088">
              <w:rPr>
                <w:sz w:val="24"/>
                <w:szCs w:val="24"/>
              </w:rPr>
              <w:t>London, HMRC</w:t>
            </w:r>
          </w:p>
          <w:p w14:paraId="73730ABB" w14:textId="3D90D8A7" w:rsidR="00BB2088" w:rsidRDefault="00D048A0" w:rsidP="00DB12D6">
            <w:pPr>
              <w:jc w:val="both"/>
              <w:rPr>
                <w:sz w:val="24"/>
                <w:szCs w:val="24"/>
              </w:rPr>
            </w:pPr>
            <w:r>
              <w:rPr>
                <w:sz w:val="24"/>
                <w:szCs w:val="24"/>
              </w:rPr>
              <w:t>Welsh Government</w:t>
            </w:r>
            <w:r w:rsidR="000669A3">
              <w:rPr>
                <w:sz w:val="24"/>
                <w:szCs w:val="24"/>
              </w:rPr>
              <w:t xml:space="preserve"> (2019), </w:t>
            </w:r>
            <w:r w:rsidR="000669A3">
              <w:rPr>
                <w:i/>
                <w:iCs/>
                <w:sz w:val="24"/>
                <w:szCs w:val="24"/>
              </w:rPr>
              <w:t xml:space="preserve">Wales Safeguarding procedures, </w:t>
            </w:r>
            <w:r w:rsidR="000669A3">
              <w:rPr>
                <w:sz w:val="24"/>
                <w:szCs w:val="24"/>
              </w:rPr>
              <w:t>Cardiff, Welsh Government</w:t>
            </w:r>
          </w:p>
          <w:p w14:paraId="2503DE4E" w14:textId="05FE1E5A" w:rsidR="008353F1" w:rsidRPr="000669A3" w:rsidRDefault="008353F1" w:rsidP="00DB12D6">
            <w:pPr>
              <w:jc w:val="both"/>
              <w:rPr>
                <w:sz w:val="24"/>
                <w:szCs w:val="24"/>
              </w:rPr>
            </w:pPr>
            <w:r>
              <w:rPr>
                <w:sz w:val="24"/>
                <w:szCs w:val="24"/>
              </w:rPr>
              <w:t xml:space="preserve">Great Britain (2005), </w:t>
            </w:r>
            <w:r>
              <w:rPr>
                <w:i/>
                <w:iCs/>
                <w:sz w:val="24"/>
                <w:szCs w:val="24"/>
              </w:rPr>
              <w:t>Mental capacity Act</w:t>
            </w:r>
            <w:r w:rsidRPr="002A2A76">
              <w:rPr>
                <w:i/>
                <w:iCs/>
                <w:sz w:val="24"/>
                <w:szCs w:val="24"/>
              </w:rPr>
              <w:t>:</w:t>
            </w:r>
            <w:r>
              <w:rPr>
                <w:i/>
                <w:iCs/>
                <w:sz w:val="24"/>
                <w:szCs w:val="24"/>
              </w:rPr>
              <w:t xml:space="preserve"> Elizabeth II,</w:t>
            </w:r>
            <w:r>
              <w:rPr>
                <w:sz w:val="24"/>
                <w:szCs w:val="24"/>
              </w:rPr>
              <w:t xml:space="preserve"> London, HMRC</w:t>
            </w:r>
          </w:p>
          <w:p w14:paraId="47C3C651" w14:textId="5DC35521" w:rsidR="006273D8" w:rsidRDefault="00FB4C76" w:rsidP="00DB12D6">
            <w:pPr>
              <w:jc w:val="both"/>
              <w:rPr>
                <w:sz w:val="24"/>
                <w:szCs w:val="24"/>
              </w:rPr>
            </w:pPr>
            <w:r>
              <w:rPr>
                <w:sz w:val="24"/>
                <w:szCs w:val="24"/>
              </w:rPr>
              <w:t xml:space="preserve">Chisnell. </w:t>
            </w:r>
            <w:r w:rsidR="00A12B84">
              <w:rPr>
                <w:sz w:val="24"/>
                <w:szCs w:val="24"/>
              </w:rPr>
              <w:t xml:space="preserve">C &amp; Kelly. C (2016), </w:t>
            </w:r>
            <w:r w:rsidR="00A12B84">
              <w:rPr>
                <w:i/>
                <w:iCs/>
                <w:sz w:val="24"/>
                <w:szCs w:val="24"/>
              </w:rPr>
              <w:t>Safeguarding in social work</w:t>
            </w:r>
            <w:r w:rsidR="00E33549">
              <w:rPr>
                <w:i/>
                <w:iCs/>
                <w:sz w:val="24"/>
                <w:szCs w:val="24"/>
              </w:rPr>
              <w:t xml:space="preserve">: A lifespan approach, </w:t>
            </w:r>
            <w:r w:rsidR="00E33549">
              <w:rPr>
                <w:sz w:val="24"/>
                <w:szCs w:val="24"/>
              </w:rPr>
              <w:t>Sage, London</w:t>
            </w:r>
          </w:p>
          <w:p w14:paraId="633D0A1D" w14:textId="771302D2" w:rsidR="00AA24C5" w:rsidRPr="00162767" w:rsidRDefault="00AA24C5" w:rsidP="00DB12D6">
            <w:pPr>
              <w:jc w:val="both"/>
              <w:rPr>
                <w:sz w:val="24"/>
                <w:szCs w:val="24"/>
              </w:rPr>
            </w:pPr>
            <w:r>
              <w:rPr>
                <w:sz w:val="24"/>
                <w:szCs w:val="24"/>
              </w:rPr>
              <w:t xml:space="preserve">Hohman. M (2012), </w:t>
            </w:r>
            <w:r>
              <w:rPr>
                <w:i/>
                <w:iCs/>
                <w:sz w:val="24"/>
                <w:szCs w:val="24"/>
              </w:rPr>
              <w:t xml:space="preserve">Motivational interviewing in social work practice, </w:t>
            </w:r>
            <w:r w:rsidR="00162767">
              <w:rPr>
                <w:sz w:val="24"/>
                <w:szCs w:val="24"/>
              </w:rPr>
              <w:t>The Guilford press, London</w:t>
            </w:r>
          </w:p>
          <w:p w14:paraId="3C9BE4E5" w14:textId="77777777" w:rsidR="006273D8" w:rsidRDefault="006273D8" w:rsidP="00DB12D6">
            <w:pPr>
              <w:jc w:val="both"/>
              <w:rPr>
                <w:sz w:val="24"/>
                <w:szCs w:val="24"/>
              </w:rPr>
            </w:pPr>
          </w:p>
          <w:p w14:paraId="0E603ADA" w14:textId="77777777" w:rsidR="006273D8" w:rsidRPr="006108C9" w:rsidRDefault="006273D8" w:rsidP="00DB12D6">
            <w:pPr>
              <w:jc w:val="both"/>
              <w:rPr>
                <w:sz w:val="24"/>
                <w:szCs w:val="24"/>
              </w:rPr>
            </w:pPr>
          </w:p>
          <w:p w14:paraId="1CBE7BEA" w14:textId="77777777" w:rsidR="006273D8" w:rsidRDefault="006273D8" w:rsidP="00DB12D6">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52A474C2" w14:textId="77777777" w:rsidR="006273D8" w:rsidRPr="008B28E7" w:rsidRDefault="006273D8" w:rsidP="00DB12D6">
            <w:pPr>
              <w:jc w:val="both"/>
              <w:rPr>
                <w:b/>
                <w:sz w:val="24"/>
                <w:szCs w:val="24"/>
              </w:rPr>
            </w:pPr>
          </w:p>
        </w:tc>
      </w:tr>
    </w:tbl>
    <w:p w14:paraId="0A66CD61" w14:textId="77777777" w:rsidR="006273D8" w:rsidRPr="008B28E7" w:rsidRDefault="006273D8" w:rsidP="006273D8">
      <w:pPr>
        <w:jc w:val="both"/>
        <w:rPr>
          <w:sz w:val="24"/>
          <w:szCs w:val="24"/>
        </w:rPr>
      </w:pPr>
    </w:p>
    <w:p w14:paraId="24E1B079" w14:textId="77777777" w:rsidR="006273D8" w:rsidRPr="008B28E7" w:rsidRDefault="006273D8" w:rsidP="006273D8">
      <w:pPr>
        <w:jc w:val="both"/>
        <w:rPr>
          <w:sz w:val="24"/>
          <w:szCs w:val="24"/>
        </w:rPr>
      </w:pPr>
    </w:p>
    <w:p w14:paraId="013BC836" w14:textId="77777777" w:rsidR="006273D8" w:rsidRDefault="006273D8" w:rsidP="006273D8">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273D8" w:rsidRPr="008B28E7" w14:paraId="36E04A3B" w14:textId="77777777" w:rsidTr="00DB12D6">
        <w:tc>
          <w:tcPr>
            <w:tcW w:w="10278" w:type="dxa"/>
            <w:shd w:val="clear" w:color="auto" w:fill="auto"/>
          </w:tcPr>
          <w:p w14:paraId="6D7C6035" w14:textId="77777777" w:rsidR="006273D8" w:rsidRPr="00EB695F" w:rsidRDefault="006273D8" w:rsidP="00DB12D6">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5783D1FB" w14:textId="77777777" w:rsidR="006273D8" w:rsidRDefault="006273D8" w:rsidP="00DB12D6">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work</w:t>
            </w:r>
          </w:p>
          <w:p w14:paraId="313AD062" w14:textId="77777777" w:rsidR="003D46F5" w:rsidRDefault="003D46F5" w:rsidP="00DB12D6">
            <w:pPr>
              <w:jc w:val="both"/>
              <w:rPr>
                <w:sz w:val="24"/>
                <w:szCs w:val="24"/>
              </w:rPr>
            </w:pPr>
          </w:p>
          <w:p w14:paraId="72E9F40E" w14:textId="77D13DBF" w:rsidR="006273D8" w:rsidRDefault="006E0715" w:rsidP="00DB12D6">
            <w:pPr>
              <w:jc w:val="both"/>
              <w:rPr>
                <w:sz w:val="24"/>
                <w:szCs w:val="24"/>
              </w:rPr>
            </w:pPr>
            <w:r>
              <w:rPr>
                <w:sz w:val="24"/>
                <w:szCs w:val="24"/>
              </w:rPr>
              <w:t>Many of the legislations and policies for safeguarding are the same</w:t>
            </w:r>
            <w:r w:rsidR="00DB4DFE">
              <w:rPr>
                <w:sz w:val="24"/>
                <w:szCs w:val="24"/>
              </w:rPr>
              <w:t xml:space="preserve"> including the </w:t>
            </w:r>
            <w:r w:rsidR="00CC7218">
              <w:rPr>
                <w:sz w:val="24"/>
                <w:szCs w:val="24"/>
              </w:rPr>
              <w:t>Social services and Wellbeing Act (2014)</w:t>
            </w:r>
            <w:r w:rsidR="006A74A7">
              <w:rPr>
                <w:sz w:val="24"/>
                <w:szCs w:val="24"/>
              </w:rPr>
              <w:t xml:space="preserve"> and the Wales safeguarding procedures</w:t>
            </w:r>
            <w:r w:rsidR="00AD1F6B">
              <w:rPr>
                <w:sz w:val="24"/>
                <w:szCs w:val="24"/>
              </w:rPr>
              <w:t xml:space="preserve"> (2019)</w:t>
            </w:r>
            <w:r>
              <w:rPr>
                <w:sz w:val="24"/>
                <w:szCs w:val="24"/>
              </w:rPr>
              <w:t xml:space="preserve">. However, there would appear to be more </w:t>
            </w:r>
            <w:r w:rsidR="00662C68">
              <w:rPr>
                <w:sz w:val="24"/>
                <w:szCs w:val="24"/>
              </w:rPr>
              <w:t>pieces of legislation and policy protecting children from abuse and/or neglect</w:t>
            </w:r>
            <w:r w:rsidR="006A74A7">
              <w:rPr>
                <w:sz w:val="24"/>
                <w:szCs w:val="24"/>
              </w:rPr>
              <w:t xml:space="preserve"> such as the united nation convention on the rights of the child</w:t>
            </w:r>
            <w:r w:rsidR="00047CDB">
              <w:rPr>
                <w:sz w:val="24"/>
                <w:szCs w:val="24"/>
              </w:rPr>
              <w:t xml:space="preserve"> (UNCRC)</w:t>
            </w:r>
            <w:r w:rsidR="00F05CC0">
              <w:rPr>
                <w:sz w:val="24"/>
                <w:szCs w:val="24"/>
              </w:rPr>
              <w:t xml:space="preserve"> (1989)</w:t>
            </w:r>
            <w:r w:rsidR="00662C68">
              <w:rPr>
                <w:sz w:val="24"/>
                <w:szCs w:val="24"/>
              </w:rPr>
              <w:t xml:space="preserve">. One reason for this may be that an adult has the right to place themselves at risk if they have capacity. </w:t>
            </w:r>
            <w:r w:rsidR="000354D5">
              <w:rPr>
                <w:sz w:val="24"/>
                <w:szCs w:val="24"/>
              </w:rPr>
              <w:t>Adults are afforded the right to self-determination</w:t>
            </w:r>
            <w:r w:rsidR="00FC3EDA">
              <w:rPr>
                <w:sz w:val="24"/>
                <w:szCs w:val="24"/>
              </w:rPr>
              <w:t xml:space="preserve">. </w:t>
            </w:r>
            <w:r w:rsidR="00662C68">
              <w:rPr>
                <w:sz w:val="24"/>
                <w:szCs w:val="24"/>
              </w:rPr>
              <w:t>However, children are not afforded this same right.</w:t>
            </w:r>
            <w:r w:rsidR="00123A70">
              <w:rPr>
                <w:sz w:val="24"/>
                <w:szCs w:val="24"/>
              </w:rPr>
              <w:t xml:space="preserve"> In legislation, children should be protected for abuse and/or neglect at all times </w:t>
            </w:r>
            <w:r w:rsidR="00F25848">
              <w:rPr>
                <w:sz w:val="24"/>
                <w:szCs w:val="24"/>
              </w:rPr>
              <w:t>irrelevant</w:t>
            </w:r>
            <w:r w:rsidR="00123A70">
              <w:rPr>
                <w:sz w:val="24"/>
                <w:szCs w:val="24"/>
              </w:rPr>
              <w:t xml:space="preserve"> of their </w:t>
            </w:r>
            <w:r w:rsidR="00F25848">
              <w:rPr>
                <w:sz w:val="24"/>
                <w:szCs w:val="24"/>
              </w:rPr>
              <w:t>competency and capacity</w:t>
            </w:r>
            <w:r w:rsidR="00CB77E8">
              <w:rPr>
                <w:sz w:val="24"/>
                <w:szCs w:val="24"/>
              </w:rPr>
              <w:t>.</w:t>
            </w:r>
            <w:r w:rsidR="00F05CC0">
              <w:rPr>
                <w:sz w:val="24"/>
                <w:szCs w:val="24"/>
              </w:rPr>
              <w:t xml:space="preserve"> One example</w:t>
            </w:r>
            <w:r w:rsidR="00047CDB">
              <w:rPr>
                <w:sz w:val="24"/>
                <w:szCs w:val="24"/>
              </w:rPr>
              <w:t xml:space="preserve"> would be article 19 in the UNCRC which protects children from abuse. Whilst adults have the human rights Act</w:t>
            </w:r>
            <w:r w:rsidR="00A4780D">
              <w:rPr>
                <w:sz w:val="24"/>
                <w:szCs w:val="24"/>
              </w:rPr>
              <w:t xml:space="preserve"> which prohibits</w:t>
            </w:r>
            <w:r w:rsidR="00093373">
              <w:rPr>
                <w:sz w:val="24"/>
                <w:szCs w:val="24"/>
              </w:rPr>
              <w:t xml:space="preserve"> abuse</w:t>
            </w:r>
            <w:r w:rsidR="00D93802">
              <w:rPr>
                <w:sz w:val="24"/>
                <w:szCs w:val="24"/>
              </w:rPr>
              <w:t xml:space="preserve">, children are also offered this </w:t>
            </w:r>
            <w:r w:rsidR="00632CC7">
              <w:rPr>
                <w:sz w:val="24"/>
                <w:szCs w:val="24"/>
              </w:rPr>
              <w:t>protection</w:t>
            </w:r>
            <w:r w:rsidR="00F25848">
              <w:rPr>
                <w:sz w:val="24"/>
                <w:szCs w:val="24"/>
              </w:rPr>
              <w:t>.</w:t>
            </w:r>
          </w:p>
          <w:p w14:paraId="40B2F5F6" w14:textId="77777777" w:rsidR="00611B11" w:rsidRDefault="00611B11" w:rsidP="00DB12D6">
            <w:pPr>
              <w:jc w:val="both"/>
              <w:rPr>
                <w:sz w:val="24"/>
                <w:szCs w:val="24"/>
              </w:rPr>
            </w:pPr>
          </w:p>
          <w:p w14:paraId="7B984902" w14:textId="624B6E8F" w:rsidR="001B057B" w:rsidRDefault="00611B11" w:rsidP="00DB12D6">
            <w:pPr>
              <w:jc w:val="both"/>
              <w:rPr>
                <w:sz w:val="24"/>
                <w:szCs w:val="24"/>
              </w:rPr>
            </w:pPr>
            <w:r>
              <w:rPr>
                <w:sz w:val="24"/>
                <w:szCs w:val="24"/>
              </w:rPr>
              <w:t>The principles of best practice when safeguarding rely on the consent and investment of individuals</w:t>
            </w:r>
            <w:r w:rsidR="00677E8D">
              <w:rPr>
                <w:sz w:val="24"/>
                <w:szCs w:val="24"/>
              </w:rPr>
              <w:t xml:space="preserve"> who access services</w:t>
            </w:r>
            <w:r>
              <w:rPr>
                <w:sz w:val="24"/>
                <w:szCs w:val="24"/>
              </w:rPr>
              <w:t xml:space="preserve"> into their safety plans and the procedures. However,</w:t>
            </w:r>
            <w:r w:rsidR="00677E8D">
              <w:rPr>
                <w:sz w:val="24"/>
                <w:szCs w:val="24"/>
              </w:rPr>
              <w:t xml:space="preserve"> there are differences</w:t>
            </w:r>
            <w:r w:rsidR="003C3DA0">
              <w:rPr>
                <w:sz w:val="24"/>
                <w:szCs w:val="24"/>
              </w:rPr>
              <w:t xml:space="preserve"> in how this is managed</w:t>
            </w:r>
            <w:r w:rsidR="00677E8D">
              <w:rPr>
                <w:sz w:val="24"/>
                <w:szCs w:val="24"/>
              </w:rPr>
              <w:t xml:space="preserve"> between adult and children</w:t>
            </w:r>
            <w:r w:rsidR="003C3DA0">
              <w:rPr>
                <w:sz w:val="24"/>
                <w:szCs w:val="24"/>
              </w:rPr>
              <w:t xml:space="preserve">. In child protection procedures, </w:t>
            </w:r>
            <w:r w:rsidR="001D5C3D">
              <w:rPr>
                <w:sz w:val="24"/>
                <w:szCs w:val="24"/>
              </w:rPr>
              <w:t>c</w:t>
            </w:r>
            <w:r>
              <w:rPr>
                <w:sz w:val="24"/>
                <w:szCs w:val="24"/>
              </w:rPr>
              <w:t xml:space="preserve">onsent can be overridden in child </w:t>
            </w:r>
            <w:r>
              <w:rPr>
                <w:sz w:val="24"/>
                <w:szCs w:val="24"/>
              </w:rPr>
              <w:lastRenderedPageBreak/>
              <w:t xml:space="preserve">protection </w:t>
            </w:r>
            <w:r w:rsidR="001D5C3D">
              <w:rPr>
                <w:sz w:val="24"/>
                <w:szCs w:val="24"/>
              </w:rPr>
              <w:t xml:space="preserve">procedures if the risk of harm is deemed </w:t>
            </w:r>
            <w:r w:rsidR="00A06FFC">
              <w:rPr>
                <w:sz w:val="24"/>
                <w:szCs w:val="24"/>
              </w:rPr>
              <w:t>high. This can only be overridden with adults if there was a capacity assessment deeming them to not have capacity</w:t>
            </w:r>
            <w:r w:rsidR="000B64E6">
              <w:rPr>
                <w:sz w:val="24"/>
                <w:szCs w:val="24"/>
              </w:rPr>
              <w:t xml:space="preserve">. This would then need to be taken to a court of restriction for consideration </w:t>
            </w:r>
            <w:r w:rsidR="004F330D">
              <w:rPr>
                <w:sz w:val="24"/>
                <w:szCs w:val="24"/>
              </w:rPr>
              <w:t xml:space="preserve">for a deprivation of liberty. </w:t>
            </w:r>
          </w:p>
          <w:p w14:paraId="179694B6" w14:textId="601B304A" w:rsidR="00B70FE8" w:rsidRDefault="00B70FE8" w:rsidP="00DB12D6">
            <w:pPr>
              <w:jc w:val="both"/>
              <w:rPr>
                <w:sz w:val="24"/>
                <w:szCs w:val="24"/>
              </w:rPr>
            </w:pPr>
          </w:p>
          <w:p w14:paraId="2CF4BD8F" w14:textId="71EF2661" w:rsidR="004862F4" w:rsidRDefault="00C37C49" w:rsidP="00C37C49">
            <w:pPr>
              <w:jc w:val="both"/>
              <w:rPr>
                <w:sz w:val="24"/>
                <w:szCs w:val="24"/>
              </w:rPr>
            </w:pPr>
            <w:r>
              <w:rPr>
                <w:sz w:val="24"/>
                <w:szCs w:val="24"/>
              </w:rPr>
              <w:t xml:space="preserve">One key consideration within social work with children is Gillick competence. Brammer. A (2007) defines Gillick competence as the recognition of a child’s capacity to make serious decisions in their lives. This increases as a child gets older and develops further understanding. However, this needs to be considered alongside parental consent. However, if required, during child protection procedures, if consent is not given, both Gillick competence and parental consent can be overridden. </w:t>
            </w:r>
          </w:p>
          <w:p w14:paraId="65421EA9" w14:textId="77777777" w:rsidR="006B2BF3" w:rsidRDefault="006B2BF3" w:rsidP="00C37C49">
            <w:pPr>
              <w:jc w:val="both"/>
              <w:rPr>
                <w:sz w:val="24"/>
                <w:szCs w:val="24"/>
              </w:rPr>
            </w:pPr>
          </w:p>
          <w:p w14:paraId="5721A5EA" w14:textId="433C5BAB" w:rsidR="006B2BF3" w:rsidRDefault="006B2BF3" w:rsidP="00C37C49">
            <w:pPr>
              <w:jc w:val="both"/>
              <w:rPr>
                <w:sz w:val="24"/>
                <w:szCs w:val="24"/>
              </w:rPr>
            </w:pPr>
            <w:r>
              <w:rPr>
                <w:sz w:val="24"/>
                <w:szCs w:val="24"/>
              </w:rPr>
              <w:t>Therefore</w:t>
            </w:r>
            <w:r w:rsidR="009812C7">
              <w:rPr>
                <w:sz w:val="24"/>
                <w:szCs w:val="24"/>
              </w:rPr>
              <w:t>,</w:t>
            </w:r>
            <w:r>
              <w:rPr>
                <w:sz w:val="24"/>
                <w:szCs w:val="24"/>
              </w:rPr>
              <w:t xml:space="preserve"> the main difference between safeguarding adults and safeguarding children appears to be </w:t>
            </w:r>
            <w:r w:rsidR="00DB24BD">
              <w:rPr>
                <w:sz w:val="24"/>
                <w:szCs w:val="24"/>
              </w:rPr>
              <w:t>the right to choose. Every procedural and legislative difference between the two rely on this right. Whilst adults are allowed to make a decision</w:t>
            </w:r>
            <w:r w:rsidR="009812C7">
              <w:rPr>
                <w:sz w:val="24"/>
                <w:szCs w:val="24"/>
              </w:rPr>
              <w:t xml:space="preserve"> to remain in an unsafe situation whilst they have capacity; children are never allowed to remain in an unsafe situation without intervention regardless of capacity.</w:t>
            </w:r>
          </w:p>
          <w:p w14:paraId="6CE7D4B5" w14:textId="77777777" w:rsidR="009812C7" w:rsidRDefault="009812C7" w:rsidP="00C37C49">
            <w:pPr>
              <w:jc w:val="both"/>
              <w:rPr>
                <w:sz w:val="24"/>
                <w:szCs w:val="24"/>
              </w:rPr>
            </w:pPr>
          </w:p>
          <w:p w14:paraId="4338BC21" w14:textId="7BBE3253" w:rsidR="009812C7" w:rsidRDefault="009812C7" w:rsidP="00C37C49">
            <w:pPr>
              <w:jc w:val="both"/>
              <w:rPr>
                <w:sz w:val="24"/>
                <w:szCs w:val="24"/>
              </w:rPr>
            </w:pPr>
            <w:r>
              <w:rPr>
                <w:sz w:val="24"/>
                <w:szCs w:val="24"/>
              </w:rPr>
              <w:t>375 words</w:t>
            </w:r>
          </w:p>
          <w:p w14:paraId="0BE006CD" w14:textId="7318BFCC" w:rsidR="004862F4" w:rsidRDefault="009812C7" w:rsidP="00DB12D6">
            <w:pPr>
              <w:jc w:val="both"/>
              <w:rPr>
                <w:sz w:val="24"/>
                <w:szCs w:val="24"/>
              </w:rPr>
            </w:pPr>
            <w:r>
              <w:rPr>
                <w:sz w:val="24"/>
                <w:szCs w:val="24"/>
              </w:rPr>
              <w:t>References</w:t>
            </w:r>
          </w:p>
          <w:p w14:paraId="1BDE5FF4" w14:textId="4298D0E2" w:rsidR="004862F4" w:rsidRPr="00A97085" w:rsidRDefault="004862F4" w:rsidP="00DB12D6">
            <w:pPr>
              <w:jc w:val="both"/>
              <w:rPr>
                <w:sz w:val="24"/>
                <w:szCs w:val="24"/>
              </w:rPr>
            </w:pPr>
            <w:r>
              <w:rPr>
                <w:sz w:val="24"/>
                <w:szCs w:val="24"/>
              </w:rPr>
              <w:t xml:space="preserve">Brammer. A (2007), </w:t>
            </w:r>
            <w:r w:rsidR="00A97085">
              <w:rPr>
                <w:i/>
                <w:iCs/>
                <w:sz w:val="24"/>
                <w:szCs w:val="24"/>
              </w:rPr>
              <w:t xml:space="preserve">Social work Law, </w:t>
            </w:r>
            <w:r w:rsidR="00A97085">
              <w:rPr>
                <w:sz w:val="24"/>
                <w:szCs w:val="24"/>
              </w:rPr>
              <w:t>2</w:t>
            </w:r>
            <w:r w:rsidR="00A97085" w:rsidRPr="00A97085">
              <w:rPr>
                <w:sz w:val="24"/>
                <w:szCs w:val="24"/>
                <w:vertAlign w:val="superscript"/>
              </w:rPr>
              <w:t>nd</w:t>
            </w:r>
            <w:r w:rsidR="00A97085">
              <w:rPr>
                <w:sz w:val="24"/>
                <w:szCs w:val="24"/>
              </w:rPr>
              <w:t xml:space="preserve"> Ed, Pearson, Essex</w:t>
            </w:r>
          </w:p>
          <w:p w14:paraId="7664C81D" w14:textId="77777777" w:rsidR="003D46F5" w:rsidRDefault="003D46F5" w:rsidP="003D46F5">
            <w:pPr>
              <w:jc w:val="both"/>
              <w:rPr>
                <w:sz w:val="24"/>
                <w:szCs w:val="24"/>
              </w:rPr>
            </w:pPr>
            <w:r w:rsidRPr="00811691">
              <w:rPr>
                <w:sz w:val="24"/>
                <w:szCs w:val="24"/>
              </w:rPr>
              <w:t xml:space="preserve">Great Britain (2014), </w:t>
            </w:r>
            <w:r w:rsidRPr="00BB2088">
              <w:rPr>
                <w:i/>
                <w:iCs/>
                <w:sz w:val="24"/>
                <w:szCs w:val="24"/>
              </w:rPr>
              <w:t xml:space="preserve">Social services &amp; Wellbeing Act: Elizabeth II, </w:t>
            </w:r>
            <w:r w:rsidRPr="00811691">
              <w:rPr>
                <w:sz w:val="24"/>
                <w:szCs w:val="24"/>
              </w:rPr>
              <w:t>London, HMRC</w:t>
            </w:r>
          </w:p>
          <w:p w14:paraId="135E04DD" w14:textId="77777777" w:rsidR="003D46F5" w:rsidRDefault="003D46F5" w:rsidP="003D46F5">
            <w:pPr>
              <w:jc w:val="both"/>
              <w:rPr>
                <w:sz w:val="24"/>
                <w:szCs w:val="24"/>
              </w:rPr>
            </w:pPr>
            <w:r>
              <w:rPr>
                <w:sz w:val="24"/>
                <w:szCs w:val="24"/>
              </w:rPr>
              <w:t xml:space="preserve">Great Britain (1989), </w:t>
            </w:r>
            <w:r>
              <w:rPr>
                <w:i/>
                <w:iCs/>
                <w:sz w:val="24"/>
                <w:szCs w:val="24"/>
              </w:rPr>
              <w:t xml:space="preserve">Human Rights Act: Elizabeth II, </w:t>
            </w:r>
            <w:r>
              <w:rPr>
                <w:sz w:val="24"/>
                <w:szCs w:val="24"/>
              </w:rPr>
              <w:t>London, HMRC</w:t>
            </w:r>
          </w:p>
          <w:p w14:paraId="555AC831" w14:textId="3B93396A" w:rsidR="006273D8" w:rsidRDefault="003D46F5" w:rsidP="00DB12D6">
            <w:pPr>
              <w:jc w:val="both"/>
              <w:rPr>
                <w:sz w:val="24"/>
                <w:szCs w:val="24"/>
              </w:rPr>
            </w:pPr>
            <w:r>
              <w:rPr>
                <w:sz w:val="24"/>
                <w:szCs w:val="24"/>
              </w:rPr>
              <w:t xml:space="preserve">United </w:t>
            </w:r>
            <w:r w:rsidR="0031419E">
              <w:rPr>
                <w:sz w:val="24"/>
                <w:szCs w:val="24"/>
              </w:rPr>
              <w:t>N</w:t>
            </w:r>
            <w:r>
              <w:rPr>
                <w:sz w:val="24"/>
                <w:szCs w:val="24"/>
              </w:rPr>
              <w:t>ations (1989) United Nations Convention on the Rights of the Child</w:t>
            </w:r>
            <w:r w:rsidR="0031419E">
              <w:rPr>
                <w:sz w:val="24"/>
                <w:szCs w:val="24"/>
              </w:rPr>
              <w:t xml:space="preserve">, Berlin, United Nations </w:t>
            </w:r>
          </w:p>
          <w:p w14:paraId="16BEE2EF" w14:textId="77777777" w:rsidR="006273D8" w:rsidRDefault="006273D8" w:rsidP="00DB12D6">
            <w:pPr>
              <w:jc w:val="both"/>
              <w:rPr>
                <w:sz w:val="24"/>
                <w:szCs w:val="24"/>
              </w:rPr>
            </w:pPr>
          </w:p>
          <w:p w14:paraId="3414AA37" w14:textId="77777777" w:rsidR="006273D8" w:rsidRDefault="006273D8" w:rsidP="00DB12D6">
            <w:pPr>
              <w:jc w:val="both"/>
              <w:rPr>
                <w:sz w:val="24"/>
                <w:szCs w:val="24"/>
              </w:rPr>
            </w:pPr>
          </w:p>
          <w:p w14:paraId="17D2CD16" w14:textId="77777777" w:rsidR="006273D8" w:rsidRPr="006108C9" w:rsidRDefault="006273D8" w:rsidP="00DB12D6">
            <w:pPr>
              <w:jc w:val="both"/>
              <w:rPr>
                <w:sz w:val="24"/>
                <w:szCs w:val="24"/>
              </w:rPr>
            </w:pPr>
          </w:p>
          <w:p w14:paraId="0D1274F3" w14:textId="77777777" w:rsidR="006273D8" w:rsidRDefault="006273D8" w:rsidP="00DB12D6">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181D4B59" w14:textId="77777777" w:rsidR="006273D8" w:rsidRPr="006108C9" w:rsidRDefault="006273D8" w:rsidP="00DB12D6">
            <w:pPr>
              <w:jc w:val="both"/>
              <w:rPr>
                <w:sz w:val="24"/>
                <w:szCs w:val="24"/>
              </w:rPr>
            </w:pPr>
          </w:p>
        </w:tc>
      </w:tr>
    </w:tbl>
    <w:p w14:paraId="558C9C6A" w14:textId="77777777" w:rsidR="006273D8" w:rsidRDefault="006273D8" w:rsidP="006273D8">
      <w:pPr>
        <w:jc w:val="both"/>
        <w:rPr>
          <w:sz w:val="24"/>
          <w:szCs w:val="24"/>
        </w:rPr>
      </w:pPr>
    </w:p>
    <w:p w14:paraId="0E596654" w14:textId="77777777" w:rsidR="006273D8" w:rsidRDefault="006273D8" w:rsidP="006273D8">
      <w:pPr>
        <w:jc w:val="both"/>
        <w:rPr>
          <w:sz w:val="24"/>
          <w:szCs w:val="24"/>
        </w:rPr>
      </w:pPr>
    </w:p>
    <w:p w14:paraId="16B75380" w14:textId="77777777" w:rsidR="006273D8" w:rsidRDefault="006273D8" w:rsidP="006273D8">
      <w:pPr>
        <w:rPr>
          <w:sz w:val="24"/>
          <w:szCs w:val="24"/>
        </w:rPr>
      </w:pPr>
    </w:p>
    <w:p w14:paraId="1B3EA543" w14:textId="77777777" w:rsidR="00AE38BC" w:rsidRDefault="00AE38BC"/>
    <w:sectPr w:rsidR="00AE38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3D8"/>
    <w:rsid w:val="000354D5"/>
    <w:rsid w:val="00047CDB"/>
    <w:rsid w:val="000669A3"/>
    <w:rsid w:val="00093373"/>
    <w:rsid w:val="000B1F58"/>
    <w:rsid w:val="000B64E6"/>
    <w:rsid w:val="00123A70"/>
    <w:rsid w:val="00162767"/>
    <w:rsid w:val="001B057B"/>
    <w:rsid w:val="001D5C3D"/>
    <w:rsid w:val="002276E1"/>
    <w:rsid w:val="002846C3"/>
    <w:rsid w:val="002852A7"/>
    <w:rsid w:val="002A2A76"/>
    <w:rsid w:val="0031419E"/>
    <w:rsid w:val="00391F27"/>
    <w:rsid w:val="003C014E"/>
    <w:rsid w:val="003C3DA0"/>
    <w:rsid w:val="003D46F5"/>
    <w:rsid w:val="003E23F7"/>
    <w:rsid w:val="004862F4"/>
    <w:rsid w:val="004F330D"/>
    <w:rsid w:val="00530122"/>
    <w:rsid w:val="005373B1"/>
    <w:rsid w:val="00544D3E"/>
    <w:rsid w:val="005F287D"/>
    <w:rsid w:val="00611B11"/>
    <w:rsid w:val="00622151"/>
    <w:rsid w:val="006273D8"/>
    <w:rsid w:val="00632CC7"/>
    <w:rsid w:val="00662C68"/>
    <w:rsid w:val="00675B96"/>
    <w:rsid w:val="00677E8D"/>
    <w:rsid w:val="00685BF1"/>
    <w:rsid w:val="006A74A7"/>
    <w:rsid w:val="006B2BF3"/>
    <w:rsid w:val="006E0715"/>
    <w:rsid w:val="006E23BA"/>
    <w:rsid w:val="00721D14"/>
    <w:rsid w:val="00753C5A"/>
    <w:rsid w:val="0075691B"/>
    <w:rsid w:val="007A7EAC"/>
    <w:rsid w:val="007F3DEE"/>
    <w:rsid w:val="00806376"/>
    <w:rsid w:val="00811053"/>
    <w:rsid w:val="00811691"/>
    <w:rsid w:val="008353F1"/>
    <w:rsid w:val="00836BB4"/>
    <w:rsid w:val="008B594C"/>
    <w:rsid w:val="008F3DC4"/>
    <w:rsid w:val="008F75F1"/>
    <w:rsid w:val="00916C47"/>
    <w:rsid w:val="009519F0"/>
    <w:rsid w:val="009603EC"/>
    <w:rsid w:val="009812C7"/>
    <w:rsid w:val="009925C3"/>
    <w:rsid w:val="009B7A17"/>
    <w:rsid w:val="00A02446"/>
    <w:rsid w:val="00A06FFC"/>
    <w:rsid w:val="00A12B84"/>
    <w:rsid w:val="00A4780D"/>
    <w:rsid w:val="00A6224E"/>
    <w:rsid w:val="00A76F25"/>
    <w:rsid w:val="00A97085"/>
    <w:rsid w:val="00AA24C5"/>
    <w:rsid w:val="00AD1F6B"/>
    <w:rsid w:val="00AE38BC"/>
    <w:rsid w:val="00B32F50"/>
    <w:rsid w:val="00B50DBF"/>
    <w:rsid w:val="00B65FBB"/>
    <w:rsid w:val="00B70FE8"/>
    <w:rsid w:val="00B74B2B"/>
    <w:rsid w:val="00B83951"/>
    <w:rsid w:val="00B91037"/>
    <w:rsid w:val="00BA592C"/>
    <w:rsid w:val="00BB2088"/>
    <w:rsid w:val="00BF0138"/>
    <w:rsid w:val="00C37C49"/>
    <w:rsid w:val="00C4677C"/>
    <w:rsid w:val="00C5316D"/>
    <w:rsid w:val="00CB77E8"/>
    <w:rsid w:val="00CC7218"/>
    <w:rsid w:val="00CE23E5"/>
    <w:rsid w:val="00D048A0"/>
    <w:rsid w:val="00D457F1"/>
    <w:rsid w:val="00D93802"/>
    <w:rsid w:val="00DB24BD"/>
    <w:rsid w:val="00DB4DFE"/>
    <w:rsid w:val="00E00495"/>
    <w:rsid w:val="00E2153A"/>
    <w:rsid w:val="00E271C9"/>
    <w:rsid w:val="00E33549"/>
    <w:rsid w:val="00E4604F"/>
    <w:rsid w:val="00E70B6D"/>
    <w:rsid w:val="00E779B5"/>
    <w:rsid w:val="00E8693B"/>
    <w:rsid w:val="00EC3C4B"/>
    <w:rsid w:val="00EC42ED"/>
    <w:rsid w:val="00EE1685"/>
    <w:rsid w:val="00EF4952"/>
    <w:rsid w:val="00F05CC0"/>
    <w:rsid w:val="00F25848"/>
    <w:rsid w:val="00F60FDA"/>
    <w:rsid w:val="00FB4C76"/>
    <w:rsid w:val="00FC3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51B69"/>
  <w15:chartTrackingRefBased/>
  <w15:docId w15:val="{45943478-A3F0-400F-B0E5-60BF84070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73D8"/>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3</Pages>
  <Words>1096</Words>
  <Characters>6253</Characters>
  <Application>Microsoft Office Word</Application>
  <DocSecurity>0</DocSecurity>
  <Lines>52</Lines>
  <Paragraphs>14</Paragraphs>
  <ScaleCrop>false</ScaleCrop>
  <Company/>
  <LinksUpToDate>false</LinksUpToDate>
  <CharactersWithSpaces>7335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Humphries</dc:creator>
  <cp:keywords/>
  <dc:description/>
  <cp:lastModifiedBy>Tony Humphries</cp:lastModifiedBy>
  <cp:revision>104</cp:revision>
  <dcterms:created xsi:type="dcterms:W3CDTF">2023-06-27T13:36:00Z</dcterms:created>
  <dcterms:modified xsi:type="dcterms:W3CDTF">2023-06-28T13:41:00Z</dcterms:modified>
</cp:coreProperties>
</file>