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A0345" w14:textId="77777777" w:rsidR="009A550F" w:rsidRDefault="009A550F" w:rsidP="009A550F">
      <w:pPr>
        <w:pStyle w:val="Header"/>
        <w:jc w:val="center"/>
        <w:rPr>
          <w:b/>
          <w:bCs/>
          <w:sz w:val="40"/>
          <w:szCs w:val="36"/>
          <w:lang w:val="en-US"/>
        </w:rPr>
      </w:pPr>
    </w:p>
    <w:p w14:paraId="0E2C15B5" w14:textId="77777777" w:rsidR="009A550F" w:rsidRDefault="009A550F" w:rsidP="009A550F">
      <w:pPr>
        <w:pStyle w:val="Header"/>
        <w:jc w:val="center"/>
        <w:rPr>
          <w:b/>
          <w:bCs/>
          <w:sz w:val="40"/>
          <w:szCs w:val="36"/>
          <w:lang w:val="en-US"/>
        </w:rPr>
      </w:pPr>
    </w:p>
    <w:p w14:paraId="4C49779A" w14:textId="77777777" w:rsidR="009A550F" w:rsidRDefault="009A550F" w:rsidP="009A550F">
      <w:pPr>
        <w:pStyle w:val="Header"/>
        <w:jc w:val="center"/>
        <w:rPr>
          <w:b/>
          <w:bCs/>
          <w:sz w:val="40"/>
          <w:szCs w:val="36"/>
          <w:lang w:val="en-US"/>
        </w:rPr>
      </w:pPr>
    </w:p>
    <w:p w14:paraId="397E2749" w14:textId="77777777" w:rsidR="009A550F" w:rsidRDefault="009A550F" w:rsidP="009A550F">
      <w:pPr>
        <w:pStyle w:val="Header"/>
        <w:jc w:val="center"/>
        <w:rPr>
          <w:b/>
          <w:bCs/>
          <w:sz w:val="40"/>
          <w:szCs w:val="36"/>
          <w:lang w:val="en-US"/>
        </w:rPr>
      </w:pPr>
    </w:p>
    <w:p w14:paraId="37B5FB47" w14:textId="77777777" w:rsidR="009A550F" w:rsidRDefault="009A550F" w:rsidP="009A550F">
      <w:pPr>
        <w:pStyle w:val="Header"/>
        <w:jc w:val="center"/>
        <w:rPr>
          <w:b/>
          <w:bCs/>
          <w:sz w:val="40"/>
          <w:szCs w:val="36"/>
          <w:lang w:val="en-US"/>
        </w:rPr>
      </w:pPr>
    </w:p>
    <w:p w14:paraId="5B75B1E0" w14:textId="77777777" w:rsidR="009A550F" w:rsidRDefault="009A550F" w:rsidP="009A550F">
      <w:pPr>
        <w:pStyle w:val="Header"/>
        <w:jc w:val="center"/>
        <w:rPr>
          <w:b/>
          <w:bCs/>
          <w:sz w:val="40"/>
          <w:szCs w:val="36"/>
          <w:lang w:val="en-US"/>
        </w:rPr>
      </w:pPr>
    </w:p>
    <w:p w14:paraId="4D35CB78" w14:textId="77777777" w:rsidR="009A550F" w:rsidRDefault="009A550F" w:rsidP="009A550F">
      <w:pPr>
        <w:pStyle w:val="Header"/>
        <w:jc w:val="center"/>
        <w:rPr>
          <w:b/>
          <w:bCs/>
          <w:sz w:val="40"/>
          <w:szCs w:val="36"/>
          <w:lang w:val="en-US"/>
        </w:rPr>
      </w:pPr>
    </w:p>
    <w:p w14:paraId="23CBA66B" w14:textId="77777777" w:rsidR="009A550F" w:rsidRDefault="009A550F" w:rsidP="009A550F">
      <w:pPr>
        <w:pStyle w:val="Header"/>
        <w:jc w:val="center"/>
        <w:rPr>
          <w:b/>
          <w:bCs/>
          <w:sz w:val="40"/>
          <w:szCs w:val="36"/>
          <w:lang w:val="en-US"/>
        </w:rPr>
      </w:pPr>
    </w:p>
    <w:p w14:paraId="56BC18F5" w14:textId="77777777" w:rsidR="009A550F" w:rsidRDefault="009A550F" w:rsidP="009A550F">
      <w:pPr>
        <w:pStyle w:val="Header"/>
        <w:jc w:val="center"/>
        <w:rPr>
          <w:b/>
          <w:bCs/>
          <w:sz w:val="40"/>
          <w:szCs w:val="36"/>
          <w:lang w:val="en-US"/>
        </w:rPr>
      </w:pPr>
    </w:p>
    <w:p w14:paraId="091650CA" w14:textId="77777777" w:rsidR="009A550F" w:rsidRDefault="009A550F" w:rsidP="009A550F">
      <w:pPr>
        <w:pStyle w:val="Header"/>
        <w:jc w:val="center"/>
        <w:rPr>
          <w:b/>
          <w:bCs/>
          <w:sz w:val="40"/>
          <w:szCs w:val="36"/>
          <w:lang w:val="en-US"/>
        </w:rPr>
      </w:pPr>
    </w:p>
    <w:p w14:paraId="38260A6F" w14:textId="77777777" w:rsidR="009A550F" w:rsidRDefault="009A550F" w:rsidP="009A550F">
      <w:pPr>
        <w:pStyle w:val="Header"/>
        <w:jc w:val="center"/>
        <w:rPr>
          <w:b/>
          <w:bCs/>
          <w:sz w:val="40"/>
          <w:szCs w:val="36"/>
          <w:lang w:val="en-US"/>
        </w:rPr>
      </w:pPr>
    </w:p>
    <w:p w14:paraId="266B0EE1" w14:textId="77777777" w:rsidR="009A550F" w:rsidRDefault="009A550F" w:rsidP="009A550F">
      <w:pPr>
        <w:pStyle w:val="Header"/>
        <w:jc w:val="center"/>
        <w:rPr>
          <w:b/>
          <w:bCs/>
          <w:sz w:val="40"/>
          <w:szCs w:val="36"/>
          <w:lang w:val="en-US"/>
        </w:rPr>
      </w:pPr>
    </w:p>
    <w:p w14:paraId="74269D4F" w14:textId="77777777" w:rsidR="009A550F" w:rsidRDefault="009A550F" w:rsidP="009A550F">
      <w:pPr>
        <w:pStyle w:val="Header"/>
        <w:jc w:val="center"/>
        <w:rPr>
          <w:b/>
          <w:bCs/>
          <w:sz w:val="40"/>
          <w:szCs w:val="36"/>
          <w:lang w:val="en-US"/>
        </w:rPr>
      </w:pPr>
    </w:p>
    <w:p w14:paraId="086DDC29" w14:textId="77777777" w:rsidR="009A550F" w:rsidRDefault="009A550F" w:rsidP="009A550F">
      <w:pPr>
        <w:pStyle w:val="Header"/>
        <w:jc w:val="center"/>
        <w:rPr>
          <w:b/>
          <w:bCs/>
          <w:sz w:val="40"/>
          <w:szCs w:val="36"/>
          <w:lang w:val="en-US"/>
        </w:rPr>
      </w:pPr>
    </w:p>
    <w:p w14:paraId="79A3B921" w14:textId="77777777" w:rsidR="009A550F" w:rsidRDefault="009A550F" w:rsidP="009A550F">
      <w:pPr>
        <w:pStyle w:val="Header"/>
        <w:jc w:val="center"/>
        <w:rPr>
          <w:b/>
          <w:bCs/>
          <w:sz w:val="40"/>
          <w:szCs w:val="36"/>
          <w:lang w:val="en-US"/>
        </w:rPr>
      </w:pPr>
    </w:p>
    <w:p w14:paraId="19021596" w14:textId="3A53C035" w:rsidR="00DD4A7E" w:rsidRDefault="00170FD8" w:rsidP="009A550F">
      <w:pPr>
        <w:pStyle w:val="Header"/>
        <w:jc w:val="center"/>
        <w:rPr>
          <w:b/>
          <w:bCs/>
          <w:sz w:val="40"/>
          <w:szCs w:val="36"/>
          <w:lang w:val="en-US"/>
        </w:rPr>
      </w:pPr>
      <w:r w:rsidRPr="009A550F">
        <w:rPr>
          <w:b/>
          <w:bCs/>
          <w:sz w:val="40"/>
          <w:szCs w:val="36"/>
          <w:lang w:val="en-US"/>
        </w:rPr>
        <w:t>Financial Management for the Hotel Industry</w:t>
      </w:r>
    </w:p>
    <w:p w14:paraId="3A0185A0" w14:textId="77777777" w:rsidR="00DD4A7E" w:rsidRDefault="00DD4A7E">
      <w:pPr>
        <w:spacing w:line="259" w:lineRule="auto"/>
        <w:jc w:val="left"/>
        <w:rPr>
          <w:b/>
          <w:bCs/>
          <w:sz w:val="40"/>
          <w:szCs w:val="36"/>
          <w:lang w:val="en-US"/>
        </w:rPr>
      </w:pPr>
      <w:r>
        <w:rPr>
          <w:b/>
          <w:bCs/>
          <w:sz w:val="40"/>
          <w:szCs w:val="36"/>
          <w:lang w:val="en-US"/>
        </w:rPr>
        <w:br w:type="page"/>
      </w:r>
    </w:p>
    <w:p w14:paraId="00E4D445" w14:textId="77777777" w:rsidR="00DD4A7E" w:rsidRDefault="00DD4A7E" w:rsidP="00DD4A7E">
      <w:pPr>
        <w:jc w:val="center"/>
        <w:rPr>
          <w:b/>
          <w:bCs/>
          <w:lang w:val="en-US"/>
        </w:rPr>
      </w:pPr>
      <w:r w:rsidRPr="00767470">
        <w:rPr>
          <w:b/>
          <w:bCs/>
          <w:lang w:val="en-US"/>
        </w:rPr>
        <w:lastRenderedPageBreak/>
        <w:t>Executive Summary</w:t>
      </w:r>
    </w:p>
    <w:p w14:paraId="65B01B5A" w14:textId="362EC423" w:rsidR="00DD4A7E" w:rsidRDefault="00DD4A7E" w:rsidP="00DD4A7E">
      <w:pPr>
        <w:rPr>
          <w:lang w:val="en-US"/>
        </w:rPr>
      </w:pPr>
      <w:r>
        <w:rPr>
          <w:lang w:val="en-US"/>
        </w:rPr>
        <w:t xml:space="preserve">The following report has focused on the different calculations of the ratios that has been prepared in order to ascertain the financial performance of the respective company Hilton Hotel considering both the years 2019 and 2020. Moreover, the evaluation of all the ratios has been prepared along with the importance of the ratios. Further, the limitations of the ratio analysis has also been prepared considering the years respectively. </w:t>
      </w:r>
    </w:p>
    <w:p w14:paraId="3B27395F" w14:textId="77777777" w:rsidR="00DD4A7E" w:rsidRDefault="00DD4A7E">
      <w:pPr>
        <w:spacing w:line="259" w:lineRule="auto"/>
        <w:jc w:val="left"/>
        <w:rPr>
          <w:lang w:val="en-US"/>
        </w:rPr>
      </w:pPr>
      <w:r>
        <w:rPr>
          <w:lang w:val="en-US"/>
        </w:rPr>
        <w:br w:type="page"/>
      </w:r>
    </w:p>
    <w:sdt>
      <w:sdtPr>
        <w:id w:val="-1185750238"/>
        <w:docPartObj>
          <w:docPartGallery w:val="Table of Contents"/>
          <w:docPartUnique/>
        </w:docPartObj>
      </w:sdtPr>
      <w:sdtEndPr>
        <w:rPr>
          <w:rFonts w:ascii="Times New Roman" w:eastAsiaTheme="minorHAnsi" w:hAnsi="Times New Roman" w:cstheme="minorBidi"/>
          <w:b/>
          <w:bCs/>
          <w:noProof/>
          <w:color w:val="auto"/>
          <w:sz w:val="24"/>
          <w:szCs w:val="22"/>
          <w:lang w:val="en-IN"/>
        </w:rPr>
      </w:sdtEndPr>
      <w:sdtContent>
        <w:p w14:paraId="45AA4D9E" w14:textId="55B00481" w:rsidR="00DD4A7E" w:rsidRDefault="00DD4A7E">
          <w:pPr>
            <w:pStyle w:val="TOCHeading"/>
          </w:pPr>
          <w:r>
            <w:t>Table of Contents</w:t>
          </w:r>
        </w:p>
        <w:p w14:paraId="01C74C46" w14:textId="2E31473B" w:rsidR="00DD4A7E" w:rsidRDefault="00DD4A7E">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4258910" w:history="1">
            <w:r w:rsidRPr="00982E21">
              <w:rPr>
                <w:rStyle w:val="Hyperlink"/>
                <w:noProof/>
              </w:rPr>
              <w:t>Introduction</w:t>
            </w:r>
            <w:r>
              <w:rPr>
                <w:noProof/>
                <w:webHidden/>
              </w:rPr>
              <w:tab/>
            </w:r>
            <w:r>
              <w:rPr>
                <w:noProof/>
                <w:webHidden/>
              </w:rPr>
              <w:fldChar w:fldCharType="begin"/>
            </w:r>
            <w:r>
              <w:rPr>
                <w:noProof/>
                <w:webHidden/>
              </w:rPr>
              <w:instrText xml:space="preserve"> PAGEREF _Toc104258910 \h </w:instrText>
            </w:r>
            <w:r>
              <w:rPr>
                <w:noProof/>
                <w:webHidden/>
              </w:rPr>
            </w:r>
            <w:r>
              <w:rPr>
                <w:noProof/>
                <w:webHidden/>
              </w:rPr>
              <w:fldChar w:fldCharType="separate"/>
            </w:r>
            <w:r>
              <w:rPr>
                <w:noProof/>
                <w:webHidden/>
              </w:rPr>
              <w:t>4</w:t>
            </w:r>
            <w:r>
              <w:rPr>
                <w:noProof/>
                <w:webHidden/>
              </w:rPr>
              <w:fldChar w:fldCharType="end"/>
            </w:r>
          </w:hyperlink>
        </w:p>
        <w:p w14:paraId="55C5B97F" w14:textId="4602C3BC" w:rsidR="00DD4A7E" w:rsidRDefault="00DD4A7E">
          <w:pPr>
            <w:pStyle w:val="TOC2"/>
            <w:tabs>
              <w:tab w:val="right" w:leader="dot" w:pos="9350"/>
            </w:tabs>
            <w:rPr>
              <w:rFonts w:asciiTheme="minorHAnsi" w:eastAsiaTheme="minorEastAsia" w:hAnsiTheme="minorHAnsi"/>
              <w:noProof/>
              <w:sz w:val="22"/>
              <w:lang w:val="en-US"/>
            </w:rPr>
          </w:pPr>
          <w:hyperlink w:anchor="_Toc104258911" w:history="1">
            <w:r w:rsidRPr="00982E21">
              <w:rPr>
                <w:rStyle w:val="Hyperlink"/>
                <w:noProof/>
              </w:rPr>
              <w:t>Discussion on the ratio</w:t>
            </w:r>
            <w:r>
              <w:rPr>
                <w:noProof/>
                <w:webHidden/>
              </w:rPr>
              <w:tab/>
            </w:r>
            <w:r>
              <w:rPr>
                <w:noProof/>
                <w:webHidden/>
              </w:rPr>
              <w:fldChar w:fldCharType="begin"/>
            </w:r>
            <w:r>
              <w:rPr>
                <w:noProof/>
                <w:webHidden/>
              </w:rPr>
              <w:instrText xml:space="preserve"> PAGEREF _Toc104258911 \h </w:instrText>
            </w:r>
            <w:r>
              <w:rPr>
                <w:noProof/>
                <w:webHidden/>
              </w:rPr>
            </w:r>
            <w:r>
              <w:rPr>
                <w:noProof/>
                <w:webHidden/>
              </w:rPr>
              <w:fldChar w:fldCharType="separate"/>
            </w:r>
            <w:r>
              <w:rPr>
                <w:noProof/>
                <w:webHidden/>
              </w:rPr>
              <w:t>5</w:t>
            </w:r>
            <w:r>
              <w:rPr>
                <w:noProof/>
                <w:webHidden/>
              </w:rPr>
              <w:fldChar w:fldCharType="end"/>
            </w:r>
          </w:hyperlink>
        </w:p>
        <w:p w14:paraId="1D6A3374" w14:textId="036473A1" w:rsidR="00DD4A7E" w:rsidRDefault="00DD4A7E">
          <w:pPr>
            <w:pStyle w:val="TOC2"/>
            <w:tabs>
              <w:tab w:val="right" w:leader="dot" w:pos="9350"/>
            </w:tabs>
            <w:rPr>
              <w:rFonts w:asciiTheme="minorHAnsi" w:eastAsiaTheme="minorEastAsia" w:hAnsiTheme="minorHAnsi"/>
              <w:noProof/>
              <w:sz w:val="22"/>
              <w:lang w:val="en-US"/>
            </w:rPr>
          </w:pPr>
          <w:hyperlink w:anchor="_Toc104258912" w:history="1">
            <w:r w:rsidRPr="00982E21">
              <w:rPr>
                <w:rStyle w:val="Hyperlink"/>
                <w:noProof/>
              </w:rPr>
              <w:t>Computing the financial performance of Hilton Hotels considering the years 2019 and 2020</w:t>
            </w:r>
            <w:r>
              <w:rPr>
                <w:noProof/>
                <w:webHidden/>
              </w:rPr>
              <w:tab/>
            </w:r>
            <w:r>
              <w:rPr>
                <w:noProof/>
                <w:webHidden/>
              </w:rPr>
              <w:fldChar w:fldCharType="begin"/>
            </w:r>
            <w:r>
              <w:rPr>
                <w:noProof/>
                <w:webHidden/>
              </w:rPr>
              <w:instrText xml:space="preserve"> PAGEREF _Toc104258912 \h </w:instrText>
            </w:r>
            <w:r>
              <w:rPr>
                <w:noProof/>
                <w:webHidden/>
              </w:rPr>
            </w:r>
            <w:r>
              <w:rPr>
                <w:noProof/>
                <w:webHidden/>
              </w:rPr>
              <w:fldChar w:fldCharType="separate"/>
            </w:r>
            <w:r>
              <w:rPr>
                <w:noProof/>
                <w:webHidden/>
              </w:rPr>
              <w:t>5</w:t>
            </w:r>
            <w:r>
              <w:rPr>
                <w:noProof/>
                <w:webHidden/>
              </w:rPr>
              <w:fldChar w:fldCharType="end"/>
            </w:r>
          </w:hyperlink>
        </w:p>
        <w:p w14:paraId="0E44AC5B" w14:textId="5271CE38" w:rsidR="00DD4A7E" w:rsidRDefault="00DD4A7E">
          <w:pPr>
            <w:pStyle w:val="TOC2"/>
            <w:tabs>
              <w:tab w:val="right" w:leader="dot" w:pos="9350"/>
            </w:tabs>
            <w:rPr>
              <w:rFonts w:asciiTheme="minorHAnsi" w:eastAsiaTheme="minorEastAsia" w:hAnsiTheme="minorHAnsi"/>
              <w:noProof/>
              <w:sz w:val="22"/>
              <w:lang w:val="en-US"/>
            </w:rPr>
          </w:pPr>
          <w:hyperlink w:anchor="_Toc104258913" w:history="1">
            <w:r w:rsidRPr="00982E21">
              <w:rPr>
                <w:rStyle w:val="Hyperlink"/>
                <w:noProof/>
              </w:rPr>
              <w:t>Outlining the importance of using the ratio analysis in order to make an effective decision making</w:t>
            </w:r>
            <w:r>
              <w:rPr>
                <w:noProof/>
                <w:webHidden/>
              </w:rPr>
              <w:tab/>
            </w:r>
            <w:r>
              <w:rPr>
                <w:noProof/>
                <w:webHidden/>
              </w:rPr>
              <w:fldChar w:fldCharType="begin"/>
            </w:r>
            <w:r>
              <w:rPr>
                <w:noProof/>
                <w:webHidden/>
              </w:rPr>
              <w:instrText xml:space="preserve"> PAGEREF _Toc104258913 \h </w:instrText>
            </w:r>
            <w:r>
              <w:rPr>
                <w:noProof/>
                <w:webHidden/>
              </w:rPr>
            </w:r>
            <w:r>
              <w:rPr>
                <w:noProof/>
                <w:webHidden/>
              </w:rPr>
              <w:fldChar w:fldCharType="separate"/>
            </w:r>
            <w:r>
              <w:rPr>
                <w:noProof/>
                <w:webHidden/>
              </w:rPr>
              <w:t>11</w:t>
            </w:r>
            <w:r>
              <w:rPr>
                <w:noProof/>
                <w:webHidden/>
              </w:rPr>
              <w:fldChar w:fldCharType="end"/>
            </w:r>
          </w:hyperlink>
        </w:p>
        <w:p w14:paraId="7B94CFE9" w14:textId="3322CE32" w:rsidR="00DD4A7E" w:rsidRDefault="00DD4A7E">
          <w:pPr>
            <w:pStyle w:val="TOC2"/>
            <w:tabs>
              <w:tab w:val="right" w:leader="dot" w:pos="9350"/>
            </w:tabs>
            <w:rPr>
              <w:rFonts w:asciiTheme="minorHAnsi" w:eastAsiaTheme="minorEastAsia" w:hAnsiTheme="minorHAnsi"/>
              <w:noProof/>
              <w:sz w:val="22"/>
              <w:lang w:val="en-US"/>
            </w:rPr>
          </w:pPr>
          <w:hyperlink w:anchor="_Toc104258914" w:history="1">
            <w:r w:rsidRPr="00982E21">
              <w:rPr>
                <w:rStyle w:val="Hyperlink"/>
                <w:noProof/>
              </w:rPr>
              <w:t>Discussing the limitations of ratio analysis</w:t>
            </w:r>
            <w:r>
              <w:rPr>
                <w:noProof/>
                <w:webHidden/>
              </w:rPr>
              <w:tab/>
            </w:r>
            <w:r>
              <w:rPr>
                <w:noProof/>
                <w:webHidden/>
              </w:rPr>
              <w:fldChar w:fldCharType="begin"/>
            </w:r>
            <w:r>
              <w:rPr>
                <w:noProof/>
                <w:webHidden/>
              </w:rPr>
              <w:instrText xml:space="preserve"> PAGEREF _Toc104258914 \h </w:instrText>
            </w:r>
            <w:r>
              <w:rPr>
                <w:noProof/>
                <w:webHidden/>
              </w:rPr>
            </w:r>
            <w:r>
              <w:rPr>
                <w:noProof/>
                <w:webHidden/>
              </w:rPr>
              <w:fldChar w:fldCharType="separate"/>
            </w:r>
            <w:r>
              <w:rPr>
                <w:noProof/>
                <w:webHidden/>
              </w:rPr>
              <w:t>12</w:t>
            </w:r>
            <w:r>
              <w:rPr>
                <w:noProof/>
                <w:webHidden/>
              </w:rPr>
              <w:fldChar w:fldCharType="end"/>
            </w:r>
          </w:hyperlink>
        </w:p>
        <w:p w14:paraId="16F907F8" w14:textId="3BD243CE" w:rsidR="00DD4A7E" w:rsidRDefault="00DD4A7E">
          <w:pPr>
            <w:pStyle w:val="TOC1"/>
            <w:tabs>
              <w:tab w:val="right" w:leader="dot" w:pos="9350"/>
            </w:tabs>
            <w:rPr>
              <w:rFonts w:asciiTheme="minorHAnsi" w:eastAsiaTheme="minorEastAsia" w:hAnsiTheme="minorHAnsi"/>
              <w:noProof/>
              <w:sz w:val="22"/>
              <w:lang w:val="en-US"/>
            </w:rPr>
          </w:pPr>
          <w:hyperlink w:anchor="_Toc104258915" w:history="1">
            <w:r w:rsidRPr="00982E21">
              <w:rPr>
                <w:rStyle w:val="Hyperlink"/>
                <w:noProof/>
              </w:rPr>
              <w:t>Conclusion</w:t>
            </w:r>
            <w:r>
              <w:rPr>
                <w:noProof/>
                <w:webHidden/>
              </w:rPr>
              <w:tab/>
            </w:r>
            <w:r>
              <w:rPr>
                <w:noProof/>
                <w:webHidden/>
              </w:rPr>
              <w:fldChar w:fldCharType="begin"/>
            </w:r>
            <w:r>
              <w:rPr>
                <w:noProof/>
                <w:webHidden/>
              </w:rPr>
              <w:instrText xml:space="preserve"> PAGEREF _Toc104258915 \h </w:instrText>
            </w:r>
            <w:r>
              <w:rPr>
                <w:noProof/>
                <w:webHidden/>
              </w:rPr>
            </w:r>
            <w:r>
              <w:rPr>
                <w:noProof/>
                <w:webHidden/>
              </w:rPr>
              <w:fldChar w:fldCharType="separate"/>
            </w:r>
            <w:r>
              <w:rPr>
                <w:noProof/>
                <w:webHidden/>
              </w:rPr>
              <w:t>13</w:t>
            </w:r>
            <w:r>
              <w:rPr>
                <w:noProof/>
                <w:webHidden/>
              </w:rPr>
              <w:fldChar w:fldCharType="end"/>
            </w:r>
          </w:hyperlink>
        </w:p>
        <w:p w14:paraId="6AB38557" w14:textId="5A4E1727" w:rsidR="00DD4A7E" w:rsidRDefault="00DD4A7E">
          <w:pPr>
            <w:pStyle w:val="TOC1"/>
            <w:tabs>
              <w:tab w:val="right" w:leader="dot" w:pos="9350"/>
            </w:tabs>
            <w:rPr>
              <w:rFonts w:asciiTheme="minorHAnsi" w:eastAsiaTheme="minorEastAsia" w:hAnsiTheme="minorHAnsi"/>
              <w:noProof/>
              <w:sz w:val="22"/>
              <w:lang w:val="en-US"/>
            </w:rPr>
          </w:pPr>
          <w:hyperlink w:anchor="_Toc104258916" w:history="1">
            <w:r w:rsidRPr="00982E21">
              <w:rPr>
                <w:rStyle w:val="Hyperlink"/>
                <w:noProof/>
              </w:rPr>
              <w:t>References</w:t>
            </w:r>
            <w:r>
              <w:rPr>
                <w:noProof/>
                <w:webHidden/>
              </w:rPr>
              <w:tab/>
            </w:r>
            <w:r>
              <w:rPr>
                <w:noProof/>
                <w:webHidden/>
              </w:rPr>
              <w:fldChar w:fldCharType="begin"/>
            </w:r>
            <w:r>
              <w:rPr>
                <w:noProof/>
                <w:webHidden/>
              </w:rPr>
              <w:instrText xml:space="preserve"> PAGEREF _Toc104258916 \h </w:instrText>
            </w:r>
            <w:r>
              <w:rPr>
                <w:noProof/>
                <w:webHidden/>
              </w:rPr>
            </w:r>
            <w:r>
              <w:rPr>
                <w:noProof/>
                <w:webHidden/>
              </w:rPr>
              <w:fldChar w:fldCharType="separate"/>
            </w:r>
            <w:r>
              <w:rPr>
                <w:noProof/>
                <w:webHidden/>
              </w:rPr>
              <w:t>14</w:t>
            </w:r>
            <w:r>
              <w:rPr>
                <w:noProof/>
                <w:webHidden/>
              </w:rPr>
              <w:fldChar w:fldCharType="end"/>
            </w:r>
          </w:hyperlink>
        </w:p>
        <w:p w14:paraId="040F490E" w14:textId="59E61326" w:rsidR="00DD4A7E" w:rsidRDefault="00DD4A7E">
          <w:pPr>
            <w:pStyle w:val="TOC2"/>
            <w:tabs>
              <w:tab w:val="right" w:leader="dot" w:pos="9350"/>
            </w:tabs>
            <w:rPr>
              <w:rFonts w:asciiTheme="minorHAnsi" w:eastAsiaTheme="minorEastAsia" w:hAnsiTheme="minorHAnsi"/>
              <w:noProof/>
              <w:sz w:val="22"/>
              <w:lang w:val="en-US"/>
            </w:rPr>
          </w:pPr>
          <w:hyperlink w:anchor="_Toc104258917" w:history="1">
            <w:r w:rsidRPr="00982E21">
              <w:rPr>
                <w:rStyle w:val="Hyperlink"/>
                <w:noProof/>
              </w:rPr>
              <w:t>Books and Journals</w:t>
            </w:r>
            <w:r>
              <w:rPr>
                <w:noProof/>
                <w:webHidden/>
              </w:rPr>
              <w:tab/>
            </w:r>
            <w:r>
              <w:rPr>
                <w:noProof/>
                <w:webHidden/>
              </w:rPr>
              <w:fldChar w:fldCharType="begin"/>
            </w:r>
            <w:r>
              <w:rPr>
                <w:noProof/>
                <w:webHidden/>
              </w:rPr>
              <w:instrText xml:space="preserve"> PAGEREF _Toc104258917 \h </w:instrText>
            </w:r>
            <w:r>
              <w:rPr>
                <w:noProof/>
                <w:webHidden/>
              </w:rPr>
            </w:r>
            <w:r>
              <w:rPr>
                <w:noProof/>
                <w:webHidden/>
              </w:rPr>
              <w:fldChar w:fldCharType="separate"/>
            </w:r>
            <w:r>
              <w:rPr>
                <w:noProof/>
                <w:webHidden/>
              </w:rPr>
              <w:t>14</w:t>
            </w:r>
            <w:r>
              <w:rPr>
                <w:noProof/>
                <w:webHidden/>
              </w:rPr>
              <w:fldChar w:fldCharType="end"/>
            </w:r>
          </w:hyperlink>
        </w:p>
        <w:p w14:paraId="59724785" w14:textId="3343843A" w:rsidR="00DD4A7E" w:rsidRDefault="00DD4A7E">
          <w:pPr>
            <w:pStyle w:val="TOC2"/>
            <w:tabs>
              <w:tab w:val="right" w:leader="dot" w:pos="9350"/>
            </w:tabs>
            <w:rPr>
              <w:rFonts w:asciiTheme="minorHAnsi" w:eastAsiaTheme="minorEastAsia" w:hAnsiTheme="minorHAnsi"/>
              <w:noProof/>
              <w:sz w:val="22"/>
              <w:lang w:val="en-US"/>
            </w:rPr>
          </w:pPr>
          <w:hyperlink w:anchor="_Toc104258918" w:history="1">
            <w:r w:rsidRPr="00982E21">
              <w:rPr>
                <w:rStyle w:val="Hyperlink"/>
                <w:noProof/>
              </w:rPr>
              <w:t>Website References</w:t>
            </w:r>
            <w:r>
              <w:rPr>
                <w:noProof/>
                <w:webHidden/>
              </w:rPr>
              <w:tab/>
            </w:r>
            <w:r>
              <w:rPr>
                <w:noProof/>
                <w:webHidden/>
              </w:rPr>
              <w:fldChar w:fldCharType="begin"/>
            </w:r>
            <w:r>
              <w:rPr>
                <w:noProof/>
                <w:webHidden/>
              </w:rPr>
              <w:instrText xml:space="preserve"> PAGEREF _Toc104258918 \h </w:instrText>
            </w:r>
            <w:r>
              <w:rPr>
                <w:noProof/>
                <w:webHidden/>
              </w:rPr>
            </w:r>
            <w:r>
              <w:rPr>
                <w:noProof/>
                <w:webHidden/>
              </w:rPr>
              <w:fldChar w:fldCharType="separate"/>
            </w:r>
            <w:r>
              <w:rPr>
                <w:noProof/>
                <w:webHidden/>
              </w:rPr>
              <w:t>14</w:t>
            </w:r>
            <w:r>
              <w:rPr>
                <w:noProof/>
                <w:webHidden/>
              </w:rPr>
              <w:fldChar w:fldCharType="end"/>
            </w:r>
          </w:hyperlink>
        </w:p>
        <w:p w14:paraId="317085EF" w14:textId="102EA451" w:rsidR="00DD4A7E" w:rsidRDefault="00DD4A7E">
          <w:r>
            <w:rPr>
              <w:b/>
              <w:bCs/>
              <w:noProof/>
            </w:rPr>
            <w:fldChar w:fldCharType="end"/>
          </w:r>
        </w:p>
      </w:sdtContent>
    </w:sdt>
    <w:p w14:paraId="7B458C92" w14:textId="77777777" w:rsidR="00DD4A7E" w:rsidRDefault="00DD4A7E" w:rsidP="00DD4A7E">
      <w:pPr>
        <w:rPr>
          <w:lang w:val="en-US"/>
        </w:rPr>
      </w:pPr>
    </w:p>
    <w:p w14:paraId="083D7F92" w14:textId="77777777" w:rsidR="009A550F" w:rsidRDefault="009A550F" w:rsidP="009A550F">
      <w:pPr>
        <w:pStyle w:val="Header"/>
        <w:jc w:val="center"/>
        <w:rPr>
          <w:b/>
          <w:bCs/>
          <w:sz w:val="40"/>
          <w:szCs w:val="36"/>
          <w:lang w:val="en-US"/>
        </w:rPr>
      </w:pPr>
    </w:p>
    <w:p w14:paraId="0002D2DE" w14:textId="77777777" w:rsidR="009A550F" w:rsidRDefault="00170FD8">
      <w:pPr>
        <w:spacing w:line="259" w:lineRule="auto"/>
        <w:jc w:val="left"/>
        <w:rPr>
          <w:b/>
          <w:bCs/>
          <w:sz w:val="40"/>
          <w:szCs w:val="36"/>
          <w:lang w:val="en-US"/>
        </w:rPr>
      </w:pPr>
      <w:r>
        <w:rPr>
          <w:b/>
          <w:bCs/>
          <w:sz w:val="40"/>
          <w:szCs w:val="36"/>
          <w:lang w:val="en-US"/>
        </w:rPr>
        <w:br w:type="page"/>
      </w:r>
    </w:p>
    <w:p w14:paraId="07604B0B" w14:textId="77777777" w:rsidR="009A550F" w:rsidRDefault="00170FD8" w:rsidP="00E864CF">
      <w:pPr>
        <w:pStyle w:val="Heading1"/>
      </w:pPr>
      <w:bookmarkStart w:id="0" w:name="_Toc104258910"/>
      <w:r>
        <w:lastRenderedPageBreak/>
        <w:t>Introduction</w:t>
      </w:r>
      <w:bookmarkEnd w:id="0"/>
    </w:p>
    <w:p w14:paraId="142BA7E9" w14:textId="77777777" w:rsidR="00BB0276" w:rsidRDefault="00170FD8" w:rsidP="00802B2A">
      <w:r>
        <w:t>Financial man</w:t>
      </w:r>
      <w:r w:rsidR="002D6DE0">
        <w:t>agement is defined as the strategic planning, organising, summarising and interpretation of all the needed financial transactions in an efficient manner</w:t>
      </w:r>
      <w:r w:rsidR="00502B47">
        <w:t xml:space="preserve"> </w:t>
      </w:r>
      <w:r w:rsidR="00905995">
        <w:t>so as to ensure a smoother workflow.</w:t>
      </w:r>
      <w:r w:rsidR="0026201A">
        <w:t xml:space="preserve"> Moreover, financial management </w:t>
      </w:r>
      <w:r w:rsidR="006128F0">
        <w:t xml:space="preserve">also assists the business organisation </w:t>
      </w:r>
      <w:r w:rsidR="00080D23">
        <w:t>in order</w:t>
      </w:r>
      <w:r w:rsidR="006128F0">
        <w:t xml:space="preserve"> to take an </w:t>
      </w:r>
      <w:r w:rsidR="00080D23">
        <w:t>effective decision</w:t>
      </w:r>
      <w:r w:rsidR="006128F0">
        <w:t xml:space="preserve"> for grabbing better further opportun</w:t>
      </w:r>
      <w:r w:rsidR="0038217B">
        <w:t>ities.</w:t>
      </w:r>
      <w:r w:rsidR="00DE0A64">
        <w:t xml:space="preserve"> Hence, considering and focusing </w:t>
      </w:r>
      <w:r w:rsidR="008D469B">
        <w:t xml:space="preserve">on the main concept of the importance of finance, the following report will </w:t>
      </w:r>
      <w:r w:rsidR="00E30712">
        <w:t>highlight</w:t>
      </w:r>
      <w:r w:rsidR="008D469B">
        <w:t xml:space="preserve"> the </w:t>
      </w:r>
      <w:r w:rsidR="00E30712">
        <w:t xml:space="preserve">different ratios </w:t>
      </w:r>
      <w:r w:rsidR="009170F3">
        <w:t>that will be prepared for the respective company Hilton Hotels.</w:t>
      </w:r>
      <w:r w:rsidR="00F106C6">
        <w:t xml:space="preserve"> The respective company</w:t>
      </w:r>
      <w:r w:rsidR="008B142C">
        <w:t xml:space="preserve"> is basically a hospitality company that mainly focuses on managing a portfolio of hotels </w:t>
      </w:r>
      <w:r w:rsidR="00546650">
        <w:t>worldwide.</w:t>
      </w:r>
      <w:r w:rsidR="00BD7E59">
        <w:t xml:space="preserve"> Here, all the different types of ratios will be prepared </w:t>
      </w:r>
      <w:r w:rsidR="00857CA3">
        <w:t>in order to ascertain the financial performance of Hilton Hotels for the two years 2019 and 2020</w:t>
      </w:r>
      <w:r w:rsidR="006B2F03">
        <w:t xml:space="preserve">. </w:t>
      </w:r>
      <w:r w:rsidR="0083069E">
        <w:t xml:space="preserve">However, the advantages of the ratios will be discussed for the respective </w:t>
      </w:r>
      <w:r w:rsidR="00D46AA7">
        <w:t>company</w:t>
      </w:r>
      <w:r w:rsidR="00DD7804">
        <w:t>.</w:t>
      </w:r>
      <w:r w:rsidR="0044092E">
        <w:t xml:space="preserve"> Further, the limitations of the ratios will also be elaborated for the respective company Hilton Hotels, to show the essentiality of the financial ratios </w:t>
      </w:r>
      <w:r w:rsidR="00FB370E">
        <w:t>respectively</w:t>
      </w:r>
      <w:r w:rsidR="0044092E">
        <w:t>.</w:t>
      </w:r>
      <w:r w:rsidR="00FB370E">
        <w:t xml:space="preserve"> </w:t>
      </w:r>
    </w:p>
    <w:p w14:paraId="69D55ED2" w14:textId="77777777" w:rsidR="00BB0276" w:rsidRDefault="00170FD8">
      <w:pPr>
        <w:spacing w:line="259" w:lineRule="auto"/>
        <w:jc w:val="left"/>
      </w:pPr>
      <w:r>
        <w:br w:type="page"/>
      </w:r>
    </w:p>
    <w:p w14:paraId="39A38278" w14:textId="77777777" w:rsidR="00802B2A" w:rsidRDefault="00170FD8" w:rsidP="00BB0276">
      <w:pPr>
        <w:pStyle w:val="Heading2"/>
      </w:pPr>
      <w:bookmarkStart w:id="1" w:name="_Toc104258911"/>
      <w:r>
        <w:lastRenderedPageBreak/>
        <w:t>Discussion on t</w:t>
      </w:r>
      <w:r>
        <w:t>he ratio</w:t>
      </w:r>
      <w:bookmarkEnd w:id="1"/>
    </w:p>
    <w:p w14:paraId="50D109D0" w14:textId="77777777" w:rsidR="00BB0276" w:rsidRPr="006C6154" w:rsidRDefault="00170FD8" w:rsidP="00BB0276">
      <w:pPr>
        <w:rPr>
          <w:shd w:val="clear" w:color="auto" w:fill="FFFFFF"/>
        </w:rPr>
      </w:pPr>
      <w:r>
        <w:t xml:space="preserve">The ratio, also termed a financial ratio, may be defined as the process through which </w:t>
      </w:r>
      <w:r w:rsidR="001902EF">
        <w:t xml:space="preserve">a company or business organisations </w:t>
      </w:r>
      <w:r w:rsidR="001E186C">
        <w:t>compute and ascertains the ratios in order to analyse the financial performance</w:t>
      </w:r>
      <w:sdt>
        <w:sdtPr>
          <w:id w:val="-551384579"/>
          <w:citation/>
        </w:sdtPr>
        <w:sdtEndPr/>
        <w:sdtContent>
          <w:r w:rsidR="001E4D66">
            <w:fldChar w:fldCharType="begin"/>
          </w:r>
          <w:r w:rsidR="001E4D66">
            <w:rPr>
              <w:lang w:val="en-US"/>
            </w:rPr>
            <w:instrText xml:space="preserve"> CITATION rat21 \l 1033 </w:instrText>
          </w:r>
          <w:r w:rsidR="001E4D66">
            <w:fldChar w:fldCharType="separate"/>
          </w:r>
          <w:r w:rsidR="001E4D66">
            <w:rPr>
              <w:noProof/>
              <w:lang w:val="en-US"/>
            </w:rPr>
            <w:t xml:space="preserve"> </w:t>
          </w:r>
          <w:r w:rsidR="001E4D66" w:rsidRPr="001E4D66">
            <w:rPr>
              <w:noProof/>
              <w:lang w:val="en-US"/>
            </w:rPr>
            <w:t>(ratiosys, 2021)</w:t>
          </w:r>
          <w:r w:rsidR="001E4D66">
            <w:fldChar w:fldCharType="end"/>
          </w:r>
        </w:sdtContent>
      </w:sdt>
      <w:r w:rsidR="001E186C">
        <w:t>.</w:t>
      </w:r>
      <w:r w:rsidR="008707CA">
        <w:t xml:space="preserve"> Other than that, </w:t>
      </w:r>
      <w:r w:rsidR="00B90C44">
        <w:t xml:space="preserve">the ratio also helps the financial management in order to </w:t>
      </w:r>
      <w:r w:rsidR="00687BC7">
        <w:t>summarise</w:t>
      </w:r>
      <w:r w:rsidR="00C37276">
        <w:t xml:space="preserve"> the interpreted financial transactions </w:t>
      </w:r>
      <w:r w:rsidR="00894DCE">
        <w:t xml:space="preserve">and the results so as to make major financial decisions </w:t>
      </w:r>
      <w:r w:rsidR="00AE626C">
        <w:t>for grabbing better opportunities in future.</w:t>
      </w:r>
      <w:r w:rsidR="004977B2">
        <w:t xml:space="preserve"> Here, the ratio </w:t>
      </w:r>
      <w:r w:rsidR="00541DA8">
        <w:t>analysis</w:t>
      </w:r>
      <w:r w:rsidR="004977B2">
        <w:t xml:space="preserve"> has been computed for the respective company Hilton Hotels, </w:t>
      </w:r>
      <w:r w:rsidR="0022543E">
        <w:t xml:space="preserve">considering the years </w:t>
      </w:r>
      <w:r w:rsidR="001F2CF0">
        <w:t xml:space="preserve">2019 and 2020, </w:t>
      </w:r>
      <w:r w:rsidR="0020660F">
        <w:t>respectively</w:t>
      </w:r>
      <w:r w:rsidR="006C6154">
        <w:t xml:space="preserve"> </w:t>
      </w:r>
      <w:r w:rsidR="006C6154">
        <w:rPr>
          <w:shd w:val="clear" w:color="auto" w:fill="FFFFFF"/>
        </w:rPr>
        <w:t>(Muttakin, et al., 2021)</w:t>
      </w:r>
      <w:r w:rsidR="0020660F">
        <w:t>.</w:t>
      </w:r>
      <w:r w:rsidR="00541DA8">
        <w:t xml:space="preserve"> </w:t>
      </w:r>
    </w:p>
    <w:p w14:paraId="7E7250B1" w14:textId="77777777" w:rsidR="00541DA8" w:rsidRDefault="00170FD8" w:rsidP="00541DA8">
      <w:pPr>
        <w:pStyle w:val="Heading2"/>
      </w:pPr>
      <w:bookmarkStart w:id="2" w:name="_Toc104258912"/>
      <w:r>
        <w:t>Computing the financial performance of Hilton Hotels considering the years 20</w:t>
      </w:r>
      <w:r>
        <w:t>19 and 2020</w:t>
      </w:r>
      <w:bookmarkEnd w:id="2"/>
    </w:p>
    <w:p w14:paraId="3372C1B6" w14:textId="4592F27B" w:rsidR="00E40212" w:rsidRDefault="00170FD8" w:rsidP="00DD4A7E">
      <w:r>
        <w:t>To analyse the financial performance of the respective company Hilton Hotels</w:t>
      </w:r>
      <w:r w:rsidR="00D45157">
        <w:t xml:space="preserve">, the ratios have been computed </w:t>
      </w:r>
      <w:r w:rsidR="00DF2975">
        <w:t xml:space="preserve">with a </w:t>
      </w:r>
      <w:r w:rsidR="00025415">
        <w:t>proper evaluation</w:t>
      </w:r>
      <w:r w:rsidR="00DF2975">
        <w:t xml:space="preserve"> so as to meet the current trend</w:t>
      </w:r>
      <w:r w:rsidR="00516C58">
        <w:t xml:space="preserve"> that has been </w:t>
      </w:r>
      <w:r w:rsidR="00025415">
        <w:t>extracted</w:t>
      </w:r>
      <w:r w:rsidR="00516C58">
        <w:t xml:space="preserve"> from the calculations.</w:t>
      </w:r>
      <w:r w:rsidR="00025415">
        <w:t xml:space="preserve"> </w:t>
      </w:r>
      <w:r w:rsidR="002545CF">
        <w:t xml:space="preserve"> </w:t>
      </w:r>
    </w:p>
    <w:tbl>
      <w:tblPr>
        <w:tblStyle w:val="TableGrid"/>
        <w:tblW w:w="0" w:type="auto"/>
        <w:tblLook w:val="04A0" w:firstRow="1" w:lastRow="0" w:firstColumn="1" w:lastColumn="0" w:noHBand="0" w:noVBand="1"/>
      </w:tblPr>
      <w:tblGrid>
        <w:gridCol w:w="2065"/>
        <w:gridCol w:w="2739"/>
        <w:gridCol w:w="2288"/>
        <w:gridCol w:w="2258"/>
      </w:tblGrid>
      <w:tr w:rsidR="00DA10A9" w14:paraId="09461392" w14:textId="77777777" w:rsidTr="002B29ED">
        <w:tc>
          <w:tcPr>
            <w:tcW w:w="9350" w:type="dxa"/>
            <w:gridSpan w:val="4"/>
          </w:tcPr>
          <w:p w14:paraId="547E3863" w14:textId="77777777" w:rsidR="00F40114" w:rsidRPr="009C6E22" w:rsidRDefault="00170FD8" w:rsidP="00B35F65">
            <w:pPr>
              <w:jc w:val="center"/>
              <w:rPr>
                <w:b/>
                <w:bCs/>
                <w:i/>
                <w:iCs/>
                <w:lang w:val="en-US"/>
              </w:rPr>
            </w:pPr>
            <w:r>
              <w:rPr>
                <w:b/>
                <w:bCs/>
                <w:i/>
                <w:iCs/>
                <w:lang w:val="en-US"/>
              </w:rPr>
              <w:t>P</w:t>
            </w:r>
            <w:r>
              <w:rPr>
                <w:b/>
                <w:bCs/>
                <w:i/>
                <w:iCs/>
                <w:lang w:val="en-US"/>
              </w:rPr>
              <w:t>rofitability Ratios</w:t>
            </w:r>
          </w:p>
        </w:tc>
      </w:tr>
      <w:tr w:rsidR="00DA10A9" w14:paraId="63A77F06" w14:textId="77777777" w:rsidTr="00F40114">
        <w:tc>
          <w:tcPr>
            <w:tcW w:w="2065" w:type="dxa"/>
          </w:tcPr>
          <w:p w14:paraId="60698734" w14:textId="77777777" w:rsidR="00B35F65" w:rsidRPr="009C6E22" w:rsidRDefault="00170FD8" w:rsidP="00B35F65">
            <w:pPr>
              <w:jc w:val="center"/>
              <w:rPr>
                <w:b/>
                <w:bCs/>
                <w:i/>
                <w:iCs/>
                <w:lang w:val="en-US"/>
              </w:rPr>
            </w:pPr>
            <w:r w:rsidRPr="009C6E22">
              <w:rPr>
                <w:b/>
                <w:bCs/>
                <w:i/>
                <w:iCs/>
                <w:lang w:val="en-US"/>
              </w:rPr>
              <w:t>Ratios</w:t>
            </w:r>
          </w:p>
        </w:tc>
        <w:tc>
          <w:tcPr>
            <w:tcW w:w="2739" w:type="dxa"/>
          </w:tcPr>
          <w:p w14:paraId="4B74B473" w14:textId="77777777" w:rsidR="00B35F65" w:rsidRPr="009C6E22" w:rsidRDefault="00170FD8" w:rsidP="00B35F65">
            <w:pPr>
              <w:jc w:val="center"/>
              <w:rPr>
                <w:b/>
                <w:bCs/>
                <w:i/>
                <w:iCs/>
                <w:lang w:val="en-US"/>
              </w:rPr>
            </w:pPr>
            <w:r w:rsidRPr="009C6E22">
              <w:rPr>
                <w:b/>
                <w:bCs/>
                <w:i/>
                <w:iCs/>
                <w:lang w:val="en-US"/>
              </w:rPr>
              <w:t xml:space="preserve">Formula </w:t>
            </w:r>
          </w:p>
        </w:tc>
        <w:tc>
          <w:tcPr>
            <w:tcW w:w="2288" w:type="dxa"/>
          </w:tcPr>
          <w:p w14:paraId="573B8275" w14:textId="77777777" w:rsidR="00B35F65" w:rsidRPr="009C6E22" w:rsidRDefault="00170FD8" w:rsidP="00B35F65">
            <w:pPr>
              <w:jc w:val="center"/>
              <w:rPr>
                <w:b/>
                <w:bCs/>
                <w:i/>
                <w:iCs/>
                <w:lang w:val="en-US"/>
              </w:rPr>
            </w:pPr>
            <w:r w:rsidRPr="009C6E22">
              <w:rPr>
                <w:b/>
                <w:bCs/>
                <w:i/>
                <w:iCs/>
                <w:lang w:val="en-US"/>
              </w:rPr>
              <w:t>2019</w:t>
            </w:r>
          </w:p>
        </w:tc>
        <w:tc>
          <w:tcPr>
            <w:tcW w:w="2258" w:type="dxa"/>
          </w:tcPr>
          <w:p w14:paraId="2108A4D0" w14:textId="77777777" w:rsidR="00B35F65" w:rsidRPr="009C6E22" w:rsidRDefault="00170FD8" w:rsidP="00B35F65">
            <w:pPr>
              <w:jc w:val="center"/>
              <w:rPr>
                <w:b/>
                <w:bCs/>
                <w:i/>
                <w:iCs/>
                <w:lang w:val="en-US"/>
              </w:rPr>
            </w:pPr>
            <w:r w:rsidRPr="009C6E22">
              <w:rPr>
                <w:b/>
                <w:bCs/>
                <w:i/>
                <w:iCs/>
                <w:lang w:val="en-US"/>
              </w:rPr>
              <w:t>2020</w:t>
            </w:r>
          </w:p>
        </w:tc>
      </w:tr>
      <w:tr w:rsidR="00DA10A9" w14:paraId="12929E5F" w14:textId="77777777" w:rsidTr="00F40114">
        <w:tc>
          <w:tcPr>
            <w:tcW w:w="2065" w:type="dxa"/>
          </w:tcPr>
          <w:p w14:paraId="2BC1039D" w14:textId="77777777" w:rsidR="00B35F65" w:rsidRPr="009C6E22" w:rsidRDefault="00170FD8" w:rsidP="00BD3789">
            <w:pPr>
              <w:rPr>
                <w:b/>
                <w:bCs/>
                <w:i/>
                <w:iCs/>
                <w:lang w:val="en-US"/>
              </w:rPr>
            </w:pPr>
            <w:r w:rsidRPr="009C6E22">
              <w:rPr>
                <w:b/>
                <w:bCs/>
                <w:i/>
                <w:iCs/>
                <w:lang w:val="en-US"/>
              </w:rPr>
              <w:t xml:space="preserve">Gross profit </w:t>
            </w:r>
          </w:p>
        </w:tc>
        <w:tc>
          <w:tcPr>
            <w:tcW w:w="2739" w:type="dxa"/>
          </w:tcPr>
          <w:p w14:paraId="26B4703C" w14:textId="77777777" w:rsidR="00B35F65" w:rsidRPr="009C6E22" w:rsidRDefault="00170FD8" w:rsidP="00BD3789">
            <w:pPr>
              <w:rPr>
                <w:b/>
                <w:bCs/>
                <w:i/>
                <w:iCs/>
                <w:lang w:val="en-US"/>
              </w:rPr>
            </w:pPr>
            <m:oMathPara>
              <m:oMath>
                <m:r>
                  <m:rPr>
                    <m:sty m:val="bi"/>
                  </m:rPr>
                  <w:rPr>
                    <w:rFonts w:ascii="Cambria Math" w:hAnsi="Cambria Math"/>
                    <w:lang w:val="en-US"/>
                  </w:rPr>
                  <m:t>(</m:t>
                </m:r>
                <m:r>
                  <m:rPr>
                    <m:sty m:val="bi"/>
                  </m:rPr>
                  <w:rPr>
                    <w:rFonts w:ascii="Cambria Math" w:hAnsi="Cambria Math"/>
                    <w:lang w:val="en-US"/>
                  </w:rPr>
                  <m:t>Gross</m:t>
                </m:r>
                <m:r>
                  <m:rPr>
                    <m:sty m:val="bi"/>
                  </m:rPr>
                  <w:rPr>
                    <w:rFonts w:ascii="Cambria Math" w:hAnsi="Cambria Math"/>
                    <w:lang w:val="en-US"/>
                  </w:rPr>
                  <m:t xml:space="preserve"> </m:t>
                </m:r>
                <m:r>
                  <m:rPr>
                    <m:sty m:val="bi"/>
                  </m:rPr>
                  <w:rPr>
                    <w:rFonts w:ascii="Cambria Math" w:hAnsi="Cambria Math"/>
                    <w:lang w:val="en-US"/>
                  </w:rPr>
                  <m:t>profit</m:t>
                </m:r>
                <m:r>
                  <m:rPr>
                    <m:sty m:val="bi"/>
                  </m:rPr>
                  <w:rPr>
                    <w:rFonts w:ascii="Cambria Math" w:hAnsi="Cambria Math"/>
                    <w:lang w:val="en-US"/>
                  </w:rPr>
                  <m:t>/</m:t>
                </m:r>
                <m:r>
                  <m:rPr>
                    <m:sty m:val="bi"/>
                  </m:rPr>
                  <w:rPr>
                    <w:rFonts w:ascii="Cambria Math" w:hAnsi="Cambria Math"/>
                    <w:lang w:val="en-US"/>
                  </w:rPr>
                  <m:t>Sales</m:t>
                </m:r>
                <m:r>
                  <m:rPr>
                    <m:sty m:val="bi"/>
                  </m:rPr>
                  <w:rPr>
                    <w:rFonts w:ascii="Cambria Math" w:hAnsi="Cambria Math"/>
                    <w:lang w:val="en-US"/>
                  </w:rPr>
                  <m:t xml:space="preserve">) </m:t>
                </m:r>
                <m:r>
                  <m:rPr>
                    <m:sty m:val="bi"/>
                  </m:rPr>
                  <w:rPr>
                    <w:rFonts w:ascii="Cambria Math" w:hAnsi="Cambria Math"/>
                    <w:lang w:val="en-US"/>
                  </w:rPr>
                  <m:t>x</m:t>
                </m:r>
                <m:r>
                  <m:rPr>
                    <m:sty m:val="bi"/>
                  </m:rPr>
                  <w:rPr>
                    <w:rFonts w:ascii="Cambria Math" w:hAnsi="Cambria Math"/>
                    <w:lang w:val="en-US"/>
                  </w:rPr>
                  <m:t xml:space="preserve"> </m:t>
                </m:r>
                <m:r>
                  <m:rPr>
                    <m:sty m:val="bi"/>
                  </m:rPr>
                  <w:rPr>
                    <w:rFonts w:ascii="Cambria Math" w:hAnsi="Cambria Math"/>
                    <w:lang w:val="en-US"/>
                  </w:rPr>
                  <m:t>100</m:t>
                </m:r>
              </m:oMath>
            </m:oMathPara>
          </w:p>
        </w:tc>
        <w:tc>
          <w:tcPr>
            <w:tcW w:w="2288" w:type="dxa"/>
          </w:tcPr>
          <w:p w14:paraId="73426B3C" w14:textId="77777777" w:rsidR="00B35F65" w:rsidRPr="009C6E22" w:rsidRDefault="00170FD8" w:rsidP="00BD3789">
            <w:pPr>
              <w:rPr>
                <w:b/>
                <w:bCs/>
                <w:i/>
                <w:iCs/>
                <w:lang w:val="en-US"/>
              </w:rPr>
            </w:pPr>
            <m:oMath>
              <m:r>
                <m:rPr>
                  <m:sty m:val="bi"/>
                </m:rPr>
                <w:rPr>
                  <w:rFonts w:ascii="Cambria Math" w:hAnsi="Cambria Math"/>
                  <w:lang w:val="en-US"/>
                </w:rPr>
                <m:t>(</m:t>
              </m:r>
              <m:r>
                <m:rPr>
                  <m:sty m:val="bi"/>
                </m:rPr>
                <w:rPr>
                  <w:rFonts w:ascii="Cambria Math" w:hAnsi="Cambria Math"/>
                  <w:lang w:val="en-US"/>
                </w:rPr>
                <m:t>2435000</m:t>
              </m:r>
              <m:r>
                <m:rPr>
                  <m:sty m:val="bi"/>
                </m:rPr>
                <w:rPr>
                  <w:rFonts w:ascii="Cambria Math" w:hAnsi="Cambria Math"/>
                  <w:lang w:val="en-US"/>
                </w:rPr>
                <m:t>/</m:t>
              </m:r>
              <m:r>
                <m:rPr>
                  <m:sty m:val="bi"/>
                </m:rPr>
                <w:rPr>
                  <w:rFonts w:ascii="Cambria Math" w:hAnsi="Cambria Math"/>
                  <w:lang w:val="en-US"/>
                </w:rPr>
                <m:t>9452000</m:t>
              </m:r>
              <m:r>
                <m:rPr>
                  <m:sty m:val="bi"/>
                </m:rPr>
                <w:rPr>
                  <w:rFonts w:ascii="Cambria Math" w:hAnsi="Cambria Math"/>
                  <w:lang w:val="en-US"/>
                </w:rPr>
                <m:t>x</m:t>
              </m:r>
              <m:r>
                <m:rPr>
                  <m:sty m:val="bi"/>
                </m:rPr>
                <w:rPr>
                  <w:rFonts w:ascii="Cambria Math" w:hAnsi="Cambria Math"/>
                  <w:lang w:val="en-US"/>
                </w:rPr>
                <m:t>100</m:t>
              </m:r>
              <m:r>
                <m:rPr>
                  <m:sty m:val="bi"/>
                </m:rPr>
                <w:rPr>
                  <w:rFonts w:ascii="Cambria Math" w:hAnsi="Cambria Math"/>
                  <w:lang w:val="en-US"/>
                </w:rPr>
                <m:t>)</m:t>
              </m:r>
            </m:oMath>
            <w:r w:rsidR="00220C17" w:rsidRPr="009C6E22">
              <w:rPr>
                <w:b/>
                <w:bCs/>
                <w:i/>
                <w:iCs/>
                <w:lang w:val="en-US"/>
              </w:rPr>
              <w:t xml:space="preserve"> = 25.76%</w:t>
            </w:r>
          </w:p>
        </w:tc>
        <w:tc>
          <w:tcPr>
            <w:tcW w:w="2258" w:type="dxa"/>
          </w:tcPr>
          <w:p w14:paraId="5618DAE6" w14:textId="77777777" w:rsidR="00B35F65" w:rsidRPr="009C6E22" w:rsidRDefault="00170FD8" w:rsidP="00BD3789">
            <w:pPr>
              <w:rPr>
                <w:b/>
                <w:bCs/>
                <w:i/>
                <w:iCs/>
                <w:lang w:val="en-US"/>
              </w:rPr>
            </w:pPr>
            <m:oMath>
              <m:r>
                <m:rPr>
                  <m:sty m:val="bi"/>
                </m:rPr>
                <w:rPr>
                  <w:rFonts w:ascii="Cambria Math" w:hAnsi="Cambria Math"/>
                  <w:lang w:val="en-US"/>
                </w:rPr>
                <m:t>(</m:t>
              </m:r>
              <m:r>
                <m:rPr>
                  <m:sty m:val="bi"/>
                </m:rPr>
                <w:rPr>
                  <w:rFonts w:ascii="Cambria Math" w:hAnsi="Cambria Math"/>
                  <w:lang w:val="en-US"/>
                </w:rPr>
                <m:t>583000</m:t>
              </m:r>
              <m:r>
                <m:rPr>
                  <m:sty m:val="bi"/>
                </m:rPr>
                <w:rPr>
                  <w:rFonts w:ascii="Cambria Math" w:hAnsi="Cambria Math"/>
                  <w:lang w:val="en-US"/>
                </w:rPr>
                <m:t>/</m:t>
              </m:r>
              <m:r>
                <m:rPr>
                  <m:sty m:val="bi"/>
                </m:rPr>
                <w:rPr>
                  <w:rFonts w:ascii="Cambria Math" w:hAnsi="Cambria Math"/>
                  <w:lang w:val="en-US"/>
                </w:rPr>
                <m:t>4307000</m:t>
              </m:r>
              <m:r>
                <m:rPr>
                  <m:sty m:val="bi"/>
                </m:rPr>
                <w:rPr>
                  <w:rFonts w:ascii="Cambria Math" w:hAnsi="Cambria Math"/>
                  <w:lang w:val="en-US"/>
                </w:rPr>
                <m:t>x</m:t>
              </m:r>
              <m:r>
                <m:rPr>
                  <m:sty m:val="bi"/>
                </m:rPr>
                <w:rPr>
                  <w:rFonts w:ascii="Cambria Math" w:hAnsi="Cambria Math"/>
                  <w:lang w:val="en-US"/>
                </w:rPr>
                <m:t>100</m:t>
              </m:r>
              <m:r>
                <m:rPr>
                  <m:sty m:val="bi"/>
                </m:rPr>
                <w:rPr>
                  <w:rFonts w:ascii="Cambria Math" w:hAnsi="Cambria Math"/>
                  <w:lang w:val="en-US"/>
                </w:rPr>
                <m:t>)</m:t>
              </m:r>
            </m:oMath>
            <w:r w:rsidR="00220C17" w:rsidRPr="009C6E22">
              <w:rPr>
                <w:b/>
                <w:bCs/>
                <w:i/>
                <w:iCs/>
                <w:lang w:val="en-US"/>
              </w:rPr>
              <w:t xml:space="preserve"> = </w:t>
            </w:r>
            <w:r w:rsidR="00E94449" w:rsidRPr="009C6E22">
              <w:rPr>
                <w:b/>
                <w:bCs/>
                <w:i/>
                <w:iCs/>
                <w:lang w:val="en-US"/>
              </w:rPr>
              <w:t>14%</w:t>
            </w:r>
          </w:p>
        </w:tc>
      </w:tr>
      <w:tr w:rsidR="00DA10A9" w14:paraId="040C4C16" w14:textId="77777777" w:rsidTr="00F40114">
        <w:tc>
          <w:tcPr>
            <w:tcW w:w="2065" w:type="dxa"/>
          </w:tcPr>
          <w:p w14:paraId="1DD25CCF" w14:textId="77777777" w:rsidR="00B35F65" w:rsidRPr="009C6E22" w:rsidRDefault="00170FD8" w:rsidP="00BD3789">
            <w:pPr>
              <w:rPr>
                <w:b/>
                <w:bCs/>
                <w:i/>
                <w:iCs/>
                <w:lang w:val="en-US"/>
              </w:rPr>
            </w:pPr>
            <w:r w:rsidRPr="009C6E22">
              <w:rPr>
                <w:b/>
                <w:bCs/>
                <w:i/>
                <w:iCs/>
                <w:lang w:val="en-US"/>
              </w:rPr>
              <w:t xml:space="preserve">Net profit </w:t>
            </w:r>
          </w:p>
        </w:tc>
        <w:tc>
          <w:tcPr>
            <w:tcW w:w="2739" w:type="dxa"/>
          </w:tcPr>
          <w:p w14:paraId="2A3F30D1" w14:textId="77777777" w:rsidR="00B35F65" w:rsidRPr="009C6E22" w:rsidRDefault="00170FD8" w:rsidP="00BD3789">
            <w:pPr>
              <w:rPr>
                <w:b/>
                <w:bCs/>
                <w:i/>
                <w:iCs/>
                <w:lang w:val="en-US"/>
              </w:rPr>
            </w:pPr>
            <m:oMathPara>
              <m:oMath>
                <m:r>
                  <m:rPr>
                    <m:sty m:val="bi"/>
                  </m:rPr>
                  <w:rPr>
                    <w:rFonts w:ascii="Cambria Math" w:hAnsi="Cambria Math"/>
                    <w:lang w:val="en-US"/>
                  </w:rPr>
                  <m:t>(</m:t>
                </m:r>
                <m:r>
                  <m:rPr>
                    <m:sty m:val="bi"/>
                  </m:rPr>
                  <w:rPr>
                    <w:rFonts w:ascii="Cambria Math" w:hAnsi="Cambria Math"/>
                    <w:lang w:val="en-US"/>
                  </w:rPr>
                  <m:t>Net</m:t>
                </m:r>
                <m:r>
                  <m:rPr>
                    <m:sty m:val="bi"/>
                  </m:rPr>
                  <w:rPr>
                    <w:rFonts w:ascii="Cambria Math" w:hAnsi="Cambria Math"/>
                    <w:lang w:val="en-US"/>
                  </w:rPr>
                  <m:t xml:space="preserve"> </m:t>
                </m:r>
                <m:r>
                  <m:rPr>
                    <m:sty m:val="bi"/>
                  </m:rPr>
                  <w:rPr>
                    <w:rFonts w:ascii="Cambria Math" w:hAnsi="Cambria Math"/>
                    <w:lang w:val="en-US"/>
                  </w:rPr>
                  <m:t>profit</m:t>
                </m:r>
                <m:r>
                  <m:rPr>
                    <m:sty m:val="bi"/>
                  </m:rPr>
                  <w:rPr>
                    <w:rFonts w:ascii="Cambria Math" w:hAnsi="Cambria Math"/>
                    <w:lang w:val="en-US"/>
                  </w:rPr>
                  <m:t>/</m:t>
                </m:r>
                <m:r>
                  <m:rPr>
                    <m:sty m:val="bi"/>
                  </m:rPr>
                  <w:rPr>
                    <w:rFonts w:ascii="Cambria Math" w:hAnsi="Cambria Math"/>
                    <w:lang w:val="en-US"/>
                  </w:rPr>
                  <m:t>Sales</m:t>
                </m:r>
                <m:r>
                  <m:rPr>
                    <m:sty m:val="bi"/>
                  </m:rPr>
                  <w:rPr>
                    <w:rFonts w:ascii="Cambria Math" w:hAnsi="Cambria Math"/>
                    <w:lang w:val="en-US"/>
                  </w:rPr>
                  <m:t xml:space="preserve">) </m:t>
                </m:r>
                <m:r>
                  <m:rPr>
                    <m:sty m:val="bi"/>
                  </m:rPr>
                  <w:rPr>
                    <w:rFonts w:ascii="Cambria Math" w:hAnsi="Cambria Math"/>
                    <w:lang w:val="en-US"/>
                  </w:rPr>
                  <m:t>x</m:t>
                </m:r>
                <m:r>
                  <m:rPr>
                    <m:sty m:val="bi"/>
                  </m:rPr>
                  <w:rPr>
                    <w:rFonts w:ascii="Cambria Math" w:hAnsi="Cambria Math"/>
                    <w:lang w:val="en-US"/>
                  </w:rPr>
                  <m:t>100</m:t>
                </m:r>
              </m:oMath>
            </m:oMathPara>
          </w:p>
        </w:tc>
        <w:tc>
          <w:tcPr>
            <w:tcW w:w="2288" w:type="dxa"/>
          </w:tcPr>
          <w:p w14:paraId="55407D91" w14:textId="77777777" w:rsidR="00B35F65" w:rsidRPr="009C6E22" w:rsidRDefault="00170FD8" w:rsidP="00BD3789">
            <w:pPr>
              <w:rPr>
                <w:rFonts w:eastAsiaTheme="minorEastAsia"/>
                <w:b/>
                <w:bCs/>
                <w:i/>
                <w:iCs/>
                <w:lang w:val="en-US"/>
              </w:rPr>
            </w:pPr>
            <m:oMath>
              <m:r>
                <m:rPr>
                  <m:sty m:val="bi"/>
                </m:rPr>
                <w:rPr>
                  <w:rFonts w:ascii="Cambria Math" w:hAnsi="Cambria Math"/>
                  <w:lang w:val="en-US"/>
                </w:rPr>
                <m:t>(</m:t>
              </m:r>
              <m:r>
                <m:rPr>
                  <m:sty m:val="bi"/>
                </m:rPr>
                <w:rPr>
                  <w:rFonts w:ascii="Cambria Math" w:hAnsi="Cambria Math"/>
                  <w:lang w:val="en-US"/>
                </w:rPr>
                <m:t>881000</m:t>
              </m:r>
              <m:r>
                <m:rPr>
                  <m:sty m:val="bi"/>
                </m:rPr>
                <w:rPr>
                  <w:rFonts w:ascii="Cambria Math" w:hAnsi="Cambria Math"/>
                  <w:lang w:val="en-US"/>
                </w:rPr>
                <m:t>/</m:t>
              </m:r>
              <m:r>
                <m:rPr>
                  <m:sty m:val="bi"/>
                </m:rPr>
                <w:rPr>
                  <w:rFonts w:ascii="Cambria Math" w:hAnsi="Cambria Math"/>
                  <w:lang w:val="en-US"/>
                </w:rPr>
                <m:t>9452000</m:t>
              </m:r>
              <m:r>
                <m:rPr>
                  <m:sty m:val="bi"/>
                </m:rPr>
                <w:rPr>
                  <w:rFonts w:ascii="Cambria Math" w:hAnsi="Cambria Math"/>
                  <w:lang w:val="en-US"/>
                </w:rPr>
                <m:t>x</m:t>
              </m:r>
              <m:r>
                <m:rPr>
                  <m:sty m:val="bi"/>
                </m:rPr>
                <w:rPr>
                  <w:rFonts w:ascii="Cambria Math" w:hAnsi="Cambria Math"/>
                  <w:lang w:val="en-US"/>
                </w:rPr>
                <m:t>100</m:t>
              </m:r>
              <m:r>
                <m:rPr>
                  <m:sty m:val="bi"/>
                </m:rPr>
                <w:rPr>
                  <w:rFonts w:ascii="Cambria Math" w:hAnsi="Cambria Math"/>
                  <w:lang w:val="en-US"/>
                </w:rPr>
                <m:t>)</m:t>
              </m:r>
            </m:oMath>
            <w:r w:rsidR="00E94449" w:rsidRPr="009C6E22">
              <w:rPr>
                <w:rFonts w:eastAsiaTheme="minorEastAsia"/>
                <w:b/>
                <w:bCs/>
                <w:i/>
                <w:iCs/>
                <w:lang w:val="en-US"/>
              </w:rPr>
              <w:t>= 9.32%</w:t>
            </w:r>
          </w:p>
          <w:p w14:paraId="261E13FF" w14:textId="77777777" w:rsidR="00E94449" w:rsidRPr="009C6E22" w:rsidRDefault="00E94449" w:rsidP="00BD3789">
            <w:pPr>
              <w:rPr>
                <w:rFonts w:eastAsiaTheme="minorEastAsia"/>
                <w:b/>
                <w:bCs/>
                <w:i/>
                <w:iCs/>
                <w:lang w:val="en-US"/>
              </w:rPr>
            </w:pPr>
          </w:p>
          <w:p w14:paraId="6AF1DBD3" w14:textId="77777777" w:rsidR="00E94449" w:rsidRPr="009C6E22" w:rsidRDefault="00E94449" w:rsidP="00BD3789">
            <w:pPr>
              <w:rPr>
                <w:b/>
                <w:bCs/>
                <w:i/>
                <w:iCs/>
                <w:lang w:val="en-US"/>
              </w:rPr>
            </w:pPr>
          </w:p>
        </w:tc>
        <w:tc>
          <w:tcPr>
            <w:tcW w:w="2258" w:type="dxa"/>
          </w:tcPr>
          <w:p w14:paraId="5B8B24B6" w14:textId="77777777" w:rsidR="00B35F65" w:rsidRPr="009C6E22" w:rsidRDefault="00170FD8" w:rsidP="00BD3789">
            <w:pPr>
              <w:rPr>
                <w:b/>
                <w:bCs/>
                <w:i/>
                <w:iCs/>
                <w:lang w:val="en-US"/>
              </w:rPr>
            </w:pPr>
            <m:oMath>
              <m:r>
                <m:rPr>
                  <m:sty m:val="bi"/>
                </m:rPr>
                <w:rPr>
                  <w:rFonts w:ascii="Cambria Math" w:hAnsi="Cambria Math"/>
                  <w:lang w:val="en-US"/>
                </w:rPr>
                <w:lastRenderedPageBreak/>
                <m:t>(</m:t>
              </m:r>
              <m:r>
                <m:rPr>
                  <m:sty m:val="bi"/>
                </m:rPr>
                <w:rPr>
                  <w:rFonts w:ascii="Cambria Math" w:hAnsi="Cambria Math"/>
                  <w:lang w:val="en-US"/>
                </w:rPr>
                <m:t>715000</m:t>
              </m:r>
              <m:r>
                <m:rPr>
                  <m:sty m:val="bi"/>
                </m:rPr>
                <w:rPr>
                  <w:rFonts w:ascii="Cambria Math" w:hAnsi="Cambria Math"/>
                  <w:lang w:val="en-US"/>
                </w:rPr>
                <m:t>/</m:t>
              </m:r>
              <m:r>
                <m:rPr>
                  <m:sty m:val="bi"/>
                </m:rPr>
                <w:rPr>
                  <w:rFonts w:ascii="Cambria Math" w:hAnsi="Cambria Math"/>
                  <w:lang w:val="en-US"/>
                </w:rPr>
                <m:t>4307000</m:t>
              </m:r>
              <m:r>
                <m:rPr>
                  <m:sty m:val="bi"/>
                </m:rPr>
                <w:rPr>
                  <w:rFonts w:ascii="Cambria Math" w:hAnsi="Cambria Math"/>
                  <w:lang w:val="en-US"/>
                </w:rPr>
                <m:t>x</m:t>
              </m:r>
              <m:r>
                <m:rPr>
                  <m:sty m:val="bi"/>
                </m:rPr>
                <w:rPr>
                  <w:rFonts w:ascii="Cambria Math" w:hAnsi="Cambria Math"/>
                  <w:lang w:val="en-US"/>
                </w:rPr>
                <m:t>100</m:t>
              </m:r>
              <m:r>
                <m:rPr>
                  <m:sty m:val="bi"/>
                </m:rPr>
                <w:rPr>
                  <w:rFonts w:ascii="Cambria Math" w:hAnsi="Cambria Math"/>
                  <w:lang w:val="en-US"/>
                </w:rPr>
                <m:t>)</m:t>
              </m:r>
            </m:oMath>
            <w:r w:rsidR="00E94449" w:rsidRPr="009C6E22">
              <w:rPr>
                <w:b/>
                <w:bCs/>
                <w:i/>
                <w:iCs/>
                <w:lang w:val="en-US"/>
              </w:rPr>
              <w:t xml:space="preserve"> = </w:t>
            </w:r>
            <w:r w:rsidR="003E443A" w:rsidRPr="009C6E22">
              <w:rPr>
                <w:b/>
                <w:bCs/>
                <w:i/>
                <w:iCs/>
                <w:lang w:val="en-US"/>
              </w:rPr>
              <w:t>17%</w:t>
            </w:r>
          </w:p>
        </w:tc>
      </w:tr>
      <w:tr w:rsidR="00DA10A9" w14:paraId="28F622B2" w14:textId="77777777" w:rsidTr="00F40114">
        <w:tc>
          <w:tcPr>
            <w:tcW w:w="2065" w:type="dxa"/>
          </w:tcPr>
          <w:p w14:paraId="66CFA608" w14:textId="77777777" w:rsidR="00B35F65" w:rsidRPr="009C6E22" w:rsidRDefault="00170FD8" w:rsidP="00BD3789">
            <w:pPr>
              <w:rPr>
                <w:b/>
                <w:bCs/>
                <w:i/>
                <w:iCs/>
                <w:lang w:val="en-US"/>
              </w:rPr>
            </w:pPr>
            <w:r w:rsidRPr="009C6E22">
              <w:rPr>
                <w:b/>
                <w:bCs/>
                <w:i/>
                <w:iCs/>
                <w:lang w:val="en-US"/>
              </w:rPr>
              <w:t xml:space="preserve">ROCE </w:t>
            </w:r>
          </w:p>
        </w:tc>
        <w:tc>
          <w:tcPr>
            <w:tcW w:w="2739" w:type="dxa"/>
          </w:tcPr>
          <w:p w14:paraId="47216A08" w14:textId="77777777" w:rsidR="00B35F65" w:rsidRPr="009C6E22" w:rsidRDefault="00170FD8" w:rsidP="00BD3789">
            <w:pPr>
              <w:rPr>
                <w:b/>
                <w:bCs/>
                <w:i/>
                <w:iCs/>
                <w:lang w:val="en-US"/>
              </w:rPr>
            </w:pPr>
            <m:oMathPara>
              <m:oMath>
                <m:r>
                  <m:rPr>
                    <m:sty m:val="bi"/>
                  </m:rPr>
                  <w:rPr>
                    <w:rFonts w:ascii="Cambria Math" w:hAnsi="Cambria Math"/>
                    <w:lang w:val="en-US"/>
                  </w:rPr>
                  <m:t>(</m:t>
                </m:r>
                <m:r>
                  <m:rPr>
                    <m:sty m:val="bi"/>
                  </m:rPr>
                  <w:rPr>
                    <w:rFonts w:ascii="Cambria Math" w:hAnsi="Cambria Math"/>
                    <w:lang w:val="en-US"/>
                  </w:rPr>
                  <m:t>Earnings</m:t>
                </m:r>
                <m:r>
                  <m:rPr>
                    <m:sty m:val="bi"/>
                  </m:rPr>
                  <w:rPr>
                    <w:rFonts w:ascii="Cambria Math" w:hAnsi="Cambria Math"/>
                    <w:lang w:val="en-US"/>
                  </w:rPr>
                  <m:t xml:space="preserve"> </m:t>
                </m:r>
                <m:r>
                  <m:rPr>
                    <m:sty m:val="bi"/>
                  </m:rPr>
                  <w:rPr>
                    <w:rFonts w:ascii="Cambria Math" w:hAnsi="Cambria Math"/>
                    <w:lang w:val="en-US"/>
                  </w:rPr>
                  <m:t>before</m:t>
                </m:r>
                <m:r>
                  <m:rPr>
                    <m:sty m:val="bi"/>
                  </m:rPr>
                  <w:rPr>
                    <w:rFonts w:ascii="Cambria Math" w:hAnsi="Cambria Math"/>
                    <w:lang w:val="en-US"/>
                  </w:rPr>
                  <m:t xml:space="preserve"> </m:t>
                </m:r>
                <m:r>
                  <m:rPr>
                    <m:sty m:val="bi"/>
                  </m:rPr>
                  <w:rPr>
                    <w:rFonts w:ascii="Cambria Math" w:hAnsi="Cambria Math"/>
                    <w:lang w:val="en-US"/>
                  </w:rPr>
                  <m:t>tax</m:t>
                </m:r>
                <m:r>
                  <m:rPr>
                    <m:sty m:val="bi"/>
                  </m:rPr>
                  <w:rPr>
                    <w:rFonts w:ascii="Cambria Math" w:hAnsi="Cambria Math"/>
                    <w:lang w:val="en-US"/>
                  </w:rPr>
                  <m:t>/</m:t>
                </m:r>
                <m:r>
                  <m:rPr>
                    <m:sty m:val="bi"/>
                  </m:rPr>
                  <w:rPr>
                    <w:rFonts w:ascii="Cambria Math" w:hAnsi="Cambria Math"/>
                    <w:lang w:val="en-US"/>
                  </w:rPr>
                  <m:t>Capital</m:t>
                </m:r>
                <m:r>
                  <m:rPr>
                    <m:sty m:val="bi"/>
                  </m:rPr>
                  <w:rPr>
                    <w:rFonts w:ascii="Cambria Math" w:hAnsi="Cambria Math"/>
                    <w:lang w:val="en-US"/>
                  </w:rPr>
                  <m:t xml:space="preserve"> </m:t>
                </m:r>
                <m:r>
                  <m:rPr>
                    <m:sty m:val="bi"/>
                  </m:rPr>
                  <w:rPr>
                    <w:rFonts w:ascii="Cambria Math" w:hAnsi="Cambria Math"/>
                    <w:lang w:val="en-US"/>
                  </w:rPr>
                  <m:t>employed</m:t>
                </m:r>
                <m:r>
                  <m:rPr>
                    <m:sty m:val="bi"/>
                  </m:rPr>
                  <w:rPr>
                    <w:rFonts w:ascii="Cambria Math" w:hAnsi="Cambria Math"/>
                    <w:lang w:val="en-US"/>
                  </w:rPr>
                  <m:t>)</m:t>
                </m:r>
              </m:oMath>
            </m:oMathPara>
          </w:p>
        </w:tc>
        <w:tc>
          <w:tcPr>
            <w:tcW w:w="2288" w:type="dxa"/>
          </w:tcPr>
          <w:p w14:paraId="67ED88AD" w14:textId="77777777" w:rsidR="00B35F65" w:rsidRPr="009C6E22" w:rsidRDefault="00170FD8" w:rsidP="00BD3789">
            <w:pPr>
              <w:rPr>
                <w:b/>
                <w:bCs/>
                <w:i/>
                <w:iCs/>
                <w:lang w:val="en-US"/>
              </w:rPr>
            </w:pPr>
            <m:oMath>
              <m:r>
                <m:rPr>
                  <m:sty m:val="bi"/>
                </m:rPr>
                <w:rPr>
                  <w:rFonts w:ascii="Cambria Math" w:hAnsi="Cambria Math"/>
                  <w:lang w:val="en-US"/>
                </w:rPr>
                <m:t>(</m:t>
              </m:r>
              <m:r>
                <m:rPr>
                  <m:sty m:val="bi"/>
                </m:rPr>
                <w:rPr>
                  <w:rFonts w:ascii="Cambria Math" w:hAnsi="Cambria Math"/>
                  <w:lang w:val="en-US"/>
                </w:rPr>
                <m:t>1295000</m:t>
              </m:r>
              <m:r>
                <m:rPr>
                  <m:sty m:val="bi"/>
                </m:rPr>
                <w:rPr>
                  <w:rFonts w:ascii="Cambria Math" w:hAnsi="Cambria Math"/>
                  <w:lang w:val="en-US"/>
                </w:rPr>
                <m:t>/</m:t>
              </m:r>
              <m:r>
                <m:rPr>
                  <m:sty m:val="bi"/>
                </m:rPr>
                <w:rPr>
                  <w:rFonts w:ascii="Cambria Math" w:hAnsi="Cambria Math"/>
                  <w:lang w:val="en-US"/>
                </w:rPr>
                <m:t>12086000</m:t>
              </m:r>
            </m:oMath>
            <w:r w:rsidR="00642CFE" w:rsidRPr="009C6E22">
              <w:rPr>
                <w:rFonts w:eastAsiaTheme="minorEastAsia"/>
                <w:b/>
                <w:bCs/>
                <w:i/>
                <w:iCs/>
                <w:lang w:val="en-US"/>
              </w:rPr>
              <w:t>) = 1.07%</w:t>
            </w:r>
          </w:p>
        </w:tc>
        <w:tc>
          <w:tcPr>
            <w:tcW w:w="2258" w:type="dxa"/>
          </w:tcPr>
          <w:p w14:paraId="1EA13189" w14:textId="77777777" w:rsidR="00B35F65" w:rsidRPr="009C6E22" w:rsidRDefault="00170FD8" w:rsidP="00BD3789">
            <w:pPr>
              <w:rPr>
                <w:b/>
                <w:bCs/>
                <w:i/>
                <w:iCs/>
                <w:lang w:val="en-US"/>
              </w:rPr>
            </w:pPr>
            <m:oMath>
              <m:r>
                <m:rPr>
                  <m:sty m:val="bi"/>
                </m:rPr>
                <w:rPr>
                  <w:rFonts w:ascii="Cambria Math" w:eastAsiaTheme="minorEastAsia" w:hAnsi="Cambria Math"/>
                  <w:lang w:val="en-US"/>
                </w:rPr>
                <m:t>(</m:t>
              </m:r>
              <m:r>
                <m:rPr>
                  <m:sty m:val="bi"/>
                </m:rPr>
                <w:rPr>
                  <w:rFonts w:ascii="Cambria Math" w:eastAsiaTheme="minorEastAsia" w:hAnsi="Cambria Math"/>
                  <w:lang w:val="en-US"/>
                </w:rPr>
                <m:t>1144000</m:t>
              </m:r>
              <m:r>
                <m:rPr>
                  <m:sty m:val="bi"/>
                </m:rPr>
                <w:rPr>
                  <w:rFonts w:ascii="Cambria Math" w:eastAsiaTheme="minorEastAsia" w:hAnsi="Cambria Math"/>
                  <w:lang w:val="en-US"/>
                </w:rPr>
                <m:t>/</m:t>
              </m:r>
              <m:r>
                <m:rPr>
                  <m:sty m:val="bi"/>
                </m:rPr>
                <w:rPr>
                  <w:rFonts w:ascii="Cambria Math" w:eastAsiaTheme="minorEastAsia" w:hAnsi="Cambria Math"/>
                  <w:lang w:val="en-US"/>
                </w:rPr>
                <m:t>4106000</m:t>
              </m:r>
              <m:r>
                <m:rPr>
                  <m:sty m:val="bi"/>
                </m:rPr>
                <w:rPr>
                  <w:rFonts w:ascii="Cambria Math" w:eastAsiaTheme="minorEastAsia" w:hAnsi="Cambria Math"/>
                  <w:lang w:val="en-US"/>
                </w:rPr>
                <m:t>)</m:t>
              </m:r>
            </m:oMath>
            <w:r w:rsidR="00642CFE" w:rsidRPr="009C6E22">
              <w:rPr>
                <w:b/>
                <w:bCs/>
                <w:i/>
                <w:iCs/>
                <w:lang w:val="en-US"/>
              </w:rPr>
              <w:t xml:space="preserve"> = 2.8%</w:t>
            </w:r>
          </w:p>
        </w:tc>
      </w:tr>
    </w:tbl>
    <w:p w14:paraId="059DDCE9" w14:textId="77777777" w:rsidR="009C6E22" w:rsidRDefault="009C6E22" w:rsidP="00BD3789">
      <w:pPr>
        <w:rPr>
          <w:lang w:val="en-US"/>
        </w:rPr>
      </w:pPr>
    </w:p>
    <w:p w14:paraId="14308CBF" w14:textId="77777777" w:rsidR="00F40114" w:rsidRDefault="00170FD8" w:rsidP="00BD3789">
      <w:pPr>
        <w:rPr>
          <w:b/>
          <w:bCs/>
          <w:i/>
          <w:iCs/>
          <w:u w:val="single"/>
          <w:lang w:val="en-US"/>
        </w:rPr>
      </w:pPr>
      <w:r>
        <w:rPr>
          <w:b/>
          <w:bCs/>
          <w:i/>
          <w:iCs/>
          <w:u w:val="single"/>
          <w:lang w:val="en-US"/>
        </w:rPr>
        <w:t xml:space="preserve">INTERPRETATION </w:t>
      </w:r>
    </w:p>
    <w:p w14:paraId="25943469" w14:textId="77777777" w:rsidR="00541DA8" w:rsidRDefault="00170FD8" w:rsidP="00C446F0">
      <w:r>
        <w:t xml:space="preserve">The above calculation has been done in order to show the profitability </w:t>
      </w:r>
      <w:r w:rsidR="00F411B9">
        <w:t>ratio, and hence, there are three</w:t>
      </w:r>
      <w:r w:rsidR="00C446F0">
        <w:t xml:space="preserve"> types of ratios that come under the profitability ratios that is gross profit, net profit and the return on capital employed</w:t>
      </w:r>
      <w:sdt>
        <w:sdtPr>
          <w:id w:val="-393899559"/>
          <w:citation/>
        </w:sdtPr>
        <w:sdtEndPr/>
        <w:sdtContent>
          <w:r w:rsidR="00330748">
            <w:fldChar w:fldCharType="begin"/>
          </w:r>
          <w:r w:rsidR="00330748">
            <w:rPr>
              <w:lang w:val="en-US"/>
            </w:rPr>
            <w:instrText xml:space="preserve"> CITATION des221 \l 1033 </w:instrText>
          </w:r>
          <w:r w:rsidR="00330748">
            <w:fldChar w:fldCharType="separate"/>
          </w:r>
          <w:r w:rsidR="00330748">
            <w:rPr>
              <w:noProof/>
              <w:lang w:val="en-US"/>
            </w:rPr>
            <w:t xml:space="preserve"> </w:t>
          </w:r>
          <w:r w:rsidR="00330748" w:rsidRPr="00330748">
            <w:rPr>
              <w:noProof/>
              <w:lang w:val="en-US"/>
            </w:rPr>
            <w:t>(deskera, 2022)</w:t>
          </w:r>
          <w:r w:rsidR="00330748">
            <w:fldChar w:fldCharType="end"/>
          </w:r>
        </w:sdtContent>
      </w:sdt>
      <w:r w:rsidR="00C446F0">
        <w:t>.</w:t>
      </w:r>
    </w:p>
    <w:p w14:paraId="41AB5C63" w14:textId="77777777" w:rsidR="00782D93" w:rsidRPr="0046121A" w:rsidRDefault="00170FD8" w:rsidP="00C446F0">
      <w:pPr>
        <w:rPr>
          <w:shd w:val="clear" w:color="auto" w:fill="FFFFFF"/>
        </w:rPr>
      </w:pPr>
      <w:r>
        <w:rPr>
          <w:i/>
          <w:iCs/>
          <w:u w:val="single"/>
        </w:rPr>
        <w:t xml:space="preserve">Gross profit – </w:t>
      </w:r>
      <w:r>
        <w:t xml:space="preserve">The GP has been calculated for Hilton </w:t>
      </w:r>
      <w:r w:rsidR="00791D32">
        <w:t xml:space="preserve">Hotel </w:t>
      </w:r>
      <w:r>
        <w:t>for the years 2019 and 2020</w:t>
      </w:r>
      <w:r w:rsidR="00BF16C6">
        <w:t xml:space="preserve">. Here it can be seen that for the year 2019, the GP has been ascertained as 25.76% and that </w:t>
      </w:r>
      <w:r w:rsidR="006F0C53">
        <w:t>of the year 2020</w:t>
      </w:r>
      <w:r w:rsidR="00BD2DCB">
        <w:t xml:space="preserve"> as 14%, respectively</w:t>
      </w:r>
      <w:r w:rsidR="0046121A">
        <w:t xml:space="preserve"> </w:t>
      </w:r>
      <w:r w:rsidR="0046121A">
        <w:rPr>
          <w:shd w:val="clear" w:color="auto" w:fill="FFFFFF"/>
        </w:rPr>
        <w:t>(Muttakin, et al., 2021)</w:t>
      </w:r>
      <w:r w:rsidR="00BD2DCB">
        <w:t>.</w:t>
      </w:r>
      <w:r w:rsidR="00791D32">
        <w:t xml:space="preserve"> It can be seen the GP for the year has degraded and hence, Hilton Hotel needs to take effective measures for enhancing their gross profit respectively.</w:t>
      </w:r>
      <w:r w:rsidR="0003231B">
        <w:t xml:space="preserve"> </w:t>
      </w:r>
    </w:p>
    <w:p w14:paraId="66041D4D" w14:textId="77777777" w:rsidR="0003231B" w:rsidRPr="0046121A" w:rsidRDefault="00170FD8" w:rsidP="00C446F0">
      <w:pPr>
        <w:rPr>
          <w:shd w:val="clear" w:color="auto" w:fill="FFFFFF"/>
        </w:rPr>
      </w:pPr>
      <w:r>
        <w:rPr>
          <w:i/>
          <w:iCs/>
          <w:u w:val="single"/>
        </w:rPr>
        <w:t xml:space="preserve">Net profit - </w:t>
      </w:r>
      <w:r>
        <w:t>The NP has been calculated for Hilton Hotel for the years 2019 and 2020. Here it can be seen that for the year 2019, t</w:t>
      </w:r>
      <w:r>
        <w:t>he NP has been ascertained as 9.32% and that of the year 2020 as 17%, respectively</w:t>
      </w:r>
      <w:r w:rsidR="0046121A">
        <w:t xml:space="preserve"> </w:t>
      </w:r>
      <w:r w:rsidR="0046121A">
        <w:rPr>
          <w:shd w:val="clear" w:color="auto" w:fill="FFFFFF"/>
        </w:rPr>
        <w:t>(Muttakin, et al., 2021)</w:t>
      </w:r>
      <w:r>
        <w:t>. It can be seen the GP for the year</w:t>
      </w:r>
      <w:r w:rsidR="007800B2">
        <w:t xml:space="preserve"> 2020 is more than 2019, and thus, the performance</w:t>
      </w:r>
      <w:r>
        <w:t xml:space="preserve"> has </w:t>
      </w:r>
      <w:r w:rsidR="007800B2">
        <w:t>increased</w:t>
      </w:r>
      <w:r>
        <w:t xml:space="preserve"> </w:t>
      </w:r>
      <w:r w:rsidR="007800B2">
        <w:t>respectively.</w:t>
      </w:r>
    </w:p>
    <w:p w14:paraId="46E4FCEC" w14:textId="77777777" w:rsidR="00B87729" w:rsidRPr="0046121A" w:rsidRDefault="00170FD8" w:rsidP="00C446F0">
      <w:pPr>
        <w:rPr>
          <w:shd w:val="clear" w:color="auto" w:fill="FFFFFF"/>
        </w:rPr>
      </w:pPr>
      <w:r>
        <w:rPr>
          <w:i/>
          <w:iCs/>
          <w:u w:val="single"/>
        </w:rPr>
        <w:t>Return on capital employed-</w:t>
      </w:r>
      <w:r>
        <w:t xml:space="preserve"> The RO</w:t>
      </w:r>
      <w:r>
        <w:t>CE has been calculated for Hilton Hotel for the years 2019 and 2020. Here it can be seen that for the year 2019, the ROCE has been ascertained as 1.07% and that of the year 2020 as 2.8%, respectively</w:t>
      </w:r>
      <w:r w:rsidR="0046121A">
        <w:t xml:space="preserve"> </w:t>
      </w:r>
      <w:r w:rsidR="0046121A">
        <w:rPr>
          <w:shd w:val="clear" w:color="auto" w:fill="FFFFFF"/>
        </w:rPr>
        <w:t>(Muttakin, et al., 2021)</w:t>
      </w:r>
      <w:r>
        <w:t xml:space="preserve">. It can be seen the </w:t>
      </w:r>
      <w:r w:rsidR="000E2EC7">
        <w:t>ROCE</w:t>
      </w:r>
      <w:r>
        <w:t xml:space="preserve"> for th</w:t>
      </w:r>
      <w:r>
        <w:t xml:space="preserve">e year 2020 is more than </w:t>
      </w:r>
      <w:r w:rsidR="000E2EC7">
        <w:t xml:space="preserve">that of </w:t>
      </w:r>
      <w:r>
        <w:t xml:space="preserve">2019, and thus, the performance has </w:t>
      </w:r>
      <w:r w:rsidR="000E2EC7">
        <w:t>enhanced</w:t>
      </w:r>
      <w:r>
        <w:t xml:space="preserve"> respectively.</w:t>
      </w:r>
    </w:p>
    <w:tbl>
      <w:tblPr>
        <w:tblStyle w:val="TableGrid"/>
        <w:tblW w:w="0" w:type="auto"/>
        <w:tblLook w:val="04A0" w:firstRow="1" w:lastRow="0" w:firstColumn="1" w:lastColumn="0" w:noHBand="0" w:noVBand="1"/>
      </w:tblPr>
      <w:tblGrid>
        <w:gridCol w:w="2065"/>
        <w:gridCol w:w="2739"/>
        <w:gridCol w:w="2288"/>
        <w:gridCol w:w="2258"/>
      </w:tblGrid>
      <w:tr w:rsidR="00DA10A9" w14:paraId="5EBAFAAD" w14:textId="77777777" w:rsidTr="00955C39">
        <w:tc>
          <w:tcPr>
            <w:tcW w:w="9350" w:type="dxa"/>
            <w:gridSpan w:val="4"/>
          </w:tcPr>
          <w:p w14:paraId="59C7BD6E" w14:textId="77777777" w:rsidR="009A4B32" w:rsidRPr="009C6E22" w:rsidRDefault="00170FD8" w:rsidP="00955C39">
            <w:pPr>
              <w:jc w:val="center"/>
              <w:rPr>
                <w:b/>
                <w:bCs/>
                <w:i/>
                <w:iCs/>
                <w:lang w:val="en-US"/>
              </w:rPr>
            </w:pPr>
            <w:r>
              <w:rPr>
                <w:b/>
                <w:bCs/>
                <w:i/>
                <w:iCs/>
                <w:lang w:val="en-US"/>
              </w:rPr>
              <w:lastRenderedPageBreak/>
              <w:t>Liquidity Ratios</w:t>
            </w:r>
          </w:p>
        </w:tc>
      </w:tr>
      <w:tr w:rsidR="00DA10A9" w14:paraId="11F604F0" w14:textId="77777777" w:rsidTr="00955C39">
        <w:tc>
          <w:tcPr>
            <w:tcW w:w="2065" w:type="dxa"/>
          </w:tcPr>
          <w:p w14:paraId="462FB742" w14:textId="77777777" w:rsidR="009A4B32" w:rsidRPr="009C6E22" w:rsidRDefault="00170FD8" w:rsidP="00955C39">
            <w:pPr>
              <w:jc w:val="center"/>
              <w:rPr>
                <w:b/>
                <w:bCs/>
                <w:i/>
                <w:iCs/>
                <w:lang w:val="en-US"/>
              </w:rPr>
            </w:pPr>
            <w:r w:rsidRPr="009C6E22">
              <w:rPr>
                <w:b/>
                <w:bCs/>
                <w:i/>
                <w:iCs/>
                <w:lang w:val="en-US"/>
              </w:rPr>
              <w:t>Ratios</w:t>
            </w:r>
          </w:p>
        </w:tc>
        <w:tc>
          <w:tcPr>
            <w:tcW w:w="2739" w:type="dxa"/>
          </w:tcPr>
          <w:p w14:paraId="2F9634D9" w14:textId="77777777" w:rsidR="009A4B32" w:rsidRPr="009C6E22" w:rsidRDefault="00170FD8" w:rsidP="00955C39">
            <w:pPr>
              <w:jc w:val="center"/>
              <w:rPr>
                <w:b/>
                <w:bCs/>
                <w:i/>
                <w:iCs/>
                <w:lang w:val="en-US"/>
              </w:rPr>
            </w:pPr>
            <w:r w:rsidRPr="009C6E22">
              <w:rPr>
                <w:b/>
                <w:bCs/>
                <w:i/>
                <w:iCs/>
                <w:lang w:val="en-US"/>
              </w:rPr>
              <w:t xml:space="preserve">Formula </w:t>
            </w:r>
          </w:p>
        </w:tc>
        <w:tc>
          <w:tcPr>
            <w:tcW w:w="2288" w:type="dxa"/>
          </w:tcPr>
          <w:p w14:paraId="30762274" w14:textId="77777777" w:rsidR="009A4B32" w:rsidRPr="009C6E22" w:rsidRDefault="00170FD8" w:rsidP="00955C39">
            <w:pPr>
              <w:jc w:val="center"/>
              <w:rPr>
                <w:b/>
                <w:bCs/>
                <w:i/>
                <w:iCs/>
                <w:lang w:val="en-US"/>
              </w:rPr>
            </w:pPr>
            <w:r w:rsidRPr="009C6E22">
              <w:rPr>
                <w:b/>
                <w:bCs/>
                <w:i/>
                <w:iCs/>
                <w:lang w:val="en-US"/>
              </w:rPr>
              <w:t>2019</w:t>
            </w:r>
          </w:p>
        </w:tc>
        <w:tc>
          <w:tcPr>
            <w:tcW w:w="2258" w:type="dxa"/>
          </w:tcPr>
          <w:p w14:paraId="3F1489C4" w14:textId="77777777" w:rsidR="009A4B32" w:rsidRPr="009C6E22" w:rsidRDefault="00170FD8" w:rsidP="00955C39">
            <w:pPr>
              <w:jc w:val="center"/>
              <w:rPr>
                <w:b/>
                <w:bCs/>
                <w:i/>
                <w:iCs/>
                <w:lang w:val="en-US"/>
              </w:rPr>
            </w:pPr>
            <w:r w:rsidRPr="009C6E22">
              <w:rPr>
                <w:b/>
                <w:bCs/>
                <w:i/>
                <w:iCs/>
                <w:lang w:val="en-US"/>
              </w:rPr>
              <w:t>2020</w:t>
            </w:r>
          </w:p>
        </w:tc>
      </w:tr>
      <w:tr w:rsidR="00DA10A9" w14:paraId="1FE244A8" w14:textId="77777777" w:rsidTr="00955C39">
        <w:tc>
          <w:tcPr>
            <w:tcW w:w="2065" w:type="dxa"/>
          </w:tcPr>
          <w:p w14:paraId="262831C6" w14:textId="77777777" w:rsidR="009A4B32" w:rsidRPr="009C6E22" w:rsidRDefault="00170FD8" w:rsidP="00955C39">
            <w:pPr>
              <w:rPr>
                <w:b/>
                <w:bCs/>
                <w:i/>
                <w:iCs/>
                <w:lang w:val="en-US"/>
              </w:rPr>
            </w:pPr>
            <w:r>
              <w:rPr>
                <w:b/>
                <w:bCs/>
                <w:i/>
                <w:iCs/>
                <w:lang w:val="en-US"/>
              </w:rPr>
              <w:t>Current ratio</w:t>
            </w:r>
            <w:r w:rsidRPr="009C6E22">
              <w:rPr>
                <w:b/>
                <w:bCs/>
                <w:i/>
                <w:iCs/>
                <w:lang w:val="en-US"/>
              </w:rPr>
              <w:t xml:space="preserve"> </w:t>
            </w:r>
          </w:p>
        </w:tc>
        <w:tc>
          <w:tcPr>
            <w:tcW w:w="2739" w:type="dxa"/>
          </w:tcPr>
          <w:p w14:paraId="6F0A3073" w14:textId="77777777" w:rsidR="009A4B32" w:rsidRPr="009C6E22" w:rsidRDefault="00170FD8" w:rsidP="00955C39">
            <w:pPr>
              <w:rPr>
                <w:b/>
                <w:bCs/>
                <w:i/>
                <w:iCs/>
                <w:lang w:val="en-US"/>
              </w:rPr>
            </w:pPr>
            <m:oMath>
              <m:r>
                <m:rPr>
                  <m:sty m:val="bi"/>
                </m:rPr>
                <w:rPr>
                  <w:rFonts w:ascii="Cambria Math" w:hAnsi="Cambria Math"/>
                  <w:lang w:val="en-US"/>
                </w:rPr>
                <m:t>(</m:t>
              </m:r>
              <m:r>
                <m:rPr>
                  <m:sty m:val="bi"/>
                </m:rPr>
                <w:rPr>
                  <w:rFonts w:ascii="Cambria Math" w:hAnsi="Cambria Math"/>
                  <w:lang w:val="en-US"/>
                </w:rPr>
                <m:t>Current</m:t>
              </m:r>
              <m:r>
                <m:rPr>
                  <m:sty m:val="bi"/>
                </m:rPr>
                <w:rPr>
                  <w:rFonts w:ascii="Cambria Math" w:hAnsi="Cambria Math"/>
                  <w:lang w:val="en-US"/>
                </w:rPr>
                <m:t xml:space="preserve"> </m:t>
              </m:r>
              <m:r>
                <m:rPr>
                  <m:sty m:val="bi"/>
                </m:rPr>
                <w:rPr>
                  <w:rFonts w:ascii="Cambria Math" w:hAnsi="Cambria Math"/>
                  <w:lang w:val="en-US"/>
                </w:rPr>
                <m:t>assets</m:t>
              </m:r>
              <m:r>
                <m:rPr>
                  <m:sty m:val="bi"/>
                </m:rPr>
                <w:rPr>
                  <w:rFonts w:ascii="Cambria Math" w:hAnsi="Cambria Math"/>
                  <w:lang w:val="en-US"/>
                </w:rPr>
                <m:t xml:space="preserve">/ </m:t>
              </m:r>
              <m:r>
                <m:rPr>
                  <m:sty m:val="bi"/>
                </m:rPr>
                <w:rPr>
                  <w:rFonts w:ascii="Cambria Math" w:hAnsi="Cambria Math"/>
                  <w:lang w:val="en-US"/>
                </w:rPr>
                <m:t>Current</m:t>
              </m:r>
              <m:r>
                <m:rPr>
                  <m:sty m:val="bi"/>
                </m:rPr>
                <w:rPr>
                  <w:rFonts w:ascii="Cambria Math" w:hAnsi="Cambria Math"/>
                  <w:lang w:val="en-US"/>
                </w:rPr>
                <m:t xml:space="preserve"> </m:t>
              </m:r>
              <m:r>
                <m:rPr>
                  <m:sty m:val="bi"/>
                </m:rPr>
                <w:rPr>
                  <w:rFonts w:ascii="Cambria Math" w:hAnsi="Cambria Math"/>
                  <w:lang w:val="en-US"/>
                </w:rPr>
                <m:t>liabilities</m:t>
              </m:r>
            </m:oMath>
            <w:r>
              <w:rPr>
                <w:b/>
                <w:bCs/>
                <w:i/>
                <w:iCs/>
                <w:lang w:val="en-US"/>
              </w:rPr>
              <w:t xml:space="preserve">) </w:t>
            </w:r>
          </w:p>
        </w:tc>
        <w:tc>
          <w:tcPr>
            <w:tcW w:w="2288" w:type="dxa"/>
          </w:tcPr>
          <w:p w14:paraId="74F19C77" w14:textId="77777777" w:rsidR="009A4B32" w:rsidRPr="009C6E22" w:rsidRDefault="00170FD8" w:rsidP="00955C39">
            <w:pPr>
              <w:rPr>
                <w:b/>
                <w:bCs/>
                <w:i/>
                <w:iCs/>
                <w:lang w:val="en-US"/>
              </w:rPr>
            </w:pPr>
            <m:oMath>
              <m:r>
                <m:rPr>
                  <m:sty m:val="bi"/>
                </m:rPr>
                <w:rPr>
                  <w:rFonts w:ascii="Cambria Math" w:hAnsi="Cambria Math"/>
                  <w:lang w:val="en-US"/>
                </w:rPr>
                <m:t>(</m:t>
              </m:r>
              <m:r>
                <m:rPr>
                  <m:sty m:val="bi"/>
                </m:rPr>
                <w:rPr>
                  <w:rFonts w:ascii="Cambria Math" w:hAnsi="Cambria Math"/>
                  <w:lang w:val="en-US"/>
                </w:rPr>
                <m:t>2093000</m:t>
              </m:r>
              <m:r>
                <m:rPr>
                  <m:sty m:val="bi"/>
                </m:rPr>
                <w:rPr>
                  <w:rFonts w:ascii="Cambria Math" w:hAnsi="Cambria Math"/>
                  <w:lang w:val="en-US"/>
                </w:rPr>
                <m:t>/</m:t>
              </m:r>
              <m:r>
                <m:rPr>
                  <m:sty m:val="bi"/>
                </m:rPr>
                <w:rPr>
                  <w:rFonts w:ascii="Cambria Math" w:hAnsi="Cambria Math"/>
                  <w:lang w:val="en-US"/>
                </w:rPr>
                <m:t>2871000</m:t>
              </m:r>
              <m:r>
                <m:rPr>
                  <m:sty m:val="bi"/>
                </m:rPr>
                <w:rPr>
                  <w:rFonts w:ascii="Cambria Math" w:hAnsi="Cambria Math"/>
                  <w:lang w:val="en-US"/>
                </w:rPr>
                <m:t>)</m:t>
              </m:r>
            </m:oMath>
            <w:r w:rsidRPr="009C6E22">
              <w:rPr>
                <w:b/>
                <w:bCs/>
                <w:i/>
                <w:iCs/>
                <w:lang w:val="en-US"/>
              </w:rPr>
              <w:t xml:space="preserve"> = </w:t>
            </w:r>
            <w:r w:rsidR="00305D79">
              <w:rPr>
                <w:b/>
                <w:bCs/>
                <w:i/>
                <w:iCs/>
                <w:lang w:val="en-US"/>
              </w:rPr>
              <w:t>0.71:1</w:t>
            </w:r>
          </w:p>
        </w:tc>
        <w:tc>
          <w:tcPr>
            <w:tcW w:w="2258" w:type="dxa"/>
          </w:tcPr>
          <w:p w14:paraId="740C889F" w14:textId="77777777" w:rsidR="009A4B32" w:rsidRPr="009C6E22" w:rsidRDefault="00170FD8" w:rsidP="00955C39">
            <w:pPr>
              <w:rPr>
                <w:b/>
                <w:bCs/>
                <w:i/>
                <w:iCs/>
                <w:lang w:val="en-US"/>
              </w:rPr>
            </w:pPr>
            <m:oMath>
              <m:r>
                <m:rPr>
                  <m:sty m:val="bi"/>
                </m:rPr>
                <w:rPr>
                  <w:rFonts w:ascii="Cambria Math" w:hAnsi="Cambria Math"/>
                  <w:lang w:val="en-US"/>
                </w:rPr>
                <m:t>(</m:t>
              </m:r>
              <m:r>
                <m:rPr>
                  <m:sty m:val="bi"/>
                </m:rPr>
                <w:rPr>
                  <w:rFonts w:ascii="Cambria Math" w:hAnsi="Cambria Math"/>
                  <w:lang w:val="en-US"/>
                </w:rPr>
                <m:t>4202000</m:t>
              </m:r>
              <m:r>
                <m:rPr>
                  <m:sty m:val="bi"/>
                </m:rPr>
                <w:rPr>
                  <w:rFonts w:ascii="Cambria Math" w:hAnsi="Cambria Math"/>
                  <w:lang w:val="en-US"/>
                </w:rPr>
                <m:t>/</m:t>
              </m:r>
              <m:r>
                <m:rPr>
                  <m:sty m:val="bi"/>
                </m:rPr>
                <w:rPr>
                  <w:rFonts w:ascii="Cambria Math" w:hAnsi="Cambria Math"/>
                  <w:lang w:val="en-US"/>
                </w:rPr>
                <m:t>2431000</m:t>
              </m:r>
              <m:r>
                <m:rPr>
                  <m:sty m:val="bi"/>
                </m:rPr>
                <w:rPr>
                  <w:rFonts w:ascii="Cambria Math" w:hAnsi="Cambria Math"/>
                  <w:lang w:val="en-US"/>
                </w:rPr>
                <m:t>)</m:t>
              </m:r>
            </m:oMath>
            <w:r w:rsidRPr="009C6E22">
              <w:rPr>
                <w:b/>
                <w:bCs/>
                <w:i/>
                <w:iCs/>
                <w:lang w:val="en-US"/>
              </w:rPr>
              <w:t xml:space="preserve"> = </w:t>
            </w:r>
            <w:r w:rsidR="00305D79">
              <w:rPr>
                <w:b/>
                <w:bCs/>
                <w:i/>
                <w:iCs/>
                <w:lang w:val="en-US"/>
              </w:rPr>
              <w:t>1.8:1</w:t>
            </w:r>
          </w:p>
        </w:tc>
      </w:tr>
      <w:tr w:rsidR="00DA10A9" w14:paraId="53FBBD1B" w14:textId="77777777" w:rsidTr="00955C39">
        <w:tc>
          <w:tcPr>
            <w:tcW w:w="2065" w:type="dxa"/>
          </w:tcPr>
          <w:p w14:paraId="4670B57A" w14:textId="77777777" w:rsidR="009A4B32" w:rsidRPr="009C6E22" w:rsidRDefault="00170FD8" w:rsidP="00955C39">
            <w:pPr>
              <w:rPr>
                <w:b/>
                <w:bCs/>
                <w:i/>
                <w:iCs/>
                <w:lang w:val="en-US"/>
              </w:rPr>
            </w:pPr>
            <w:r>
              <w:rPr>
                <w:b/>
                <w:bCs/>
                <w:i/>
                <w:iCs/>
                <w:lang w:val="en-US"/>
              </w:rPr>
              <w:t>Quick ratio</w:t>
            </w:r>
            <w:r w:rsidRPr="009C6E22">
              <w:rPr>
                <w:b/>
                <w:bCs/>
                <w:i/>
                <w:iCs/>
                <w:lang w:val="en-US"/>
              </w:rPr>
              <w:t xml:space="preserve"> </w:t>
            </w:r>
          </w:p>
        </w:tc>
        <w:tc>
          <w:tcPr>
            <w:tcW w:w="2739" w:type="dxa"/>
          </w:tcPr>
          <w:p w14:paraId="6CEED7FE" w14:textId="77777777" w:rsidR="009A4B32" w:rsidRPr="009C6E22" w:rsidRDefault="00170FD8" w:rsidP="00955C39">
            <w:pPr>
              <w:rPr>
                <w:b/>
                <w:bCs/>
                <w:i/>
                <w:iCs/>
                <w:lang w:val="en-US"/>
              </w:rPr>
            </w:pPr>
            <m:oMathPara>
              <m:oMath>
                <m:r>
                  <m:rPr>
                    <m:sty m:val="bi"/>
                  </m:rPr>
                  <w:rPr>
                    <w:rFonts w:ascii="Cambria Math" w:hAnsi="Cambria Math"/>
                    <w:lang w:val="en-US"/>
                  </w:rPr>
                  <m:t>(</m:t>
                </m:r>
                <m:r>
                  <m:rPr>
                    <m:sty m:val="bi"/>
                  </m:rPr>
                  <w:rPr>
                    <w:rFonts w:ascii="Cambria Math" w:hAnsi="Cambria Math"/>
                    <w:lang w:val="en-US"/>
                  </w:rPr>
                  <m:t>Current</m:t>
                </m:r>
                <m:r>
                  <m:rPr>
                    <m:sty m:val="bi"/>
                  </m:rPr>
                  <w:rPr>
                    <w:rFonts w:ascii="Cambria Math" w:hAnsi="Cambria Math"/>
                    <w:lang w:val="en-US"/>
                  </w:rPr>
                  <m:t xml:space="preserve"> </m:t>
                </m:r>
                <m:r>
                  <m:rPr>
                    <m:sty m:val="bi"/>
                  </m:rPr>
                  <w:rPr>
                    <w:rFonts w:ascii="Cambria Math" w:hAnsi="Cambria Math"/>
                    <w:lang w:val="en-US"/>
                  </w:rPr>
                  <m:t>assets</m:t>
                </m:r>
                <m:r>
                  <m:rPr>
                    <m:sty m:val="bi"/>
                  </m:rPr>
                  <w:rPr>
                    <w:rFonts w:ascii="Cambria Math" w:hAnsi="Cambria Math"/>
                    <w:lang w:val="en-US"/>
                  </w:rPr>
                  <m:t>-</m:t>
                </m:r>
                <m:r>
                  <m:rPr>
                    <m:sty m:val="bi"/>
                  </m:rPr>
                  <w:rPr>
                    <w:rFonts w:ascii="Cambria Math" w:hAnsi="Cambria Math"/>
                    <w:lang w:val="en-US"/>
                  </w:rPr>
                  <m:t>stocks</m:t>
                </m:r>
                <m:r>
                  <m:rPr>
                    <m:sty m:val="bi"/>
                  </m:rPr>
                  <w:rPr>
                    <w:rFonts w:ascii="Cambria Math" w:hAnsi="Cambria Math"/>
                    <w:lang w:val="en-US"/>
                  </w:rPr>
                  <m:t>/</m:t>
                </m:r>
                <m:r>
                  <m:rPr>
                    <m:sty m:val="bi"/>
                  </m:rPr>
                  <w:rPr>
                    <w:rFonts w:ascii="Cambria Math" w:hAnsi="Cambria Math"/>
                    <w:lang w:val="en-US"/>
                  </w:rPr>
                  <m:t>current</m:t>
                </m:r>
                <m:r>
                  <m:rPr>
                    <m:sty m:val="bi"/>
                  </m:rPr>
                  <w:rPr>
                    <w:rFonts w:ascii="Cambria Math" w:hAnsi="Cambria Math"/>
                    <w:lang w:val="en-US"/>
                  </w:rPr>
                  <m:t xml:space="preserve"> </m:t>
                </m:r>
                <m:r>
                  <m:rPr>
                    <m:sty m:val="bi"/>
                  </m:rPr>
                  <w:rPr>
                    <w:rFonts w:ascii="Cambria Math" w:hAnsi="Cambria Math"/>
                    <w:lang w:val="en-US"/>
                  </w:rPr>
                  <m:t>liabilities</m:t>
                </m:r>
                <m:r>
                  <m:rPr>
                    <m:sty m:val="bi"/>
                  </m:rPr>
                  <w:rPr>
                    <w:rFonts w:ascii="Cambria Math" w:hAnsi="Cambria Math"/>
                    <w:lang w:val="en-US"/>
                  </w:rPr>
                  <m:t>)</m:t>
                </m:r>
              </m:oMath>
            </m:oMathPara>
          </w:p>
        </w:tc>
        <w:tc>
          <w:tcPr>
            <w:tcW w:w="2288" w:type="dxa"/>
          </w:tcPr>
          <w:p w14:paraId="21E120D7" w14:textId="77777777" w:rsidR="009A4B32" w:rsidRPr="009C6E22" w:rsidRDefault="00170FD8" w:rsidP="00955C39">
            <w:pPr>
              <w:rPr>
                <w:rFonts w:eastAsiaTheme="minorEastAsia"/>
                <w:b/>
                <w:bCs/>
                <w:i/>
                <w:iCs/>
                <w:lang w:val="en-US"/>
              </w:rPr>
            </w:pPr>
            <m:oMath>
              <m:r>
                <m:rPr>
                  <m:sty m:val="bi"/>
                </m:rPr>
                <w:rPr>
                  <w:rFonts w:ascii="Cambria Math" w:hAnsi="Cambria Math"/>
                  <w:lang w:val="en-US"/>
                </w:rPr>
                <m:t>(</m:t>
              </m:r>
              <m:r>
                <m:rPr>
                  <m:sty m:val="bi"/>
                </m:rPr>
                <w:rPr>
                  <w:rFonts w:ascii="Cambria Math" w:hAnsi="Cambria Math"/>
                  <w:lang w:val="en-US"/>
                </w:rPr>
                <m:t>2093</m:t>
              </m:r>
              <m:r>
                <m:rPr>
                  <m:sty m:val="bi"/>
                </m:rPr>
                <w:rPr>
                  <w:rFonts w:ascii="Cambria Math" w:hAnsi="Cambria Math"/>
                  <w:lang w:val="en-US"/>
                </w:rPr>
                <m:t>0</m:t>
              </m:r>
              <m:r>
                <m:rPr>
                  <m:sty m:val="bi"/>
                </m:rPr>
                <w:rPr>
                  <w:rFonts w:ascii="Cambria Math" w:hAnsi="Cambria Math"/>
                  <w:lang w:val="en-US"/>
                </w:rPr>
                <m:t>00</m:t>
              </m:r>
              <m:r>
                <m:rPr>
                  <m:sty m:val="bi"/>
                </m:rPr>
                <w:rPr>
                  <w:rFonts w:ascii="Cambria Math" w:hAnsi="Cambria Math"/>
                  <w:lang w:val="en-US"/>
                </w:rPr>
                <m:t>-</m:t>
              </m:r>
              <m:r>
                <m:rPr>
                  <m:sty m:val="bi"/>
                </m:rPr>
                <w:rPr>
                  <w:rFonts w:ascii="Cambria Math" w:hAnsi="Cambria Math"/>
                  <w:lang w:val="en-US"/>
                </w:rPr>
                <m:t>3000</m:t>
              </m:r>
              <m:r>
                <m:rPr>
                  <m:sty m:val="bi"/>
                </m:rPr>
                <w:rPr>
                  <w:rFonts w:ascii="Cambria Math" w:hAnsi="Cambria Math"/>
                  <w:lang w:val="en-US"/>
                </w:rPr>
                <m:t>/</m:t>
              </m:r>
              <m:r>
                <m:rPr>
                  <m:sty m:val="bi"/>
                </m:rPr>
                <w:rPr>
                  <w:rFonts w:ascii="Cambria Math" w:hAnsi="Cambria Math"/>
                  <w:lang w:val="en-US"/>
                </w:rPr>
                <m:t>2871000</m:t>
              </m:r>
              <m:r>
                <m:rPr>
                  <m:sty m:val="bi"/>
                </m:rPr>
                <w:rPr>
                  <w:rFonts w:ascii="Cambria Math" w:hAnsi="Cambria Math"/>
                  <w:lang w:val="en-US"/>
                </w:rPr>
                <m:t>)</m:t>
              </m:r>
            </m:oMath>
            <w:r w:rsidRPr="009C6E22">
              <w:rPr>
                <w:rFonts w:eastAsiaTheme="minorEastAsia"/>
                <w:b/>
                <w:bCs/>
                <w:i/>
                <w:iCs/>
                <w:lang w:val="en-US"/>
              </w:rPr>
              <w:t xml:space="preserve">= </w:t>
            </w:r>
            <w:r w:rsidR="00783F30">
              <w:rPr>
                <w:rFonts w:eastAsiaTheme="minorEastAsia"/>
                <w:b/>
                <w:bCs/>
                <w:i/>
                <w:iCs/>
                <w:lang w:val="en-US"/>
              </w:rPr>
              <w:t>0.10:1</w:t>
            </w:r>
          </w:p>
          <w:p w14:paraId="54B58B6E" w14:textId="77777777" w:rsidR="009A4B32" w:rsidRPr="009C6E22" w:rsidRDefault="009A4B32" w:rsidP="00955C39">
            <w:pPr>
              <w:rPr>
                <w:rFonts w:eastAsiaTheme="minorEastAsia"/>
                <w:b/>
                <w:bCs/>
                <w:i/>
                <w:iCs/>
                <w:lang w:val="en-US"/>
              </w:rPr>
            </w:pPr>
          </w:p>
          <w:p w14:paraId="53B2E50F" w14:textId="77777777" w:rsidR="009A4B32" w:rsidRPr="009C6E22" w:rsidRDefault="009A4B32" w:rsidP="00955C39">
            <w:pPr>
              <w:rPr>
                <w:b/>
                <w:bCs/>
                <w:i/>
                <w:iCs/>
                <w:lang w:val="en-US"/>
              </w:rPr>
            </w:pPr>
          </w:p>
        </w:tc>
        <w:tc>
          <w:tcPr>
            <w:tcW w:w="2258" w:type="dxa"/>
          </w:tcPr>
          <w:p w14:paraId="110A5215" w14:textId="77777777" w:rsidR="009A4B32" w:rsidRPr="009C6E22" w:rsidRDefault="00170FD8" w:rsidP="00955C39">
            <w:pPr>
              <w:rPr>
                <w:b/>
                <w:bCs/>
                <w:i/>
                <w:iCs/>
                <w:lang w:val="en-US"/>
              </w:rPr>
            </w:pPr>
            <m:oMath>
              <m:r>
                <m:rPr>
                  <m:sty m:val="bi"/>
                </m:rPr>
                <w:rPr>
                  <w:rFonts w:ascii="Cambria Math" w:hAnsi="Cambria Math"/>
                  <w:lang w:val="en-US"/>
                </w:rPr>
                <m:t>(</m:t>
              </m:r>
              <m:r>
                <m:rPr>
                  <m:sty m:val="bi"/>
                </m:rPr>
                <w:rPr>
                  <w:rFonts w:ascii="Cambria Math" w:hAnsi="Cambria Math"/>
                  <w:lang w:val="en-US"/>
                </w:rPr>
                <m:t>4202000</m:t>
              </m:r>
              <m:r>
                <m:rPr>
                  <m:sty m:val="bi"/>
                </m:rPr>
                <w:rPr>
                  <w:rFonts w:ascii="Cambria Math" w:hAnsi="Cambria Math"/>
                  <w:lang w:val="en-US"/>
                </w:rPr>
                <m:t>-</m:t>
              </m:r>
              <m:r>
                <m:rPr>
                  <m:sty m:val="bi"/>
                </m:rPr>
                <w:rPr>
                  <w:rFonts w:ascii="Cambria Math" w:hAnsi="Cambria Math"/>
                  <w:lang w:val="en-US"/>
                </w:rPr>
                <m:t>3000</m:t>
              </m:r>
              <m:r>
                <m:rPr>
                  <m:sty m:val="bi"/>
                </m:rPr>
                <w:rPr>
                  <w:rFonts w:ascii="Cambria Math" w:hAnsi="Cambria Math"/>
                  <w:lang w:val="en-US"/>
                </w:rPr>
                <m:t>/</m:t>
              </m:r>
              <m:r>
                <m:rPr>
                  <m:sty m:val="bi"/>
                </m:rPr>
                <w:rPr>
                  <w:rFonts w:ascii="Cambria Math" w:hAnsi="Cambria Math"/>
                  <w:lang w:val="en-US"/>
                </w:rPr>
                <m:t>2431000</m:t>
              </m:r>
              <m:r>
                <m:rPr>
                  <m:sty m:val="bi"/>
                </m:rPr>
                <w:rPr>
                  <w:rFonts w:ascii="Cambria Math" w:hAnsi="Cambria Math"/>
                  <w:lang w:val="en-US"/>
                </w:rPr>
                <m:t>)</m:t>
              </m:r>
            </m:oMath>
            <w:r w:rsidRPr="009C6E22">
              <w:rPr>
                <w:b/>
                <w:bCs/>
                <w:i/>
                <w:iCs/>
                <w:lang w:val="en-US"/>
              </w:rPr>
              <w:t xml:space="preserve"> = </w:t>
            </w:r>
            <w:r w:rsidR="00783F30">
              <w:rPr>
                <w:b/>
                <w:bCs/>
                <w:i/>
                <w:iCs/>
                <w:lang w:val="en-US"/>
              </w:rPr>
              <w:t>1.8:1</w:t>
            </w:r>
          </w:p>
        </w:tc>
      </w:tr>
    </w:tbl>
    <w:p w14:paraId="7B92879A" w14:textId="77777777" w:rsidR="009A4B32" w:rsidRDefault="009A4B32" w:rsidP="00C446F0"/>
    <w:p w14:paraId="3F691422" w14:textId="77777777" w:rsidR="00783F30" w:rsidRDefault="00170FD8" w:rsidP="00783F30">
      <w:pPr>
        <w:rPr>
          <w:b/>
          <w:bCs/>
          <w:i/>
          <w:iCs/>
          <w:u w:val="single"/>
          <w:lang w:val="en-US"/>
        </w:rPr>
      </w:pPr>
      <w:r>
        <w:rPr>
          <w:b/>
          <w:bCs/>
          <w:i/>
          <w:iCs/>
          <w:u w:val="single"/>
          <w:lang w:val="en-US"/>
        </w:rPr>
        <w:t xml:space="preserve">INTERPRETATION </w:t>
      </w:r>
    </w:p>
    <w:p w14:paraId="3D36397D" w14:textId="77777777" w:rsidR="00114088" w:rsidRDefault="00170FD8" w:rsidP="00C446F0">
      <w:r>
        <w:t>T</w:t>
      </w:r>
      <w:r w:rsidR="00AC1DCC">
        <w:t>he above calculation has been done in order to interpret the liquidity ratio of Hilton Hotel for considering the years 2019 and 2020.</w:t>
      </w:r>
      <w:r w:rsidR="00E747C4">
        <w:t xml:space="preserve"> In addition to this, there are two types of ratio</w:t>
      </w:r>
      <w:r w:rsidR="0097318F">
        <w:t>s</w:t>
      </w:r>
      <w:r w:rsidR="00E747C4">
        <w:t xml:space="preserve"> under the liquidity ratio that is a current ratio and a quick ratio, respectively</w:t>
      </w:r>
      <w:sdt>
        <w:sdtPr>
          <w:id w:val="116885307"/>
          <w:citation/>
        </w:sdtPr>
        <w:sdtEndPr/>
        <w:sdtContent>
          <w:r w:rsidR="00330748">
            <w:fldChar w:fldCharType="begin"/>
          </w:r>
          <w:r w:rsidR="00330748">
            <w:rPr>
              <w:lang w:val="en-US"/>
            </w:rPr>
            <w:instrText xml:space="preserve"> CITATION tof22 \l 1033 </w:instrText>
          </w:r>
          <w:r w:rsidR="00330748">
            <w:fldChar w:fldCharType="separate"/>
          </w:r>
          <w:r w:rsidR="00330748">
            <w:rPr>
              <w:noProof/>
              <w:lang w:val="en-US"/>
            </w:rPr>
            <w:t xml:space="preserve"> </w:t>
          </w:r>
          <w:r w:rsidR="00330748" w:rsidRPr="00330748">
            <w:rPr>
              <w:noProof/>
              <w:lang w:val="en-US"/>
            </w:rPr>
            <w:t>(tofler, 2022)</w:t>
          </w:r>
          <w:r w:rsidR="00330748">
            <w:fldChar w:fldCharType="end"/>
          </w:r>
        </w:sdtContent>
      </w:sdt>
      <w:r w:rsidR="00E747C4">
        <w:t>.</w:t>
      </w:r>
      <w:r w:rsidR="002A4126">
        <w:t xml:space="preserve"> The different ratios are </w:t>
      </w:r>
      <w:r w:rsidR="00DE7204">
        <w:t>evaluated below:</w:t>
      </w:r>
    </w:p>
    <w:p w14:paraId="644841C8" w14:textId="77777777" w:rsidR="0097318F" w:rsidRPr="0046121A" w:rsidRDefault="00170FD8" w:rsidP="0097318F">
      <w:pPr>
        <w:rPr>
          <w:shd w:val="clear" w:color="auto" w:fill="FFFFFF"/>
        </w:rPr>
      </w:pPr>
      <w:r w:rsidRPr="0097318F">
        <w:rPr>
          <w:i/>
          <w:iCs/>
          <w:u w:val="single"/>
        </w:rPr>
        <w:t>1. Current ratio-</w:t>
      </w:r>
      <w:r>
        <w:t xml:space="preserve"> The current ratio</w:t>
      </w:r>
      <w:r>
        <w:t xml:space="preserve"> has been calculated for Hilton Hotel for the years 2019 and 2020. Here it can be seen that for the year 2019, the </w:t>
      </w:r>
      <w:r w:rsidR="00BE02DE">
        <w:t>current ratio</w:t>
      </w:r>
      <w:r>
        <w:t xml:space="preserve"> has been ascertained as </w:t>
      </w:r>
      <w:r w:rsidR="00BE02DE">
        <w:t>0.71 for the year 2019</w:t>
      </w:r>
      <w:r>
        <w:t xml:space="preserve"> and that of the year 2020 as </w:t>
      </w:r>
      <w:r w:rsidR="00BE02DE">
        <w:t>1.8</w:t>
      </w:r>
      <w:r>
        <w:t>, respectively</w:t>
      </w:r>
      <w:r w:rsidR="0046121A">
        <w:t xml:space="preserve"> </w:t>
      </w:r>
      <w:r w:rsidR="0046121A">
        <w:rPr>
          <w:shd w:val="clear" w:color="auto" w:fill="FFFFFF"/>
        </w:rPr>
        <w:t>(Gogolinskii, et al., 2019)</w:t>
      </w:r>
      <w:r>
        <w:t>. It c</w:t>
      </w:r>
      <w:r>
        <w:t xml:space="preserve">an be seen the GP for the year has </w:t>
      </w:r>
      <w:r w:rsidR="00BE02DE">
        <w:t>enhanced</w:t>
      </w:r>
      <w:r>
        <w:t xml:space="preserve">, and </w:t>
      </w:r>
      <w:r w:rsidR="00BE02DE">
        <w:t xml:space="preserve">this means that the </w:t>
      </w:r>
      <w:r w:rsidR="00CF0F33">
        <w:t>respective company</w:t>
      </w:r>
      <w:r w:rsidR="001E7403">
        <w:t xml:space="preserve"> has utilised </w:t>
      </w:r>
      <w:r w:rsidR="00A10414">
        <w:t>their assets in order to earn better revenues.</w:t>
      </w:r>
    </w:p>
    <w:p w14:paraId="43107989" w14:textId="77777777" w:rsidR="000239D1" w:rsidRDefault="00170FD8" w:rsidP="000239D1">
      <w:r w:rsidRPr="00053739">
        <w:rPr>
          <w:i/>
          <w:iCs/>
          <w:u w:val="single"/>
        </w:rPr>
        <w:t xml:space="preserve">2. Quick ratio- </w:t>
      </w:r>
      <w:r>
        <w:t>The quick ratio has been calculated for Hilton Hotel for the years 2019 and 2020. Here it ca</w:t>
      </w:r>
      <w:r>
        <w:t xml:space="preserve">n be seen that for the year 2019, the quick ratio has been ascertained as 0.10 for the year </w:t>
      </w:r>
      <w:r>
        <w:lastRenderedPageBreak/>
        <w:t xml:space="preserve">2019 and that of the year 2020 as 1.8, respectively. It can be seen the GP for the year has enhanced, and this means that the respective company has utilised their </w:t>
      </w:r>
      <w:r>
        <w:t>stocks in a better way so as in order to earn better revenues.</w:t>
      </w:r>
    </w:p>
    <w:tbl>
      <w:tblPr>
        <w:tblStyle w:val="TableGrid"/>
        <w:tblW w:w="0" w:type="auto"/>
        <w:tblLook w:val="04A0" w:firstRow="1" w:lastRow="0" w:firstColumn="1" w:lastColumn="0" w:noHBand="0" w:noVBand="1"/>
      </w:tblPr>
      <w:tblGrid>
        <w:gridCol w:w="2065"/>
        <w:gridCol w:w="2739"/>
        <w:gridCol w:w="2288"/>
        <w:gridCol w:w="2258"/>
      </w:tblGrid>
      <w:tr w:rsidR="00DA10A9" w14:paraId="03A947F1" w14:textId="77777777" w:rsidTr="00955C39">
        <w:tc>
          <w:tcPr>
            <w:tcW w:w="9350" w:type="dxa"/>
            <w:gridSpan w:val="4"/>
          </w:tcPr>
          <w:p w14:paraId="6A135B7A" w14:textId="77777777" w:rsidR="005B219D" w:rsidRPr="009C6E22" w:rsidRDefault="00170FD8" w:rsidP="00955C39">
            <w:pPr>
              <w:jc w:val="center"/>
              <w:rPr>
                <w:b/>
                <w:bCs/>
                <w:i/>
                <w:iCs/>
                <w:lang w:val="en-US"/>
              </w:rPr>
            </w:pPr>
            <w:r>
              <w:rPr>
                <w:b/>
                <w:bCs/>
                <w:i/>
                <w:iCs/>
                <w:lang w:val="en-US"/>
              </w:rPr>
              <w:t>Gearing/ Solvency Ratios</w:t>
            </w:r>
          </w:p>
        </w:tc>
      </w:tr>
      <w:tr w:rsidR="00DA10A9" w14:paraId="4D660798" w14:textId="77777777" w:rsidTr="00955C39">
        <w:tc>
          <w:tcPr>
            <w:tcW w:w="2065" w:type="dxa"/>
          </w:tcPr>
          <w:p w14:paraId="10399C41" w14:textId="77777777" w:rsidR="005B219D" w:rsidRPr="009C6E22" w:rsidRDefault="00170FD8" w:rsidP="00955C39">
            <w:pPr>
              <w:jc w:val="center"/>
              <w:rPr>
                <w:b/>
                <w:bCs/>
                <w:i/>
                <w:iCs/>
                <w:lang w:val="en-US"/>
              </w:rPr>
            </w:pPr>
            <w:r w:rsidRPr="009C6E22">
              <w:rPr>
                <w:b/>
                <w:bCs/>
                <w:i/>
                <w:iCs/>
                <w:lang w:val="en-US"/>
              </w:rPr>
              <w:t>Ratios</w:t>
            </w:r>
          </w:p>
        </w:tc>
        <w:tc>
          <w:tcPr>
            <w:tcW w:w="2739" w:type="dxa"/>
          </w:tcPr>
          <w:p w14:paraId="0D2C29D5" w14:textId="77777777" w:rsidR="005B219D" w:rsidRPr="009C6E22" w:rsidRDefault="00170FD8" w:rsidP="00955C39">
            <w:pPr>
              <w:jc w:val="center"/>
              <w:rPr>
                <w:b/>
                <w:bCs/>
                <w:i/>
                <w:iCs/>
                <w:lang w:val="en-US"/>
              </w:rPr>
            </w:pPr>
            <w:r w:rsidRPr="009C6E22">
              <w:rPr>
                <w:b/>
                <w:bCs/>
                <w:i/>
                <w:iCs/>
                <w:lang w:val="en-US"/>
              </w:rPr>
              <w:t xml:space="preserve">Formula </w:t>
            </w:r>
          </w:p>
        </w:tc>
        <w:tc>
          <w:tcPr>
            <w:tcW w:w="2288" w:type="dxa"/>
          </w:tcPr>
          <w:p w14:paraId="724D770A" w14:textId="77777777" w:rsidR="005B219D" w:rsidRPr="009C6E22" w:rsidRDefault="00170FD8" w:rsidP="00955C39">
            <w:pPr>
              <w:jc w:val="center"/>
              <w:rPr>
                <w:b/>
                <w:bCs/>
                <w:i/>
                <w:iCs/>
                <w:lang w:val="en-US"/>
              </w:rPr>
            </w:pPr>
            <w:r w:rsidRPr="009C6E22">
              <w:rPr>
                <w:b/>
                <w:bCs/>
                <w:i/>
                <w:iCs/>
                <w:lang w:val="en-US"/>
              </w:rPr>
              <w:t>2019</w:t>
            </w:r>
          </w:p>
        </w:tc>
        <w:tc>
          <w:tcPr>
            <w:tcW w:w="2258" w:type="dxa"/>
          </w:tcPr>
          <w:p w14:paraId="20DCB059" w14:textId="77777777" w:rsidR="005B219D" w:rsidRPr="009C6E22" w:rsidRDefault="00170FD8" w:rsidP="00955C39">
            <w:pPr>
              <w:jc w:val="center"/>
              <w:rPr>
                <w:b/>
                <w:bCs/>
                <w:i/>
                <w:iCs/>
                <w:lang w:val="en-US"/>
              </w:rPr>
            </w:pPr>
            <w:r w:rsidRPr="009C6E22">
              <w:rPr>
                <w:b/>
                <w:bCs/>
                <w:i/>
                <w:iCs/>
                <w:lang w:val="en-US"/>
              </w:rPr>
              <w:t>2020</w:t>
            </w:r>
          </w:p>
        </w:tc>
      </w:tr>
      <w:tr w:rsidR="00DA10A9" w14:paraId="493899C0" w14:textId="77777777" w:rsidTr="00955C39">
        <w:tc>
          <w:tcPr>
            <w:tcW w:w="2065" w:type="dxa"/>
          </w:tcPr>
          <w:p w14:paraId="5E3E3413" w14:textId="77777777" w:rsidR="005B219D" w:rsidRPr="009C6E22" w:rsidRDefault="00170FD8" w:rsidP="00955C39">
            <w:pPr>
              <w:rPr>
                <w:b/>
                <w:bCs/>
                <w:i/>
                <w:iCs/>
                <w:lang w:val="en-US"/>
              </w:rPr>
            </w:pPr>
            <w:r>
              <w:rPr>
                <w:b/>
                <w:bCs/>
                <w:i/>
                <w:iCs/>
                <w:lang w:val="en-US"/>
              </w:rPr>
              <w:t>Gearing</w:t>
            </w:r>
            <w:r w:rsidRPr="009C6E22">
              <w:rPr>
                <w:b/>
                <w:bCs/>
                <w:i/>
                <w:iCs/>
                <w:lang w:val="en-US"/>
              </w:rPr>
              <w:t xml:space="preserve"> </w:t>
            </w:r>
          </w:p>
        </w:tc>
        <w:tc>
          <w:tcPr>
            <w:tcW w:w="2739" w:type="dxa"/>
          </w:tcPr>
          <w:p w14:paraId="13609F49" w14:textId="77777777" w:rsidR="005B219D" w:rsidRPr="009C6E22" w:rsidRDefault="00170FD8" w:rsidP="00955C39">
            <w:pPr>
              <w:rPr>
                <w:b/>
                <w:bCs/>
                <w:i/>
                <w:iCs/>
                <w:lang w:val="en-US"/>
              </w:rPr>
            </w:pPr>
            <w:r>
              <w:rPr>
                <w:b/>
                <w:bCs/>
                <w:i/>
                <w:iCs/>
                <w:lang w:val="en-US"/>
              </w:rPr>
              <w:t>Debt/Equity</w:t>
            </w:r>
          </w:p>
        </w:tc>
        <w:tc>
          <w:tcPr>
            <w:tcW w:w="2288" w:type="dxa"/>
          </w:tcPr>
          <w:p w14:paraId="7CCB79F3" w14:textId="77777777" w:rsidR="005B219D" w:rsidRDefault="00170FD8" w:rsidP="00955C39">
            <w:pPr>
              <w:rPr>
                <w:b/>
                <w:bCs/>
                <w:i/>
                <w:iCs/>
                <w:lang w:val="en-US"/>
              </w:rPr>
            </w:pPr>
            <w:r>
              <w:rPr>
                <w:b/>
                <w:bCs/>
                <w:i/>
                <w:iCs/>
                <w:lang w:val="en-US"/>
              </w:rPr>
              <w:t>2871000/482000</w:t>
            </w:r>
          </w:p>
          <w:p w14:paraId="25125597" w14:textId="77777777" w:rsidR="00E26978" w:rsidRPr="009C6E22" w:rsidRDefault="00170FD8" w:rsidP="00955C39">
            <w:pPr>
              <w:rPr>
                <w:b/>
                <w:bCs/>
                <w:i/>
                <w:iCs/>
                <w:lang w:val="en-US"/>
              </w:rPr>
            </w:pPr>
            <w:r>
              <w:rPr>
                <w:b/>
                <w:bCs/>
                <w:i/>
                <w:iCs/>
                <w:lang w:val="en-US"/>
              </w:rPr>
              <w:t>= 6</w:t>
            </w:r>
          </w:p>
        </w:tc>
        <w:tc>
          <w:tcPr>
            <w:tcW w:w="2258" w:type="dxa"/>
          </w:tcPr>
          <w:p w14:paraId="4B6A5480" w14:textId="77777777" w:rsidR="005B219D" w:rsidRPr="009C6E22" w:rsidRDefault="00170FD8" w:rsidP="00955C39">
            <w:pPr>
              <w:rPr>
                <w:b/>
                <w:bCs/>
                <w:i/>
                <w:iCs/>
                <w:lang w:val="en-US"/>
              </w:rPr>
            </w:pPr>
            <w:r>
              <w:rPr>
                <w:b/>
                <w:bCs/>
                <w:i/>
                <w:iCs/>
                <w:lang w:val="en-US"/>
              </w:rPr>
              <w:t>2431000/1490000 =1.7</w:t>
            </w:r>
          </w:p>
        </w:tc>
      </w:tr>
    </w:tbl>
    <w:p w14:paraId="1B6F4021" w14:textId="77777777" w:rsidR="005B219D" w:rsidRDefault="005B219D" w:rsidP="000239D1"/>
    <w:p w14:paraId="15FC029D" w14:textId="77777777" w:rsidR="00E26978" w:rsidRDefault="00170FD8" w:rsidP="00E26978">
      <w:pPr>
        <w:rPr>
          <w:b/>
          <w:bCs/>
          <w:i/>
          <w:iCs/>
          <w:u w:val="single"/>
          <w:lang w:val="en-US"/>
        </w:rPr>
      </w:pPr>
      <w:r>
        <w:rPr>
          <w:b/>
          <w:bCs/>
          <w:i/>
          <w:iCs/>
          <w:u w:val="single"/>
          <w:lang w:val="en-US"/>
        </w:rPr>
        <w:t xml:space="preserve">INTERPRETATION </w:t>
      </w:r>
    </w:p>
    <w:p w14:paraId="7FFD0597" w14:textId="77777777" w:rsidR="006B16F6" w:rsidRDefault="00170FD8" w:rsidP="000239D1">
      <w:r>
        <w:t xml:space="preserve">The above calculations </w:t>
      </w:r>
      <w:r w:rsidR="00754C82">
        <w:t xml:space="preserve">have been computed in </w:t>
      </w:r>
      <w:r w:rsidR="008921EE">
        <w:t xml:space="preserve">order to ascertain the gearing ratio in which the gearing ratio has been interpreted considering the </w:t>
      </w:r>
      <w:r w:rsidR="00F374BC">
        <w:t>year 2019 and the year 2020, respectively.</w:t>
      </w:r>
      <w:r w:rsidR="00692AB2">
        <w:t xml:space="preserve"> Here according to the formula, the gearing ratio has been calculated in which for the year 2019</w:t>
      </w:r>
      <w:r w:rsidR="00DC4C47">
        <w:t>, which has been interpreted as 6</w:t>
      </w:r>
      <w:sdt>
        <w:sdtPr>
          <w:id w:val="-1047985247"/>
          <w:citation/>
        </w:sdtPr>
        <w:sdtEndPr/>
        <w:sdtContent>
          <w:r w:rsidR="00330748">
            <w:fldChar w:fldCharType="begin"/>
          </w:r>
          <w:r w:rsidR="00330748">
            <w:rPr>
              <w:lang w:val="en-US"/>
            </w:rPr>
            <w:instrText xml:space="preserve"> CITATION rea22 \l 1033 </w:instrText>
          </w:r>
          <w:r w:rsidR="00330748">
            <w:fldChar w:fldCharType="separate"/>
          </w:r>
          <w:r w:rsidR="00330748">
            <w:rPr>
              <w:noProof/>
              <w:lang w:val="en-US"/>
            </w:rPr>
            <w:t xml:space="preserve"> </w:t>
          </w:r>
          <w:r w:rsidR="00330748" w:rsidRPr="00330748">
            <w:rPr>
              <w:noProof/>
              <w:lang w:val="en-US"/>
            </w:rPr>
            <w:t>(readyratios, 2022)</w:t>
          </w:r>
          <w:r w:rsidR="00330748">
            <w:fldChar w:fldCharType="end"/>
          </w:r>
        </w:sdtContent>
      </w:sdt>
      <w:r w:rsidR="00DC4C47">
        <w:t>.</w:t>
      </w:r>
      <w:r w:rsidR="00C449EB">
        <w:t xml:space="preserve"> However, the same gearing ratio has been computed</w:t>
      </w:r>
      <w:r w:rsidR="00C215B0">
        <w:t xml:space="preserve"> in which the </w:t>
      </w:r>
      <w:r w:rsidR="00EA0C44">
        <w:t xml:space="preserve">ratio for the year 2020, the ratio has been ascertained as 1.7 </w:t>
      </w:r>
      <w:r w:rsidR="006927B2">
        <w:t>respectively</w:t>
      </w:r>
      <w:r w:rsidR="001362CC">
        <w:t xml:space="preserve"> Here it can be seen that the company Hilton Hotels has performed better in the year 2020 and thus, </w:t>
      </w:r>
      <w:r w:rsidR="006548B9">
        <w:t xml:space="preserve">the respective company can </w:t>
      </w:r>
      <w:r w:rsidR="00573FAF">
        <w:t xml:space="preserve">approach for various loans </w:t>
      </w:r>
      <w:r w:rsidR="00866C3A">
        <w:t>from banks, stakeholders and many others as well.</w:t>
      </w:r>
      <w:r w:rsidR="00445E8A">
        <w:t xml:space="preserve"> </w:t>
      </w:r>
    </w:p>
    <w:tbl>
      <w:tblPr>
        <w:tblStyle w:val="TableGrid"/>
        <w:tblW w:w="0" w:type="auto"/>
        <w:tblLook w:val="04A0" w:firstRow="1" w:lastRow="0" w:firstColumn="1" w:lastColumn="0" w:noHBand="0" w:noVBand="1"/>
      </w:tblPr>
      <w:tblGrid>
        <w:gridCol w:w="995"/>
        <w:gridCol w:w="3917"/>
        <w:gridCol w:w="2219"/>
        <w:gridCol w:w="2219"/>
      </w:tblGrid>
      <w:tr w:rsidR="00DA10A9" w14:paraId="47688DF3" w14:textId="77777777" w:rsidTr="00955C39">
        <w:tc>
          <w:tcPr>
            <w:tcW w:w="9350" w:type="dxa"/>
            <w:gridSpan w:val="4"/>
          </w:tcPr>
          <w:p w14:paraId="28CC79C7" w14:textId="77777777" w:rsidR="00445E8A" w:rsidRPr="009C6E22" w:rsidRDefault="00170FD8" w:rsidP="00955C39">
            <w:pPr>
              <w:jc w:val="center"/>
              <w:rPr>
                <w:b/>
                <w:bCs/>
                <w:i/>
                <w:iCs/>
                <w:lang w:val="en-US"/>
              </w:rPr>
            </w:pPr>
            <w:r>
              <w:rPr>
                <w:b/>
                <w:bCs/>
                <w:i/>
                <w:iCs/>
                <w:lang w:val="en-US"/>
              </w:rPr>
              <w:t>Gearing/ Solvency Ratios</w:t>
            </w:r>
          </w:p>
        </w:tc>
      </w:tr>
      <w:tr w:rsidR="00DA10A9" w14:paraId="10673170" w14:textId="77777777" w:rsidTr="0019542B">
        <w:tc>
          <w:tcPr>
            <w:tcW w:w="1080" w:type="dxa"/>
          </w:tcPr>
          <w:p w14:paraId="111A8822" w14:textId="77777777" w:rsidR="00445E8A" w:rsidRPr="009C6E22" w:rsidRDefault="00170FD8" w:rsidP="00955C39">
            <w:pPr>
              <w:jc w:val="center"/>
              <w:rPr>
                <w:b/>
                <w:bCs/>
                <w:i/>
                <w:iCs/>
                <w:lang w:val="en-US"/>
              </w:rPr>
            </w:pPr>
            <w:r w:rsidRPr="009C6E22">
              <w:rPr>
                <w:b/>
                <w:bCs/>
                <w:i/>
                <w:iCs/>
                <w:lang w:val="en-US"/>
              </w:rPr>
              <w:t>Ratios</w:t>
            </w:r>
          </w:p>
        </w:tc>
        <w:tc>
          <w:tcPr>
            <w:tcW w:w="4319" w:type="dxa"/>
          </w:tcPr>
          <w:p w14:paraId="41E5468F" w14:textId="77777777" w:rsidR="00445E8A" w:rsidRPr="009C6E22" w:rsidRDefault="00170FD8" w:rsidP="00955C39">
            <w:pPr>
              <w:jc w:val="center"/>
              <w:rPr>
                <w:b/>
                <w:bCs/>
                <w:i/>
                <w:iCs/>
                <w:lang w:val="en-US"/>
              </w:rPr>
            </w:pPr>
            <w:r w:rsidRPr="009C6E22">
              <w:rPr>
                <w:b/>
                <w:bCs/>
                <w:i/>
                <w:iCs/>
                <w:lang w:val="en-US"/>
              </w:rPr>
              <w:t xml:space="preserve">Formula </w:t>
            </w:r>
          </w:p>
        </w:tc>
        <w:tc>
          <w:tcPr>
            <w:tcW w:w="2357" w:type="dxa"/>
          </w:tcPr>
          <w:p w14:paraId="13D0BD5C" w14:textId="77777777" w:rsidR="00445E8A" w:rsidRPr="009C6E22" w:rsidRDefault="00170FD8" w:rsidP="00955C39">
            <w:pPr>
              <w:jc w:val="center"/>
              <w:rPr>
                <w:b/>
                <w:bCs/>
                <w:i/>
                <w:iCs/>
                <w:lang w:val="en-US"/>
              </w:rPr>
            </w:pPr>
            <w:r w:rsidRPr="009C6E22">
              <w:rPr>
                <w:b/>
                <w:bCs/>
                <w:i/>
                <w:iCs/>
                <w:lang w:val="en-US"/>
              </w:rPr>
              <w:t>2019</w:t>
            </w:r>
          </w:p>
        </w:tc>
        <w:tc>
          <w:tcPr>
            <w:tcW w:w="1594" w:type="dxa"/>
          </w:tcPr>
          <w:p w14:paraId="49FD2AFE" w14:textId="77777777" w:rsidR="00445E8A" w:rsidRPr="009C6E22" w:rsidRDefault="00170FD8" w:rsidP="00955C39">
            <w:pPr>
              <w:jc w:val="center"/>
              <w:rPr>
                <w:b/>
                <w:bCs/>
                <w:i/>
                <w:iCs/>
                <w:lang w:val="en-US"/>
              </w:rPr>
            </w:pPr>
            <w:r w:rsidRPr="009C6E22">
              <w:rPr>
                <w:b/>
                <w:bCs/>
                <w:i/>
                <w:iCs/>
                <w:lang w:val="en-US"/>
              </w:rPr>
              <w:t>2020</w:t>
            </w:r>
          </w:p>
        </w:tc>
      </w:tr>
      <w:tr w:rsidR="00DA10A9" w14:paraId="11290488" w14:textId="77777777" w:rsidTr="0019542B">
        <w:tc>
          <w:tcPr>
            <w:tcW w:w="1080" w:type="dxa"/>
          </w:tcPr>
          <w:p w14:paraId="61E03D06" w14:textId="77777777" w:rsidR="00445E8A" w:rsidRPr="009C6E22" w:rsidRDefault="00170FD8" w:rsidP="00955C39">
            <w:pPr>
              <w:rPr>
                <w:b/>
                <w:bCs/>
                <w:i/>
                <w:iCs/>
                <w:lang w:val="en-US"/>
              </w:rPr>
            </w:pPr>
            <w:r>
              <w:rPr>
                <w:b/>
                <w:bCs/>
                <w:i/>
                <w:iCs/>
                <w:lang w:val="en-US"/>
              </w:rPr>
              <w:t xml:space="preserve">Working capital </w:t>
            </w:r>
            <w:r>
              <w:rPr>
                <w:b/>
                <w:bCs/>
                <w:i/>
                <w:iCs/>
                <w:lang w:val="en-US"/>
              </w:rPr>
              <w:lastRenderedPageBreak/>
              <w:t xml:space="preserve">turnover </w:t>
            </w:r>
          </w:p>
        </w:tc>
        <w:tc>
          <w:tcPr>
            <w:tcW w:w="4319" w:type="dxa"/>
          </w:tcPr>
          <w:p w14:paraId="7291F6E1" w14:textId="77777777" w:rsidR="00445E8A" w:rsidRPr="009C6E22" w:rsidRDefault="00170FD8" w:rsidP="00955C39">
            <w:pPr>
              <w:rPr>
                <w:b/>
                <w:bCs/>
                <w:i/>
                <w:iCs/>
                <w:lang w:val="en-US"/>
              </w:rPr>
            </w:pPr>
            <w:r w:rsidRPr="00E96EAF">
              <w:rPr>
                <w:rFonts w:eastAsiaTheme="minorEastAsia"/>
                <w:b/>
                <w:bCs/>
                <w:i/>
                <w:iCs/>
                <w:lang w:val="en-US"/>
              </w:rPr>
              <w:lastRenderedPageBreak/>
              <w:t>(Sales/ Net current asset)</w:t>
            </w:r>
          </w:p>
        </w:tc>
        <w:tc>
          <w:tcPr>
            <w:tcW w:w="2357" w:type="dxa"/>
          </w:tcPr>
          <w:p w14:paraId="64B8FE90" w14:textId="77777777" w:rsidR="00445E8A" w:rsidRDefault="00170FD8" w:rsidP="00955C39">
            <w:pPr>
              <w:rPr>
                <w:b/>
                <w:bCs/>
                <w:i/>
                <w:iCs/>
                <w:lang w:val="en-US"/>
              </w:rPr>
            </w:pPr>
            <m:oMath>
              <m:r>
                <m:rPr>
                  <m:sty m:val="bi"/>
                </m:rPr>
                <w:rPr>
                  <w:rFonts w:ascii="Cambria Math" w:hAnsi="Cambria Math"/>
                  <w:lang w:val="en-US"/>
                </w:rPr>
                <m:t>(</m:t>
              </m:r>
              <m:r>
                <m:rPr>
                  <m:sty m:val="bi"/>
                </m:rPr>
                <w:rPr>
                  <w:rFonts w:ascii="Cambria Math" w:hAnsi="Cambria Math"/>
                  <w:lang w:val="en-US"/>
                </w:rPr>
                <m:t>94452000</m:t>
              </m:r>
              <m:r>
                <m:rPr>
                  <m:sty m:val="bi"/>
                </m:rPr>
                <w:rPr>
                  <w:rFonts w:ascii="Cambria Math" w:hAnsi="Cambria Math"/>
                  <w:lang w:val="en-US"/>
                </w:rPr>
                <m:t>/</m:t>
              </m:r>
              <m:r>
                <m:rPr>
                  <m:sty m:val="bi"/>
                </m:rPr>
                <w:rPr>
                  <w:rFonts w:ascii="Cambria Math" w:hAnsi="Cambria Math"/>
                  <w:lang w:val="en-US"/>
                </w:rPr>
                <m:t>2093000</m:t>
              </m:r>
            </m:oMath>
            <w:r>
              <w:rPr>
                <w:rFonts w:eastAsiaTheme="minorEastAsia"/>
                <w:b/>
                <w:bCs/>
                <w:i/>
                <w:iCs/>
                <w:lang w:val="en-US"/>
              </w:rPr>
              <w:t>)</w:t>
            </w:r>
          </w:p>
          <w:p w14:paraId="280AB8A6" w14:textId="77777777" w:rsidR="00E96EAF" w:rsidRPr="009C6E22" w:rsidRDefault="00170FD8" w:rsidP="00955C39">
            <w:pPr>
              <w:rPr>
                <w:b/>
                <w:bCs/>
                <w:i/>
                <w:iCs/>
                <w:lang w:val="en-US"/>
              </w:rPr>
            </w:pPr>
            <w:r>
              <w:rPr>
                <w:b/>
                <w:bCs/>
                <w:i/>
                <w:iCs/>
                <w:lang w:val="en-US"/>
              </w:rPr>
              <w:t>= 4.6</w:t>
            </w:r>
          </w:p>
        </w:tc>
        <w:tc>
          <w:tcPr>
            <w:tcW w:w="1594" w:type="dxa"/>
          </w:tcPr>
          <w:p w14:paraId="3E5A8615" w14:textId="77777777" w:rsidR="00445E8A" w:rsidRDefault="00170FD8" w:rsidP="00955C39">
            <w:pPr>
              <w:rPr>
                <w:b/>
                <w:bCs/>
                <w:i/>
                <w:iCs/>
                <w:lang w:val="en-US"/>
              </w:rPr>
            </w:pPr>
            <m:oMath>
              <m:r>
                <m:rPr>
                  <m:sty m:val="bi"/>
                </m:rPr>
                <w:rPr>
                  <w:rFonts w:ascii="Cambria Math" w:hAnsi="Cambria Math"/>
                  <w:lang w:val="en-US"/>
                </w:rPr>
                <m:t>(</m:t>
              </m:r>
              <m:r>
                <m:rPr>
                  <m:sty m:val="bi"/>
                </m:rPr>
                <w:rPr>
                  <w:rFonts w:ascii="Cambria Math" w:hAnsi="Cambria Math"/>
                  <w:lang w:val="en-US"/>
                </w:rPr>
                <m:t>4307000</m:t>
              </m:r>
              <m:r>
                <m:rPr>
                  <m:sty m:val="bi"/>
                </m:rPr>
                <w:rPr>
                  <w:rFonts w:ascii="Cambria Math" w:hAnsi="Cambria Math"/>
                  <w:lang w:val="en-US"/>
                </w:rPr>
                <m:t>/</m:t>
              </m:r>
              <m:r>
                <m:rPr>
                  <m:sty m:val="bi"/>
                </m:rPr>
                <w:rPr>
                  <w:rFonts w:ascii="Cambria Math" w:hAnsi="Cambria Math"/>
                  <w:lang w:val="en-US"/>
                </w:rPr>
                <m:t>4202000</m:t>
              </m:r>
            </m:oMath>
            <w:r>
              <w:rPr>
                <w:b/>
                <w:bCs/>
                <w:i/>
                <w:iCs/>
                <w:lang w:val="en-US"/>
              </w:rPr>
              <w:t>)</w:t>
            </w:r>
          </w:p>
          <w:p w14:paraId="31D69BF0" w14:textId="77777777" w:rsidR="00E96EAF" w:rsidRPr="009C6E22" w:rsidRDefault="00170FD8" w:rsidP="00955C39">
            <w:pPr>
              <w:rPr>
                <w:b/>
                <w:bCs/>
                <w:i/>
                <w:iCs/>
                <w:lang w:val="en-US"/>
              </w:rPr>
            </w:pPr>
            <w:r>
              <w:rPr>
                <w:b/>
                <w:bCs/>
                <w:i/>
                <w:iCs/>
                <w:lang w:val="en-US"/>
              </w:rPr>
              <w:t>= 1.02</w:t>
            </w:r>
          </w:p>
        </w:tc>
      </w:tr>
      <w:tr w:rsidR="00DA10A9" w14:paraId="11A8A89B" w14:textId="77777777" w:rsidTr="0019542B">
        <w:tc>
          <w:tcPr>
            <w:tcW w:w="1080" w:type="dxa"/>
          </w:tcPr>
          <w:p w14:paraId="6D9F8DAD" w14:textId="77777777" w:rsidR="00E96EAF" w:rsidRDefault="00170FD8" w:rsidP="00955C39">
            <w:pPr>
              <w:rPr>
                <w:b/>
                <w:bCs/>
                <w:i/>
                <w:iCs/>
                <w:lang w:val="en-US"/>
              </w:rPr>
            </w:pPr>
            <w:r>
              <w:rPr>
                <w:b/>
                <w:bCs/>
                <w:i/>
                <w:iCs/>
                <w:lang w:val="en-US"/>
              </w:rPr>
              <w:t xml:space="preserve">Total assets turnover </w:t>
            </w:r>
          </w:p>
        </w:tc>
        <w:tc>
          <w:tcPr>
            <w:tcW w:w="4319" w:type="dxa"/>
          </w:tcPr>
          <w:p w14:paraId="1D0B0F80" w14:textId="77777777" w:rsidR="00E96EAF" w:rsidRPr="00E96EAF" w:rsidRDefault="00170FD8" w:rsidP="00955C39">
            <w:pPr>
              <w:rPr>
                <w:rFonts w:eastAsia="Calibri" w:cs="Times New Roman"/>
                <w:b/>
                <w:bCs/>
                <w:i/>
                <w:iCs/>
                <w:lang w:val="en-US"/>
              </w:rPr>
            </w:pPr>
            <m:oMathPara>
              <m:oMath>
                <m:r>
                  <m:rPr>
                    <m:sty m:val="bi"/>
                  </m:rPr>
                  <w:rPr>
                    <w:rFonts w:ascii="Cambria Math" w:eastAsia="Calibri" w:hAnsi="Cambria Math" w:cs="Times New Roman"/>
                    <w:lang w:val="en-US"/>
                  </w:rPr>
                  <m:t>(</m:t>
                </m:r>
                <m:r>
                  <m:rPr>
                    <m:sty m:val="bi"/>
                  </m:rPr>
                  <w:rPr>
                    <w:rFonts w:ascii="Cambria Math" w:eastAsia="Calibri" w:hAnsi="Cambria Math" w:cs="Times New Roman"/>
                    <w:lang w:val="en-US"/>
                  </w:rPr>
                  <m:t>Sales</m:t>
                </m:r>
                <m:r>
                  <m:rPr>
                    <m:sty m:val="bi"/>
                  </m:rPr>
                  <w:rPr>
                    <w:rFonts w:ascii="Cambria Math" w:eastAsia="Calibri" w:hAnsi="Cambria Math" w:cs="Times New Roman"/>
                    <w:lang w:val="en-US"/>
                  </w:rPr>
                  <m:t xml:space="preserve">/ </m:t>
                </m:r>
                <m:r>
                  <m:rPr>
                    <m:sty m:val="bi"/>
                  </m:rPr>
                  <w:rPr>
                    <w:rFonts w:ascii="Cambria Math" w:eastAsia="Calibri" w:hAnsi="Cambria Math" w:cs="Times New Roman"/>
                    <w:lang w:val="en-US"/>
                  </w:rPr>
                  <m:t>Total</m:t>
                </m:r>
                <m:r>
                  <m:rPr>
                    <m:sty m:val="bi"/>
                  </m:rPr>
                  <w:rPr>
                    <w:rFonts w:ascii="Cambria Math" w:eastAsia="Calibri" w:hAnsi="Cambria Math" w:cs="Times New Roman"/>
                    <w:lang w:val="en-US"/>
                  </w:rPr>
                  <m:t xml:space="preserve"> </m:t>
                </m:r>
                <m:r>
                  <m:rPr>
                    <m:sty m:val="bi"/>
                  </m:rPr>
                  <w:rPr>
                    <w:rFonts w:ascii="Cambria Math" w:eastAsia="Calibri" w:hAnsi="Cambria Math" w:cs="Times New Roman"/>
                    <w:lang w:val="en-US"/>
                  </w:rPr>
                  <m:t>assets</m:t>
                </m:r>
                <m:r>
                  <m:rPr>
                    <m:sty m:val="bi"/>
                  </m:rPr>
                  <w:rPr>
                    <w:rFonts w:ascii="Cambria Math" w:eastAsia="Calibri" w:hAnsi="Cambria Math" w:cs="Times New Roman"/>
                    <w:lang w:val="en-US"/>
                  </w:rPr>
                  <m:t xml:space="preserve"> – </m:t>
                </m:r>
                <m:r>
                  <m:rPr>
                    <m:sty m:val="bi"/>
                  </m:rPr>
                  <w:rPr>
                    <w:rFonts w:ascii="Cambria Math" w:eastAsia="Calibri" w:hAnsi="Cambria Math" w:cs="Times New Roman"/>
                    <w:lang w:val="en-US"/>
                  </w:rPr>
                  <m:t>current</m:t>
                </m:r>
                <m:r>
                  <m:rPr>
                    <m:sty m:val="bi"/>
                  </m:rPr>
                  <w:rPr>
                    <w:rFonts w:ascii="Cambria Math" w:eastAsia="Calibri" w:hAnsi="Cambria Math" w:cs="Times New Roman"/>
                    <w:lang w:val="en-US"/>
                  </w:rPr>
                  <m:t xml:space="preserve"> </m:t>
                </m:r>
                <m:r>
                  <m:rPr>
                    <m:sty m:val="bi"/>
                  </m:rPr>
                  <w:rPr>
                    <w:rFonts w:ascii="Cambria Math" w:eastAsia="Calibri" w:hAnsi="Cambria Math" w:cs="Times New Roman"/>
                    <w:lang w:val="en-US"/>
                  </w:rPr>
                  <m:t>liabilities</m:t>
                </m:r>
                <m:r>
                  <m:rPr>
                    <m:sty m:val="bi"/>
                  </m:rPr>
                  <w:rPr>
                    <w:rFonts w:ascii="Cambria Math" w:eastAsia="Calibri" w:hAnsi="Cambria Math" w:cs="Times New Roman"/>
                    <w:lang w:val="en-US"/>
                  </w:rPr>
                  <m:t>)</m:t>
                </m:r>
              </m:oMath>
            </m:oMathPara>
          </w:p>
        </w:tc>
        <w:tc>
          <w:tcPr>
            <w:tcW w:w="2357" w:type="dxa"/>
          </w:tcPr>
          <w:p w14:paraId="4C5E5979" w14:textId="77777777" w:rsidR="00E96EAF" w:rsidRPr="009C6E22" w:rsidRDefault="00170FD8" w:rsidP="00955C39">
            <w:pPr>
              <w:rPr>
                <w:b/>
                <w:bCs/>
                <w:i/>
                <w:iCs/>
                <w:lang w:val="en-US"/>
              </w:rPr>
            </w:pPr>
            <w:r>
              <w:rPr>
                <w:b/>
                <w:bCs/>
                <w:i/>
                <w:iCs/>
                <w:lang w:val="en-US"/>
              </w:rPr>
              <w:t>(94452000/14957000-2871000) = 7.9</w:t>
            </w:r>
          </w:p>
        </w:tc>
        <w:tc>
          <w:tcPr>
            <w:tcW w:w="1594" w:type="dxa"/>
          </w:tcPr>
          <w:p w14:paraId="5A9B44BB" w14:textId="77777777" w:rsidR="00E96EAF" w:rsidRPr="009C6E22" w:rsidRDefault="00170FD8" w:rsidP="00955C39">
            <w:pPr>
              <w:rPr>
                <w:b/>
                <w:bCs/>
                <w:i/>
                <w:iCs/>
                <w:lang w:val="en-US"/>
              </w:rPr>
            </w:pPr>
            <m:oMath>
              <m:r>
                <m:rPr>
                  <m:sty m:val="bi"/>
                </m:rPr>
                <w:rPr>
                  <w:rFonts w:ascii="Cambria Math" w:hAnsi="Cambria Math"/>
                  <w:lang w:val="en-US"/>
                </w:rPr>
                <m:t>(</m:t>
              </m:r>
              <m:r>
                <m:rPr>
                  <m:sty m:val="bi"/>
                </m:rPr>
                <w:rPr>
                  <w:rFonts w:ascii="Cambria Math" w:hAnsi="Cambria Math"/>
                  <w:lang w:val="en-US"/>
                </w:rPr>
                <m:t>4307000</m:t>
              </m:r>
              <m:r>
                <m:rPr>
                  <m:sty m:val="bi"/>
                </m:rPr>
                <w:rPr>
                  <w:rFonts w:ascii="Cambria Math" w:hAnsi="Cambria Math"/>
                  <w:lang w:val="en-US"/>
                </w:rPr>
                <m:t>/</m:t>
              </m:r>
              <m:r>
                <m:rPr>
                  <m:sty m:val="bi"/>
                </m:rPr>
                <w:rPr>
                  <w:rFonts w:ascii="Cambria Math" w:hAnsi="Cambria Math"/>
                  <w:lang w:val="en-US"/>
                </w:rPr>
                <m:t>16755000</m:t>
              </m:r>
              <m:r>
                <m:rPr>
                  <m:sty m:val="bi"/>
                </m:rPr>
                <w:rPr>
                  <w:rFonts w:ascii="Cambria Math" w:hAnsi="Cambria Math"/>
                  <w:lang w:val="en-US"/>
                </w:rPr>
                <m:t>-</m:t>
              </m:r>
              <m:r>
                <m:rPr>
                  <m:sty m:val="bi"/>
                </m:rPr>
                <w:rPr>
                  <w:rFonts w:ascii="Cambria Math" w:hAnsi="Cambria Math"/>
                  <w:lang w:val="en-US"/>
                </w:rPr>
                <m:t>2431000</m:t>
              </m:r>
            </m:oMath>
            <w:r>
              <w:rPr>
                <w:b/>
                <w:bCs/>
                <w:i/>
                <w:iCs/>
                <w:lang w:val="en-US"/>
              </w:rPr>
              <w:t xml:space="preserve">) = </w:t>
            </w:r>
            <w:r w:rsidR="000E2A18">
              <w:rPr>
                <w:b/>
                <w:bCs/>
                <w:i/>
                <w:iCs/>
                <w:lang w:val="en-US"/>
              </w:rPr>
              <w:t>0.30</w:t>
            </w:r>
          </w:p>
        </w:tc>
      </w:tr>
      <w:tr w:rsidR="00DA10A9" w14:paraId="5892D34C" w14:textId="77777777" w:rsidTr="0019542B">
        <w:tc>
          <w:tcPr>
            <w:tcW w:w="1080" w:type="dxa"/>
          </w:tcPr>
          <w:p w14:paraId="0E5900A7" w14:textId="77777777" w:rsidR="000E2A18" w:rsidRDefault="00170FD8" w:rsidP="00955C39">
            <w:pPr>
              <w:rPr>
                <w:b/>
                <w:bCs/>
                <w:i/>
                <w:iCs/>
                <w:lang w:val="en-US"/>
              </w:rPr>
            </w:pPr>
            <w:r>
              <w:rPr>
                <w:b/>
                <w:bCs/>
                <w:i/>
                <w:iCs/>
                <w:lang w:val="en-US"/>
              </w:rPr>
              <w:t xml:space="preserve">Debtor days </w:t>
            </w:r>
          </w:p>
        </w:tc>
        <w:tc>
          <w:tcPr>
            <w:tcW w:w="4319" w:type="dxa"/>
          </w:tcPr>
          <w:p w14:paraId="077ABEF1" w14:textId="77777777" w:rsidR="000E2A18" w:rsidRPr="000E2A18" w:rsidRDefault="00170FD8" w:rsidP="00955C39">
            <w:pPr>
              <w:rPr>
                <w:rFonts w:ascii="Cambria Math" w:eastAsia="Calibri" w:hAnsi="Cambria Math" w:cs="Times New Roman"/>
                <w:b/>
                <w:bCs/>
                <w:i/>
                <w:iCs/>
                <w:lang w:val="en-US"/>
              </w:rPr>
            </w:pPr>
            <m:oMathPara>
              <m:oMath>
                <m:r>
                  <m:rPr>
                    <m:sty m:val="bi"/>
                  </m:rPr>
                  <w:rPr>
                    <w:rFonts w:ascii="Cambria Math" w:eastAsia="Calibri" w:hAnsi="Cambria Math" w:cs="Times New Roman"/>
                    <w:lang w:val="en-US"/>
                  </w:rPr>
                  <m:t>(</m:t>
                </m:r>
                <m:r>
                  <m:rPr>
                    <m:sty m:val="bi"/>
                  </m:rPr>
                  <w:rPr>
                    <w:rFonts w:ascii="Cambria Math" w:eastAsia="Calibri" w:hAnsi="Cambria Math" w:cs="Times New Roman"/>
                    <w:lang w:val="en-US"/>
                  </w:rPr>
                  <m:t>Average</m:t>
                </m:r>
                <m:r>
                  <m:rPr>
                    <m:sty m:val="bi"/>
                  </m:rPr>
                  <w:rPr>
                    <w:rFonts w:ascii="Cambria Math" w:eastAsia="Calibri" w:hAnsi="Cambria Math" w:cs="Times New Roman"/>
                    <w:lang w:val="en-US"/>
                  </w:rPr>
                  <m:t xml:space="preserve"> </m:t>
                </m:r>
                <m:r>
                  <m:rPr>
                    <m:sty m:val="bi"/>
                  </m:rPr>
                  <w:rPr>
                    <w:rFonts w:ascii="Cambria Math" w:eastAsia="Calibri" w:hAnsi="Cambria Math" w:cs="Times New Roman"/>
                    <w:lang w:val="en-US"/>
                  </w:rPr>
                  <m:t>receivables</m:t>
                </m:r>
                <m:r>
                  <m:rPr>
                    <m:sty m:val="bi"/>
                  </m:rPr>
                  <w:rPr>
                    <w:rFonts w:ascii="Cambria Math" w:eastAsia="Calibri" w:hAnsi="Cambria Math" w:cs="Times New Roman"/>
                    <w:lang w:val="en-US"/>
                  </w:rPr>
                  <m:t>/</m:t>
                </m:r>
                <m:r>
                  <m:rPr>
                    <m:sty m:val="bi"/>
                  </m:rPr>
                  <w:rPr>
                    <w:rFonts w:ascii="Cambria Math" w:eastAsia="Calibri" w:hAnsi="Cambria Math" w:cs="Times New Roman"/>
                    <w:lang w:val="en-US"/>
                  </w:rPr>
                  <m:t>Salesx</m:t>
                </m:r>
                <m:r>
                  <m:rPr>
                    <m:sty m:val="bi"/>
                  </m:rPr>
                  <w:rPr>
                    <w:rFonts w:ascii="Cambria Math" w:eastAsia="Calibri" w:hAnsi="Cambria Math" w:cs="Times New Roman"/>
                    <w:lang w:val="en-US"/>
                  </w:rPr>
                  <m:t>365</m:t>
                </m:r>
                <m:r>
                  <m:rPr>
                    <m:sty m:val="bi"/>
                  </m:rPr>
                  <w:rPr>
                    <w:rFonts w:ascii="Cambria Math" w:eastAsia="Calibri" w:hAnsi="Cambria Math" w:cs="Times New Roman"/>
                    <w:lang w:val="en-US"/>
                  </w:rPr>
                  <m:t>)</m:t>
                </m:r>
              </m:oMath>
            </m:oMathPara>
          </w:p>
        </w:tc>
        <w:tc>
          <w:tcPr>
            <w:tcW w:w="2357" w:type="dxa"/>
          </w:tcPr>
          <w:p w14:paraId="0AFBE6D7" w14:textId="77777777" w:rsidR="000E2A18" w:rsidRDefault="00170FD8" w:rsidP="00955C39">
            <w:pPr>
              <w:rPr>
                <w:b/>
                <w:bCs/>
                <w:i/>
                <w:iCs/>
                <w:lang w:val="en-US"/>
              </w:rPr>
            </w:pPr>
            <w:r>
              <w:rPr>
                <w:b/>
                <w:bCs/>
                <w:i/>
                <w:iCs/>
                <w:lang w:val="en-US"/>
              </w:rPr>
              <w:t>2093000/9452000</w:t>
            </w:r>
            <w:r>
              <w:rPr>
                <w:b/>
                <w:bCs/>
                <w:i/>
                <w:iCs/>
                <w:lang w:val="en-US"/>
              </w:rPr>
              <w:t xml:space="preserve">x365 = 81 days </w:t>
            </w:r>
          </w:p>
        </w:tc>
        <w:tc>
          <w:tcPr>
            <w:tcW w:w="1594" w:type="dxa"/>
          </w:tcPr>
          <w:p w14:paraId="7CD37DEC" w14:textId="77777777" w:rsidR="000E2A18" w:rsidRPr="009B1752" w:rsidRDefault="00170FD8" w:rsidP="00955C39">
            <w:pPr>
              <w:rPr>
                <w:rFonts w:eastAsia="Calibri" w:cs="Times New Roman"/>
                <w:b/>
                <w:bCs/>
                <w:i/>
                <w:iCs/>
                <w:lang w:val="en-US"/>
              </w:rPr>
            </w:pPr>
            <w:r>
              <w:rPr>
                <w:rFonts w:eastAsia="Calibri" w:cs="Times New Roman"/>
                <w:b/>
                <w:bCs/>
                <w:i/>
                <w:iCs/>
                <w:lang w:val="en-US"/>
              </w:rPr>
              <w:t xml:space="preserve">4202000/4307000x365 = </w:t>
            </w:r>
            <w:r w:rsidR="00153130">
              <w:rPr>
                <w:rFonts w:eastAsia="Calibri" w:cs="Times New Roman"/>
                <w:b/>
                <w:bCs/>
                <w:i/>
                <w:iCs/>
                <w:lang w:val="en-US"/>
              </w:rPr>
              <w:t xml:space="preserve">266 days </w:t>
            </w:r>
          </w:p>
        </w:tc>
      </w:tr>
      <w:tr w:rsidR="00DA10A9" w14:paraId="7862609F" w14:textId="77777777" w:rsidTr="0019542B">
        <w:tc>
          <w:tcPr>
            <w:tcW w:w="1080" w:type="dxa"/>
          </w:tcPr>
          <w:p w14:paraId="13C10186" w14:textId="77777777" w:rsidR="000E2A18" w:rsidRDefault="00170FD8" w:rsidP="00955C39">
            <w:pPr>
              <w:rPr>
                <w:b/>
                <w:bCs/>
                <w:i/>
                <w:iCs/>
                <w:lang w:val="en-US"/>
              </w:rPr>
            </w:pPr>
            <w:r>
              <w:rPr>
                <w:b/>
                <w:bCs/>
                <w:i/>
                <w:iCs/>
                <w:lang w:val="en-US"/>
              </w:rPr>
              <w:t>Creditor days</w:t>
            </w:r>
          </w:p>
        </w:tc>
        <w:tc>
          <w:tcPr>
            <w:tcW w:w="4319" w:type="dxa"/>
          </w:tcPr>
          <w:p w14:paraId="6E642F45" w14:textId="77777777" w:rsidR="000E2A18" w:rsidRPr="00E96EAF" w:rsidRDefault="00170FD8" w:rsidP="00955C39">
            <w:pPr>
              <w:rPr>
                <w:rFonts w:eastAsia="Calibri" w:cs="Times New Roman"/>
                <w:b/>
                <w:bCs/>
                <w:i/>
                <w:iCs/>
                <w:lang w:val="en-US"/>
              </w:rPr>
            </w:pPr>
            <m:oMathPara>
              <m:oMath>
                <m:r>
                  <m:rPr>
                    <m:sty m:val="bi"/>
                  </m:rPr>
                  <w:rPr>
                    <w:rFonts w:ascii="Cambria Math" w:eastAsia="Calibri" w:hAnsi="Cambria Math" w:cs="Times New Roman"/>
                    <w:lang w:val="en-US"/>
                  </w:rPr>
                  <m:t>(</m:t>
                </m:r>
                <m:r>
                  <m:rPr>
                    <m:sty m:val="bi"/>
                  </m:rPr>
                  <w:rPr>
                    <w:rFonts w:ascii="Cambria Math" w:eastAsia="Calibri" w:hAnsi="Cambria Math" w:cs="Times New Roman"/>
                    <w:lang w:val="en-US"/>
                  </w:rPr>
                  <m:t>Average</m:t>
                </m:r>
                <m:r>
                  <m:rPr>
                    <m:sty m:val="bi"/>
                  </m:rPr>
                  <w:rPr>
                    <w:rFonts w:ascii="Cambria Math" w:eastAsia="Calibri" w:hAnsi="Cambria Math" w:cs="Times New Roman"/>
                    <w:lang w:val="en-US"/>
                  </w:rPr>
                  <m:t xml:space="preserve"> </m:t>
                </m:r>
                <m:r>
                  <m:rPr>
                    <m:sty m:val="bi"/>
                  </m:rPr>
                  <w:rPr>
                    <w:rFonts w:ascii="Cambria Math" w:eastAsia="Calibri" w:hAnsi="Cambria Math" w:cs="Times New Roman"/>
                    <w:lang w:val="en-US"/>
                  </w:rPr>
                  <m:t>payables</m:t>
                </m:r>
                <m:r>
                  <m:rPr>
                    <m:sty m:val="bi"/>
                  </m:rPr>
                  <w:rPr>
                    <w:rFonts w:ascii="Cambria Math" w:eastAsia="Calibri" w:hAnsi="Cambria Math" w:cs="Times New Roman"/>
                    <w:lang w:val="en-US"/>
                  </w:rPr>
                  <m:t xml:space="preserve"> / </m:t>
                </m:r>
                <m:r>
                  <m:rPr>
                    <m:sty m:val="bi"/>
                  </m:rPr>
                  <w:rPr>
                    <w:rFonts w:ascii="Cambria Math" w:eastAsia="Calibri" w:hAnsi="Cambria Math" w:cs="Times New Roman"/>
                    <w:lang w:val="en-US"/>
                  </w:rPr>
                  <m:t>Salesx</m:t>
                </m:r>
                <m:r>
                  <m:rPr>
                    <m:sty m:val="bi"/>
                  </m:rPr>
                  <w:rPr>
                    <w:rFonts w:ascii="Cambria Math" w:eastAsia="Calibri" w:hAnsi="Cambria Math" w:cs="Times New Roman"/>
                    <w:lang w:val="en-US"/>
                  </w:rPr>
                  <m:t>365</m:t>
                </m:r>
                <m:r>
                  <m:rPr>
                    <m:sty m:val="bi"/>
                  </m:rPr>
                  <w:rPr>
                    <w:rFonts w:ascii="Cambria Math" w:eastAsia="Calibri" w:hAnsi="Cambria Math" w:cs="Times New Roman"/>
                    <w:lang w:val="en-US"/>
                  </w:rPr>
                  <m:t>)</m:t>
                </m:r>
              </m:oMath>
            </m:oMathPara>
          </w:p>
        </w:tc>
        <w:tc>
          <w:tcPr>
            <w:tcW w:w="2357" w:type="dxa"/>
          </w:tcPr>
          <w:p w14:paraId="14764FBF" w14:textId="77777777" w:rsidR="000E2A18" w:rsidRDefault="00170FD8" w:rsidP="00955C39">
            <w:pPr>
              <w:rPr>
                <w:b/>
                <w:bCs/>
                <w:i/>
                <w:iCs/>
                <w:lang w:val="en-US"/>
              </w:rPr>
            </w:pPr>
            <w:r>
              <w:rPr>
                <w:b/>
                <w:bCs/>
                <w:i/>
                <w:iCs/>
                <w:lang w:val="en-US"/>
              </w:rPr>
              <w:t>2871000/9452000x365 = 107days</w:t>
            </w:r>
          </w:p>
        </w:tc>
        <w:tc>
          <w:tcPr>
            <w:tcW w:w="1594" w:type="dxa"/>
          </w:tcPr>
          <w:p w14:paraId="19DE1899" w14:textId="77777777" w:rsidR="000E2A18" w:rsidRPr="009B1752" w:rsidRDefault="00170FD8" w:rsidP="00955C39">
            <w:pPr>
              <w:rPr>
                <w:rFonts w:eastAsia="Calibri" w:cs="Times New Roman"/>
                <w:b/>
                <w:bCs/>
                <w:i/>
                <w:iCs/>
                <w:lang w:val="en-US"/>
              </w:rPr>
            </w:pPr>
            <w:r>
              <w:rPr>
                <w:rFonts w:eastAsia="Calibri" w:cs="Times New Roman"/>
                <w:b/>
                <w:bCs/>
                <w:i/>
                <w:iCs/>
                <w:lang w:val="en-US"/>
              </w:rPr>
              <w:t>2431000/4307000x365 = 206 days</w:t>
            </w:r>
          </w:p>
        </w:tc>
      </w:tr>
    </w:tbl>
    <w:p w14:paraId="7121B90E" w14:textId="77777777" w:rsidR="00445E8A" w:rsidRDefault="00445E8A" w:rsidP="000239D1"/>
    <w:p w14:paraId="35C553AF" w14:textId="77777777" w:rsidR="009B2ED6" w:rsidRDefault="00170FD8" w:rsidP="009B2ED6">
      <w:pPr>
        <w:rPr>
          <w:b/>
          <w:bCs/>
          <w:i/>
          <w:iCs/>
          <w:u w:val="single"/>
          <w:lang w:val="en-US"/>
        </w:rPr>
      </w:pPr>
      <w:r>
        <w:rPr>
          <w:b/>
          <w:bCs/>
          <w:i/>
          <w:iCs/>
          <w:u w:val="single"/>
          <w:lang w:val="en-US"/>
        </w:rPr>
        <w:t xml:space="preserve">INTERPRETATION </w:t>
      </w:r>
    </w:p>
    <w:p w14:paraId="6E283551" w14:textId="77777777" w:rsidR="00DE7204" w:rsidRPr="0046121A" w:rsidRDefault="00170FD8" w:rsidP="00C446F0">
      <w:pPr>
        <w:rPr>
          <w:shd w:val="clear" w:color="auto" w:fill="FFFFFF"/>
        </w:rPr>
      </w:pPr>
      <w:r>
        <w:t xml:space="preserve">The above computation has been done in order to </w:t>
      </w:r>
      <w:r w:rsidR="009867A3">
        <w:t xml:space="preserve">calculate the remaining </w:t>
      </w:r>
      <w:r w:rsidR="005B3CB0">
        <w:t xml:space="preserve">portions of the gearing ratios; the </w:t>
      </w:r>
      <w:r w:rsidR="004D0592">
        <w:t>calculations</w:t>
      </w:r>
      <w:r w:rsidR="006710C5">
        <w:t xml:space="preserve"> have been done in order to </w:t>
      </w:r>
      <w:r w:rsidR="001E5A81">
        <w:t xml:space="preserve">interpret the remaining ratios that have been </w:t>
      </w:r>
      <w:r w:rsidR="005568E9">
        <w:t>considered</w:t>
      </w:r>
      <w:r w:rsidR="001E5A81">
        <w:t xml:space="preserve"> for the two years, 2019 a</w:t>
      </w:r>
      <w:r w:rsidR="0046121A">
        <w:t>n</w:t>
      </w:r>
      <w:r w:rsidR="001E5A81">
        <w:t>d 2020, respectively</w:t>
      </w:r>
      <w:r w:rsidR="0046121A">
        <w:t xml:space="preserve"> </w:t>
      </w:r>
      <w:r w:rsidR="0046121A">
        <w:rPr>
          <w:shd w:val="clear" w:color="auto" w:fill="FFFFFF"/>
        </w:rPr>
        <w:t>(Gogolinskii, et al., 2019)</w:t>
      </w:r>
      <w:r w:rsidR="001E5A81">
        <w:t>.</w:t>
      </w:r>
      <w:r w:rsidR="005568E9">
        <w:t xml:space="preserve"> However, all the different ratios that come under the gearing ratio</w:t>
      </w:r>
      <w:r w:rsidR="00302385">
        <w:t xml:space="preserve"> are discussed and evaluated below:</w:t>
      </w:r>
    </w:p>
    <w:p w14:paraId="17924EFA" w14:textId="77777777" w:rsidR="00302385" w:rsidRPr="0046121A" w:rsidRDefault="00170FD8" w:rsidP="00C446F0">
      <w:pPr>
        <w:rPr>
          <w:shd w:val="clear" w:color="auto" w:fill="FFFFFF"/>
        </w:rPr>
      </w:pPr>
      <w:r>
        <w:rPr>
          <w:i/>
          <w:iCs/>
          <w:u w:val="single"/>
        </w:rPr>
        <w:t>Working capital turnover-</w:t>
      </w:r>
      <w:r>
        <w:t xml:space="preserve"> </w:t>
      </w:r>
      <w:r w:rsidR="00D02348">
        <w:t>The working capital turnover ratio has been calculated for Hilton Hotel for the years 2019 and 2020. Here it can be seen that for the year 2019, the working capital turnover ratio has been ascertained as 4.6 for the year 2019 and that of the year 2020 as 1.02, respectively</w:t>
      </w:r>
      <w:r w:rsidR="0046121A">
        <w:t xml:space="preserve"> </w:t>
      </w:r>
      <w:r w:rsidR="0046121A">
        <w:rPr>
          <w:shd w:val="clear" w:color="auto" w:fill="FFFFFF"/>
        </w:rPr>
        <w:t>(Gogolinskii, et al., 2019)</w:t>
      </w:r>
      <w:r w:rsidR="00D02348">
        <w:t xml:space="preserve">. It can be seen the working capital turnover ratio for the year has degraded and hence, the respective company Hilton Hotel has not met the performance on that of </w:t>
      </w:r>
      <w:r w:rsidR="00D02348">
        <w:lastRenderedPageBreak/>
        <w:t>the previous years.</w:t>
      </w:r>
      <w:r w:rsidR="001A4EE5">
        <w:t xml:space="preserve"> Here the respective company may have issues with raising a larger </w:t>
      </w:r>
      <w:r w:rsidR="00F41BD8">
        <w:t>number</w:t>
      </w:r>
      <w:r w:rsidR="001A4EE5">
        <w:t xml:space="preserve"> of sales.</w:t>
      </w:r>
      <w:r w:rsidR="00F41BD8">
        <w:t xml:space="preserve"> </w:t>
      </w:r>
    </w:p>
    <w:p w14:paraId="62EC8BAF" w14:textId="77777777" w:rsidR="00F41BD8" w:rsidRDefault="00170FD8" w:rsidP="00C446F0">
      <w:r>
        <w:rPr>
          <w:i/>
          <w:iCs/>
          <w:u w:val="single"/>
        </w:rPr>
        <w:t xml:space="preserve">Total assets turnover ratio- </w:t>
      </w:r>
      <w:r w:rsidR="006D23CE">
        <w:t>The total assets turnover ratio has been calculated for Hilton Hotel for the years 2019 and 2020. Here it can be seen that for the year 2019, the total assets turnover ratio has been ascertained as 7.9 for the year 2019 and that of the year 2020 as 0.30, respectively</w:t>
      </w:r>
      <w:r w:rsidR="0046121A">
        <w:t xml:space="preserve"> </w:t>
      </w:r>
      <w:r w:rsidR="0046121A">
        <w:rPr>
          <w:shd w:val="clear" w:color="auto" w:fill="FFFFFF"/>
        </w:rPr>
        <w:t>(Sadeghi, et al., 2020)</w:t>
      </w:r>
      <w:r w:rsidR="006D23CE">
        <w:t xml:space="preserve">. It can be seen the </w:t>
      </w:r>
      <w:r w:rsidR="00CC7AB6">
        <w:t xml:space="preserve">total assets </w:t>
      </w:r>
      <w:r w:rsidR="006D23CE">
        <w:t>turnover ratio for the year has degraded and hence, the respective company Hilton Hotel has not met the performance on that of the previous years. Here the respective company may have issues with raising a larger number of sales</w:t>
      </w:r>
      <w:r w:rsidR="00CC7AB6">
        <w:t xml:space="preserve"> by making optimum utilisation of the assets base and can make and earn </w:t>
      </w:r>
      <w:r w:rsidR="00321AF3">
        <w:t>higher revenue</w:t>
      </w:r>
      <w:r w:rsidR="00CC7AB6">
        <w:t>.</w:t>
      </w:r>
      <w:r w:rsidR="00321AF3">
        <w:t xml:space="preserve"> </w:t>
      </w:r>
    </w:p>
    <w:p w14:paraId="27B7A1A0" w14:textId="77777777" w:rsidR="002C0EB5" w:rsidRDefault="00170FD8" w:rsidP="002C0EB5">
      <w:r w:rsidRPr="00321AF3">
        <w:rPr>
          <w:i/>
          <w:iCs/>
          <w:u w:val="single"/>
        </w:rPr>
        <w:t>Debtor days-</w:t>
      </w:r>
      <w:r w:rsidR="00215940">
        <w:t xml:space="preserve"> </w:t>
      </w:r>
      <w:r>
        <w:t>The debtor day has been calculated for Hilton Hotel for the years 2019 and 2020. Here it can be seen that for the year 201</w:t>
      </w:r>
      <w:r>
        <w:t>9, the total debtor day has been ascertained as 81 days for the year 2019 and that of the year 2020 as 266 days, respectively. It can be seen the total debtor day for the year has degraded, and hence, the respective company Hilton Hotel has not met the per</w:t>
      </w:r>
      <w:r>
        <w:t>formance on that of the previous years</w:t>
      </w:r>
      <w:r w:rsidR="0046121A">
        <w:t xml:space="preserve"> </w:t>
      </w:r>
      <w:r w:rsidR="0046121A">
        <w:rPr>
          <w:shd w:val="clear" w:color="auto" w:fill="FFFFFF"/>
        </w:rPr>
        <w:t>(Sadeghi, et al., 2020)</w:t>
      </w:r>
      <w:r>
        <w:t>. Here the respective company may have issues with raising or collecting the payments since it has taken a higher number of days respectively</w:t>
      </w:r>
      <w:r w:rsidR="008604A6">
        <w:t>.</w:t>
      </w:r>
      <w:r w:rsidR="005E7E45">
        <w:t xml:space="preserve"> Therefo</w:t>
      </w:r>
      <w:r w:rsidR="00A176CF">
        <w:t xml:space="preserve">re, the respective company Hilton Hotel needs to take an </w:t>
      </w:r>
      <w:r w:rsidR="00B74E25">
        <w:t>effective strategy</w:t>
      </w:r>
      <w:r w:rsidR="00A176CF">
        <w:t xml:space="preserve"> </w:t>
      </w:r>
      <w:r w:rsidR="00541E94">
        <w:t>to set back the number of days so that it can be reduced and can meet the performance of the previous year.</w:t>
      </w:r>
      <w:r w:rsidR="00B74E25">
        <w:t xml:space="preserve"> </w:t>
      </w:r>
    </w:p>
    <w:p w14:paraId="4AC043ED" w14:textId="77777777" w:rsidR="00B74E25" w:rsidRDefault="00170FD8" w:rsidP="002C0EB5">
      <w:r>
        <w:rPr>
          <w:i/>
          <w:iCs/>
          <w:u w:val="single"/>
        </w:rPr>
        <w:t>Creditor days-</w:t>
      </w:r>
      <w:r>
        <w:t xml:space="preserve"> The creditor day has been calculated for Hilton Hotel for the years 2019 and 2020. Here it can be se</w:t>
      </w:r>
      <w:r>
        <w:t>en that for the year 2019, the total debtor day has been ascertained as 107 days for the year 2019 and that of the year 2020 as 206 days, respectively. It can be seen the total creditor day for the year has degraded, and hence, the respective company Hilto</w:t>
      </w:r>
      <w:r>
        <w:t>n Hotel has not met the performance on that of the previous years</w:t>
      </w:r>
      <w:r w:rsidR="0046121A">
        <w:t xml:space="preserve"> </w:t>
      </w:r>
      <w:r w:rsidR="0046121A">
        <w:rPr>
          <w:shd w:val="clear" w:color="auto" w:fill="FFFFFF"/>
        </w:rPr>
        <w:t>(Sadeghi, et al., 2020)</w:t>
      </w:r>
      <w:r>
        <w:t>. Here</w:t>
      </w:r>
      <w:r w:rsidR="001B3D95">
        <w:t>,</w:t>
      </w:r>
      <w:r w:rsidRPr="00B74E25">
        <w:t xml:space="preserve"> </w:t>
      </w:r>
      <w:r>
        <w:t xml:space="preserve">Hilton Hotel may have </w:t>
      </w:r>
      <w:r>
        <w:lastRenderedPageBreak/>
        <w:t xml:space="preserve">issues with paying back or </w:t>
      </w:r>
      <w:r w:rsidR="001B3D95">
        <w:t>clearing back</w:t>
      </w:r>
      <w:r>
        <w:t xml:space="preserve"> the payments since it has taken a higher number of days respectively. Therefore, the respective </w:t>
      </w:r>
      <w:r>
        <w:t>company Hilton Hotel needs to take an effective strategy to set back the number of days so that it can be reduced and can meet the performance of the previous year.</w:t>
      </w:r>
    </w:p>
    <w:p w14:paraId="4CFABBE8" w14:textId="77777777" w:rsidR="00C0091A" w:rsidRDefault="00170FD8" w:rsidP="00C0091A">
      <w:pPr>
        <w:pStyle w:val="Heading2"/>
      </w:pPr>
      <w:bookmarkStart w:id="3" w:name="_Toc104258913"/>
      <w:r>
        <w:t xml:space="preserve">Outlining the importance of </w:t>
      </w:r>
      <w:r w:rsidR="007471EC">
        <w:t xml:space="preserve">using the ratio analysis </w:t>
      </w:r>
      <w:r w:rsidR="00270A25">
        <w:t>in order to make an effective decision making</w:t>
      </w:r>
      <w:bookmarkEnd w:id="3"/>
      <w:r w:rsidR="00270A25">
        <w:t xml:space="preserve"> </w:t>
      </w:r>
    </w:p>
    <w:p w14:paraId="4A0780D5" w14:textId="77777777" w:rsidR="00270A25" w:rsidRDefault="00170FD8" w:rsidP="00270A25">
      <w:r>
        <w:t xml:space="preserve">Considering and understanding the importance of </w:t>
      </w:r>
      <w:r w:rsidR="008F03D1">
        <w:t xml:space="preserve">ascertaining and interpreting the calculations of the </w:t>
      </w:r>
      <w:r w:rsidR="002D78E2">
        <w:t xml:space="preserve">financial ratios, the financial ratio is defined as the </w:t>
      </w:r>
      <w:r w:rsidR="00BC3BE8">
        <w:t>strategy or the process of interpreting the financial ratios</w:t>
      </w:r>
      <w:sdt>
        <w:sdtPr>
          <w:id w:val="-1227214647"/>
          <w:citation/>
        </w:sdtPr>
        <w:sdtEndPr/>
        <w:sdtContent>
          <w:r w:rsidR="00F001E1">
            <w:fldChar w:fldCharType="begin"/>
          </w:r>
          <w:r w:rsidR="00F001E1">
            <w:rPr>
              <w:lang w:val="en-US"/>
            </w:rPr>
            <w:instrText xml:space="preserve"> CITATION ile20 \l 1033 </w:instrText>
          </w:r>
          <w:r w:rsidR="00F001E1">
            <w:fldChar w:fldCharType="separate"/>
          </w:r>
          <w:r w:rsidR="00F001E1">
            <w:rPr>
              <w:noProof/>
              <w:lang w:val="en-US"/>
            </w:rPr>
            <w:t xml:space="preserve"> </w:t>
          </w:r>
          <w:r w:rsidR="00F001E1" w:rsidRPr="00F001E1">
            <w:rPr>
              <w:noProof/>
              <w:lang w:val="en-US"/>
            </w:rPr>
            <w:t>(ilearnlot, 2020)</w:t>
          </w:r>
          <w:r w:rsidR="00F001E1">
            <w:fldChar w:fldCharType="end"/>
          </w:r>
        </w:sdtContent>
      </w:sdt>
      <w:r w:rsidR="00CB455A">
        <w:t>.</w:t>
      </w:r>
      <w:r w:rsidR="007222CE">
        <w:t xml:space="preserve"> These financial ratios </w:t>
      </w:r>
      <w:r w:rsidR="0065742C">
        <w:t>are</w:t>
      </w:r>
      <w:r w:rsidR="002E2639">
        <w:t xml:space="preserve"> computed so as to ascertain the financial performance of the respective company </w:t>
      </w:r>
      <w:r w:rsidR="00A7356C">
        <w:t>considering the particular period of time.</w:t>
      </w:r>
      <w:r w:rsidR="0065742C">
        <w:t xml:space="preserve"> </w:t>
      </w:r>
      <w:r w:rsidR="00372CE4">
        <w:t xml:space="preserve">However, the </w:t>
      </w:r>
      <w:r w:rsidR="00C050CD">
        <w:t xml:space="preserve">computation of the ratio is considered an important part </w:t>
      </w:r>
      <w:r w:rsidR="00904598">
        <w:t xml:space="preserve">of </w:t>
      </w:r>
      <w:r w:rsidR="00083A3E">
        <w:t xml:space="preserve">ensuring a smoother flow </w:t>
      </w:r>
      <w:r w:rsidR="00FA2C05">
        <w:t xml:space="preserve">in order to gab better future </w:t>
      </w:r>
      <w:r w:rsidR="00833A25">
        <w:t>opportunities</w:t>
      </w:r>
      <w:r w:rsidR="00FA2C05">
        <w:t>.</w:t>
      </w:r>
      <w:r w:rsidR="00833A25">
        <w:t xml:space="preserve"> </w:t>
      </w:r>
      <w:r w:rsidR="00492320">
        <w:t>However, the importance of the financial ratio is discussed below:</w:t>
      </w:r>
    </w:p>
    <w:p w14:paraId="1CE64525" w14:textId="77777777" w:rsidR="00492320" w:rsidRDefault="00170FD8" w:rsidP="00C4212D">
      <w:r>
        <w:t>1. Ratio analysis is considered an important p</w:t>
      </w:r>
      <w:r w:rsidR="00B22400">
        <w:t xml:space="preserve">art of a company as it enables the </w:t>
      </w:r>
      <w:r w:rsidR="00D6314A">
        <w:t>business companies</w:t>
      </w:r>
      <w:r w:rsidR="00B22400">
        <w:t xml:space="preserve"> in order to analyse the financial position considered for a particular time period.</w:t>
      </w:r>
    </w:p>
    <w:p w14:paraId="48F76725" w14:textId="77777777" w:rsidR="003A6111" w:rsidRDefault="00170FD8" w:rsidP="00C4212D">
      <w:r>
        <w:t xml:space="preserve">2. The computation of the ratio analysis enables </w:t>
      </w:r>
      <w:r w:rsidR="001C2CA6">
        <w:t xml:space="preserve">a business </w:t>
      </w:r>
      <w:r w:rsidR="00BF31C0">
        <w:t xml:space="preserve">organisation to as ascertain the profitability, risk, and efficiency and also </w:t>
      </w:r>
      <w:r w:rsidR="00426058">
        <w:t>enables the</w:t>
      </w:r>
      <w:r w:rsidR="00566CC3">
        <w:t xml:space="preserve">m to </w:t>
      </w:r>
      <w:r w:rsidR="00A92495">
        <w:t>utilis</w:t>
      </w:r>
      <w:r w:rsidR="00C57130">
        <w:t>e the funds in a better way</w:t>
      </w:r>
      <w:sdt>
        <w:sdtPr>
          <w:id w:val="1670754369"/>
          <w:citation/>
        </w:sdtPr>
        <w:sdtEndPr/>
        <w:sdtContent>
          <w:r w:rsidR="00F001E1">
            <w:fldChar w:fldCharType="begin"/>
          </w:r>
          <w:r w:rsidR="00F001E1">
            <w:rPr>
              <w:lang w:val="en-US"/>
            </w:rPr>
            <w:instrText xml:space="preserve"> CITATION com22 \l 1033 </w:instrText>
          </w:r>
          <w:r w:rsidR="00F001E1">
            <w:fldChar w:fldCharType="separate"/>
          </w:r>
          <w:r w:rsidR="00F001E1">
            <w:rPr>
              <w:noProof/>
              <w:lang w:val="en-US"/>
            </w:rPr>
            <w:t xml:space="preserve"> </w:t>
          </w:r>
          <w:r w:rsidR="00F001E1" w:rsidRPr="00F001E1">
            <w:rPr>
              <w:noProof/>
              <w:lang w:val="en-US"/>
            </w:rPr>
            <w:t>(commercemates, 2022)</w:t>
          </w:r>
          <w:r w:rsidR="00F001E1">
            <w:fldChar w:fldCharType="end"/>
          </w:r>
        </w:sdtContent>
      </w:sdt>
      <w:r w:rsidR="00C57130">
        <w:t>.</w:t>
      </w:r>
      <w:r>
        <w:t xml:space="preserve"> </w:t>
      </w:r>
    </w:p>
    <w:p w14:paraId="563CD3F3" w14:textId="77777777" w:rsidR="008A7D59" w:rsidRDefault="00170FD8" w:rsidP="00C4212D">
      <w:r>
        <w:t xml:space="preserve">3. It also assists the financial management in taking effective decision making to enhance the business operations </w:t>
      </w:r>
      <w:r w:rsidR="00516B7A">
        <w:t>so as to grab future better opportunities.</w:t>
      </w:r>
      <w:r>
        <w:t xml:space="preserve"> </w:t>
      </w:r>
    </w:p>
    <w:p w14:paraId="769C057D" w14:textId="77777777" w:rsidR="00F67EA1" w:rsidRDefault="00170FD8" w:rsidP="00C4212D">
      <w:r>
        <w:t xml:space="preserve">4. A business organisation, by the computation </w:t>
      </w:r>
      <w:r w:rsidR="00563025">
        <w:t xml:space="preserve">of the </w:t>
      </w:r>
      <w:r w:rsidR="008F7FDF">
        <w:t xml:space="preserve">financial ratio, can determine the risk factors and also enable themselves to </w:t>
      </w:r>
      <w:r w:rsidR="00C43833">
        <w:t>do future planning and forecasting</w:t>
      </w:r>
      <w:r w:rsidR="0046121A">
        <w:t xml:space="preserve"> </w:t>
      </w:r>
      <w:r w:rsidR="0046121A">
        <w:rPr>
          <w:shd w:val="clear" w:color="auto" w:fill="FFFFFF"/>
        </w:rPr>
        <w:t>(Maisharoh, et al., 2020</w:t>
      </w:r>
      <w:r w:rsidR="0046121A" w:rsidRPr="0046121A">
        <w:rPr>
          <w:shd w:val="clear" w:color="auto" w:fill="FFFFFF"/>
        </w:rPr>
        <w:t xml:space="preserve">, </w:t>
      </w:r>
      <w:r w:rsidR="0046121A">
        <w:rPr>
          <w:shd w:val="clear" w:color="auto" w:fill="FFFFFF"/>
        </w:rPr>
        <w:t>pp.63-71)</w:t>
      </w:r>
      <w:r w:rsidR="00C43833">
        <w:t>.</w:t>
      </w:r>
      <w:r>
        <w:t xml:space="preserve"> </w:t>
      </w:r>
    </w:p>
    <w:p w14:paraId="5A8B820C" w14:textId="77777777" w:rsidR="00605E55" w:rsidRDefault="00170FD8" w:rsidP="00C4212D">
      <w:r>
        <w:lastRenderedPageBreak/>
        <w:t xml:space="preserve">5. The ratio analysis also enables the </w:t>
      </w:r>
      <w:r w:rsidR="00A24089">
        <w:t xml:space="preserve">business organisations to compare the financial position in order to </w:t>
      </w:r>
      <w:r w:rsidR="007A3C02">
        <w:t xml:space="preserve">compare the </w:t>
      </w:r>
      <w:r w:rsidR="00017979">
        <w:t>financial performance</w:t>
      </w:r>
      <w:r w:rsidR="00515803">
        <w:t xml:space="preserve"> considering the different years.</w:t>
      </w:r>
      <w:r>
        <w:t xml:space="preserve"> </w:t>
      </w:r>
    </w:p>
    <w:p w14:paraId="3508E718" w14:textId="77777777" w:rsidR="00FA18EB" w:rsidRDefault="00170FD8" w:rsidP="00605E55">
      <w:pPr>
        <w:pStyle w:val="Heading2"/>
      </w:pPr>
      <w:bookmarkStart w:id="4" w:name="_Toc104258914"/>
      <w:r>
        <w:t>Discussing the limitations of ratio analysis</w:t>
      </w:r>
      <w:bookmarkEnd w:id="4"/>
    </w:p>
    <w:p w14:paraId="31964A4D" w14:textId="77777777" w:rsidR="00040DF9" w:rsidRDefault="00170FD8" w:rsidP="00FA18EB">
      <w:r>
        <w:t xml:space="preserve">To have the </w:t>
      </w:r>
      <w:r w:rsidR="001340DC">
        <w:t>basic advantages of the ratios, there are</w:t>
      </w:r>
      <w:r w:rsidR="001D0827">
        <w:t xml:space="preserve"> certain limitations </w:t>
      </w:r>
      <w:r w:rsidR="00A12168">
        <w:t xml:space="preserve">of the ratio analysis </w:t>
      </w:r>
      <w:r>
        <w:t>that are discussed below:</w:t>
      </w:r>
    </w:p>
    <w:p w14:paraId="6DAD49DB" w14:textId="77777777" w:rsidR="00040DF9" w:rsidRDefault="00170FD8" w:rsidP="00FA18EB">
      <w:r>
        <w:t xml:space="preserve">1. Preparation of </w:t>
      </w:r>
      <w:r>
        <w:t xml:space="preserve">the ratio analysis might ignore the level of prices that might get changed due to the changes </w:t>
      </w:r>
      <w:r w:rsidR="00CB54C6">
        <w:t>in the inflation</w:t>
      </w:r>
      <w:r w:rsidR="008B258C">
        <w:t xml:space="preserve"> due to the reason </w:t>
      </w:r>
      <w:r w:rsidR="00083716">
        <w:t>as it computes the historical cost</w:t>
      </w:r>
      <w:r w:rsidR="0046121A">
        <w:t xml:space="preserve"> </w:t>
      </w:r>
      <w:r w:rsidR="0046121A">
        <w:rPr>
          <w:shd w:val="clear" w:color="auto" w:fill="FFFFFF"/>
        </w:rPr>
        <w:t>(Maisharoh, et al., 2020</w:t>
      </w:r>
      <w:r w:rsidR="0046121A" w:rsidRPr="0046121A">
        <w:rPr>
          <w:shd w:val="clear" w:color="auto" w:fill="FFFFFF"/>
        </w:rPr>
        <w:t xml:space="preserve">, </w:t>
      </w:r>
      <w:r w:rsidR="0046121A">
        <w:rPr>
          <w:shd w:val="clear" w:color="auto" w:fill="FFFFFF"/>
        </w:rPr>
        <w:t>pp.63-71)</w:t>
      </w:r>
      <w:r w:rsidR="00083716">
        <w:t>.</w:t>
      </w:r>
    </w:p>
    <w:p w14:paraId="2BF74741" w14:textId="77777777" w:rsidR="00EA42AA" w:rsidRDefault="00170FD8" w:rsidP="00FA18EB">
      <w:r>
        <w:t>2. The accounting ratio also neglects the qualitative a</w:t>
      </w:r>
      <w:r>
        <w:t xml:space="preserve">spects </w:t>
      </w:r>
      <w:r w:rsidR="00D40F9B">
        <w:t xml:space="preserve">of the business organisation </w:t>
      </w:r>
      <w:r w:rsidR="00B81598">
        <w:t>as this only considers the monetary aspects respectively</w:t>
      </w:r>
      <w:sdt>
        <w:sdtPr>
          <w:id w:val="-517458214"/>
          <w:citation/>
        </w:sdtPr>
        <w:sdtEndPr/>
        <w:sdtContent>
          <w:r w:rsidR="00F001E1">
            <w:fldChar w:fldCharType="begin"/>
          </w:r>
          <w:r w:rsidR="00F001E1">
            <w:rPr>
              <w:lang w:val="en-US"/>
            </w:rPr>
            <w:instrText xml:space="preserve"> CITATION bus20 \l 1033 </w:instrText>
          </w:r>
          <w:r w:rsidR="00F001E1">
            <w:fldChar w:fldCharType="separate"/>
          </w:r>
          <w:r w:rsidR="00F001E1">
            <w:rPr>
              <w:noProof/>
              <w:lang w:val="en-US"/>
            </w:rPr>
            <w:t xml:space="preserve"> </w:t>
          </w:r>
          <w:r w:rsidR="00F001E1" w:rsidRPr="00F001E1">
            <w:rPr>
              <w:noProof/>
              <w:lang w:val="en-US"/>
            </w:rPr>
            <w:t>(business, 2020)</w:t>
          </w:r>
          <w:r w:rsidR="00F001E1">
            <w:fldChar w:fldCharType="end"/>
          </w:r>
        </w:sdtContent>
      </w:sdt>
      <w:r w:rsidR="00B81598">
        <w:t>.</w:t>
      </w:r>
    </w:p>
    <w:p w14:paraId="48754348" w14:textId="77777777" w:rsidR="00585821" w:rsidRDefault="00170FD8" w:rsidP="00FA18EB">
      <w:r>
        <w:t xml:space="preserve">3. </w:t>
      </w:r>
      <w:r w:rsidR="009078D7">
        <w:t xml:space="preserve">There is </w:t>
      </w:r>
      <w:r w:rsidR="001E3D46">
        <w:t xml:space="preserve">no perfect and standard definition </w:t>
      </w:r>
      <w:r w:rsidR="005866B1">
        <w:t xml:space="preserve">of the ratios </w:t>
      </w:r>
      <w:r w:rsidR="00EC48CB">
        <w:t>as there are many different formulas that are used by the</w:t>
      </w:r>
      <w:r w:rsidR="00D130EA">
        <w:t xml:space="preserve"> business organisation respectively.</w:t>
      </w:r>
      <w:r w:rsidR="00CB23E1">
        <w:t xml:space="preserve"> </w:t>
      </w:r>
    </w:p>
    <w:p w14:paraId="55A3039C" w14:textId="77777777" w:rsidR="00CB23E1" w:rsidRDefault="00170FD8" w:rsidP="00FA18EB">
      <w:r>
        <w:t xml:space="preserve">4. The preparation of the accounting ratio does not </w:t>
      </w:r>
      <w:r w:rsidR="006521FB">
        <w:t>resolve</w:t>
      </w:r>
      <w:r>
        <w:t xml:space="preserve"> any of the </w:t>
      </w:r>
      <w:r w:rsidR="009408BB">
        <w:t xml:space="preserve">financial problems as it only helps the </w:t>
      </w:r>
      <w:r w:rsidR="0078335A">
        <w:t>business organisation to ascertain and compare the financial</w:t>
      </w:r>
      <w:r w:rsidR="006473D4">
        <w:t xml:space="preserve"> performance </w:t>
      </w:r>
      <w:r w:rsidR="00A21778">
        <w:t xml:space="preserve">and the health </w:t>
      </w:r>
      <w:r w:rsidR="00F9594C">
        <w:t>only</w:t>
      </w:r>
      <w:r w:rsidR="0046121A">
        <w:t xml:space="preserve"> </w:t>
      </w:r>
      <w:r w:rsidR="0046121A">
        <w:rPr>
          <w:shd w:val="clear" w:color="auto" w:fill="FFFFFF"/>
        </w:rPr>
        <w:t>(Maisharoh, et al., 2020</w:t>
      </w:r>
      <w:r w:rsidR="0046121A" w:rsidRPr="0046121A">
        <w:rPr>
          <w:shd w:val="clear" w:color="auto" w:fill="FFFFFF"/>
        </w:rPr>
        <w:t xml:space="preserve">, </w:t>
      </w:r>
      <w:r w:rsidR="0046121A">
        <w:rPr>
          <w:shd w:val="clear" w:color="auto" w:fill="FFFFFF"/>
        </w:rPr>
        <w:t>pp.63-71)</w:t>
      </w:r>
      <w:r w:rsidR="00F9594C">
        <w:t>.</w:t>
      </w:r>
    </w:p>
    <w:p w14:paraId="69CE6B6F" w14:textId="77777777" w:rsidR="00691D0B" w:rsidRDefault="00691D0B" w:rsidP="00FA18EB"/>
    <w:p w14:paraId="2EFC7384" w14:textId="77777777" w:rsidR="00D6314A" w:rsidRDefault="00170FD8" w:rsidP="00FA18EB">
      <w:r>
        <w:t xml:space="preserve"> </w:t>
      </w:r>
      <w:r w:rsidR="00BF31C0">
        <w:t xml:space="preserve"> </w:t>
      </w:r>
    </w:p>
    <w:p w14:paraId="25E861E7" w14:textId="77777777" w:rsidR="00025415" w:rsidRPr="00541DA8" w:rsidRDefault="00025415" w:rsidP="00541DA8"/>
    <w:p w14:paraId="5F009150" w14:textId="77777777" w:rsidR="00541DA8" w:rsidRDefault="00170FD8" w:rsidP="00691D0B">
      <w:pPr>
        <w:pStyle w:val="Heading1"/>
      </w:pPr>
      <w:bookmarkStart w:id="5" w:name="_Toc104258915"/>
      <w:r>
        <w:lastRenderedPageBreak/>
        <w:t>Conclusion</w:t>
      </w:r>
      <w:bookmarkEnd w:id="5"/>
    </w:p>
    <w:p w14:paraId="33D3A552" w14:textId="77777777" w:rsidR="00F31A81" w:rsidRDefault="00170FD8" w:rsidP="00DA572E">
      <w:r>
        <w:t>The following report has focused on the different ratios that have been prepared for the respective company Hilton Hotels. Hence, all the different types of ratios have been prepared in order to ascertain the finan</w:t>
      </w:r>
      <w:r>
        <w:t>cial performance of Hilton Hotels for the two years 2019 and 2020. However, the importance of the ratios has been discussed for the respective company. Further, the limitations of the ratios have also been elaborated for the respective company Hilton Hotel</w:t>
      </w:r>
      <w:r>
        <w:t xml:space="preserve">s, to show the essentiality of the financial ratios respectively. </w:t>
      </w:r>
    </w:p>
    <w:p w14:paraId="597A0CE9" w14:textId="77777777" w:rsidR="00F31A81" w:rsidRDefault="00170FD8">
      <w:pPr>
        <w:spacing w:line="259" w:lineRule="auto"/>
        <w:jc w:val="left"/>
      </w:pPr>
      <w:r>
        <w:br w:type="page"/>
      </w:r>
    </w:p>
    <w:p w14:paraId="3A4E237B" w14:textId="77777777" w:rsidR="00DA572E" w:rsidRDefault="00170FD8" w:rsidP="00F31A81">
      <w:pPr>
        <w:pStyle w:val="Heading1"/>
      </w:pPr>
      <w:bookmarkStart w:id="6" w:name="_Toc104258916"/>
      <w:r>
        <w:lastRenderedPageBreak/>
        <w:t>References</w:t>
      </w:r>
      <w:bookmarkEnd w:id="6"/>
      <w:r>
        <w:t xml:space="preserve"> </w:t>
      </w:r>
    </w:p>
    <w:p w14:paraId="62B4018B" w14:textId="77777777" w:rsidR="00F31A81" w:rsidRDefault="00170FD8" w:rsidP="00F31A81">
      <w:pPr>
        <w:pStyle w:val="Heading2"/>
      </w:pPr>
      <w:bookmarkStart w:id="7" w:name="_Toc104258917"/>
      <w:r>
        <w:t>Books and Journals</w:t>
      </w:r>
      <w:bookmarkEnd w:id="7"/>
      <w:r>
        <w:t xml:space="preserve"> </w:t>
      </w:r>
    </w:p>
    <w:p w14:paraId="2EAC25DC" w14:textId="77777777" w:rsidR="00F31A81" w:rsidRDefault="00170FD8" w:rsidP="0046121A">
      <w:pPr>
        <w:rPr>
          <w:shd w:val="clear" w:color="auto" w:fill="FFFFFF"/>
        </w:rPr>
      </w:pPr>
      <w:r>
        <w:rPr>
          <w:shd w:val="clear" w:color="auto" w:fill="FFFFFF"/>
        </w:rPr>
        <w:t>Muttakin, F., Wang, J.T., Mulyanto, M. and Leu, J.S., (2021). Evaluation of Feature Selection Methods on Psychosocial Education Data Using Additive Ratio A</w:t>
      </w:r>
      <w:r>
        <w:rPr>
          <w:shd w:val="clear" w:color="auto" w:fill="FFFFFF"/>
        </w:rPr>
        <w:t>ssessment. </w:t>
      </w:r>
      <w:r>
        <w:rPr>
          <w:i/>
          <w:iCs/>
          <w:shd w:val="clear" w:color="auto" w:fill="FFFFFF"/>
        </w:rPr>
        <w:t>Electronics</w:t>
      </w:r>
      <w:r>
        <w:rPr>
          <w:shd w:val="clear" w:color="auto" w:fill="FFFFFF"/>
        </w:rPr>
        <w:t>, </w:t>
      </w:r>
      <w:r>
        <w:rPr>
          <w:i/>
          <w:iCs/>
          <w:shd w:val="clear" w:color="auto" w:fill="FFFFFF"/>
        </w:rPr>
        <w:t>11</w:t>
      </w:r>
      <w:r>
        <w:rPr>
          <w:shd w:val="clear" w:color="auto" w:fill="FFFFFF"/>
        </w:rPr>
        <w:t>(1), p.114.</w:t>
      </w:r>
    </w:p>
    <w:p w14:paraId="1D354623" w14:textId="77777777" w:rsidR="00DE6FDF" w:rsidRDefault="00170FD8" w:rsidP="0046121A">
      <w:pPr>
        <w:rPr>
          <w:shd w:val="clear" w:color="auto" w:fill="FFFFFF"/>
        </w:rPr>
      </w:pPr>
      <w:r>
        <w:rPr>
          <w:shd w:val="clear" w:color="auto" w:fill="FFFFFF"/>
        </w:rPr>
        <w:t>Gogolinskii, K.V., Syasko, V.A., Umanskii, A.S., Nikazov, A.A. and Bobkova, T.I., (2019), November. Mechanical properties measurements with portable hardness testers: advantages, limitations, prospects. In </w:t>
      </w:r>
      <w:r>
        <w:rPr>
          <w:i/>
          <w:iCs/>
          <w:shd w:val="clear" w:color="auto" w:fill="FFFFFF"/>
        </w:rPr>
        <w:t>Journal of Physics: Conference Series</w:t>
      </w:r>
      <w:r>
        <w:rPr>
          <w:shd w:val="clear" w:color="auto" w:fill="FFFFFF"/>
        </w:rPr>
        <w:t> (Vol. 1384, No. 1, p. 012012). IOP Publishing.</w:t>
      </w:r>
    </w:p>
    <w:p w14:paraId="1FD05EB2" w14:textId="77777777" w:rsidR="00DE6FDF" w:rsidRDefault="00170FD8" w:rsidP="0046121A">
      <w:pPr>
        <w:rPr>
          <w:shd w:val="clear" w:color="auto" w:fill="FFFFFF"/>
        </w:rPr>
      </w:pPr>
      <w:r>
        <w:rPr>
          <w:shd w:val="clear" w:color="auto" w:fill="FFFFFF"/>
        </w:rPr>
        <w:t xml:space="preserve">Sadeghi, H., Davey, K., Darvizeh, R., Rajabiehfard, R. and Darvizeh, A., </w:t>
      </w:r>
      <w:r w:rsidR="0046121A">
        <w:rPr>
          <w:shd w:val="clear" w:color="auto" w:fill="FFFFFF"/>
        </w:rPr>
        <w:t>(</w:t>
      </w:r>
      <w:r>
        <w:rPr>
          <w:shd w:val="clear" w:color="auto" w:fill="FFFFFF"/>
        </w:rPr>
        <w:t>2020</w:t>
      </w:r>
      <w:r w:rsidR="0046121A">
        <w:rPr>
          <w:shd w:val="clear" w:color="auto" w:fill="FFFFFF"/>
        </w:rPr>
        <w:t>)</w:t>
      </w:r>
      <w:r>
        <w:rPr>
          <w:shd w:val="clear" w:color="auto" w:fill="FFFFFF"/>
        </w:rPr>
        <w:t>. An investigation into finite similitude for high-rate loading processes: advantages in com</w:t>
      </w:r>
      <w:r>
        <w:rPr>
          <w:shd w:val="clear" w:color="auto" w:fill="FFFFFF"/>
        </w:rPr>
        <w:t>parison to dimensional analysis and its practical implementation. </w:t>
      </w:r>
      <w:r>
        <w:rPr>
          <w:i/>
          <w:iCs/>
          <w:shd w:val="clear" w:color="auto" w:fill="FFFFFF"/>
        </w:rPr>
        <w:t>International Journal of Impact Engineering</w:t>
      </w:r>
      <w:r>
        <w:rPr>
          <w:shd w:val="clear" w:color="auto" w:fill="FFFFFF"/>
        </w:rPr>
        <w:t>, </w:t>
      </w:r>
      <w:r>
        <w:rPr>
          <w:i/>
          <w:iCs/>
          <w:shd w:val="clear" w:color="auto" w:fill="FFFFFF"/>
        </w:rPr>
        <w:t>140</w:t>
      </w:r>
      <w:r>
        <w:rPr>
          <w:shd w:val="clear" w:color="auto" w:fill="FFFFFF"/>
        </w:rPr>
        <w:t>, p.103554.</w:t>
      </w:r>
    </w:p>
    <w:p w14:paraId="17CD8C10" w14:textId="77777777" w:rsidR="0046121A" w:rsidRDefault="00170FD8" w:rsidP="0046121A">
      <w:pPr>
        <w:rPr>
          <w:shd w:val="clear" w:color="auto" w:fill="FFFFFF"/>
        </w:rPr>
      </w:pPr>
      <w:r>
        <w:rPr>
          <w:shd w:val="clear" w:color="auto" w:fill="FFFFFF"/>
        </w:rPr>
        <w:t>Maisharoh, T. and Riyanto, S., (2020). Financial Statements Analysis in Measuring Financial Performance of the PT. Mayora Indah Tb</w:t>
      </w:r>
      <w:r>
        <w:rPr>
          <w:shd w:val="clear" w:color="auto" w:fill="FFFFFF"/>
        </w:rPr>
        <w:t>k, Period 2014-2018. </w:t>
      </w:r>
      <w:r>
        <w:rPr>
          <w:i/>
          <w:iCs/>
          <w:shd w:val="clear" w:color="auto" w:fill="FFFFFF"/>
        </w:rPr>
        <w:t>Journal of Contemporary Information Technology, Management, and Accounting</w:t>
      </w:r>
      <w:r>
        <w:rPr>
          <w:shd w:val="clear" w:color="auto" w:fill="FFFFFF"/>
        </w:rPr>
        <w:t>, </w:t>
      </w:r>
      <w:r>
        <w:rPr>
          <w:i/>
          <w:iCs/>
          <w:shd w:val="clear" w:color="auto" w:fill="FFFFFF"/>
        </w:rPr>
        <w:t>1</w:t>
      </w:r>
      <w:r>
        <w:rPr>
          <w:shd w:val="clear" w:color="auto" w:fill="FFFFFF"/>
        </w:rPr>
        <w:t>(2), pp.63-71.</w:t>
      </w:r>
    </w:p>
    <w:p w14:paraId="4382FA89" w14:textId="77777777" w:rsidR="00F31A81" w:rsidRDefault="00170FD8" w:rsidP="00F31A81">
      <w:pPr>
        <w:pStyle w:val="Heading2"/>
      </w:pPr>
      <w:bookmarkStart w:id="8" w:name="_Toc104258918"/>
      <w:r>
        <w:t>Website References</w:t>
      </w:r>
      <w:bookmarkEnd w:id="8"/>
      <w:r>
        <w:t xml:space="preserve"> </w:t>
      </w:r>
    </w:p>
    <w:sdt>
      <w:sdtPr>
        <w:id w:val="-573587230"/>
        <w:bibliography/>
      </w:sdtPr>
      <w:sdtEndPr/>
      <w:sdtContent>
        <w:p w14:paraId="12D22081" w14:textId="77777777" w:rsidR="000766A7" w:rsidRDefault="00170FD8" w:rsidP="000766A7">
          <w:pPr>
            <w:pStyle w:val="Bibliography"/>
            <w:rPr>
              <w:noProof/>
              <w:szCs w:val="24"/>
            </w:rPr>
          </w:pPr>
          <w:r>
            <w:fldChar w:fldCharType="begin"/>
          </w:r>
          <w:r>
            <w:instrText xml:space="preserve"> BIBLIOGRAPHY </w:instrText>
          </w:r>
          <w:r>
            <w:fldChar w:fldCharType="separate"/>
          </w:r>
          <w:r>
            <w:rPr>
              <w:noProof/>
            </w:rPr>
            <w:t xml:space="preserve">business, (2020). </w:t>
          </w:r>
          <w:r>
            <w:rPr>
              <w:i/>
              <w:iCs/>
              <w:noProof/>
            </w:rPr>
            <w:t xml:space="preserve">What Are The Disadvantages Or Limitation Of The Financial Statement?. </w:t>
          </w:r>
          <w:r>
            <w:rPr>
              <w:noProof/>
            </w:rPr>
            <w:t xml:space="preserve">[Online] </w:t>
          </w:r>
        </w:p>
        <w:p w14:paraId="2235BA53" w14:textId="77777777" w:rsidR="000766A7" w:rsidRDefault="00170FD8" w:rsidP="000766A7">
          <w:pPr>
            <w:pStyle w:val="Bibliography"/>
            <w:rPr>
              <w:noProof/>
              <w:szCs w:val="24"/>
            </w:rPr>
          </w:pPr>
          <w:r>
            <w:rPr>
              <w:noProof/>
            </w:rPr>
            <w:t xml:space="preserve">Available at: </w:t>
          </w:r>
          <w:r>
            <w:rPr>
              <w:noProof/>
              <w:u w:val="single"/>
            </w:rPr>
            <w:t>https://business-finance.blurtit.com/313252/what-are-the-disadvantages-or-limitation-of-the-financial-statement</w:t>
          </w:r>
        </w:p>
        <w:p w14:paraId="0239C43E" w14:textId="77777777" w:rsidR="000766A7" w:rsidRDefault="00170FD8" w:rsidP="000766A7">
          <w:pPr>
            <w:pStyle w:val="Bibliography"/>
            <w:rPr>
              <w:noProof/>
            </w:rPr>
          </w:pPr>
          <w:r>
            <w:rPr>
              <w:noProof/>
            </w:rPr>
            <w:lastRenderedPageBreak/>
            <w:t xml:space="preserve">commercemates, (2022). </w:t>
          </w:r>
          <w:r>
            <w:rPr>
              <w:i/>
              <w:iCs/>
              <w:noProof/>
            </w:rPr>
            <w:t>Advantages and Disadvantage</w:t>
          </w:r>
          <w:r>
            <w:rPr>
              <w:i/>
              <w:iCs/>
              <w:noProof/>
            </w:rPr>
            <w:t xml:space="preserve">s of Ratio Analysis. </w:t>
          </w:r>
          <w:r>
            <w:rPr>
              <w:noProof/>
            </w:rPr>
            <w:t xml:space="preserve">[Online] </w:t>
          </w:r>
        </w:p>
        <w:p w14:paraId="7D2A39F0" w14:textId="77777777" w:rsidR="000766A7" w:rsidRDefault="00170FD8" w:rsidP="000766A7">
          <w:pPr>
            <w:pStyle w:val="Bibliography"/>
            <w:rPr>
              <w:noProof/>
            </w:rPr>
          </w:pPr>
          <w:r>
            <w:rPr>
              <w:noProof/>
            </w:rPr>
            <w:t xml:space="preserve">Available at: </w:t>
          </w:r>
          <w:r>
            <w:rPr>
              <w:noProof/>
              <w:u w:val="single"/>
            </w:rPr>
            <w:t>https://commercemates.com/advantages-and-disadvantages-of-ratio-analysis/</w:t>
          </w:r>
        </w:p>
        <w:p w14:paraId="57FDADF7" w14:textId="77777777" w:rsidR="000766A7" w:rsidRDefault="00170FD8" w:rsidP="000766A7">
          <w:pPr>
            <w:pStyle w:val="Bibliography"/>
            <w:rPr>
              <w:noProof/>
            </w:rPr>
          </w:pPr>
          <w:r>
            <w:rPr>
              <w:noProof/>
            </w:rPr>
            <w:t xml:space="preserve">deskera, (2022). </w:t>
          </w:r>
          <w:r>
            <w:rPr>
              <w:i/>
              <w:iCs/>
              <w:noProof/>
            </w:rPr>
            <w:t xml:space="preserve">What is Profitability Ratio? Types, Examples, and Why they Matter?. </w:t>
          </w:r>
          <w:r>
            <w:rPr>
              <w:noProof/>
            </w:rPr>
            <w:t xml:space="preserve">[Online] </w:t>
          </w:r>
        </w:p>
        <w:p w14:paraId="3A07BE5D" w14:textId="77777777" w:rsidR="000766A7" w:rsidRDefault="00170FD8" w:rsidP="000766A7">
          <w:pPr>
            <w:pStyle w:val="Bibliography"/>
            <w:rPr>
              <w:noProof/>
            </w:rPr>
          </w:pPr>
          <w:r>
            <w:rPr>
              <w:noProof/>
            </w:rPr>
            <w:t xml:space="preserve">Available at: </w:t>
          </w:r>
          <w:r>
            <w:rPr>
              <w:noProof/>
              <w:u w:val="single"/>
            </w:rPr>
            <w:t>https://www.deskera.com/blog</w:t>
          </w:r>
          <w:r>
            <w:rPr>
              <w:noProof/>
              <w:u w:val="single"/>
            </w:rPr>
            <w:t>/profitability-ratio/</w:t>
          </w:r>
        </w:p>
        <w:p w14:paraId="561EC343" w14:textId="77777777" w:rsidR="000766A7" w:rsidRDefault="00170FD8" w:rsidP="000766A7">
          <w:pPr>
            <w:pStyle w:val="Bibliography"/>
            <w:rPr>
              <w:noProof/>
            </w:rPr>
          </w:pPr>
          <w:r>
            <w:rPr>
              <w:noProof/>
            </w:rPr>
            <w:t xml:space="preserve">ilearnlot, (2020). </w:t>
          </w:r>
          <w:r>
            <w:rPr>
              <w:i/>
              <w:iCs/>
              <w:noProof/>
            </w:rPr>
            <w:t xml:space="preserve">Importance, Objectives, Advantages of Ratio Analysis. </w:t>
          </w:r>
          <w:r>
            <w:rPr>
              <w:noProof/>
            </w:rPr>
            <w:t xml:space="preserve">[Online] </w:t>
          </w:r>
        </w:p>
        <w:p w14:paraId="7535B422" w14:textId="77777777" w:rsidR="000766A7" w:rsidRDefault="00170FD8" w:rsidP="000766A7">
          <w:pPr>
            <w:pStyle w:val="Bibliography"/>
            <w:rPr>
              <w:noProof/>
            </w:rPr>
          </w:pPr>
          <w:r>
            <w:rPr>
              <w:noProof/>
            </w:rPr>
            <w:t xml:space="preserve">Available at: </w:t>
          </w:r>
          <w:r>
            <w:rPr>
              <w:noProof/>
              <w:u w:val="single"/>
            </w:rPr>
            <w:t>https://www.ilearnlot.com/importance-objectives-advantages-of-ratio-analysis/57707/</w:t>
          </w:r>
        </w:p>
        <w:p w14:paraId="284C718B" w14:textId="77777777" w:rsidR="000766A7" w:rsidRDefault="00170FD8" w:rsidP="000766A7">
          <w:pPr>
            <w:pStyle w:val="Bibliography"/>
            <w:rPr>
              <w:noProof/>
            </w:rPr>
          </w:pPr>
          <w:r>
            <w:rPr>
              <w:noProof/>
            </w:rPr>
            <w:t xml:space="preserve">ratiosys, (2021). </w:t>
          </w:r>
          <w:r>
            <w:rPr>
              <w:i/>
              <w:iCs/>
              <w:noProof/>
            </w:rPr>
            <w:t>Accounting Ratios and Types of Fina</w:t>
          </w:r>
          <w:r>
            <w:rPr>
              <w:i/>
              <w:iCs/>
              <w:noProof/>
            </w:rPr>
            <w:t xml:space="preserve">ncial Ratios Analysis. </w:t>
          </w:r>
          <w:r>
            <w:rPr>
              <w:noProof/>
            </w:rPr>
            <w:t xml:space="preserve">[Online] </w:t>
          </w:r>
        </w:p>
        <w:p w14:paraId="17AC9845" w14:textId="77777777" w:rsidR="000766A7" w:rsidRDefault="00170FD8" w:rsidP="000766A7">
          <w:pPr>
            <w:pStyle w:val="Bibliography"/>
            <w:rPr>
              <w:noProof/>
            </w:rPr>
          </w:pPr>
          <w:r>
            <w:rPr>
              <w:noProof/>
            </w:rPr>
            <w:t xml:space="preserve">Available at: </w:t>
          </w:r>
          <w:r>
            <w:rPr>
              <w:noProof/>
              <w:u w:val="single"/>
            </w:rPr>
            <w:t>https://ratiosys.com/accounting-ratios-and-types-of-financial-ratios-analysis/</w:t>
          </w:r>
        </w:p>
        <w:p w14:paraId="535A6070" w14:textId="77777777" w:rsidR="000766A7" w:rsidRDefault="00170FD8" w:rsidP="000766A7">
          <w:pPr>
            <w:pStyle w:val="Bibliography"/>
            <w:rPr>
              <w:noProof/>
            </w:rPr>
          </w:pPr>
          <w:r>
            <w:rPr>
              <w:noProof/>
            </w:rPr>
            <w:t xml:space="preserve">readyratios, (2022). </w:t>
          </w:r>
          <w:r>
            <w:rPr>
              <w:i/>
              <w:iCs/>
              <w:noProof/>
            </w:rPr>
            <w:t xml:space="preserve">Gearing Ratio. </w:t>
          </w:r>
          <w:r>
            <w:rPr>
              <w:noProof/>
            </w:rPr>
            <w:t xml:space="preserve">[Online] </w:t>
          </w:r>
        </w:p>
        <w:p w14:paraId="4D328C91" w14:textId="77777777" w:rsidR="000766A7" w:rsidRDefault="00170FD8" w:rsidP="000766A7">
          <w:pPr>
            <w:pStyle w:val="Bibliography"/>
            <w:rPr>
              <w:noProof/>
            </w:rPr>
          </w:pPr>
          <w:r>
            <w:rPr>
              <w:noProof/>
            </w:rPr>
            <w:t xml:space="preserve">Available at: </w:t>
          </w:r>
          <w:r>
            <w:rPr>
              <w:noProof/>
              <w:u w:val="single"/>
            </w:rPr>
            <w:t>https://www.readyratios.com/reference/analysis/gearing_ratio.html</w:t>
          </w:r>
        </w:p>
        <w:p w14:paraId="27477563" w14:textId="77777777" w:rsidR="000766A7" w:rsidRDefault="00170FD8" w:rsidP="000766A7">
          <w:pPr>
            <w:pStyle w:val="Bibliography"/>
            <w:rPr>
              <w:noProof/>
            </w:rPr>
          </w:pPr>
          <w:r>
            <w:rPr>
              <w:noProof/>
            </w:rPr>
            <w:t xml:space="preserve">tofler, (2022). </w:t>
          </w:r>
          <w:r>
            <w:rPr>
              <w:i/>
              <w:iCs/>
              <w:noProof/>
            </w:rPr>
            <w:t xml:space="preserve">Liquidity ratio. </w:t>
          </w:r>
          <w:r>
            <w:rPr>
              <w:noProof/>
            </w:rPr>
            <w:t xml:space="preserve">[Online] </w:t>
          </w:r>
        </w:p>
        <w:p w14:paraId="7B6F2137" w14:textId="77777777" w:rsidR="000766A7" w:rsidRDefault="00170FD8" w:rsidP="000766A7">
          <w:pPr>
            <w:pStyle w:val="Bibliography"/>
            <w:rPr>
              <w:noProof/>
            </w:rPr>
          </w:pPr>
          <w:r>
            <w:rPr>
              <w:noProof/>
            </w:rPr>
            <w:t xml:space="preserve">Available at: </w:t>
          </w:r>
          <w:r>
            <w:rPr>
              <w:noProof/>
              <w:u w:val="single"/>
            </w:rPr>
            <w:t>https://www.tofler.in/financial-terms/liquidity-ratio</w:t>
          </w:r>
        </w:p>
        <w:p w14:paraId="715A3B68" w14:textId="77777777" w:rsidR="000766A7" w:rsidRDefault="00170FD8" w:rsidP="000766A7">
          <w:r>
            <w:rPr>
              <w:b/>
              <w:bCs/>
              <w:noProof/>
            </w:rPr>
            <w:fldChar w:fldCharType="end"/>
          </w:r>
        </w:p>
      </w:sdtContent>
    </w:sdt>
    <w:p w14:paraId="2DA5EB82" w14:textId="77777777" w:rsidR="000766A7" w:rsidRPr="000766A7" w:rsidRDefault="000766A7" w:rsidP="000766A7"/>
    <w:p w14:paraId="5148B544" w14:textId="77777777" w:rsidR="00F31A81" w:rsidRPr="00F31A81" w:rsidRDefault="00F31A81" w:rsidP="00F31A81"/>
    <w:p w14:paraId="6D5EBFC7" w14:textId="77777777" w:rsidR="00691D0B" w:rsidRPr="00691D0B" w:rsidRDefault="00691D0B" w:rsidP="00691D0B"/>
    <w:p w14:paraId="66F01978" w14:textId="77777777" w:rsidR="004977B2" w:rsidRPr="00BB0276" w:rsidRDefault="004977B2" w:rsidP="00BB0276"/>
    <w:p w14:paraId="240E0B41" w14:textId="77777777" w:rsidR="00E864CF" w:rsidRPr="00E864CF" w:rsidRDefault="00E864CF" w:rsidP="00E864CF"/>
    <w:sectPr w:rsidR="00E864CF" w:rsidRPr="00E864CF" w:rsidSect="00B211B3">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78B50" w14:textId="77777777" w:rsidR="00170FD8" w:rsidRDefault="00170FD8">
      <w:pPr>
        <w:spacing w:after="0" w:line="240" w:lineRule="auto"/>
      </w:pPr>
      <w:r>
        <w:separator/>
      </w:r>
    </w:p>
  </w:endnote>
  <w:endnote w:type="continuationSeparator" w:id="0">
    <w:p w14:paraId="475F2208" w14:textId="77777777" w:rsidR="00170FD8" w:rsidRDefault="00170F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493542"/>
      <w:docPartObj>
        <w:docPartGallery w:val="Page Numbers (Bottom of Page)"/>
        <w:docPartUnique/>
      </w:docPartObj>
    </w:sdtPr>
    <w:sdtEndPr/>
    <w:sdtContent>
      <w:sdt>
        <w:sdtPr>
          <w:id w:val="-1769616900"/>
          <w:docPartObj>
            <w:docPartGallery w:val="Page Numbers (Top of Page)"/>
            <w:docPartUnique/>
          </w:docPartObj>
        </w:sdtPr>
        <w:sdtEndPr/>
        <w:sdtContent>
          <w:p w14:paraId="3AD5821D" w14:textId="77777777" w:rsidR="00B211B3" w:rsidRDefault="00170FD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BED5D17" w14:textId="77777777" w:rsidR="00B211B3" w:rsidRDefault="00B21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74EFA" w14:textId="77777777" w:rsidR="00170FD8" w:rsidRDefault="00170FD8">
      <w:pPr>
        <w:spacing w:after="0" w:line="240" w:lineRule="auto"/>
      </w:pPr>
      <w:r>
        <w:separator/>
      </w:r>
    </w:p>
  </w:footnote>
  <w:footnote w:type="continuationSeparator" w:id="0">
    <w:p w14:paraId="471F17CB" w14:textId="77777777" w:rsidR="00170FD8" w:rsidRDefault="00170F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lang w:val="en-US"/>
      </w:rPr>
      <w:alias w:val="Title"/>
      <w:id w:val="1116400235"/>
      <w:placeholder>
        <w:docPart w:val="F75345B9B798409F9D41464C9EDA0CB3"/>
      </w:placeholder>
      <w:dataBinding w:prefixMappings="xmlns:ns0='http://purl.org/dc/elements/1.1/' xmlns:ns1='http://schemas.openxmlformats.org/package/2006/metadata/core-properties' " w:xpath="/ns1:coreProperties[1]/ns0:title[1]" w:storeItemID="{6C3C8BC8-F283-45AE-878A-BAB7291924A1}"/>
      <w:text/>
    </w:sdtPr>
    <w:sdtEndPr/>
    <w:sdtContent>
      <w:p w14:paraId="0D1DB4C1" w14:textId="77777777" w:rsidR="00B211B3" w:rsidRDefault="00170FD8">
        <w:pPr>
          <w:pStyle w:val="Header"/>
          <w:tabs>
            <w:tab w:val="clear" w:pos="4680"/>
            <w:tab w:val="clear" w:pos="9360"/>
          </w:tabs>
          <w:jc w:val="right"/>
          <w:rPr>
            <w:color w:val="7F7F7F" w:themeColor="text1" w:themeTint="80"/>
          </w:rPr>
        </w:pPr>
        <w:r w:rsidRPr="00B211B3">
          <w:rPr>
            <w:lang w:val="en-US"/>
          </w:rPr>
          <w:t>Financial Management for the Hotel Industry</w:t>
        </w:r>
      </w:p>
    </w:sdtContent>
  </w:sdt>
  <w:p w14:paraId="47AC1233" w14:textId="77777777" w:rsidR="00B211B3" w:rsidRPr="00B211B3" w:rsidRDefault="00B211B3" w:rsidP="00B211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9E4A71"/>
    <w:multiLevelType w:val="hybridMultilevel"/>
    <w:tmpl w:val="3806B2EE"/>
    <w:lvl w:ilvl="0" w:tplc="FF924AB2">
      <w:start w:val="1"/>
      <w:numFmt w:val="decimal"/>
      <w:lvlText w:val="%1."/>
      <w:lvlJc w:val="left"/>
      <w:pPr>
        <w:ind w:left="720" w:hanging="360"/>
      </w:pPr>
      <w:rPr>
        <w:rFonts w:hint="default"/>
      </w:rPr>
    </w:lvl>
    <w:lvl w:ilvl="1" w:tplc="E5AA4CCC" w:tentative="1">
      <w:start w:val="1"/>
      <w:numFmt w:val="lowerLetter"/>
      <w:lvlText w:val="%2."/>
      <w:lvlJc w:val="left"/>
      <w:pPr>
        <w:ind w:left="1440" w:hanging="360"/>
      </w:pPr>
    </w:lvl>
    <w:lvl w:ilvl="2" w:tplc="8BFA9E6C" w:tentative="1">
      <w:start w:val="1"/>
      <w:numFmt w:val="lowerRoman"/>
      <w:lvlText w:val="%3."/>
      <w:lvlJc w:val="right"/>
      <w:pPr>
        <w:ind w:left="2160" w:hanging="180"/>
      </w:pPr>
    </w:lvl>
    <w:lvl w:ilvl="3" w:tplc="02A4C188" w:tentative="1">
      <w:start w:val="1"/>
      <w:numFmt w:val="decimal"/>
      <w:lvlText w:val="%4."/>
      <w:lvlJc w:val="left"/>
      <w:pPr>
        <w:ind w:left="2880" w:hanging="360"/>
      </w:pPr>
    </w:lvl>
    <w:lvl w:ilvl="4" w:tplc="3322F6C6" w:tentative="1">
      <w:start w:val="1"/>
      <w:numFmt w:val="lowerLetter"/>
      <w:lvlText w:val="%5."/>
      <w:lvlJc w:val="left"/>
      <w:pPr>
        <w:ind w:left="3600" w:hanging="360"/>
      </w:pPr>
    </w:lvl>
    <w:lvl w:ilvl="5" w:tplc="B1429C72" w:tentative="1">
      <w:start w:val="1"/>
      <w:numFmt w:val="lowerRoman"/>
      <w:lvlText w:val="%6."/>
      <w:lvlJc w:val="right"/>
      <w:pPr>
        <w:ind w:left="4320" w:hanging="180"/>
      </w:pPr>
    </w:lvl>
    <w:lvl w:ilvl="6" w:tplc="52A2837C" w:tentative="1">
      <w:start w:val="1"/>
      <w:numFmt w:val="decimal"/>
      <w:lvlText w:val="%7."/>
      <w:lvlJc w:val="left"/>
      <w:pPr>
        <w:ind w:left="5040" w:hanging="360"/>
      </w:pPr>
    </w:lvl>
    <w:lvl w:ilvl="7" w:tplc="B5FAB7FA" w:tentative="1">
      <w:start w:val="1"/>
      <w:numFmt w:val="lowerLetter"/>
      <w:lvlText w:val="%8."/>
      <w:lvlJc w:val="left"/>
      <w:pPr>
        <w:ind w:left="5760" w:hanging="360"/>
      </w:pPr>
    </w:lvl>
    <w:lvl w:ilvl="8" w:tplc="6C5CA422" w:tentative="1">
      <w:start w:val="1"/>
      <w:numFmt w:val="lowerRoman"/>
      <w:lvlText w:val="%9."/>
      <w:lvlJc w:val="right"/>
      <w:pPr>
        <w:ind w:left="6480" w:hanging="180"/>
      </w:pPr>
    </w:lvl>
  </w:abstractNum>
  <w:num w:numId="1" w16cid:durableId="1225988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1B3"/>
    <w:rsid w:val="00007F0C"/>
    <w:rsid w:val="00017979"/>
    <w:rsid w:val="000239D1"/>
    <w:rsid w:val="00025415"/>
    <w:rsid w:val="0003231B"/>
    <w:rsid w:val="00040DF9"/>
    <w:rsid w:val="00053739"/>
    <w:rsid w:val="000766A7"/>
    <w:rsid w:val="00080D23"/>
    <w:rsid w:val="00083716"/>
    <w:rsid w:val="00083A3E"/>
    <w:rsid w:val="000975C7"/>
    <w:rsid w:val="000A306B"/>
    <w:rsid w:val="000E2A18"/>
    <w:rsid w:val="000E2EC7"/>
    <w:rsid w:val="00114088"/>
    <w:rsid w:val="00117895"/>
    <w:rsid w:val="001340DC"/>
    <w:rsid w:val="001362CC"/>
    <w:rsid w:val="00153130"/>
    <w:rsid w:val="00170FD8"/>
    <w:rsid w:val="00187A5A"/>
    <w:rsid w:val="001902EF"/>
    <w:rsid w:val="0019542B"/>
    <w:rsid w:val="001A4EE5"/>
    <w:rsid w:val="001B3D95"/>
    <w:rsid w:val="001C2CA6"/>
    <w:rsid w:val="001D0827"/>
    <w:rsid w:val="001D2213"/>
    <w:rsid w:val="001E186C"/>
    <w:rsid w:val="001E3D46"/>
    <w:rsid w:val="001E4D66"/>
    <w:rsid w:val="001E5A81"/>
    <w:rsid w:val="001E7403"/>
    <w:rsid w:val="001F2CF0"/>
    <w:rsid w:val="0020660F"/>
    <w:rsid w:val="00215940"/>
    <w:rsid w:val="00220C17"/>
    <w:rsid w:val="0022543E"/>
    <w:rsid w:val="00231749"/>
    <w:rsid w:val="002545CF"/>
    <w:rsid w:val="0026201A"/>
    <w:rsid w:val="00270A25"/>
    <w:rsid w:val="00271BF2"/>
    <w:rsid w:val="002A4126"/>
    <w:rsid w:val="002C0EB5"/>
    <w:rsid w:val="002D6DE0"/>
    <w:rsid w:val="002D78E2"/>
    <w:rsid w:val="002E2639"/>
    <w:rsid w:val="00302385"/>
    <w:rsid w:val="00305D79"/>
    <w:rsid w:val="00321AF3"/>
    <w:rsid w:val="00330748"/>
    <w:rsid w:val="00372CE4"/>
    <w:rsid w:val="0038217B"/>
    <w:rsid w:val="003A6111"/>
    <w:rsid w:val="003E443A"/>
    <w:rsid w:val="004107AA"/>
    <w:rsid w:val="00426058"/>
    <w:rsid w:val="0044092E"/>
    <w:rsid w:val="00445E8A"/>
    <w:rsid w:val="0046119B"/>
    <w:rsid w:val="0046121A"/>
    <w:rsid w:val="004776D6"/>
    <w:rsid w:val="00492320"/>
    <w:rsid w:val="0049439E"/>
    <w:rsid w:val="004977B2"/>
    <w:rsid w:val="004C6453"/>
    <w:rsid w:val="004D0592"/>
    <w:rsid w:val="00502B47"/>
    <w:rsid w:val="00515803"/>
    <w:rsid w:val="00516B7A"/>
    <w:rsid w:val="00516C58"/>
    <w:rsid w:val="00541DA8"/>
    <w:rsid w:val="00541E94"/>
    <w:rsid w:val="00546650"/>
    <w:rsid w:val="005568E9"/>
    <w:rsid w:val="00563025"/>
    <w:rsid w:val="00566CC3"/>
    <w:rsid w:val="00573FAF"/>
    <w:rsid w:val="00585821"/>
    <w:rsid w:val="005866B1"/>
    <w:rsid w:val="005B219D"/>
    <w:rsid w:val="005B3CB0"/>
    <w:rsid w:val="005E0FE8"/>
    <w:rsid w:val="005E7E45"/>
    <w:rsid w:val="00602FA7"/>
    <w:rsid w:val="00605E55"/>
    <w:rsid w:val="006128F0"/>
    <w:rsid w:val="0061437B"/>
    <w:rsid w:val="00635FD4"/>
    <w:rsid w:val="00642CFE"/>
    <w:rsid w:val="006473D4"/>
    <w:rsid w:val="006521FB"/>
    <w:rsid w:val="006548B9"/>
    <w:rsid w:val="0065742C"/>
    <w:rsid w:val="006710C5"/>
    <w:rsid w:val="00687BC7"/>
    <w:rsid w:val="00691D0B"/>
    <w:rsid w:val="006927B2"/>
    <w:rsid w:val="00692AB2"/>
    <w:rsid w:val="006B16F6"/>
    <w:rsid w:val="006B2F03"/>
    <w:rsid w:val="006C6154"/>
    <w:rsid w:val="006D23CE"/>
    <w:rsid w:val="006F0C53"/>
    <w:rsid w:val="007222CE"/>
    <w:rsid w:val="007471EC"/>
    <w:rsid w:val="00754C82"/>
    <w:rsid w:val="007800B2"/>
    <w:rsid w:val="00782D93"/>
    <w:rsid w:val="0078335A"/>
    <w:rsid w:val="00783F30"/>
    <w:rsid w:val="00791D32"/>
    <w:rsid w:val="007A3C02"/>
    <w:rsid w:val="00802B2A"/>
    <w:rsid w:val="0083069E"/>
    <w:rsid w:val="00833A25"/>
    <w:rsid w:val="00857CA3"/>
    <w:rsid w:val="008604A6"/>
    <w:rsid w:val="00866C3A"/>
    <w:rsid w:val="008707CA"/>
    <w:rsid w:val="00872430"/>
    <w:rsid w:val="00890A5C"/>
    <w:rsid w:val="008921EE"/>
    <w:rsid w:val="00894DCE"/>
    <w:rsid w:val="008A7D59"/>
    <w:rsid w:val="008B142C"/>
    <w:rsid w:val="008B258C"/>
    <w:rsid w:val="008D469B"/>
    <w:rsid w:val="008F03D1"/>
    <w:rsid w:val="008F7FDF"/>
    <w:rsid w:val="00904598"/>
    <w:rsid w:val="00905995"/>
    <w:rsid w:val="009078D7"/>
    <w:rsid w:val="009170F3"/>
    <w:rsid w:val="009408BB"/>
    <w:rsid w:val="009536D5"/>
    <w:rsid w:val="00955C39"/>
    <w:rsid w:val="0095737A"/>
    <w:rsid w:val="0097318F"/>
    <w:rsid w:val="009867A3"/>
    <w:rsid w:val="00990AC4"/>
    <w:rsid w:val="009A4B32"/>
    <w:rsid w:val="009A550F"/>
    <w:rsid w:val="009B1752"/>
    <w:rsid w:val="009B2ED6"/>
    <w:rsid w:val="009C6E22"/>
    <w:rsid w:val="00A10414"/>
    <w:rsid w:val="00A12168"/>
    <w:rsid w:val="00A176CF"/>
    <w:rsid w:val="00A21778"/>
    <w:rsid w:val="00A24089"/>
    <w:rsid w:val="00A7356C"/>
    <w:rsid w:val="00A92495"/>
    <w:rsid w:val="00AC1DCC"/>
    <w:rsid w:val="00AE626C"/>
    <w:rsid w:val="00B1429D"/>
    <w:rsid w:val="00B211B3"/>
    <w:rsid w:val="00B22400"/>
    <w:rsid w:val="00B35F65"/>
    <w:rsid w:val="00B74E25"/>
    <w:rsid w:val="00B81598"/>
    <w:rsid w:val="00B87729"/>
    <w:rsid w:val="00B90C44"/>
    <w:rsid w:val="00BB0276"/>
    <w:rsid w:val="00BC3BE8"/>
    <w:rsid w:val="00BD2DCB"/>
    <w:rsid w:val="00BD3789"/>
    <w:rsid w:val="00BD7E59"/>
    <w:rsid w:val="00BE02DE"/>
    <w:rsid w:val="00BF16C6"/>
    <w:rsid w:val="00BF31C0"/>
    <w:rsid w:val="00C0091A"/>
    <w:rsid w:val="00C034EA"/>
    <w:rsid w:val="00C050CD"/>
    <w:rsid w:val="00C215B0"/>
    <w:rsid w:val="00C37276"/>
    <w:rsid w:val="00C4212D"/>
    <w:rsid w:val="00C43833"/>
    <w:rsid w:val="00C446F0"/>
    <w:rsid w:val="00C449EB"/>
    <w:rsid w:val="00C57130"/>
    <w:rsid w:val="00CB23E1"/>
    <w:rsid w:val="00CB455A"/>
    <w:rsid w:val="00CB54C6"/>
    <w:rsid w:val="00CC7AB6"/>
    <w:rsid w:val="00CF0F33"/>
    <w:rsid w:val="00CF599F"/>
    <w:rsid w:val="00D02348"/>
    <w:rsid w:val="00D130EA"/>
    <w:rsid w:val="00D40F9B"/>
    <w:rsid w:val="00D45157"/>
    <w:rsid w:val="00D46AA7"/>
    <w:rsid w:val="00D6314A"/>
    <w:rsid w:val="00DA10A9"/>
    <w:rsid w:val="00DA572E"/>
    <w:rsid w:val="00DC4C47"/>
    <w:rsid w:val="00DC7176"/>
    <w:rsid w:val="00DD4A7E"/>
    <w:rsid w:val="00DD7804"/>
    <w:rsid w:val="00DE0A64"/>
    <w:rsid w:val="00DE6FDF"/>
    <w:rsid w:val="00DE7204"/>
    <w:rsid w:val="00DF2975"/>
    <w:rsid w:val="00E26978"/>
    <w:rsid w:val="00E30712"/>
    <w:rsid w:val="00E40212"/>
    <w:rsid w:val="00E747C4"/>
    <w:rsid w:val="00E864CF"/>
    <w:rsid w:val="00E94449"/>
    <w:rsid w:val="00E96EAF"/>
    <w:rsid w:val="00EA0C44"/>
    <w:rsid w:val="00EA11E7"/>
    <w:rsid w:val="00EA42AA"/>
    <w:rsid w:val="00EC48CB"/>
    <w:rsid w:val="00EC70CC"/>
    <w:rsid w:val="00F001E1"/>
    <w:rsid w:val="00F106C6"/>
    <w:rsid w:val="00F31A81"/>
    <w:rsid w:val="00F374BC"/>
    <w:rsid w:val="00F40114"/>
    <w:rsid w:val="00F411B9"/>
    <w:rsid w:val="00F41BD8"/>
    <w:rsid w:val="00F67EA1"/>
    <w:rsid w:val="00F9594C"/>
    <w:rsid w:val="00FA18EB"/>
    <w:rsid w:val="00FA2C05"/>
    <w:rsid w:val="00FB370E"/>
    <w:rsid w:val="00FC6E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8C9CB"/>
  <w15:chartTrackingRefBased/>
  <w15:docId w15:val="{0FBCF0AF-9750-4C17-9B2C-DD64BED43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5FD4"/>
    <w:pPr>
      <w:spacing w:line="48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635FD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35FD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35FD4"/>
    <w:pPr>
      <w:keepNext/>
      <w:keepLines/>
      <w:spacing w:before="40" w:after="0"/>
      <w:outlineLvl w:val="2"/>
    </w:pPr>
    <w:rPr>
      <w:rFonts w:eastAsiaTheme="majorEastAsia" w:cstheme="majorBidi"/>
      <w:i/>
      <w:color w:val="000000" w:themeColor="text1"/>
      <w:szCs w:val="24"/>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FD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5FD4"/>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5FD4"/>
    <w:rPr>
      <w:rFonts w:ascii="Times New Roman" w:eastAsiaTheme="majorEastAsia" w:hAnsi="Times New Roman" w:cstheme="majorBidi"/>
      <w:i/>
      <w:color w:val="000000" w:themeColor="text1"/>
      <w:sz w:val="24"/>
      <w:szCs w:val="24"/>
      <w:u w:val="single"/>
    </w:rPr>
  </w:style>
  <w:style w:type="paragraph" w:styleId="Header">
    <w:name w:val="header"/>
    <w:basedOn w:val="Normal"/>
    <w:link w:val="HeaderChar"/>
    <w:uiPriority w:val="99"/>
    <w:unhideWhenUsed/>
    <w:rsid w:val="00B211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11B3"/>
    <w:rPr>
      <w:rFonts w:ascii="Times New Roman" w:hAnsi="Times New Roman"/>
      <w:sz w:val="24"/>
      <w:lang w:val="en-IN"/>
    </w:rPr>
  </w:style>
  <w:style w:type="paragraph" w:styleId="Footer">
    <w:name w:val="footer"/>
    <w:basedOn w:val="Normal"/>
    <w:link w:val="FooterChar"/>
    <w:uiPriority w:val="99"/>
    <w:unhideWhenUsed/>
    <w:rsid w:val="00B211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11B3"/>
    <w:rPr>
      <w:rFonts w:ascii="Times New Roman" w:hAnsi="Times New Roman"/>
      <w:sz w:val="24"/>
      <w:lang w:val="en-IN"/>
    </w:rPr>
  </w:style>
  <w:style w:type="table" w:styleId="TableGrid">
    <w:name w:val="Table Grid"/>
    <w:basedOn w:val="TableNormal"/>
    <w:uiPriority w:val="39"/>
    <w:rsid w:val="00B35F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6119B"/>
    <w:rPr>
      <w:color w:val="808080"/>
    </w:rPr>
  </w:style>
  <w:style w:type="paragraph" w:styleId="ListParagraph">
    <w:name w:val="List Paragraph"/>
    <w:basedOn w:val="Normal"/>
    <w:uiPriority w:val="34"/>
    <w:qFormat/>
    <w:rsid w:val="0097318F"/>
    <w:pPr>
      <w:ind w:left="720"/>
      <w:contextualSpacing/>
    </w:pPr>
  </w:style>
  <w:style w:type="paragraph" w:styleId="Bibliography">
    <w:name w:val="Bibliography"/>
    <w:basedOn w:val="Normal"/>
    <w:next w:val="Normal"/>
    <w:uiPriority w:val="37"/>
    <w:unhideWhenUsed/>
    <w:rsid w:val="000766A7"/>
  </w:style>
  <w:style w:type="paragraph" w:styleId="TOCHeading">
    <w:name w:val="TOC Heading"/>
    <w:basedOn w:val="Heading1"/>
    <w:next w:val="Normal"/>
    <w:uiPriority w:val="39"/>
    <w:unhideWhenUsed/>
    <w:qFormat/>
    <w:rsid w:val="00DD4A7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D4A7E"/>
    <w:pPr>
      <w:spacing w:after="100"/>
    </w:pPr>
  </w:style>
  <w:style w:type="paragraph" w:styleId="TOC2">
    <w:name w:val="toc 2"/>
    <w:basedOn w:val="Normal"/>
    <w:next w:val="Normal"/>
    <w:autoRedefine/>
    <w:uiPriority w:val="39"/>
    <w:unhideWhenUsed/>
    <w:rsid w:val="00DD4A7E"/>
    <w:pPr>
      <w:spacing w:after="100"/>
      <w:ind w:left="240"/>
    </w:pPr>
  </w:style>
  <w:style w:type="paragraph" w:styleId="TOC3">
    <w:name w:val="toc 3"/>
    <w:basedOn w:val="Normal"/>
    <w:next w:val="Normal"/>
    <w:autoRedefine/>
    <w:uiPriority w:val="39"/>
    <w:unhideWhenUsed/>
    <w:rsid w:val="00DD4A7E"/>
    <w:pPr>
      <w:spacing w:after="100"/>
      <w:ind w:left="480"/>
    </w:pPr>
  </w:style>
  <w:style w:type="character" w:styleId="Hyperlink">
    <w:name w:val="Hyperlink"/>
    <w:basedOn w:val="DefaultParagraphFont"/>
    <w:uiPriority w:val="99"/>
    <w:unhideWhenUsed/>
    <w:rsid w:val="00DD4A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75345B9B798409F9D41464C9EDA0CB3"/>
        <w:category>
          <w:name w:val="General"/>
          <w:gallery w:val="placeholder"/>
        </w:category>
        <w:types>
          <w:type w:val="bbPlcHdr"/>
        </w:types>
        <w:behaviors>
          <w:behavior w:val="content"/>
        </w:behaviors>
        <w:guid w:val="{4AC7BD57-BC22-4DF3-AC12-ABCF7A83716F}"/>
      </w:docPartPr>
      <w:docPartBody>
        <w:p w:rsidR="00271BF2" w:rsidRDefault="00A92AA8" w:rsidP="00DC7176">
          <w:pPr>
            <w:pStyle w:val="F75345B9B798409F9D41464C9EDA0CB3"/>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176"/>
    <w:rsid w:val="00271BF2"/>
    <w:rsid w:val="009B6568"/>
    <w:rsid w:val="00A92AA8"/>
    <w:rsid w:val="00CF118C"/>
    <w:rsid w:val="00DC71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5345B9B798409F9D41464C9EDA0CB3">
    <w:name w:val="F75345B9B798409F9D41464C9EDA0CB3"/>
    <w:rsid w:val="00DC7176"/>
  </w:style>
  <w:style w:type="character" w:styleId="PlaceholderText">
    <w:name w:val="Placeholder Text"/>
    <w:basedOn w:val="DefaultParagraphFont"/>
    <w:uiPriority w:val="99"/>
    <w:semiHidden/>
    <w:rsid w:val="00DC717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rat21</b:Tag>
    <b:SourceType>InternetSite</b:SourceType>
    <b:Guid>{691F31DC-0480-41FF-9322-2A95FEB36E35}</b:Guid>
    <b:Author>
      <b:Author>
        <b:Corporate>ratiosys</b:Corporate>
      </b:Author>
    </b:Author>
    <b:Title>Accounting Ratios and Types of Financial Ratios Analysis</b:Title>
    <b:Year>2021</b:Year>
    <b:URL>https://ratiosys.com/accounting-ratios-and-types-of-financial-ratios-analysis/</b:URL>
    <b:RefOrder>1</b:RefOrder>
  </b:Source>
  <b:Source>
    <b:Tag>ile20</b:Tag>
    <b:SourceType>InternetSite</b:SourceType>
    <b:Guid>{D819D4B0-661F-4B1D-BC0C-C8BE334D02DA}</b:Guid>
    <b:Author>
      <b:Author>
        <b:NameList>
          <b:Person>
            <b:Last>ilearnlot</b:Last>
          </b:Person>
        </b:NameList>
      </b:Author>
    </b:Author>
    <b:Title>Importance, Objectives, Advantages of Ratio Analysis</b:Title>
    <b:Year>2020</b:Year>
    <b:URL>https://www.ilearnlot.com/importance-objectives-advantages-of-ratio-analysis/57707/</b:URL>
    <b:RefOrder>5</b:RefOrder>
  </b:Source>
  <b:Source>
    <b:Tag>com22</b:Tag>
    <b:SourceType>InternetSite</b:SourceType>
    <b:Guid>{3D2C5134-90BF-4471-8155-850CC658980A}</b:Guid>
    <b:Author>
      <b:Author>
        <b:Corporate>commercemates</b:Corporate>
      </b:Author>
    </b:Author>
    <b:Title>Advantages and Disadvantages of Ratio Analysis</b:Title>
    <b:Year>2022</b:Year>
    <b:URL>https://commercemates.com/advantages-and-disadvantages-of-ratio-analysis/</b:URL>
    <b:RefOrder>6</b:RefOrder>
  </b:Source>
  <b:Source>
    <b:Tag>bus20</b:Tag>
    <b:SourceType>InternetSite</b:SourceType>
    <b:Guid>{1445E20C-A34D-48F4-80EC-51EDCB10C575}</b:Guid>
    <b:Author>
      <b:Author>
        <b:Corporate>business</b:Corporate>
      </b:Author>
    </b:Author>
    <b:Title>What Are The Disadvantages Or Limitation Of The Financial Statement?</b:Title>
    <b:Year>2020</b:Year>
    <b:URL>https://business-finance.blurtit.com/313252/what-are-the-disadvantages-or-limitation-of-the-financial-statement</b:URL>
    <b:RefOrder>7</b:RefOrder>
  </b:Source>
  <b:Source>
    <b:Tag>des221</b:Tag>
    <b:SourceType>InternetSite</b:SourceType>
    <b:Guid>{6EB7F038-9183-4CFA-A565-4854B3A96C50}</b:Guid>
    <b:Author>
      <b:Author>
        <b:Corporate>deskera</b:Corporate>
      </b:Author>
    </b:Author>
    <b:Title>What is Profitability Ratio? Types, Examples, and Why they Matter?</b:Title>
    <b:Year>2022</b:Year>
    <b:URL>https://www.deskera.com/blog/profitability-ratio/</b:URL>
    <b:RefOrder>2</b:RefOrder>
  </b:Source>
  <b:Source>
    <b:Tag>tof22</b:Tag>
    <b:SourceType>InternetSite</b:SourceType>
    <b:Guid>{F11A081C-0A9D-44A1-8F4A-F93ED093212E}</b:Guid>
    <b:Author>
      <b:Author>
        <b:Corporate>tofler</b:Corporate>
      </b:Author>
    </b:Author>
    <b:Title>Liquidity ratio</b:Title>
    <b:Year>2022</b:Year>
    <b:URL>https://www.tofler.in/financial-terms/liquidity-ratio</b:URL>
    <b:RefOrder>3</b:RefOrder>
  </b:Source>
  <b:Source>
    <b:Tag>rea22</b:Tag>
    <b:SourceType>InternetSite</b:SourceType>
    <b:Guid>{D4ABA575-00A2-43FA-8CC8-EFF73281F978}</b:Guid>
    <b:Author>
      <b:Author>
        <b:Corporate>readyratios</b:Corporate>
      </b:Author>
    </b:Author>
    <b:Title>Gearing Ratio</b:Title>
    <b:Year>2022</b:Year>
    <b:URL>https://www.readyratios.com/reference/analysis/gearing_ratio.html</b:URL>
    <b:RefOrder>4</b:RefOrder>
  </b:Source>
</b:Sources>
</file>

<file path=customXml/itemProps1.xml><?xml version="1.0" encoding="utf-8"?>
<ds:datastoreItem xmlns:ds="http://schemas.openxmlformats.org/officeDocument/2006/customXml" ds:itemID="{5C6C7860-1995-4DA6-AF32-CE533BAC7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15</Pages>
  <Words>2590</Words>
  <Characters>14766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
  <LinksUpToDate>false</LinksUpToDate>
  <CharactersWithSpaces>17322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creator>ALEXANDRA</dc:creator>
  <cp:lastModifiedBy>user</cp:lastModifiedBy>
  <cp:revision>189</cp:revision>
  <dcterms:created xsi:type="dcterms:W3CDTF">2022-05-24T05:25:00Z</dcterms:created>
  <dcterms:modified xsi:type="dcterms:W3CDTF">2022-05-24T11:28:00Z</dcterms:modified>
</cp:coreProperties>
</file>