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A1B5E8" w14:textId="591ABF99" w:rsidR="00AA45F4" w:rsidRPr="00804784" w:rsidRDefault="00AD51E4" w:rsidP="00AD51E4">
      <w:pPr>
        <w:jc w:val="center"/>
        <w:rPr>
          <w:b/>
          <w:bCs/>
          <w:sz w:val="40"/>
          <w:szCs w:val="40"/>
        </w:rPr>
      </w:pPr>
      <w:r w:rsidRPr="00804784">
        <w:rPr>
          <w:b/>
          <w:bCs/>
          <w:sz w:val="40"/>
          <w:szCs w:val="40"/>
        </w:rPr>
        <w:t>University of Wales Trinity Saint David</w:t>
      </w:r>
    </w:p>
    <w:p w14:paraId="72353A27" w14:textId="7F04E7BF" w:rsidR="00AD51E4" w:rsidRDefault="00AD51E4" w:rsidP="00AD51E4">
      <w:pPr>
        <w:jc w:val="center"/>
      </w:pPr>
    </w:p>
    <w:p w14:paraId="7A3B74B5" w14:textId="03A73939" w:rsidR="00AD51E4" w:rsidRPr="00804784" w:rsidRDefault="00AD51E4" w:rsidP="00AD51E4">
      <w:pPr>
        <w:jc w:val="center"/>
        <w:rPr>
          <w:b/>
          <w:bCs/>
          <w:sz w:val="28"/>
          <w:szCs w:val="28"/>
        </w:rPr>
      </w:pPr>
      <w:r w:rsidRPr="00804784">
        <w:rPr>
          <w:b/>
          <w:bCs/>
          <w:sz w:val="28"/>
          <w:szCs w:val="28"/>
        </w:rPr>
        <w:t>Wales Institute of Science &amp; Art</w:t>
      </w:r>
    </w:p>
    <w:p w14:paraId="414ADF54" w14:textId="117DC6B2" w:rsidR="00AD51E4" w:rsidRDefault="00AD51E4" w:rsidP="00AD51E4">
      <w:pPr>
        <w:jc w:val="center"/>
      </w:pPr>
    </w:p>
    <w:p w14:paraId="236492C1" w14:textId="7E9E66A9" w:rsidR="00AD51E4" w:rsidRDefault="00AD51E4" w:rsidP="00AD51E4">
      <w:pPr>
        <w:jc w:val="center"/>
      </w:pPr>
    </w:p>
    <w:p w14:paraId="1F3DD04A" w14:textId="555B31CC" w:rsidR="00AD51E4" w:rsidRDefault="00AD51E4" w:rsidP="00AD51E4">
      <w:pPr>
        <w:jc w:val="center"/>
      </w:pPr>
      <w:r>
        <w:rPr>
          <w:noProof/>
        </w:rPr>
        <w:drawing>
          <wp:anchor distT="0" distB="0" distL="114300" distR="114300" simplePos="0" relativeHeight="251658240" behindDoc="1" locked="0" layoutInCell="1" allowOverlap="1" wp14:anchorId="6586CCCF" wp14:editId="2692410B">
            <wp:simplePos x="0" y="0"/>
            <wp:positionH relativeFrom="margin">
              <wp:align>center</wp:align>
            </wp:positionH>
            <wp:positionV relativeFrom="paragraph">
              <wp:posOffset>375920</wp:posOffset>
            </wp:positionV>
            <wp:extent cx="5121275" cy="2381250"/>
            <wp:effectExtent l="0" t="0" r="3175" b="0"/>
            <wp:wrapTight wrapText="bothSides">
              <wp:wrapPolygon edited="0">
                <wp:start x="0" y="0"/>
                <wp:lineTo x="0" y="21427"/>
                <wp:lineTo x="21533" y="21427"/>
                <wp:lineTo x="2153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l="18778" t="22445" r="16222" b="17111"/>
                    <a:stretch/>
                  </pic:blipFill>
                  <pic:spPr bwMode="auto">
                    <a:xfrm>
                      <a:off x="0" y="0"/>
                      <a:ext cx="5121275" cy="23812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4AB0EE7" w14:textId="53D605FB" w:rsidR="00AD51E4" w:rsidRDefault="00AD51E4" w:rsidP="00AD51E4">
      <w:pPr>
        <w:jc w:val="center"/>
      </w:pPr>
    </w:p>
    <w:p w14:paraId="54B056DC" w14:textId="656018A8" w:rsidR="00AD51E4" w:rsidRDefault="00AD51E4" w:rsidP="00AD51E4">
      <w:pPr>
        <w:jc w:val="center"/>
      </w:pPr>
    </w:p>
    <w:p w14:paraId="3733B06D" w14:textId="77777777" w:rsidR="00CF7C46" w:rsidRDefault="00CF7C46" w:rsidP="00AD51E4">
      <w:pPr>
        <w:jc w:val="center"/>
        <w:rPr>
          <w:rFonts w:cstheme="minorHAnsi"/>
          <w:b/>
          <w:bCs/>
          <w:sz w:val="24"/>
        </w:rPr>
      </w:pPr>
      <w:r w:rsidRPr="0030476B">
        <w:rPr>
          <w:rFonts w:ascii="Arial" w:hAnsi="Arial" w:cs="Arial"/>
          <w:b/>
          <w:szCs w:val="22"/>
        </w:rPr>
        <w:t>Evaluating the Effectiveness of Chosen Maintenance Strategies for Dedicated Equipment</w:t>
      </w:r>
      <w:r>
        <w:rPr>
          <w:rFonts w:cstheme="minorHAnsi"/>
          <w:b/>
          <w:bCs/>
          <w:sz w:val="24"/>
        </w:rPr>
        <w:t xml:space="preserve"> </w:t>
      </w:r>
    </w:p>
    <w:p w14:paraId="3D883A56" w14:textId="17199C07" w:rsidR="00AD51E4" w:rsidRDefault="00011BAF" w:rsidP="00011BAF">
      <w:pPr>
        <w:jc w:val="center"/>
      </w:pPr>
      <w:r>
        <w:rPr>
          <w:rFonts w:ascii="Arial" w:hAnsi="Arial" w:cs="Arial"/>
          <w:b/>
          <w:szCs w:val="22"/>
        </w:rPr>
        <w:t>Plant and Asset Engineering</w:t>
      </w:r>
      <w:r>
        <w:rPr>
          <w:rFonts w:ascii="Arial" w:hAnsi="Arial" w:cs="Arial"/>
          <w:b/>
          <w:szCs w:val="22"/>
        </w:rPr>
        <w:t xml:space="preserve"> (ACMA6007)</w:t>
      </w:r>
    </w:p>
    <w:p w14:paraId="33864E17" w14:textId="426E9D66" w:rsidR="00D014B4" w:rsidRDefault="00D014B4" w:rsidP="00D014B4"/>
    <w:p w14:paraId="2899321D" w14:textId="18245722" w:rsidR="00D014B4" w:rsidRDefault="00D014B4" w:rsidP="00D014B4"/>
    <w:p w14:paraId="452F699A" w14:textId="77777777" w:rsidR="00D014B4" w:rsidRDefault="00D014B4" w:rsidP="00D014B4"/>
    <w:p w14:paraId="4094ED64" w14:textId="77777777" w:rsidR="002659B0" w:rsidRDefault="002659B0" w:rsidP="00D014B4"/>
    <w:p w14:paraId="70938C1F" w14:textId="05B29DF2" w:rsidR="00AD51E4" w:rsidRDefault="00AD51E4" w:rsidP="00AD51E4">
      <w:pPr>
        <w:jc w:val="center"/>
      </w:pPr>
      <w:r>
        <w:t>Joseph Carpanini</w:t>
      </w:r>
    </w:p>
    <w:p w14:paraId="3061F36E" w14:textId="53FE184A" w:rsidR="00A2409E" w:rsidRDefault="00A2409E" w:rsidP="00AD51E4">
      <w:pPr>
        <w:jc w:val="center"/>
      </w:pPr>
      <w:r>
        <w:t>2211043</w:t>
      </w:r>
    </w:p>
    <w:p w14:paraId="55F6B742" w14:textId="3B4F76A0" w:rsidR="008A3BE6" w:rsidRDefault="00011BAF" w:rsidP="00AD51E4">
      <w:pPr>
        <w:jc w:val="center"/>
      </w:pPr>
      <w:r>
        <w:t>April</w:t>
      </w:r>
      <w:r w:rsidR="00A2409E">
        <w:t xml:space="preserve"> 202</w:t>
      </w:r>
      <w:r w:rsidR="000F3DFD">
        <w:t>6</w:t>
      </w:r>
    </w:p>
    <w:sdt>
      <w:sdtPr>
        <w:rPr>
          <w:rFonts w:asciiTheme="minorHAnsi" w:eastAsiaTheme="minorEastAsia" w:hAnsiTheme="minorHAnsi" w:cstheme="minorBidi"/>
          <w:color w:val="auto"/>
          <w:sz w:val="22"/>
          <w:szCs w:val="20"/>
        </w:rPr>
        <w:id w:val="1308355502"/>
        <w:docPartObj>
          <w:docPartGallery w:val="Table of Contents"/>
          <w:docPartUnique/>
        </w:docPartObj>
      </w:sdtPr>
      <w:sdtEndPr>
        <w:rPr>
          <w:b/>
          <w:bCs/>
          <w:noProof/>
        </w:rPr>
      </w:sdtEndPr>
      <w:sdtContent>
        <w:p w14:paraId="04969408" w14:textId="5406E14B" w:rsidR="001859DF" w:rsidRDefault="001859DF">
          <w:pPr>
            <w:pStyle w:val="TOCHeading"/>
          </w:pPr>
          <w:r>
            <w:t>Contents</w:t>
          </w:r>
        </w:p>
        <w:p w14:paraId="3FA484B4" w14:textId="44B930C0" w:rsidR="00732CFA" w:rsidRDefault="000F3DFD">
          <w:pPr>
            <w:pStyle w:val="TOC1"/>
            <w:tabs>
              <w:tab w:val="left" w:pos="440"/>
              <w:tab w:val="right" w:leader="dot" w:pos="9016"/>
            </w:tabs>
            <w:rPr>
              <w:noProof/>
              <w:kern w:val="2"/>
              <w:sz w:val="24"/>
              <w:szCs w:val="24"/>
              <w:lang w:eastAsia="zh-CN"/>
              <w14:ligatures w14:val="standardContextual"/>
            </w:rPr>
          </w:pPr>
          <w:r>
            <w:fldChar w:fldCharType="begin"/>
          </w:r>
          <w:r>
            <w:instrText xml:space="preserve"> TOC \o "1-3" \h \z \u </w:instrText>
          </w:r>
          <w:r>
            <w:fldChar w:fldCharType="separate"/>
          </w:r>
          <w:hyperlink w:anchor="_Toc227226966" w:history="1">
            <w:r w:rsidR="00732CFA" w:rsidRPr="001370D2">
              <w:rPr>
                <w:rStyle w:val="Hyperlink"/>
                <w:noProof/>
              </w:rPr>
              <w:t>2</w:t>
            </w:r>
            <w:r w:rsidR="00732CFA">
              <w:rPr>
                <w:noProof/>
                <w:kern w:val="2"/>
                <w:sz w:val="24"/>
                <w:szCs w:val="24"/>
                <w:lang w:eastAsia="zh-CN"/>
                <w14:ligatures w14:val="standardContextual"/>
              </w:rPr>
              <w:tab/>
            </w:r>
            <w:r w:rsidR="00732CFA" w:rsidRPr="001370D2">
              <w:rPr>
                <w:rStyle w:val="Hyperlink"/>
                <w:noProof/>
              </w:rPr>
              <w:t>Introduction</w:t>
            </w:r>
            <w:r w:rsidR="00732CFA">
              <w:rPr>
                <w:noProof/>
                <w:webHidden/>
              </w:rPr>
              <w:tab/>
            </w:r>
            <w:r w:rsidR="00732CFA">
              <w:rPr>
                <w:noProof/>
                <w:webHidden/>
              </w:rPr>
              <w:fldChar w:fldCharType="begin"/>
            </w:r>
            <w:r w:rsidR="00732CFA">
              <w:rPr>
                <w:noProof/>
                <w:webHidden/>
              </w:rPr>
              <w:instrText xml:space="preserve"> PAGEREF _Toc227226966 \h </w:instrText>
            </w:r>
            <w:r w:rsidR="00732CFA">
              <w:rPr>
                <w:noProof/>
                <w:webHidden/>
              </w:rPr>
            </w:r>
            <w:r w:rsidR="00732CFA">
              <w:rPr>
                <w:noProof/>
                <w:webHidden/>
              </w:rPr>
              <w:fldChar w:fldCharType="separate"/>
            </w:r>
            <w:r w:rsidR="00732CFA">
              <w:rPr>
                <w:noProof/>
                <w:webHidden/>
              </w:rPr>
              <w:t>3</w:t>
            </w:r>
            <w:r w:rsidR="00732CFA">
              <w:rPr>
                <w:noProof/>
                <w:webHidden/>
              </w:rPr>
              <w:fldChar w:fldCharType="end"/>
            </w:r>
          </w:hyperlink>
        </w:p>
        <w:p w14:paraId="2583D1F2" w14:textId="23B0312B" w:rsidR="00732CFA" w:rsidRDefault="00732CFA">
          <w:pPr>
            <w:pStyle w:val="TOC1"/>
            <w:tabs>
              <w:tab w:val="left" w:pos="440"/>
              <w:tab w:val="right" w:leader="dot" w:pos="9016"/>
            </w:tabs>
            <w:rPr>
              <w:noProof/>
              <w:kern w:val="2"/>
              <w:sz w:val="24"/>
              <w:szCs w:val="24"/>
              <w:lang w:eastAsia="zh-CN"/>
              <w14:ligatures w14:val="standardContextual"/>
            </w:rPr>
          </w:pPr>
          <w:hyperlink w:anchor="_Toc227226967" w:history="1">
            <w:r w:rsidRPr="001370D2">
              <w:rPr>
                <w:rStyle w:val="Hyperlink"/>
                <w:noProof/>
              </w:rPr>
              <w:t>3</w:t>
            </w:r>
            <w:r>
              <w:rPr>
                <w:noProof/>
                <w:kern w:val="2"/>
                <w:sz w:val="24"/>
                <w:szCs w:val="24"/>
                <w:lang w:eastAsia="zh-CN"/>
                <w14:ligatures w14:val="standardContextual"/>
              </w:rPr>
              <w:tab/>
            </w:r>
            <w:r w:rsidRPr="001370D2">
              <w:rPr>
                <w:rStyle w:val="Hyperlink"/>
                <w:noProof/>
              </w:rPr>
              <w:t>Current Maintenance Practice</w:t>
            </w:r>
            <w:r>
              <w:rPr>
                <w:noProof/>
                <w:webHidden/>
              </w:rPr>
              <w:tab/>
            </w:r>
            <w:r>
              <w:rPr>
                <w:noProof/>
                <w:webHidden/>
              </w:rPr>
              <w:fldChar w:fldCharType="begin"/>
            </w:r>
            <w:r>
              <w:rPr>
                <w:noProof/>
                <w:webHidden/>
              </w:rPr>
              <w:instrText xml:space="preserve"> PAGEREF _Toc227226967 \h </w:instrText>
            </w:r>
            <w:r>
              <w:rPr>
                <w:noProof/>
                <w:webHidden/>
              </w:rPr>
            </w:r>
            <w:r>
              <w:rPr>
                <w:noProof/>
                <w:webHidden/>
              </w:rPr>
              <w:fldChar w:fldCharType="separate"/>
            </w:r>
            <w:r>
              <w:rPr>
                <w:noProof/>
                <w:webHidden/>
              </w:rPr>
              <w:t>4</w:t>
            </w:r>
            <w:r>
              <w:rPr>
                <w:noProof/>
                <w:webHidden/>
              </w:rPr>
              <w:fldChar w:fldCharType="end"/>
            </w:r>
          </w:hyperlink>
        </w:p>
        <w:p w14:paraId="4D1A019D" w14:textId="74CC4F4C" w:rsidR="00732CFA" w:rsidRDefault="00732CFA">
          <w:pPr>
            <w:pStyle w:val="TOC1"/>
            <w:tabs>
              <w:tab w:val="left" w:pos="440"/>
              <w:tab w:val="right" w:leader="dot" w:pos="9016"/>
            </w:tabs>
            <w:rPr>
              <w:noProof/>
              <w:kern w:val="2"/>
              <w:sz w:val="24"/>
              <w:szCs w:val="24"/>
              <w:lang w:eastAsia="zh-CN"/>
              <w14:ligatures w14:val="standardContextual"/>
            </w:rPr>
          </w:pPr>
          <w:hyperlink w:anchor="_Toc227226968" w:history="1">
            <w:r w:rsidRPr="001370D2">
              <w:rPr>
                <w:rStyle w:val="Hyperlink"/>
                <w:noProof/>
              </w:rPr>
              <w:t>4</w:t>
            </w:r>
            <w:r>
              <w:rPr>
                <w:noProof/>
                <w:kern w:val="2"/>
                <w:sz w:val="24"/>
                <w:szCs w:val="24"/>
                <w:lang w:eastAsia="zh-CN"/>
                <w14:ligatures w14:val="standardContextual"/>
              </w:rPr>
              <w:tab/>
            </w:r>
            <w:r w:rsidRPr="001370D2">
              <w:rPr>
                <w:rStyle w:val="Hyperlink"/>
                <w:noProof/>
              </w:rPr>
              <w:t>Evaluation of improvements to the current maintenance approach</w:t>
            </w:r>
            <w:r>
              <w:rPr>
                <w:noProof/>
                <w:webHidden/>
              </w:rPr>
              <w:tab/>
            </w:r>
            <w:r>
              <w:rPr>
                <w:noProof/>
                <w:webHidden/>
              </w:rPr>
              <w:fldChar w:fldCharType="begin"/>
            </w:r>
            <w:r>
              <w:rPr>
                <w:noProof/>
                <w:webHidden/>
              </w:rPr>
              <w:instrText xml:space="preserve"> PAGEREF _Toc227226968 \h </w:instrText>
            </w:r>
            <w:r>
              <w:rPr>
                <w:noProof/>
                <w:webHidden/>
              </w:rPr>
            </w:r>
            <w:r>
              <w:rPr>
                <w:noProof/>
                <w:webHidden/>
              </w:rPr>
              <w:fldChar w:fldCharType="separate"/>
            </w:r>
            <w:r>
              <w:rPr>
                <w:noProof/>
                <w:webHidden/>
              </w:rPr>
              <w:t>6</w:t>
            </w:r>
            <w:r>
              <w:rPr>
                <w:noProof/>
                <w:webHidden/>
              </w:rPr>
              <w:fldChar w:fldCharType="end"/>
            </w:r>
          </w:hyperlink>
        </w:p>
        <w:p w14:paraId="79BCAF8F" w14:textId="0CDBC24C" w:rsidR="00732CFA" w:rsidRDefault="00732CFA">
          <w:pPr>
            <w:pStyle w:val="TOC1"/>
            <w:tabs>
              <w:tab w:val="left" w:pos="440"/>
              <w:tab w:val="right" w:leader="dot" w:pos="9016"/>
            </w:tabs>
            <w:rPr>
              <w:noProof/>
              <w:kern w:val="2"/>
              <w:sz w:val="24"/>
              <w:szCs w:val="24"/>
              <w:lang w:eastAsia="zh-CN"/>
              <w14:ligatures w14:val="standardContextual"/>
            </w:rPr>
          </w:pPr>
          <w:hyperlink w:anchor="_Toc227226969" w:history="1">
            <w:r w:rsidRPr="001370D2">
              <w:rPr>
                <w:rStyle w:val="Hyperlink"/>
                <w:noProof/>
              </w:rPr>
              <w:t>5</w:t>
            </w:r>
            <w:r>
              <w:rPr>
                <w:noProof/>
                <w:kern w:val="2"/>
                <w:sz w:val="24"/>
                <w:szCs w:val="24"/>
                <w:lang w:eastAsia="zh-CN"/>
                <w14:ligatures w14:val="standardContextual"/>
              </w:rPr>
              <w:tab/>
            </w:r>
            <w:r w:rsidRPr="001370D2">
              <w:rPr>
                <w:rStyle w:val="Hyperlink"/>
                <w:noProof/>
              </w:rPr>
              <w:t>Consideration of costs and resources required to implement the proposed changes</w:t>
            </w:r>
            <w:r>
              <w:rPr>
                <w:noProof/>
                <w:webHidden/>
              </w:rPr>
              <w:tab/>
            </w:r>
            <w:r>
              <w:rPr>
                <w:noProof/>
                <w:webHidden/>
              </w:rPr>
              <w:fldChar w:fldCharType="begin"/>
            </w:r>
            <w:r>
              <w:rPr>
                <w:noProof/>
                <w:webHidden/>
              </w:rPr>
              <w:instrText xml:space="preserve"> PAGEREF _Toc227226969 \h </w:instrText>
            </w:r>
            <w:r>
              <w:rPr>
                <w:noProof/>
                <w:webHidden/>
              </w:rPr>
            </w:r>
            <w:r>
              <w:rPr>
                <w:noProof/>
                <w:webHidden/>
              </w:rPr>
              <w:fldChar w:fldCharType="separate"/>
            </w:r>
            <w:r>
              <w:rPr>
                <w:noProof/>
                <w:webHidden/>
              </w:rPr>
              <w:t>7</w:t>
            </w:r>
            <w:r>
              <w:rPr>
                <w:noProof/>
                <w:webHidden/>
              </w:rPr>
              <w:fldChar w:fldCharType="end"/>
            </w:r>
          </w:hyperlink>
        </w:p>
        <w:p w14:paraId="56A804BF" w14:textId="1AD4AC9B" w:rsidR="00732CFA" w:rsidRDefault="00732CFA">
          <w:pPr>
            <w:pStyle w:val="TOC1"/>
            <w:tabs>
              <w:tab w:val="left" w:pos="440"/>
              <w:tab w:val="right" w:leader="dot" w:pos="9016"/>
            </w:tabs>
            <w:rPr>
              <w:noProof/>
              <w:kern w:val="2"/>
              <w:sz w:val="24"/>
              <w:szCs w:val="24"/>
              <w:lang w:eastAsia="zh-CN"/>
              <w14:ligatures w14:val="standardContextual"/>
            </w:rPr>
          </w:pPr>
          <w:hyperlink w:anchor="_Toc227226970" w:history="1">
            <w:r w:rsidRPr="001370D2">
              <w:rPr>
                <w:rStyle w:val="Hyperlink"/>
                <w:noProof/>
              </w:rPr>
              <w:t>6</w:t>
            </w:r>
            <w:r>
              <w:rPr>
                <w:noProof/>
                <w:kern w:val="2"/>
                <w:sz w:val="24"/>
                <w:szCs w:val="24"/>
                <w:lang w:eastAsia="zh-CN"/>
                <w14:ligatures w14:val="standardContextual"/>
              </w:rPr>
              <w:tab/>
            </w:r>
            <w:r w:rsidRPr="001370D2">
              <w:rPr>
                <w:rStyle w:val="Hyperlink"/>
                <w:noProof/>
              </w:rPr>
              <w:t>Conclusion</w:t>
            </w:r>
            <w:r>
              <w:rPr>
                <w:noProof/>
                <w:webHidden/>
              </w:rPr>
              <w:tab/>
            </w:r>
            <w:r>
              <w:rPr>
                <w:noProof/>
                <w:webHidden/>
              </w:rPr>
              <w:fldChar w:fldCharType="begin"/>
            </w:r>
            <w:r>
              <w:rPr>
                <w:noProof/>
                <w:webHidden/>
              </w:rPr>
              <w:instrText xml:space="preserve"> PAGEREF _Toc227226970 \h </w:instrText>
            </w:r>
            <w:r>
              <w:rPr>
                <w:noProof/>
                <w:webHidden/>
              </w:rPr>
            </w:r>
            <w:r>
              <w:rPr>
                <w:noProof/>
                <w:webHidden/>
              </w:rPr>
              <w:fldChar w:fldCharType="separate"/>
            </w:r>
            <w:r>
              <w:rPr>
                <w:noProof/>
                <w:webHidden/>
              </w:rPr>
              <w:t>9</w:t>
            </w:r>
            <w:r>
              <w:rPr>
                <w:noProof/>
                <w:webHidden/>
              </w:rPr>
              <w:fldChar w:fldCharType="end"/>
            </w:r>
          </w:hyperlink>
        </w:p>
        <w:p w14:paraId="06CB00B6" w14:textId="37CF8DFD" w:rsidR="00732CFA" w:rsidRDefault="00732CFA">
          <w:pPr>
            <w:pStyle w:val="TOC1"/>
            <w:tabs>
              <w:tab w:val="left" w:pos="440"/>
              <w:tab w:val="right" w:leader="dot" w:pos="9016"/>
            </w:tabs>
            <w:rPr>
              <w:noProof/>
              <w:kern w:val="2"/>
              <w:sz w:val="24"/>
              <w:szCs w:val="24"/>
              <w:lang w:eastAsia="zh-CN"/>
              <w14:ligatures w14:val="standardContextual"/>
            </w:rPr>
          </w:pPr>
          <w:hyperlink w:anchor="_Toc227226971" w:history="1">
            <w:r w:rsidRPr="001370D2">
              <w:rPr>
                <w:rStyle w:val="Hyperlink"/>
                <w:noProof/>
              </w:rPr>
              <w:t>7</w:t>
            </w:r>
            <w:r>
              <w:rPr>
                <w:noProof/>
                <w:kern w:val="2"/>
                <w:sz w:val="24"/>
                <w:szCs w:val="24"/>
                <w:lang w:eastAsia="zh-CN"/>
                <w14:ligatures w14:val="standardContextual"/>
              </w:rPr>
              <w:tab/>
            </w:r>
            <w:r w:rsidRPr="001370D2">
              <w:rPr>
                <w:rStyle w:val="Hyperlink"/>
                <w:noProof/>
              </w:rPr>
              <w:t>Bibliography</w:t>
            </w:r>
            <w:r>
              <w:rPr>
                <w:noProof/>
                <w:webHidden/>
              </w:rPr>
              <w:tab/>
            </w:r>
            <w:r>
              <w:rPr>
                <w:noProof/>
                <w:webHidden/>
              </w:rPr>
              <w:fldChar w:fldCharType="begin"/>
            </w:r>
            <w:r>
              <w:rPr>
                <w:noProof/>
                <w:webHidden/>
              </w:rPr>
              <w:instrText xml:space="preserve"> PAGEREF _Toc227226971 \h </w:instrText>
            </w:r>
            <w:r>
              <w:rPr>
                <w:noProof/>
                <w:webHidden/>
              </w:rPr>
            </w:r>
            <w:r>
              <w:rPr>
                <w:noProof/>
                <w:webHidden/>
              </w:rPr>
              <w:fldChar w:fldCharType="separate"/>
            </w:r>
            <w:r>
              <w:rPr>
                <w:noProof/>
                <w:webHidden/>
              </w:rPr>
              <w:t>10</w:t>
            </w:r>
            <w:r>
              <w:rPr>
                <w:noProof/>
                <w:webHidden/>
              </w:rPr>
              <w:fldChar w:fldCharType="end"/>
            </w:r>
          </w:hyperlink>
        </w:p>
        <w:p w14:paraId="1FB9A870" w14:textId="34E6FA1E" w:rsidR="001859DF" w:rsidRDefault="000F3DFD">
          <w:r>
            <w:rPr>
              <w:b/>
              <w:bCs/>
              <w:noProof/>
              <w:lang w:val="en-US"/>
            </w:rPr>
            <w:fldChar w:fldCharType="end"/>
          </w:r>
        </w:p>
      </w:sdtContent>
    </w:sdt>
    <w:p w14:paraId="5BC5CFD0" w14:textId="77777777" w:rsidR="00026FF5" w:rsidRDefault="00026FF5" w:rsidP="009D2E7B">
      <w:pPr>
        <w:spacing w:line="264" w:lineRule="auto"/>
      </w:pPr>
    </w:p>
    <w:p w14:paraId="497AB2B6" w14:textId="77777777" w:rsidR="00324D0A" w:rsidRDefault="00324D0A" w:rsidP="009D2E7B">
      <w:pPr>
        <w:spacing w:line="264" w:lineRule="auto"/>
      </w:pPr>
    </w:p>
    <w:p w14:paraId="5D02F06F" w14:textId="77777777" w:rsidR="0059511D" w:rsidRDefault="0059511D" w:rsidP="009D2E7B">
      <w:pPr>
        <w:spacing w:line="264" w:lineRule="auto"/>
      </w:pPr>
    </w:p>
    <w:p w14:paraId="7F421042" w14:textId="77777777" w:rsidR="0059511D" w:rsidRDefault="0059511D" w:rsidP="009D2E7B">
      <w:pPr>
        <w:spacing w:line="264" w:lineRule="auto"/>
      </w:pPr>
    </w:p>
    <w:p w14:paraId="7616BB0B" w14:textId="77777777" w:rsidR="0059511D" w:rsidRDefault="0059511D" w:rsidP="009D2E7B">
      <w:pPr>
        <w:spacing w:line="264" w:lineRule="auto"/>
      </w:pPr>
    </w:p>
    <w:p w14:paraId="22542772" w14:textId="77777777" w:rsidR="0059511D" w:rsidRDefault="0059511D" w:rsidP="009D2E7B">
      <w:pPr>
        <w:spacing w:line="264" w:lineRule="auto"/>
      </w:pPr>
    </w:p>
    <w:p w14:paraId="0F5A5A52" w14:textId="77777777" w:rsidR="0059511D" w:rsidRDefault="0059511D" w:rsidP="009D2E7B">
      <w:pPr>
        <w:spacing w:line="264" w:lineRule="auto"/>
      </w:pPr>
    </w:p>
    <w:p w14:paraId="132F5D74" w14:textId="77777777" w:rsidR="0059511D" w:rsidRDefault="0059511D" w:rsidP="009D2E7B">
      <w:pPr>
        <w:spacing w:line="264" w:lineRule="auto"/>
      </w:pPr>
    </w:p>
    <w:p w14:paraId="57B2BD70" w14:textId="77777777" w:rsidR="0059511D" w:rsidRDefault="0059511D" w:rsidP="009D2E7B">
      <w:pPr>
        <w:spacing w:line="264" w:lineRule="auto"/>
      </w:pPr>
    </w:p>
    <w:p w14:paraId="328D80A7" w14:textId="77777777" w:rsidR="0059511D" w:rsidRDefault="0059511D" w:rsidP="009D2E7B">
      <w:pPr>
        <w:spacing w:line="264" w:lineRule="auto"/>
      </w:pPr>
    </w:p>
    <w:p w14:paraId="3B3E60A1" w14:textId="77777777" w:rsidR="0059511D" w:rsidRDefault="0059511D" w:rsidP="009D2E7B">
      <w:pPr>
        <w:spacing w:line="264" w:lineRule="auto"/>
      </w:pPr>
    </w:p>
    <w:p w14:paraId="25441CC7" w14:textId="77777777" w:rsidR="0059511D" w:rsidRDefault="0059511D" w:rsidP="009D2E7B">
      <w:pPr>
        <w:spacing w:line="264" w:lineRule="auto"/>
      </w:pPr>
    </w:p>
    <w:p w14:paraId="3949DB30" w14:textId="77777777" w:rsidR="0059511D" w:rsidRDefault="0059511D" w:rsidP="009D2E7B">
      <w:pPr>
        <w:spacing w:line="264" w:lineRule="auto"/>
      </w:pPr>
    </w:p>
    <w:p w14:paraId="4E9F8AA4" w14:textId="77777777" w:rsidR="0059511D" w:rsidRDefault="0059511D" w:rsidP="009D2E7B">
      <w:pPr>
        <w:spacing w:line="264" w:lineRule="auto"/>
      </w:pPr>
    </w:p>
    <w:p w14:paraId="28B7E50F" w14:textId="77777777" w:rsidR="00F85AB6" w:rsidRDefault="00F85AB6" w:rsidP="009D2E7B">
      <w:pPr>
        <w:spacing w:line="264" w:lineRule="auto"/>
      </w:pPr>
    </w:p>
    <w:p w14:paraId="47A87980" w14:textId="77777777" w:rsidR="000F3DFD" w:rsidRDefault="000F3DFD" w:rsidP="009D2E7B">
      <w:pPr>
        <w:spacing w:line="264" w:lineRule="auto"/>
      </w:pPr>
    </w:p>
    <w:p w14:paraId="20B1597D" w14:textId="77777777" w:rsidR="000F3DFD" w:rsidRDefault="000F3DFD" w:rsidP="009D2E7B">
      <w:pPr>
        <w:spacing w:line="264" w:lineRule="auto"/>
      </w:pPr>
    </w:p>
    <w:p w14:paraId="245CC50C" w14:textId="77777777" w:rsidR="000F3DFD" w:rsidRDefault="000F3DFD" w:rsidP="009D2E7B">
      <w:pPr>
        <w:spacing w:line="264" w:lineRule="auto"/>
      </w:pPr>
    </w:p>
    <w:p w14:paraId="1F8685E5" w14:textId="77777777" w:rsidR="000F3DFD" w:rsidRDefault="000F3DFD" w:rsidP="009D2E7B">
      <w:pPr>
        <w:spacing w:line="264" w:lineRule="auto"/>
      </w:pPr>
    </w:p>
    <w:p w14:paraId="42A50727" w14:textId="77777777" w:rsidR="000F3DFD" w:rsidRDefault="000F3DFD" w:rsidP="009D2E7B">
      <w:pPr>
        <w:spacing w:line="264" w:lineRule="auto"/>
      </w:pPr>
    </w:p>
    <w:p w14:paraId="1BD8B231" w14:textId="77777777" w:rsidR="000F3DFD" w:rsidRDefault="000F3DFD" w:rsidP="009D2E7B">
      <w:pPr>
        <w:spacing w:line="264" w:lineRule="auto"/>
      </w:pPr>
    </w:p>
    <w:p w14:paraId="13B15DE5" w14:textId="77777777" w:rsidR="000F3DFD" w:rsidRDefault="000F3DFD" w:rsidP="009D2E7B">
      <w:pPr>
        <w:spacing w:line="264" w:lineRule="auto"/>
      </w:pPr>
    </w:p>
    <w:p w14:paraId="4410C483" w14:textId="77777777" w:rsidR="000F3DFD" w:rsidRDefault="000F3DFD" w:rsidP="009D2E7B">
      <w:pPr>
        <w:spacing w:line="264" w:lineRule="auto"/>
      </w:pPr>
    </w:p>
    <w:p w14:paraId="16899566" w14:textId="77777777" w:rsidR="000F3DFD" w:rsidRDefault="000F3DFD" w:rsidP="009D2E7B">
      <w:pPr>
        <w:spacing w:line="264" w:lineRule="auto"/>
      </w:pPr>
    </w:p>
    <w:p w14:paraId="0B89DE48" w14:textId="15685CAF" w:rsidR="000F3DFD" w:rsidRDefault="00C75934" w:rsidP="00C75934">
      <w:pPr>
        <w:pStyle w:val="Heading1"/>
      </w:pPr>
      <w:bookmarkStart w:id="0" w:name="_Toc227226966"/>
      <w:r>
        <w:lastRenderedPageBreak/>
        <w:t>Introduction</w:t>
      </w:r>
      <w:bookmarkEnd w:id="0"/>
    </w:p>
    <w:p w14:paraId="405BE748" w14:textId="2188D8A4" w:rsidR="00C75934" w:rsidRDefault="00C75934" w:rsidP="00C75934">
      <w:r>
        <w:t>CyDen is a company that manufactures intense pulsed light (IPL) devices. In this type of production environment, it is important to make sure that devices are operating within the required energy output range so that product quality and performance can be maintained. Ophir energy sensors are used during calibration and verification activities to measure the energy output of the devices and confirm that they meet the required standard. Because of this, the accuracy of these sensors is very important, as incorrect readings could lead to faulty decisions being made during production.</w:t>
      </w:r>
    </w:p>
    <w:p w14:paraId="3104AEEC" w14:textId="184E557B" w:rsidR="00C75934" w:rsidRDefault="00C75934" w:rsidP="00C75934">
      <w:r>
        <w:t>This report focuses on the current maintenance approach used for Ophir energy sensors at CyDen. Although these sensors are not maintained in the same way as more traditional production equipment such as motors or conveyors, they are still important pieces of equipment within the manufacturing process. For this reason, maintenance in this case is mainly concerned with making sure that the sensors remain accurate, reliable, and suitable for use over time.</w:t>
      </w:r>
    </w:p>
    <w:p w14:paraId="626186B5" w14:textId="103588C5" w:rsidR="00C75934" w:rsidRDefault="00C75934" w:rsidP="00C75934">
      <w:r>
        <w:t>At present, the sensors are calibrated every 12 months, and they may also be recalibrated earlier if energy readings suddenly change or if there are signs that the devices are not performing as expected. This system provides a level of control, as calibration is supported by logs and certificates which help maintain traceability. However, there is currently no structured method for monitoring the performance of the sensors between these calibration dates. This means that drift or deterioration may not be identified until product failures or abnormal readings begin to appear</w:t>
      </w:r>
    </w:p>
    <w:p w14:paraId="3E683774" w14:textId="5279C2CB" w:rsidR="00C75934" w:rsidRDefault="00C75934" w:rsidP="00C75934">
      <w:r>
        <w:t>The aim of this report is to critically review the current maintenance and calibration process used for the Ophir sensors, assess why this approach has been adopted, and evaluate how it could be improved in the future. The report will also consider the costs and resources involved in implementing a more proactive system, with the aim of improving early fault detection and reducing the risk of quality issues in production.</w:t>
      </w:r>
    </w:p>
    <w:p w14:paraId="392D21EF" w14:textId="77777777" w:rsidR="00BD4EB0" w:rsidRDefault="00BD4EB0" w:rsidP="00C75934"/>
    <w:p w14:paraId="0B79E3CF" w14:textId="77777777" w:rsidR="00BD4EB0" w:rsidRDefault="00BD4EB0" w:rsidP="00C75934"/>
    <w:p w14:paraId="569F6F1E" w14:textId="77777777" w:rsidR="00BD4EB0" w:rsidRDefault="00BD4EB0" w:rsidP="00C75934"/>
    <w:p w14:paraId="0F08A7EB" w14:textId="77777777" w:rsidR="00BD4EB0" w:rsidRDefault="00BD4EB0" w:rsidP="00C75934"/>
    <w:p w14:paraId="63A3A947" w14:textId="77777777" w:rsidR="00BD4EB0" w:rsidRDefault="00BD4EB0" w:rsidP="00C75934"/>
    <w:p w14:paraId="167D2725" w14:textId="77777777" w:rsidR="00BD4EB0" w:rsidRDefault="00BD4EB0" w:rsidP="00C75934"/>
    <w:p w14:paraId="5026CA9B" w14:textId="77777777" w:rsidR="00BD4EB0" w:rsidRDefault="00BD4EB0" w:rsidP="00C75934"/>
    <w:p w14:paraId="1CECBCC0" w14:textId="77777777" w:rsidR="00BD4EB0" w:rsidRDefault="00BD4EB0" w:rsidP="00C75934"/>
    <w:p w14:paraId="1222F493" w14:textId="700AA753" w:rsidR="00BD4EB0" w:rsidRDefault="00BD4EB0" w:rsidP="00BD4EB0">
      <w:pPr>
        <w:pStyle w:val="Heading1"/>
      </w:pPr>
      <w:bookmarkStart w:id="1" w:name="_Toc227226967"/>
      <w:r>
        <w:lastRenderedPageBreak/>
        <w:t>Current Maintenance Practice</w:t>
      </w:r>
      <w:bookmarkEnd w:id="1"/>
    </w:p>
    <w:p w14:paraId="01677426" w14:textId="4FE7F670" w:rsidR="00321A16" w:rsidRDefault="00321A16" w:rsidP="00321A16">
      <w:r>
        <w:t>The Ophir L40 energy sensors used at CyDen form part of the automatic test and verification process for IPL devices. Their purpose is to measure the energy output of each unit and confirm whether it meets the required specification before release. This makes the sensor an important item of production equipment, because the automatic verification process depends on the accuracy and repeatability of the energy measurement. The L40(</w:t>
      </w:r>
      <w:proofErr w:type="gramStart"/>
      <w:r>
        <w:t>150)A</w:t>
      </w:r>
      <w:proofErr w:type="gramEnd"/>
      <w:r>
        <w:t>-IPL is specifically designed for measuring pulses from gel-coupled IPL sources, which makes it suitable for use in this application (Ophir, n.d.).</w:t>
      </w:r>
    </w:p>
    <w:p w14:paraId="326EA329" w14:textId="662A249F" w:rsidR="00321A16" w:rsidRDefault="00321A16" w:rsidP="00321A16">
      <w:r>
        <w:t>At present, the main method used to maintain sensor performance is annual calibration. Each sensor is calibrated on a 12-month cycle, and its status is controlled through logs and calibration certificates. This approach has clear strengths. It is simple to manage, supports traceability, and provides evidence that the equipment is in date and formally controlled. It also fits wider measurement-management principles, which state that measuring equipment should be managed in a way that gives confidence in the validity and reliability of measurement results and maintains metrological traceability (ISO, 2026; ILAC, 2020).</w:t>
      </w:r>
    </w:p>
    <w:p w14:paraId="22803271" w14:textId="73896201" w:rsidR="00321A16" w:rsidRDefault="00321A16" w:rsidP="00321A16">
      <w:r>
        <w:t xml:space="preserve">There are also practical reasons why a 12-month interval is likely to have been chosen. Ophir recommends yearly recalibration for long-term accuracy and </w:t>
      </w:r>
      <w:proofErr w:type="gramStart"/>
      <w:r>
        <w:t>reliability, and</w:t>
      </w:r>
      <w:proofErr w:type="gramEnd"/>
      <w:r>
        <w:t xml:space="preserve"> also notes that sensor materials gradually degrade with time, use, and environmental exposure, meaning continued accuracy cannot be guaranteed indefinitely without recalibration (Ophir, 2015; Ophir, 2017). NIST also states that there is no single recalibration period that suits all instruments, and that intervals should depend on factors such as required accuracy, stability, frequency of use, and operating conditions (NIST, 2010). In this context, a 12-month interval appears to offer a practical balance between control, cost, and production disruption.</w:t>
      </w:r>
    </w:p>
    <w:p w14:paraId="68C67792" w14:textId="2702C025" w:rsidR="00321A16" w:rsidRDefault="00321A16" w:rsidP="00321A16">
      <w:r>
        <w:t>However, the current approach also has weaknesses. Once a sensor has been calibrated, it remains in service unless an obvious issue appears, meaning there is no formal method of checking whether performance has started to drift during the year. Earlier recalibration is therefore triggered by abnormal readings or rising device failures, which makes the process partly reactive rather than preventive. This is a significant limitation because the sensors are used within an automatic pass/fail verification process; if measurement performance changes gradually, production decisions could be affected before the problem is formally identified. ILAC guidance on recalibration intervals also states that intervals should be determined and reviewed as part of the calibration programme, suggesting that fixed annual calibration should ideally be supported by evidence from actual equipment performance rather than relied on in isolation (ILAC, 2022; Ophir, 2015).</w:t>
      </w:r>
    </w:p>
    <w:p w14:paraId="25EE62D8" w14:textId="20E5FC53" w:rsidR="00BD4EB0" w:rsidRDefault="00321A16" w:rsidP="00321A16">
      <w:r>
        <w:lastRenderedPageBreak/>
        <w:t>Overall, the present system is effective for traceability and basic control, but weaker as a proactive maintenance strategy. It demonstrates that the sensors are periodically recalibrated, yet it does not provide strong assurance of sensor condition between those calibration points. For that reason, the current approach can be described as adequate but not fully robust, as it relies heavily on annual recalibration and reactive investigation rather than ongoing in-service verification (ISO, 2026; ILAC, 2022).</w:t>
      </w:r>
    </w:p>
    <w:p w14:paraId="50FCA505" w14:textId="77777777" w:rsidR="00E90EDA" w:rsidRDefault="00E90EDA">
      <w:pPr>
        <w:spacing w:line="264" w:lineRule="auto"/>
      </w:pPr>
      <w:r>
        <w:br w:type="page"/>
      </w:r>
    </w:p>
    <w:p w14:paraId="53E340BE" w14:textId="2FB70007" w:rsidR="00E90EDA" w:rsidRPr="00E90EDA" w:rsidRDefault="00E90EDA" w:rsidP="00E90EDA">
      <w:pPr>
        <w:pStyle w:val="Heading1"/>
      </w:pPr>
      <w:bookmarkStart w:id="2" w:name="_Toc227226968"/>
      <w:r w:rsidRPr="00E90EDA">
        <w:lastRenderedPageBreak/>
        <w:t>Evaluation of improvements to the current maintenance approach</w:t>
      </w:r>
      <w:bookmarkEnd w:id="2"/>
    </w:p>
    <w:p w14:paraId="78F65795" w14:textId="4D22B432" w:rsidR="007414C6" w:rsidRDefault="007414C6" w:rsidP="00E90EDA">
      <w:pPr>
        <w:spacing w:line="264" w:lineRule="auto"/>
      </w:pPr>
      <w:r w:rsidRPr="007414C6">
        <w:t>The current annual calibration cycle can be viewed as a form of preventive maintenance because it is performed at scheduled intervals rather than only after equipment failure, although the absence of interim checks means that some elements of the present system remain reactive (NIST, 2020; NIST, 2020a).</w:t>
      </w:r>
    </w:p>
    <w:p w14:paraId="5037945C" w14:textId="21E568E8" w:rsidR="00E90EDA" w:rsidRPr="00E90EDA" w:rsidRDefault="00E90EDA" w:rsidP="00E90EDA">
      <w:pPr>
        <w:spacing w:line="264" w:lineRule="auto"/>
      </w:pPr>
      <w:r w:rsidRPr="00E90EDA">
        <w:t xml:space="preserve">The most suitable improvement for the current system would not be to replace annual calibration, but to strengthen it with additional in-service controls. Ophir recommends yearly recalibration to maintain long-term </w:t>
      </w:r>
      <w:proofErr w:type="gramStart"/>
      <w:r w:rsidRPr="00E90EDA">
        <w:t>accuracy, and</w:t>
      </w:r>
      <w:proofErr w:type="gramEnd"/>
      <w:r w:rsidRPr="00E90EDA">
        <w:t xml:space="preserve"> also notes that sensors can drift over time due to use and environmental exposure. For that reason, the 12-month interval remains a reasonable baseline. However, ISO 10012 and NIST guidance both suggest that reliable measurement systems should not rely only on fixed recalibration dates, and that ongoing control of measurement performance is also required to maintain confidence in results (ISO, 2026; NIST, 2010; Ophir, 2015; Ophir, 2017). </w:t>
      </w:r>
    </w:p>
    <w:p w14:paraId="7F43775E" w14:textId="583E2ECA" w:rsidR="00E90EDA" w:rsidRPr="00E90EDA" w:rsidRDefault="00E90EDA" w:rsidP="00E90EDA">
      <w:pPr>
        <w:spacing w:line="264" w:lineRule="auto"/>
      </w:pPr>
      <w:r w:rsidRPr="00E90EDA">
        <w:t xml:space="preserve">A practical improvement would be the introduction of interim verification checks between formal calibrations. Rather than waiting for device failures or unusual readings to trigger investigation, CyDen could use a designated check standard, reference device, or master sensor at defined intervals to confirm that the Ophir sensor is still behaving as expected. NIST describes this type of measurement assurance approach as a way of controlling and </w:t>
      </w:r>
      <w:r w:rsidR="00513AFE">
        <w:t>monitoring</w:t>
      </w:r>
      <w:r w:rsidRPr="00E90EDA">
        <w:t xml:space="preserve"> measurement performance </w:t>
      </w:r>
      <w:proofErr w:type="gramStart"/>
      <w:r w:rsidRPr="00E90EDA">
        <w:t>through the use of</w:t>
      </w:r>
      <w:proofErr w:type="gramEnd"/>
      <w:r w:rsidRPr="00E90EDA">
        <w:t xml:space="preserve"> check standards. This would make the current system more preventive, because it would allow changes in sensor behaviour to be identified before they affect automatic test and verification decisions (NIST, 2019</w:t>
      </w:r>
      <w:r w:rsidR="008D48F9">
        <w:t xml:space="preserve">; </w:t>
      </w:r>
      <w:r w:rsidR="008D48F9" w:rsidRPr="008D48F9">
        <w:t>NIST</w:t>
      </w:r>
      <w:r w:rsidR="008D48F9">
        <w:t xml:space="preserve">, </w:t>
      </w:r>
      <w:r w:rsidR="008D48F9" w:rsidRPr="008D48F9">
        <w:t>2020</w:t>
      </w:r>
      <w:r w:rsidR="006839C9">
        <w:t>; NIST, 2020a</w:t>
      </w:r>
      <w:r w:rsidRPr="00E90EDA">
        <w:t xml:space="preserve">). </w:t>
      </w:r>
    </w:p>
    <w:p w14:paraId="5A474B35" w14:textId="77777777" w:rsidR="00E90EDA" w:rsidRPr="00E90EDA" w:rsidRDefault="00E90EDA" w:rsidP="00E90EDA">
      <w:pPr>
        <w:spacing w:line="264" w:lineRule="auto"/>
      </w:pPr>
      <w:r w:rsidRPr="00E90EDA">
        <w:t xml:space="preserve">A second improvement would be to record the results of these interim checks and analyse them over time using a simple trend chart or control chart. NIST recommends internal measurement assurance programmes that include recording and analysing data in control charts so that the short-term and long-term behaviour of instruments can be understood. Control charts also allow warning limits and action limits to be set, meaning that staff can respond to gradual drift before the sensor moves fully out of tolerance. In practice, this would provide an early warning system that is currently missing from the process (NIST, 2010; NIST, 2019a; NIST, 2019b). </w:t>
      </w:r>
    </w:p>
    <w:p w14:paraId="7C1D060B" w14:textId="77777777" w:rsidR="00E90EDA" w:rsidRPr="00E90EDA" w:rsidRDefault="00E90EDA" w:rsidP="00E90EDA">
      <w:pPr>
        <w:spacing w:line="264" w:lineRule="auto"/>
      </w:pPr>
      <w:r w:rsidRPr="00E90EDA">
        <w:t xml:space="preserve">The current fixed 12-month interval could also be improved through periodic review. ILAC guidance states that recalibration intervals should be determined and reviewed as part of the organisation’s calibration programme, rather than being treated as permanently fixed. This means that CyDen could continue using a 12-month interval initially, but refine it over time using evidence such as historical drift, frequency of use, environmental conditions, and the results of interim verification checks. If the sensors remain stable, the current interval may be justified. If drift is identified earlier, then shorter intervals or additional controls may be needed (ILAC, 2022; NIST, 2010). </w:t>
      </w:r>
    </w:p>
    <w:p w14:paraId="007DD361" w14:textId="1B96F4D3" w:rsidR="00E90EDA" w:rsidRPr="00E90EDA" w:rsidRDefault="00E90EDA" w:rsidP="00E90EDA">
      <w:pPr>
        <w:spacing w:line="264" w:lineRule="auto"/>
      </w:pPr>
      <w:r w:rsidRPr="00E90EDA">
        <w:t xml:space="preserve">Overall, the best future strategy would be to retain annual calibration for formal traceability, while adding interim verification, trend monitoring, and defined escalation rules for early intervention. This would move the system from a mainly reactive approach towards a more preventive and evidence-based maintenance strategy. It would also be relatively practical to implement, as the main changes would involve additional checking, recording, and review rather than a complete redesign of the existing process (ISO, 2026; ILAC, 2022; NIST, 2019). </w:t>
      </w:r>
    </w:p>
    <w:p w14:paraId="1C23B2E3" w14:textId="77777777" w:rsidR="00B35BDE" w:rsidRDefault="00B35BDE">
      <w:pPr>
        <w:spacing w:line="264" w:lineRule="auto"/>
      </w:pPr>
      <w:r>
        <w:br w:type="page"/>
      </w:r>
    </w:p>
    <w:p w14:paraId="27B902C0" w14:textId="168FC636" w:rsidR="008D2AD5" w:rsidRPr="008D2AD5" w:rsidRDefault="008D2AD5" w:rsidP="00E11462">
      <w:pPr>
        <w:pStyle w:val="Heading1"/>
      </w:pPr>
      <w:bookmarkStart w:id="3" w:name="_Toc227226969"/>
      <w:r w:rsidRPr="008D2AD5">
        <w:lastRenderedPageBreak/>
        <w:t>Consideration of costs and resources required to implement the proposed changes</w:t>
      </w:r>
      <w:bookmarkEnd w:id="3"/>
    </w:p>
    <w:p w14:paraId="7FAB36AB" w14:textId="5F7DEFD7" w:rsidR="008D2AD5" w:rsidRPr="008D2AD5" w:rsidRDefault="008D2AD5" w:rsidP="008D2AD5">
      <w:pPr>
        <w:spacing w:line="264" w:lineRule="auto"/>
      </w:pPr>
      <w:r w:rsidRPr="008D2AD5">
        <w:t xml:space="preserve">The proposed improvements to the current maintenance approach are likely to involve moderate rather than major cost, because they build on the existing annual calibration system rather than replacing it completely. The main changes would be the introduction of interim verification checks, routine recording of results, and a clearer escalation process when readings begin to drift. This means the largest cost is likely to be internal labour rather than the purchase of new equipment. A further requirement may be the designation of a check standard or master sensor that can be used to verify performance between formal calibrations (NIST, 2019a). </w:t>
      </w:r>
    </w:p>
    <w:p w14:paraId="665D43CB" w14:textId="73E60B5F" w:rsidR="008D2AD5" w:rsidRPr="008D2AD5" w:rsidRDefault="008D2AD5" w:rsidP="008D2AD5">
      <w:pPr>
        <w:spacing w:line="264" w:lineRule="auto"/>
      </w:pPr>
      <w:r w:rsidRPr="008D2AD5">
        <w:t xml:space="preserve">Direct implementation costs would include staff time to complete interim checks, review data, investigate warning trends, and update documentation. There may also be some cost linked to creating new forms, spreadsheets, or digital records for tracking sensor behaviour over time. However, this is unlikely to require specialist software at the early stage, as NIST guidance notes that calibration status and scheduling can be controlled using relatively simple systems such as software flags, calendaring systems, or regular status reviews. In practice, CyDen could therefore introduce a low-cost monitoring system using existing spreadsheets or internal records before considering any wider digital investment (NIST, 2018;). </w:t>
      </w:r>
    </w:p>
    <w:p w14:paraId="22FE9E63" w14:textId="77777777" w:rsidR="008D2AD5" w:rsidRPr="008D2AD5" w:rsidRDefault="008D2AD5" w:rsidP="008D2AD5">
      <w:pPr>
        <w:spacing w:line="264" w:lineRule="auto"/>
      </w:pPr>
      <w:r w:rsidRPr="008D2AD5">
        <w:t xml:space="preserve">In terms of resources, the main requirement would be people and time rather than capital investment. Technicians or operators involved in the automatic test and verification process would need to complete the additional checks </w:t>
      </w:r>
      <w:proofErr w:type="gramStart"/>
      <w:r w:rsidRPr="008D2AD5">
        <w:t>consistently,</w:t>
      </w:r>
      <w:proofErr w:type="gramEnd"/>
      <w:r w:rsidRPr="008D2AD5">
        <w:t xml:space="preserve"> while engineering or quality personnel would need to review results and decide when further action is required. NIST process measurement assurance guidance states that measurement performance is affected not only by the instrument itself, but also by the operator, the procedure, the standards used, and the environment over time. This means that successful implementation would depend on clear procedures and basic staff training, so that interim checks are completed in a consistent way and the results are interpreted correctly (NIST, 2019a). </w:t>
      </w:r>
    </w:p>
    <w:p w14:paraId="1D0EF510" w14:textId="77777777" w:rsidR="008D2AD5" w:rsidRPr="008D2AD5" w:rsidRDefault="008D2AD5" w:rsidP="008D2AD5">
      <w:pPr>
        <w:spacing w:line="264" w:lineRule="auto"/>
      </w:pPr>
      <w:r w:rsidRPr="008D2AD5">
        <w:t xml:space="preserve">Although the revised system would create some extra work, it would also offer clear benefits. Earlier identification of drift would reduce the chance of faulty pass or fail decisions being made during automatic verification, which could in turn reduce unnecessary investigation, rework, or product quality issues. It would also provide useful historical data that could be used to review whether the current 12-month interval remains appropriate. ILAC guidance states that recalibration intervals should be reviewed as part of the calibration programme, while NIST guidance notes that intervals may be adjusted using evidence such as calibration history, measurement assurance data, control charts, and manufacturer recommendations. This means that the additional checking process would not only improve day-to-day </w:t>
      </w:r>
      <w:proofErr w:type="gramStart"/>
      <w:r w:rsidRPr="008D2AD5">
        <w:t>control, but</w:t>
      </w:r>
      <w:proofErr w:type="gramEnd"/>
      <w:r w:rsidRPr="008D2AD5">
        <w:t xml:space="preserve"> could also support better long-term maintenance planning (ILAC, 2022; NIST, 2018). </w:t>
      </w:r>
    </w:p>
    <w:p w14:paraId="61DC2A05" w14:textId="77777777" w:rsidR="008D2AD5" w:rsidRPr="008D2AD5" w:rsidRDefault="008D2AD5" w:rsidP="008D2AD5">
      <w:pPr>
        <w:spacing w:line="264" w:lineRule="auto"/>
      </w:pPr>
      <w:r w:rsidRPr="008D2AD5">
        <w:t xml:space="preserve">There are also change management implications. The main challenge is likely to be ensuring that the additional checks are accepted as part of normal practice rather than being seen as extra administration. If responsibilities, check frequency, and escalation rules are not clearly defined, the process may be applied inconsistently and lose value. NIST guidance also makes clear that calibration intervals should not be extended simply because of lack of funding, weak tracking systems, or loss of competent staff. This suggests that if CyDen adopts a more proactive approach, it must also commit enough time, training, and management support to maintain it properly. A phased introduction, </w:t>
      </w:r>
      <w:r w:rsidRPr="008D2AD5">
        <w:lastRenderedPageBreak/>
        <w:t xml:space="preserve">starting with one sensor or one production area, would therefore be a practical way to control resource demands and demonstrate value before wider rollout (NIST, 2018). </w:t>
      </w:r>
    </w:p>
    <w:p w14:paraId="641DF570" w14:textId="77777777" w:rsidR="00146118" w:rsidRDefault="00146118">
      <w:pPr>
        <w:spacing w:line="264" w:lineRule="auto"/>
      </w:pPr>
      <w:r>
        <w:br w:type="page"/>
      </w:r>
    </w:p>
    <w:p w14:paraId="7B127F9C" w14:textId="77777777" w:rsidR="00146118" w:rsidRDefault="00146118" w:rsidP="00146118">
      <w:pPr>
        <w:pStyle w:val="Heading1"/>
      </w:pPr>
      <w:bookmarkStart w:id="4" w:name="_Toc227226970"/>
      <w:r>
        <w:lastRenderedPageBreak/>
        <w:t>Conclusion</w:t>
      </w:r>
      <w:bookmarkEnd w:id="4"/>
    </w:p>
    <w:p w14:paraId="15FC80D1" w14:textId="45BD05A0" w:rsidR="00146118" w:rsidRPr="00146118" w:rsidRDefault="00146118" w:rsidP="00146118">
      <w:r w:rsidRPr="00146118">
        <w:t>The findings of this report show that the current maintenance approach for the Ophir L40 energy sensors at CyDen provides basic control, traceability, and compliance through annual calibration, calibration logs, and certificates. This approach is consistent with manufacturer guidance that supports yearly recalibration for maintaining measurement accuracy over time. However, external guidance also makes clear that fixed calibration intervals should not be relied upon in isolation, as suitable intervals and controls depend on factors such as instrument stability, frequency of use, operating conditions, and the quality of supporting measurement assurance data. This suggests that the current system is adequate, but not fully proactive, because it does not provide strong evidence of sensor performance between scheduled calibration events (Ophir, 2017; NIST, 2010; ILAC, 2022).</w:t>
      </w:r>
    </w:p>
    <w:p w14:paraId="12E68089" w14:textId="77777777" w:rsidR="00146118" w:rsidRPr="00146118" w:rsidRDefault="00146118" w:rsidP="00146118">
      <w:r w:rsidRPr="00146118">
        <w:t>The main weakness in the present system is that early recalibration is generally triggered by abnormal readings or device failures, meaning that drift may only be identified after it has already started to affect automatic test and verification decisions. For that reason, the most suitable improvement is to keep the 12-month calibration cycle in place while strengthening it with interim verification checks, trend monitoring, and clear escalation limits. This would create a more preventive maintenance strategy and improve confidence in the measurement results used within production (ISO, 2026; NIST, 2019a; ILAC, 2022).</w:t>
      </w:r>
    </w:p>
    <w:p w14:paraId="5B968E4F" w14:textId="4C82E9AC" w:rsidR="00DA5841" w:rsidRPr="00146118" w:rsidRDefault="00146118" w:rsidP="00146118">
      <w:r w:rsidRPr="00146118">
        <w:t>In the short term, CyDen should retain annual calibration but introduce routine interim verification checks using a suitable reference or master standard. At the same time, a simple recording system should be introduced so that results can be reviewed over time rather than treated as isolated checks. In the medium term, the company should establish warning limits and action limits, supported by clear procedures stating when a sensor must be removed from use or sent for early recalibration. Staff involved in the automatic test and verification process should also receive basic training so that the revised process is applied consistently. In the long term, CyDen should review whether the 12-month interval remains appropriate by using historical drift data, calibration history, and interim verification results to support a more evidence-based calibration programme. This would align the maintenance strategy more closely with recognised guidance on the review of calibration intervals and measurement assurance practice (NIST, 2010; NIST, 2019a; ILAC, 2022).</w:t>
      </w:r>
      <w:r w:rsidR="00DA5841">
        <w:br w:type="page"/>
      </w:r>
    </w:p>
    <w:p w14:paraId="05A53BED" w14:textId="24E7F2FD" w:rsidR="00200285" w:rsidRPr="00200285" w:rsidRDefault="004332D4" w:rsidP="00CD48E7">
      <w:pPr>
        <w:pStyle w:val="Heading1"/>
      </w:pPr>
      <w:bookmarkStart w:id="5" w:name="_Toc227226971"/>
      <w:r>
        <w:lastRenderedPageBreak/>
        <w:t>Bibliography</w:t>
      </w:r>
      <w:bookmarkEnd w:id="5"/>
    </w:p>
    <w:p w14:paraId="63064D33" w14:textId="77777777" w:rsidR="004332D4" w:rsidRPr="004332D4" w:rsidRDefault="004332D4" w:rsidP="004332D4">
      <w:pPr>
        <w:pStyle w:val="ListParagraph"/>
        <w:numPr>
          <w:ilvl w:val="0"/>
          <w:numId w:val="27"/>
        </w:numPr>
      </w:pPr>
      <w:r w:rsidRPr="004332D4">
        <w:t xml:space="preserve">ILAC (2020) </w:t>
      </w:r>
      <w:r w:rsidRPr="004332D4">
        <w:rPr>
          <w:i/>
          <w:iCs/>
        </w:rPr>
        <w:t>ILAC P10:07/2020: ILAC Policy on Metrological Traceability of Measurement Results</w:t>
      </w:r>
      <w:r w:rsidRPr="004332D4">
        <w:t>. International Laboratory Accreditation Cooperation.</w:t>
      </w:r>
    </w:p>
    <w:p w14:paraId="03CC8562" w14:textId="77777777" w:rsidR="004332D4" w:rsidRPr="004332D4" w:rsidRDefault="004332D4" w:rsidP="004332D4">
      <w:pPr>
        <w:pStyle w:val="ListParagraph"/>
        <w:numPr>
          <w:ilvl w:val="0"/>
          <w:numId w:val="27"/>
        </w:numPr>
      </w:pPr>
      <w:r w:rsidRPr="004332D4">
        <w:t xml:space="preserve">ILAC (2022) </w:t>
      </w:r>
      <w:r w:rsidRPr="004332D4">
        <w:rPr>
          <w:i/>
          <w:iCs/>
        </w:rPr>
        <w:t>ILAC G24:2022: Guidelines for the Determination of Calibration Intervals of Measuring Equipment</w:t>
      </w:r>
      <w:r w:rsidRPr="004332D4">
        <w:t>. International Laboratory Accreditation Cooperation.</w:t>
      </w:r>
    </w:p>
    <w:p w14:paraId="5825AAA3" w14:textId="77777777" w:rsidR="004332D4" w:rsidRPr="004332D4" w:rsidRDefault="004332D4" w:rsidP="004332D4">
      <w:pPr>
        <w:pStyle w:val="ListParagraph"/>
        <w:numPr>
          <w:ilvl w:val="0"/>
          <w:numId w:val="27"/>
        </w:numPr>
      </w:pPr>
      <w:r w:rsidRPr="004332D4">
        <w:t xml:space="preserve">ISO (2026) </w:t>
      </w:r>
      <w:r w:rsidRPr="004332D4">
        <w:rPr>
          <w:i/>
          <w:iCs/>
        </w:rPr>
        <w:t>ISO 10012:2026 Quality management — Requirements for measurement management systems</w:t>
      </w:r>
      <w:r w:rsidRPr="004332D4">
        <w:t>. International Organization for Standardization.</w:t>
      </w:r>
    </w:p>
    <w:p w14:paraId="3810053C" w14:textId="77777777" w:rsidR="004332D4" w:rsidRPr="004332D4" w:rsidRDefault="004332D4" w:rsidP="004332D4">
      <w:pPr>
        <w:pStyle w:val="ListParagraph"/>
        <w:numPr>
          <w:ilvl w:val="0"/>
          <w:numId w:val="27"/>
        </w:numPr>
      </w:pPr>
      <w:r w:rsidRPr="004332D4">
        <w:t xml:space="preserve">NIST (2010) </w:t>
      </w:r>
      <w:r w:rsidRPr="004332D4">
        <w:rPr>
          <w:i/>
          <w:iCs/>
        </w:rPr>
        <w:t>Recommended Calibration Interval</w:t>
      </w:r>
      <w:r w:rsidRPr="004332D4">
        <w:t>. National Institute of Standards and Technology.</w:t>
      </w:r>
    </w:p>
    <w:p w14:paraId="59A5965A" w14:textId="77777777" w:rsidR="004332D4" w:rsidRPr="004332D4" w:rsidRDefault="004332D4" w:rsidP="004332D4">
      <w:pPr>
        <w:pStyle w:val="ListParagraph"/>
        <w:numPr>
          <w:ilvl w:val="0"/>
          <w:numId w:val="27"/>
        </w:numPr>
      </w:pPr>
      <w:r w:rsidRPr="004332D4">
        <w:t xml:space="preserve">NIST (2018) </w:t>
      </w:r>
      <w:r w:rsidRPr="004332D4">
        <w:rPr>
          <w:i/>
          <w:iCs/>
        </w:rPr>
        <w:t>Selected Laboratory and Measurement Practices Procedures to Support Basic Mass Calibrations (NIST IR 6969-2018)</w:t>
      </w:r>
      <w:r w:rsidRPr="004332D4">
        <w:t>. National Institute of Standards and Technology.</w:t>
      </w:r>
    </w:p>
    <w:p w14:paraId="4085E671" w14:textId="77777777" w:rsidR="004332D4" w:rsidRPr="004332D4" w:rsidRDefault="004332D4" w:rsidP="004332D4">
      <w:pPr>
        <w:pStyle w:val="ListParagraph"/>
        <w:numPr>
          <w:ilvl w:val="0"/>
          <w:numId w:val="27"/>
        </w:numPr>
      </w:pPr>
      <w:r w:rsidRPr="004332D4">
        <w:t xml:space="preserve">NIST (2019a) </w:t>
      </w:r>
      <w:r w:rsidRPr="004332D4">
        <w:rPr>
          <w:i/>
          <w:iCs/>
        </w:rPr>
        <w:t>SOP 30: Process Measurement Assurance Program</w:t>
      </w:r>
      <w:r w:rsidRPr="004332D4">
        <w:t>. National Institute of Standards and Technology.</w:t>
      </w:r>
    </w:p>
    <w:p w14:paraId="6BE65E88" w14:textId="77777777" w:rsidR="004332D4" w:rsidRDefault="004332D4" w:rsidP="004332D4">
      <w:pPr>
        <w:pStyle w:val="ListParagraph"/>
        <w:numPr>
          <w:ilvl w:val="0"/>
          <w:numId w:val="27"/>
        </w:numPr>
      </w:pPr>
      <w:r w:rsidRPr="004332D4">
        <w:t xml:space="preserve">NIST (2019b) </w:t>
      </w:r>
      <w:r w:rsidRPr="004332D4">
        <w:rPr>
          <w:i/>
          <w:iCs/>
        </w:rPr>
        <w:t>SOP 9: Control Charts for Calibration of Mass Standards</w:t>
      </w:r>
      <w:r w:rsidRPr="004332D4">
        <w:t>. National Institute of Standards and Technology.</w:t>
      </w:r>
    </w:p>
    <w:p w14:paraId="7DAED16E" w14:textId="1D8AC2E6" w:rsidR="004A04FD" w:rsidRDefault="004A04FD" w:rsidP="004A04FD">
      <w:pPr>
        <w:pStyle w:val="ListParagraph"/>
        <w:numPr>
          <w:ilvl w:val="0"/>
          <w:numId w:val="27"/>
        </w:numPr>
      </w:pPr>
      <w:r>
        <w:t>NIST (2020) Manufacturing Machinery Maintenance. National Institute of Standards and Technology.</w:t>
      </w:r>
    </w:p>
    <w:p w14:paraId="599D3A82" w14:textId="36A57604" w:rsidR="006B365E" w:rsidRPr="004332D4" w:rsidRDefault="004A04FD" w:rsidP="004A04FD">
      <w:pPr>
        <w:pStyle w:val="ListParagraph"/>
        <w:numPr>
          <w:ilvl w:val="0"/>
          <w:numId w:val="27"/>
        </w:numPr>
      </w:pPr>
      <w:r>
        <w:t>NIST (2020a) Economics of Manufacturing Machinery Maintenance (NIST AMS 100-34). National Institute of Standards and Technology.</w:t>
      </w:r>
    </w:p>
    <w:p w14:paraId="7FC56D4E" w14:textId="77777777" w:rsidR="004332D4" w:rsidRPr="004332D4" w:rsidRDefault="004332D4" w:rsidP="004332D4">
      <w:pPr>
        <w:pStyle w:val="ListParagraph"/>
        <w:numPr>
          <w:ilvl w:val="0"/>
          <w:numId w:val="27"/>
        </w:numPr>
      </w:pPr>
      <w:r w:rsidRPr="004332D4">
        <w:t xml:space="preserve">Ophir (2015) </w:t>
      </w:r>
      <w:r w:rsidRPr="004332D4">
        <w:rPr>
          <w:i/>
          <w:iCs/>
        </w:rPr>
        <w:t>How to Ensure Accuracy of Laser Measurement in Medical Devices</w:t>
      </w:r>
      <w:r w:rsidRPr="004332D4">
        <w:t>. Ophir Photonics.</w:t>
      </w:r>
    </w:p>
    <w:p w14:paraId="53FF4ABC" w14:textId="77777777" w:rsidR="004332D4" w:rsidRPr="004332D4" w:rsidRDefault="004332D4" w:rsidP="004332D4">
      <w:pPr>
        <w:pStyle w:val="ListParagraph"/>
        <w:numPr>
          <w:ilvl w:val="0"/>
          <w:numId w:val="27"/>
        </w:numPr>
      </w:pPr>
      <w:r w:rsidRPr="004332D4">
        <w:t xml:space="preserve">Ophir (2017) </w:t>
      </w:r>
      <w:r w:rsidRPr="004332D4">
        <w:rPr>
          <w:i/>
          <w:iCs/>
        </w:rPr>
        <w:t>Recalibrating Your Laser Power Meter for Long-Term Accuracy and Reliability</w:t>
      </w:r>
      <w:r w:rsidRPr="004332D4">
        <w:t>. Ophir Photonics.</w:t>
      </w:r>
    </w:p>
    <w:p w14:paraId="03E302D0" w14:textId="77777777" w:rsidR="004332D4" w:rsidRPr="004332D4" w:rsidRDefault="004332D4" w:rsidP="004332D4">
      <w:pPr>
        <w:pStyle w:val="ListParagraph"/>
        <w:numPr>
          <w:ilvl w:val="0"/>
          <w:numId w:val="27"/>
        </w:numPr>
      </w:pPr>
      <w:r w:rsidRPr="004332D4">
        <w:t xml:space="preserve">Ophir (n.d.) </w:t>
      </w:r>
      <w:r w:rsidRPr="004332D4">
        <w:rPr>
          <w:i/>
          <w:iCs/>
        </w:rPr>
        <w:t>L40(</w:t>
      </w:r>
      <w:proofErr w:type="gramStart"/>
      <w:r w:rsidRPr="004332D4">
        <w:rPr>
          <w:i/>
          <w:iCs/>
        </w:rPr>
        <w:t>150)A</w:t>
      </w:r>
      <w:proofErr w:type="gramEnd"/>
      <w:r w:rsidRPr="004332D4">
        <w:rPr>
          <w:i/>
          <w:iCs/>
        </w:rPr>
        <w:t>-IPL 0.1–2000 J Intense Pulsed Light Energy Sensor</w:t>
      </w:r>
      <w:r w:rsidRPr="004332D4">
        <w:t>. Ophir Photonics.</w:t>
      </w:r>
    </w:p>
    <w:p w14:paraId="20F765E0" w14:textId="1AAC675E" w:rsidR="00EE6459" w:rsidRPr="00CD48E7" w:rsidRDefault="00EE6459" w:rsidP="004332D4">
      <w:pPr>
        <w:pStyle w:val="ListParagraph"/>
        <w:ind w:left="432"/>
      </w:pPr>
    </w:p>
    <w:sectPr w:rsidR="00EE6459" w:rsidRPr="00CD48E7" w:rsidSect="00E8377B">
      <w:headerReference w:type="default" r:id="rId9"/>
      <w:headerReference w:type="first" r:id="rId10"/>
      <w:footerReference w:type="first" r:id="rId1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137A3D" w14:textId="77777777" w:rsidR="00A52428" w:rsidRDefault="00A52428" w:rsidP="00AD51E4">
      <w:pPr>
        <w:spacing w:after="0" w:line="240" w:lineRule="auto"/>
      </w:pPr>
      <w:r>
        <w:separator/>
      </w:r>
    </w:p>
  </w:endnote>
  <w:endnote w:type="continuationSeparator" w:id="0">
    <w:p w14:paraId="6F296C88" w14:textId="77777777" w:rsidR="00A52428" w:rsidRDefault="00A52428" w:rsidP="00AD51E4">
      <w:pPr>
        <w:spacing w:after="0" w:line="240" w:lineRule="auto"/>
      </w:pPr>
      <w:r>
        <w:continuationSeparator/>
      </w:r>
    </w:p>
  </w:endnote>
  <w:endnote w:type="continuationNotice" w:id="1">
    <w:p w14:paraId="5AFD7AA4" w14:textId="77777777" w:rsidR="00A52428" w:rsidRDefault="00A5242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FE9BACE" w14:paraId="44E3292A" w14:textId="77777777" w:rsidTr="6FE9BACE">
      <w:trPr>
        <w:trHeight w:val="300"/>
      </w:trPr>
      <w:tc>
        <w:tcPr>
          <w:tcW w:w="3005" w:type="dxa"/>
        </w:tcPr>
        <w:p w14:paraId="74FEE907" w14:textId="07D39170" w:rsidR="6FE9BACE" w:rsidRDefault="6FE9BACE" w:rsidP="6FE9BACE">
          <w:pPr>
            <w:pStyle w:val="Header"/>
            <w:ind w:left="-115"/>
          </w:pPr>
        </w:p>
      </w:tc>
      <w:tc>
        <w:tcPr>
          <w:tcW w:w="3005" w:type="dxa"/>
        </w:tcPr>
        <w:p w14:paraId="37EA2470" w14:textId="592EBACD" w:rsidR="6FE9BACE" w:rsidRDefault="6FE9BACE" w:rsidP="6FE9BACE">
          <w:pPr>
            <w:pStyle w:val="Header"/>
            <w:jc w:val="center"/>
          </w:pPr>
        </w:p>
      </w:tc>
      <w:tc>
        <w:tcPr>
          <w:tcW w:w="3005" w:type="dxa"/>
        </w:tcPr>
        <w:p w14:paraId="34D7775E" w14:textId="7FB35513" w:rsidR="6FE9BACE" w:rsidRDefault="6FE9BACE" w:rsidP="6FE9BACE">
          <w:pPr>
            <w:pStyle w:val="Header"/>
            <w:ind w:right="-115"/>
            <w:jc w:val="right"/>
          </w:pPr>
        </w:p>
      </w:tc>
    </w:tr>
  </w:tbl>
  <w:p w14:paraId="0F7A5F40" w14:textId="72C53325" w:rsidR="001E12ED" w:rsidRDefault="001E12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518EA8" w14:textId="77777777" w:rsidR="00A52428" w:rsidRDefault="00A52428" w:rsidP="00AD51E4">
      <w:pPr>
        <w:spacing w:after="0" w:line="240" w:lineRule="auto"/>
      </w:pPr>
      <w:r>
        <w:separator/>
      </w:r>
    </w:p>
  </w:footnote>
  <w:footnote w:type="continuationSeparator" w:id="0">
    <w:p w14:paraId="0FAF26EF" w14:textId="77777777" w:rsidR="00A52428" w:rsidRDefault="00A52428" w:rsidP="00AD51E4">
      <w:pPr>
        <w:spacing w:after="0" w:line="240" w:lineRule="auto"/>
      </w:pPr>
      <w:r>
        <w:continuationSeparator/>
      </w:r>
    </w:p>
  </w:footnote>
  <w:footnote w:type="continuationNotice" w:id="1">
    <w:p w14:paraId="289E28C0" w14:textId="77777777" w:rsidR="00A52428" w:rsidRDefault="00A5242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FE9BACE" w14:paraId="27E9CD98" w14:textId="77777777" w:rsidTr="6FE9BACE">
      <w:trPr>
        <w:trHeight w:val="300"/>
      </w:trPr>
      <w:tc>
        <w:tcPr>
          <w:tcW w:w="3005" w:type="dxa"/>
        </w:tcPr>
        <w:p w14:paraId="701E691B" w14:textId="77068041" w:rsidR="6FE9BACE" w:rsidRDefault="6FE9BACE" w:rsidP="6FE9BACE">
          <w:pPr>
            <w:pStyle w:val="Header"/>
            <w:ind w:left="-115"/>
          </w:pPr>
        </w:p>
      </w:tc>
      <w:tc>
        <w:tcPr>
          <w:tcW w:w="3005" w:type="dxa"/>
        </w:tcPr>
        <w:p w14:paraId="44585D32" w14:textId="4931834D" w:rsidR="6FE9BACE" w:rsidRDefault="6FE9BACE" w:rsidP="6FE9BACE">
          <w:pPr>
            <w:pStyle w:val="Header"/>
            <w:jc w:val="center"/>
          </w:pPr>
        </w:p>
      </w:tc>
      <w:tc>
        <w:tcPr>
          <w:tcW w:w="3005" w:type="dxa"/>
        </w:tcPr>
        <w:p w14:paraId="51DE7693" w14:textId="5D9384BA" w:rsidR="6FE9BACE" w:rsidRDefault="6FE9BACE" w:rsidP="6FE9BACE">
          <w:pPr>
            <w:pStyle w:val="Header"/>
            <w:ind w:right="-115"/>
            <w:jc w:val="right"/>
          </w:pPr>
        </w:p>
      </w:tc>
    </w:tr>
  </w:tbl>
  <w:p w14:paraId="7E52F466" w14:textId="3BA3B6AA" w:rsidR="001E12ED" w:rsidRDefault="001E12E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FE9BACE" w14:paraId="475E82F8" w14:textId="77777777" w:rsidTr="6FE9BACE">
      <w:trPr>
        <w:trHeight w:val="300"/>
      </w:trPr>
      <w:tc>
        <w:tcPr>
          <w:tcW w:w="3005" w:type="dxa"/>
        </w:tcPr>
        <w:p w14:paraId="78E9CA7E" w14:textId="0484FC77" w:rsidR="6FE9BACE" w:rsidRDefault="6FE9BACE" w:rsidP="6FE9BACE">
          <w:pPr>
            <w:pStyle w:val="Header"/>
            <w:ind w:left="-115"/>
          </w:pPr>
        </w:p>
      </w:tc>
      <w:tc>
        <w:tcPr>
          <w:tcW w:w="3005" w:type="dxa"/>
        </w:tcPr>
        <w:p w14:paraId="1355ED4B" w14:textId="4D14CFD9" w:rsidR="6FE9BACE" w:rsidRDefault="6FE9BACE" w:rsidP="6FE9BACE">
          <w:pPr>
            <w:pStyle w:val="Header"/>
            <w:jc w:val="center"/>
          </w:pPr>
        </w:p>
      </w:tc>
      <w:tc>
        <w:tcPr>
          <w:tcW w:w="3005" w:type="dxa"/>
        </w:tcPr>
        <w:p w14:paraId="7338D3C4" w14:textId="7228989E" w:rsidR="6FE9BACE" w:rsidRDefault="6FE9BACE" w:rsidP="6FE9BACE">
          <w:pPr>
            <w:pStyle w:val="Header"/>
            <w:ind w:right="-115"/>
            <w:jc w:val="right"/>
          </w:pPr>
        </w:p>
      </w:tc>
    </w:tr>
  </w:tbl>
  <w:p w14:paraId="523BD6B1" w14:textId="639A4193" w:rsidR="001E12ED" w:rsidRDefault="001E12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A3DA9"/>
    <w:multiLevelType w:val="multilevel"/>
    <w:tmpl w:val="69344AC6"/>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3672C15"/>
    <w:multiLevelType w:val="hybridMultilevel"/>
    <w:tmpl w:val="974CCD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D549A4"/>
    <w:multiLevelType w:val="multilevel"/>
    <w:tmpl w:val="ACD01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0D5CA6"/>
    <w:multiLevelType w:val="hybridMultilevel"/>
    <w:tmpl w:val="3EBADD9E"/>
    <w:lvl w:ilvl="0" w:tplc="C8608C6A">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F37096"/>
    <w:multiLevelType w:val="multilevel"/>
    <w:tmpl w:val="DAB61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FD0F5F"/>
    <w:multiLevelType w:val="hybridMultilevel"/>
    <w:tmpl w:val="D962FC82"/>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255A31DA"/>
    <w:multiLevelType w:val="multilevel"/>
    <w:tmpl w:val="D962FC82"/>
    <w:styleLink w:val="CurrentList1"/>
    <w:lvl w:ilvl="0">
      <w:start w:val="1"/>
      <w:numFmt w:val="decimal"/>
      <w:lvlText w:val="%1)"/>
      <w:lvlJc w:val="left"/>
      <w:pPr>
        <w:ind w:left="360" w:hanging="360"/>
      </w:pPr>
      <w:rPr>
        <w:rFonts w:hint="default"/>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7" w15:restartNumberingAfterBreak="0">
    <w:nsid w:val="27872C64"/>
    <w:multiLevelType w:val="multilevel"/>
    <w:tmpl w:val="472AA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0E16D96"/>
    <w:multiLevelType w:val="multilevel"/>
    <w:tmpl w:val="E0C48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A2557AA"/>
    <w:multiLevelType w:val="hybridMultilevel"/>
    <w:tmpl w:val="9BD6E58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AF33F9B"/>
    <w:multiLevelType w:val="hybridMultilevel"/>
    <w:tmpl w:val="7540AAD8"/>
    <w:lvl w:ilvl="0" w:tplc="3EBADD4E">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F96D0E"/>
    <w:multiLevelType w:val="hybridMultilevel"/>
    <w:tmpl w:val="F8EC254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4C63508"/>
    <w:multiLevelType w:val="multilevel"/>
    <w:tmpl w:val="6E286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CD5469A"/>
    <w:multiLevelType w:val="hybridMultilevel"/>
    <w:tmpl w:val="B45A6424"/>
    <w:lvl w:ilvl="0" w:tplc="FB2EA670">
      <w:start w:val="1"/>
      <w:numFmt w:val="bullet"/>
      <w:lvlText w:val="-"/>
      <w:lvlJc w:val="left"/>
      <w:pPr>
        <w:ind w:left="720" w:hanging="360"/>
      </w:pPr>
      <w:rPr>
        <w:rFonts w:ascii="Calibri" w:eastAsiaTheme="minorEastAsia" w:hAnsi="Calibri" w:cs="Calibri" w:hint="default"/>
        <w:b/>
        <w:u w:val="singl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4C288F"/>
    <w:multiLevelType w:val="multilevel"/>
    <w:tmpl w:val="E9946AF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5" w15:restartNumberingAfterBreak="0">
    <w:nsid w:val="4DD415A3"/>
    <w:multiLevelType w:val="multilevel"/>
    <w:tmpl w:val="A9E2D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F732C0F"/>
    <w:multiLevelType w:val="multilevel"/>
    <w:tmpl w:val="CBB47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2C05244"/>
    <w:multiLevelType w:val="multilevel"/>
    <w:tmpl w:val="7AB05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3FD4E6D"/>
    <w:multiLevelType w:val="multilevel"/>
    <w:tmpl w:val="C05AC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9542E74"/>
    <w:multiLevelType w:val="multilevel"/>
    <w:tmpl w:val="9FC49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AAB2640"/>
    <w:multiLevelType w:val="multilevel"/>
    <w:tmpl w:val="1AF23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A964A4F"/>
    <w:multiLevelType w:val="multilevel"/>
    <w:tmpl w:val="F76CB2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11864D0"/>
    <w:multiLevelType w:val="multilevel"/>
    <w:tmpl w:val="E9946AF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3" w15:restartNumberingAfterBreak="0">
    <w:nsid w:val="71A05697"/>
    <w:multiLevelType w:val="multilevel"/>
    <w:tmpl w:val="5FA00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5020EE9"/>
    <w:multiLevelType w:val="multilevel"/>
    <w:tmpl w:val="72ACA8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5533789"/>
    <w:multiLevelType w:val="hybridMultilevel"/>
    <w:tmpl w:val="433CB09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38711931">
    <w:abstractNumId w:val="0"/>
  </w:num>
  <w:num w:numId="2" w16cid:durableId="581719907">
    <w:abstractNumId w:val="11"/>
  </w:num>
  <w:num w:numId="3" w16cid:durableId="1268780253">
    <w:abstractNumId w:val="9"/>
  </w:num>
  <w:num w:numId="4" w16cid:durableId="452947738">
    <w:abstractNumId w:val="7"/>
  </w:num>
  <w:num w:numId="5" w16cid:durableId="429086960">
    <w:abstractNumId w:val="21"/>
  </w:num>
  <w:num w:numId="6" w16cid:durableId="815754831">
    <w:abstractNumId w:val="15"/>
  </w:num>
  <w:num w:numId="7" w16cid:durableId="661785191">
    <w:abstractNumId w:val="24"/>
  </w:num>
  <w:num w:numId="8" w16cid:durableId="1098063455">
    <w:abstractNumId w:val="17"/>
  </w:num>
  <w:num w:numId="9" w16cid:durableId="1382824593">
    <w:abstractNumId w:val="10"/>
  </w:num>
  <w:num w:numId="10" w16cid:durableId="561603933">
    <w:abstractNumId w:val="13"/>
  </w:num>
  <w:num w:numId="11" w16cid:durableId="1907253453">
    <w:abstractNumId w:val="3"/>
  </w:num>
  <w:num w:numId="12" w16cid:durableId="1421104440">
    <w:abstractNumId w:val="1"/>
  </w:num>
  <w:num w:numId="13" w16cid:durableId="188320190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2142267538">
    <w:abstractNumId w:val="5"/>
  </w:num>
  <w:num w:numId="15" w16cid:durableId="983584171">
    <w:abstractNumId w:val="25"/>
  </w:num>
  <w:num w:numId="16" w16cid:durableId="601961398">
    <w:abstractNumId w:val="20"/>
  </w:num>
  <w:num w:numId="17" w16cid:durableId="966162060">
    <w:abstractNumId w:val="8"/>
  </w:num>
  <w:num w:numId="18" w16cid:durableId="849029058">
    <w:abstractNumId w:val="6"/>
  </w:num>
  <w:num w:numId="19" w16cid:durableId="1572616863">
    <w:abstractNumId w:val="2"/>
  </w:num>
  <w:num w:numId="20" w16cid:durableId="751320665">
    <w:abstractNumId w:val="19"/>
  </w:num>
  <w:num w:numId="21" w16cid:durableId="1676374566">
    <w:abstractNumId w:val="4"/>
  </w:num>
  <w:num w:numId="22" w16cid:durableId="590283020">
    <w:abstractNumId w:val="23"/>
  </w:num>
  <w:num w:numId="23" w16cid:durableId="381098504">
    <w:abstractNumId w:val="12"/>
  </w:num>
  <w:num w:numId="24" w16cid:durableId="177013648">
    <w:abstractNumId w:val="16"/>
  </w:num>
  <w:num w:numId="25" w16cid:durableId="1918515384">
    <w:abstractNumId w:val="18"/>
  </w:num>
  <w:num w:numId="26" w16cid:durableId="528297876">
    <w:abstractNumId w:val="14"/>
  </w:num>
  <w:num w:numId="27" w16cid:durableId="262954326">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51E4"/>
    <w:rsid w:val="00000792"/>
    <w:rsid w:val="000018C2"/>
    <w:rsid w:val="000029BC"/>
    <w:rsid w:val="000032D5"/>
    <w:rsid w:val="00006A85"/>
    <w:rsid w:val="00011457"/>
    <w:rsid w:val="00011BAF"/>
    <w:rsid w:val="00017817"/>
    <w:rsid w:val="000254D4"/>
    <w:rsid w:val="000261A5"/>
    <w:rsid w:val="00026659"/>
    <w:rsid w:val="00026C30"/>
    <w:rsid w:val="00026FF5"/>
    <w:rsid w:val="0002727F"/>
    <w:rsid w:val="000305B6"/>
    <w:rsid w:val="0003338E"/>
    <w:rsid w:val="00034384"/>
    <w:rsid w:val="000362DE"/>
    <w:rsid w:val="00036381"/>
    <w:rsid w:val="00043138"/>
    <w:rsid w:val="0004362B"/>
    <w:rsid w:val="00050AC0"/>
    <w:rsid w:val="000513BC"/>
    <w:rsid w:val="0005349F"/>
    <w:rsid w:val="00054068"/>
    <w:rsid w:val="00054BD1"/>
    <w:rsid w:val="00055252"/>
    <w:rsid w:val="00055AD7"/>
    <w:rsid w:val="00061F40"/>
    <w:rsid w:val="000636F3"/>
    <w:rsid w:val="0006374F"/>
    <w:rsid w:val="00063E6F"/>
    <w:rsid w:val="00064813"/>
    <w:rsid w:val="00065DE6"/>
    <w:rsid w:val="000664DC"/>
    <w:rsid w:val="000701A6"/>
    <w:rsid w:val="00070C11"/>
    <w:rsid w:val="0007254A"/>
    <w:rsid w:val="0007361C"/>
    <w:rsid w:val="00074D20"/>
    <w:rsid w:val="00075E54"/>
    <w:rsid w:val="00082B3B"/>
    <w:rsid w:val="00084AA9"/>
    <w:rsid w:val="000851E6"/>
    <w:rsid w:val="0008773C"/>
    <w:rsid w:val="00087EC6"/>
    <w:rsid w:val="00096383"/>
    <w:rsid w:val="000969EE"/>
    <w:rsid w:val="000A0E9F"/>
    <w:rsid w:val="000A328C"/>
    <w:rsid w:val="000B0F2D"/>
    <w:rsid w:val="000B1C2E"/>
    <w:rsid w:val="000B7A76"/>
    <w:rsid w:val="000C18BF"/>
    <w:rsid w:val="000C289B"/>
    <w:rsid w:val="000C56BA"/>
    <w:rsid w:val="000C6F01"/>
    <w:rsid w:val="000C72FC"/>
    <w:rsid w:val="000D04F6"/>
    <w:rsid w:val="000D0D2C"/>
    <w:rsid w:val="000D2B94"/>
    <w:rsid w:val="000D3156"/>
    <w:rsid w:val="000D71D3"/>
    <w:rsid w:val="000E1A6B"/>
    <w:rsid w:val="000E4ED2"/>
    <w:rsid w:val="000E5AC0"/>
    <w:rsid w:val="000E72BA"/>
    <w:rsid w:val="000E78EE"/>
    <w:rsid w:val="000E7B82"/>
    <w:rsid w:val="000F3DFD"/>
    <w:rsid w:val="000F5317"/>
    <w:rsid w:val="000F563E"/>
    <w:rsid w:val="000F660F"/>
    <w:rsid w:val="00100D73"/>
    <w:rsid w:val="00100EFF"/>
    <w:rsid w:val="00102867"/>
    <w:rsid w:val="00113935"/>
    <w:rsid w:val="00115828"/>
    <w:rsid w:val="00116C02"/>
    <w:rsid w:val="00117144"/>
    <w:rsid w:val="00124051"/>
    <w:rsid w:val="00125A96"/>
    <w:rsid w:val="0013571E"/>
    <w:rsid w:val="00140FBE"/>
    <w:rsid w:val="00144514"/>
    <w:rsid w:val="00145734"/>
    <w:rsid w:val="00146118"/>
    <w:rsid w:val="001505E1"/>
    <w:rsid w:val="00151C85"/>
    <w:rsid w:val="001525A5"/>
    <w:rsid w:val="00154E7F"/>
    <w:rsid w:val="00161625"/>
    <w:rsid w:val="00163E6B"/>
    <w:rsid w:val="00164A7E"/>
    <w:rsid w:val="001663F4"/>
    <w:rsid w:val="00166D36"/>
    <w:rsid w:val="00166F6B"/>
    <w:rsid w:val="001673F0"/>
    <w:rsid w:val="0016772E"/>
    <w:rsid w:val="00167C1B"/>
    <w:rsid w:val="00170468"/>
    <w:rsid w:val="001727C3"/>
    <w:rsid w:val="00173362"/>
    <w:rsid w:val="00177EDD"/>
    <w:rsid w:val="00181A0A"/>
    <w:rsid w:val="001824DA"/>
    <w:rsid w:val="00185369"/>
    <w:rsid w:val="001857B4"/>
    <w:rsid w:val="001859DF"/>
    <w:rsid w:val="00187ED2"/>
    <w:rsid w:val="001914AF"/>
    <w:rsid w:val="001934AD"/>
    <w:rsid w:val="00193EF6"/>
    <w:rsid w:val="00195176"/>
    <w:rsid w:val="001952FF"/>
    <w:rsid w:val="00195379"/>
    <w:rsid w:val="0019586F"/>
    <w:rsid w:val="001A0EB1"/>
    <w:rsid w:val="001A19D5"/>
    <w:rsid w:val="001A3DAC"/>
    <w:rsid w:val="001A4B78"/>
    <w:rsid w:val="001A509D"/>
    <w:rsid w:val="001A57CC"/>
    <w:rsid w:val="001B3B82"/>
    <w:rsid w:val="001B499D"/>
    <w:rsid w:val="001B699B"/>
    <w:rsid w:val="001C4505"/>
    <w:rsid w:val="001C589A"/>
    <w:rsid w:val="001D0DEB"/>
    <w:rsid w:val="001D1562"/>
    <w:rsid w:val="001D3E34"/>
    <w:rsid w:val="001D557A"/>
    <w:rsid w:val="001D7569"/>
    <w:rsid w:val="001E12ED"/>
    <w:rsid w:val="001E2F16"/>
    <w:rsid w:val="001E42EE"/>
    <w:rsid w:val="001E4BD2"/>
    <w:rsid w:val="001E6557"/>
    <w:rsid w:val="001E75EC"/>
    <w:rsid w:val="001F37DF"/>
    <w:rsid w:val="001F41AB"/>
    <w:rsid w:val="001F5261"/>
    <w:rsid w:val="001F6B70"/>
    <w:rsid w:val="00200285"/>
    <w:rsid w:val="00200EF3"/>
    <w:rsid w:val="0020188F"/>
    <w:rsid w:val="00203A2B"/>
    <w:rsid w:val="00203A68"/>
    <w:rsid w:val="00204581"/>
    <w:rsid w:val="002046FC"/>
    <w:rsid w:val="00223E7E"/>
    <w:rsid w:val="00226F7D"/>
    <w:rsid w:val="002310DA"/>
    <w:rsid w:val="00232334"/>
    <w:rsid w:val="002326E9"/>
    <w:rsid w:val="00233812"/>
    <w:rsid w:val="002344F5"/>
    <w:rsid w:val="00240B32"/>
    <w:rsid w:val="00243250"/>
    <w:rsid w:val="002435C0"/>
    <w:rsid w:val="00243841"/>
    <w:rsid w:val="002459FF"/>
    <w:rsid w:val="00245CE2"/>
    <w:rsid w:val="0025159C"/>
    <w:rsid w:val="00264390"/>
    <w:rsid w:val="00264CEA"/>
    <w:rsid w:val="002659B0"/>
    <w:rsid w:val="00267A5D"/>
    <w:rsid w:val="00270FBC"/>
    <w:rsid w:val="0027110A"/>
    <w:rsid w:val="00272E8A"/>
    <w:rsid w:val="00272F0A"/>
    <w:rsid w:val="002734F4"/>
    <w:rsid w:val="00275815"/>
    <w:rsid w:val="00277C95"/>
    <w:rsid w:val="00282D06"/>
    <w:rsid w:val="00285ED5"/>
    <w:rsid w:val="00290014"/>
    <w:rsid w:val="00290FE3"/>
    <w:rsid w:val="002925D9"/>
    <w:rsid w:val="00294E99"/>
    <w:rsid w:val="0029555A"/>
    <w:rsid w:val="00297CCB"/>
    <w:rsid w:val="002A119E"/>
    <w:rsid w:val="002A1267"/>
    <w:rsid w:val="002A149C"/>
    <w:rsid w:val="002A15D2"/>
    <w:rsid w:val="002A57B5"/>
    <w:rsid w:val="002A5DAF"/>
    <w:rsid w:val="002A64EA"/>
    <w:rsid w:val="002A7B6B"/>
    <w:rsid w:val="002B4E71"/>
    <w:rsid w:val="002B5966"/>
    <w:rsid w:val="002B788E"/>
    <w:rsid w:val="002C1880"/>
    <w:rsid w:val="002C3255"/>
    <w:rsid w:val="002C3F22"/>
    <w:rsid w:val="002C4D12"/>
    <w:rsid w:val="002D1B8D"/>
    <w:rsid w:val="002D5EBE"/>
    <w:rsid w:val="002E5660"/>
    <w:rsid w:val="002E7101"/>
    <w:rsid w:val="002E7349"/>
    <w:rsid w:val="002F203E"/>
    <w:rsid w:val="002F2D67"/>
    <w:rsid w:val="002F50E0"/>
    <w:rsid w:val="002F6416"/>
    <w:rsid w:val="00300DFF"/>
    <w:rsid w:val="00301AE1"/>
    <w:rsid w:val="003120CF"/>
    <w:rsid w:val="003148AA"/>
    <w:rsid w:val="00316F4D"/>
    <w:rsid w:val="00317E7B"/>
    <w:rsid w:val="00321A16"/>
    <w:rsid w:val="00322E0D"/>
    <w:rsid w:val="00324D0A"/>
    <w:rsid w:val="00331D55"/>
    <w:rsid w:val="00340122"/>
    <w:rsid w:val="0034051C"/>
    <w:rsid w:val="003413D8"/>
    <w:rsid w:val="00341979"/>
    <w:rsid w:val="00343605"/>
    <w:rsid w:val="00344546"/>
    <w:rsid w:val="00346186"/>
    <w:rsid w:val="00350581"/>
    <w:rsid w:val="0035075D"/>
    <w:rsid w:val="00356A1E"/>
    <w:rsid w:val="00356EEE"/>
    <w:rsid w:val="0035729F"/>
    <w:rsid w:val="00360D92"/>
    <w:rsid w:val="00361C25"/>
    <w:rsid w:val="003633F9"/>
    <w:rsid w:val="00363509"/>
    <w:rsid w:val="003668D9"/>
    <w:rsid w:val="00374BCD"/>
    <w:rsid w:val="00380903"/>
    <w:rsid w:val="003819FC"/>
    <w:rsid w:val="003830EE"/>
    <w:rsid w:val="00385602"/>
    <w:rsid w:val="00387D29"/>
    <w:rsid w:val="00391FFC"/>
    <w:rsid w:val="003941EB"/>
    <w:rsid w:val="003943ED"/>
    <w:rsid w:val="003A3523"/>
    <w:rsid w:val="003A3D11"/>
    <w:rsid w:val="003A51F2"/>
    <w:rsid w:val="003A7B79"/>
    <w:rsid w:val="003A7FEB"/>
    <w:rsid w:val="003B0F8B"/>
    <w:rsid w:val="003B1A0A"/>
    <w:rsid w:val="003B33CC"/>
    <w:rsid w:val="003C20ED"/>
    <w:rsid w:val="003C6E80"/>
    <w:rsid w:val="003C7A3A"/>
    <w:rsid w:val="003D0B11"/>
    <w:rsid w:val="003D375E"/>
    <w:rsid w:val="003D408D"/>
    <w:rsid w:val="003D5300"/>
    <w:rsid w:val="003D5C06"/>
    <w:rsid w:val="003D6D71"/>
    <w:rsid w:val="003E07E3"/>
    <w:rsid w:val="003E4001"/>
    <w:rsid w:val="003E492E"/>
    <w:rsid w:val="003E6C3F"/>
    <w:rsid w:val="003E73CA"/>
    <w:rsid w:val="003E757E"/>
    <w:rsid w:val="003E75DF"/>
    <w:rsid w:val="003F256E"/>
    <w:rsid w:val="003F2FE8"/>
    <w:rsid w:val="003F5F21"/>
    <w:rsid w:val="003F5F82"/>
    <w:rsid w:val="003F6F32"/>
    <w:rsid w:val="004010FF"/>
    <w:rsid w:val="00403040"/>
    <w:rsid w:val="004031E7"/>
    <w:rsid w:val="004074A5"/>
    <w:rsid w:val="00410C04"/>
    <w:rsid w:val="00411696"/>
    <w:rsid w:val="0041178E"/>
    <w:rsid w:val="00412A5C"/>
    <w:rsid w:val="00413E97"/>
    <w:rsid w:val="0041456C"/>
    <w:rsid w:val="004158CC"/>
    <w:rsid w:val="00416BA9"/>
    <w:rsid w:val="0042526B"/>
    <w:rsid w:val="00425B98"/>
    <w:rsid w:val="00426304"/>
    <w:rsid w:val="0042675A"/>
    <w:rsid w:val="00432192"/>
    <w:rsid w:val="00432E29"/>
    <w:rsid w:val="004332D4"/>
    <w:rsid w:val="00436AB2"/>
    <w:rsid w:val="00436EB9"/>
    <w:rsid w:val="00437F8E"/>
    <w:rsid w:val="00440FB1"/>
    <w:rsid w:val="0044105A"/>
    <w:rsid w:val="004428DD"/>
    <w:rsid w:val="00443B13"/>
    <w:rsid w:val="00444517"/>
    <w:rsid w:val="00445514"/>
    <w:rsid w:val="004521A1"/>
    <w:rsid w:val="00455B02"/>
    <w:rsid w:val="004561F7"/>
    <w:rsid w:val="00460B74"/>
    <w:rsid w:val="00460FF9"/>
    <w:rsid w:val="004641F0"/>
    <w:rsid w:val="00465B2E"/>
    <w:rsid w:val="0046627B"/>
    <w:rsid w:val="004705F1"/>
    <w:rsid w:val="004710DC"/>
    <w:rsid w:val="00471F3E"/>
    <w:rsid w:val="004722ED"/>
    <w:rsid w:val="0047234D"/>
    <w:rsid w:val="00472CDF"/>
    <w:rsid w:val="0047487B"/>
    <w:rsid w:val="00476016"/>
    <w:rsid w:val="00476A8C"/>
    <w:rsid w:val="00484424"/>
    <w:rsid w:val="004852C4"/>
    <w:rsid w:val="00491E48"/>
    <w:rsid w:val="00495368"/>
    <w:rsid w:val="00495938"/>
    <w:rsid w:val="00495B6C"/>
    <w:rsid w:val="004A04FD"/>
    <w:rsid w:val="004A59B9"/>
    <w:rsid w:val="004B0B43"/>
    <w:rsid w:val="004B1B81"/>
    <w:rsid w:val="004B2A2C"/>
    <w:rsid w:val="004B6697"/>
    <w:rsid w:val="004B6914"/>
    <w:rsid w:val="004B7C43"/>
    <w:rsid w:val="004C2813"/>
    <w:rsid w:val="004C28C2"/>
    <w:rsid w:val="004C453B"/>
    <w:rsid w:val="004C4660"/>
    <w:rsid w:val="004C59A6"/>
    <w:rsid w:val="004D2BE3"/>
    <w:rsid w:val="004D675E"/>
    <w:rsid w:val="004D6EDA"/>
    <w:rsid w:val="004D7889"/>
    <w:rsid w:val="004E25C5"/>
    <w:rsid w:val="004E40AB"/>
    <w:rsid w:val="004E4446"/>
    <w:rsid w:val="004E6DEB"/>
    <w:rsid w:val="004F0766"/>
    <w:rsid w:val="004F1105"/>
    <w:rsid w:val="004F3CF4"/>
    <w:rsid w:val="004F44C5"/>
    <w:rsid w:val="004F5AE8"/>
    <w:rsid w:val="004F5E39"/>
    <w:rsid w:val="004F6BCF"/>
    <w:rsid w:val="004F70AE"/>
    <w:rsid w:val="004F78CB"/>
    <w:rsid w:val="00502FEE"/>
    <w:rsid w:val="00503515"/>
    <w:rsid w:val="00507D47"/>
    <w:rsid w:val="00512AE9"/>
    <w:rsid w:val="005135E8"/>
    <w:rsid w:val="00513AFE"/>
    <w:rsid w:val="00513FC1"/>
    <w:rsid w:val="005149E5"/>
    <w:rsid w:val="00514AF9"/>
    <w:rsid w:val="0051694A"/>
    <w:rsid w:val="0053067A"/>
    <w:rsid w:val="0053175C"/>
    <w:rsid w:val="00532891"/>
    <w:rsid w:val="00534D59"/>
    <w:rsid w:val="00536B06"/>
    <w:rsid w:val="005404A1"/>
    <w:rsid w:val="005420D1"/>
    <w:rsid w:val="00545160"/>
    <w:rsid w:val="005467D0"/>
    <w:rsid w:val="00547658"/>
    <w:rsid w:val="00552433"/>
    <w:rsid w:val="00552ADE"/>
    <w:rsid w:val="005606A5"/>
    <w:rsid w:val="005631BC"/>
    <w:rsid w:val="005701C0"/>
    <w:rsid w:val="00570396"/>
    <w:rsid w:val="00574A7F"/>
    <w:rsid w:val="00575BF6"/>
    <w:rsid w:val="00577805"/>
    <w:rsid w:val="00580EA9"/>
    <w:rsid w:val="005814E5"/>
    <w:rsid w:val="00587B77"/>
    <w:rsid w:val="00587C2C"/>
    <w:rsid w:val="00587D4E"/>
    <w:rsid w:val="00593A7B"/>
    <w:rsid w:val="0059511D"/>
    <w:rsid w:val="00596DBC"/>
    <w:rsid w:val="005976FB"/>
    <w:rsid w:val="005B46E8"/>
    <w:rsid w:val="005B79CF"/>
    <w:rsid w:val="005C04F5"/>
    <w:rsid w:val="005C0A2E"/>
    <w:rsid w:val="005C5081"/>
    <w:rsid w:val="005C60F8"/>
    <w:rsid w:val="005C7ECF"/>
    <w:rsid w:val="005D26A6"/>
    <w:rsid w:val="005D3056"/>
    <w:rsid w:val="005D5B52"/>
    <w:rsid w:val="005D6601"/>
    <w:rsid w:val="005D6857"/>
    <w:rsid w:val="005E1EF5"/>
    <w:rsid w:val="005E32DD"/>
    <w:rsid w:val="005F5485"/>
    <w:rsid w:val="005F6723"/>
    <w:rsid w:val="005F68D8"/>
    <w:rsid w:val="005F6C40"/>
    <w:rsid w:val="00600E9D"/>
    <w:rsid w:val="0060100E"/>
    <w:rsid w:val="00601DA9"/>
    <w:rsid w:val="00604560"/>
    <w:rsid w:val="00611863"/>
    <w:rsid w:val="006131A4"/>
    <w:rsid w:val="006135D8"/>
    <w:rsid w:val="00613824"/>
    <w:rsid w:val="006172FF"/>
    <w:rsid w:val="00617F9D"/>
    <w:rsid w:val="00617FCB"/>
    <w:rsid w:val="00620542"/>
    <w:rsid w:val="00621C01"/>
    <w:rsid w:val="0062503D"/>
    <w:rsid w:val="00630680"/>
    <w:rsid w:val="006344AD"/>
    <w:rsid w:val="00634F70"/>
    <w:rsid w:val="0063539B"/>
    <w:rsid w:val="0063611C"/>
    <w:rsid w:val="0063761B"/>
    <w:rsid w:val="00637B3C"/>
    <w:rsid w:val="00640C43"/>
    <w:rsid w:val="0064178A"/>
    <w:rsid w:val="00641958"/>
    <w:rsid w:val="00641DBC"/>
    <w:rsid w:val="00647F5C"/>
    <w:rsid w:val="00656F71"/>
    <w:rsid w:val="00657962"/>
    <w:rsid w:val="006639E0"/>
    <w:rsid w:val="00663A5F"/>
    <w:rsid w:val="00667A37"/>
    <w:rsid w:val="0067427F"/>
    <w:rsid w:val="00676279"/>
    <w:rsid w:val="00677AF2"/>
    <w:rsid w:val="00680831"/>
    <w:rsid w:val="00680BBE"/>
    <w:rsid w:val="006839C9"/>
    <w:rsid w:val="0068445A"/>
    <w:rsid w:val="006848B0"/>
    <w:rsid w:val="00692E73"/>
    <w:rsid w:val="006949A6"/>
    <w:rsid w:val="00696F2B"/>
    <w:rsid w:val="00697B9D"/>
    <w:rsid w:val="006A180A"/>
    <w:rsid w:val="006A1C19"/>
    <w:rsid w:val="006A61EC"/>
    <w:rsid w:val="006B0C14"/>
    <w:rsid w:val="006B1455"/>
    <w:rsid w:val="006B14EC"/>
    <w:rsid w:val="006B24A1"/>
    <w:rsid w:val="006B365E"/>
    <w:rsid w:val="006B393A"/>
    <w:rsid w:val="006B5F21"/>
    <w:rsid w:val="006D0174"/>
    <w:rsid w:val="006D0DA4"/>
    <w:rsid w:val="006D0F7C"/>
    <w:rsid w:val="006D5DB3"/>
    <w:rsid w:val="006D6281"/>
    <w:rsid w:val="006D727A"/>
    <w:rsid w:val="006D75F8"/>
    <w:rsid w:val="006E2F37"/>
    <w:rsid w:val="006E3CAA"/>
    <w:rsid w:val="006F2E77"/>
    <w:rsid w:val="006F5210"/>
    <w:rsid w:val="006F6FF7"/>
    <w:rsid w:val="0070327C"/>
    <w:rsid w:val="00703AB6"/>
    <w:rsid w:val="00706CA4"/>
    <w:rsid w:val="00707341"/>
    <w:rsid w:val="00711388"/>
    <w:rsid w:val="00712518"/>
    <w:rsid w:val="00712C5D"/>
    <w:rsid w:val="00713288"/>
    <w:rsid w:val="007144A2"/>
    <w:rsid w:val="00714D10"/>
    <w:rsid w:val="007177F9"/>
    <w:rsid w:val="007212DD"/>
    <w:rsid w:val="00721DDD"/>
    <w:rsid w:val="00722004"/>
    <w:rsid w:val="007224CD"/>
    <w:rsid w:val="00722D79"/>
    <w:rsid w:val="007232FA"/>
    <w:rsid w:val="00725E1C"/>
    <w:rsid w:val="00730D7A"/>
    <w:rsid w:val="00732CFA"/>
    <w:rsid w:val="0073437D"/>
    <w:rsid w:val="00734903"/>
    <w:rsid w:val="00736EB9"/>
    <w:rsid w:val="0074114C"/>
    <w:rsid w:val="00741461"/>
    <w:rsid w:val="007414C6"/>
    <w:rsid w:val="00741E7E"/>
    <w:rsid w:val="00744731"/>
    <w:rsid w:val="00744B48"/>
    <w:rsid w:val="00745605"/>
    <w:rsid w:val="0074775F"/>
    <w:rsid w:val="007478B1"/>
    <w:rsid w:val="00754295"/>
    <w:rsid w:val="007579B8"/>
    <w:rsid w:val="00760B2F"/>
    <w:rsid w:val="007643CC"/>
    <w:rsid w:val="00764499"/>
    <w:rsid w:val="00767752"/>
    <w:rsid w:val="00767973"/>
    <w:rsid w:val="0077104F"/>
    <w:rsid w:val="00772E62"/>
    <w:rsid w:val="00776846"/>
    <w:rsid w:val="00781A4F"/>
    <w:rsid w:val="00782454"/>
    <w:rsid w:val="0078592D"/>
    <w:rsid w:val="00786E50"/>
    <w:rsid w:val="007878CA"/>
    <w:rsid w:val="00793933"/>
    <w:rsid w:val="007965D6"/>
    <w:rsid w:val="00796E1E"/>
    <w:rsid w:val="007A225A"/>
    <w:rsid w:val="007A2474"/>
    <w:rsid w:val="007A6DE6"/>
    <w:rsid w:val="007A7A0C"/>
    <w:rsid w:val="007B4386"/>
    <w:rsid w:val="007B6973"/>
    <w:rsid w:val="007C4A1F"/>
    <w:rsid w:val="007C7A45"/>
    <w:rsid w:val="007D15A6"/>
    <w:rsid w:val="007D1ABC"/>
    <w:rsid w:val="007D1BC5"/>
    <w:rsid w:val="007D1C3D"/>
    <w:rsid w:val="007D1E81"/>
    <w:rsid w:val="007D3C35"/>
    <w:rsid w:val="007D3F83"/>
    <w:rsid w:val="007D6738"/>
    <w:rsid w:val="007D715A"/>
    <w:rsid w:val="007E056A"/>
    <w:rsid w:val="007E152A"/>
    <w:rsid w:val="007E2A01"/>
    <w:rsid w:val="007E3C7E"/>
    <w:rsid w:val="007F08DA"/>
    <w:rsid w:val="007F3309"/>
    <w:rsid w:val="007F3AFF"/>
    <w:rsid w:val="007F57E3"/>
    <w:rsid w:val="007F6288"/>
    <w:rsid w:val="00804784"/>
    <w:rsid w:val="00806867"/>
    <w:rsid w:val="00806BA8"/>
    <w:rsid w:val="00806DCE"/>
    <w:rsid w:val="008111B9"/>
    <w:rsid w:val="00811E03"/>
    <w:rsid w:val="008134C3"/>
    <w:rsid w:val="008147A3"/>
    <w:rsid w:val="00821419"/>
    <w:rsid w:val="00825089"/>
    <w:rsid w:val="00826C9E"/>
    <w:rsid w:val="00826D94"/>
    <w:rsid w:val="00831718"/>
    <w:rsid w:val="00835B8E"/>
    <w:rsid w:val="00837F49"/>
    <w:rsid w:val="00840273"/>
    <w:rsid w:val="0084116F"/>
    <w:rsid w:val="008436B0"/>
    <w:rsid w:val="00843988"/>
    <w:rsid w:val="00846785"/>
    <w:rsid w:val="00847411"/>
    <w:rsid w:val="00847A25"/>
    <w:rsid w:val="0085028D"/>
    <w:rsid w:val="00850E28"/>
    <w:rsid w:val="0085294E"/>
    <w:rsid w:val="00853F68"/>
    <w:rsid w:val="008542FA"/>
    <w:rsid w:val="00855CA2"/>
    <w:rsid w:val="008623FC"/>
    <w:rsid w:val="00862C22"/>
    <w:rsid w:val="00873CA2"/>
    <w:rsid w:val="00880816"/>
    <w:rsid w:val="00882F8B"/>
    <w:rsid w:val="00884B5D"/>
    <w:rsid w:val="00886F24"/>
    <w:rsid w:val="008919B7"/>
    <w:rsid w:val="00895DF4"/>
    <w:rsid w:val="008971E5"/>
    <w:rsid w:val="008A277E"/>
    <w:rsid w:val="008A2852"/>
    <w:rsid w:val="008A3619"/>
    <w:rsid w:val="008A3BE6"/>
    <w:rsid w:val="008A5241"/>
    <w:rsid w:val="008B09B6"/>
    <w:rsid w:val="008B2991"/>
    <w:rsid w:val="008B4A13"/>
    <w:rsid w:val="008B4EE0"/>
    <w:rsid w:val="008B4FA3"/>
    <w:rsid w:val="008B74F1"/>
    <w:rsid w:val="008C1EE8"/>
    <w:rsid w:val="008C6663"/>
    <w:rsid w:val="008D0EF2"/>
    <w:rsid w:val="008D28F0"/>
    <w:rsid w:val="008D2AD5"/>
    <w:rsid w:val="008D3E61"/>
    <w:rsid w:val="008D48F9"/>
    <w:rsid w:val="008E5A3D"/>
    <w:rsid w:val="008E6856"/>
    <w:rsid w:val="008E7E35"/>
    <w:rsid w:val="008F03EF"/>
    <w:rsid w:val="008F215E"/>
    <w:rsid w:val="008F2ED9"/>
    <w:rsid w:val="008F3A10"/>
    <w:rsid w:val="008F6F9F"/>
    <w:rsid w:val="009019AF"/>
    <w:rsid w:val="00905A28"/>
    <w:rsid w:val="00912DE1"/>
    <w:rsid w:val="00915D3C"/>
    <w:rsid w:val="00917C17"/>
    <w:rsid w:val="0092094A"/>
    <w:rsid w:val="00920981"/>
    <w:rsid w:val="00920A7E"/>
    <w:rsid w:val="0092289C"/>
    <w:rsid w:val="0092323E"/>
    <w:rsid w:val="00924EAF"/>
    <w:rsid w:val="0092576C"/>
    <w:rsid w:val="009275AD"/>
    <w:rsid w:val="00930973"/>
    <w:rsid w:val="0093156F"/>
    <w:rsid w:val="009420F5"/>
    <w:rsid w:val="00942CBE"/>
    <w:rsid w:val="0094557A"/>
    <w:rsid w:val="00945ED5"/>
    <w:rsid w:val="00951027"/>
    <w:rsid w:val="00951BFD"/>
    <w:rsid w:val="00953708"/>
    <w:rsid w:val="00954583"/>
    <w:rsid w:val="00955A58"/>
    <w:rsid w:val="00955C91"/>
    <w:rsid w:val="00955DD9"/>
    <w:rsid w:val="009569AD"/>
    <w:rsid w:val="0096032F"/>
    <w:rsid w:val="009608FF"/>
    <w:rsid w:val="009616BC"/>
    <w:rsid w:val="009618FC"/>
    <w:rsid w:val="00973062"/>
    <w:rsid w:val="00974745"/>
    <w:rsid w:val="00976E1D"/>
    <w:rsid w:val="00980F23"/>
    <w:rsid w:val="00990F2A"/>
    <w:rsid w:val="00991463"/>
    <w:rsid w:val="00993CE6"/>
    <w:rsid w:val="00994FBA"/>
    <w:rsid w:val="009A000C"/>
    <w:rsid w:val="009A1AF5"/>
    <w:rsid w:val="009A3232"/>
    <w:rsid w:val="009A3BE2"/>
    <w:rsid w:val="009A68D0"/>
    <w:rsid w:val="009B01A1"/>
    <w:rsid w:val="009B0242"/>
    <w:rsid w:val="009B3BDD"/>
    <w:rsid w:val="009B57F6"/>
    <w:rsid w:val="009C50A6"/>
    <w:rsid w:val="009C54A8"/>
    <w:rsid w:val="009C6C02"/>
    <w:rsid w:val="009C7F84"/>
    <w:rsid w:val="009D0F2A"/>
    <w:rsid w:val="009D2E7B"/>
    <w:rsid w:val="009D427D"/>
    <w:rsid w:val="009E13D3"/>
    <w:rsid w:val="009E18C5"/>
    <w:rsid w:val="009E1BB1"/>
    <w:rsid w:val="009E30F4"/>
    <w:rsid w:val="009E4583"/>
    <w:rsid w:val="009E678E"/>
    <w:rsid w:val="009E7734"/>
    <w:rsid w:val="009F2EB0"/>
    <w:rsid w:val="009F738A"/>
    <w:rsid w:val="00A02E9D"/>
    <w:rsid w:val="00A05F83"/>
    <w:rsid w:val="00A061EE"/>
    <w:rsid w:val="00A0758D"/>
    <w:rsid w:val="00A1345F"/>
    <w:rsid w:val="00A14227"/>
    <w:rsid w:val="00A201A4"/>
    <w:rsid w:val="00A20655"/>
    <w:rsid w:val="00A215C3"/>
    <w:rsid w:val="00A23AA2"/>
    <w:rsid w:val="00A2409E"/>
    <w:rsid w:val="00A24AA2"/>
    <w:rsid w:val="00A24CD5"/>
    <w:rsid w:val="00A3107E"/>
    <w:rsid w:val="00A31957"/>
    <w:rsid w:val="00A31FE0"/>
    <w:rsid w:val="00A33619"/>
    <w:rsid w:val="00A3439D"/>
    <w:rsid w:val="00A40F1B"/>
    <w:rsid w:val="00A431AE"/>
    <w:rsid w:val="00A43B47"/>
    <w:rsid w:val="00A43C83"/>
    <w:rsid w:val="00A457B3"/>
    <w:rsid w:val="00A50486"/>
    <w:rsid w:val="00A52428"/>
    <w:rsid w:val="00A54537"/>
    <w:rsid w:val="00A5714B"/>
    <w:rsid w:val="00A57166"/>
    <w:rsid w:val="00A61F76"/>
    <w:rsid w:val="00A62A65"/>
    <w:rsid w:val="00A62AAD"/>
    <w:rsid w:val="00A6620E"/>
    <w:rsid w:val="00A70B1B"/>
    <w:rsid w:val="00A720A8"/>
    <w:rsid w:val="00A74971"/>
    <w:rsid w:val="00A759D0"/>
    <w:rsid w:val="00A76820"/>
    <w:rsid w:val="00A76D3B"/>
    <w:rsid w:val="00A77866"/>
    <w:rsid w:val="00A8006A"/>
    <w:rsid w:val="00A832F6"/>
    <w:rsid w:val="00A84F36"/>
    <w:rsid w:val="00A8558A"/>
    <w:rsid w:val="00A855CB"/>
    <w:rsid w:val="00A86BA4"/>
    <w:rsid w:val="00A875D5"/>
    <w:rsid w:val="00A91853"/>
    <w:rsid w:val="00A922D4"/>
    <w:rsid w:val="00AA35D9"/>
    <w:rsid w:val="00AA45F4"/>
    <w:rsid w:val="00AA5ED5"/>
    <w:rsid w:val="00AA6673"/>
    <w:rsid w:val="00AB2AF0"/>
    <w:rsid w:val="00AB7C24"/>
    <w:rsid w:val="00AC60F8"/>
    <w:rsid w:val="00AC6111"/>
    <w:rsid w:val="00AC76FE"/>
    <w:rsid w:val="00AD51E4"/>
    <w:rsid w:val="00AD6335"/>
    <w:rsid w:val="00AD78C9"/>
    <w:rsid w:val="00AE0CF9"/>
    <w:rsid w:val="00AE427B"/>
    <w:rsid w:val="00AE51C0"/>
    <w:rsid w:val="00AE5505"/>
    <w:rsid w:val="00AF045B"/>
    <w:rsid w:val="00AF36E1"/>
    <w:rsid w:val="00AF3BEB"/>
    <w:rsid w:val="00AF4D86"/>
    <w:rsid w:val="00AF627A"/>
    <w:rsid w:val="00AF7D1C"/>
    <w:rsid w:val="00B000C9"/>
    <w:rsid w:val="00B03BA1"/>
    <w:rsid w:val="00B05E7B"/>
    <w:rsid w:val="00B107B0"/>
    <w:rsid w:val="00B10E98"/>
    <w:rsid w:val="00B1498E"/>
    <w:rsid w:val="00B1541C"/>
    <w:rsid w:val="00B202BA"/>
    <w:rsid w:val="00B24878"/>
    <w:rsid w:val="00B25FAF"/>
    <w:rsid w:val="00B27A54"/>
    <w:rsid w:val="00B352E5"/>
    <w:rsid w:val="00B35BDE"/>
    <w:rsid w:val="00B35C64"/>
    <w:rsid w:val="00B36FCA"/>
    <w:rsid w:val="00B46076"/>
    <w:rsid w:val="00B5278A"/>
    <w:rsid w:val="00B54261"/>
    <w:rsid w:val="00B61713"/>
    <w:rsid w:val="00B61A0E"/>
    <w:rsid w:val="00B66D47"/>
    <w:rsid w:val="00B712DB"/>
    <w:rsid w:val="00B7193E"/>
    <w:rsid w:val="00B75072"/>
    <w:rsid w:val="00B77890"/>
    <w:rsid w:val="00B81D8F"/>
    <w:rsid w:val="00B864AD"/>
    <w:rsid w:val="00B925C9"/>
    <w:rsid w:val="00B9408D"/>
    <w:rsid w:val="00BA3B0C"/>
    <w:rsid w:val="00BA5DAB"/>
    <w:rsid w:val="00BB1496"/>
    <w:rsid w:val="00BB37FB"/>
    <w:rsid w:val="00BB3BB5"/>
    <w:rsid w:val="00BB659C"/>
    <w:rsid w:val="00BB7604"/>
    <w:rsid w:val="00BC1E7D"/>
    <w:rsid w:val="00BC2438"/>
    <w:rsid w:val="00BC6A1D"/>
    <w:rsid w:val="00BC73F3"/>
    <w:rsid w:val="00BD0258"/>
    <w:rsid w:val="00BD2D6F"/>
    <w:rsid w:val="00BD4CDF"/>
    <w:rsid w:val="00BD4EB0"/>
    <w:rsid w:val="00BD7252"/>
    <w:rsid w:val="00BE08A8"/>
    <w:rsid w:val="00BE08F8"/>
    <w:rsid w:val="00BE58F7"/>
    <w:rsid w:val="00BF3593"/>
    <w:rsid w:val="00BF383F"/>
    <w:rsid w:val="00BF7BB1"/>
    <w:rsid w:val="00C057D5"/>
    <w:rsid w:val="00C064D7"/>
    <w:rsid w:val="00C13453"/>
    <w:rsid w:val="00C153ED"/>
    <w:rsid w:val="00C17088"/>
    <w:rsid w:val="00C17126"/>
    <w:rsid w:val="00C17591"/>
    <w:rsid w:val="00C2249D"/>
    <w:rsid w:val="00C23772"/>
    <w:rsid w:val="00C27FB7"/>
    <w:rsid w:val="00C3135A"/>
    <w:rsid w:val="00C33887"/>
    <w:rsid w:val="00C341DE"/>
    <w:rsid w:val="00C3422E"/>
    <w:rsid w:val="00C35057"/>
    <w:rsid w:val="00C37296"/>
    <w:rsid w:val="00C3784D"/>
    <w:rsid w:val="00C43504"/>
    <w:rsid w:val="00C44840"/>
    <w:rsid w:val="00C45A4F"/>
    <w:rsid w:val="00C52BC5"/>
    <w:rsid w:val="00C532A5"/>
    <w:rsid w:val="00C53A49"/>
    <w:rsid w:val="00C54482"/>
    <w:rsid w:val="00C5517F"/>
    <w:rsid w:val="00C553F0"/>
    <w:rsid w:val="00C576FB"/>
    <w:rsid w:val="00C66A47"/>
    <w:rsid w:val="00C71920"/>
    <w:rsid w:val="00C71CBE"/>
    <w:rsid w:val="00C74075"/>
    <w:rsid w:val="00C75934"/>
    <w:rsid w:val="00C819F0"/>
    <w:rsid w:val="00C81B34"/>
    <w:rsid w:val="00C81C4C"/>
    <w:rsid w:val="00C82293"/>
    <w:rsid w:val="00C82321"/>
    <w:rsid w:val="00C83777"/>
    <w:rsid w:val="00C86DFC"/>
    <w:rsid w:val="00C87548"/>
    <w:rsid w:val="00C91017"/>
    <w:rsid w:val="00C91E21"/>
    <w:rsid w:val="00C9329A"/>
    <w:rsid w:val="00C9338D"/>
    <w:rsid w:val="00C9532F"/>
    <w:rsid w:val="00C960D6"/>
    <w:rsid w:val="00C966CB"/>
    <w:rsid w:val="00CA136D"/>
    <w:rsid w:val="00CA18C0"/>
    <w:rsid w:val="00CA53AD"/>
    <w:rsid w:val="00CA665D"/>
    <w:rsid w:val="00CB1E27"/>
    <w:rsid w:val="00CB2BAB"/>
    <w:rsid w:val="00CB4896"/>
    <w:rsid w:val="00CB4D60"/>
    <w:rsid w:val="00CB4E24"/>
    <w:rsid w:val="00CB5291"/>
    <w:rsid w:val="00CB6EDD"/>
    <w:rsid w:val="00CC074E"/>
    <w:rsid w:val="00CC5618"/>
    <w:rsid w:val="00CD3477"/>
    <w:rsid w:val="00CD3E84"/>
    <w:rsid w:val="00CD48E7"/>
    <w:rsid w:val="00CD5041"/>
    <w:rsid w:val="00CD6B54"/>
    <w:rsid w:val="00CE0144"/>
    <w:rsid w:val="00CE107E"/>
    <w:rsid w:val="00CE4B53"/>
    <w:rsid w:val="00CE6329"/>
    <w:rsid w:val="00CF4838"/>
    <w:rsid w:val="00CF4A16"/>
    <w:rsid w:val="00CF7C46"/>
    <w:rsid w:val="00D00B3C"/>
    <w:rsid w:val="00D014B4"/>
    <w:rsid w:val="00D02860"/>
    <w:rsid w:val="00D0368E"/>
    <w:rsid w:val="00D07E0D"/>
    <w:rsid w:val="00D134D1"/>
    <w:rsid w:val="00D151A2"/>
    <w:rsid w:val="00D158A9"/>
    <w:rsid w:val="00D164C7"/>
    <w:rsid w:val="00D16D61"/>
    <w:rsid w:val="00D174E7"/>
    <w:rsid w:val="00D21CC8"/>
    <w:rsid w:val="00D2232C"/>
    <w:rsid w:val="00D233AD"/>
    <w:rsid w:val="00D24369"/>
    <w:rsid w:val="00D26911"/>
    <w:rsid w:val="00D30A3D"/>
    <w:rsid w:val="00D3247F"/>
    <w:rsid w:val="00D3339D"/>
    <w:rsid w:val="00D34748"/>
    <w:rsid w:val="00D36E6E"/>
    <w:rsid w:val="00D375E0"/>
    <w:rsid w:val="00D43E77"/>
    <w:rsid w:val="00D45829"/>
    <w:rsid w:val="00D47BFB"/>
    <w:rsid w:val="00D52EF8"/>
    <w:rsid w:val="00D53014"/>
    <w:rsid w:val="00D533BB"/>
    <w:rsid w:val="00D53817"/>
    <w:rsid w:val="00D5462F"/>
    <w:rsid w:val="00D5714C"/>
    <w:rsid w:val="00D61071"/>
    <w:rsid w:val="00D671F6"/>
    <w:rsid w:val="00D703C3"/>
    <w:rsid w:val="00D72A08"/>
    <w:rsid w:val="00D731FB"/>
    <w:rsid w:val="00D73FC8"/>
    <w:rsid w:val="00D80186"/>
    <w:rsid w:val="00D815ED"/>
    <w:rsid w:val="00D8401C"/>
    <w:rsid w:val="00D84CC6"/>
    <w:rsid w:val="00D8604D"/>
    <w:rsid w:val="00D91A1F"/>
    <w:rsid w:val="00D921D7"/>
    <w:rsid w:val="00D92927"/>
    <w:rsid w:val="00D979DE"/>
    <w:rsid w:val="00D97BEF"/>
    <w:rsid w:val="00DA0587"/>
    <w:rsid w:val="00DA2228"/>
    <w:rsid w:val="00DA5841"/>
    <w:rsid w:val="00DB13A5"/>
    <w:rsid w:val="00DB471F"/>
    <w:rsid w:val="00DB53B5"/>
    <w:rsid w:val="00DB602A"/>
    <w:rsid w:val="00DB66FE"/>
    <w:rsid w:val="00DB68FD"/>
    <w:rsid w:val="00DB7998"/>
    <w:rsid w:val="00DC4D7B"/>
    <w:rsid w:val="00DC5B32"/>
    <w:rsid w:val="00DC66CA"/>
    <w:rsid w:val="00DC6835"/>
    <w:rsid w:val="00DC77A6"/>
    <w:rsid w:val="00DC7A38"/>
    <w:rsid w:val="00DD00EF"/>
    <w:rsid w:val="00DD7678"/>
    <w:rsid w:val="00DE0208"/>
    <w:rsid w:val="00DE6A53"/>
    <w:rsid w:val="00DE72A3"/>
    <w:rsid w:val="00DF1497"/>
    <w:rsid w:val="00DF23B3"/>
    <w:rsid w:val="00DF6B33"/>
    <w:rsid w:val="00DF72B7"/>
    <w:rsid w:val="00E00206"/>
    <w:rsid w:val="00E01073"/>
    <w:rsid w:val="00E02021"/>
    <w:rsid w:val="00E03A43"/>
    <w:rsid w:val="00E044E8"/>
    <w:rsid w:val="00E06D59"/>
    <w:rsid w:val="00E07823"/>
    <w:rsid w:val="00E11462"/>
    <w:rsid w:val="00E1284A"/>
    <w:rsid w:val="00E15046"/>
    <w:rsid w:val="00E158E4"/>
    <w:rsid w:val="00E22B0F"/>
    <w:rsid w:val="00E23765"/>
    <w:rsid w:val="00E23FF7"/>
    <w:rsid w:val="00E241DE"/>
    <w:rsid w:val="00E26131"/>
    <w:rsid w:val="00E26688"/>
    <w:rsid w:val="00E27316"/>
    <w:rsid w:val="00E300A2"/>
    <w:rsid w:val="00E344FA"/>
    <w:rsid w:val="00E4025B"/>
    <w:rsid w:val="00E4084E"/>
    <w:rsid w:val="00E41025"/>
    <w:rsid w:val="00E44157"/>
    <w:rsid w:val="00E47EA7"/>
    <w:rsid w:val="00E534B1"/>
    <w:rsid w:val="00E61A78"/>
    <w:rsid w:val="00E62B31"/>
    <w:rsid w:val="00E7175A"/>
    <w:rsid w:val="00E73F33"/>
    <w:rsid w:val="00E74567"/>
    <w:rsid w:val="00E75A35"/>
    <w:rsid w:val="00E77F46"/>
    <w:rsid w:val="00E8273B"/>
    <w:rsid w:val="00E8377B"/>
    <w:rsid w:val="00E84418"/>
    <w:rsid w:val="00E871EC"/>
    <w:rsid w:val="00E90EDA"/>
    <w:rsid w:val="00E919C0"/>
    <w:rsid w:val="00E92F2D"/>
    <w:rsid w:val="00E96522"/>
    <w:rsid w:val="00EB019A"/>
    <w:rsid w:val="00EB6C74"/>
    <w:rsid w:val="00EB70B8"/>
    <w:rsid w:val="00ED10BC"/>
    <w:rsid w:val="00ED3982"/>
    <w:rsid w:val="00ED5358"/>
    <w:rsid w:val="00ED6805"/>
    <w:rsid w:val="00ED719D"/>
    <w:rsid w:val="00EE02E6"/>
    <w:rsid w:val="00EE0524"/>
    <w:rsid w:val="00EE108A"/>
    <w:rsid w:val="00EE5889"/>
    <w:rsid w:val="00EE6459"/>
    <w:rsid w:val="00EF26F6"/>
    <w:rsid w:val="00EF684D"/>
    <w:rsid w:val="00EF787A"/>
    <w:rsid w:val="00F01281"/>
    <w:rsid w:val="00F01772"/>
    <w:rsid w:val="00F03586"/>
    <w:rsid w:val="00F07769"/>
    <w:rsid w:val="00F1003B"/>
    <w:rsid w:val="00F117B3"/>
    <w:rsid w:val="00F14169"/>
    <w:rsid w:val="00F14524"/>
    <w:rsid w:val="00F14D5A"/>
    <w:rsid w:val="00F2265A"/>
    <w:rsid w:val="00F22F99"/>
    <w:rsid w:val="00F232B0"/>
    <w:rsid w:val="00F23505"/>
    <w:rsid w:val="00F2686D"/>
    <w:rsid w:val="00F26A7C"/>
    <w:rsid w:val="00F35415"/>
    <w:rsid w:val="00F37002"/>
    <w:rsid w:val="00F4239A"/>
    <w:rsid w:val="00F4568E"/>
    <w:rsid w:val="00F50940"/>
    <w:rsid w:val="00F53630"/>
    <w:rsid w:val="00F5513E"/>
    <w:rsid w:val="00F60440"/>
    <w:rsid w:val="00F609A2"/>
    <w:rsid w:val="00F60D4C"/>
    <w:rsid w:val="00F615DE"/>
    <w:rsid w:val="00F61D03"/>
    <w:rsid w:val="00F63C45"/>
    <w:rsid w:val="00F67F29"/>
    <w:rsid w:val="00F749CF"/>
    <w:rsid w:val="00F74CF3"/>
    <w:rsid w:val="00F77832"/>
    <w:rsid w:val="00F8080D"/>
    <w:rsid w:val="00F80D32"/>
    <w:rsid w:val="00F819BF"/>
    <w:rsid w:val="00F84417"/>
    <w:rsid w:val="00F8465A"/>
    <w:rsid w:val="00F85AB6"/>
    <w:rsid w:val="00F90753"/>
    <w:rsid w:val="00F947C8"/>
    <w:rsid w:val="00F9507F"/>
    <w:rsid w:val="00F96177"/>
    <w:rsid w:val="00F9785F"/>
    <w:rsid w:val="00FA16CA"/>
    <w:rsid w:val="00FA2444"/>
    <w:rsid w:val="00FA24C0"/>
    <w:rsid w:val="00FA408D"/>
    <w:rsid w:val="00FA4CC7"/>
    <w:rsid w:val="00FA59BC"/>
    <w:rsid w:val="00FA65CF"/>
    <w:rsid w:val="00FB3690"/>
    <w:rsid w:val="00FB3ADA"/>
    <w:rsid w:val="00FC73BB"/>
    <w:rsid w:val="00FC7C42"/>
    <w:rsid w:val="00FD046E"/>
    <w:rsid w:val="00FD216A"/>
    <w:rsid w:val="00FD3C9E"/>
    <w:rsid w:val="00FD6E4E"/>
    <w:rsid w:val="00FE0BB7"/>
    <w:rsid w:val="00FE2AEB"/>
    <w:rsid w:val="00FE2CC7"/>
    <w:rsid w:val="00FE2DF9"/>
    <w:rsid w:val="00FE33A5"/>
    <w:rsid w:val="00FE6CEC"/>
    <w:rsid w:val="00FF1848"/>
    <w:rsid w:val="00FF3090"/>
    <w:rsid w:val="07D279A1"/>
    <w:rsid w:val="1788213A"/>
    <w:rsid w:val="3A933D7C"/>
    <w:rsid w:val="58621A3D"/>
    <w:rsid w:val="5D41A6CB"/>
    <w:rsid w:val="5EB76F69"/>
    <w:rsid w:val="626CB33F"/>
    <w:rsid w:val="65072A49"/>
    <w:rsid w:val="6FE9BACE"/>
    <w:rsid w:val="720E4A1D"/>
    <w:rsid w:val="7E44BFB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6068F08"/>
  <w15:chartTrackingRefBased/>
  <w15:docId w15:val="{A5756789-5D12-4CDF-ACB9-725582070F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6329"/>
    <w:pPr>
      <w:spacing w:line="360" w:lineRule="auto"/>
    </w:pPr>
    <w:rPr>
      <w:sz w:val="22"/>
    </w:rPr>
  </w:style>
  <w:style w:type="paragraph" w:styleId="Heading1">
    <w:name w:val="heading 1"/>
    <w:basedOn w:val="Normal"/>
    <w:next w:val="Normal"/>
    <w:link w:val="Heading1Char"/>
    <w:uiPriority w:val="9"/>
    <w:qFormat/>
    <w:rsid w:val="00D014B4"/>
    <w:pPr>
      <w:keepNext/>
      <w:keepLines/>
      <w:numPr>
        <w:numId w:val="1"/>
      </w:numPr>
      <w:spacing w:before="32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014B4"/>
    <w:pPr>
      <w:keepNext/>
      <w:keepLines/>
      <w:numPr>
        <w:ilvl w:val="1"/>
        <w:numId w:val="1"/>
      </w:numPr>
      <w:spacing w:before="80" w:after="0"/>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AD51E4"/>
    <w:pPr>
      <w:keepNext/>
      <w:keepLines/>
      <w:numPr>
        <w:ilvl w:val="2"/>
        <w:numId w:val="1"/>
      </w:numPr>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AD51E4"/>
    <w:pPr>
      <w:keepNext/>
      <w:keepLines/>
      <w:numPr>
        <w:ilvl w:val="3"/>
        <w:numId w:val="1"/>
      </w:numPr>
      <w:spacing w:before="40" w:after="0"/>
      <w:outlineLvl w:val="3"/>
    </w:pPr>
    <w:rPr>
      <w:rFonts w:asciiTheme="majorHAnsi" w:eastAsiaTheme="majorEastAsia" w:hAnsiTheme="majorHAnsi" w:cstheme="majorBidi"/>
      <w:szCs w:val="22"/>
    </w:rPr>
  </w:style>
  <w:style w:type="paragraph" w:styleId="Heading5">
    <w:name w:val="heading 5"/>
    <w:basedOn w:val="Normal"/>
    <w:next w:val="Normal"/>
    <w:link w:val="Heading5Char"/>
    <w:uiPriority w:val="9"/>
    <w:semiHidden/>
    <w:unhideWhenUsed/>
    <w:qFormat/>
    <w:rsid w:val="00AD51E4"/>
    <w:pPr>
      <w:keepNext/>
      <w:keepLines/>
      <w:numPr>
        <w:ilvl w:val="4"/>
        <w:numId w:val="1"/>
      </w:numPr>
      <w:spacing w:before="40" w:after="0"/>
      <w:outlineLvl w:val="4"/>
    </w:pPr>
    <w:rPr>
      <w:rFonts w:asciiTheme="majorHAnsi" w:eastAsiaTheme="majorEastAsia" w:hAnsiTheme="majorHAnsi" w:cstheme="majorBidi"/>
      <w:color w:val="44546A" w:themeColor="text2"/>
      <w:szCs w:val="22"/>
    </w:rPr>
  </w:style>
  <w:style w:type="paragraph" w:styleId="Heading6">
    <w:name w:val="heading 6"/>
    <w:basedOn w:val="Normal"/>
    <w:next w:val="Normal"/>
    <w:link w:val="Heading6Char"/>
    <w:uiPriority w:val="9"/>
    <w:semiHidden/>
    <w:unhideWhenUsed/>
    <w:qFormat/>
    <w:rsid w:val="00AD51E4"/>
    <w:pPr>
      <w:keepNext/>
      <w:keepLines/>
      <w:numPr>
        <w:ilvl w:val="5"/>
        <w:numId w:val="1"/>
      </w:numPr>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AD51E4"/>
    <w:pPr>
      <w:keepNext/>
      <w:keepLines/>
      <w:numPr>
        <w:ilvl w:val="6"/>
        <w:numId w:val="1"/>
      </w:numPr>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AD51E4"/>
    <w:pPr>
      <w:keepNext/>
      <w:keepLines/>
      <w:numPr>
        <w:ilvl w:val="7"/>
        <w:numId w:val="1"/>
      </w:numPr>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AD51E4"/>
    <w:pPr>
      <w:keepNext/>
      <w:keepLines/>
      <w:numPr>
        <w:ilvl w:val="8"/>
        <w:numId w:val="1"/>
      </w:numPr>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14B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014B4"/>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AD51E4"/>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AD51E4"/>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AD51E4"/>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AD51E4"/>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AD51E4"/>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AD51E4"/>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AD51E4"/>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unhideWhenUsed/>
    <w:qFormat/>
    <w:rsid w:val="00AD51E4"/>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AD51E4"/>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AD51E4"/>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AD51E4"/>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AD51E4"/>
    <w:rPr>
      <w:rFonts w:asciiTheme="majorHAnsi" w:eastAsiaTheme="majorEastAsia" w:hAnsiTheme="majorHAnsi" w:cstheme="majorBidi"/>
      <w:sz w:val="24"/>
      <w:szCs w:val="24"/>
    </w:rPr>
  </w:style>
  <w:style w:type="character" w:styleId="Strong">
    <w:name w:val="Strong"/>
    <w:basedOn w:val="DefaultParagraphFont"/>
    <w:uiPriority w:val="22"/>
    <w:qFormat/>
    <w:rsid w:val="00AD51E4"/>
    <w:rPr>
      <w:b/>
      <w:bCs/>
    </w:rPr>
  </w:style>
  <w:style w:type="character" w:styleId="Emphasis">
    <w:name w:val="Emphasis"/>
    <w:basedOn w:val="DefaultParagraphFont"/>
    <w:uiPriority w:val="20"/>
    <w:qFormat/>
    <w:rsid w:val="00AD51E4"/>
    <w:rPr>
      <w:i/>
      <w:iCs/>
    </w:rPr>
  </w:style>
  <w:style w:type="paragraph" w:styleId="NoSpacing">
    <w:name w:val="No Spacing"/>
    <w:uiPriority w:val="1"/>
    <w:qFormat/>
    <w:rsid w:val="00AD51E4"/>
    <w:pPr>
      <w:spacing w:after="0" w:line="240" w:lineRule="auto"/>
    </w:pPr>
  </w:style>
  <w:style w:type="paragraph" w:styleId="Quote">
    <w:name w:val="Quote"/>
    <w:basedOn w:val="Normal"/>
    <w:next w:val="Normal"/>
    <w:link w:val="QuoteChar"/>
    <w:uiPriority w:val="29"/>
    <w:qFormat/>
    <w:rsid w:val="00AD51E4"/>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AD51E4"/>
    <w:rPr>
      <w:i/>
      <w:iCs/>
      <w:color w:val="404040" w:themeColor="text1" w:themeTint="BF"/>
    </w:rPr>
  </w:style>
  <w:style w:type="paragraph" w:styleId="IntenseQuote">
    <w:name w:val="Intense Quote"/>
    <w:basedOn w:val="Normal"/>
    <w:next w:val="Normal"/>
    <w:link w:val="IntenseQuoteChar"/>
    <w:uiPriority w:val="30"/>
    <w:qFormat/>
    <w:rsid w:val="00AD51E4"/>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AD51E4"/>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AD51E4"/>
    <w:rPr>
      <w:i/>
      <w:iCs/>
      <w:color w:val="404040" w:themeColor="text1" w:themeTint="BF"/>
    </w:rPr>
  </w:style>
  <w:style w:type="character" w:styleId="IntenseEmphasis">
    <w:name w:val="Intense Emphasis"/>
    <w:basedOn w:val="DefaultParagraphFont"/>
    <w:uiPriority w:val="21"/>
    <w:qFormat/>
    <w:rsid w:val="00AD51E4"/>
    <w:rPr>
      <w:b/>
      <w:bCs/>
      <w:i/>
      <w:iCs/>
    </w:rPr>
  </w:style>
  <w:style w:type="character" w:styleId="SubtleReference">
    <w:name w:val="Subtle Reference"/>
    <w:basedOn w:val="DefaultParagraphFont"/>
    <w:uiPriority w:val="31"/>
    <w:qFormat/>
    <w:rsid w:val="00AD51E4"/>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AD51E4"/>
    <w:rPr>
      <w:b/>
      <w:bCs/>
      <w:smallCaps/>
      <w:spacing w:val="5"/>
      <w:u w:val="single"/>
    </w:rPr>
  </w:style>
  <w:style w:type="character" w:styleId="BookTitle">
    <w:name w:val="Book Title"/>
    <w:basedOn w:val="DefaultParagraphFont"/>
    <w:uiPriority w:val="33"/>
    <w:qFormat/>
    <w:rsid w:val="00AD51E4"/>
    <w:rPr>
      <w:b/>
      <w:bCs/>
      <w:smallCaps/>
    </w:rPr>
  </w:style>
  <w:style w:type="paragraph" w:styleId="TOCHeading">
    <w:name w:val="TOC Heading"/>
    <w:basedOn w:val="Heading1"/>
    <w:next w:val="Normal"/>
    <w:uiPriority w:val="39"/>
    <w:unhideWhenUsed/>
    <w:qFormat/>
    <w:rsid w:val="00AD51E4"/>
    <w:pPr>
      <w:outlineLvl w:val="9"/>
    </w:pPr>
  </w:style>
  <w:style w:type="paragraph" w:styleId="Header">
    <w:name w:val="header"/>
    <w:basedOn w:val="Normal"/>
    <w:link w:val="HeaderChar"/>
    <w:uiPriority w:val="99"/>
    <w:unhideWhenUsed/>
    <w:rsid w:val="00AD51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51E4"/>
  </w:style>
  <w:style w:type="paragraph" w:styleId="Footer">
    <w:name w:val="footer"/>
    <w:basedOn w:val="Normal"/>
    <w:link w:val="FooterChar"/>
    <w:uiPriority w:val="99"/>
    <w:unhideWhenUsed/>
    <w:rsid w:val="00AD51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51E4"/>
  </w:style>
  <w:style w:type="paragraph" w:styleId="TOC1">
    <w:name w:val="toc 1"/>
    <w:basedOn w:val="Normal"/>
    <w:next w:val="Normal"/>
    <w:autoRedefine/>
    <w:uiPriority w:val="39"/>
    <w:unhideWhenUsed/>
    <w:rsid w:val="00F67F29"/>
    <w:pPr>
      <w:spacing w:after="100"/>
    </w:pPr>
  </w:style>
  <w:style w:type="character" w:styleId="Hyperlink">
    <w:name w:val="Hyperlink"/>
    <w:basedOn w:val="DefaultParagraphFont"/>
    <w:uiPriority w:val="99"/>
    <w:unhideWhenUsed/>
    <w:rsid w:val="00F67F29"/>
    <w:rPr>
      <w:color w:val="0563C1" w:themeColor="hyperlink"/>
      <w:u w:val="single"/>
    </w:rPr>
  </w:style>
  <w:style w:type="paragraph" w:styleId="TOC2">
    <w:name w:val="toc 2"/>
    <w:basedOn w:val="Normal"/>
    <w:next w:val="Normal"/>
    <w:autoRedefine/>
    <w:uiPriority w:val="39"/>
    <w:unhideWhenUsed/>
    <w:rsid w:val="004E40AB"/>
    <w:pPr>
      <w:spacing w:after="100"/>
      <w:ind w:left="200"/>
    </w:pPr>
  </w:style>
  <w:style w:type="character" w:customStyle="1" w:styleId="page-number-substitute">
    <w:name w:val="page-number-substitute"/>
    <w:basedOn w:val="DefaultParagraphFont"/>
    <w:rsid w:val="00D36E6E"/>
  </w:style>
  <w:style w:type="paragraph" w:styleId="ListParagraph">
    <w:name w:val="List Paragraph"/>
    <w:basedOn w:val="Normal"/>
    <w:uiPriority w:val="1"/>
    <w:qFormat/>
    <w:rsid w:val="00912DE1"/>
    <w:pPr>
      <w:ind w:left="720"/>
      <w:contextualSpacing/>
    </w:pPr>
  </w:style>
  <w:style w:type="character" w:styleId="UnresolvedMention">
    <w:name w:val="Unresolved Mention"/>
    <w:basedOn w:val="DefaultParagraphFont"/>
    <w:uiPriority w:val="99"/>
    <w:semiHidden/>
    <w:unhideWhenUsed/>
    <w:rsid w:val="00847411"/>
    <w:rPr>
      <w:color w:val="605E5C"/>
      <w:shd w:val="clear" w:color="auto" w:fill="E1DFDD"/>
    </w:rPr>
  </w:style>
  <w:style w:type="paragraph" w:styleId="NormalWeb">
    <w:name w:val="Normal (Web)"/>
    <w:basedOn w:val="Normal"/>
    <w:uiPriority w:val="99"/>
    <w:semiHidden/>
    <w:unhideWhenUsed/>
    <w:rsid w:val="00F3541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Date">
    <w:name w:val="Date"/>
    <w:basedOn w:val="Normal"/>
    <w:next w:val="Normal"/>
    <w:link w:val="DateChar"/>
    <w:uiPriority w:val="99"/>
    <w:semiHidden/>
    <w:unhideWhenUsed/>
    <w:rsid w:val="00707341"/>
  </w:style>
  <w:style w:type="character" w:customStyle="1" w:styleId="DateChar">
    <w:name w:val="Date Char"/>
    <w:basedOn w:val="DefaultParagraphFont"/>
    <w:link w:val="Date"/>
    <w:uiPriority w:val="99"/>
    <w:semiHidden/>
    <w:rsid w:val="00707341"/>
    <w:rPr>
      <w:sz w:val="22"/>
    </w:rPr>
  </w:style>
  <w:style w:type="paragraph" w:styleId="Bibliography">
    <w:name w:val="Bibliography"/>
    <w:basedOn w:val="Normal"/>
    <w:next w:val="Normal"/>
    <w:uiPriority w:val="37"/>
    <w:unhideWhenUsed/>
    <w:rsid w:val="00862C22"/>
  </w:style>
  <w:style w:type="paragraph" w:styleId="TOC3">
    <w:name w:val="toc 3"/>
    <w:basedOn w:val="Normal"/>
    <w:next w:val="Normal"/>
    <w:autoRedefine/>
    <w:uiPriority w:val="39"/>
    <w:unhideWhenUsed/>
    <w:rsid w:val="001E12ED"/>
    <w:pPr>
      <w:spacing w:after="100"/>
      <w:ind w:left="440"/>
    </w:pPr>
  </w:style>
  <w:style w:type="table" w:styleId="TableGrid">
    <w:name w:val="Table Grid"/>
    <w:basedOn w:val="TableNormal"/>
    <w:uiPriority w:val="59"/>
    <w:rsid w:val="001E12E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ff6">
    <w:name w:val="ff6"/>
    <w:basedOn w:val="DefaultParagraphFont"/>
    <w:rsid w:val="001E12ED"/>
  </w:style>
  <w:style w:type="character" w:customStyle="1" w:styleId="ws2">
    <w:name w:val="ws2"/>
    <w:basedOn w:val="DefaultParagraphFont"/>
    <w:rsid w:val="001E12ED"/>
  </w:style>
  <w:style w:type="character" w:customStyle="1" w:styleId="ws40">
    <w:name w:val="ws40"/>
    <w:basedOn w:val="DefaultParagraphFont"/>
    <w:rsid w:val="001E12ED"/>
  </w:style>
  <w:style w:type="character" w:customStyle="1" w:styleId="ff7">
    <w:name w:val="ff7"/>
    <w:basedOn w:val="DefaultParagraphFont"/>
    <w:rsid w:val="001E12ED"/>
  </w:style>
  <w:style w:type="paragraph" w:styleId="TableofFigures">
    <w:name w:val="table of figures"/>
    <w:basedOn w:val="Normal"/>
    <w:next w:val="Normal"/>
    <w:uiPriority w:val="99"/>
    <w:unhideWhenUsed/>
    <w:rsid w:val="00324D0A"/>
    <w:pPr>
      <w:spacing w:after="0"/>
    </w:pPr>
  </w:style>
  <w:style w:type="character" w:customStyle="1" w:styleId="mord">
    <w:name w:val="mord"/>
    <w:basedOn w:val="DefaultParagraphFont"/>
    <w:rsid w:val="00EE02E6"/>
  </w:style>
  <w:style w:type="character" w:customStyle="1" w:styleId="vlist-s">
    <w:name w:val="vlist-s"/>
    <w:basedOn w:val="DefaultParagraphFont"/>
    <w:rsid w:val="00EE02E6"/>
  </w:style>
  <w:style w:type="character" w:customStyle="1" w:styleId="mrel">
    <w:name w:val="mrel"/>
    <w:basedOn w:val="DefaultParagraphFont"/>
    <w:rsid w:val="00EE02E6"/>
  </w:style>
  <w:style w:type="character" w:customStyle="1" w:styleId="mbin">
    <w:name w:val="mbin"/>
    <w:basedOn w:val="DefaultParagraphFont"/>
    <w:rsid w:val="00EE02E6"/>
  </w:style>
  <w:style w:type="character" w:customStyle="1" w:styleId="katex-mathml">
    <w:name w:val="katex-mathml"/>
    <w:basedOn w:val="DefaultParagraphFont"/>
    <w:rsid w:val="00EE02E6"/>
  </w:style>
  <w:style w:type="character" w:customStyle="1" w:styleId="mopen">
    <w:name w:val="mopen"/>
    <w:basedOn w:val="DefaultParagraphFont"/>
    <w:rsid w:val="00DB68FD"/>
  </w:style>
  <w:style w:type="character" w:customStyle="1" w:styleId="mclose">
    <w:name w:val="mclose"/>
    <w:basedOn w:val="DefaultParagraphFont"/>
    <w:rsid w:val="00DB68FD"/>
  </w:style>
  <w:style w:type="numbering" w:customStyle="1" w:styleId="CurrentList1">
    <w:name w:val="Current List1"/>
    <w:uiPriority w:val="99"/>
    <w:rsid w:val="00356A1E"/>
    <w:pPr>
      <w:numPr>
        <w:numId w:val="18"/>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140230">
      <w:bodyDiv w:val="1"/>
      <w:marLeft w:val="0"/>
      <w:marRight w:val="0"/>
      <w:marTop w:val="0"/>
      <w:marBottom w:val="0"/>
      <w:divBdr>
        <w:top w:val="none" w:sz="0" w:space="0" w:color="auto"/>
        <w:left w:val="none" w:sz="0" w:space="0" w:color="auto"/>
        <w:bottom w:val="none" w:sz="0" w:space="0" w:color="auto"/>
        <w:right w:val="none" w:sz="0" w:space="0" w:color="auto"/>
      </w:divBdr>
    </w:div>
    <w:div w:id="12537061">
      <w:bodyDiv w:val="1"/>
      <w:marLeft w:val="0"/>
      <w:marRight w:val="0"/>
      <w:marTop w:val="0"/>
      <w:marBottom w:val="0"/>
      <w:divBdr>
        <w:top w:val="none" w:sz="0" w:space="0" w:color="auto"/>
        <w:left w:val="none" w:sz="0" w:space="0" w:color="auto"/>
        <w:bottom w:val="none" w:sz="0" w:space="0" w:color="auto"/>
        <w:right w:val="none" w:sz="0" w:space="0" w:color="auto"/>
      </w:divBdr>
    </w:div>
    <w:div w:id="37053041">
      <w:bodyDiv w:val="1"/>
      <w:marLeft w:val="0"/>
      <w:marRight w:val="0"/>
      <w:marTop w:val="0"/>
      <w:marBottom w:val="0"/>
      <w:divBdr>
        <w:top w:val="none" w:sz="0" w:space="0" w:color="auto"/>
        <w:left w:val="none" w:sz="0" w:space="0" w:color="auto"/>
        <w:bottom w:val="none" w:sz="0" w:space="0" w:color="auto"/>
        <w:right w:val="none" w:sz="0" w:space="0" w:color="auto"/>
      </w:divBdr>
    </w:div>
    <w:div w:id="46271948">
      <w:bodyDiv w:val="1"/>
      <w:marLeft w:val="0"/>
      <w:marRight w:val="0"/>
      <w:marTop w:val="0"/>
      <w:marBottom w:val="0"/>
      <w:divBdr>
        <w:top w:val="none" w:sz="0" w:space="0" w:color="auto"/>
        <w:left w:val="none" w:sz="0" w:space="0" w:color="auto"/>
        <w:bottom w:val="none" w:sz="0" w:space="0" w:color="auto"/>
        <w:right w:val="none" w:sz="0" w:space="0" w:color="auto"/>
      </w:divBdr>
      <w:divsChild>
        <w:div w:id="654919345">
          <w:marLeft w:val="-720"/>
          <w:marRight w:val="0"/>
          <w:marTop w:val="0"/>
          <w:marBottom w:val="0"/>
          <w:divBdr>
            <w:top w:val="none" w:sz="0" w:space="0" w:color="auto"/>
            <w:left w:val="none" w:sz="0" w:space="0" w:color="auto"/>
            <w:bottom w:val="none" w:sz="0" w:space="0" w:color="auto"/>
            <w:right w:val="none" w:sz="0" w:space="0" w:color="auto"/>
          </w:divBdr>
        </w:div>
      </w:divsChild>
    </w:div>
    <w:div w:id="49038700">
      <w:bodyDiv w:val="1"/>
      <w:marLeft w:val="0"/>
      <w:marRight w:val="0"/>
      <w:marTop w:val="0"/>
      <w:marBottom w:val="0"/>
      <w:divBdr>
        <w:top w:val="none" w:sz="0" w:space="0" w:color="auto"/>
        <w:left w:val="none" w:sz="0" w:space="0" w:color="auto"/>
        <w:bottom w:val="none" w:sz="0" w:space="0" w:color="auto"/>
        <w:right w:val="none" w:sz="0" w:space="0" w:color="auto"/>
      </w:divBdr>
    </w:div>
    <w:div w:id="50229499">
      <w:bodyDiv w:val="1"/>
      <w:marLeft w:val="0"/>
      <w:marRight w:val="0"/>
      <w:marTop w:val="0"/>
      <w:marBottom w:val="0"/>
      <w:divBdr>
        <w:top w:val="none" w:sz="0" w:space="0" w:color="auto"/>
        <w:left w:val="none" w:sz="0" w:space="0" w:color="auto"/>
        <w:bottom w:val="none" w:sz="0" w:space="0" w:color="auto"/>
        <w:right w:val="none" w:sz="0" w:space="0" w:color="auto"/>
      </w:divBdr>
    </w:div>
    <w:div w:id="58402141">
      <w:bodyDiv w:val="1"/>
      <w:marLeft w:val="0"/>
      <w:marRight w:val="0"/>
      <w:marTop w:val="0"/>
      <w:marBottom w:val="0"/>
      <w:divBdr>
        <w:top w:val="none" w:sz="0" w:space="0" w:color="auto"/>
        <w:left w:val="none" w:sz="0" w:space="0" w:color="auto"/>
        <w:bottom w:val="none" w:sz="0" w:space="0" w:color="auto"/>
        <w:right w:val="none" w:sz="0" w:space="0" w:color="auto"/>
      </w:divBdr>
    </w:div>
    <w:div w:id="100998285">
      <w:bodyDiv w:val="1"/>
      <w:marLeft w:val="0"/>
      <w:marRight w:val="0"/>
      <w:marTop w:val="0"/>
      <w:marBottom w:val="0"/>
      <w:divBdr>
        <w:top w:val="none" w:sz="0" w:space="0" w:color="auto"/>
        <w:left w:val="none" w:sz="0" w:space="0" w:color="auto"/>
        <w:bottom w:val="none" w:sz="0" w:space="0" w:color="auto"/>
        <w:right w:val="none" w:sz="0" w:space="0" w:color="auto"/>
      </w:divBdr>
    </w:div>
    <w:div w:id="140466068">
      <w:bodyDiv w:val="1"/>
      <w:marLeft w:val="0"/>
      <w:marRight w:val="0"/>
      <w:marTop w:val="0"/>
      <w:marBottom w:val="0"/>
      <w:divBdr>
        <w:top w:val="none" w:sz="0" w:space="0" w:color="auto"/>
        <w:left w:val="none" w:sz="0" w:space="0" w:color="auto"/>
        <w:bottom w:val="none" w:sz="0" w:space="0" w:color="auto"/>
        <w:right w:val="none" w:sz="0" w:space="0" w:color="auto"/>
      </w:divBdr>
    </w:div>
    <w:div w:id="159200900">
      <w:bodyDiv w:val="1"/>
      <w:marLeft w:val="0"/>
      <w:marRight w:val="0"/>
      <w:marTop w:val="0"/>
      <w:marBottom w:val="0"/>
      <w:divBdr>
        <w:top w:val="none" w:sz="0" w:space="0" w:color="auto"/>
        <w:left w:val="none" w:sz="0" w:space="0" w:color="auto"/>
        <w:bottom w:val="none" w:sz="0" w:space="0" w:color="auto"/>
        <w:right w:val="none" w:sz="0" w:space="0" w:color="auto"/>
      </w:divBdr>
    </w:div>
    <w:div w:id="162819981">
      <w:bodyDiv w:val="1"/>
      <w:marLeft w:val="0"/>
      <w:marRight w:val="0"/>
      <w:marTop w:val="0"/>
      <w:marBottom w:val="0"/>
      <w:divBdr>
        <w:top w:val="none" w:sz="0" w:space="0" w:color="auto"/>
        <w:left w:val="none" w:sz="0" w:space="0" w:color="auto"/>
        <w:bottom w:val="none" w:sz="0" w:space="0" w:color="auto"/>
        <w:right w:val="none" w:sz="0" w:space="0" w:color="auto"/>
      </w:divBdr>
    </w:div>
    <w:div w:id="169032290">
      <w:bodyDiv w:val="1"/>
      <w:marLeft w:val="0"/>
      <w:marRight w:val="0"/>
      <w:marTop w:val="0"/>
      <w:marBottom w:val="0"/>
      <w:divBdr>
        <w:top w:val="none" w:sz="0" w:space="0" w:color="auto"/>
        <w:left w:val="none" w:sz="0" w:space="0" w:color="auto"/>
        <w:bottom w:val="none" w:sz="0" w:space="0" w:color="auto"/>
        <w:right w:val="none" w:sz="0" w:space="0" w:color="auto"/>
      </w:divBdr>
    </w:div>
    <w:div w:id="204031434">
      <w:bodyDiv w:val="1"/>
      <w:marLeft w:val="0"/>
      <w:marRight w:val="0"/>
      <w:marTop w:val="0"/>
      <w:marBottom w:val="0"/>
      <w:divBdr>
        <w:top w:val="none" w:sz="0" w:space="0" w:color="auto"/>
        <w:left w:val="none" w:sz="0" w:space="0" w:color="auto"/>
        <w:bottom w:val="none" w:sz="0" w:space="0" w:color="auto"/>
        <w:right w:val="none" w:sz="0" w:space="0" w:color="auto"/>
      </w:divBdr>
    </w:div>
    <w:div w:id="226233425">
      <w:bodyDiv w:val="1"/>
      <w:marLeft w:val="0"/>
      <w:marRight w:val="0"/>
      <w:marTop w:val="0"/>
      <w:marBottom w:val="0"/>
      <w:divBdr>
        <w:top w:val="none" w:sz="0" w:space="0" w:color="auto"/>
        <w:left w:val="none" w:sz="0" w:space="0" w:color="auto"/>
        <w:bottom w:val="none" w:sz="0" w:space="0" w:color="auto"/>
        <w:right w:val="none" w:sz="0" w:space="0" w:color="auto"/>
      </w:divBdr>
    </w:div>
    <w:div w:id="262226418">
      <w:bodyDiv w:val="1"/>
      <w:marLeft w:val="0"/>
      <w:marRight w:val="0"/>
      <w:marTop w:val="0"/>
      <w:marBottom w:val="0"/>
      <w:divBdr>
        <w:top w:val="none" w:sz="0" w:space="0" w:color="auto"/>
        <w:left w:val="none" w:sz="0" w:space="0" w:color="auto"/>
        <w:bottom w:val="none" w:sz="0" w:space="0" w:color="auto"/>
        <w:right w:val="none" w:sz="0" w:space="0" w:color="auto"/>
      </w:divBdr>
    </w:div>
    <w:div w:id="269896611">
      <w:bodyDiv w:val="1"/>
      <w:marLeft w:val="0"/>
      <w:marRight w:val="0"/>
      <w:marTop w:val="0"/>
      <w:marBottom w:val="0"/>
      <w:divBdr>
        <w:top w:val="none" w:sz="0" w:space="0" w:color="auto"/>
        <w:left w:val="none" w:sz="0" w:space="0" w:color="auto"/>
        <w:bottom w:val="none" w:sz="0" w:space="0" w:color="auto"/>
        <w:right w:val="none" w:sz="0" w:space="0" w:color="auto"/>
      </w:divBdr>
    </w:div>
    <w:div w:id="311104482">
      <w:bodyDiv w:val="1"/>
      <w:marLeft w:val="0"/>
      <w:marRight w:val="0"/>
      <w:marTop w:val="0"/>
      <w:marBottom w:val="0"/>
      <w:divBdr>
        <w:top w:val="none" w:sz="0" w:space="0" w:color="auto"/>
        <w:left w:val="none" w:sz="0" w:space="0" w:color="auto"/>
        <w:bottom w:val="none" w:sz="0" w:space="0" w:color="auto"/>
        <w:right w:val="none" w:sz="0" w:space="0" w:color="auto"/>
      </w:divBdr>
    </w:div>
    <w:div w:id="328876020">
      <w:bodyDiv w:val="1"/>
      <w:marLeft w:val="0"/>
      <w:marRight w:val="0"/>
      <w:marTop w:val="0"/>
      <w:marBottom w:val="0"/>
      <w:divBdr>
        <w:top w:val="none" w:sz="0" w:space="0" w:color="auto"/>
        <w:left w:val="none" w:sz="0" w:space="0" w:color="auto"/>
        <w:bottom w:val="none" w:sz="0" w:space="0" w:color="auto"/>
        <w:right w:val="none" w:sz="0" w:space="0" w:color="auto"/>
      </w:divBdr>
    </w:div>
    <w:div w:id="333073295">
      <w:bodyDiv w:val="1"/>
      <w:marLeft w:val="0"/>
      <w:marRight w:val="0"/>
      <w:marTop w:val="0"/>
      <w:marBottom w:val="0"/>
      <w:divBdr>
        <w:top w:val="none" w:sz="0" w:space="0" w:color="auto"/>
        <w:left w:val="none" w:sz="0" w:space="0" w:color="auto"/>
        <w:bottom w:val="none" w:sz="0" w:space="0" w:color="auto"/>
        <w:right w:val="none" w:sz="0" w:space="0" w:color="auto"/>
      </w:divBdr>
    </w:div>
    <w:div w:id="349332179">
      <w:bodyDiv w:val="1"/>
      <w:marLeft w:val="0"/>
      <w:marRight w:val="0"/>
      <w:marTop w:val="0"/>
      <w:marBottom w:val="0"/>
      <w:divBdr>
        <w:top w:val="none" w:sz="0" w:space="0" w:color="auto"/>
        <w:left w:val="none" w:sz="0" w:space="0" w:color="auto"/>
        <w:bottom w:val="none" w:sz="0" w:space="0" w:color="auto"/>
        <w:right w:val="none" w:sz="0" w:space="0" w:color="auto"/>
      </w:divBdr>
    </w:div>
    <w:div w:id="370032795">
      <w:bodyDiv w:val="1"/>
      <w:marLeft w:val="0"/>
      <w:marRight w:val="0"/>
      <w:marTop w:val="0"/>
      <w:marBottom w:val="0"/>
      <w:divBdr>
        <w:top w:val="none" w:sz="0" w:space="0" w:color="auto"/>
        <w:left w:val="none" w:sz="0" w:space="0" w:color="auto"/>
        <w:bottom w:val="none" w:sz="0" w:space="0" w:color="auto"/>
        <w:right w:val="none" w:sz="0" w:space="0" w:color="auto"/>
      </w:divBdr>
    </w:div>
    <w:div w:id="373114071">
      <w:bodyDiv w:val="1"/>
      <w:marLeft w:val="0"/>
      <w:marRight w:val="0"/>
      <w:marTop w:val="0"/>
      <w:marBottom w:val="0"/>
      <w:divBdr>
        <w:top w:val="none" w:sz="0" w:space="0" w:color="auto"/>
        <w:left w:val="none" w:sz="0" w:space="0" w:color="auto"/>
        <w:bottom w:val="none" w:sz="0" w:space="0" w:color="auto"/>
        <w:right w:val="none" w:sz="0" w:space="0" w:color="auto"/>
      </w:divBdr>
    </w:div>
    <w:div w:id="418917051">
      <w:bodyDiv w:val="1"/>
      <w:marLeft w:val="0"/>
      <w:marRight w:val="0"/>
      <w:marTop w:val="0"/>
      <w:marBottom w:val="0"/>
      <w:divBdr>
        <w:top w:val="none" w:sz="0" w:space="0" w:color="auto"/>
        <w:left w:val="none" w:sz="0" w:space="0" w:color="auto"/>
        <w:bottom w:val="none" w:sz="0" w:space="0" w:color="auto"/>
        <w:right w:val="none" w:sz="0" w:space="0" w:color="auto"/>
      </w:divBdr>
    </w:div>
    <w:div w:id="424110452">
      <w:bodyDiv w:val="1"/>
      <w:marLeft w:val="0"/>
      <w:marRight w:val="0"/>
      <w:marTop w:val="0"/>
      <w:marBottom w:val="0"/>
      <w:divBdr>
        <w:top w:val="none" w:sz="0" w:space="0" w:color="auto"/>
        <w:left w:val="none" w:sz="0" w:space="0" w:color="auto"/>
        <w:bottom w:val="none" w:sz="0" w:space="0" w:color="auto"/>
        <w:right w:val="none" w:sz="0" w:space="0" w:color="auto"/>
      </w:divBdr>
    </w:div>
    <w:div w:id="427846457">
      <w:bodyDiv w:val="1"/>
      <w:marLeft w:val="0"/>
      <w:marRight w:val="0"/>
      <w:marTop w:val="0"/>
      <w:marBottom w:val="0"/>
      <w:divBdr>
        <w:top w:val="none" w:sz="0" w:space="0" w:color="auto"/>
        <w:left w:val="none" w:sz="0" w:space="0" w:color="auto"/>
        <w:bottom w:val="none" w:sz="0" w:space="0" w:color="auto"/>
        <w:right w:val="none" w:sz="0" w:space="0" w:color="auto"/>
      </w:divBdr>
    </w:div>
    <w:div w:id="428501131">
      <w:bodyDiv w:val="1"/>
      <w:marLeft w:val="0"/>
      <w:marRight w:val="0"/>
      <w:marTop w:val="0"/>
      <w:marBottom w:val="0"/>
      <w:divBdr>
        <w:top w:val="none" w:sz="0" w:space="0" w:color="auto"/>
        <w:left w:val="none" w:sz="0" w:space="0" w:color="auto"/>
        <w:bottom w:val="none" w:sz="0" w:space="0" w:color="auto"/>
        <w:right w:val="none" w:sz="0" w:space="0" w:color="auto"/>
      </w:divBdr>
    </w:div>
    <w:div w:id="456217539">
      <w:bodyDiv w:val="1"/>
      <w:marLeft w:val="0"/>
      <w:marRight w:val="0"/>
      <w:marTop w:val="0"/>
      <w:marBottom w:val="0"/>
      <w:divBdr>
        <w:top w:val="none" w:sz="0" w:space="0" w:color="auto"/>
        <w:left w:val="none" w:sz="0" w:space="0" w:color="auto"/>
        <w:bottom w:val="none" w:sz="0" w:space="0" w:color="auto"/>
        <w:right w:val="none" w:sz="0" w:space="0" w:color="auto"/>
      </w:divBdr>
    </w:div>
    <w:div w:id="460075059">
      <w:bodyDiv w:val="1"/>
      <w:marLeft w:val="0"/>
      <w:marRight w:val="0"/>
      <w:marTop w:val="0"/>
      <w:marBottom w:val="0"/>
      <w:divBdr>
        <w:top w:val="none" w:sz="0" w:space="0" w:color="auto"/>
        <w:left w:val="none" w:sz="0" w:space="0" w:color="auto"/>
        <w:bottom w:val="none" w:sz="0" w:space="0" w:color="auto"/>
        <w:right w:val="none" w:sz="0" w:space="0" w:color="auto"/>
      </w:divBdr>
    </w:div>
    <w:div w:id="474831485">
      <w:bodyDiv w:val="1"/>
      <w:marLeft w:val="0"/>
      <w:marRight w:val="0"/>
      <w:marTop w:val="0"/>
      <w:marBottom w:val="0"/>
      <w:divBdr>
        <w:top w:val="none" w:sz="0" w:space="0" w:color="auto"/>
        <w:left w:val="none" w:sz="0" w:space="0" w:color="auto"/>
        <w:bottom w:val="none" w:sz="0" w:space="0" w:color="auto"/>
        <w:right w:val="none" w:sz="0" w:space="0" w:color="auto"/>
      </w:divBdr>
    </w:div>
    <w:div w:id="485630012">
      <w:bodyDiv w:val="1"/>
      <w:marLeft w:val="0"/>
      <w:marRight w:val="0"/>
      <w:marTop w:val="0"/>
      <w:marBottom w:val="0"/>
      <w:divBdr>
        <w:top w:val="none" w:sz="0" w:space="0" w:color="auto"/>
        <w:left w:val="none" w:sz="0" w:space="0" w:color="auto"/>
        <w:bottom w:val="none" w:sz="0" w:space="0" w:color="auto"/>
        <w:right w:val="none" w:sz="0" w:space="0" w:color="auto"/>
      </w:divBdr>
    </w:div>
    <w:div w:id="519857035">
      <w:bodyDiv w:val="1"/>
      <w:marLeft w:val="0"/>
      <w:marRight w:val="0"/>
      <w:marTop w:val="0"/>
      <w:marBottom w:val="0"/>
      <w:divBdr>
        <w:top w:val="none" w:sz="0" w:space="0" w:color="auto"/>
        <w:left w:val="none" w:sz="0" w:space="0" w:color="auto"/>
        <w:bottom w:val="none" w:sz="0" w:space="0" w:color="auto"/>
        <w:right w:val="none" w:sz="0" w:space="0" w:color="auto"/>
      </w:divBdr>
    </w:div>
    <w:div w:id="532617724">
      <w:bodyDiv w:val="1"/>
      <w:marLeft w:val="0"/>
      <w:marRight w:val="0"/>
      <w:marTop w:val="0"/>
      <w:marBottom w:val="0"/>
      <w:divBdr>
        <w:top w:val="none" w:sz="0" w:space="0" w:color="auto"/>
        <w:left w:val="none" w:sz="0" w:space="0" w:color="auto"/>
        <w:bottom w:val="none" w:sz="0" w:space="0" w:color="auto"/>
        <w:right w:val="none" w:sz="0" w:space="0" w:color="auto"/>
      </w:divBdr>
    </w:div>
    <w:div w:id="567694878">
      <w:bodyDiv w:val="1"/>
      <w:marLeft w:val="0"/>
      <w:marRight w:val="0"/>
      <w:marTop w:val="0"/>
      <w:marBottom w:val="0"/>
      <w:divBdr>
        <w:top w:val="none" w:sz="0" w:space="0" w:color="auto"/>
        <w:left w:val="none" w:sz="0" w:space="0" w:color="auto"/>
        <w:bottom w:val="none" w:sz="0" w:space="0" w:color="auto"/>
        <w:right w:val="none" w:sz="0" w:space="0" w:color="auto"/>
      </w:divBdr>
    </w:div>
    <w:div w:id="582647340">
      <w:bodyDiv w:val="1"/>
      <w:marLeft w:val="0"/>
      <w:marRight w:val="0"/>
      <w:marTop w:val="0"/>
      <w:marBottom w:val="0"/>
      <w:divBdr>
        <w:top w:val="none" w:sz="0" w:space="0" w:color="auto"/>
        <w:left w:val="none" w:sz="0" w:space="0" w:color="auto"/>
        <w:bottom w:val="none" w:sz="0" w:space="0" w:color="auto"/>
        <w:right w:val="none" w:sz="0" w:space="0" w:color="auto"/>
      </w:divBdr>
    </w:div>
    <w:div w:id="618800034">
      <w:bodyDiv w:val="1"/>
      <w:marLeft w:val="0"/>
      <w:marRight w:val="0"/>
      <w:marTop w:val="0"/>
      <w:marBottom w:val="0"/>
      <w:divBdr>
        <w:top w:val="none" w:sz="0" w:space="0" w:color="auto"/>
        <w:left w:val="none" w:sz="0" w:space="0" w:color="auto"/>
        <w:bottom w:val="none" w:sz="0" w:space="0" w:color="auto"/>
        <w:right w:val="none" w:sz="0" w:space="0" w:color="auto"/>
      </w:divBdr>
    </w:div>
    <w:div w:id="625937992">
      <w:bodyDiv w:val="1"/>
      <w:marLeft w:val="0"/>
      <w:marRight w:val="0"/>
      <w:marTop w:val="0"/>
      <w:marBottom w:val="0"/>
      <w:divBdr>
        <w:top w:val="none" w:sz="0" w:space="0" w:color="auto"/>
        <w:left w:val="none" w:sz="0" w:space="0" w:color="auto"/>
        <w:bottom w:val="none" w:sz="0" w:space="0" w:color="auto"/>
        <w:right w:val="none" w:sz="0" w:space="0" w:color="auto"/>
      </w:divBdr>
    </w:div>
    <w:div w:id="628588263">
      <w:bodyDiv w:val="1"/>
      <w:marLeft w:val="0"/>
      <w:marRight w:val="0"/>
      <w:marTop w:val="0"/>
      <w:marBottom w:val="0"/>
      <w:divBdr>
        <w:top w:val="none" w:sz="0" w:space="0" w:color="auto"/>
        <w:left w:val="none" w:sz="0" w:space="0" w:color="auto"/>
        <w:bottom w:val="none" w:sz="0" w:space="0" w:color="auto"/>
        <w:right w:val="none" w:sz="0" w:space="0" w:color="auto"/>
      </w:divBdr>
    </w:div>
    <w:div w:id="668674539">
      <w:bodyDiv w:val="1"/>
      <w:marLeft w:val="0"/>
      <w:marRight w:val="0"/>
      <w:marTop w:val="0"/>
      <w:marBottom w:val="0"/>
      <w:divBdr>
        <w:top w:val="none" w:sz="0" w:space="0" w:color="auto"/>
        <w:left w:val="none" w:sz="0" w:space="0" w:color="auto"/>
        <w:bottom w:val="none" w:sz="0" w:space="0" w:color="auto"/>
        <w:right w:val="none" w:sz="0" w:space="0" w:color="auto"/>
      </w:divBdr>
    </w:div>
    <w:div w:id="676273396">
      <w:bodyDiv w:val="1"/>
      <w:marLeft w:val="0"/>
      <w:marRight w:val="0"/>
      <w:marTop w:val="0"/>
      <w:marBottom w:val="0"/>
      <w:divBdr>
        <w:top w:val="none" w:sz="0" w:space="0" w:color="auto"/>
        <w:left w:val="none" w:sz="0" w:space="0" w:color="auto"/>
        <w:bottom w:val="none" w:sz="0" w:space="0" w:color="auto"/>
        <w:right w:val="none" w:sz="0" w:space="0" w:color="auto"/>
      </w:divBdr>
    </w:div>
    <w:div w:id="677584750">
      <w:bodyDiv w:val="1"/>
      <w:marLeft w:val="0"/>
      <w:marRight w:val="0"/>
      <w:marTop w:val="0"/>
      <w:marBottom w:val="0"/>
      <w:divBdr>
        <w:top w:val="none" w:sz="0" w:space="0" w:color="auto"/>
        <w:left w:val="none" w:sz="0" w:space="0" w:color="auto"/>
        <w:bottom w:val="none" w:sz="0" w:space="0" w:color="auto"/>
        <w:right w:val="none" w:sz="0" w:space="0" w:color="auto"/>
      </w:divBdr>
    </w:div>
    <w:div w:id="677662776">
      <w:bodyDiv w:val="1"/>
      <w:marLeft w:val="0"/>
      <w:marRight w:val="0"/>
      <w:marTop w:val="0"/>
      <w:marBottom w:val="0"/>
      <w:divBdr>
        <w:top w:val="none" w:sz="0" w:space="0" w:color="auto"/>
        <w:left w:val="none" w:sz="0" w:space="0" w:color="auto"/>
        <w:bottom w:val="none" w:sz="0" w:space="0" w:color="auto"/>
        <w:right w:val="none" w:sz="0" w:space="0" w:color="auto"/>
      </w:divBdr>
    </w:div>
    <w:div w:id="682167418">
      <w:bodyDiv w:val="1"/>
      <w:marLeft w:val="0"/>
      <w:marRight w:val="0"/>
      <w:marTop w:val="0"/>
      <w:marBottom w:val="0"/>
      <w:divBdr>
        <w:top w:val="none" w:sz="0" w:space="0" w:color="auto"/>
        <w:left w:val="none" w:sz="0" w:space="0" w:color="auto"/>
        <w:bottom w:val="none" w:sz="0" w:space="0" w:color="auto"/>
        <w:right w:val="none" w:sz="0" w:space="0" w:color="auto"/>
      </w:divBdr>
    </w:div>
    <w:div w:id="683022054">
      <w:bodyDiv w:val="1"/>
      <w:marLeft w:val="0"/>
      <w:marRight w:val="0"/>
      <w:marTop w:val="0"/>
      <w:marBottom w:val="0"/>
      <w:divBdr>
        <w:top w:val="none" w:sz="0" w:space="0" w:color="auto"/>
        <w:left w:val="none" w:sz="0" w:space="0" w:color="auto"/>
        <w:bottom w:val="none" w:sz="0" w:space="0" w:color="auto"/>
        <w:right w:val="none" w:sz="0" w:space="0" w:color="auto"/>
      </w:divBdr>
    </w:div>
    <w:div w:id="694189428">
      <w:bodyDiv w:val="1"/>
      <w:marLeft w:val="0"/>
      <w:marRight w:val="0"/>
      <w:marTop w:val="0"/>
      <w:marBottom w:val="0"/>
      <w:divBdr>
        <w:top w:val="none" w:sz="0" w:space="0" w:color="auto"/>
        <w:left w:val="none" w:sz="0" w:space="0" w:color="auto"/>
        <w:bottom w:val="none" w:sz="0" w:space="0" w:color="auto"/>
        <w:right w:val="none" w:sz="0" w:space="0" w:color="auto"/>
      </w:divBdr>
    </w:div>
    <w:div w:id="708453577">
      <w:bodyDiv w:val="1"/>
      <w:marLeft w:val="0"/>
      <w:marRight w:val="0"/>
      <w:marTop w:val="0"/>
      <w:marBottom w:val="0"/>
      <w:divBdr>
        <w:top w:val="none" w:sz="0" w:space="0" w:color="auto"/>
        <w:left w:val="none" w:sz="0" w:space="0" w:color="auto"/>
        <w:bottom w:val="none" w:sz="0" w:space="0" w:color="auto"/>
        <w:right w:val="none" w:sz="0" w:space="0" w:color="auto"/>
      </w:divBdr>
    </w:div>
    <w:div w:id="724331504">
      <w:bodyDiv w:val="1"/>
      <w:marLeft w:val="0"/>
      <w:marRight w:val="0"/>
      <w:marTop w:val="0"/>
      <w:marBottom w:val="0"/>
      <w:divBdr>
        <w:top w:val="none" w:sz="0" w:space="0" w:color="auto"/>
        <w:left w:val="none" w:sz="0" w:space="0" w:color="auto"/>
        <w:bottom w:val="none" w:sz="0" w:space="0" w:color="auto"/>
        <w:right w:val="none" w:sz="0" w:space="0" w:color="auto"/>
      </w:divBdr>
    </w:div>
    <w:div w:id="732003069">
      <w:bodyDiv w:val="1"/>
      <w:marLeft w:val="0"/>
      <w:marRight w:val="0"/>
      <w:marTop w:val="0"/>
      <w:marBottom w:val="0"/>
      <w:divBdr>
        <w:top w:val="none" w:sz="0" w:space="0" w:color="auto"/>
        <w:left w:val="none" w:sz="0" w:space="0" w:color="auto"/>
        <w:bottom w:val="none" w:sz="0" w:space="0" w:color="auto"/>
        <w:right w:val="none" w:sz="0" w:space="0" w:color="auto"/>
      </w:divBdr>
    </w:div>
    <w:div w:id="746849069">
      <w:bodyDiv w:val="1"/>
      <w:marLeft w:val="0"/>
      <w:marRight w:val="0"/>
      <w:marTop w:val="0"/>
      <w:marBottom w:val="0"/>
      <w:divBdr>
        <w:top w:val="none" w:sz="0" w:space="0" w:color="auto"/>
        <w:left w:val="none" w:sz="0" w:space="0" w:color="auto"/>
        <w:bottom w:val="none" w:sz="0" w:space="0" w:color="auto"/>
        <w:right w:val="none" w:sz="0" w:space="0" w:color="auto"/>
      </w:divBdr>
    </w:div>
    <w:div w:id="747463958">
      <w:bodyDiv w:val="1"/>
      <w:marLeft w:val="0"/>
      <w:marRight w:val="0"/>
      <w:marTop w:val="0"/>
      <w:marBottom w:val="0"/>
      <w:divBdr>
        <w:top w:val="none" w:sz="0" w:space="0" w:color="auto"/>
        <w:left w:val="none" w:sz="0" w:space="0" w:color="auto"/>
        <w:bottom w:val="none" w:sz="0" w:space="0" w:color="auto"/>
        <w:right w:val="none" w:sz="0" w:space="0" w:color="auto"/>
      </w:divBdr>
    </w:div>
    <w:div w:id="749043651">
      <w:bodyDiv w:val="1"/>
      <w:marLeft w:val="0"/>
      <w:marRight w:val="0"/>
      <w:marTop w:val="0"/>
      <w:marBottom w:val="0"/>
      <w:divBdr>
        <w:top w:val="none" w:sz="0" w:space="0" w:color="auto"/>
        <w:left w:val="none" w:sz="0" w:space="0" w:color="auto"/>
        <w:bottom w:val="none" w:sz="0" w:space="0" w:color="auto"/>
        <w:right w:val="none" w:sz="0" w:space="0" w:color="auto"/>
      </w:divBdr>
    </w:div>
    <w:div w:id="751855708">
      <w:bodyDiv w:val="1"/>
      <w:marLeft w:val="0"/>
      <w:marRight w:val="0"/>
      <w:marTop w:val="0"/>
      <w:marBottom w:val="0"/>
      <w:divBdr>
        <w:top w:val="none" w:sz="0" w:space="0" w:color="auto"/>
        <w:left w:val="none" w:sz="0" w:space="0" w:color="auto"/>
        <w:bottom w:val="none" w:sz="0" w:space="0" w:color="auto"/>
        <w:right w:val="none" w:sz="0" w:space="0" w:color="auto"/>
      </w:divBdr>
    </w:div>
    <w:div w:id="764305902">
      <w:bodyDiv w:val="1"/>
      <w:marLeft w:val="0"/>
      <w:marRight w:val="0"/>
      <w:marTop w:val="0"/>
      <w:marBottom w:val="0"/>
      <w:divBdr>
        <w:top w:val="none" w:sz="0" w:space="0" w:color="auto"/>
        <w:left w:val="none" w:sz="0" w:space="0" w:color="auto"/>
        <w:bottom w:val="none" w:sz="0" w:space="0" w:color="auto"/>
        <w:right w:val="none" w:sz="0" w:space="0" w:color="auto"/>
      </w:divBdr>
    </w:div>
    <w:div w:id="782457884">
      <w:bodyDiv w:val="1"/>
      <w:marLeft w:val="0"/>
      <w:marRight w:val="0"/>
      <w:marTop w:val="0"/>
      <w:marBottom w:val="0"/>
      <w:divBdr>
        <w:top w:val="none" w:sz="0" w:space="0" w:color="auto"/>
        <w:left w:val="none" w:sz="0" w:space="0" w:color="auto"/>
        <w:bottom w:val="none" w:sz="0" w:space="0" w:color="auto"/>
        <w:right w:val="none" w:sz="0" w:space="0" w:color="auto"/>
      </w:divBdr>
    </w:div>
    <w:div w:id="800922588">
      <w:bodyDiv w:val="1"/>
      <w:marLeft w:val="0"/>
      <w:marRight w:val="0"/>
      <w:marTop w:val="0"/>
      <w:marBottom w:val="0"/>
      <w:divBdr>
        <w:top w:val="none" w:sz="0" w:space="0" w:color="auto"/>
        <w:left w:val="none" w:sz="0" w:space="0" w:color="auto"/>
        <w:bottom w:val="none" w:sz="0" w:space="0" w:color="auto"/>
        <w:right w:val="none" w:sz="0" w:space="0" w:color="auto"/>
      </w:divBdr>
    </w:div>
    <w:div w:id="806433253">
      <w:bodyDiv w:val="1"/>
      <w:marLeft w:val="0"/>
      <w:marRight w:val="0"/>
      <w:marTop w:val="0"/>
      <w:marBottom w:val="0"/>
      <w:divBdr>
        <w:top w:val="none" w:sz="0" w:space="0" w:color="auto"/>
        <w:left w:val="none" w:sz="0" w:space="0" w:color="auto"/>
        <w:bottom w:val="none" w:sz="0" w:space="0" w:color="auto"/>
        <w:right w:val="none" w:sz="0" w:space="0" w:color="auto"/>
      </w:divBdr>
    </w:div>
    <w:div w:id="812604556">
      <w:bodyDiv w:val="1"/>
      <w:marLeft w:val="0"/>
      <w:marRight w:val="0"/>
      <w:marTop w:val="0"/>
      <w:marBottom w:val="0"/>
      <w:divBdr>
        <w:top w:val="none" w:sz="0" w:space="0" w:color="auto"/>
        <w:left w:val="none" w:sz="0" w:space="0" w:color="auto"/>
        <w:bottom w:val="none" w:sz="0" w:space="0" w:color="auto"/>
        <w:right w:val="none" w:sz="0" w:space="0" w:color="auto"/>
      </w:divBdr>
    </w:div>
    <w:div w:id="861937608">
      <w:bodyDiv w:val="1"/>
      <w:marLeft w:val="0"/>
      <w:marRight w:val="0"/>
      <w:marTop w:val="0"/>
      <w:marBottom w:val="0"/>
      <w:divBdr>
        <w:top w:val="none" w:sz="0" w:space="0" w:color="auto"/>
        <w:left w:val="none" w:sz="0" w:space="0" w:color="auto"/>
        <w:bottom w:val="none" w:sz="0" w:space="0" w:color="auto"/>
        <w:right w:val="none" w:sz="0" w:space="0" w:color="auto"/>
      </w:divBdr>
    </w:div>
    <w:div w:id="872378460">
      <w:bodyDiv w:val="1"/>
      <w:marLeft w:val="0"/>
      <w:marRight w:val="0"/>
      <w:marTop w:val="0"/>
      <w:marBottom w:val="0"/>
      <w:divBdr>
        <w:top w:val="none" w:sz="0" w:space="0" w:color="auto"/>
        <w:left w:val="none" w:sz="0" w:space="0" w:color="auto"/>
        <w:bottom w:val="none" w:sz="0" w:space="0" w:color="auto"/>
        <w:right w:val="none" w:sz="0" w:space="0" w:color="auto"/>
      </w:divBdr>
    </w:div>
    <w:div w:id="874269424">
      <w:bodyDiv w:val="1"/>
      <w:marLeft w:val="0"/>
      <w:marRight w:val="0"/>
      <w:marTop w:val="0"/>
      <w:marBottom w:val="0"/>
      <w:divBdr>
        <w:top w:val="none" w:sz="0" w:space="0" w:color="auto"/>
        <w:left w:val="none" w:sz="0" w:space="0" w:color="auto"/>
        <w:bottom w:val="none" w:sz="0" w:space="0" w:color="auto"/>
        <w:right w:val="none" w:sz="0" w:space="0" w:color="auto"/>
      </w:divBdr>
    </w:div>
    <w:div w:id="876703631">
      <w:bodyDiv w:val="1"/>
      <w:marLeft w:val="0"/>
      <w:marRight w:val="0"/>
      <w:marTop w:val="0"/>
      <w:marBottom w:val="0"/>
      <w:divBdr>
        <w:top w:val="none" w:sz="0" w:space="0" w:color="auto"/>
        <w:left w:val="none" w:sz="0" w:space="0" w:color="auto"/>
        <w:bottom w:val="none" w:sz="0" w:space="0" w:color="auto"/>
        <w:right w:val="none" w:sz="0" w:space="0" w:color="auto"/>
      </w:divBdr>
    </w:div>
    <w:div w:id="910310091">
      <w:bodyDiv w:val="1"/>
      <w:marLeft w:val="0"/>
      <w:marRight w:val="0"/>
      <w:marTop w:val="0"/>
      <w:marBottom w:val="0"/>
      <w:divBdr>
        <w:top w:val="none" w:sz="0" w:space="0" w:color="auto"/>
        <w:left w:val="none" w:sz="0" w:space="0" w:color="auto"/>
        <w:bottom w:val="none" w:sz="0" w:space="0" w:color="auto"/>
        <w:right w:val="none" w:sz="0" w:space="0" w:color="auto"/>
      </w:divBdr>
    </w:div>
    <w:div w:id="990013978">
      <w:bodyDiv w:val="1"/>
      <w:marLeft w:val="0"/>
      <w:marRight w:val="0"/>
      <w:marTop w:val="0"/>
      <w:marBottom w:val="0"/>
      <w:divBdr>
        <w:top w:val="none" w:sz="0" w:space="0" w:color="auto"/>
        <w:left w:val="none" w:sz="0" w:space="0" w:color="auto"/>
        <w:bottom w:val="none" w:sz="0" w:space="0" w:color="auto"/>
        <w:right w:val="none" w:sz="0" w:space="0" w:color="auto"/>
      </w:divBdr>
    </w:div>
    <w:div w:id="1011178610">
      <w:bodyDiv w:val="1"/>
      <w:marLeft w:val="0"/>
      <w:marRight w:val="0"/>
      <w:marTop w:val="0"/>
      <w:marBottom w:val="0"/>
      <w:divBdr>
        <w:top w:val="none" w:sz="0" w:space="0" w:color="auto"/>
        <w:left w:val="none" w:sz="0" w:space="0" w:color="auto"/>
        <w:bottom w:val="none" w:sz="0" w:space="0" w:color="auto"/>
        <w:right w:val="none" w:sz="0" w:space="0" w:color="auto"/>
      </w:divBdr>
    </w:div>
    <w:div w:id="1038891394">
      <w:bodyDiv w:val="1"/>
      <w:marLeft w:val="0"/>
      <w:marRight w:val="0"/>
      <w:marTop w:val="0"/>
      <w:marBottom w:val="0"/>
      <w:divBdr>
        <w:top w:val="none" w:sz="0" w:space="0" w:color="auto"/>
        <w:left w:val="none" w:sz="0" w:space="0" w:color="auto"/>
        <w:bottom w:val="none" w:sz="0" w:space="0" w:color="auto"/>
        <w:right w:val="none" w:sz="0" w:space="0" w:color="auto"/>
      </w:divBdr>
    </w:div>
    <w:div w:id="1040472969">
      <w:bodyDiv w:val="1"/>
      <w:marLeft w:val="0"/>
      <w:marRight w:val="0"/>
      <w:marTop w:val="0"/>
      <w:marBottom w:val="0"/>
      <w:divBdr>
        <w:top w:val="none" w:sz="0" w:space="0" w:color="auto"/>
        <w:left w:val="none" w:sz="0" w:space="0" w:color="auto"/>
        <w:bottom w:val="none" w:sz="0" w:space="0" w:color="auto"/>
        <w:right w:val="none" w:sz="0" w:space="0" w:color="auto"/>
      </w:divBdr>
    </w:div>
    <w:div w:id="1044793754">
      <w:bodyDiv w:val="1"/>
      <w:marLeft w:val="0"/>
      <w:marRight w:val="0"/>
      <w:marTop w:val="0"/>
      <w:marBottom w:val="0"/>
      <w:divBdr>
        <w:top w:val="none" w:sz="0" w:space="0" w:color="auto"/>
        <w:left w:val="none" w:sz="0" w:space="0" w:color="auto"/>
        <w:bottom w:val="none" w:sz="0" w:space="0" w:color="auto"/>
        <w:right w:val="none" w:sz="0" w:space="0" w:color="auto"/>
      </w:divBdr>
    </w:div>
    <w:div w:id="1052194551">
      <w:bodyDiv w:val="1"/>
      <w:marLeft w:val="0"/>
      <w:marRight w:val="0"/>
      <w:marTop w:val="0"/>
      <w:marBottom w:val="0"/>
      <w:divBdr>
        <w:top w:val="none" w:sz="0" w:space="0" w:color="auto"/>
        <w:left w:val="none" w:sz="0" w:space="0" w:color="auto"/>
        <w:bottom w:val="none" w:sz="0" w:space="0" w:color="auto"/>
        <w:right w:val="none" w:sz="0" w:space="0" w:color="auto"/>
      </w:divBdr>
    </w:div>
    <w:div w:id="1080907399">
      <w:bodyDiv w:val="1"/>
      <w:marLeft w:val="0"/>
      <w:marRight w:val="0"/>
      <w:marTop w:val="0"/>
      <w:marBottom w:val="0"/>
      <w:divBdr>
        <w:top w:val="none" w:sz="0" w:space="0" w:color="auto"/>
        <w:left w:val="none" w:sz="0" w:space="0" w:color="auto"/>
        <w:bottom w:val="none" w:sz="0" w:space="0" w:color="auto"/>
        <w:right w:val="none" w:sz="0" w:space="0" w:color="auto"/>
      </w:divBdr>
    </w:div>
    <w:div w:id="1084035651">
      <w:bodyDiv w:val="1"/>
      <w:marLeft w:val="0"/>
      <w:marRight w:val="0"/>
      <w:marTop w:val="0"/>
      <w:marBottom w:val="0"/>
      <w:divBdr>
        <w:top w:val="none" w:sz="0" w:space="0" w:color="auto"/>
        <w:left w:val="none" w:sz="0" w:space="0" w:color="auto"/>
        <w:bottom w:val="none" w:sz="0" w:space="0" w:color="auto"/>
        <w:right w:val="none" w:sz="0" w:space="0" w:color="auto"/>
      </w:divBdr>
    </w:div>
    <w:div w:id="1117455865">
      <w:bodyDiv w:val="1"/>
      <w:marLeft w:val="0"/>
      <w:marRight w:val="0"/>
      <w:marTop w:val="0"/>
      <w:marBottom w:val="0"/>
      <w:divBdr>
        <w:top w:val="none" w:sz="0" w:space="0" w:color="auto"/>
        <w:left w:val="none" w:sz="0" w:space="0" w:color="auto"/>
        <w:bottom w:val="none" w:sz="0" w:space="0" w:color="auto"/>
        <w:right w:val="none" w:sz="0" w:space="0" w:color="auto"/>
      </w:divBdr>
    </w:div>
    <w:div w:id="1132361075">
      <w:bodyDiv w:val="1"/>
      <w:marLeft w:val="0"/>
      <w:marRight w:val="0"/>
      <w:marTop w:val="0"/>
      <w:marBottom w:val="0"/>
      <w:divBdr>
        <w:top w:val="none" w:sz="0" w:space="0" w:color="auto"/>
        <w:left w:val="none" w:sz="0" w:space="0" w:color="auto"/>
        <w:bottom w:val="none" w:sz="0" w:space="0" w:color="auto"/>
        <w:right w:val="none" w:sz="0" w:space="0" w:color="auto"/>
      </w:divBdr>
    </w:div>
    <w:div w:id="1135177357">
      <w:bodyDiv w:val="1"/>
      <w:marLeft w:val="0"/>
      <w:marRight w:val="0"/>
      <w:marTop w:val="0"/>
      <w:marBottom w:val="0"/>
      <w:divBdr>
        <w:top w:val="none" w:sz="0" w:space="0" w:color="auto"/>
        <w:left w:val="none" w:sz="0" w:space="0" w:color="auto"/>
        <w:bottom w:val="none" w:sz="0" w:space="0" w:color="auto"/>
        <w:right w:val="none" w:sz="0" w:space="0" w:color="auto"/>
      </w:divBdr>
    </w:div>
    <w:div w:id="1163231205">
      <w:bodyDiv w:val="1"/>
      <w:marLeft w:val="0"/>
      <w:marRight w:val="0"/>
      <w:marTop w:val="0"/>
      <w:marBottom w:val="0"/>
      <w:divBdr>
        <w:top w:val="none" w:sz="0" w:space="0" w:color="auto"/>
        <w:left w:val="none" w:sz="0" w:space="0" w:color="auto"/>
        <w:bottom w:val="none" w:sz="0" w:space="0" w:color="auto"/>
        <w:right w:val="none" w:sz="0" w:space="0" w:color="auto"/>
      </w:divBdr>
    </w:div>
    <w:div w:id="1167207529">
      <w:bodyDiv w:val="1"/>
      <w:marLeft w:val="0"/>
      <w:marRight w:val="0"/>
      <w:marTop w:val="0"/>
      <w:marBottom w:val="0"/>
      <w:divBdr>
        <w:top w:val="none" w:sz="0" w:space="0" w:color="auto"/>
        <w:left w:val="none" w:sz="0" w:space="0" w:color="auto"/>
        <w:bottom w:val="none" w:sz="0" w:space="0" w:color="auto"/>
        <w:right w:val="none" w:sz="0" w:space="0" w:color="auto"/>
      </w:divBdr>
    </w:div>
    <w:div w:id="1208448933">
      <w:bodyDiv w:val="1"/>
      <w:marLeft w:val="0"/>
      <w:marRight w:val="0"/>
      <w:marTop w:val="0"/>
      <w:marBottom w:val="0"/>
      <w:divBdr>
        <w:top w:val="none" w:sz="0" w:space="0" w:color="auto"/>
        <w:left w:val="none" w:sz="0" w:space="0" w:color="auto"/>
        <w:bottom w:val="none" w:sz="0" w:space="0" w:color="auto"/>
        <w:right w:val="none" w:sz="0" w:space="0" w:color="auto"/>
      </w:divBdr>
    </w:div>
    <w:div w:id="1230574404">
      <w:bodyDiv w:val="1"/>
      <w:marLeft w:val="0"/>
      <w:marRight w:val="0"/>
      <w:marTop w:val="0"/>
      <w:marBottom w:val="0"/>
      <w:divBdr>
        <w:top w:val="none" w:sz="0" w:space="0" w:color="auto"/>
        <w:left w:val="none" w:sz="0" w:space="0" w:color="auto"/>
        <w:bottom w:val="none" w:sz="0" w:space="0" w:color="auto"/>
        <w:right w:val="none" w:sz="0" w:space="0" w:color="auto"/>
      </w:divBdr>
    </w:div>
    <w:div w:id="1269695522">
      <w:bodyDiv w:val="1"/>
      <w:marLeft w:val="0"/>
      <w:marRight w:val="0"/>
      <w:marTop w:val="0"/>
      <w:marBottom w:val="0"/>
      <w:divBdr>
        <w:top w:val="none" w:sz="0" w:space="0" w:color="auto"/>
        <w:left w:val="none" w:sz="0" w:space="0" w:color="auto"/>
        <w:bottom w:val="none" w:sz="0" w:space="0" w:color="auto"/>
        <w:right w:val="none" w:sz="0" w:space="0" w:color="auto"/>
      </w:divBdr>
    </w:div>
    <w:div w:id="1274631495">
      <w:bodyDiv w:val="1"/>
      <w:marLeft w:val="0"/>
      <w:marRight w:val="0"/>
      <w:marTop w:val="0"/>
      <w:marBottom w:val="0"/>
      <w:divBdr>
        <w:top w:val="none" w:sz="0" w:space="0" w:color="auto"/>
        <w:left w:val="none" w:sz="0" w:space="0" w:color="auto"/>
        <w:bottom w:val="none" w:sz="0" w:space="0" w:color="auto"/>
        <w:right w:val="none" w:sz="0" w:space="0" w:color="auto"/>
      </w:divBdr>
    </w:div>
    <w:div w:id="1320500662">
      <w:bodyDiv w:val="1"/>
      <w:marLeft w:val="0"/>
      <w:marRight w:val="0"/>
      <w:marTop w:val="0"/>
      <w:marBottom w:val="0"/>
      <w:divBdr>
        <w:top w:val="none" w:sz="0" w:space="0" w:color="auto"/>
        <w:left w:val="none" w:sz="0" w:space="0" w:color="auto"/>
        <w:bottom w:val="none" w:sz="0" w:space="0" w:color="auto"/>
        <w:right w:val="none" w:sz="0" w:space="0" w:color="auto"/>
      </w:divBdr>
    </w:div>
    <w:div w:id="1344671761">
      <w:bodyDiv w:val="1"/>
      <w:marLeft w:val="0"/>
      <w:marRight w:val="0"/>
      <w:marTop w:val="0"/>
      <w:marBottom w:val="0"/>
      <w:divBdr>
        <w:top w:val="none" w:sz="0" w:space="0" w:color="auto"/>
        <w:left w:val="none" w:sz="0" w:space="0" w:color="auto"/>
        <w:bottom w:val="none" w:sz="0" w:space="0" w:color="auto"/>
        <w:right w:val="none" w:sz="0" w:space="0" w:color="auto"/>
      </w:divBdr>
      <w:divsChild>
        <w:div w:id="1732383337">
          <w:marLeft w:val="0"/>
          <w:marRight w:val="0"/>
          <w:marTop w:val="0"/>
          <w:marBottom w:val="0"/>
          <w:divBdr>
            <w:top w:val="none" w:sz="0" w:space="0" w:color="auto"/>
            <w:left w:val="none" w:sz="0" w:space="0" w:color="auto"/>
            <w:bottom w:val="none" w:sz="0" w:space="0" w:color="auto"/>
            <w:right w:val="none" w:sz="0" w:space="0" w:color="auto"/>
          </w:divBdr>
        </w:div>
      </w:divsChild>
    </w:div>
    <w:div w:id="1355767758">
      <w:bodyDiv w:val="1"/>
      <w:marLeft w:val="0"/>
      <w:marRight w:val="0"/>
      <w:marTop w:val="0"/>
      <w:marBottom w:val="0"/>
      <w:divBdr>
        <w:top w:val="none" w:sz="0" w:space="0" w:color="auto"/>
        <w:left w:val="none" w:sz="0" w:space="0" w:color="auto"/>
        <w:bottom w:val="none" w:sz="0" w:space="0" w:color="auto"/>
        <w:right w:val="none" w:sz="0" w:space="0" w:color="auto"/>
      </w:divBdr>
    </w:div>
    <w:div w:id="1357004520">
      <w:bodyDiv w:val="1"/>
      <w:marLeft w:val="0"/>
      <w:marRight w:val="0"/>
      <w:marTop w:val="0"/>
      <w:marBottom w:val="0"/>
      <w:divBdr>
        <w:top w:val="none" w:sz="0" w:space="0" w:color="auto"/>
        <w:left w:val="none" w:sz="0" w:space="0" w:color="auto"/>
        <w:bottom w:val="none" w:sz="0" w:space="0" w:color="auto"/>
        <w:right w:val="none" w:sz="0" w:space="0" w:color="auto"/>
      </w:divBdr>
    </w:div>
    <w:div w:id="1371997226">
      <w:bodyDiv w:val="1"/>
      <w:marLeft w:val="0"/>
      <w:marRight w:val="0"/>
      <w:marTop w:val="0"/>
      <w:marBottom w:val="0"/>
      <w:divBdr>
        <w:top w:val="none" w:sz="0" w:space="0" w:color="auto"/>
        <w:left w:val="none" w:sz="0" w:space="0" w:color="auto"/>
        <w:bottom w:val="none" w:sz="0" w:space="0" w:color="auto"/>
        <w:right w:val="none" w:sz="0" w:space="0" w:color="auto"/>
      </w:divBdr>
    </w:div>
    <w:div w:id="1388995521">
      <w:bodyDiv w:val="1"/>
      <w:marLeft w:val="0"/>
      <w:marRight w:val="0"/>
      <w:marTop w:val="0"/>
      <w:marBottom w:val="0"/>
      <w:divBdr>
        <w:top w:val="none" w:sz="0" w:space="0" w:color="auto"/>
        <w:left w:val="none" w:sz="0" w:space="0" w:color="auto"/>
        <w:bottom w:val="none" w:sz="0" w:space="0" w:color="auto"/>
        <w:right w:val="none" w:sz="0" w:space="0" w:color="auto"/>
      </w:divBdr>
    </w:div>
    <w:div w:id="1391269349">
      <w:bodyDiv w:val="1"/>
      <w:marLeft w:val="0"/>
      <w:marRight w:val="0"/>
      <w:marTop w:val="0"/>
      <w:marBottom w:val="0"/>
      <w:divBdr>
        <w:top w:val="none" w:sz="0" w:space="0" w:color="auto"/>
        <w:left w:val="none" w:sz="0" w:space="0" w:color="auto"/>
        <w:bottom w:val="none" w:sz="0" w:space="0" w:color="auto"/>
        <w:right w:val="none" w:sz="0" w:space="0" w:color="auto"/>
      </w:divBdr>
    </w:div>
    <w:div w:id="1404985016">
      <w:bodyDiv w:val="1"/>
      <w:marLeft w:val="0"/>
      <w:marRight w:val="0"/>
      <w:marTop w:val="0"/>
      <w:marBottom w:val="0"/>
      <w:divBdr>
        <w:top w:val="none" w:sz="0" w:space="0" w:color="auto"/>
        <w:left w:val="none" w:sz="0" w:space="0" w:color="auto"/>
        <w:bottom w:val="none" w:sz="0" w:space="0" w:color="auto"/>
        <w:right w:val="none" w:sz="0" w:space="0" w:color="auto"/>
      </w:divBdr>
    </w:div>
    <w:div w:id="1418205702">
      <w:bodyDiv w:val="1"/>
      <w:marLeft w:val="0"/>
      <w:marRight w:val="0"/>
      <w:marTop w:val="0"/>
      <w:marBottom w:val="0"/>
      <w:divBdr>
        <w:top w:val="none" w:sz="0" w:space="0" w:color="auto"/>
        <w:left w:val="none" w:sz="0" w:space="0" w:color="auto"/>
        <w:bottom w:val="none" w:sz="0" w:space="0" w:color="auto"/>
        <w:right w:val="none" w:sz="0" w:space="0" w:color="auto"/>
      </w:divBdr>
    </w:div>
    <w:div w:id="1426074694">
      <w:bodyDiv w:val="1"/>
      <w:marLeft w:val="0"/>
      <w:marRight w:val="0"/>
      <w:marTop w:val="0"/>
      <w:marBottom w:val="0"/>
      <w:divBdr>
        <w:top w:val="none" w:sz="0" w:space="0" w:color="auto"/>
        <w:left w:val="none" w:sz="0" w:space="0" w:color="auto"/>
        <w:bottom w:val="none" w:sz="0" w:space="0" w:color="auto"/>
        <w:right w:val="none" w:sz="0" w:space="0" w:color="auto"/>
      </w:divBdr>
    </w:div>
    <w:div w:id="1426077342">
      <w:bodyDiv w:val="1"/>
      <w:marLeft w:val="0"/>
      <w:marRight w:val="0"/>
      <w:marTop w:val="0"/>
      <w:marBottom w:val="0"/>
      <w:divBdr>
        <w:top w:val="none" w:sz="0" w:space="0" w:color="auto"/>
        <w:left w:val="none" w:sz="0" w:space="0" w:color="auto"/>
        <w:bottom w:val="none" w:sz="0" w:space="0" w:color="auto"/>
        <w:right w:val="none" w:sz="0" w:space="0" w:color="auto"/>
      </w:divBdr>
    </w:div>
    <w:div w:id="1437486396">
      <w:bodyDiv w:val="1"/>
      <w:marLeft w:val="0"/>
      <w:marRight w:val="0"/>
      <w:marTop w:val="0"/>
      <w:marBottom w:val="0"/>
      <w:divBdr>
        <w:top w:val="none" w:sz="0" w:space="0" w:color="auto"/>
        <w:left w:val="none" w:sz="0" w:space="0" w:color="auto"/>
        <w:bottom w:val="none" w:sz="0" w:space="0" w:color="auto"/>
        <w:right w:val="none" w:sz="0" w:space="0" w:color="auto"/>
      </w:divBdr>
    </w:div>
    <w:div w:id="1459951743">
      <w:bodyDiv w:val="1"/>
      <w:marLeft w:val="0"/>
      <w:marRight w:val="0"/>
      <w:marTop w:val="0"/>
      <w:marBottom w:val="0"/>
      <w:divBdr>
        <w:top w:val="none" w:sz="0" w:space="0" w:color="auto"/>
        <w:left w:val="none" w:sz="0" w:space="0" w:color="auto"/>
        <w:bottom w:val="none" w:sz="0" w:space="0" w:color="auto"/>
        <w:right w:val="none" w:sz="0" w:space="0" w:color="auto"/>
      </w:divBdr>
    </w:div>
    <w:div w:id="1465192402">
      <w:bodyDiv w:val="1"/>
      <w:marLeft w:val="0"/>
      <w:marRight w:val="0"/>
      <w:marTop w:val="0"/>
      <w:marBottom w:val="0"/>
      <w:divBdr>
        <w:top w:val="none" w:sz="0" w:space="0" w:color="auto"/>
        <w:left w:val="none" w:sz="0" w:space="0" w:color="auto"/>
        <w:bottom w:val="none" w:sz="0" w:space="0" w:color="auto"/>
        <w:right w:val="none" w:sz="0" w:space="0" w:color="auto"/>
      </w:divBdr>
    </w:div>
    <w:div w:id="1484812428">
      <w:bodyDiv w:val="1"/>
      <w:marLeft w:val="0"/>
      <w:marRight w:val="0"/>
      <w:marTop w:val="0"/>
      <w:marBottom w:val="0"/>
      <w:divBdr>
        <w:top w:val="none" w:sz="0" w:space="0" w:color="auto"/>
        <w:left w:val="none" w:sz="0" w:space="0" w:color="auto"/>
        <w:bottom w:val="none" w:sz="0" w:space="0" w:color="auto"/>
        <w:right w:val="none" w:sz="0" w:space="0" w:color="auto"/>
      </w:divBdr>
    </w:div>
    <w:div w:id="1497959296">
      <w:bodyDiv w:val="1"/>
      <w:marLeft w:val="0"/>
      <w:marRight w:val="0"/>
      <w:marTop w:val="0"/>
      <w:marBottom w:val="0"/>
      <w:divBdr>
        <w:top w:val="none" w:sz="0" w:space="0" w:color="auto"/>
        <w:left w:val="none" w:sz="0" w:space="0" w:color="auto"/>
        <w:bottom w:val="none" w:sz="0" w:space="0" w:color="auto"/>
        <w:right w:val="none" w:sz="0" w:space="0" w:color="auto"/>
      </w:divBdr>
    </w:div>
    <w:div w:id="1509097717">
      <w:bodyDiv w:val="1"/>
      <w:marLeft w:val="0"/>
      <w:marRight w:val="0"/>
      <w:marTop w:val="0"/>
      <w:marBottom w:val="0"/>
      <w:divBdr>
        <w:top w:val="none" w:sz="0" w:space="0" w:color="auto"/>
        <w:left w:val="none" w:sz="0" w:space="0" w:color="auto"/>
        <w:bottom w:val="none" w:sz="0" w:space="0" w:color="auto"/>
        <w:right w:val="none" w:sz="0" w:space="0" w:color="auto"/>
      </w:divBdr>
    </w:div>
    <w:div w:id="1532454963">
      <w:bodyDiv w:val="1"/>
      <w:marLeft w:val="0"/>
      <w:marRight w:val="0"/>
      <w:marTop w:val="0"/>
      <w:marBottom w:val="0"/>
      <w:divBdr>
        <w:top w:val="none" w:sz="0" w:space="0" w:color="auto"/>
        <w:left w:val="none" w:sz="0" w:space="0" w:color="auto"/>
        <w:bottom w:val="none" w:sz="0" w:space="0" w:color="auto"/>
        <w:right w:val="none" w:sz="0" w:space="0" w:color="auto"/>
      </w:divBdr>
    </w:div>
    <w:div w:id="1554074978">
      <w:bodyDiv w:val="1"/>
      <w:marLeft w:val="0"/>
      <w:marRight w:val="0"/>
      <w:marTop w:val="0"/>
      <w:marBottom w:val="0"/>
      <w:divBdr>
        <w:top w:val="none" w:sz="0" w:space="0" w:color="auto"/>
        <w:left w:val="none" w:sz="0" w:space="0" w:color="auto"/>
        <w:bottom w:val="none" w:sz="0" w:space="0" w:color="auto"/>
        <w:right w:val="none" w:sz="0" w:space="0" w:color="auto"/>
      </w:divBdr>
    </w:div>
    <w:div w:id="1556508963">
      <w:bodyDiv w:val="1"/>
      <w:marLeft w:val="0"/>
      <w:marRight w:val="0"/>
      <w:marTop w:val="0"/>
      <w:marBottom w:val="0"/>
      <w:divBdr>
        <w:top w:val="none" w:sz="0" w:space="0" w:color="auto"/>
        <w:left w:val="none" w:sz="0" w:space="0" w:color="auto"/>
        <w:bottom w:val="none" w:sz="0" w:space="0" w:color="auto"/>
        <w:right w:val="none" w:sz="0" w:space="0" w:color="auto"/>
      </w:divBdr>
    </w:div>
    <w:div w:id="1565677003">
      <w:bodyDiv w:val="1"/>
      <w:marLeft w:val="0"/>
      <w:marRight w:val="0"/>
      <w:marTop w:val="0"/>
      <w:marBottom w:val="0"/>
      <w:divBdr>
        <w:top w:val="none" w:sz="0" w:space="0" w:color="auto"/>
        <w:left w:val="none" w:sz="0" w:space="0" w:color="auto"/>
        <w:bottom w:val="none" w:sz="0" w:space="0" w:color="auto"/>
        <w:right w:val="none" w:sz="0" w:space="0" w:color="auto"/>
      </w:divBdr>
    </w:div>
    <w:div w:id="1584991716">
      <w:bodyDiv w:val="1"/>
      <w:marLeft w:val="0"/>
      <w:marRight w:val="0"/>
      <w:marTop w:val="0"/>
      <w:marBottom w:val="0"/>
      <w:divBdr>
        <w:top w:val="none" w:sz="0" w:space="0" w:color="auto"/>
        <w:left w:val="none" w:sz="0" w:space="0" w:color="auto"/>
        <w:bottom w:val="none" w:sz="0" w:space="0" w:color="auto"/>
        <w:right w:val="none" w:sz="0" w:space="0" w:color="auto"/>
      </w:divBdr>
    </w:div>
    <w:div w:id="1587571436">
      <w:bodyDiv w:val="1"/>
      <w:marLeft w:val="0"/>
      <w:marRight w:val="0"/>
      <w:marTop w:val="0"/>
      <w:marBottom w:val="0"/>
      <w:divBdr>
        <w:top w:val="none" w:sz="0" w:space="0" w:color="auto"/>
        <w:left w:val="none" w:sz="0" w:space="0" w:color="auto"/>
        <w:bottom w:val="none" w:sz="0" w:space="0" w:color="auto"/>
        <w:right w:val="none" w:sz="0" w:space="0" w:color="auto"/>
      </w:divBdr>
    </w:div>
    <w:div w:id="1594312634">
      <w:bodyDiv w:val="1"/>
      <w:marLeft w:val="0"/>
      <w:marRight w:val="0"/>
      <w:marTop w:val="0"/>
      <w:marBottom w:val="0"/>
      <w:divBdr>
        <w:top w:val="none" w:sz="0" w:space="0" w:color="auto"/>
        <w:left w:val="none" w:sz="0" w:space="0" w:color="auto"/>
        <w:bottom w:val="none" w:sz="0" w:space="0" w:color="auto"/>
        <w:right w:val="none" w:sz="0" w:space="0" w:color="auto"/>
      </w:divBdr>
    </w:div>
    <w:div w:id="1617835691">
      <w:bodyDiv w:val="1"/>
      <w:marLeft w:val="0"/>
      <w:marRight w:val="0"/>
      <w:marTop w:val="0"/>
      <w:marBottom w:val="0"/>
      <w:divBdr>
        <w:top w:val="none" w:sz="0" w:space="0" w:color="auto"/>
        <w:left w:val="none" w:sz="0" w:space="0" w:color="auto"/>
        <w:bottom w:val="none" w:sz="0" w:space="0" w:color="auto"/>
        <w:right w:val="none" w:sz="0" w:space="0" w:color="auto"/>
      </w:divBdr>
    </w:div>
    <w:div w:id="1619682647">
      <w:bodyDiv w:val="1"/>
      <w:marLeft w:val="0"/>
      <w:marRight w:val="0"/>
      <w:marTop w:val="0"/>
      <w:marBottom w:val="0"/>
      <w:divBdr>
        <w:top w:val="none" w:sz="0" w:space="0" w:color="auto"/>
        <w:left w:val="none" w:sz="0" w:space="0" w:color="auto"/>
        <w:bottom w:val="none" w:sz="0" w:space="0" w:color="auto"/>
        <w:right w:val="none" w:sz="0" w:space="0" w:color="auto"/>
      </w:divBdr>
    </w:div>
    <w:div w:id="1671105075">
      <w:bodyDiv w:val="1"/>
      <w:marLeft w:val="0"/>
      <w:marRight w:val="0"/>
      <w:marTop w:val="0"/>
      <w:marBottom w:val="0"/>
      <w:divBdr>
        <w:top w:val="none" w:sz="0" w:space="0" w:color="auto"/>
        <w:left w:val="none" w:sz="0" w:space="0" w:color="auto"/>
        <w:bottom w:val="none" w:sz="0" w:space="0" w:color="auto"/>
        <w:right w:val="none" w:sz="0" w:space="0" w:color="auto"/>
      </w:divBdr>
    </w:div>
    <w:div w:id="1688092082">
      <w:bodyDiv w:val="1"/>
      <w:marLeft w:val="0"/>
      <w:marRight w:val="0"/>
      <w:marTop w:val="0"/>
      <w:marBottom w:val="0"/>
      <w:divBdr>
        <w:top w:val="none" w:sz="0" w:space="0" w:color="auto"/>
        <w:left w:val="none" w:sz="0" w:space="0" w:color="auto"/>
        <w:bottom w:val="none" w:sz="0" w:space="0" w:color="auto"/>
        <w:right w:val="none" w:sz="0" w:space="0" w:color="auto"/>
      </w:divBdr>
    </w:div>
    <w:div w:id="1698584057">
      <w:bodyDiv w:val="1"/>
      <w:marLeft w:val="0"/>
      <w:marRight w:val="0"/>
      <w:marTop w:val="0"/>
      <w:marBottom w:val="0"/>
      <w:divBdr>
        <w:top w:val="none" w:sz="0" w:space="0" w:color="auto"/>
        <w:left w:val="none" w:sz="0" w:space="0" w:color="auto"/>
        <w:bottom w:val="none" w:sz="0" w:space="0" w:color="auto"/>
        <w:right w:val="none" w:sz="0" w:space="0" w:color="auto"/>
      </w:divBdr>
    </w:div>
    <w:div w:id="1711176753">
      <w:bodyDiv w:val="1"/>
      <w:marLeft w:val="0"/>
      <w:marRight w:val="0"/>
      <w:marTop w:val="0"/>
      <w:marBottom w:val="0"/>
      <w:divBdr>
        <w:top w:val="none" w:sz="0" w:space="0" w:color="auto"/>
        <w:left w:val="none" w:sz="0" w:space="0" w:color="auto"/>
        <w:bottom w:val="none" w:sz="0" w:space="0" w:color="auto"/>
        <w:right w:val="none" w:sz="0" w:space="0" w:color="auto"/>
      </w:divBdr>
    </w:div>
    <w:div w:id="1711221921">
      <w:bodyDiv w:val="1"/>
      <w:marLeft w:val="0"/>
      <w:marRight w:val="0"/>
      <w:marTop w:val="0"/>
      <w:marBottom w:val="0"/>
      <w:divBdr>
        <w:top w:val="none" w:sz="0" w:space="0" w:color="auto"/>
        <w:left w:val="none" w:sz="0" w:space="0" w:color="auto"/>
        <w:bottom w:val="none" w:sz="0" w:space="0" w:color="auto"/>
        <w:right w:val="none" w:sz="0" w:space="0" w:color="auto"/>
      </w:divBdr>
      <w:divsChild>
        <w:div w:id="1545870878">
          <w:marLeft w:val="0"/>
          <w:marRight w:val="0"/>
          <w:marTop w:val="0"/>
          <w:marBottom w:val="0"/>
          <w:divBdr>
            <w:top w:val="none" w:sz="0" w:space="0" w:color="auto"/>
            <w:left w:val="none" w:sz="0" w:space="0" w:color="auto"/>
            <w:bottom w:val="none" w:sz="0" w:space="0" w:color="auto"/>
            <w:right w:val="none" w:sz="0" w:space="0" w:color="auto"/>
          </w:divBdr>
        </w:div>
      </w:divsChild>
    </w:div>
    <w:div w:id="1725567048">
      <w:bodyDiv w:val="1"/>
      <w:marLeft w:val="0"/>
      <w:marRight w:val="0"/>
      <w:marTop w:val="0"/>
      <w:marBottom w:val="0"/>
      <w:divBdr>
        <w:top w:val="none" w:sz="0" w:space="0" w:color="auto"/>
        <w:left w:val="none" w:sz="0" w:space="0" w:color="auto"/>
        <w:bottom w:val="none" w:sz="0" w:space="0" w:color="auto"/>
        <w:right w:val="none" w:sz="0" w:space="0" w:color="auto"/>
      </w:divBdr>
    </w:div>
    <w:div w:id="1743746727">
      <w:bodyDiv w:val="1"/>
      <w:marLeft w:val="0"/>
      <w:marRight w:val="0"/>
      <w:marTop w:val="0"/>
      <w:marBottom w:val="0"/>
      <w:divBdr>
        <w:top w:val="none" w:sz="0" w:space="0" w:color="auto"/>
        <w:left w:val="none" w:sz="0" w:space="0" w:color="auto"/>
        <w:bottom w:val="none" w:sz="0" w:space="0" w:color="auto"/>
        <w:right w:val="none" w:sz="0" w:space="0" w:color="auto"/>
      </w:divBdr>
    </w:div>
    <w:div w:id="1747919121">
      <w:bodyDiv w:val="1"/>
      <w:marLeft w:val="0"/>
      <w:marRight w:val="0"/>
      <w:marTop w:val="0"/>
      <w:marBottom w:val="0"/>
      <w:divBdr>
        <w:top w:val="none" w:sz="0" w:space="0" w:color="auto"/>
        <w:left w:val="none" w:sz="0" w:space="0" w:color="auto"/>
        <w:bottom w:val="none" w:sz="0" w:space="0" w:color="auto"/>
        <w:right w:val="none" w:sz="0" w:space="0" w:color="auto"/>
      </w:divBdr>
    </w:div>
    <w:div w:id="1776779094">
      <w:bodyDiv w:val="1"/>
      <w:marLeft w:val="0"/>
      <w:marRight w:val="0"/>
      <w:marTop w:val="0"/>
      <w:marBottom w:val="0"/>
      <w:divBdr>
        <w:top w:val="none" w:sz="0" w:space="0" w:color="auto"/>
        <w:left w:val="none" w:sz="0" w:space="0" w:color="auto"/>
        <w:bottom w:val="none" w:sz="0" w:space="0" w:color="auto"/>
        <w:right w:val="none" w:sz="0" w:space="0" w:color="auto"/>
      </w:divBdr>
    </w:div>
    <w:div w:id="1846289107">
      <w:bodyDiv w:val="1"/>
      <w:marLeft w:val="0"/>
      <w:marRight w:val="0"/>
      <w:marTop w:val="0"/>
      <w:marBottom w:val="0"/>
      <w:divBdr>
        <w:top w:val="none" w:sz="0" w:space="0" w:color="auto"/>
        <w:left w:val="none" w:sz="0" w:space="0" w:color="auto"/>
        <w:bottom w:val="none" w:sz="0" w:space="0" w:color="auto"/>
        <w:right w:val="none" w:sz="0" w:space="0" w:color="auto"/>
      </w:divBdr>
    </w:div>
    <w:div w:id="1852798097">
      <w:bodyDiv w:val="1"/>
      <w:marLeft w:val="0"/>
      <w:marRight w:val="0"/>
      <w:marTop w:val="0"/>
      <w:marBottom w:val="0"/>
      <w:divBdr>
        <w:top w:val="none" w:sz="0" w:space="0" w:color="auto"/>
        <w:left w:val="none" w:sz="0" w:space="0" w:color="auto"/>
        <w:bottom w:val="none" w:sz="0" w:space="0" w:color="auto"/>
        <w:right w:val="none" w:sz="0" w:space="0" w:color="auto"/>
      </w:divBdr>
    </w:div>
    <w:div w:id="1872835664">
      <w:bodyDiv w:val="1"/>
      <w:marLeft w:val="0"/>
      <w:marRight w:val="0"/>
      <w:marTop w:val="0"/>
      <w:marBottom w:val="0"/>
      <w:divBdr>
        <w:top w:val="none" w:sz="0" w:space="0" w:color="auto"/>
        <w:left w:val="none" w:sz="0" w:space="0" w:color="auto"/>
        <w:bottom w:val="none" w:sz="0" w:space="0" w:color="auto"/>
        <w:right w:val="none" w:sz="0" w:space="0" w:color="auto"/>
      </w:divBdr>
    </w:div>
    <w:div w:id="1874077463">
      <w:bodyDiv w:val="1"/>
      <w:marLeft w:val="0"/>
      <w:marRight w:val="0"/>
      <w:marTop w:val="0"/>
      <w:marBottom w:val="0"/>
      <w:divBdr>
        <w:top w:val="none" w:sz="0" w:space="0" w:color="auto"/>
        <w:left w:val="none" w:sz="0" w:space="0" w:color="auto"/>
        <w:bottom w:val="none" w:sz="0" w:space="0" w:color="auto"/>
        <w:right w:val="none" w:sz="0" w:space="0" w:color="auto"/>
      </w:divBdr>
    </w:div>
    <w:div w:id="1874270544">
      <w:bodyDiv w:val="1"/>
      <w:marLeft w:val="0"/>
      <w:marRight w:val="0"/>
      <w:marTop w:val="0"/>
      <w:marBottom w:val="0"/>
      <w:divBdr>
        <w:top w:val="none" w:sz="0" w:space="0" w:color="auto"/>
        <w:left w:val="none" w:sz="0" w:space="0" w:color="auto"/>
        <w:bottom w:val="none" w:sz="0" w:space="0" w:color="auto"/>
        <w:right w:val="none" w:sz="0" w:space="0" w:color="auto"/>
      </w:divBdr>
    </w:div>
    <w:div w:id="1892616258">
      <w:bodyDiv w:val="1"/>
      <w:marLeft w:val="0"/>
      <w:marRight w:val="0"/>
      <w:marTop w:val="0"/>
      <w:marBottom w:val="0"/>
      <w:divBdr>
        <w:top w:val="none" w:sz="0" w:space="0" w:color="auto"/>
        <w:left w:val="none" w:sz="0" w:space="0" w:color="auto"/>
        <w:bottom w:val="none" w:sz="0" w:space="0" w:color="auto"/>
        <w:right w:val="none" w:sz="0" w:space="0" w:color="auto"/>
      </w:divBdr>
    </w:div>
    <w:div w:id="1910117642">
      <w:bodyDiv w:val="1"/>
      <w:marLeft w:val="0"/>
      <w:marRight w:val="0"/>
      <w:marTop w:val="0"/>
      <w:marBottom w:val="0"/>
      <w:divBdr>
        <w:top w:val="none" w:sz="0" w:space="0" w:color="auto"/>
        <w:left w:val="none" w:sz="0" w:space="0" w:color="auto"/>
        <w:bottom w:val="none" w:sz="0" w:space="0" w:color="auto"/>
        <w:right w:val="none" w:sz="0" w:space="0" w:color="auto"/>
      </w:divBdr>
    </w:div>
    <w:div w:id="1917006383">
      <w:bodyDiv w:val="1"/>
      <w:marLeft w:val="0"/>
      <w:marRight w:val="0"/>
      <w:marTop w:val="0"/>
      <w:marBottom w:val="0"/>
      <w:divBdr>
        <w:top w:val="none" w:sz="0" w:space="0" w:color="auto"/>
        <w:left w:val="none" w:sz="0" w:space="0" w:color="auto"/>
        <w:bottom w:val="none" w:sz="0" w:space="0" w:color="auto"/>
        <w:right w:val="none" w:sz="0" w:space="0" w:color="auto"/>
      </w:divBdr>
      <w:divsChild>
        <w:div w:id="2082167414">
          <w:marLeft w:val="0"/>
          <w:marRight w:val="0"/>
          <w:marTop w:val="0"/>
          <w:marBottom w:val="0"/>
          <w:divBdr>
            <w:top w:val="none" w:sz="0" w:space="0" w:color="auto"/>
            <w:left w:val="none" w:sz="0" w:space="0" w:color="auto"/>
            <w:bottom w:val="none" w:sz="0" w:space="0" w:color="auto"/>
            <w:right w:val="none" w:sz="0" w:space="0" w:color="auto"/>
          </w:divBdr>
        </w:div>
      </w:divsChild>
    </w:div>
    <w:div w:id="1918828727">
      <w:bodyDiv w:val="1"/>
      <w:marLeft w:val="0"/>
      <w:marRight w:val="0"/>
      <w:marTop w:val="0"/>
      <w:marBottom w:val="0"/>
      <w:divBdr>
        <w:top w:val="none" w:sz="0" w:space="0" w:color="auto"/>
        <w:left w:val="none" w:sz="0" w:space="0" w:color="auto"/>
        <w:bottom w:val="none" w:sz="0" w:space="0" w:color="auto"/>
        <w:right w:val="none" w:sz="0" w:space="0" w:color="auto"/>
      </w:divBdr>
    </w:div>
    <w:div w:id="1933081425">
      <w:bodyDiv w:val="1"/>
      <w:marLeft w:val="0"/>
      <w:marRight w:val="0"/>
      <w:marTop w:val="0"/>
      <w:marBottom w:val="0"/>
      <w:divBdr>
        <w:top w:val="none" w:sz="0" w:space="0" w:color="auto"/>
        <w:left w:val="none" w:sz="0" w:space="0" w:color="auto"/>
        <w:bottom w:val="none" w:sz="0" w:space="0" w:color="auto"/>
        <w:right w:val="none" w:sz="0" w:space="0" w:color="auto"/>
      </w:divBdr>
    </w:div>
    <w:div w:id="1946770967">
      <w:bodyDiv w:val="1"/>
      <w:marLeft w:val="0"/>
      <w:marRight w:val="0"/>
      <w:marTop w:val="0"/>
      <w:marBottom w:val="0"/>
      <w:divBdr>
        <w:top w:val="none" w:sz="0" w:space="0" w:color="auto"/>
        <w:left w:val="none" w:sz="0" w:space="0" w:color="auto"/>
        <w:bottom w:val="none" w:sz="0" w:space="0" w:color="auto"/>
        <w:right w:val="none" w:sz="0" w:space="0" w:color="auto"/>
      </w:divBdr>
    </w:div>
    <w:div w:id="1955288488">
      <w:bodyDiv w:val="1"/>
      <w:marLeft w:val="0"/>
      <w:marRight w:val="0"/>
      <w:marTop w:val="0"/>
      <w:marBottom w:val="0"/>
      <w:divBdr>
        <w:top w:val="none" w:sz="0" w:space="0" w:color="auto"/>
        <w:left w:val="none" w:sz="0" w:space="0" w:color="auto"/>
        <w:bottom w:val="none" w:sz="0" w:space="0" w:color="auto"/>
        <w:right w:val="none" w:sz="0" w:space="0" w:color="auto"/>
      </w:divBdr>
    </w:div>
    <w:div w:id="1956671801">
      <w:bodyDiv w:val="1"/>
      <w:marLeft w:val="0"/>
      <w:marRight w:val="0"/>
      <w:marTop w:val="0"/>
      <w:marBottom w:val="0"/>
      <w:divBdr>
        <w:top w:val="none" w:sz="0" w:space="0" w:color="auto"/>
        <w:left w:val="none" w:sz="0" w:space="0" w:color="auto"/>
        <w:bottom w:val="none" w:sz="0" w:space="0" w:color="auto"/>
        <w:right w:val="none" w:sz="0" w:space="0" w:color="auto"/>
      </w:divBdr>
    </w:div>
    <w:div w:id="1970865773">
      <w:bodyDiv w:val="1"/>
      <w:marLeft w:val="0"/>
      <w:marRight w:val="0"/>
      <w:marTop w:val="0"/>
      <w:marBottom w:val="0"/>
      <w:divBdr>
        <w:top w:val="none" w:sz="0" w:space="0" w:color="auto"/>
        <w:left w:val="none" w:sz="0" w:space="0" w:color="auto"/>
        <w:bottom w:val="none" w:sz="0" w:space="0" w:color="auto"/>
        <w:right w:val="none" w:sz="0" w:space="0" w:color="auto"/>
      </w:divBdr>
    </w:div>
    <w:div w:id="1973293526">
      <w:bodyDiv w:val="1"/>
      <w:marLeft w:val="0"/>
      <w:marRight w:val="0"/>
      <w:marTop w:val="0"/>
      <w:marBottom w:val="0"/>
      <w:divBdr>
        <w:top w:val="none" w:sz="0" w:space="0" w:color="auto"/>
        <w:left w:val="none" w:sz="0" w:space="0" w:color="auto"/>
        <w:bottom w:val="none" w:sz="0" w:space="0" w:color="auto"/>
        <w:right w:val="none" w:sz="0" w:space="0" w:color="auto"/>
      </w:divBdr>
    </w:div>
    <w:div w:id="1988699876">
      <w:bodyDiv w:val="1"/>
      <w:marLeft w:val="0"/>
      <w:marRight w:val="0"/>
      <w:marTop w:val="0"/>
      <w:marBottom w:val="0"/>
      <w:divBdr>
        <w:top w:val="none" w:sz="0" w:space="0" w:color="auto"/>
        <w:left w:val="none" w:sz="0" w:space="0" w:color="auto"/>
        <w:bottom w:val="none" w:sz="0" w:space="0" w:color="auto"/>
        <w:right w:val="none" w:sz="0" w:space="0" w:color="auto"/>
      </w:divBdr>
    </w:div>
    <w:div w:id="2001540502">
      <w:bodyDiv w:val="1"/>
      <w:marLeft w:val="0"/>
      <w:marRight w:val="0"/>
      <w:marTop w:val="0"/>
      <w:marBottom w:val="0"/>
      <w:divBdr>
        <w:top w:val="none" w:sz="0" w:space="0" w:color="auto"/>
        <w:left w:val="none" w:sz="0" w:space="0" w:color="auto"/>
        <w:bottom w:val="none" w:sz="0" w:space="0" w:color="auto"/>
        <w:right w:val="none" w:sz="0" w:space="0" w:color="auto"/>
      </w:divBdr>
    </w:div>
    <w:div w:id="2075272850">
      <w:bodyDiv w:val="1"/>
      <w:marLeft w:val="0"/>
      <w:marRight w:val="0"/>
      <w:marTop w:val="0"/>
      <w:marBottom w:val="0"/>
      <w:divBdr>
        <w:top w:val="none" w:sz="0" w:space="0" w:color="auto"/>
        <w:left w:val="none" w:sz="0" w:space="0" w:color="auto"/>
        <w:bottom w:val="none" w:sz="0" w:space="0" w:color="auto"/>
        <w:right w:val="none" w:sz="0" w:space="0" w:color="auto"/>
      </w:divBdr>
    </w:div>
    <w:div w:id="2090421336">
      <w:bodyDiv w:val="1"/>
      <w:marLeft w:val="0"/>
      <w:marRight w:val="0"/>
      <w:marTop w:val="0"/>
      <w:marBottom w:val="0"/>
      <w:divBdr>
        <w:top w:val="none" w:sz="0" w:space="0" w:color="auto"/>
        <w:left w:val="none" w:sz="0" w:space="0" w:color="auto"/>
        <w:bottom w:val="none" w:sz="0" w:space="0" w:color="auto"/>
        <w:right w:val="none" w:sz="0" w:space="0" w:color="auto"/>
      </w:divBdr>
    </w:div>
    <w:div w:id="2097045341">
      <w:bodyDiv w:val="1"/>
      <w:marLeft w:val="0"/>
      <w:marRight w:val="0"/>
      <w:marTop w:val="0"/>
      <w:marBottom w:val="0"/>
      <w:divBdr>
        <w:top w:val="none" w:sz="0" w:space="0" w:color="auto"/>
        <w:left w:val="none" w:sz="0" w:space="0" w:color="auto"/>
        <w:bottom w:val="none" w:sz="0" w:space="0" w:color="auto"/>
        <w:right w:val="none" w:sz="0" w:space="0" w:color="auto"/>
      </w:divBdr>
    </w:div>
    <w:div w:id="2100641878">
      <w:bodyDiv w:val="1"/>
      <w:marLeft w:val="0"/>
      <w:marRight w:val="0"/>
      <w:marTop w:val="0"/>
      <w:marBottom w:val="0"/>
      <w:divBdr>
        <w:top w:val="none" w:sz="0" w:space="0" w:color="auto"/>
        <w:left w:val="none" w:sz="0" w:space="0" w:color="auto"/>
        <w:bottom w:val="none" w:sz="0" w:space="0" w:color="auto"/>
        <w:right w:val="none" w:sz="0" w:space="0" w:color="auto"/>
      </w:divBdr>
    </w:div>
    <w:div w:id="2105179815">
      <w:bodyDiv w:val="1"/>
      <w:marLeft w:val="0"/>
      <w:marRight w:val="0"/>
      <w:marTop w:val="0"/>
      <w:marBottom w:val="0"/>
      <w:divBdr>
        <w:top w:val="none" w:sz="0" w:space="0" w:color="auto"/>
        <w:left w:val="none" w:sz="0" w:space="0" w:color="auto"/>
        <w:bottom w:val="none" w:sz="0" w:space="0" w:color="auto"/>
        <w:right w:val="none" w:sz="0" w:space="0" w:color="auto"/>
      </w:divBdr>
    </w:div>
    <w:div w:id="2105222532">
      <w:bodyDiv w:val="1"/>
      <w:marLeft w:val="0"/>
      <w:marRight w:val="0"/>
      <w:marTop w:val="0"/>
      <w:marBottom w:val="0"/>
      <w:divBdr>
        <w:top w:val="none" w:sz="0" w:space="0" w:color="auto"/>
        <w:left w:val="none" w:sz="0" w:space="0" w:color="auto"/>
        <w:bottom w:val="none" w:sz="0" w:space="0" w:color="auto"/>
        <w:right w:val="none" w:sz="0" w:space="0" w:color="auto"/>
      </w:divBdr>
    </w:div>
    <w:div w:id="21353702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 dockstate="right" visibility="0" width="350" row="2">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D48A43DE-AA54-4951-BBFD-DB1B9B5D6C78}">
  <we:reference id="wa104382081" version="1.55.1.0" store="en-US" storeType="OMEX"/>
  <we:alternateReferences>
    <we:reference id="wa104382081" version="1.55.1.0" store="wa104382081" storeType="OMEX"/>
  </we:alternateReferences>
  <we:properties>
    <we:property name="MENDELEY_CITATIONS" value="[]"/>
  </we:properties>
  <we:bindings/>
  <we:snapshot xmlns:r="http://schemas.openxmlformats.org/officeDocument/2006/relationships"/>
</we:webextension>
</file>

<file path=word/webextensions/webextension2.xml><?xml version="1.0" encoding="utf-8"?>
<we:webextension xmlns:we="http://schemas.microsoft.com/office/webextensions/webextension/2010/11" id="{D5E5D3EC-393A-4FF8-B8F4-0505FBD283B8}">
  <we:reference id="wa200005502" version="1.0.0.11" store="en-US" storeType="OMEX"/>
  <we:alternateReferences>
    <we:reference id="wa200005502" version="1.0.0.11" store="wa200005502" storeType="OMEX"/>
  </we:alternateReferences>
  <we:properties>
    <we:property name="docId" value="&quot;IAGEEU1TzLT_ik0gl7jpn&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Keyence</b:Tag>
    <b:SourceType>InternetSite</b:SourceType>
    <b:Guid>{21FD1D99-C4F4-4CC0-8752-11CD33622072}</b:Guid>
    <b:Author>
      <b:Author>
        <b:Corporate>Keyence</b:Corporate>
      </b:Author>
    </b:Author>
    <b:Title>What is the extrusion process? types &amp; advantages</b:Title>
    <b:InternetSiteTitle>Keyence</b:InternetSiteTitle>
    <b:Year>2024</b:Year>
    <b:Month>January</b:Month>
    <b:Day>28</b:Day>
    <b:URL>https://www.keyence.com/products/measure-sys/image-measure/resources/image-measure-resources/what-is-the-extrusion-process-types-and-advantages.jsp</b:URL>
    <b:RefOrder>1</b:RefOrder>
  </b:Source>
</b:Sources>
</file>

<file path=customXml/itemProps1.xml><?xml version="1.0" encoding="utf-8"?>
<ds:datastoreItem xmlns:ds="http://schemas.openxmlformats.org/officeDocument/2006/customXml" ds:itemID="{BD13337C-E950-4443-8A33-BC49282395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15852</TotalTime>
  <Pages>10</Pages>
  <Words>2608</Words>
  <Characters>15601</Characters>
  <Application>Microsoft Office Word</Application>
  <DocSecurity>0</DocSecurity>
  <Lines>917</Lines>
  <Paragraphs>187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18022</CharactersWithSpaces>
  <SharedDoc>false</SharedDoc>
  <HLinks>
    <vt:vector size="48" baseType="variant">
      <vt:variant>
        <vt:i4>1638450</vt:i4>
      </vt:variant>
      <vt:variant>
        <vt:i4>44</vt:i4>
      </vt:variant>
      <vt:variant>
        <vt:i4>0</vt:i4>
      </vt:variant>
      <vt:variant>
        <vt:i4>5</vt:i4>
      </vt:variant>
      <vt:variant>
        <vt:lpwstr/>
      </vt:variant>
      <vt:variant>
        <vt:lpwstr>_Toc157340089</vt:lpwstr>
      </vt:variant>
      <vt:variant>
        <vt:i4>1638450</vt:i4>
      </vt:variant>
      <vt:variant>
        <vt:i4>38</vt:i4>
      </vt:variant>
      <vt:variant>
        <vt:i4>0</vt:i4>
      </vt:variant>
      <vt:variant>
        <vt:i4>5</vt:i4>
      </vt:variant>
      <vt:variant>
        <vt:lpwstr/>
      </vt:variant>
      <vt:variant>
        <vt:lpwstr>_Toc157340088</vt:lpwstr>
      </vt:variant>
      <vt:variant>
        <vt:i4>1638450</vt:i4>
      </vt:variant>
      <vt:variant>
        <vt:i4>32</vt:i4>
      </vt:variant>
      <vt:variant>
        <vt:i4>0</vt:i4>
      </vt:variant>
      <vt:variant>
        <vt:i4>5</vt:i4>
      </vt:variant>
      <vt:variant>
        <vt:lpwstr/>
      </vt:variant>
      <vt:variant>
        <vt:lpwstr>_Toc157340087</vt:lpwstr>
      </vt:variant>
      <vt:variant>
        <vt:i4>1638450</vt:i4>
      </vt:variant>
      <vt:variant>
        <vt:i4>26</vt:i4>
      </vt:variant>
      <vt:variant>
        <vt:i4>0</vt:i4>
      </vt:variant>
      <vt:variant>
        <vt:i4>5</vt:i4>
      </vt:variant>
      <vt:variant>
        <vt:lpwstr/>
      </vt:variant>
      <vt:variant>
        <vt:lpwstr>_Toc157340086</vt:lpwstr>
      </vt:variant>
      <vt:variant>
        <vt:i4>1638450</vt:i4>
      </vt:variant>
      <vt:variant>
        <vt:i4>20</vt:i4>
      </vt:variant>
      <vt:variant>
        <vt:i4>0</vt:i4>
      </vt:variant>
      <vt:variant>
        <vt:i4>5</vt:i4>
      </vt:variant>
      <vt:variant>
        <vt:lpwstr/>
      </vt:variant>
      <vt:variant>
        <vt:lpwstr>_Toc157340085</vt:lpwstr>
      </vt:variant>
      <vt:variant>
        <vt:i4>1638450</vt:i4>
      </vt:variant>
      <vt:variant>
        <vt:i4>14</vt:i4>
      </vt:variant>
      <vt:variant>
        <vt:i4>0</vt:i4>
      </vt:variant>
      <vt:variant>
        <vt:i4>5</vt:i4>
      </vt:variant>
      <vt:variant>
        <vt:lpwstr/>
      </vt:variant>
      <vt:variant>
        <vt:lpwstr>_Toc157340084</vt:lpwstr>
      </vt:variant>
      <vt:variant>
        <vt:i4>1638450</vt:i4>
      </vt:variant>
      <vt:variant>
        <vt:i4>8</vt:i4>
      </vt:variant>
      <vt:variant>
        <vt:i4>0</vt:i4>
      </vt:variant>
      <vt:variant>
        <vt:i4>5</vt:i4>
      </vt:variant>
      <vt:variant>
        <vt:lpwstr/>
      </vt:variant>
      <vt:variant>
        <vt:lpwstr>_Toc157340083</vt:lpwstr>
      </vt:variant>
      <vt:variant>
        <vt:i4>1638450</vt:i4>
      </vt:variant>
      <vt:variant>
        <vt:i4>2</vt:i4>
      </vt:variant>
      <vt:variant>
        <vt:i4>0</vt:i4>
      </vt:variant>
      <vt:variant>
        <vt:i4>5</vt:i4>
      </vt:variant>
      <vt:variant>
        <vt:lpwstr/>
      </vt:variant>
      <vt:variant>
        <vt:lpwstr>_Toc157340082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Carpanini (2211043)</dc:creator>
  <cp:keywords/>
  <dc:description/>
  <cp:lastModifiedBy>Joe Carpanini</cp:lastModifiedBy>
  <cp:revision>984</cp:revision>
  <dcterms:created xsi:type="dcterms:W3CDTF">2023-01-09T18:13:00Z</dcterms:created>
  <dcterms:modified xsi:type="dcterms:W3CDTF">2026-04-16T09:15:00Z</dcterms:modified>
</cp:coreProperties>
</file>