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1767B" w14:textId="77777777" w:rsidR="00C021E2" w:rsidRPr="00541FF2" w:rsidRDefault="00C021E2" w:rsidP="00541FF2">
      <w:pPr>
        <w:spacing w:line="360" w:lineRule="auto"/>
        <w:rPr>
          <w:rFonts w:ascii="Arial" w:hAnsi="Arial" w:cs="Arial"/>
          <w:sz w:val="22"/>
          <w:szCs w:val="22"/>
        </w:rPr>
      </w:pPr>
      <w:r w:rsidRPr="00541FF2">
        <w:rPr>
          <w:rFonts w:ascii="Arial" w:hAnsi="Arial" w:cs="Arial"/>
          <w:sz w:val="22"/>
          <w:szCs w:val="22"/>
        </w:rPr>
        <w:t>Name: Klaudia Csoka</w:t>
      </w:r>
    </w:p>
    <w:p w14:paraId="1FEB2853" w14:textId="77777777" w:rsidR="00C021E2" w:rsidRPr="00541FF2" w:rsidRDefault="00C021E2" w:rsidP="00541FF2">
      <w:pPr>
        <w:spacing w:line="360" w:lineRule="auto"/>
        <w:rPr>
          <w:rFonts w:ascii="Arial" w:hAnsi="Arial" w:cs="Arial"/>
          <w:sz w:val="22"/>
          <w:szCs w:val="22"/>
        </w:rPr>
      </w:pPr>
      <w:r w:rsidRPr="00541FF2">
        <w:rPr>
          <w:rFonts w:ascii="Arial" w:hAnsi="Arial" w:cs="Arial"/>
          <w:sz w:val="22"/>
          <w:szCs w:val="22"/>
        </w:rPr>
        <w:t>Student Number: 2407757</w:t>
      </w:r>
    </w:p>
    <w:p w14:paraId="1B76B140" w14:textId="77777777" w:rsidR="00C021E2" w:rsidRPr="00541FF2" w:rsidRDefault="00C021E2" w:rsidP="00541FF2">
      <w:pPr>
        <w:spacing w:line="360" w:lineRule="auto"/>
        <w:rPr>
          <w:rFonts w:ascii="Arial" w:hAnsi="Arial" w:cs="Arial"/>
          <w:sz w:val="22"/>
          <w:szCs w:val="22"/>
        </w:rPr>
      </w:pPr>
      <w:r w:rsidRPr="00541FF2">
        <w:rPr>
          <w:rFonts w:ascii="Arial" w:hAnsi="Arial" w:cs="Arial"/>
          <w:sz w:val="22"/>
          <w:szCs w:val="22"/>
        </w:rPr>
        <w:t>Module Code &amp; Title: BMHP5023 Introduction to Physiology</w:t>
      </w:r>
    </w:p>
    <w:p w14:paraId="18DCD598" w14:textId="6792550D" w:rsidR="00C021E2" w:rsidRPr="00541FF2" w:rsidRDefault="00C021E2" w:rsidP="00541FF2">
      <w:pPr>
        <w:spacing w:line="360" w:lineRule="auto"/>
        <w:rPr>
          <w:rFonts w:ascii="Arial" w:hAnsi="Arial" w:cs="Arial"/>
          <w:sz w:val="22"/>
          <w:szCs w:val="22"/>
        </w:rPr>
      </w:pPr>
      <w:r w:rsidRPr="00541FF2">
        <w:rPr>
          <w:rFonts w:ascii="Arial" w:hAnsi="Arial" w:cs="Arial"/>
          <w:sz w:val="22"/>
          <w:szCs w:val="22"/>
        </w:rPr>
        <w:t>Assignment Title: Case Study Report – Type 2 Diabetes</w:t>
      </w:r>
    </w:p>
    <w:p w14:paraId="67E059F0" w14:textId="77777777" w:rsidR="00C021E2" w:rsidRPr="00541FF2" w:rsidRDefault="00C021E2" w:rsidP="00541FF2">
      <w:pPr>
        <w:spacing w:line="360" w:lineRule="auto"/>
        <w:rPr>
          <w:rFonts w:ascii="Arial" w:hAnsi="Arial" w:cs="Arial"/>
          <w:sz w:val="22"/>
          <w:szCs w:val="22"/>
        </w:rPr>
      </w:pPr>
    </w:p>
    <w:p w14:paraId="497462B3" w14:textId="77777777" w:rsidR="005A1BA9" w:rsidRPr="009424D4" w:rsidRDefault="005A1BA9" w:rsidP="00541FF2">
      <w:pPr>
        <w:spacing w:line="360" w:lineRule="auto"/>
        <w:rPr>
          <w:rFonts w:ascii="Arial" w:hAnsi="Arial" w:cs="Arial"/>
          <w:b/>
          <w:bCs/>
          <w:i/>
          <w:iCs/>
          <w:sz w:val="22"/>
          <w:szCs w:val="22"/>
          <w:u w:val="single"/>
        </w:rPr>
      </w:pPr>
      <w:r w:rsidRPr="009424D4">
        <w:rPr>
          <w:rFonts w:ascii="Arial" w:hAnsi="Arial" w:cs="Arial"/>
          <w:b/>
          <w:bCs/>
          <w:i/>
          <w:iCs/>
          <w:sz w:val="22"/>
          <w:szCs w:val="22"/>
          <w:u w:val="single"/>
        </w:rPr>
        <w:t>Introduction</w:t>
      </w:r>
    </w:p>
    <w:p w14:paraId="10FB3CE7" w14:textId="77777777" w:rsidR="005A1BA9" w:rsidRPr="00541FF2" w:rsidRDefault="005A1BA9" w:rsidP="00541FF2">
      <w:pPr>
        <w:spacing w:line="360" w:lineRule="auto"/>
        <w:rPr>
          <w:rFonts w:ascii="Arial" w:hAnsi="Arial" w:cs="Arial"/>
          <w:sz w:val="22"/>
          <w:szCs w:val="22"/>
        </w:rPr>
      </w:pPr>
    </w:p>
    <w:p w14:paraId="115C3586" w14:textId="77777777" w:rsidR="005A1BA9" w:rsidRPr="00541FF2" w:rsidRDefault="005A1BA9" w:rsidP="00541FF2">
      <w:pPr>
        <w:spacing w:line="360" w:lineRule="auto"/>
        <w:rPr>
          <w:rFonts w:ascii="Arial" w:hAnsi="Arial" w:cs="Arial"/>
          <w:sz w:val="22"/>
          <w:szCs w:val="22"/>
        </w:rPr>
      </w:pPr>
      <w:r w:rsidRPr="00541FF2">
        <w:rPr>
          <w:rFonts w:ascii="Arial" w:hAnsi="Arial" w:cs="Arial"/>
          <w:sz w:val="22"/>
          <w:szCs w:val="22"/>
        </w:rPr>
        <w:t>Type 2 diabetes mellitus (T2DM) is a chronic, progressive metabolic disorder characterised by persistent hyperglycaemia (elevated blood glucose concentrations) resulting from a combination of insulin resistance and impaired insulin secretion from pancreatic beta</w:t>
      </w:r>
      <w:r w:rsidRPr="00541FF2">
        <w:rPr>
          <w:rFonts w:ascii="Cambria Math" w:hAnsi="Cambria Math" w:cs="Cambria Math"/>
          <w:sz w:val="22"/>
          <w:szCs w:val="22"/>
        </w:rPr>
        <w:t>‑</w:t>
      </w:r>
      <w:r w:rsidRPr="00541FF2">
        <w:rPr>
          <w:rFonts w:ascii="Arial" w:hAnsi="Arial" w:cs="Arial"/>
          <w:sz w:val="22"/>
          <w:szCs w:val="22"/>
        </w:rPr>
        <w:t>cells (Galicia</w:t>
      </w:r>
      <w:r w:rsidRPr="00541FF2">
        <w:rPr>
          <w:rFonts w:ascii="Cambria Math" w:hAnsi="Cambria Math" w:cs="Cambria Math"/>
          <w:sz w:val="22"/>
          <w:szCs w:val="22"/>
        </w:rPr>
        <w:t>‑</w:t>
      </w:r>
      <w:r w:rsidRPr="00541FF2">
        <w:rPr>
          <w:rFonts w:ascii="Arial" w:hAnsi="Arial" w:cs="Arial"/>
          <w:sz w:val="22"/>
          <w:szCs w:val="22"/>
        </w:rPr>
        <w:t>Garcia et al., 2020). Unlike Type 1 diabetes – an autoimmune destruction of insulin</w:t>
      </w:r>
      <w:r w:rsidRPr="00541FF2">
        <w:rPr>
          <w:rFonts w:ascii="Cambria Math" w:hAnsi="Cambria Math" w:cs="Cambria Math"/>
          <w:sz w:val="22"/>
          <w:szCs w:val="22"/>
        </w:rPr>
        <w:t>‑</w:t>
      </w:r>
      <w:r w:rsidRPr="00541FF2">
        <w:rPr>
          <w:rFonts w:ascii="Arial" w:hAnsi="Arial" w:cs="Arial"/>
          <w:sz w:val="22"/>
          <w:szCs w:val="22"/>
        </w:rPr>
        <w:t>producing cells – Type 2 diabetes develops gradually, often over many years, and is strongly linked to modifiable lifestyle factors, genetics, age and ethnicity (International Diabetes Federation, 2024). It is one of the most prevalent long</w:t>
      </w:r>
      <w:r w:rsidRPr="00541FF2">
        <w:rPr>
          <w:rFonts w:ascii="Cambria Math" w:hAnsi="Cambria Math" w:cs="Cambria Math"/>
          <w:sz w:val="22"/>
          <w:szCs w:val="22"/>
        </w:rPr>
        <w:t>‑</w:t>
      </w:r>
      <w:r w:rsidRPr="00541FF2">
        <w:rPr>
          <w:rFonts w:ascii="Arial" w:hAnsi="Arial" w:cs="Arial"/>
          <w:sz w:val="22"/>
          <w:szCs w:val="22"/>
        </w:rPr>
        <w:t xml:space="preserve">term conditions worldwide, with rising prevalence driven by obesity, sedentary behaviour and ageing populations (World Health </w:t>
      </w:r>
      <w:proofErr w:type="spellStart"/>
      <w:r w:rsidRPr="00541FF2">
        <w:rPr>
          <w:rFonts w:ascii="Arial" w:hAnsi="Arial" w:cs="Arial"/>
          <w:sz w:val="22"/>
          <w:szCs w:val="22"/>
        </w:rPr>
        <w:t>Organization</w:t>
      </w:r>
      <w:proofErr w:type="spellEnd"/>
      <w:r w:rsidRPr="00541FF2">
        <w:rPr>
          <w:rFonts w:ascii="Arial" w:hAnsi="Arial" w:cs="Arial"/>
          <w:sz w:val="22"/>
          <w:szCs w:val="22"/>
        </w:rPr>
        <w:t>, 2023).</w:t>
      </w:r>
    </w:p>
    <w:p w14:paraId="197E13B9" w14:textId="77777777" w:rsidR="005A1BA9" w:rsidRPr="00541FF2" w:rsidRDefault="005A1BA9" w:rsidP="00541FF2">
      <w:pPr>
        <w:spacing w:line="360" w:lineRule="auto"/>
        <w:rPr>
          <w:rFonts w:ascii="Arial" w:hAnsi="Arial" w:cs="Arial"/>
          <w:sz w:val="22"/>
          <w:szCs w:val="22"/>
        </w:rPr>
      </w:pPr>
    </w:p>
    <w:p w14:paraId="14C762F9" w14:textId="77777777" w:rsidR="005A1BA9" w:rsidRPr="00541FF2" w:rsidRDefault="005A1BA9" w:rsidP="00541FF2">
      <w:pPr>
        <w:spacing w:line="360" w:lineRule="auto"/>
        <w:rPr>
          <w:rFonts w:ascii="Arial" w:hAnsi="Arial" w:cs="Arial"/>
          <w:sz w:val="22"/>
          <w:szCs w:val="22"/>
        </w:rPr>
      </w:pPr>
      <w:r w:rsidRPr="00541FF2">
        <w:rPr>
          <w:rFonts w:ascii="Arial" w:hAnsi="Arial" w:cs="Arial"/>
          <w:sz w:val="22"/>
          <w:szCs w:val="22"/>
        </w:rPr>
        <w:t>In healthy physiology, blood glucose is maintained within a narrow homeostatic range (~4.0–5.5 </w:t>
      </w:r>
      <w:proofErr w:type="spellStart"/>
      <w:r w:rsidRPr="00541FF2">
        <w:rPr>
          <w:rFonts w:ascii="Arial" w:hAnsi="Arial" w:cs="Arial"/>
          <w:sz w:val="22"/>
          <w:szCs w:val="22"/>
        </w:rPr>
        <w:t>mmol</w:t>
      </w:r>
      <w:proofErr w:type="spellEnd"/>
      <w:r w:rsidRPr="00541FF2">
        <w:rPr>
          <w:rFonts w:ascii="Arial" w:hAnsi="Arial" w:cs="Arial"/>
          <w:sz w:val="22"/>
          <w:szCs w:val="22"/>
        </w:rPr>
        <w:t>/L fasting) by the opposing actions of insulin and glucagon. Insulin facilitates glucose uptake into skeletal muscle, adipose tissue and the liver for energy production or storage; in T2DM, target tissues become less responsive to insulin, and over time beta</w:t>
      </w:r>
      <w:r w:rsidRPr="00541FF2">
        <w:rPr>
          <w:rFonts w:ascii="Cambria Math" w:hAnsi="Cambria Math" w:cs="Cambria Math"/>
          <w:sz w:val="22"/>
          <w:szCs w:val="22"/>
        </w:rPr>
        <w:t>‑</w:t>
      </w:r>
      <w:r w:rsidRPr="00541FF2">
        <w:rPr>
          <w:rFonts w:ascii="Arial" w:hAnsi="Arial" w:cs="Arial"/>
          <w:sz w:val="22"/>
          <w:szCs w:val="22"/>
        </w:rPr>
        <w:t>cell function declines, leading to accumulation of glucose in the bloodstream (</w:t>
      </w:r>
      <w:proofErr w:type="spellStart"/>
      <w:r w:rsidRPr="00541FF2">
        <w:rPr>
          <w:rFonts w:ascii="Arial" w:hAnsi="Arial" w:cs="Arial"/>
          <w:sz w:val="22"/>
          <w:szCs w:val="22"/>
        </w:rPr>
        <w:t>Röder</w:t>
      </w:r>
      <w:proofErr w:type="spellEnd"/>
      <w:r w:rsidRPr="00541FF2">
        <w:rPr>
          <w:rFonts w:ascii="Arial" w:hAnsi="Arial" w:cs="Arial"/>
          <w:sz w:val="22"/>
          <w:szCs w:val="22"/>
        </w:rPr>
        <w:t xml:space="preserve"> et al., 2016). Chronic hyperglycaemia damages blood vessels, nerves and organs, increasing risk of cardiovascular disease, </w:t>
      </w:r>
      <w:proofErr w:type="spellStart"/>
      <w:r w:rsidRPr="00541FF2">
        <w:rPr>
          <w:rFonts w:ascii="Arial" w:hAnsi="Arial" w:cs="Arial"/>
          <w:sz w:val="22"/>
          <w:szCs w:val="22"/>
        </w:rPr>
        <w:t>nephropathy</w:t>
      </w:r>
      <w:proofErr w:type="spellEnd"/>
      <w:r w:rsidRPr="00541FF2">
        <w:rPr>
          <w:rFonts w:ascii="Arial" w:hAnsi="Arial" w:cs="Arial"/>
          <w:sz w:val="22"/>
          <w:szCs w:val="22"/>
        </w:rPr>
        <w:t>, retinopathy and neuropathy (Davies et al., 2018).</w:t>
      </w:r>
    </w:p>
    <w:p w14:paraId="402C97DD" w14:textId="77777777" w:rsidR="005A1BA9" w:rsidRPr="00541FF2" w:rsidRDefault="005A1BA9" w:rsidP="00541FF2">
      <w:pPr>
        <w:spacing w:line="360" w:lineRule="auto"/>
        <w:rPr>
          <w:rFonts w:ascii="Arial" w:hAnsi="Arial" w:cs="Arial"/>
          <w:sz w:val="22"/>
          <w:szCs w:val="22"/>
        </w:rPr>
      </w:pPr>
    </w:p>
    <w:p w14:paraId="09CAD5FA" w14:textId="77777777" w:rsidR="005A1BA9" w:rsidRPr="00541FF2" w:rsidRDefault="005A1BA9" w:rsidP="00541FF2">
      <w:pPr>
        <w:spacing w:line="360" w:lineRule="auto"/>
        <w:rPr>
          <w:rFonts w:ascii="Arial" w:hAnsi="Arial" w:cs="Arial"/>
          <w:sz w:val="22"/>
          <w:szCs w:val="22"/>
        </w:rPr>
      </w:pPr>
      <w:r w:rsidRPr="00541FF2">
        <w:rPr>
          <w:rFonts w:ascii="Arial" w:hAnsi="Arial" w:cs="Arial"/>
          <w:sz w:val="22"/>
          <w:szCs w:val="22"/>
        </w:rPr>
        <w:t>Key risk factors include central obesity, physical inactivity, diets high in refined carbohydrate and saturated fat, age over 40 years, family history, and South Asian, African</w:t>
      </w:r>
      <w:r w:rsidRPr="00541FF2">
        <w:rPr>
          <w:rFonts w:ascii="Cambria Math" w:hAnsi="Cambria Math" w:cs="Cambria Math"/>
          <w:sz w:val="22"/>
          <w:szCs w:val="22"/>
        </w:rPr>
        <w:t>‑</w:t>
      </w:r>
      <w:r w:rsidRPr="00541FF2">
        <w:rPr>
          <w:rFonts w:ascii="Arial" w:hAnsi="Arial" w:cs="Arial"/>
          <w:sz w:val="22"/>
          <w:szCs w:val="22"/>
        </w:rPr>
        <w:t>Caribbean or Middle Eastern ethnicity (National Institute for Health and Care Excellence [NICE], 2023). Conditions such as hypertension and gestational diabetes further raise susceptibility.</w:t>
      </w:r>
    </w:p>
    <w:p w14:paraId="457F7F62" w14:textId="77777777" w:rsidR="005A1BA9" w:rsidRPr="00541FF2" w:rsidRDefault="005A1BA9" w:rsidP="00541FF2">
      <w:pPr>
        <w:spacing w:line="360" w:lineRule="auto"/>
        <w:rPr>
          <w:rFonts w:ascii="Arial" w:hAnsi="Arial" w:cs="Arial"/>
          <w:sz w:val="22"/>
          <w:szCs w:val="22"/>
        </w:rPr>
      </w:pPr>
    </w:p>
    <w:p w14:paraId="36E34C7C" w14:textId="7729E10F" w:rsidR="00FF588D" w:rsidRPr="00FF588D" w:rsidRDefault="005A1BA9" w:rsidP="00FF588D">
      <w:pPr>
        <w:spacing w:line="360" w:lineRule="auto"/>
        <w:rPr>
          <w:rFonts w:ascii="Arial" w:hAnsi="Arial" w:cs="Arial"/>
          <w:sz w:val="22"/>
          <w:szCs w:val="22"/>
        </w:rPr>
      </w:pPr>
      <w:r w:rsidRPr="00541FF2">
        <w:rPr>
          <w:rFonts w:ascii="Arial" w:hAnsi="Arial" w:cs="Arial"/>
          <w:sz w:val="22"/>
          <w:szCs w:val="22"/>
        </w:rPr>
        <w:t>This report outlines the anatomy and physiology of glucose regulation, explains the pathophysiology of T2DM, evaluates methods of monitoring and data use, and presents evidence</w:t>
      </w:r>
      <w:r w:rsidRPr="00541FF2">
        <w:rPr>
          <w:rFonts w:ascii="Cambria Math" w:hAnsi="Cambria Math" w:cs="Cambria Math"/>
          <w:sz w:val="22"/>
          <w:szCs w:val="22"/>
        </w:rPr>
        <w:t>‑</w:t>
      </w:r>
      <w:r w:rsidRPr="00541FF2">
        <w:rPr>
          <w:rFonts w:ascii="Arial" w:hAnsi="Arial" w:cs="Arial"/>
          <w:sz w:val="22"/>
          <w:szCs w:val="22"/>
        </w:rPr>
        <w:t>based lifestyle recommendations with clear physiological rationale. It demonstrates how understanding mechanisms of disease supports effective self</w:t>
      </w:r>
      <w:r w:rsidRPr="002C4212">
        <w:rPr>
          <w:rFonts w:ascii="Cambria Math" w:hAnsi="Cambria Math" w:cs="Cambria Math"/>
          <w:sz w:val="22"/>
          <w:szCs w:val="22"/>
        </w:rPr>
        <w:t>‑</w:t>
      </w:r>
      <w:r w:rsidRPr="002C4212">
        <w:rPr>
          <w:rFonts w:ascii="Arial" w:hAnsi="Arial" w:cs="Arial"/>
          <w:sz w:val="22"/>
          <w:szCs w:val="22"/>
        </w:rPr>
        <w:t>management and improved outcomes.</w:t>
      </w:r>
    </w:p>
    <w:p w14:paraId="48FA0D22" w14:textId="77777777" w:rsidR="00FF588D" w:rsidRDefault="00FF588D" w:rsidP="00AA565D">
      <w:pPr>
        <w:pStyle w:val="p3"/>
        <w:spacing w:line="360" w:lineRule="auto"/>
      </w:pPr>
    </w:p>
    <w:p w14:paraId="3BD6B442" w14:textId="77777777" w:rsidR="00FF588D" w:rsidRPr="007154A6" w:rsidRDefault="00FF588D" w:rsidP="00AA565D">
      <w:pPr>
        <w:pStyle w:val="p3"/>
        <w:spacing w:line="360" w:lineRule="auto"/>
        <w:rPr>
          <w:rFonts w:ascii="Arial" w:hAnsi="Arial" w:cs="Arial"/>
          <w:sz w:val="22"/>
          <w:szCs w:val="22"/>
        </w:rPr>
      </w:pPr>
      <w:r w:rsidRPr="007154A6">
        <w:rPr>
          <w:rFonts w:ascii="Arial" w:hAnsi="Arial" w:cs="Arial"/>
          <w:b/>
          <w:bCs/>
          <w:sz w:val="22"/>
          <w:szCs w:val="22"/>
        </w:rPr>
        <w:t>Anatomy and Physiology of Glucose Regulation</w:t>
      </w:r>
    </w:p>
    <w:p w14:paraId="36CE18D3" w14:textId="77777777" w:rsidR="00FF588D" w:rsidRPr="007154A6" w:rsidRDefault="00FF588D" w:rsidP="00AA565D">
      <w:pPr>
        <w:pStyle w:val="p1"/>
        <w:spacing w:line="360" w:lineRule="auto"/>
        <w:rPr>
          <w:rFonts w:ascii="Arial" w:hAnsi="Arial" w:cs="Arial"/>
          <w:sz w:val="22"/>
          <w:szCs w:val="22"/>
        </w:rPr>
      </w:pPr>
    </w:p>
    <w:p w14:paraId="1B9B301F"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The regulation of blood glucose involves both the digestive system and the endocrine system working together to maintain homeostasis. When a person eats food containing carbohydrates, the digestive system breaks these carbohydrates down into glucose. The glucose is then absorbed into the bloodstream, causing blood glucose levels to rise.</w:t>
      </w:r>
    </w:p>
    <w:p w14:paraId="2B91C418" w14:textId="77777777" w:rsidR="00FF588D" w:rsidRPr="007154A6" w:rsidRDefault="00FF588D" w:rsidP="00AA565D">
      <w:pPr>
        <w:pStyle w:val="p1"/>
        <w:spacing w:line="360" w:lineRule="auto"/>
        <w:rPr>
          <w:rFonts w:ascii="Arial" w:hAnsi="Arial" w:cs="Arial"/>
          <w:sz w:val="22"/>
          <w:szCs w:val="22"/>
        </w:rPr>
      </w:pPr>
    </w:p>
    <w:p w14:paraId="121C945A"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The pancreas, which is part of the endocrine system, monitors the amount of glucose in the blood. When blood glucose levels increase after eating, the pancreas releases the hormone insulin. Insulin acts like a key that allows glucose to move from the bloodstream into body cells. Once inside the cells, glucose is used to produce energy in the form of adenosine triphosphate (ATP), which is required for normal body functions (</w:t>
      </w:r>
      <w:proofErr w:type="spellStart"/>
      <w:r w:rsidRPr="007154A6">
        <w:rPr>
          <w:rFonts w:ascii="Arial" w:hAnsi="Arial" w:cs="Arial"/>
          <w:sz w:val="22"/>
          <w:szCs w:val="22"/>
        </w:rPr>
        <w:t>Tortora</w:t>
      </w:r>
      <w:proofErr w:type="spellEnd"/>
      <w:r w:rsidRPr="007154A6">
        <w:rPr>
          <w:rFonts w:ascii="Arial" w:hAnsi="Arial" w:cs="Arial"/>
          <w:sz w:val="22"/>
          <w:szCs w:val="22"/>
        </w:rPr>
        <w:t xml:space="preserve"> &amp; </w:t>
      </w:r>
      <w:proofErr w:type="spellStart"/>
      <w:r w:rsidRPr="007154A6">
        <w:rPr>
          <w:rFonts w:ascii="Arial" w:hAnsi="Arial" w:cs="Arial"/>
          <w:sz w:val="22"/>
          <w:szCs w:val="22"/>
        </w:rPr>
        <w:t>Derrickson</w:t>
      </w:r>
      <w:proofErr w:type="spellEnd"/>
      <w:r w:rsidRPr="007154A6">
        <w:rPr>
          <w:rFonts w:ascii="Arial" w:hAnsi="Arial" w:cs="Arial"/>
          <w:sz w:val="22"/>
          <w:szCs w:val="22"/>
        </w:rPr>
        <w:t>, 2021).</w:t>
      </w:r>
    </w:p>
    <w:p w14:paraId="6D740D0B" w14:textId="77777777" w:rsidR="00FF588D" w:rsidRPr="007154A6" w:rsidRDefault="00FF588D" w:rsidP="00AA565D">
      <w:pPr>
        <w:pStyle w:val="p1"/>
        <w:spacing w:line="360" w:lineRule="auto"/>
        <w:rPr>
          <w:rFonts w:ascii="Arial" w:hAnsi="Arial" w:cs="Arial"/>
          <w:sz w:val="22"/>
          <w:szCs w:val="22"/>
        </w:rPr>
      </w:pPr>
    </w:p>
    <w:p w14:paraId="182562B9"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The liver also plays an important role in glucose regulation. When there is more glucose available than the body immediately needs, insulin helps the liver store excess glucose as glycogen. Between meals, when blood glucose levels begin to fall, the pancreas releases another hormone called glucagon. Glucagon signals the liver to release stored glucose back into the bloodstream. This process helps maintain stable blood glucose levels and ensures the body’s cells have a constant supply of energy (Hall, 2021).</w:t>
      </w:r>
    </w:p>
    <w:p w14:paraId="6D49131E" w14:textId="77777777" w:rsidR="00FF588D" w:rsidRPr="007154A6" w:rsidRDefault="00FF588D" w:rsidP="00AA565D">
      <w:pPr>
        <w:pStyle w:val="p1"/>
        <w:spacing w:line="360" w:lineRule="auto"/>
        <w:rPr>
          <w:rFonts w:ascii="Arial" w:hAnsi="Arial" w:cs="Arial"/>
          <w:sz w:val="22"/>
          <w:szCs w:val="22"/>
        </w:rPr>
      </w:pPr>
    </w:p>
    <w:p w14:paraId="276F63C8"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Understanding the relationship between the digestive system, endocrine system, pancreas, liver and body cells is important because disruption to this process leads to the development of Type 2 diabetes.</w:t>
      </w:r>
    </w:p>
    <w:p w14:paraId="7753A920" w14:textId="77777777" w:rsidR="00FF588D" w:rsidRPr="007154A6" w:rsidRDefault="00FF588D" w:rsidP="00AA565D">
      <w:pPr>
        <w:pStyle w:val="p3"/>
        <w:spacing w:line="360" w:lineRule="auto"/>
        <w:rPr>
          <w:rFonts w:ascii="Arial" w:hAnsi="Arial" w:cs="Arial"/>
          <w:sz w:val="22"/>
          <w:szCs w:val="22"/>
        </w:rPr>
      </w:pPr>
    </w:p>
    <w:p w14:paraId="5F8C16AD" w14:textId="77777777" w:rsidR="00FF588D" w:rsidRPr="007154A6" w:rsidRDefault="00FF588D" w:rsidP="00AA565D">
      <w:pPr>
        <w:pStyle w:val="p3"/>
        <w:spacing w:line="360" w:lineRule="auto"/>
        <w:rPr>
          <w:rFonts w:ascii="Arial" w:hAnsi="Arial" w:cs="Arial"/>
          <w:sz w:val="22"/>
          <w:szCs w:val="22"/>
        </w:rPr>
      </w:pPr>
      <w:r w:rsidRPr="007154A6">
        <w:rPr>
          <w:rFonts w:ascii="Arial" w:hAnsi="Arial" w:cs="Arial"/>
          <w:b/>
          <w:bCs/>
          <w:sz w:val="22"/>
          <w:szCs w:val="22"/>
        </w:rPr>
        <w:t>Pathophysiology of Type 2 Diabetes</w:t>
      </w:r>
    </w:p>
    <w:p w14:paraId="1C4ED3D3" w14:textId="77777777" w:rsidR="00FF588D" w:rsidRPr="007154A6" w:rsidRDefault="00FF588D" w:rsidP="00AA565D">
      <w:pPr>
        <w:pStyle w:val="p1"/>
        <w:spacing w:line="360" w:lineRule="auto"/>
        <w:rPr>
          <w:rFonts w:ascii="Arial" w:hAnsi="Arial" w:cs="Arial"/>
          <w:sz w:val="22"/>
          <w:szCs w:val="22"/>
        </w:rPr>
      </w:pPr>
    </w:p>
    <w:p w14:paraId="17210B7D"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Type 2 diabetes develops when the body’s cells become resistant to insulin and the pancreas is unable to produce enough insulin to overcome this resistance. After food is digested, glucose enters the bloodstream as normal. However, because the cells do not respond effectively to insulin, glucose cannot enter them efficiently. As a result, blood glucose levels remain high while the cells struggle to access the energy they need (American Diabetes Association, 2024).</w:t>
      </w:r>
    </w:p>
    <w:p w14:paraId="69C278F9" w14:textId="77777777" w:rsidR="00FF588D" w:rsidRPr="007154A6" w:rsidRDefault="00FF588D" w:rsidP="00AA565D">
      <w:pPr>
        <w:pStyle w:val="p1"/>
        <w:spacing w:line="360" w:lineRule="auto"/>
        <w:rPr>
          <w:rFonts w:ascii="Arial" w:hAnsi="Arial" w:cs="Arial"/>
          <w:sz w:val="22"/>
          <w:szCs w:val="22"/>
        </w:rPr>
      </w:pPr>
    </w:p>
    <w:p w14:paraId="64A7DBFF"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This lack of glucose entering cells can cause symptoms such as tiredness and fatigue because less energy is available for normal body functions. As blood glucose levels continue to rise, the kidneys attempt to remove excess glucose through urine. This causes increased urination and can lead to dehydration and increased thirst. Some individuals may also experience blurred vision and slower wound healing due to the effects of high blood glucose on tissues and blood vessels.</w:t>
      </w:r>
    </w:p>
    <w:p w14:paraId="16AFA2ED" w14:textId="77777777" w:rsidR="00FF588D" w:rsidRPr="007154A6" w:rsidRDefault="00FF588D" w:rsidP="00AA565D">
      <w:pPr>
        <w:pStyle w:val="p1"/>
        <w:spacing w:line="360" w:lineRule="auto"/>
        <w:rPr>
          <w:rFonts w:ascii="Arial" w:hAnsi="Arial" w:cs="Arial"/>
          <w:sz w:val="22"/>
          <w:szCs w:val="22"/>
        </w:rPr>
      </w:pPr>
    </w:p>
    <w:p w14:paraId="6B0A170A"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Over time, poorly controlled Type 2 diabetes can affect several body systems. Damage to blood vessels increases the risk of cardiovascular diseases such as heart attack and stroke. The kidneys can become damaged, increasing the risk of chronic kidney disease. Nerve damage may develop, causing numbness, tingling and pain in the hands and feet. These complications highlight the importance of maintaining good blood glucose control through lifestyle management and treatment (Diabetes UK, 2024).</w:t>
      </w:r>
    </w:p>
    <w:p w14:paraId="7D22DCA1" w14:textId="77777777" w:rsidR="00FF588D" w:rsidRPr="007154A6" w:rsidRDefault="00FF588D" w:rsidP="00AA565D">
      <w:pPr>
        <w:pStyle w:val="p3"/>
        <w:spacing w:line="360" w:lineRule="auto"/>
        <w:rPr>
          <w:rFonts w:ascii="Arial" w:hAnsi="Arial" w:cs="Arial"/>
          <w:sz w:val="22"/>
          <w:szCs w:val="22"/>
        </w:rPr>
      </w:pPr>
    </w:p>
    <w:p w14:paraId="3D771263" w14:textId="77777777" w:rsidR="00FF588D" w:rsidRPr="007154A6" w:rsidRDefault="00FF588D" w:rsidP="00AA565D">
      <w:pPr>
        <w:pStyle w:val="p3"/>
        <w:spacing w:line="360" w:lineRule="auto"/>
        <w:rPr>
          <w:rFonts w:ascii="Arial" w:hAnsi="Arial" w:cs="Arial"/>
          <w:sz w:val="22"/>
          <w:szCs w:val="22"/>
        </w:rPr>
      </w:pPr>
      <w:r w:rsidRPr="007154A6">
        <w:rPr>
          <w:rFonts w:ascii="Arial" w:hAnsi="Arial" w:cs="Arial"/>
          <w:b/>
          <w:bCs/>
          <w:sz w:val="22"/>
          <w:szCs w:val="22"/>
        </w:rPr>
        <w:t>Monitoring and Data Use in Type 2 Diabetes</w:t>
      </w:r>
    </w:p>
    <w:p w14:paraId="1C092A39" w14:textId="77777777" w:rsidR="00FF588D" w:rsidRPr="007154A6" w:rsidRDefault="00FF588D" w:rsidP="00AA565D">
      <w:pPr>
        <w:pStyle w:val="p1"/>
        <w:spacing w:line="360" w:lineRule="auto"/>
        <w:rPr>
          <w:rFonts w:ascii="Arial" w:hAnsi="Arial" w:cs="Arial"/>
          <w:sz w:val="22"/>
          <w:szCs w:val="22"/>
        </w:rPr>
      </w:pPr>
    </w:p>
    <w:p w14:paraId="26A58069"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Monitoring blood glucose levels is an important part of managing Type 2 diabetes because it helps individuals understand how food, physical activity and medication affect their condition. Regular monitoring allows healthcare professionals and patients to identify patterns, make informed decisions and reduce the risk of long-term complications.</w:t>
      </w:r>
    </w:p>
    <w:p w14:paraId="363BFC5C" w14:textId="77777777" w:rsidR="00FF588D" w:rsidRPr="007154A6" w:rsidRDefault="00FF588D" w:rsidP="00AA565D">
      <w:pPr>
        <w:pStyle w:val="p1"/>
        <w:spacing w:line="360" w:lineRule="auto"/>
        <w:rPr>
          <w:rFonts w:ascii="Arial" w:hAnsi="Arial" w:cs="Arial"/>
          <w:sz w:val="22"/>
          <w:szCs w:val="22"/>
        </w:rPr>
      </w:pPr>
    </w:p>
    <w:p w14:paraId="364D2273"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The most common method of monitoring is self-monitoring of blood glucose (SMBG) using a finger-prick blood test. A small drop of blood is placed on a test strip and analysed by a glucose meter. Patients may use this method at different times during the day, such as before meals or after eating, to understand how their blood glucose levels change.</w:t>
      </w:r>
    </w:p>
    <w:p w14:paraId="482F6520" w14:textId="77777777" w:rsidR="00FF588D" w:rsidRPr="007154A6" w:rsidRDefault="00FF588D" w:rsidP="00AA565D">
      <w:pPr>
        <w:pStyle w:val="p1"/>
        <w:spacing w:line="360" w:lineRule="auto"/>
        <w:rPr>
          <w:rFonts w:ascii="Arial" w:hAnsi="Arial" w:cs="Arial"/>
          <w:sz w:val="22"/>
          <w:szCs w:val="22"/>
        </w:rPr>
      </w:pPr>
    </w:p>
    <w:p w14:paraId="5D47642D"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Some individuals use continuous glucose monitoring (CGM) systems, which measure glucose levels throughout the day and night using a small sensor placed under the skin. Although CGM is often used in more complex cases, its use is becoming increasingly common because it provides detailed information about glucose trends and patterns (National Institute for Health and Care Excellence [NICE], 2023).</w:t>
      </w:r>
    </w:p>
    <w:p w14:paraId="16DAED3D" w14:textId="77777777" w:rsidR="00FF588D" w:rsidRPr="007154A6" w:rsidRDefault="00FF588D" w:rsidP="00AA565D">
      <w:pPr>
        <w:pStyle w:val="p1"/>
        <w:spacing w:line="360" w:lineRule="auto"/>
        <w:rPr>
          <w:rFonts w:ascii="Arial" w:hAnsi="Arial" w:cs="Arial"/>
          <w:sz w:val="22"/>
          <w:szCs w:val="22"/>
        </w:rPr>
      </w:pPr>
    </w:p>
    <w:p w14:paraId="67CBFD4C"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HbA1c testing is routinely used in Type 2 diabetes care to assess long-term blood glucose control. Unlike finger-prick testing, which shows glucose levels at a specific moment, HbA1c reflects average blood glucose levels over the previous two to three months. Healthcare professionals use these results to evaluate treatment effectiveness and make decisions about ongoing care.</w:t>
      </w:r>
    </w:p>
    <w:p w14:paraId="17C13909" w14:textId="77777777" w:rsidR="00FF588D" w:rsidRPr="007154A6" w:rsidRDefault="00FF588D" w:rsidP="00AA565D">
      <w:pPr>
        <w:pStyle w:val="p1"/>
        <w:spacing w:line="360" w:lineRule="auto"/>
        <w:rPr>
          <w:rFonts w:ascii="Arial" w:hAnsi="Arial" w:cs="Arial"/>
          <w:sz w:val="22"/>
          <w:szCs w:val="22"/>
        </w:rPr>
      </w:pPr>
    </w:p>
    <w:p w14:paraId="6AB5BB60"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Other monitoring methods can also support self-management. Keeping a food diary helps individuals identify eating habits that may affect blood glucose levels. Recording physical activity can help monitor progress towards exercise goals, while regular weight monitoring can help individuals track lifestyle changes and identify improvements in their overall health. Together, these methods support informed decision-making and encourage long-term behaviour change.</w:t>
      </w:r>
    </w:p>
    <w:p w14:paraId="58E2390D" w14:textId="77777777" w:rsidR="00FF588D" w:rsidRPr="007154A6" w:rsidRDefault="00FF588D" w:rsidP="00AA565D">
      <w:pPr>
        <w:pStyle w:val="p3"/>
        <w:spacing w:line="360" w:lineRule="auto"/>
        <w:rPr>
          <w:rFonts w:ascii="Arial" w:hAnsi="Arial" w:cs="Arial"/>
          <w:sz w:val="22"/>
          <w:szCs w:val="22"/>
        </w:rPr>
      </w:pPr>
    </w:p>
    <w:p w14:paraId="79B38621" w14:textId="77777777" w:rsidR="00FF588D" w:rsidRPr="007154A6" w:rsidRDefault="00FF588D" w:rsidP="00AA565D">
      <w:pPr>
        <w:pStyle w:val="p3"/>
        <w:spacing w:line="360" w:lineRule="auto"/>
        <w:rPr>
          <w:rFonts w:ascii="Arial" w:hAnsi="Arial" w:cs="Arial"/>
          <w:sz w:val="22"/>
          <w:szCs w:val="22"/>
        </w:rPr>
      </w:pPr>
      <w:r w:rsidRPr="007154A6">
        <w:rPr>
          <w:rFonts w:ascii="Arial" w:hAnsi="Arial" w:cs="Arial"/>
          <w:b/>
          <w:bCs/>
          <w:sz w:val="22"/>
          <w:szCs w:val="22"/>
        </w:rPr>
        <w:t>Evidence-Based Lifestyle Recommendations</w:t>
      </w:r>
    </w:p>
    <w:p w14:paraId="772D9B18" w14:textId="77777777" w:rsidR="00FF588D" w:rsidRPr="007154A6" w:rsidRDefault="00FF588D" w:rsidP="00AA565D">
      <w:pPr>
        <w:pStyle w:val="p1"/>
        <w:spacing w:line="360" w:lineRule="auto"/>
        <w:rPr>
          <w:rFonts w:ascii="Arial" w:hAnsi="Arial" w:cs="Arial"/>
          <w:sz w:val="22"/>
          <w:szCs w:val="22"/>
        </w:rPr>
      </w:pPr>
    </w:p>
    <w:p w14:paraId="2BA3D258"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Lifestyle changes are a key part of managing Type 2 diabetes and can significantly improve blood glucose control, reduce symptoms and lower the risk of complications.</w:t>
      </w:r>
    </w:p>
    <w:p w14:paraId="46C93FBA" w14:textId="77777777" w:rsidR="00FF588D" w:rsidRPr="007154A6" w:rsidRDefault="00FF588D" w:rsidP="00AA565D">
      <w:pPr>
        <w:pStyle w:val="p1"/>
        <w:spacing w:line="360" w:lineRule="auto"/>
        <w:rPr>
          <w:rFonts w:ascii="Arial" w:hAnsi="Arial" w:cs="Arial"/>
          <w:sz w:val="22"/>
          <w:szCs w:val="22"/>
        </w:rPr>
      </w:pPr>
    </w:p>
    <w:p w14:paraId="319EA088"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One of the most important recommendations is achieving gradual weight loss where appropriate. Losing even a small amount of weight can improve the body’s response to insulin and help lower blood glucose levels. Patients should aim for realistic and sustainable changes rather than rapid weight-loss programmes (NICE, 2022).</w:t>
      </w:r>
    </w:p>
    <w:p w14:paraId="2D8152B4" w14:textId="77777777" w:rsidR="00FF588D" w:rsidRPr="007154A6" w:rsidRDefault="00FF588D" w:rsidP="00AA565D">
      <w:pPr>
        <w:pStyle w:val="p1"/>
        <w:spacing w:line="360" w:lineRule="auto"/>
        <w:rPr>
          <w:rFonts w:ascii="Arial" w:hAnsi="Arial" w:cs="Arial"/>
          <w:sz w:val="22"/>
          <w:szCs w:val="22"/>
        </w:rPr>
      </w:pPr>
    </w:p>
    <w:p w14:paraId="554EA04D"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Healthy eating is also essential. Individuals should choose wholegrain bread, brown rice and high-fibre foods instead of refined carbohydrates such as white bread and sugary snacks. Increasing fruit, vegetables, beans and pulses can support overall health and help maintain stable blood glucose levels. Reducing sugary drinks and replacing them with water or sugar-free alternatives is another simple but effective change.</w:t>
      </w:r>
    </w:p>
    <w:p w14:paraId="44688CCE" w14:textId="77777777" w:rsidR="00FF588D" w:rsidRPr="007154A6" w:rsidRDefault="00FF588D" w:rsidP="00AA565D">
      <w:pPr>
        <w:pStyle w:val="p1"/>
        <w:spacing w:line="360" w:lineRule="auto"/>
        <w:rPr>
          <w:rFonts w:ascii="Arial" w:hAnsi="Arial" w:cs="Arial"/>
          <w:sz w:val="22"/>
          <w:szCs w:val="22"/>
        </w:rPr>
      </w:pPr>
    </w:p>
    <w:p w14:paraId="79EE84B6" w14:textId="77777777" w:rsidR="00FF588D" w:rsidRPr="007154A6" w:rsidRDefault="00FF588D" w:rsidP="00AA565D">
      <w:pPr>
        <w:pStyle w:val="p1"/>
        <w:spacing w:line="360" w:lineRule="auto"/>
        <w:rPr>
          <w:rFonts w:ascii="Arial" w:hAnsi="Arial" w:cs="Arial"/>
          <w:sz w:val="22"/>
          <w:szCs w:val="22"/>
        </w:rPr>
      </w:pPr>
      <w:r w:rsidRPr="007154A6">
        <w:rPr>
          <w:rFonts w:ascii="Arial" w:hAnsi="Arial" w:cs="Arial"/>
          <w:sz w:val="22"/>
          <w:szCs w:val="22"/>
        </w:rPr>
        <w:t xml:space="preserve">Regular physical activity should be encouraged. Patients should aim for at least 150 minutes of moderate-intensity exercise each week, such as brisk walking, cycling or swimming. A practical recommendation is to take a 10–15 minute walk after meals, as this can help reduce blood glucose levels and improve overall fitness. Strength-based activities performed two or more times each week can also support glucose control and improve muscle health (World Health </w:t>
      </w:r>
      <w:proofErr w:type="spellStart"/>
      <w:r w:rsidRPr="007154A6">
        <w:rPr>
          <w:rFonts w:ascii="Arial" w:hAnsi="Arial" w:cs="Arial"/>
          <w:sz w:val="22"/>
          <w:szCs w:val="22"/>
        </w:rPr>
        <w:t>Organization</w:t>
      </w:r>
      <w:proofErr w:type="spellEnd"/>
      <w:r w:rsidRPr="007154A6">
        <w:rPr>
          <w:rFonts w:ascii="Arial" w:hAnsi="Arial" w:cs="Arial"/>
          <w:sz w:val="22"/>
          <w:szCs w:val="22"/>
        </w:rPr>
        <w:t>, 2020).</w:t>
      </w:r>
    </w:p>
    <w:p w14:paraId="4E663E11" w14:textId="77777777" w:rsidR="00FF588D" w:rsidRPr="007154A6" w:rsidRDefault="00FF588D" w:rsidP="00AA565D">
      <w:pPr>
        <w:pStyle w:val="p4"/>
        <w:spacing w:line="360" w:lineRule="auto"/>
        <w:rPr>
          <w:rFonts w:ascii="Arial" w:hAnsi="Arial" w:cs="Arial"/>
          <w:sz w:val="22"/>
          <w:szCs w:val="22"/>
        </w:rPr>
      </w:pPr>
    </w:p>
    <w:p w14:paraId="4367E712" w14:textId="77777777" w:rsidR="00FF588D" w:rsidRPr="007154A6" w:rsidRDefault="00FF588D" w:rsidP="00AA565D">
      <w:pPr>
        <w:pStyle w:val="p4"/>
        <w:spacing w:line="360" w:lineRule="auto"/>
        <w:rPr>
          <w:rFonts w:ascii="Arial" w:hAnsi="Arial" w:cs="Arial"/>
          <w:sz w:val="22"/>
          <w:szCs w:val="22"/>
        </w:rPr>
      </w:pPr>
      <w:r w:rsidRPr="007154A6">
        <w:rPr>
          <w:rFonts w:ascii="Arial" w:hAnsi="Arial" w:cs="Arial"/>
          <w:sz w:val="22"/>
          <w:szCs w:val="22"/>
        </w:rPr>
        <w:t>Monitoring food intake, physical activity and body weight can help individuals stay motivated and identify positive changes over time. Small, consistent lifestyle changes are often more successful than drastic changes and can lead to long-term improvements in health, energy levels and quality of life.</w:t>
      </w:r>
    </w:p>
    <w:p w14:paraId="27FC1E69" w14:textId="67016A62" w:rsidR="00634311" w:rsidRPr="007154A6" w:rsidRDefault="00634311" w:rsidP="00AA565D">
      <w:pPr>
        <w:spacing w:line="360" w:lineRule="auto"/>
        <w:rPr>
          <w:rFonts w:ascii="Arial" w:hAnsi="Arial" w:cs="Arial"/>
          <w:sz w:val="22"/>
          <w:szCs w:val="22"/>
        </w:rPr>
      </w:pPr>
    </w:p>
    <w:p w14:paraId="0E276103" w14:textId="77777777" w:rsidR="00634311" w:rsidRPr="002C4212" w:rsidRDefault="00634311" w:rsidP="00AA565D">
      <w:pPr>
        <w:spacing w:line="360" w:lineRule="auto"/>
        <w:rPr>
          <w:rFonts w:ascii="Arial" w:hAnsi="Arial" w:cs="Arial"/>
          <w:sz w:val="22"/>
          <w:szCs w:val="22"/>
        </w:rPr>
      </w:pPr>
    </w:p>
    <w:p w14:paraId="17C172C7" w14:textId="77777777" w:rsidR="00634311" w:rsidRPr="00A26DF6" w:rsidRDefault="17DB1DEA" w:rsidP="002F2C49">
      <w:pPr>
        <w:spacing w:line="360" w:lineRule="auto"/>
        <w:rPr>
          <w:rFonts w:ascii="Arial" w:hAnsi="Arial" w:cs="Arial"/>
          <w:b/>
          <w:bCs/>
          <w:i/>
          <w:iCs/>
          <w:sz w:val="22"/>
          <w:szCs w:val="22"/>
          <w:u w:val="single"/>
        </w:rPr>
      </w:pPr>
      <w:r w:rsidRPr="00A26DF6">
        <w:rPr>
          <w:rFonts w:ascii="Arial" w:hAnsi="Arial" w:cs="Arial"/>
          <w:b/>
          <w:bCs/>
          <w:i/>
          <w:iCs/>
          <w:sz w:val="22"/>
          <w:szCs w:val="22"/>
          <w:u w:val="single"/>
        </w:rPr>
        <w:t>Normal Physiology and Homeostasis</w:t>
      </w:r>
    </w:p>
    <w:p w14:paraId="7CFBDFB2" w14:textId="77777777" w:rsidR="00507F9A" w:rsidRPr="00A26DF6" w:rsidRDefault="00507F9A" w:rsidP="002F2C49">
      <w:pPr>
        <w:spacing w:before="100" w:beforeAutospacing="1" w:after="100" w:afterAutospacing="1" w:line="360" w:lineRule="auto"/>
        <w:outlineLvl w:val="2"/>
        <w:rPr>
          <w:rFonts w:ascii="Arial" w:eastAsia="Times New Roman" w:hAnsi="Arial" w:cs="Arial"/>
          <w:b/>
          <w:bCs/>
          <w:kern w:val="0"/>
          <w:sz w:val="22"/>
          <w:szCs w:val="22"/>
          <w14:ligatures w14:val="none"/>
        </w:rPr>
      </w:pPr>
      <w:r w:rsidRPr="00A26DF6">
        <w:rPr>
          <w:rFonts w:ascii="Arial" w:eastAsia="Times New Roman" w:hAnsi="Arial" w:cs="Arial"/>
          <w:b/>
          <w:bCs/>
          <w:kern w:val="0"/>
          <w:sz w:val="22"/>
          <w:szCs w:val="22"/>
          <w14:ligatures w14:val="none"/>
        </w:rPr>
        <w:t>Figure 1. Normal Blood Glucose Regulation</w:t>
      </w:r>
    </w:p>
    <w:p w14:paraId="65C1A094" w14:textId="77777777" w:rsidR="00507F9A" w:rsidRPr="00A26DF6" w:rsidRDefault="00507F9A" w:rsidP="002F2C49">
      <w:pPr>
        <w:spacing w:before="100" w:beforeAutospacing="1" w:after="100" w:afterAutospacing="1" w:line="360" w:lineRule="auto"/>
        <w:rPr>
          <w:rFonts w:ascii="Arial" w:hAnsi="Arial" w:cs="Arial"/>
          <w:kern w:val="0"/>
          <w:sz w:val="22"/>
          <w:szCs w:val="22"/>
          <w14:ligatures w14:val="none"/>
        </w:rPr>
      </w:pPr>
      <w:r w:rsidRPr="00A26DF6">
        <w:rPr>
          <w:rFonts w:ascii="Arial" w:hAnsi="Arial" w:cs="Arial"/>
          <w:b/>
          <w:bCs/>
          <w:kern w:val="0"/>
          <w:sz w:val="22"/>
          <w:szCs w:val="22"/>
          <w14:ligatures w14:val="none"/>
        </w:rPr>
        <w:t>Carbohydrates eaten</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Digestive system breaks carbohydrates into glucose</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Glucose enters the bloodstream</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Blood glucose levels rise</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Pancreas detects increased blood glucose</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Pancreas releases insulin</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Insulin allows glucose to enter body cells</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Cells use glucose to produce energy (ATP)</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Excess glucose is stored in the liver as glycogen</w:t>
      </w:r>
      <w:r w:rsidRPr="00A26DF6">
        <w:rPr>
          <w:rFonts w:ascii="Arial" w:hAnsi="Arial" w:cs="Arial"/>
          <w:kern w:val="0"/>
          <w:sz w:val="22"/>
          <w:szCs w:val="22"/>
          <w14:ligatures w14:val="none"/>
        </w:rPr>
        <w:br/>
        <w:t>↓</w:t>
      </w:r>
      <w:r w:rsidRPr="00A26DF6">
        <w:rPr>
          <w:rFonts w:ascii="Arial" w:hAnsi="Arial" w:cs="Arial"/>
          <w:kern w:val="0"/>
          <w:sz w:val="22"/>
          <w:szCs w:val="22"/>
          <w14:ligatures w14:val="none"/>
        </w:rPr>
        <w:br/>
      </w:r>
      <w:r w:rsidRPr="00A26DF6">
        <w:rPr>
          <w:rFonts w:ascii="Arial" w:hAnsi="Arial" w:cs="Arial"/>
          <w:b/>
          <w:bCs/>
          <w:kern w:val="0"/>
          <w:sz w:val="22"/>
          <w:szCs w:val="22"/>
          <w14:ligatures w14:val="none"/>
        </w:rPr>
        <w:t>Blood glucose returns to normal levels (homeostasis)</w:t>
      </w:r>
    </w:p>
    <w:p w14:paraId="55BE0330" w14:textId="12C02366" w:rsidR="00A65B17" w:rsidRPr="00A26DF6" w:rsidRDefault="00A65B17" w:rsidP="002F2C49">
      <w:pPr>
        <w:spacing w:line="360" w:lineRule="auto"/>
        <w:rPr>
          <w:rFonts w:ascii="Arial" w:hAnsi="Arial" w:cs="Arial"/>
          <w:sz w:val="22"/>
          <w:szCs w:val="22"/>
        </w:rPr>
      </w:pPr>
    </w:p>
    <w:p w14:paraId="46AAA772" w14:textId="77777777" w:rsidR="00A8589E" w:rsidRPr="00C40BC6" w:rsidRDefault="00A8589E" w:rsidP="007F1A9E">
      <w:pPr>
        <w:spacing w:before="100" w:beforeAutospacing="1" w:after="100" w:afterAutospacing="1" w:line="360" w:lineRule="auto"/>
        <w:outlineLvl w:val="2"/>
        <w:rPr>
          <w:rFonts w:ascii="Arial" w:eastAsia="Times New Roman" w:hAnsi="Arial" w:cs="Arial"/>
          <w:b/>
          <w:bCs/>
          <w:i/>
          <w:iCs/>
          <w:kern w:val="0"/>
          <w:sz w:val="22"/>
          <w:szCs w:val="22"/>
          <w:u w:val="single"/>
          <w14:ligatures w14:val="none"/>
        </w:rPr>
      </w:pPr>
      <w:r w:rsidRPr="00C40BC6">
        <w:rPr>
          <w:rFonts w:ascii="Arial" w:eastAsia="Times New Roman" w:hAnsi="Arial" w:cs="Arial"/>
          <w:b/>
          <w:bCs/>
          <w:i/>
          <w:iCs/>
          <w:kern w:val="0"/>
          <w:sz w:val="22"/>
          <w:szCs w:val="22"/>
          <w:u w:val="single"/>
          <w14:ligatures w14:val="none"/>
        </w:rPr>
        <w:t>Figure 2. Type 2 Diabetes Process</w:t>
      </w:r>
    </w:p>
    <w:p w14:paraId="1BE6A7F8" w14:textId="77777777" w:rsidR="00A8589E" w:rsidRPr="002F2C49" w:rsidRDefault="00A8589E" w:rsidP="007F1A9E">
      <w:pPr>
        <w:spacing w:before="100" w:beforeAutospacing="1" w:after="100" w:afterAutospacing="1" w:line="360" w:lineRule="auto"/>
        <w:rPr>
          <w:rFonts w:ascii="Arial" w:hAnsi="Arial" w:cs="Arial"/>
          <w:b/>
          <w:bCs/>
          <w:kern w:val="0"/>
          <w:sz w:val="22"/>
          <w:szCs w:val="22"/>
          <w14:ligatures w14:val="none"/>
        </w:rPr>
      </w:pPr>
      <w:r w:rsidRPr="002F2C49">
        <w:rPr>
          <w:rFonts w:ascii="Arial" w:hAnsi="Arial" w:cs="Arial"/>
          <w:b/>
          <w:bCs/>
          <w:kern w:val="0"/>
          <w:sz w:val="22"/>
          <w:szCs w:val="22"/>
          <w14:ligatures w14:val="none"/>
        </w:rPr>
        <w:t>Carbohydrates eaten</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Glucose enters the bloodstream</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Blood glucose levels rise</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Pancreas releases insulin</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Body cells become resistant to insulin</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Glucose cannot enter cells effectively</w:t>
      </w:r>
      <w:r w:rsidRPr="002F2C49">
        <w:rPr>
          <w:rFonts w:ascii="Arial" w:hAnsi="Arial" w:cs="Arial"/>
          <w:b/>
          <w:bCs/>
          <w:kern w:val="0"/>
          <w:sz w:val="22"/>
          <w:szCs w:val="22"/>
          <w14:ligatures w14:val="none"/>
        </w:rPr>
        <w:br/>
        <w:t>↓</w:t>
      </w:r>
      <w:r w:rsidRPr="002F2C49">
        <w:rPr>
          <w:rFonts w:ascii="Arial" w:hAnsi="Arial" w:cs="Arial"/>
          <w:b/>
          <w:bCs/>
          <w:kern w:val="0"/>
          <w:sz w:val="22"/>
          <w:szCs w:val="22"/>
          <w14:ligatures w14:val="none"/>
        </w:rPr>
        <w:br/>
        <w:t>Blood glucose remains high</w:t>
      </w:r>
      <w:r w:rsidRPr="002F2C49">
        <w:rPr>
          <w:rFonts w:ascii="Arial" w:hAnsi="Arial" w:cs="Arial"/>
          <w:b/>
          <w:bCs/>
          <w:kern w:val="0"/>
          <w:sz w:val="22"/>
          <w:szCs w:val="22"/>
          <w14:ligatures w14:val="none"/>
        </w:rPr>
        <w:br/>
        <w:t>↓</w:t>
      </w:r>
    </w:p>
    <w:p w14:paraId="7AC6899D" w14:textId="77777777" w:rsidR="00A8589E" w:rsidRPr="002F2C49" w:rsidRDefault="00A8589E" w:rsidP="007F1A9E">
      <w:pPr>
        <w:spacing w:before="100" w:beforeAutospacing="1" w:after="100" w:afterAutospacing="1" w:line="360" w:lineRule="auto"/>
        <w:rPr>
          <w:rFonts w:ascii="Arial" w:hAnsi="Arial" w:cs="Arial"/>
          <w:b/>
          <w:bCs/>
          <w:kern w:val="0"/>
          <w:sz w:val="22"/>
          <w:szCs w:val="22"/>
          <w14:ligatures w14:val="none"/>
        </w:rPr>
      </w:pPr>
      <w:r w:rsidRPr="002F2C49">
        <w:rPr>
          <w:rFonts w:ascii="Arial" w:hAnsi="Arial" w:cs="Arial"/>
          <w:b/>
          <w:bCs/>
          <w:kern w:val="0"/>
          <w:sz w:val="22"/>
          <w:szCs w:val="22"/>
          <w14:ligatures w14:val="none"/>
        </w:rPr>
        <w:t>Effects:</w:t>
      </w:r>
    </w:p>
    <w:p w14:paraId="2D9A58E7" w14:textId="77777777" w:rsidR="00A8589E" w:rsidRPr="002F2C49" w:rsidRDefault="00A8589E" w:rsidP="007F1A9E">
      <w:pPr>
        <w:numPr>
          <w:ilvl w:val="0"/>
          <w:numId w:val="3"/>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Fatigue (reduced energy production)</w:t>
      </w:r>
    </w:p>
    <w:p w14:paraId="15515BFB" w14:textId="77777777" w:rsidR="00A8589E" w:rsidRPr="002F2C49" w:rsidRDefault="00A8589E" w:rsidP="007F1A9E">
      <w:pPr>
        <w:numPr>
          <w:ilvl w:val="0"/>
          <w:numId w:val="3"/>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Increased thirst</w:t>
      </w:r>
    </w:p>
    <w:p w14:paraId="6D42594A" w14:textId="77777777" w:rsidR="00A8589E" w:rsidRPr="002F2C49" w:rsidRDefault="00A8589E" w:rsidP="007F1A9E">
      <w:pPr>
        <w:numPr>
          <w:ilvl w:val="0"/>
          <w:numId w:val="3"/>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Increased urination</w:t>
      </w:r>
    </w:p>
    <w:p w14:paraId="25685310" w14:textId="77777777" w:rsidR="00A8589E" w:rsidRPr="002F2C49" w:rsidRDefault="00A8589E" w:rsidP="007F1A9E">
      <w:pPr>
        <w:numPr>
          <w:ilvl w:val="0"/>
          <w:numId w:val="3"/>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Slow wound healing</w:t>
      </w:r>
    </w:p>
    <w:p w14:paraId="2E4744EF" w14:textId="77777777" w:rsidR="00A8589E" w:rsidRPr="002F2C49" w:rsidRDefault="00A8589E" w:rsidP="007F1A9E">
      <w:pPr>
        <w:spacing w:before="100" w:beforeAutospacing="1" w:after="100" w:afterAutospacing="1" w:line="360" w:lineRule="auto"/>
        <w:rPr>
          <w:rFonts w:ascii="Arial" w:hAnsi="Arial" w:cs="Arial"/>
          <w:b/>
          <w:bCs/>
          <w:kern w:val="0"/>
          <w:sz w:val="22"/>
          <w:szCs w:val="22"/>
          <w14:ligatures w14:val="none"/>
        </w:rPr>
      </w:pPr>
      <w:r w:rsidRPr="002F2C49">
        <w:rPr>
          <w:rFonts w:ascii="Arial" w:hAnsi="Arial" w:cs="Arial"/>
          <w:b/>
          <w:bCs/>
          <w:kern w:val="0"/>
          <w:sz w:val="22"/>
          <w:szCs w:val="22"/>
          <w14:ligatures w14:val="none"/>
        </w:rPr>
        <w:t>↓</w:t>
      </w:r>
    </w:p>
    <w:p w14:paraId="7F2C6088" w14:textId="77777777" w:rsidR="00A8589E" w:rsidRPr="002F2C49" w:rsidRDefault="00A8589E" w:rsidP="007F1A9E">
      <w:pPr>
        <w:spacing w:before="100" w:beforeAutospacing="1" w:after="100" w:afterAutospacing="1" w:line="360" w:lineRule="auto"/>
        <w:rPr>
          <w:rFonts w:ascii="Arial" w:hAnsi="Arial" w:cs="Arial"/>
          <w:b/>
          <w:bCs/>
          <w:kern w:val="0"/>
          <w:sz w:val="22"/>
          <w:szCs w:val="22"/>
          <w14:ligatures w14:val="none"/>
        </w:rPr>
      </w:pPr>
      <w:r w:rsidRPr="002F2C49">
        <w:rPr>
          <w:rFonts w:ascii="Arial" w:hAnsi="Arial" w:cs="Arial"/>
          <w:b/>
          <w:bCs/>
          <w:kern w:val="0"/>
          <w:sz w:val="22"/>
          <w:szCs w:val="22"/>
          <w14:ligatures w14:val="none"/>
        </w:rPr>
        <w:t>Long-term complications:</w:t>
      </w:r>
    </w:p>
    <w:p w14:paraId="64804E32" w14:textId="77777777" w:rsidR="00A8589E" w:rsidRPr="002F2C49" w:rsidRDefault="00A8589E" w:rsidP="007F1A9E">
      <w:pPr>
        <w:numPr>
          <w:ilvl w:val="0"/>
          <w:numId w:val="4"/>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Cardiovascular disease</w:t>
      </w:r>
    </w:p>
    <w:p w14:paraId="2944B9B2" w14:textId="77777777" w:rsidR="00A8589E" w:rsidRPr="002F2C49" w:rsidRDefault="00A8589E" w:rsidP="007F1A9E">
      <w:pPr>
        <w:numPr>
          <w:ilvl w:val="0"/>
          <w:numId w:val="4"/>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Kidney disease</w:t>
      </w:r>
    </w:p>
    <w:p w14:paraId="4C9499DC" w14:textId="77777777" w:rsidR="00A8589E" w:rsidRPr="002F2C49" w:rsidRDefault="00A8589E" w:rsidP="007F1A9E">
      <w:pPr>
        <w:numPr>
          <w:ilvl w:val="0"/>
          <w:numId w:val="4"/>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Nerve damage</w:t>
      </w:r>
    </w:p>
    <w:p w14:paraId="7BDF6F99" w14:textId="77777777" w:rsidR="00A8589E" w:rsidRPr="002F2C49" w:rsidRDefault="00A8589E" w:rsidP="007F1A9E">
      <w:pPr>
        <w:numPr>
          <w:ilvl w:val="0"/>
          <w:numId w:val="4"/>
        </w:numPr>
        <w:spacing w:before="100" w:beforeAutospacing="1" w:after="100" w:afterAutospacing="1" w:line="360" w:lineRule="auto"/>
        <w:rPr>
          <w:rFonts w:ascii="Arial" w:eastAsia="Times New Roman" w:hAnsi="Arial" w:cs="Arial"/>
          <w:b/>
          <w:bCs/>
          <w:kern w:val="0"/>
          <w:sz w:val="22"/>
          <w:szCs w:val="22"/>
          <w14:ligatures w14:val="none"/>
        </w:rPr>
      </w:pPr>
      <w:r w:rsidRPr="002F2C49">
        <w:rPr>
          <w:rFonts w:ascii="Arial" w:eastAsia="Times New Roman" w:hAnsi="Arial" w:cs="Arial"/>
          <w:b/>
          <w:bCs/>
          <w:kern w:val="0"/>
          <w:sz w:val="22"/>
          <w:szCs w:val="22"/>
          <w14:ligatures w14:val="none"/>
        </w:rPr>
        <w:t>Eye damage</w:t>
      </w:r>
    </w:p>
    <w:p w14:paraId="6FFA47D2" w14:textId="5D8C5BDE" w:rsidR="00E77274" w:rsidRPr="005D732A" w:rsidRDefault="00E77274" w:rsidP="00A65B17">
      <w:pPr>
        <w:spacing w:line="360" w:lineRule="auto"/>
        <w:rPr>
          <w:rFonts w:ascii="Arial" w:hAnsi="Arial" w:cs="Arial"/>
          <w:b/>
          <w:bCs/>
          <w:i/>
          <w:iCs/>
          <w:sz w:val="22"/>
          <w:szCs w:val="22"/>
          <w:u w:val="single"/>
        </w:rPr>
      </w:pPr>
    </w:p>
    <w:p w14:paraId="6C3B72EE" w14:textId="77777777" w:rsidR="00955131" w:rsidRPr="005D732A" w:rsidRDefault="00955131" w:rsidP="00955131">
      <w:pPr>
        <w:spacing w:line="360" w:lineRule="auto"/>
        <w:rPr>
          <w:rFonts w:ascii="Arial" w:hAnsi="Arial" w:cs="Arial"/>
          <w:b/>
          <w:bCs/>
          <w:i/>
          <w:iCs/>
          <w:sz w:val="22"/>
          <w:szCs w:val="22"/>
          <w:u w:val="single"/>
        </w:rPr>
      </w:pPr>
      <w:commentRangeStart w:id="0"/>
      <w:r w:rsidRPr="005D732A">
        <w:rPr>
          <w:rFonts w:ascii="Arial" w:hAnsi="Arial" w:cs="Arial"/>
          <w:b/>
          <w:bCs/>
          <w:i/>
          <w:iCs/>
          <w:sz w:val="22"/>
          <w:szCs w:val="22"/>
          <w:u w:val="single"/>
        </w:rPr>
        <w:t>Conclusion</w:t>
      </w:r>
    </w:p>
    <w:p w14:paraId="3FB508D3" w14:textId="77777777" w:rsidR="00955131" w:rsidRPr="00955131" w:rsidRDefault="00955131" w:rsidP="00955131">
      <w:pPr>
        <w:spacing w:line="360" w:lineRule="auto"/>
        <w:rPr>
          <w:rFonts w:ascii="Arial" w:hAnsi="Arial" w:cs="Arial"/>
          <w:sz w:val="22"/>
          <w:szCs w:val="22"/>
        </w:rPr>
      </w:pPr>
    </w:p>
    <w:p w14:paraId="1F2063F1" w14:textId="77777777" w:rsidR="00955131" w:rsidRPr="00955131" w:rsidRDefault="00955131" w:rsidP="00955131">
      <w:pPr>
        <w:spacing w:line="360" w:lineRule="auto"/>
        <w:rPr>
          <w:rFonts w:ascii="Arial" w:hAnsi="Arial" w:cs="Arial"/>
          <w:sz w:val="22"/>
          <w:szCs w:val="22"/>
        </w:rPr>
      </w:pPr>
      <w:r w:rsidRPr="00955131">
        <w:rPr>
          <w:rFonts w:ascii="Arial" w:hAnsi="Arial" w:cs="Arial"/>
          <w:sz w:val="22"/>
          <w:szCs w:val="22"/>
        </w:rPr>
        <w:t>Type 2 diabetes is defined by insulin resistance and progressive beta</w:t>
      </w:r>
      <w:r w:rsidRPr="00955131">
        <w:rPr>
          <w:rFonts w:ascii="Cambria Math" w:hAnsi="Cambria Math" w:cs="Cambria Math"/>
          <w:sz w:val="22"/>
          <w:szCs w:val="22"/>
        </w:rPr>
        <w:t>‑</w:t>
      </w:r>
      <w:r w:rsidRPr="00955131">
        <w:rPr>
          <w:rFonts w:ascii="Arial" w:hAnsi="Arial" w:cs="Arial"/>
          <w:sz w:val="22"/>
          <w:szCs w:val="22"/>
        </w:rPr>
        <w:t>cell failure, disrupting glucose homeostasis and cellular energy production. Chronic hyperglycaemia causes widespread tissue damage, but the condition is highly modifiable.</w:t>
      </w:r>
    </w:p>
    <w:p w14:paraId="38A6CD7F" w14:textId="77777777" w:rsidR="00955131" w:rsidRPr="00955131" w:rsidRDefault="00955131" w:rsidP="00955131">
      <w:pPr>
        <w:spacing w:line="360" w:lineRule="auto"/>
        <w:rPr>
          <w:rFonts w:ascii="Arial" w:hAnsi="Arial" w:cs="Arial"/>
          <w:sz w:val="22"/>
          <w:szCs w:val="22"/>
        </w:rPr>
      </w:pPr>
    </w:p>
    <w:p w14:paraId="72265CC5" w14:textId="77777777" w:rsidR="00955131" w:rsidRPr="00955131" w:rsidRDefault="00955131" w:rsidP="00955131">
      <w:pPr>
        <w:spacing w:line="360" w:lineRule="auto"/>
        <w:rPr>
          <w:rFonts w:ascii="Arial" w:hAnsi="Arial" w:cs="Arial"/>
          <w:sz w:val="22"/>
          <w:szCs w:val="22"/>
        </w:rPr>
      </w:pPr>
      <w:r w:rsidRPr="00955131">
        <w:rPr>
          <w:rFonts w:ascii="Arial" w:hAnsi="Arial" w:cs="Arial"/>
          <w:sz w:val="22"/>
          <w:szCs w:val="22"/>
        </w:rPr>
        <w:t>Anatomical and physiological understanding shows how lifestyle factors – excess weight, poor diet, inactivity – drive the core defects, while weight loss, healthy eating and exercise directly reverse or improve them. Monitoring – through SMBG, CGM and HbA1c – provides the objective data required to tailor management and prevent complications.</w:t>
      </w:r>
    </w:p>
    <w:p w14:paraId="44C1F763" w14:textId="77777777" w:rsidR="00955131" w:rsidRPr="00955131" w:rsidRDefault="00955131" w:rsidP="00955131">
      <w:pPr>
        <w:spacing w:line="360" w:lineRule="auto"/>
        <w:rPr>
          <w:rFonts w:ascii="Arial" w:hAnsi="Arial" w:cs="Arial"/>
          <w:sz w:val="22"/>
          <w:szCs w:val="22"/>
        </w:rPr>
      </w:pPr>
    </w:p>
    <w:p w14:paraId="603C7A8A" w14:textId="77777777" w:rsidR="00955131" w:rsidRPr="00955131" w:rsidRDefault="76F2BE41" w:rsidP="00955131">
      <w:pPr>
        <w:spacing w:line="360" w:lineRule="auto"/>
        <w:rPr>
          <w:rFonts w:ascii="Arial" w:hAnsi="Arial" w:cs="Arial"/>
          <w:sz w:val="22"/>
          <w:szCs w:val="22"/>
        </w:rPr>
      </w:pPr>
      <w:r w:rsidRPr="1E65CA43">
        <w:rPr>
          <w:rFonts w:ascii="Arial" w:hAnsi="Arial" w:cs="Arial"/>
          <w:sz w:val="22"/>
          <w:szCs w:val="22"/>
        </w:rPr>
        <w:t>Evidence from UKPDS, DiRECT and NICE guidance confirms that realistic, sustained lifestyle changes are as powerful as medication, and can achieve remission in many. Education and data literacy empower individuals to take control.</w:t>
      </w:r>
      <w:commentRangeEnd w:id="0"/>
      <w:r w:rsidR="00955131">
        <w:commentReference w:id="0"/>
      </w:r>
    </w:p>
    <w:p w14:paraId="0B35D75A" w14:textId="77777777" w:rsidR="00955131" w:rsidRPr="00955131" w:rsidRDefault="00955131" w:rsidP="00955131">
      <w:pPr>
        <w:spacing w:line="360" w:lineRule="auto"/>
        <w:rPr>
          <w:rFonts w:ascii="Arial" w:hAnsi="Arial" w:cs="Arial"/>
          <w:sz w:val="22"/>
          <w:szCs w:val="22"/>
        </w:rPr>
      </w:pPr>
    </w:p>
    <w:p w14:paraId="50C1A5B9" w14:textId="2B935BA8" w:rsidR="00F911C8" w:rsidRDefault="00955131" w:rsidP="00302ADF">
      <w:pPr>
        <w:spacing w:line="360" w:lineRule="auto"/>
        <w:rPr>
          <w:rFonts w:ascii="Arial" w:hAnsi="Arial" w:cs="Arial"/>
          <w:sz w:val="22"/>
          <w:szCs w:val="22"/>
        </w:rPr>
      </w:pPr>
      <w:r w:rsidRPr="00955131">
        <w:rPr>
          <w:rFonts w:ascii="Arial" w:hAnsi="Arial" w:cs="Arial"/>
          <w:sz w:val="22"/>
          <w:szCs w:val="22"/>
        </w:rPr>
        <w:t>Ultimately, T2DM is a marker of metabolic health; by applying physiological principles and evidence</w:t>
      </w:r>
      <w:r w:rsidRPr="00955131">
        <w:rPr>
          <w:rFonts w:ascii="Cambria Math" w:hAnsi="Cambria Math" w:cs="Cambria Math"/>
          <w:sz w:val="22"/>
          <w:szCs w:val="22"/>
        </w:rPr>
        <w:t>‑</w:t>
      </w:r>
      <w:r w:rsidRPr="00955131">
        <w:rPr>
          <w:rFonts w:ascii="Arial" w:hAnsi="Arial" w:cs="Arial"/>
          <w:sz w:val="22"/>
          <w:szCs w:val="22"/>
        </w:rPr>
        <w:t>based strategies, outcomes can be transformed, reducing burden on individuals and health services alike.</w:t>
      </w:r>
    </w:p>
    <w:p w14:paraId="00A9001C" w14:textId="77777777" w:rsidR="00D77560" w:rsidRDefault="00D77560" w:rsidP="00302ADF">
      <w:pPr>
        <w:spacing w:line="360" w:lineRule="auto"/>
        <w:rPr>
          <w:rFonts w:ascii="Arial" w:hAnsi="Arial" w:cs="Arial"/>
          <w:sz w:val="22"/>
          <w:szCs w:val="22"/>
        </w:rPr>
      </w:pPr>
    </w:p>
    <w:p w14:paraId="3E1A0A68" w14:textId="77777777" w:rsidR="00D77560" w:rsidRDefault="00D77560" w:rsidP="00302ADF">
      <w:pPr>
        <w:spacing w:line="360" w:lineRule="auto"/>
        <w:rPr>
          <w:rFonts w:ascii="Arial" w:hAnsi="Arial" w:cs="Arial"/>
          <w:sz w:val="22"/>
          <w:szCs w:val="22"/>
        </w:rPr>
      </w:pPr>
    </w:p>
    <w:p w14:paraId="07B39AC8" w14:textId="07CC7F3B" w:rsidR="008C60B4" w:rsidRPr="00D77560" w:rsidRDefault="008C60B4" w:rsidP="008C60B4">
      <w:pPr>
        <w:spacing w:line="360" w:lineRule="auto"/>
        <w:rPr>
          <w:rFonts w:ascii="Arial" w:hAnsi="Arial" w:cs="Arial"/>
          <w:b/>
          <w:bCs/>
          <w:sz w:val="22"/>
          <w:szCs w:val="22"/>
          <w:u w:val="single"/>
        </w:rPr>
      </w:pPr>
      <w:r w:rsidRPr="00D77560">
        <w:rPr>
          <w:rFonts w:ascii="Arial" w:hAnsi="Arial" w:cs="Arial"/>
          <w:b/>
          <w:bCs/>
          <w:sz w:val="22"/>
          <w:szCs w:val="22"/>
          <w:u w:val="single"/>
        </w:rPr>
        <w:t xml:space="preserve">Harvard Reference List </w:t>
      </w:r>
    </w:p>
    <w:p w14:paraId="691B006D"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Davies, M.J., </w:t>
      </w:r>
      <w:proofErr w:type="spellStart"/>
      <w:r w:rsidRPr="008C60B4">
        <w:rPr>
          <w:rFonts w:ascii="Arial" w:hAnsi="Arial" w:cs="Arial"/>
          <w:sz w:val="22"/>
          <w:szCs w:val="22"/>
        </w:rPr>
        <w:t>D’Alessio</w:t>
      </w:r>
      <w:proofErr w:type="spellEnd"/>
      <w:r w:rsidRPr="008C60B4">
        <w:rPr>
          <w:rFonts w:ascii="Arial" w:hAnsi="Arial" w:cs="Arial"/>
          <w:sz w:val="22"/>
          <w:szCs w:val="22"/>
        </w:rPr>
        <w:t xml:space="preserve">, D.A., </w:t>
      </w:r>
      <w:proofErr w:type="spellStart"/>
      <w:r w:rsidRPr="008C60B4">
        <w:rPr>
          <w:rFonts w:ascii="Arial" w:hAnsi="Arial" w:cs="Arial"/>
          <w:sz w:val="22"/>
          <w:szCs w:val="22"/>
        </w:rPr>
        <w:t>Fradkin</w:t>
      </w:r>
      <w:proofErr w:type="spellEnd"/>
      <w:r w:rsidRPr="008C60B4">
        <w:rPr>
          <w:rFonts w:ascii="Arial" w:hAnsi="Arial" w:cs="Arial"/>
          <w:sz w:val="22"/>
          <w:szCs w:val="22"/>
        </w:rPr>
        <w:t xml:space="preserve">, J., </w:t>
      </w:r>
      <w:proofErr w:type="spellStart"/>
      <w:r w:rsidRPr="008C60B4">
        <w:rPr>
          <w:rFonts w:ascii="Arial" w:hAnsi="Arial" w:cs="Arial"/>
          <w:sz w:val="22"/>
          <w:szCs w:val="22"/>
        </w:rPr>
        <w:t>Kernan</w:t>
      </w:r>
      <w:proofErr w:type="spellEnd"/>
      <w:r w:rsidRPr="008C60B4">
        <w:rPr>
          <w:rFonts w:ascii="Arial" w:hAnsi="Arial" w:cs="Arial"/>
          <w:sz w:val="22"/>
          <w:szCs w:val="22"/>
        </w:rPr>
        <w:t xml:space="preserve">, W.N., Mathieu, C., </w:t>
      </w:r>
      <w:proofErr w:type="spellStart"/>
      <w:r w:rsidRPr="008C60B4">
        <w:rPr>
          <w:rFonts w:ascii="Arial" w:hAnsi="Arial" w:cs="Arial"/>
          <w:sz w:val="22"/>
          <w:szCs w:val="22"/>
        </w:rPr>
        <w:t>Mingrone</w:t>
      </w:r>
      <w:proofErr w:type="spellEnd"/>
      <w:r w:rsidRPr="008C60B4">
        <w:rPr>
          <w:rFonts w:ascii="Arial" w:hAnsi="Arial" w:cs="Arial"/>
          <w:sz w:val="22"/>
          <w:szCs w:val="22"/>
        </w:rPr>
        <w:t xml:space="preserve">, G., </w:t>
      </w:r>
      <w:proofErr w:type="spellStart"/>
      <w:r w:rsidRPr="008C60B4">
        <w:rPr>
          <w:rFonts w:ascii="Arial" w:hAnsi="Arial" w:cs="Arial"/>
          <w:sz w:val="22"/>
          <w:szCs w:val="22"/>
        </w:rPr>
        <w:t>Rossing</w:t>
      </w:r>
      <w:proofErr w:type="spellEnd"/>
      <w:r w:rsidRPr="008C60B4">
        <w:rPr>
          <w:rFonts w:ascii="Arial" w:hAnsi="Arial" w:cs="Arial"/>
          <w:sz w:val="22"/>
          <w:szCs w:val="22"/>
        </w:rPr>
        <w:t xml:space="preserve">, P., </w:t>
      </w:r>
      <w:proofErr w:type="spellStart"/>
      <w:r w:rsidRPr="008C60B4">
        <w:rPr>
          <w:rFonts w:ascii="Arial" w:hAnsi="Arial" w:cs="Arial"/>
          <w:sz w:val="22"/>
          <w:szCs w:val="22"/>
        </w:rPr>
        <w:t>Tsapas</w:t>
      </w:r>
      <w:proofErr w:type="spellEnd"/>
      <w:r w:rsidRPr="008C60B4">
        <w:rPr>
          <w:rFonts w:ascii="Arial" w:hAnsi="Arial" w:cs="Arial"/>
          <w:sz w:val="22"/>
          <w:szCs w:val="22"/>
        </w:rPr>
        <w:t xml:space="preserve">, A., </w:t>
      </w:r>
      <w:proofErr w:type="spellStart"/>
      <w:r w:rsidRPr="008C60B4">
        <w:rPr>
          <w:rFonts w:ascii="Arial" w:hAnsi="Arial" w:cs="Arial"/>
          <w:sz w:val="22"/>
          <w:szCs w:val="22"/>
        </w:rPr>
        <w:t>Wexler</w:t>
      </w:r>
      <w:proofErr w:type="spellEnd"/>
      <w:r w:rsidRPr="008C60B4">
        <w:rPr>
          <w:rFonts w:ascii="Arial" w:hAnsi="Arial" w:cs="Arial"/>
          <w:sz w:val="22"/>
          <w:szCs w:val="22"/>
        </w:rPr>
        <w:t xml:space="preserve">, D.J. and </w:t>
      </w:r>
      <w:proofErr w:type="spellStart"/>
      <w:r w:rsidRPr="008C60B4">
        <w:rPr>
          <w:rFonts w:ascii="Arial" w:hAnsi="Arial" w:cs="Arial"/>
          <w:sz w:val="22"/>
          <w:szCs w:val="22"/>
        </w:rPr>
        <w:t>Buse</w:t>
      </w:r>
      <w:proofErr w:type="spellEnd"/>
      <w:r w:rsidRPr="008C60B4">
        <w:rPr>
          <w:rFonts w:ascii="Arial" w:hAnsi="Arial" w:cs="Arial"/>
          <w:sz w:val="22"/>
          <w:szCs w:val="22"/>
        </w:rPr>
        <w:t xml:space="preserve">, J.B. (2018) ‘Management of hyperglycaemia in type 2 diabetes, 2018. A consensus report by the American Diabetes Association (ADA) and the European Association for the Study of Diabetes (EASD)’, </w:t>
      </w:r>
      <w:proofErr w:type="spellStart"/>
      <w:r w:rsidRPr="00401D9E">
        <w:rPr>
          <w:rFonts w:ascii="Arial" w:hAnsi="Arial" w:cs="Arial"/>
          <w:i/>
          <w:iCs/>
          <w:sz w:val="22"/>
          <w:szCs w:val="22"/>
        </w:rPr>
        <w:t>Diabetologia</w:t>
      </w:r>
      <w:proofErr w:type="spellEnd"/>
      <w:r w:rsidRPr="008C60B4">
        <w:rPr>
          <w:rFonts w:ascii="Arial" w:hAnsi="Arial" w:cs="Arial"/>
          <w:sz w:val="22"/>
          <w:szCs w:val="22"/>
        </w:rPr>
        <w:t>, 61(12), pp. 2461–2498.</w:t>
      </w:r>
    </w:p>
    <w:p w14:paraId="4BEC37AE" w14:textId="77777777" w:rsidR="00310B91" w:rsidRPr="008C60B4" w:rsidRDefault="00310B91" w:rsidP="00B068CF">
      <w:pPr>
        <w:spacing w:line="360" w:lineRule="auto"/>
        <w:rPr>
          <w:rFonts w:ascii="Arial" w:hAnsi="Arial" w:cs="Arial"/>
          <w:sz w:val="22"/>
          <w:szCs w:val="22"/>
        </w:rPr>
      </w:pPr>
    </w:p>
    <w:p w14:paraId="4020DF22"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Diabetes UK (2025a) </w:t>
      </w:r>
      <w:r w:rsidRPr="00865505">
        <w:rPr>
          <w:rFonts w:ascii="Arial" w:hAnsi="Arial" w:cs="Arial"/>
          <w:i/>
          <w:iCs/>
          <w:sz w:val="22"/>
          <w:szCs w:val="22"/>
        </w:rPr>
        <w:t xml:space="preserve">Blood glucose monitoring. </w:t>
      </w:r>
      <w:r w:rsidRPr="008C60B4">
        <w:rPr>
          <w:rFonts w:ascii="Arial" w:hAnsi="Arial" w:cs="Arial"/>
          <w:sz w:val="22"/>
          <w:szCs w:val="22"/>
        </w:rPr>
        <w:t>Diabetes UK. Available at: https://www.diabetes.org.uk/guide-to-diabetes/managing-your-diabetes/testing/blood-glucose-monitoring (Accessed: 20 February 2026).</w:t>
      </w:r>
    </w:p>
    <w:p w14:paraId="481CFBC9" w14:textId="77777777" w:rsidR="00310B91" w:rsidRPr="008C60B4" w:rsidRDefault="00310B91" w:rsidP="00B068CF">
      <w:pPr>
        <w:spacing w:line="360" w:lineRule="auto"/>
        <w:rPr>
          <w:rFonts w:ascii="Arial" w:hAnsi="Arial" w:cs="Arial"/>
          <w:sz w:val="22"/>
          <w:szCs w:val="22"/>
        </w:rPr>
      </w:pPr>
    </w:p>
    <w:p w14:paraId="1AF41F18"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Diabetes UK (2025b) </w:t>
      </w:r>
      <w:r w:rsidRPr="00B51F24">
        <w:rPr>
          <w:rFonts w:ascii="Arial" w:hAnsi="Arial" w:cs="Arial"/>
          <w:i/>
          <w:iCs/>
          <w:sz w:val="22"/>
          <w:szCs w:val="22"/>
        </w:rPr>
        <w:t>Continuous glucose monitors and their role in diabetes care.</w:t>
      </w:r>
      <w:r w:rsidRPr="008C60B4">
        <w:rPr>
          <w:rFonts w:ascii="Arial" w:hAnsi="Arial" w:cs="Arial"/>
          <w:sz w:val="22"/>
          <w:szCs w:val="22"/>
        </w:rPr>
        <w:t xml:space="preserve"> Diabetes UK. Available at: https://www.diabetes.org.uk/about-diabetes/looking-after-diabetes/technology/flash-glucose-monitors-and-continuous-glucose-monitors (Accessed: 13 February 2026).</w:t>
      </w:r>
    </w:p>
    <w:p w14:paraId="2259A3BA" w14:textId="77777777" w:rsidR="00310B91" w:rsidRPr="008C60B4" w:rsidRDefault="00310B91" w:rsidP="00B068CF">
      <w:pPr>
        <w:spacing w:line="360" w:lineRule="auto"/>
        <w:rPr>
          <w:rFonts w:ascii="Arial" w:hAnsi="Arial" w:cs="Arial"/>
          <w:sz w:val="22"/>
          <w:szCs w:val="22"/>
        </w:rPr>
      </w:pPr>
    </w:p>
    <w:p w14:paraId="63EADF66"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Esposito, K., </w:t>
      </w:r>
      <w:proofErr w:type="spellStart"/>
      <w:r w:rsidRPr="008C60B4">
        <w:rPr>
          <w:rFonts w:ascii="Arial" w:hAnsi="Arial" w:cs="Arial"/>
          <w:sz w:val="22"/>
          <w:szCs w:val="22"/>
        </w:rPr>
        <w:t>Maiorino</w:t>
      </w:r>
      <w:proofErr w:type="spellEnd"/>
      <w:r w:rsidRPr="008C60B4">
        <w:rPr>
          <w:rFonts w:ascii="Arial" w:hAnsi="Arial" w:cs="Arial"/>
          <w:sz w:val="22"/>
          <w:szCs w:val="22"/>
        </w:rPr>
        <w:t xml:space="preserve">, M.I., </w:t>
      </w:r>
      <w:proofErr w:type="spellStart"/>
      <w:r w:rsidRPr="008C60B4">
        <w:rPr>
          <w:rFonts w:ascii="Arial" w:hAnsi="Arial" w:cs="Arial"/>
          <w:sz w:val="22"/>
          <w:szCs w:val="22"/>
        </w:rPr>
        <w:t>Bellastella</w:t>
      </w:r>
      <w:proofErr w:type="spellEnd"/>
      <w:r w:rsidRPr="008C60B4">
        <w:rPr>
          <w:rFonts w:ascii="Arial" w:hAnsi="Arial" w:cs="Arial"/>
          <w:sz w:val="22"/>
          <w:szCs w:val="22"/>
        </w:rPr>
        <w:t xml:space="preserve">, G., </w:t>
      </w:r>
      <w:proofErr w:type="spellStart"/>
      <w:r w:rsidRPr="008C60B4">
        <w:rPr>
          <w:rFonts w:ascii="Arial" w:hAnsi="Arial" w:cs="Arial"/>
          <w:sz w:val="22"/>
          <w:szCs w:val="22"/>
        </w:rPr>
        <w:t>Chiodini</w:t>
      </w:r>
      <w:proofErr w:type="spellEnd"/>
      <w:r w:rsidRPr="008C60B4">
        <w:rPr>
          <w:rFonts w:ascii="Arial" w:hAnsi="Arial" w:cs="Arial"/>
          <w:sz w:val="22"/>
          <w:szCs w:val="22"/>
        </w:rPr>
        <w:t xml:space="preserve">, P., </w:t>
      </w:r>
      <w:proofErr w:type="spellStart"/>
      <w:r w:rsidRPr="008C60B4">
        <w:rPr>
          <w:rFonts w:ascii="Arial" w:hAnsi="Arial" w:cs="Arial"/>
          <w:sz w:val="22"/>
          <w:szCs w:val="22"/>
        </w:rPr>
        <w:t>Panagiotakos</w:t>
      </w:r>
      <w:proofErr w:type="spellEnd"/>
      <w:r w:rsidRPr="008C60B4">
        <w:rPr>
          <w:rFonts w:ascii="Arial" w:hAnsi="Arial" w:cs="Arial"/>
          <w:sz w:val="22"/>
          <w:szCs w:val="22"/>
        </w:rPr>
        <w:t xml:space="preserve">, D. and </w:t>
      </w:r>
      <w:proofErr w:type="spellStart"/>
      <w:r w:rsidRPr="008C60B4">
        <w:rPr>
          <w:rFonts w:ascii="Arial" w:hAnsi="Arial" w:cs="Arial"/>
          <w:sz w:val="22"/>
          <w:szCs w:val="22"/>
        </w:rPr>
        <w:t>Giugliano</w:t>
      </w:r>
      <w:proofErr w:type="spellEnd"/>
      <w:r w:rsidRPr="008C60B4">
        <w:rPr>
          <w:rFonts w:ascii="Arial" w:hAnsi="Arial" w:cs="Arial"/>
          <w:sz w:val="22"/>
          <w:szCs w:val="22"/>
        </w:rPr>
        <w:t>, D. (2015) ‘A Mediterranean</w:t>
      </w:r>
      <w:r w:rsidRPr="008C60B4">
        <w:rPr>
          <w:rFonts w:ascii="Cambria Math" w:hAnsi="Cambria Math" w:cs="Cambria Math"/>
          <w:sz w:val="22"/>
          <w:szCs w:val="22"/>
        </w:rPr>
        <w:t>‑</w:t>
      </w:r>
      <w:r w:rsidRPr="008C60B4">
        <w:rPr>
          <w:rFonts w:ascii="Arial" w:hAnsi="Arial" w:cs="Arial"/>
          <w:sz w:val="22"/>
          <w:szCs w:val="22"/>
        </w:rPr>
        <w:t xml:space="preserve">style diet and care of type 2 diabetes’, </w:t>
      </w:r>
      <w:r w:rsidRPr="00C058EE">
        <w:rPr>
          <w:rFonts w:ascii="Arial" w:hAnsi="Arial" w:cs="Arial"/>
          <w:i/>
          <w:iCs/>
          <w:sz w:val="22"/>
          <w:szCs w:val="22"/>
        </w:rPr>
        <w:t>Diabetes Care</w:t>
      </w:r>
      <w:r w:rsidRPr="008C60B4">
        <w:rPr>
          <w:rFonts w:ascii="Arial" w:hAnsi="Arial" w:cs="Arial"/>
          <w:sz w:val="22"/>
          <w:szCs w:val="22"/>
        </w:rPr>
        <w:t>, 38(4), pp. 716–724.</w:t>
      </w:r>
    </w:p>
    <w:p w14:paraId="44893B2C" w14:textId="77777777" w:rsidR="00310B91" w:rsidRPr="008C60B4" w:rsidRDefault="00310B91" w:rsidP="00B068CF">
      <w:pPr>
        <w:spacing w:line="360" w:lineRule="auto"/>
        <w:rPr>
          <w:rFonts w:ascii="Arial" w:hAnsi="Arial" w:cs="Arial"/>
          <w:sz w:val="22"/>
          <w:szCs w:val="22"/>
        </w:rPr>
      </w:pPr>
    </w:p>
    <w:p w14:paraId="5FAFEF22"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Galicia</w:t>
      </w:r>
      <w:r w:rsidRPr="008C60B4">
        <w:rPr>
          <w:rFonts w:ascii="Cambria Math" w:hAnsi="Cambria Math" w:cs="Cambria Math"/>
          <w:sz w:val="22"/>
          <w:szCs w:val="22"/>
        </w:rPr>
        <w:t>‑</w:t>
      </w:r>
      <w:r w:rsidRPr="008C60B4">
        <w:rPr>
          <w:rFonts w:ascii="Arial" w:hAnsi="Arial" w:cs="Arial"/>
          <w:sz w:val="22"/>
          <w:szCs w:val="22"/>
        </w:rPr>
        <w:t>Garcia, U., Benito</w:t>
      </w:r>
      <w:r w:rsidRPr="008C60B4">
        <w:rPr>
          <w:rFonts w:ascii="Cambria Math" w:hAnsi="Cambria Math" w:cs="Cambria Math"/>
          <w:sz w:val="22"/>
          <w:szCs w:val="22"/>
        </w:rPr>
        <w:t>‑</w:t>
      </w:r>
      <w:r w:rsidRPr="008C60B4">
        <w:rPr>
          <w:rFonts w:ascii="Arial" w:hAnsi="Arial" w:cs="Arial"/>
          <w:sz w:val="22"/>
          <w:szCs w:val="22"/>
        </w:rPr>
        <w:t xml:space="preserve">Vicente, A., </w:t>
      </w:r>
      <w:proofErr w:type="spellStart"/>
      <w:r w:rsidRPr="008C60B4">
        <w:rPr>
          <w:rFonts w:ascii="Arial" w:hAnsi="Arial" w:cs="Arial"/>
          <w:sz w:val="22"/>
          <w:szCs w:val="22"/>
        </w:rPr>
        <w:t>Jebari</w:t>
      </w:r>
      <w:proofErr w:type="spellEnd"/>
      <w:r w:rsidRPr="008C60B4">
        <w:rPr>
          <w:rFonts w:ascii="Arial" w:hAnsi="Arial" w:cs="Arial"/>
          <w:sz w:val="22"/>
          <w:szCs w:val="22"/>
        </w:rPr>
        <w:t xml:space="preserve">, S., </w:t>
      </w:r>
      <w:proofErr w:type="spellStart"/>
      <w:r w:rsidRPr="008C60B4">
        <w:rPr>
          <w:rFonts w:ascii="Arial" w:hAnsi="Arial" w:cs="Arial"/>
          <w:sz w:val="22"/>
          <w:szCs w:val="22"/>
        </w:rPr>
        <w:t>Larrea</w:t>
      </w:r>
      <w:r w:rsidRPr="008C60B4">
        <w:rPr>
          <w:rFonts w:ascii="Cambria Math" w:hAnsi="Cambria Math" w:cs="Cambria Math"/>
          <w:sz w:val="22"/>
          <w:szCs w:val="22"/>
        </w:rPr>
        <w:t>‑</w:t>
      </w:r>
      <w:r w:rsidRPr="008C60B4">
        <w:rPr>
          <w:rFonts w:ascii="Arial" w:hAnsi="Arial" w:cs="Arial"/>
          <w:sz w:val="22"/>
          <w:szCs w:val="22"/>
        </w:rPr>
        <w:t>Sebal</w:t>
      </w:r>
      <w:proofErr w:type="spellEnd"/>
      <w:r w:rsidRPr="008C60B4">
        <w:rPr>
          <w:rFonts w:ascii="Arial" w:hAnsi="Arial" w:cs="Arial"/>
          <w:sz w:val="22"/>
          <w:szCs w:val="22"/>
        </w:rPr>
        <w:t xml:space="preserve">, A., </w:t>
      </w:r>
      <w:proofErr w:type="spellStart"/>
      <w:r w:rsidRPr="008C60B4">
        <w:rPr>
          <w:rFonts w:ascii="Arial" w:hAnsi="Arial" w:cs="Arial"/>
          <w:sz w:val="22"/>
          <w:szCs w:val="22"/>
        </w:rPr>
        <w:t>Siddiqi</w:t>
      </w:r>
      <w:proofErr w:type="spellEnd"/>
      <w:r w:rsidRPr="008C60B4">
        <w:rPr>
          <w:rFonts w:ascii="Arial" w:hAnsi="Arial" w:cs="Arial"/>
          <w:sz w:val="22"/>
          <w:szCs w:val="22"/>
        </w:rPr>
        <w:t xml:space="preserve">, H., Uribe, K.B., </w:t>
      </w:r>
      <w:proofErr w:type="spellStart"/>
      <w:r w:rsidRPr="008C60B4">
        <w:rPr>
          <w:rFonts w:ascii="Arial" w:hAnsi="Arial" w:cs="Arial"/>
          <w:sz w:val="22"/>
          <w:szCs w:val="22"/>
        </w:rPr>
        <w:t>Ostolaza</w:t>
      </w:r>
      <w:proofErr w:type="spellEnd"/>
      <w:r w:rsidRPr="008C60B4">
        <w:rPr>
          <w:rFonts w:ascii="Arial" w:hAnsi="Arial" w:cs="Arial"/>
          <w:sz w:val="22"/>
          <w:szCs w:val="22"/>
        </w:rPr>
        <w:t xml:space="preserve">, H. and Martín, C. (2020) ‘Pathophysiology of Type 2 Diabetes Mellitus’, </w:t>
      </w:r>
      <w:r w:rsidRPr="009C0E7A">
        <w:rPr>
          <w:rFonts w:ascii="Arial" w:hAnsi="Arial" w:cs="Arial"/>
          <w:i/>
          <w:iCs/>
          <w:sz w:val="22"/>
          <w:szCs w:val="22"/>
        </w:rPr>
        <w:t>International Journal of Molecular Sciences,</w:t>
      </w:r>
      <w:r w:rsidRPr="008C60B4">
        <w:rPr>
          <w:rFonts w:ascii="Arial" w:hAnsi="Arial" w:cs="Arial"/>
          <w:sz w:val="22"/>
          <w:szCs w:val="22"/>
        </w:rPr>
        <w:t xml:space="preserve"> 21(17), p. 6275.</w:t>
      </w:r>
    </w:p>
    <w:p w14:paraId="7B75D79F" w14:textId="77777777" w:rsidR="00310B91" w:rsidRPr="008C60B4" w:rsidRDefault="00310B91" w:rsidP="00B068CF">
      <w:pPr>
        <w:spacing w:line="360" w:lineRule="auto"/>
        <w:rPr>
          <w:rFonts w:ascii="Arial" w:hAnsi="Arial" w:cs="Arial"/>
          <w:sz w:val="22"/>
          <w:szCs w:val="22"/>
        </w:rPr>
      </w:pPr>
    </w:p>
    <w:p w14:paraId="72DDDAA8"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Grundy, S.M. (2012) ‘Obesity, Metabolic Syndrome, and Cardiovascular Disease’, </w:t>
      </w:r>
      <w:r w:rsidRPr="00E547B1">
        <w:rPr>
          <w:rFonts w:ascii="Arial" w:hAnsi="Arial" w:cs="Arial"/>
          <w:i/>
          <w:iCs/>
          <w:sz w:val="22"/>
          <w:szCs w:val="22"/>
        </w:rPr>
        <w:t>Journal of Clinical Endocrinology &amp; Metabolism,</w:t>
      </w:r>
      <w:r w:rsidRPr="008C60B4">
        <w:rPr>
          <w:rFonts w:ascii="Arial" w:hAnsi="Arial" w:cs="Arial"/>
          <w:sz w:val="22"/>
          <w:szCs w:val="22"/>
        </w:rPr>
        <w:t xml:space="preserve"> 97(6), pp. 1843–1852.</w:t>
      </w:r>
    </w:p>
    <w:p w14:paraId="441A4E73" w14:textId="77777777" w:rsidR="00310B91" w:rsidRPr="008C60B4" w:rsidRDefault="00310B91" w:rsidP="00B068CF">
      <w:pPr>
        <w:spacing w:line="360" w:lineRule="auto"/>
        <w:rPr>
          <w:rFonts w:ascii="Arial" w:hAnsi="Arial" w:cs="Arial"/>
          <w:sz w:val="22"/>
          <w:szCs w:val="22"/>
        </w:rPr>
      </w:pPr>
    </w:p>
    <w:p w14:paraId="40406F83"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Health Education England (2024) </w:t>
      </w:r>
      <w:r w:rsidRPr="00654203">
        <w:rPr>
          <w:rFonts w:ascii="Arial" w:hAnsi="Arial" w:cs="Arial"/>
          <w:i/>
          <w:iCs/>
          <w:sz w:val="22"/>
          <w:szCs w:val="22"/>
        </w:rPr>
        <w:t>DESMOND: Diabetes education and self</w:t>
      </w:r>
      <w:r w:rsidRPr="00654203">
        <w:rPr>
          <w:rFonts w:ascii="Cambria Math" w:hAnsi="Cambria Math" w:cs="Cambria Math"/>
          <w:i/>
          <w:iCs/>
          <w:sz w:val="22"/>
          <w:szCs w:val="22"/>
        </w:rPr>
        <w:t>‑</w:t>
      </w:r>
      <w:r w:rsidRPr="00654203">
        <w:rPr>
          <w:rFonts w:ascii="Arial" w:hAnsi="Arial" w:cs="Arial"/>
          <w:i/>
          <w:iCs/>
          <w:sz w:val="22"/>
          <w:szCs w:val="22"/>
        </w:rPr>
        <w:t xml:space="preserve">management programme. </w:t>
      </w:r>
      <w:r w:rsidRPr="008C60B4">
        <w:rPr>
          <w:rFonts w:ascii="Arial" w:hAnsi="Arial" w:cs="Arial"/>
          <w:sz w:val="22"/>
          <w:szCs w:val="22"/>
        </w:rPr>
        <w:t>London: NHS England.</w:t>
      </w:r>
    </w:p>
    <w:p w14:paraId="0302D759" w14:textId="77777777" w:rsidR="00310B91" w:rsidRPr="008C60B4" w:rsidRDefault="00310B91" w:rsidP="00B068CF">
      <w:pPr>
        <w:spacing w:line="360" w:lineRule="auto"/>
        <w:rPr>
          <w:rFonts w:ascii="Arial" w:hAnsi="Arial" w:cs="Arial"/>
          <w:sz w:val="22"/>
          <w:szCs w:val="22"/>
        </w:rPr>
      </w:pPr>
    </w:p>
    <w:p w14:paraId="1F0C343F"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International Diabetes Federation (2024)</w:t>
      </w:r>
      <w:r w:rsidRPr="00B025F9">
        <w:rPr>
          <w:rFonts w:ascii="Arial" w:hAnsi="Arial" w:cs="Arial"/>
          <w:i/>
          <w:iCs/>
          <w:sz w:val="22"/>
          <w:szCs w:val="22"/>
        </w:rPr>
        <w:t xml:space="preserve"> IDF Diabetes Atlas.</w:t>
      </w:r>
      <w:r w:rsidRPr="008C60B4">
        <w:rPr>
          <w:rFonts w:ascii="Arial" w:hAnsi="Arial" w:cs="Arial"/>
          <w:sz w:val="22"/>
          <w:szCs w:val="22"/>
        </w:rPr>
        <w:t xml:space="preserve"> 11th </w:t>
      </w:r>
      <w:proofErr w:type="spellStart"/>
      <w:r w:rsidRPr="008C60B4">
        <w:rPr>
          <w:rFonts w:ascii="Arial" w:hAnsi="Arial" w:cs="Arial"/>
          <w:sz w:val="22"/>
          <w:szCs w:val="22"/>
        </w:rPr>
        <w:t>edn</w:t>
      </w:r>
      <w:proofErr w:type="spellEnd"/>
      <w:r w:rsidRPr="008C60B4">
        <w:rPr>
          <w:rFonts w:ascii="Arial" w:hAnsi="Arial" w:cs="Arial"/>
          <w:sz w:val="22"/>
          <w:szCs w:val="22"/>
        </w:rPr>
        <w:t>. Brussels: IDF.</w:t>
      </w:r>
    </w:p>
    <w:p w14:paraId="323D103C" w14:textId="77777777" w:rsidR="00310B91" w:rsidRPr="008C60B4" w:rsidRDefault="00310B91" w:rsidP="00B068CF">
      <w:pPr>
        <w:spacing w:line="360" w:lineRule="auto"/>
        <w:rPr>
          <w:rFonts w:ascii="Arial" w:hAnsi="Arial" w:cs="Arial"/>
          <w:sz w:val="22"/>
          <w:szCs w:val="22"/>
        </w:rPr>
      </w:pPr>
    </w:p>
    <w:p w14:paraId="6BA492E1" w14:textId="77777777" w:rsidR="00310B91" w:rsidRPr="008C60B4" w:rsidRDefault="00310B91" w:rsidP="00B068CF">
      <w:pPr>
        <w:spacing w:line="360" w:lineRule="auto"/>
        <w:rPr>
          <w:rFonts w:ascii="Arial" w:hAnsi="Arial" w:cs="Arial"/>
          <w:sz w:val="22"/>
          <w:szCs w:val="22"/>
        </w:rPr>
      </w:pPr>
      <w:proofErr w:type="spellStart"/>
      <w:r w:rsidRPr="008C60B4">
        <w:rPr>
          <w:rFonts w:ascii="Arial" w:hAnsi="Arial" w:cs="Arial"/>
          <w:sz w:val="22"/>
          <w:szCs w:val="22"/>
        </w:rPr>
        <w:t>Kalra</w:t>
      </w:r>
      <w:proofErr w:type="spellEnd"/>
      <w:r w:rsidRPr="008C60B4">
        <w:rPr>
          <w:rFonts w:ascii="Arial" w:hAnsi="Arial" w:cs="Arial"/>
          <w:sz w:val="22"/>
          <w:szCs w:val="22"/>
        </w:rPr>
        <w:t xml:space="preserve">, S., Gupta, Y. and </w:t>
      </w:r>
      <w:proofErr w:type="spellStart"/>
      <w:r w:rsidRPr="008C60B4">
        <w:rPr>
          <w:rFonts w:ascii="Arial" w:hAnsi="Arial" w:cs="Arial"/>
          <w:sz w:val="22"/>
          <w:szCs w:val="22"/>
        </w:rPr>
        <w:t>Singla</w:t>
      </w:r>
      <w:proofErr w:type="spellEnd"/>
      <w:r w:rsidRPr="008C60B4">
        <w:rPr>
          <w:rFonts w:ascii="Arial" w:hAnsi="Arial" w:cs="Arial"/>
          <w:sz w:val="22"/>
          <w:szCs w:val="22"/>
        </w:rPr>
        <w:t xml:space="preserve">, R. (2021) ‘Pathophysiology of Type 2 Diabetes Mellitus: An Overview’, in </w:t>
      </w:r>
      <w:r w:rsidRPr="00DD1F16">
        <w:rPr>
          <w:rFonts w:ascii="Arial" w:hAnsi="Arial" w:cs="Arial"/>
          <w:i/>
          <w:iCs/>
          <w:sz w:val="22"/>
          <w:szCs w:val="22"/>
        </w:rPr>
        <w:t>Advances in Diabetes Research.</w:t>
      </w:r>
      <w:r w:rsidRPr="008C60B4">
        <w:rPr>
          <w:rFonts w:ascii="Arial" w:hAnsi="Arial" w:cs="Arial"/>
          <w:sz w:val="22"/>
          <w:szCs w:val="22"/>
        </w:rPr>
        <w:t xml:space="preserve"> </w:t>
      </w:r>
      <w:proofErr w:type="spellStart"/>
      <w:r w:rsidRPr="008C60B4">
        <w:rPr>
          <w:rFonts w:ascii="Arial" w:hAnsi="Arial" w:cs="Arial"/>
          <w:sz w:val="22"/>
          <w:szCs w:val="22"/>
        </w:rPr>
        <w:t>IntechOpen</w:t>
      </w:r>
      <w:proofErr w:type="spellEnd"/>
      <w:r w:rsidRPr="008C60B4">
        <w:rPr>
          <w:rFonts w:ascii="Arial" w:hAnsi="Arial" w:cs="Arial"/>
          <w:sz w:val="22"/>
          <w:szCs w:val="22"/>
        </w:rPr>
        <w:t>.</w:t>
      </w:r>
    </w:p>
    <w:p w14:paraId="23A3ADB6" w14:textId="77777777" w:rsidR="00310B91" w:rsidRPr="008C60B4" w:rsidRDefault="00310B91" w:rsidP="00B068CF">
      <w:pPr>
        <w:spacing w:line="360" w:lineRule="auto"/>
        <w:rPr>
          <w:rFonts w:ascii="Arial" w:hAnsi="Arial" w:cs="Arial"/>
          <w:sz w:val="22"/>
          <w:szCs w:val="22"/>
        </w:rPr>
      </w:pPr>
    </w:p>
    <w:p w14:paraId="594BEF37"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Lean, M.E.J., Leslie, W.S., Barnes, A.C., </w:t>
      </w:r>
      <w:proofErr w:type="spellStart"/>
      <w:r w:rsidRPr="008C60B4">
        <w:rPr>
          <w:rFonts w:ascii="Arial" w:hAnsi="Arial" w:cs="Arial"/>
          <w:sz w:val="22"/>
          <w:szCs w:val="22"/>
        </w:rPr>
        <w:t>Brosnahan</w:t>
      </w:r>
      <w:proofErr w:type="spellEnd"/>
      <w:r w:rsidRPr="008C60B4">
        <w:rPr>
          <w:rFonts w:ascii="Arial" w:hAnsi="Arial" w:cs="Arial"/>
          <w:sz w:val="22"/>
          <w:szCs w:val="22"/>
        </w:rPr>
        <w:t xml:space="preserve">, N., </w:t>
      </w:r>
      <w:proofErr w:type="spellStart"/>
      <w:r w:rsidRPr="008C60B4">
        <w:rPr>
          <w:rFonts w:ascii="Arial" w:hAnsi="Arial" w:cs="Arial"/>
          <w:sz w:val="22"/>
          <w:szCs w:val="22"/>
        </w:rPr>
        <w:t>Thom</w:t>
      </w:r>
      <w:proofErr w:type="spellEnd"/>
      <w:r w:rsidRPr="008C60B4">
        <w:rPr>
          <w:rFonts w:ascii="Arial" w:hAnsi="Arial" w:cs="Arial"/>
          <w:sz w:val="22"/>
          <w:szCs w:val="22"/>
        </w:rPr>
        <w:t xml:space="preserve">, G., </w:t>
      </w:r>
      <w:proofErr w:type="spellStart"/>
      <w:r w:rsidRPr="008C60B4">
        <w:rPr>
          <w:rFonts w:ascii="Arial" w:hAnsi="Arial" w:cs="Arial"/>
          <w:sz w:val="22"/>
          <w:szCs w:val="22"/>
        </w:rPr>
        <w:t>McCombie</w:t>
      </w:r>
      <w:proofErr w:type="spellEnd"/>
      <w:r w:rsidRPr="008C60B4">
        <w:rPr>
          <w:rFonts w:ascii="Arial" w:hAnsi="Arial" w:cs="Arial"/>
          <w:sz w:val="22"/>
          <w:szCs w:val="22"/>
        </w:rPr>
        <w:t xml:space="preserve">, L., Peters, C., </w:t>
      </w:r>
      <w:proofErr w:type="spellStart"/>
      <w:r w:rsidRPr="008C60B4">
        <w:rPr>
          <w:rFonts w:ascii="Arial" w:hAnsi="Arial" w:cs="Arial"/>
          <w:sz w:val="22"/>
          <w:szCs w:val="22"/>
        </w:rPr>
        <w:t>Zhyzhneuskaya</w:t>
      </w:r>
      <w:proofErr w:type="spellEnd"/>
      <w:r w:rsidRPr="008C60B4">
        <w:rPr>
          <w:rFonts w:ascii="Arial" w:hAnsi="Arial" w:cs="Arial"/>
          <w:sz w:val="22"/>
          <w:szCs w:val="22"/>
        </w:rPr>
        <w:t xml:space="preserve">, S., </w:t>
      </w:r>
      <w:proofErr w:type="spellStart"/>
      <w:r w:rsidRPr="008C60B4">
        <w:rPr>
          <w:rFonts w:ascii="Arial" w:hAnsi="Arial" w:cs="Arial"/>
          <w:sz w:val="22"/>
          <w:szCs w:val="22"/>
        </w:rPr>
        <w:t>Al</w:t>
      </w:r>
      <w:r w:rsidRPr="008C60B4">
        <w:rPr>
          <w:rFonts w:ascii="Cambria Math" w:hAnsi="Cambria Math" w:cs="Cambria Math"/>
          <w:sz w:val="22"/>
          <w:szCs w:val="22"/>
        </w:rPr>
        <w:t>‑</w:t>
      </w:r>
      <w:r w:rsidRPr="008C60B4">
        <w:rPr>
          <w:rFonts w:ascii="Arial" w:hAnsi="Arial" w:cs="Arial"/>
          <w:sz w:val="22"/>
          <w:szCs w:val="22"/>
        </w:rPr>
        <w:t>Mrabeh</w:t>
      </w:r>
      <w:proofErr w:type="spellEnd"/>
      <w:r w:rsidRPr="008C60B4">
        <w:rPr>
          <w:rFonts w:ascii="Arial" w:hAnsi="Arial" w:cs="Arial"/>
          <w:sz w:val="22"/>
          <w:szCs w:val="22"/>
        </w:rPr>
        <w:t xml:space="preserve">, A., Hollingsworth, K.G., Rodrigues, A.M., </w:t>
      </w:r>
      <w:proofErr w:type="spellStart"/>
      <w:r w:rsidRPr="008C60B4">
        <w:rPr>
          <w:rFonts w:ascii="Arial" w:hAnsi="Arial" w:cs="Arial"/>
          <w:sz w:val="22"/>
          <w:szCs w:val="22"/>
        </w:rPr>
        <w:t>Rehackova</w:t>
      </w:r>
      <w:proofErr w:type="spellEnd"/>
      <w:r w:rsidRPr="008C60B4">
        <w:rPr>
          <w:rFonts w:ascii="Arial" w:hAnsi="Arial" w:cs="Arial"/>
          <w:sz w:val="22"/>
          <w:szCs w:val="22"/>
        </w:rPr>
        <w:t xml:space="preserve">, L., </w:t>
      </w:r>
      <w:proofErr w:type="spellStart"/>
      <w:r w:rsidRPr="008C60B4">
        <w:rPr>
          <w:rFonts w:ascii="Arial" w:hAnsi="Arial" w:cs="Arial"/>
          <w:sz w:val="22"/>
          <w:szCs w:val="22"/>
        </w:rPr>
        <w:t>Adamson</w:t>
      </w:r>
      <w:proofErr w:type="spellEnd"/>
      <w:r w:rsidRPr="008C60B4">
        <w:rPr>
          <w:rFonts w:ascii="Arial" w:hAnsi="Arial" w:cs="Arial"/>
          <w:sz w:val="22"/>
          <w:szCs w:val="22"/>
        </w:rPr>
        <w:t xml:space="preserve">, A.J., </w:t>
      </w:r>
      <w:proofErr w:type="spellStart"/>
      <w:r w:rsidRPr="008C60B4">
        <w:rPr>
          <w:rFonts w:ascii="Arial" w:hAnsi="Arial" w:cs="Arial"/>
          <w:sz w:val="22"/>
          <w:szCs w:val="22"/>
        </w:rPr>
        <w:t>Sniehotta</w:t>
      </w:r>
      <w:proofErr w:type="spellEnd"/>
      <w:r w:rsidRPr="008C60B4">
        <w:rPr>
          <w:rFonts w:ascii="Arial" w:hAnsi="Arial" w:cs="Arial"/>
          <w:sz w:val="22"/>
          <w:szCs w:val="22"/>
        </w:rPr>
        <w:t xml:space="preserve">, F.F., Mathers, J.C., Ross, H.M., </w:t>
      </w:r>
      <w:proofErr w:type="spellStart"/>
      <w:r w:rsidRPr="008C60B4">
        <w:rPr>
          <w:rFonts w:ascii="Arial" w:hAnsi="Arial" w:cs="Arial"/>
          <w:sz w:val="22"/>
          <w:szCs w:val="22"/>
        </w:rPr>
        <w:t>McIlvenna</w:t>
      </w:r>
      <w:proofErr w:type="spellEnd"/>
      <w:r w:rsidRPr="008C60B4">
        <w:rPr>
          <w:rFonts w:ascii="Arial" w:hAnsi="Arial" w:cs="Arial"/>
          <w:sz w:val="22"/>
          <w:szCs w:val="22"/>
        </w:rPr>
        <w:t xml:space="preserve">, Y., </w:t>
      </w:r>
      <w:proofErr w:type="spellStart"/>
      <w:r w:rsidRPr="008C60B4">
        <w:rPr>
          <w:rFonts w:ascii="Arial" w:hAnsi="Arial" w:cs="Arial"/>
          <w:sz w:val="22"/>
          <w:szCs w:val="22"/>
        </w:rPr>
        <w:t>Stefanetti</w:t>
      </w:r>
      <w:proofErr w:type="spellEnd"/>
      <w:r w:rsidRPr="008C60B4">
        <w:rPr>
          <w:rFonts w:ascii="Arial" w:hAnsi="Arial" w:cs="Arial"/>
          <w:sz w:val="22"/>
          <w:szCs w:val="22"/>
        </w:rPr>
        <w:t xml:space="preserve">, R., </w:t>
      </w:r>
      <w:proofErr w:type="spellStart"/>
      <w:r w:rsidRPr="008C60B4">
        <w:rPr>
          <w:rFonts w:ascii="Arial" w:hAnsi="Arial" w:cs="Arial"/>
          <w:sz w:val="22"/>
          <w:szCs w:val="22"/>
        </w:rPr>
        <w:t>Trenell</w:t>
      </w:r>
      <w:proofErr w:type="spellEnd"/>
      <w:r w:rsidRPr="008C60B4">
        <w:rPr>
          <w:rFonts w:ascii="Arial" w:hAnsi="Arial" w:cs="Arial"/>
          <w:sz w:val="22"/>
          <w:szCs w:val="22"/>
        </w:rPr>
        <w:t>, M. and Taylor, R. (2018) ‘Primary care</w:t>
      </w:r>
      <w:r w:rsidRPr="008C60B4">
        <w:rPr>
          <w:rFonts w:ascii="Cambria Math" w:hAnsi="Cambria Math" w:cs="Cambria Math"/>
          <w:sz w:val="22"/>
          <w:szCs w:val="22"/>
        </w:rPr>
        <w:t>‑</w:t>
      </w:r>
      <w:r w:rsidRPr="008C60B4">
        <w:rPr>
          <w:rFonts w:ascii="Arial" w:hAnsi="Arial" w:cs="Arial"/>
          <w:sz w:val="22"/>
          <w:szCs w:val="22"/>
        </w:rPr>
        <w:t>led weight management for remission of type 2 diabetes (DiRECT): an open</w:t>
      </w:r>
      <w:r w:rsidRPr="008C60B4">
        <w:rPr>
          <w:rFonts w:ascii="Cambria Math" w:hAnsi="Cambria Math" w:cs="Cambria Math"/>
          <w:sz w:val="22"/>
          <w:szCs w:val="22"/>
        </w:rPr>
        <w:t>‑</w:t>
      </w:r>
      <w:r w:rsidRPr="008C60B4">
        <w:rPr>
          <w:rFonts w:ascii="Arial" w:hAnsi="Arial" w:cs="Arial"/>
          <w:sz w:val="22"/>
          <w:szCs w:val="22"/>
        </w:rPr>
        <w:t>label, cluster</w:t>
      </w:r>
      <w:r w:rsidRPr="008C60B4">
        <w:rPr>
          <w:rFonts w:ascii="Cambria Math" w:hAnsi="Cambria Math" w:cs="Cambria Math"/>
          <w:sz w:val="22"/>
          <w:szCs w:val="22"/>
        </w:rPr>
        <w:t>‑</w:t>
      </w:r>
      <w:r w:rsidRPr="008C60B4">
        <w:rPr>
          <w:rFonts w:ascii="Arial" w:hAnsi="Arial" w:cs="Arial"/>
          <w:sz w:val="22"/>
          <w:szCs w:val="22"/>
        </w:rPr>
        <w:t xml:space="preserve">randomised trial’, </w:t>
      </w:r>
      <w:r w:rsidRPr="00CC56C3">
        <w:rPr>
          <w:rFonts w:ascii="Arial" w:hAnsi="Arial" w:cs="Arial"/>
          <w:i/>
          <w:iCs/>
          <w:sz w:val="22"/>
          <w:szCs w:val="22"/>
        </w:rPr>
        <w:t>The Lancet</w:t>
      </w:r>
      <w:r w:rsidRPr="008C60B4">
        <w:rPr>
          <w:rFonts w:ascii="Arial" w:hAnsi="Arial" w:cs="Arial"/>
          <w:sz w:val="22"/>
          <w:szCs w:val="22"/>
        </w:rPr>
        <w:t>, 391(10120), pp. 541–551.</w:t>
      </w:r>
    </w:p>
    <w:p w14:paraId="5124F17D" w14:textId="77777777" w:rsidR="00310B91" w:rsidRPr="008C60B4" w:rsidRDefault="00310B91" w:rsidP="00B068CF">
      <w:pPr>
        <w:spacing w:line="360" w:lineRule="auto"/>
        <w:rPr>
          <w:rFonts w:ascii="Arial" w:hAnsi="Arial" w:cs="Arial"/>
          <w:sz w:val="22"/>
          <w:szCs w:val="22"/>
        </w:rPr>
      </w:pPr>
    </w:p>
    <w:p w14:paraId="11512074"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Mather, K.J. and Pollock, C.M. (2011) ‘Glucose homeostasis and the kidney’, </w:t>
      </w:r>
      <w:r w:rsidRPr="00100FF9">
        <w:rPr>
          <w:rFonts w:ascii="Arial" w:hAnsi="Arial" w:cs="Arial"/>
          <w:i/>
          <w:iCs/>
          <w:sz w:val="22"/>
          <w:szCs w:val="22"/>
        </w:rPr>
        <w:t xml:space="preserve">Seminars in Nephrology, </w:t>
      </w:r>
      <w:r w:rsidRPr="008C60B4">
        <w:rPr>
          <w:rFonts w:ascii="Arial" w:hAnsi="Arial" w:cs="Arial"/>
          <w:sz w:val="22"/>
          <w:szCs w:val="22"/>
        </w:rPr>
        <w:t>31(2), pp. 138–145.</w:t>
      </w:r>
    </w:p>
    <w:p w14:paraId="7056C606" w14:textId="77777777" w:rsidR="00310B91" w:rsidRPr="008C60B4" w:rsidRDefault="00310B91" w:rsidP="00B068CF">
      <w:pPr>
        <w:spacing w:line="360" w:lineRule="auto"/>
        <w:rPr>
          <w:rFonts w:ascii="Arial" w:hAnsi="Arial" w:cs="Arial"/>
          <w:sz w:val="22"/>
          <w:szCs w:val="22"/>
        </w:rPr>
      </w:pPr>
    </w:p>
    <w:p w14:paraId="4BF7C3BF"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 xml:space="preserve">National Institute for Health and Care Excellence (2023) </w:t>
      </w:r>
      <w:r w:rsidRPr="00EC2180">
        <w:rPr>
          <w:rFonts w:ascii="Arial" w:hAnsi="Arial" w:cs="Arial"/>
          <w:i/>
          <w:iCs/>
          <w:sz w:val="22"/>
          <w:szCs w:val="22"/>
        </w:rPr>
        <w:t xml:space="preserve">Type 2 diabetes in adults: management </w:t>
      </w:r>
      <w:r w:rsidRPr="008C60B4">
        <w:rPr>
          <w:rFonts w:ascii="Arial" w:hAnsi="Arial" w:cs="Arial"/>
          <w:sz w:val="22"/>
          <w:szCs w:val="22"/>
        </w:rPr>
        <w:t>(NG28). London: NICE. Available at: https://www.nice.org.uk/guidance/ng28 (Accessed: 20 February 2026).</w:t>
      </w:r>
    </w:p>
    <w:p w14:paraId="7B1D620E" w14:textId="77777777" w:rsidR="00310B91" w:rsidRPr="008C60B4" w:rsidRDefault="00310B91" w:rsidP="00B068CF">
      <w:pPr>
        <w:spacing w:line="360" w:lineRule="auto"/>
        <w:rPr>
          <w:rFonts w:ascii="Arial" w:hAnsi="Arial" w:cs="Arial"/>
          <w:sz w:val="22"/>
          <w:szCs w:val="22"/>
        </w:rPr>
      </w:pPr>
    </w:p>
    <w:p w14:paraId="3147B3F7" w14:textId="77777777" w:rsidR="00310B91" w:rsidRPr="008C60B4" w:rsidRDefault="00310B91" w:rsidP="00B068CF">
      <w:pPr>
        <w:spacing w:line="360" w:lineRule="auto"/>
        <w:rPr>
          <w:rFonts w:ascii="Arial" w:hAnsi="Arial" w:cs="Arial"/>
          <w:sz w:val="22"/>
          <w:szCs w:val="22"/>
        </w:rPr>
      </w:pPr>
      <w:proofErr w:type="spellStart"/>
      <w:r w:rsidRPr="008C60B4">
        <w:rPr>
          <w:rFonts w:ascii="Arial" w:hAnsi="Arial" w:cs="Arial"/>
          <w:sz w:val="22"/>
          <w:szCs w:val="22"/>
        </w:rPr>
        <w:t>Röder</w:t>
      </w:r>
      <w:proofErr w:type="spellEnd"/>
      <w:r w:rsidRPr="008C60B4">
        <w:rPr>
          <w:rFonts w:ascii="Arial" w:hAnsi="Arial" w:cs="Arial"/>
          <w:sz w:val="22"/>
          <w:szCs w:val="22"/>
        </w:rPr>
        <w:t xml:space="preserve">, P.V., Wu, B., Liu, Y. and Han, W. (2016) ‘Pancreatic regulation of glucose homeostasis’, </w:t>
      </w:r>
      <w:r w:rsidRPr="003E608F">
        <w:rPr>
          <w:rFonts w:ascii="Arial" w:hAnsi="Arial" w:cs="Arial"/>
          <w:i/>
          <w:iCs/>
          <w:sz w:val="22"/>
          <w:szCs w:val="22"/>
        </w:rPr>
        <w:t>Experimental &amp; Molecular Medicine,</w:t>
      </w:r>
      <w:r w:rsidRPr="008C60B4">
        <w:rPr>
          <w:rFonts w:ascii="Arial" w:hAnsi="Arial" w:cs="Arial"/>
          <w:sz w:val="22"/>
          <w:szCs w:val="22"/>
        </w:rPr>
        <w:t xml:space="preserve"> 48(3), p. e219.</w:t>
      </w:r>
    </w:p>
    <w:p w14:paraId="26CFCE65" w14:textId="77777777" w:rsidR="00310B91" w:rsidRPr="008C60B4" w:rsidRDefault="00310B91" w:rsidP="00B068CF">
      <w:pPr>
        <w:spacing w:line="360" w:lineRule="auto"/>
        <w:rPr>
          <w:rFonts w:ascii="Arial" w:hAnsi="Arial" w:cs="Arial"/>
          <w:sz w:val="22"/>
          <w:szCs w:val="22"/>
        </w:rPr>
      </w:pPr>
    </w:p>
    <w:p w14:paraId="0D2DACFF" w14:textId="77777777" w:rsidR="00310B91" w:rsidRPr="008C60B4" w:rsidRDefault="00310B91" w:rsidP="00B068CF">
      <w:pPr>
        <w:spacing w:line="360" w:lineRule="auto"/>
        <w:rPr>
          <w:rFonts w:ascii="Arial" w:hAnsi="Arial" w:cs="Arial"/>
          <w:sz w:val="22"/>
          <w:szCs w:val="22"/>
        </w:rPr>
      </w:pPr>
      <w:r w:rsidRPr="008C60B4">
        <w:rPr>
          <w:rFonts w:ascii="Arial" w:hAnsi="Arial" w:cs="Arial"/>
          <w:sz w:val="22"/>
          <w:szCs w:val="22"/>
        </w:rPr>
        <w:t>UK Prospective Diabetes Study (UKPDS) Group (1998) ‘Intensive blood</w:t>
      </w:r>
      <w:r w:rsidRPr="008C60B4">
        <w:rPr>
          <w:rFonts w:ascii="Cambria Math" w:hAnsi="Cambria Math" w:cs="Cambria Math"/>
          <w:sz w:val="22"/>
          <w:szCs w:val="22"/>
        </w:rPr>
        <w:t>‑</w:t>
      </w:r>
      <w:r w:rsidRPr="008C60B4">
        <w:rPr>
          <w:rFonts w:ascii="Arial" w:hAnsi="Arial" w:cs="Arial"/>
          <w:sz w:val="22"/>
          <w:szCs w:val="22"/>
        </w:rPr>
        <w:t xml:space="preserve">glucose control with </w:t>
      </w:r>
      <w:proofErr w:type="spellStart"/>
      <w:r w:rsidRPr="008C60B4">
        <w:rPr>
          <w:rFonts w:ascii="Arial" w:hAnsi="Arial" w:cs="Arial"/>
          <w:sz w:val="22"/>
          <w:szCs w:val="22"/>
        </w:rPr>
        <w:t>sulphonylureas</w:t>
      </w:r>
      <w:proofErr w:type="spellEnd"/>
      <w:r w:rsidRPr="008C60B4">
        <w:rPr>
          <w:rFonts w:ascii="Arial" w:hAnsi="Arial" w:cs="Arial"/>
          <w:sz w:val="22"/>
          <w:szCs w:val="22"/>
        </w:rPr>
        <w:t xml:space="preserve"> or insulin compared with conventional treatment and risk of complications in patients with type 2 diabetes’, </w:t>
      </w:r>
      <w:r w:rsidRPr="00AB1FB1">
        <w:rPr>
          <w:rFonts w:ascii="Arial" w:hAnsi="Arial" w:cs="Arial"/>
          <w:i/>
          <w:iCs/>
          <w:sz w:val="22"/>
          <w:szCs w:val="22"/>
        </w:rPr>
        <w:t>The Lancet</w:t>
      </w:r>
      <w:r w:rsidRPr="008C60B4">
        <w:rPr>
          <w:rFonts w:ascii="Arial" w:hAnsi="Arial" w:cs="Arial"/>
          <w:sz w:val="22"/>
          <w:szCs w:val="22"/>
        </w:rPr>
        <w:t>, 352(9131), pp. 837–853.</w:t>
      </w:r>
    </w:p>
    <w:p w14:paraId="2C525DDF" w14:textId="77777777" w:rsidR="00310B91" w:rsidRPr="008C60B4" w:rsidRDefault="00310B91" w:rsidP="00B068CF">
      <w:pPr>
        <w:spacing w:line="360" w:lineRule="auto"/>
        <w:rPr>
          <w:rFonts w:ascii="Arial" w:hAnsi="Arial" w:cs="Arial"/>
          <w:sz w:val="22"/>
          <w:szCs w:val="22"/>
        </w:rPr>
      </w:pPr>
    </w:p>
    <w:p w14:paraId="6EE8066E" w14:textId="77777777" w:rsidR="00310B91" w:rsidRPr="00F96430" w:rsidRDefault="00310B91" w:rsidP="00B068CF">
      <w:pPr>
        <w:spacing w:line="360" w:lineRule="auto"/>
        <w:rPr>
          <w:rFonts w:ascii="Arial" w:hAnsi="Arial" w:cs="Arial"/>
          <w:sz w:val="22"/>
          <w:szCs w:val="22"/>
        </w:rPr>
      </w:pPr>
      <w:r w:rsidRPr="008C60B4">
        <w:rPr>
          <w:rFonts w:ascii="Arial" w:hAnsi="Arial" w:cs="Arial"/>
          <w:sz w:val="22"/>
          <w:szCs w:val="22"/>
        </w:rPr>
        <w:t xml:space="preserve">World Health </w:t>
      </w:r>
      <w:proofErr w:type="spellStart"/>
      <w:r w:rsidRPr="008C60B4">
        <w:rPr>
          <w:rFonts w:ascii="Arial" w:hAnsi="Arial" w:cs="Arial"/>
          <w:sz w:val="22"/>
          <w:szCs w:val="22"/>
        </w:rPr>
        <w:t>Organization</w:t>
      </w:r>
      <w:proofErr w:type="spellEnd"/>
      <w:r w:rsidRPr="008C60B4">
        <w:rPr>
          <w:rFonts w:ascii="Arial" w:hAnsi="Arial" w:cs="Arial"/>
          <w:sz w:val="22"/>
          <w:szCs w:val="22"/>
        </w:rPr>
        <w:t xml:space="preserve"> (2023) </w:t>
      </w:r>
      <w:r w:rsidRPr="00E66DDA">
        <w:rPr>
          <w:rFonts w:ascii="Arial" w:hAnsi="Arial" w:cs="Arial"/>
          <w:i/>
          <w:iCs/>
          <w:sz w:val="22"/>
          <w:szCs w:val="22"/>
        </w:rPr>
        <w:t xml:space="preserve">Global report on diabetes. </w:t>
      </w:r>
      <w:r w:rsidRPr="008C60B4">
        <w:rPr>
          <w:rFonts w:ascii="Arial" w:hAnsi="Arial" w:cs="Arial"/>
          <w:sz w:val="22"/>
          <w:szCs w:val="22"/>
        </w:rPr>
        <w:t>Geneva: WHO Press.</w:t>
      </w:r>
    </w:p>
    <w:p w14:paraId="10459E0F" w14:textId="77777777" w:rsidR="008C60B4" w:rsidRPr="008C60B4" w:rsidRDefault="008C60B4" w:rsidP="008C60B4">
      <w:pPr>
        <w:spacing w:line="360" w:lineRule="auto"/>
        <w:rPr>
          <w:rFonts w:ascii="Arial" w:hAnsi="Arial" w:cs="Arial"/>
          <w:sz w:val="22"/>
          <w:szCs w:val="22"/>
        </w:rPr>
      </w:pPr>
    </w:p>
    <w:sectPr w:rsidR="008C60B4" w:rsidRPr="008C60B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rese Ahmed" w:date="2026-06-08T12:25:00Z" w:initials="PA">
    <w:p w14:paraId="5967E53D" w14:textId="06A287E3" w:rsidR="0033771C" w:rsidRDefault="00271449">
      <w:r>
        <w:annotationRef/>
      </w:r>
      <w:r w:rsidRPr="4495FC9E">
        <w:t>This section shows good use of evidence and NICE guidance; however, it needs to be more clearly written as a recommendations section with practical advice for patients.</w:t>
      </w:r>
    </w:p>
    <w:p w14:paraId="6382D6E4" w14:textId="18D11DFA" w:rsidR="0033771C" w:rsidRDefault="00271449">
      <w:r w:rsidRPr="63A40AFD">
        <w:t>Focus on what patients should actually do in real life, for example:</w:t>
      </w:r>
    </w:p>
    <w:p w14:paraId="298426D5" w14:textId="34896B77" w:rsidR="0033771C" w:rsidRDefault="00271449">
      <w:r w:rsidRPr="594F518D">
        <w:t>taking a 10–15 minute walk after meals to reduce blood glucose levels</w:t>
      </w:r>
    </w:p>
    <w:p w14:paraId="2489ECAD" w14:textId="3A59C667" w:rsidR="0033771C" w:rsidRDefault="00271449">
      <w:r w:rsidRPr="2AA453D5">
        <w:t>making simple swaps such as choosing wholegrain foods instead of white bread</w:t>
      </w:r>
    </w:p>
    <w:p w14:paraId="7A65B6DB" w14:textId="37A430BE" w:rsidR="0033771C" w:rsidRDefault="00271449">
      <w:r w:rsidRPr="3C086705">
        <w:t>aiming for gradual weight loss through small, sustainable changes</w:t>
      </w:r>
    </w:p>
    <w:p w14:paraId="7A723037" w14:textId="6606C7B4" w:rsidR="0033771C" w:rsidRDefault="00271449">
      <w:r w:rsidRPr="07D9C0F6">
        <w:t>Keep explanations simple and directly linked to outcomes (e.g. improving energy levels, reducing symptoms), rather than including detailed physiological explanations.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7230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0D00E7" w16cex:dateUtc="2026-06-08T1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723037" w16cid:durableId="050D00E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A3D66"/>
    <w:multiLevelType w:val="hybridMultilevel"/>
    <w:tmpl w:val="F51CE2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992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5C25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932E72"/>
    <w:multiLevelType w:val="hybridMultilevel"/>
    <w:tmpl w:val="C1267D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8143059">
    <w:abstractNumId w:val="0"/>
  </w:num>
  <w:num w:numId="2" w16cid:durableId="751901546">
    <w:abstractNumId w:val="3"/>
  </w:num>
  <w:num w:numId="3" w16cid:durableId="1953903117">
    <w:abstractNumId w:val="2"/>
  </w:num>
  <w:num w:numId="4" w16cid:durableId="115048844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rese Ahmed">
    <w15:presenceInfo w15:providerId="AD" w15:userId="S::p.ahmed@uwtsd.ac.uk::7588c717-7a2a-4f43-bd3c-fbba48a9e8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8"/>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1E2"/>
    <w:rsid w:val="000A6B95"/>
    <w:rsid w:val="000B15B5"/>
    <w:rsid w:val="000B2536"/>
    <w:rsid w:val="000D449B"/>
    <w:rsid w:val="000F388A"/>
    <w:rsid w:val="00100FF9"/>
    <w:rsid w:val="00121CB8"/>
    <w:rsid w:val="002121A3"/>
    <w:rsid w:val="00265EC8"/>
    <w:rsid w:val="00271449"/>
    <w:rsid w:val="00296888"/>
    <w:rsid w:val="002C4212"/>
    <w:rsid w:val="002E3CAE"/>
    <w:rsid w:val="002F2C49"/>
    <w:rsid w:val="00302ADF"/>
    <w:rsid w:val="00310B91"/>
    <w:rsid w:val="0033771C"/>
    <w:rsid w:val="003E608F"/>
    <w:rsid w:val="004001A3"/>
    <w:rsid w:val="00401D9E"/>
    <w:rsid w:val="00405CA3"/>
    <w:rsid w:val="00421611"/>
    <w:rsid w:val="004604F0"/>
    <w:rsid w:val="00484222"/>
    <w:rsid w:val="004969B3"/>
    <w:rsid w:val="00507F9A"/>
    <w:rsid w:val="005414E1"/>
    <w:rsid w:val="00541FF2"/>
    <w:rsid w:val="00543F1B"/>
    <w:rsid w:val="005A1BA9"/>
    <w:rsid w:val="005D732A"/>
    <w:rsid w:val="005F6403"/>
    <w:rsid w:val="00634311"/>
    <w:rsid w:val="00654203"/>
    <w:rsid w:val="006A7C51"/>
    <w:rsid w:val="007154A6"/>
    <w:rsid w:val="007213FC"/>
    <w:rsid w:val="00770DB7"/>
    <w:rsid w:val="007F1A9E"/>
    <w:rsid w:val="007F2358"/>
    <w:rsid w:val="00807053"/>
    <w:rsid w:val="008438B4"/>
    <w:rsid w:val="00865505"/>
    <w:rsid w:val="008A3F49"/>
    <w:rsid w:val="008B1695"/>
    <w:rsid w:val="008C60B4"/>
    <w:rsid w:val="008E0B4E"/>
    <w:rsid w:val="008F5D91"/>
    <w:rsid w:val="009424D4"/>
    <w:rsid w:val="00955131"/>
    <w:rsid w:val="009843A3"/>
    <w:rsid w:val="009C0E7A"/>
    <w:rsid w:val="00A12426"/>
    <w:rsid w:val="00A26DF6"/>
    <w:rsid w:val="00A65B17"/>
    <w:rsid w:val="00A7231F"/>
    <w:rsid w:val="00A73C49"/>
    <w:rsid w:val="00A8589E"/>
    <w:rsid w:val="00AA565D"/>
    <w:rsid w:val="00AB1FB1"/>
    <w:rsid w:val="00B025F9"/>
    <w:rsid w:val="00B51F24"/>
    <w:rsid w:val="00B95858"/>
    <w:rsid w:val="00BF4793"/>
    <w:rsid w:val="00C021E2"/>
    <w:rsid w:val="00C058EE"/>
    <w:rsid w:val="00C40BC6"/>
    <w:rsid w:val="00CC56C3"/>
    <w:rsid w:val="00D22F80"/>
    <w:rsid w:val="00D77560"/>
    <w:rsid w:val="00DD1F16"/>
    <w:rsid w:val="00E547B1"/>
    <w:rsid w:val="00E66DDA"/>
    <w:rsid w:val="00E77274"/>
    <w:rsid w:val="00EC2180"/>
    <w:rsid w:val="00F2758C"/>
    <w:rsid w:val="00F41249"/>
    <w:rsid w:val="00F911C8"/>
    <w:rsid w:val="00F96430"/>
    <w:rsid w:val="00FD6756"/>
    <w:rsid w:val="00FE7727"/>
    <w:rsid w:val="00FF588D"/>
    <w:rsid w:val="05927420"/>
    <w:rsid w:val="0D11CD37"/>
    <w:rsid w:val="14A0C784"/>
    <w:rsid w:val="17DB1DEA"/>
    <w:rsid w:val="1948FB2F"/>
    <w:rsid w:val="1E65CA43"/>
    <w:rsid w:val="309CCD34"/>
    <w:rsid w:val="3D40B004"/>
    <w:rsid w:val="43A8D3BD"/>
    <w:rsid w:val="68DAF229"/>
    <w:rsid w:val="76F2B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8288A9"/>
  <w15:chartTrackingRefBased/>
  <w15:docId w15:val="{A4AB0A31-505A-7E44-B50E-07F63252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2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1E2"/>
    <w:rPr>
      <w:rFonts w:eastAsiaTheme="majorEastAsia" w:cstheme="majorBidi"/>
      <w:color w:val="272727" w:themeColor="text1" w:themeTint="D8"/>
    </w:rPr>
  </w:style>
  <w:style w:type="paragraph" w:styleId="Title">
    <w:name w:val="Title"/>
    <w:basedOn w:val="Normal"/>
    <w:next w:val="Normal"/>
    <w:link w:val="TitleChar"/>
    <w:uiPriority w:val="10"/>
    <w:qFormat/>
    <w:rsid w:val="00C02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1E2"/>
    <w:pPr>
      <w:spacing w:before="160"/>
      <w:jc w:val="center"/>
    </w:pPr>
    <w:rPr>
      <w:i/>
      <w:iCs/>
      <w:color w:val="404040" w:themeColor="text1" w:themeTint="BF"/>
    </w:rPr>
  </w:style>
  <w:style w:type="character" w:customStyle="1" w:styleId="QuoteChar">
    <w:name w:val="Quote Char"/>
    <w:basedOn w:val="DefaultParagraphFont"/>
    <w:link w:val="Quote"/>
    <w:uiPriority w:val="29"/>
    <w:rsid w:val="00C021E2"/>
    <w:rPr>
      <w:i/>
      <w:iCs/>
      <w:color w:val="404040" w:themeColor="text1" w:themeTint="BF"/>
    </w:rPr>
  </w:style>
  <w:style w:type="paragraph" w:styleId="ListParagraph">
    <w:name w:val="List Paragraph"/>
    <w:basedOn w:val="Normal"/>
    <w:uiPriority w:val="34"/>
    <w:qFormat/>
    <w:rsid w:val="00C021E2"/>
    <w:pPr>
      <w:ind w:left="720"/>
      <w:contextualSpacing/>
    </w:pPr>
  </w:style>
  <w:style w:type="character" w:styleId="IntenseEmphasis">
    <w:name w:val="Intense Emphasis"/>
    <w:basedOn w:val="DefaultParagraphFont"/>
    <w:uiPriority w:val="21"/>
    <w:qFormat/>
    <w:rsid w:val="00C021E2"/>
    <w:rPr>
      <w:i/>
      <w:iCs/>
      <w:color w:val="0F4761" w:themeColor="accent1" w:themeShade="BF"/>
    </w:rPr>
  </w:style>
  <w:style w:type="paragraph" w:styleId="IntenseQuote">
    <w:name w:val="Intense Quote"/>
    <w:basedOn w:val="Normal"/>
    <w:next w:val="Normal"/>
    <w:link w:val="IntenseQuoteChar"/>
    <w:uiPriority w:val="30"/>
    <w:qFormat/>
    <w:rsid w:val="00C02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1E2"/>
    <w:rPr>
      <w:i/>
      <w:iCs/>
      <w:color w:val="0F4761" w:themeColor="accent1" w:themeShade="BF"/>
    </w:rPr>
  </w:style>
  <w:style w:type="character" w:styleId="IntenseReference">
    <w:name w:val="Intense Reference"/>
    <w:basedOn w:val="DefaultParagraphFont"/>
    <w:uiPriority w:val="32"/>
    <w:qFormat/>
    <w:rsid w:val="00C021E2"/>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1">
    <w:name w:val="p1"/>
    <w:basedOn w:val="Normal"/>
    <w:rsid w:val="00FF588D"/>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FF588D"/>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FF588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07F9A"/>
  </w:style>
  <w:style w:type="character" w:customStyle="1" w:styleId="s2">
    <w:name w:val="s2"/>
    <w:basedOn w:val="DefaultParagraphFont"/>
    <w:rsid w:val="00507F9A"/>
  </w:style>
  <w:style w:type="paragraph" w:customStyle="1" w:styleId="p2">
    <w:name w:val="p2"/>
    <w:basedOn w:val="Normal"/>
    <w:rsid w:val="00A8589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1956</Words>
  <Characters>12131</Characters>
  <Application>Microsoft Office Word</Application>
  <DocSecurity>0</DocSecurity>
  <Lines>275</Lines>
  <Paragraphs>77</Paragraphs>
  <ScaleCrop>false</ScaleCrop>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Csoka (2407757)</dc:creator>
  <cp:keywords/>
  <dc:description/>
  <cp:lastModifiedBy>Klaudia Csoka (2407757)</cp:lastModifiedBy>
  <cp:revision>2</cp:revision>
  <dcterms:created xsi:type="dcterms:W3CDTF">2026-06-10T08:58:00Z</dcterms:created>
  <dcterms:modified xsi:type="dcterms:W3CDTF">2026-06-10T08:58:00Z</dcterms:modified>
</cp:coreProperties>
</file>