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3FA1" w:rsidRPr="00353FA1" w:rsidRDefault="00353FA1" w:rsidP="00353FA1">
      <w:pPr>
        <w:keepNext/>
        <w:keepLines/>
        <w:spacing w:before="240" w:after="0"/>
        <w:outlineLvl w:val="0"/>
        <w:rPr>
          <w:rFonts w:asciiTheme="majorHAnsi" w:eastAsiaTheme="majorEastAsia" w:hAnsiTheme="majorHAnsi" w:cstheme="majorBidi"/>
          <w:color w:val="2E74B5" w:themeColor="accent1" w:themeShade="BF"/>
          <w:sz w:val="32"/>
          <w:szCs w:val="32"/>
        </w:rPr>
      </w:pPr>
      <w:r w:rsidRPr="00353FA1">
        <w:rPr>
          <w:rFonts w:asciiTheme="majorHAnsi" w:eastAsiaTheme="majorEastAsia" w:hAnsiTheme="majorHAnsi" w:cstheme="majorBidi"/>
          <w:color w:val="2E74B5" w:themeColor="accent1" w:themeShade="BF"/>
          <w:sz w:val="32"/>
          <w:szCs w:val="32"/>
        </w:rPr>
        <w:t>How greatly Nabataean religious material culture was influenced by foreigners and to which extend we could call this hybridization</w:t>
      </w:r>
    </w:p>
    <w:p w:rsidR="009846A3" w:rsidRDefault="009846A3"/>
    <w:p w:rsidR="00353FA1" w:rsidRPr="00836DA8" w:rsidRDefault="00353FA1" w:rsidP="00836DA8">
      <w:pPr>
        <w:pStyle w:val="Listenabsatz"/>
        <w:keepNext/>
        <w:keepLines/>
        <w:numPr>
          <w:ilvl w:val="0"/>
          <w:numId w:val="2"/>
        </w:numPr>
        <w:spacing w:before="240" w:after="0"/>
        <w:outlineLvl w:val="0"/>
        <w:rPr>
          <w:rFonts w:asciiTheme="majorHAnsi" w:eastAsiaTheme="majorEastAsia" w:hAnsiTheme="majorHAnsi" w:cstheme="majorBidi"/>
          <w:color w:val="2E74B5" w:themeColor="accent1" w:themeShade="BF"/>
          <w:sz w:val="32"/>
          <w:szCs w:val="32"/>
        </w:rPr>
      </w:pPr>
      <w:r w:rsidRPr="00836DA8">
        <w:rPr>
          <w:rFonts w:asciiTheme="majorHAnsi" w:eastAsiaTheme="majorEastAsia" w:hAnsiTheme="majorHAnsi" w:cstheme="majorBidi"/>
          <w:color w:val="2E74B5" w:themeColor="accent1" w:themeShade="BF"/>
          <w:sz w:val="32"/>
          <w:szCs w:val="32"/>
        </w:rPr>
        <w:t>Introduction</w:t>
      </w:r>
    </w:p>
    <w:p w:rsidR="00353FA1" w:rsidRDefault="00353FA1"/>
    <w:p w:rsidR="00353FA1" w:rsidRPr="00353FA1" w:rsidRDefault="00836DA8" w:rsidP="00353FA1">
      <w:pPr>
        <w:rPr>
          <w:sz w:val="24"/>
        </w:rPr>
      </w:pPr>
      <w:r>
        <w:rPr>
          <w:sz w:val="24"/>
        </w:rPr>
        <w:t>1</w:t>
      </w:r>
      <w:r w:rsidR="00B025BA">
        <w:rPr>
          <w:sz w:val="24"/>
        </w:rPr>
        <w:t>.A</w:t>
      </w:r>
      <w:r w:rsidR="00353FA1" w:rsidRPr="00353FA1">
        <w:rPr>
          <w:sz w:val="24"/>
        </w:rPr>
        <w:t xml:space="preserve"> Explaining the research question:</w:t>
      </w:r>
    </w:p>
    <w:p w:rsidR="00353FA1" w:rsidRPr="00353FA1" w:rsidRDefault="00353FA1" w:rsidP="00353FA1">
      <w:pPr>
        <w:rPr>
          <w:sz w:val="24"/>
        </w:rPr>
      </w:pPr>
      <w:r w:rsidRPr="00353FA1">
        <w:rPr>
          <w:sz w:val="24"/>
        </w:rPr>
        <w:t>Investigating the material influence</w:t>
      </w:r>
      <w:r w:rsidR="00837CE7">
        <w:rPr>
          <w:sz w:val="24"/>
        </w:rPr>
        <w:t xml:space="preserve"> which</w:t>
      </w:r>
      <w:r w:rsidRPr="00353FA1">
        <w:rPr>
          <w:sz w:val="24"/>
        </w:rPr>
        <w:t xml:space="preserve"> other cultures such as the Syrians, Phoenicians</w:t>
      </w:r>
      <w:r w:rsidRPr="00353FA1">
        <w:rPr>
          <w:sz w:val="24"/>
          <w:vertAlign w:val="superscript"/>
        </w:rPr>
        <w:footnoteReference w:id="1"/>
      </w:r>
      <w:r w:rsidRPr="00353FA1">
        <w:rPr>
          <w:sz w:val="24"/>
        </w:rPr>
        <w:t xml:space="preserve"> and </w:t>
      </w:r>
      <w:r w:rsidR="00837CE7">
        <w:rPr>
          <w:sz w:val="24"/>
        </w:rPr>
        <w:t xml:space="preserve">the </w:t>
      </w:r>
      <w:r w:rsidRPr="00353FA1">
        <w:rPr>
          <w:sz w:val="24"/>
        </w:rPr>
        <w:t>Romans</w:t>
      </w:r>
      <w:r w:rsidRPr="00353FA1">
        <w:rPr>
          <w:sz w:val="24"/>
          <w:vertAlign w:val="superscript"/>
        </w:rPr>
        <w:footnoteReference w:id="2"/>
      </w:r>
      <w:r w:rsidRPr="00353FA1">
        <w:rPr>
          <w:sz w:val="24"/>
        </w:rPr>
        <w:t xml:space="preserve"> had on Nabatean religious and funerary architecture and to which extent we can call this a hybridization.</w:t>
      </w:r>
    </w:p>
    <w:p w:rsidR="00353FA1" w:rsidRPr="00353FA1" w:rsidRDefault="00836DA8" w:rsidP="00353FA1">
      <w:pPr>
        <w:rPr>
          <w:sz w:val="24"/>
        </w:rPr>
      </w:pPr>
      <w:r>
        <w:rPr>
          <w:sz w:val="24"/>
        </w:rPr>
        <w:t>1</w:t>
      </w:r>
      <w:r w:rsidR="00B025BA">
        <w:rPr>
          <w:sz w:val="24"/>
        </w:rPr>
        <w:t>.B</w:t>
      </w:r>
      <w:r w:rsidR="00353FA1" w:rsidRPr="00353FA1">
        <w:rPr>
          <w:sz w:val="24"/>
        </w:rPr>
        <w:t xml:space="preserve"> Evaluating our sources:</w:t>
      </w:r>
    </w:p>
    <w:p w:rsidR="00353FA1" w:rsidRPr="00353FA1" w:rsidRDefault="00353FA1" w:rsidP="00353FA1">
      <w:pPr>
        <w:rPr>
          <w:sz w:val="24"/>
        </w:rPr>
      </w:pPr>
      <w:r w:rsidRPr="00353FA1">
        <w:rPr>
          <w:sz w:val="24"/>
        </w:rPr>
        <w:t>Some ancient sources, which can be called primary sources, are accessible</w:t>
      </w:r>
      <w:r w:rsidR="00837CE7">
        <w:rPr>
          <w:sz w:val="24"/>
        </w:rPr>
        <w:t xml:space="preserve"> to us</w:t>
      </w:r>
      <w:r w:rsidRPr="00353FA1">
        <w:rPr>
          <w:sz w:val="24"/>
        </w:rPr>
        <w:t>, such as Arrian, Strabo, Diodorus of Sicily.</w:t>
      </w:r>
      <w:r w:rsidR="00837CE7">
        <w:rPr>
          <w:rStyle w:val="Funotenzeichen"/>
          <w:sz w:val="24"/>
        </w:rPr>
        <w:footnoteReference w:id="3"/>
      </w:r>
      <w:r w:rsidRPr="00353FA1">
        <w:rPr>
          <w:sz w:val="24"/>
        </w:rPr>
        <w:t xml:space="preserve"> Additionally, archaeological pieces such as the Papyrus of Zenon and numerous inscriptions from Nabataean dedications are available for research.</w:t>
      </w:r>
      <w:r w:rsidRPr="00353FA1">
        <w:rPr>
          <w:sz w:val="24"/>
          <w:vertAlign w:val="superscript"/>
        </w:rPr>
        <w:footnoteReference w:id="4"/>
      </w:r>
      <w:r w:rsidRPr="00353FA1">
        <w:rPr>
          <w:sz w:val="24"/>
        </w:rPr>
        <w:t xml:space="preserve"> However, all of these have limitations, which will be discussed, as well as how modern scholarship’s disputes and limitations regarding this topic affect this matter.</w:t>
      </w:r>
      <w:r w:rsidRPr="00353FA1">
        <w:rPr>
          <w:sz w:val="24"/>
          <w:vertAlign w:val="superscript"/>
        </w:rPr>
        <w:footnoteReference w:id="5"/>
      </w:r>
      <w:r w:rsidRPr="00353FA1">
        <w:rPr>
          <w:sz w:val="24"/>
        </w:rPr>
        <w:t xml:space="preserve"> </w:t>
      </w:r>
    </w:p>
    <w:p w:rsidR="00353FA1" w:rsidRPr="00353FA1" w:rsidRDefault="00836DA8" w:rsidP="00353FA1">
      <w:pPr>
        <w:rPr>
          <w:sz w:val="24"/>
        </w:rPr>
      </w:pPr>
      <w:r>
        <w:rPr>
          <w:sz w:val="24"/>
        </w:rPr>
        <w:t>1</w:t>
      </w:r>
      <w:r w:rsidR="00B025BA">
        <w:rPr>
          <w:sz w:val="24"/>
        </w:rPr>
        <w:t>.C</w:t>
      </w:r>
      <w:r w:rsidR="00353FA1" w:rsidRPr="00353FA1">
        <w:rPr>
          <w:sz w:val="24"/>
        </w:rPr>
        <w:t xml:space="preserve"> The contemporary relevance of the research question:</w:t>
      </w:r>
    </w:p>
    <w:p w:rsidR="00353FA1" w:rsidRDefault="00353FA1" w:rsidP="00353FA1">
      <w:pPr>
        <w:rPr>
          <w:sz w:val="24"/>
          <w:vertAlign w:val="superscript"/>
        </w:rPr>
      </w:pPr>
      <w:r w:rsidRPr="00353FA1">
        <w:rPr>
          <w:sz w:val="24"/>
        </w:rPr>
        <w:t>The research seeks to inspire an interest in the Nabataean culture and the range of influences that affected Nabatean architecture, as well as to make the reader aware what cultural heritage has its origins in pre-Islamic Arabia. It additionally aims to preserve an account of a cultural history located in a currently highly versatile area, as the transfer of territory from Egypt to Israel during the six day war in 1967 clearly shows.</w:t>
      </w:r>
      <w:r>
        <w:rPr>
          <w:rStyle w:val="Funotenzeichen"/>
          <w:sz w:val="24"/>
        </w:rPr>
        <w:footnoteReference w:id="6"/>
      </w:r>
    </w:p>
    <w:p w:rsidR="00353FA1" w:rsidRPr="00353FA1" w:rsidRDefault="00353FA1" w:rsidP="00353FA1">
      <w:pPr>
        <w:rPr>
          <w:sz w:val="24"/>
        </w:rPr>
      </w:pPr>
      <w:r w:rsidRPr="00353FA1">
        <w:rPr>
          <w:sz w:val="24"/>
        </w:rPr>
        <w:t xml:space="preserve"> </w:t>
      </w:r>
      <w:r w:rsidR="00836DA8">
        <w:rPr>
          <w:sz w:val="24"/>
        </w:rPr>
        <w:t>1</w:t>
      </w:r>
      <w:r w:rsidR="00B025BA">
        <w:rPr>
          <w:sz w:val="24"/>
        </w:rPr>
        <w:t>.D</w:t>
      </w:r>
      <w:r w:rsidRPr="00353FA1">
        <w:rPr>
          <w:sz w:val="24"/>
        </w:rPr>
        <w:t xml:space="preserve"> How the Dissertation is structured and what it is trying to prove:</w:t>
      </w:r>
    </w:p>
    <w:p w:rsidR="00F9236B" w:rsidRDefault="00353FA1" w:rsidP="00353FA1">
      <w:pPr>
        <w:rPr>
          <w:sz w:val="24"/>
        </w:rPr>
      </w:pPr>
      <w:r w:rsidRPr="00353FA1">
        <w:rPr>
          <w:sz w:val="24"/>
        </w:rPr>
        <w:t xml:space="preserve">Firstly, </w:t>
      </w:r>
      <w:r w:rsidR="00F9236B" w:rsidRPr="00353FA1">
        <w:rPr>
          <w:sz w:val="24"/>
        </w:rPr>
        <w:t>the terms hybridization and material culture</w:t>
      </w:r>
      <w:r w:rsidR="00F9236B">
        <w:rPr>
          <w:sz w:val="24"/>
        </w:rPr>
        <w:t xml:space="preserve"> will be discussed in its own chapter</w:t>
      </w:r>
      <w:r w:rsidR="00F9236B" w:rsidRPr="00353FA1">
        <w:rPr>
          <w:sz w:val="24"/>
        </w:rPr>
        <w:t>, as well as</w:t>
      </w:r>
      <w:r w:rsidR="00F9236B">
        <w:rPr>
          <w:sz w:val="24"/>
        </w:rPr>
        <w:t xml:space="preserve"> comparing them to</w:t>
      </w:r>
      <w:r w:rsidR="00F9236B" w:rsidRPr="00353FA1">
        <w:rPr>
          <w:sz w:val="24"/>
        </w:rPr>
        <w:t xml:space="preserve"> similar terms</w:t>
      </w:r>
      <w:r w:rsidR="00F9236B">
        <w:rPr>
          <w:sz w:val="24"/>
        </w:rPr>
        <w:t>, concluding with their applicability</w:t>
      </w:r>
      <w:r w:rsidR="00F9236B" w:rsidRPr="00353FA1">
        <w:rPr>
          <w:sz w:val="24"/>
        </w:rPr>
        <w:t xml:space="preserve"> to this research question.</w:t>
      </w:r>
    </w:p>
    <w:p w:rsidR="00353FA1" w:rsidRPr="00353FA1" w:rsidRDefault="00F9236B" w:rsidP="00353FA1">
      <w:pPr>
        <w:rPr>
          <w:sz w:val="24"/>
        </w:rPr>
      </w:pPr>
      <w:r>
        <w:rPr>
          <w:sz w:val="24"/>
        </w:rPr>
        <w:t xml:space="preserve">The secondly, </w:t>
      </w:r>
      <w:r w:rsidR="00353FA1" w:rsidRPr="00353FA1">
        <w:rPr>
          <w:sz w:val="24"/>
        </w:rPr>
        <w:t>the Nabateans will be introduced, starting with what is known</w:t>
      </w:r>
      <w:r w:rsidR="00647A36">
        <w:rPr>
          <w:sz w:val="24"/>
        </w:rPr>
        <w:t xml:space="preserve"> about</w:t>
      </w:r>
      <w:r w:rsidR="00353FA1" w:rsidRPr="00353FA1">
        <w:rPr>
          <w:sz w:val="24"/>
        </w:rPr>
        <w:t xml:space="preserve"> </w:t>
      </w:r>
      <w:r w:rsidR="00647A36">
        <w:rPr>
          <w:sz w:val="24"/>
        </w:rPr>
        <w:t>their origins, and lifestyle</w:t>
      </w:r>
      <w:r w:rsidR="00353FA1" w:rsidRPr="00353FA1">
        <w:rPr>
          <w:sz w:val="24"/>
        </w:rPr>
        <w:t xml:space="preserve">, as well as which areas they influenced. </w:t>
      </w:r>
      <w:r w:rsidR="00647A36">
        <w:rPr>
          <w:sz w:val="24"/>
        </w:rPr>
        <w:t>Also, t</w:t>
      </w:r>
      <w:r w:rsidR="00353FA1" w:rsidRPr="00353FA1">
        <w:rPr>
          <w:sz w:val="24"/>
        </w:rPr>
        <w:t xml:space="preserve">heir belief system will be explained, </w:t>
      </w:r>
      <w:r w:rsidR="00647A36">
        <w:rPr>
          <w:sz w:val="24"/>
        </w:rPr>
        <w:t>as well as how they</w:t>
      </w:r>
      <w:r w:rsidR="00353FA1" w:rsidRPr="00353FA1">
        <w:rPr>
          <w:sz w:val="24"/>
        </w:rPr>
        <w:t xml:space="preserve"> manifested their religious beliefs in a</w:t>
      </w:r>
      <w:r w:rsidR="00647A36">
        <w:rPr>
          <w:sz w:val="24"/>
        </w:rPr>
        <w:t>rchitecture and material culture.</w:t>
      </w:r>
    </w:p>
    <w:p w:rsidR="00353FA1" w:rsidRPr="00353FA1" w:rsidRDefault="00B025BA" w:rsidP="00353FA1">
      <w:pPr>
        <w:rPr>
          <w:sz w:val="24"/>
        </w:rPr>
      </w:pPr>
      <w:r>
        <w:rPr>
          <w:sz w:val="24"/>
        </w:rPr>
        <w:lastRenderedPageBreak/>
        <w:t>Thirdly</w:t>
      </w:r>
      <w:r w:rsidR="00353FA1" w:rsidRPr="00353FA1">
        <w:rPr>
          <w:sz w:val="24"/>
        </w:rPr>
        <w:t xml:space="preserve">, </w:t>
      </w:r>
      <w:r w:rsidR="00F9236B">
        <w:rPr>
          <w:sz w:val="24"/>
        </w:rPr>
        <w:t xml:space="preserve">the next chapter will put into consideration the </w:t>
      </w:r>
      <w:r w:rsidR="00353FA1" w:rsidRPr="00353FA1">
        <w:rPr>
          <w:sz w:val="24"/>
        </w:rPr>
        <w:t>beliefs and architecture that greatly i</w:t>
      </w:r>
      <w:r w:rsidR="00647A36">
        <w:rPr>
          <w:sz w:val="24"/>
        </w:rPr>
        <w:t xml:space="preserve">nfluenced the Nabateans, by means of </w:t>
      </w:r>
      <w:r w:rsidR="00353FA1" w:rsidRPr="00353FA1">
        <w:rPr>
          <w:sz w:val="24"/>
        </w:rPr>
        <w:t>their travels or by the</w:t>
      </w:r>
      <w:r w:rsidR="00647A36">
        <w:rPr>
          <w:sz w:val="24"/>
        </w:rPr>
        <w:t xml:space="preserve"> foreign</w:t>
      </w:r>
      <w:r w:rsidR="00353FA1" w:rsidRPr="00353FA1">
        <w:rPr>
          <w:sz w:val="24"/>
        </w:rPr>
        <w:t xml:space="preserve"> occupation of their realm of influence</w:t>
      </w:r>
      <w:r w:rsidR="00F9236B">
        <w:rPr>
          <w:sz w:val="24"/>
        </w:rPr>
        <w:t>.</w:t>
      </w:r>
    </w:p>
    <w:p w:rsidR="00353FA1" w:rsidRDefault="00F9236B" w:rsidP="00353FA1">
      <w:pPr>
        <w:rPr>
          <w:sz w:val="24"/>
        </w:rPr>
      </w:pPr>
      <w:r>
        <w:rPr>
          <w:sz w:val="24"/>
        </w:rPr>
        <w:t>This chapter will also maintain the</w:t>
      </w:r>
      <w:r w:rsidR="00353FA1" w:rsidRPr="00353FA1">
        <w:rPr>
          <w:sz w:val="24"/>
        </w:rPr>
        <w:t xml:space="preserve"> attempt </w:t>
      </w:r>
      <w:r>
        <w:rPr>
          <w:sz w:val="24"/>
        </w:rPr>
        <w:t>of</w:t>
      </w:r>
      <w:r w:rsidR="00353FA1" w:rsidRPr="00353FA1">
        <w:rPr>
          <w:sz w:val="24"/>
        </w:rPr>
        <w:t xml:space="preserve"> apply</w:t>
      </w:r>
      <w:r>
        <w:rPr>
          <w:sz w:val="24"/>
        </w:rPr>
        <w:t>ing</w:t>
      </w:r>
      <w:r w:rsidR="00353FA1" w:rsidRPr="00353FA1">
        <w:rPr>
          <w:sz w:val="24"/>
        </w:rPr>
        <w:t xml:space="preserve"> the theories chosen</w:t>
      </w:r>
      <w:r w:rsidR="00647A36">
        <w:rPr>
          <w:sz w:val="24"/>
        </w:rPr>
        <w:t>,</w:t>
      </w:r>
      <w:r w:rsidR="00353FA1" w:rsidRPr="00353FA1">
        <w:rPr>
          <w:sz w:val="24"/>
        </w:rPr>
        <w:t xml:space="preserve"> to examples of Nabataean  religious and funerary architecture, in order to see how greatly foreign influence affected these and where this can be seen, in order to determine conclusively how Nabataean religious architecture was influenced and to what extent.</w:t>
      </w:r>
    </w:p>
    <w:p w:rsidR="00353FA1" w:rsidRDefault="00353FA1" w:rsidP="00353FA1">
      <w:pPr>
        <w:rPr>
          <w:sz w:val="24"/>
        </w:rPr>
      </w:pPr>
    </w:p>
    <w:p w:rsidR="00836DA8" w:rsidRPr="00836DA8" w:rsidRDefault="00836DA8" w:rsidP="00836DA8">
      <w:pPr>
        <w:keepNext/>
        <w:keepLines/>
        <w:spacing w:before="240" w:after="0"/>
        <w:outlineLvl w:val="0"/>
        <w:rPr>
          <w:rFonts w:asciiTheme="majorHAnsi" w:eastAsiaTheme="majorEastAsia" w:hAnsiTheme="majorHAnsi" w:cstheme="majorBidi"/>
          <w:color w:val="2E74B5" w:themeColor="accent1" w:themeShade="BF"/>
          <w:sz w:val="32"/>
          <w:szCs w:val="32"/>
        </w:rPr>
      </w:pPr>
      <w:r w:rsidRPr="00836DA8">
        <w:rPr>
          <w:rFonts w:asciiTheme="majorHAnsi" w:eastAsiaTheme="majorEastAsia" w:hAnsiTheme="majorHAnsi" w:cstheme="majorBidi"/>
          <w:color w:val="2E74B5" w:themeColor="accent1" w:themeShade="BF"/>
          <w:sz w:val="32"/>
          <w:szCs w:val="32"/>
        </w:rPr>
        <w:t>2.0 Hybridization, similar ter</w:t>
      </w:r>
      <w:r>
        <w:rPr>
          <w:rFonts w:asciiTheme="majorHAnsi" w:eastAsiaTheme="majorEastAsia" w:hAnsiTheme="majorHAnsi" w:cstheme="majorBidi"/>
          <w:color w:val="2E74B5" w:themeColor="accent1" w:themeShade="BF"/>
          <w:sz w:val="32"/>
          <w:szCs w:val="32"/>
        </w:rPr>
        <w:t>ms and material culture in theory</w:t>
      </w:r>
    </w:p>
    <w:p w:rsidR="00836DA8" w:rsidRPr="00836DA8" w:rsidRDefault="00836DA8" w:rsidP="00836DA8">
      <w:pPr>
        <w:rPr>
          <w:sz w:val="24"/>
        </w:rPr>
      </w:pPr>
    </w:p>
    <w:p w:rsidR="00836DA8" w:rsidRPr="00836DA8" w:rsidRDefault="00836DA8" w:rsidP="00836DA8">
      <w:pPr>
        <w:rPr>
          <w:sz w:val="24"/>
        </w:rPr>
      </w:pPr>
      <w:r w:rsidRPr="00836DA8">
        <w:rPr>
          <w:sz w:val="24"/>
        </w:rPr>
        <w:t>This chapter will focus on the terms hybridization and syncretism, as applied to material culture, as well as overcoming the debate about defining an ‘international’ or ‘hybrid’ artistic style.</w:t>
      </w:r>
      <w:r w:rsidRPr="00836DA8">
        <w:rPr>
          <w:sz w:val="24"/>
          <w:vertAlign w:val="superscript"/>
        </w:rPr>
        <w:footnoteReference w:id="7"/>
      </w:r>
      <w:r w:rsidRPr="00836DA8">
        <w:rPr>
          <w:sz w:val="24"/>
        </w:rPr>
        <w:t xml:space="preserve"> Terms such as Creolization and Hellenization will</w:t>
      </w:r>
      <w:r w:rsidR="00647A36">
        <w:rPr>
          <w:sz w:val="24"/>
        </w:rPr>
        <w:t xml:space="preserve"> also</w:t>
      </w:r>
      <w:r w:rsidRPr="00836DA8">
        <w:rPr>
          <w:sz w:val="24"/>
        </w:rPr>
        <w:t xml:space="preserve"> be discussed, evaluating modern scholars’ viewpoints and the applicability to the topic.</w:t>
      </w:r>
      <w:r w:rsidRPr="00836DA8">
        <w:rPr>
          <w:sz w:val="24"/>
          <w:vertAlign w:val="superscript"/>
        </w:rPr>
        <w:footnoteReference w:id="8"/>
      </w:r>
      <w:r w:rsidRPr="00836DA8">
        <w:rPr>
          <w:sz w:val="24"/>
        </w:rPr>
        <w:t xml:space="preserve"> Further, the relationship of materiality and sedentism are an option for investigation if the word count allows</w:t>
      </w:r>
      <w:r w:rsidR="00647A36">
        <w:rPr>
          <w:sz w:val="24"/>
        </w:rPr>
        <w:t xml:space="preserve"> it</w:t>
      </w:r>
      <w:r w:rsidRPr="00836DA8">
        <w:rPr>
          <w:sz w:val="24"/>
        </w:rPr>
        <w:t>.</w:t>
      </w:r>
      <w:r w:rsidRPr="00836DA8">
        <w:rPr>
          <w:sz w:val="24"/>
          <w:vertAlign w:val="superscript"/>
        </w:rPr>
        <w:footnoteReference w:id="9"/>
      </w:r>
    </w:p>
    <w:p w:rsidR="00353FA1" w:rsidRDefault="00353FA1" w:rsidP="00353FA1">
      <w:pPr>
        <w:rPr>
          <w:sz w:val="24"/>
        </w:rPr>
      </w:pPr>
    </w:p>
    <w:p w:rsidR="00362EE7" w:rsidRDefault="00362EE7" w:rsidP="00362EE7">
      <w:pPr>
        <w:pStyle w:val="berschrift1"/>
      </w:pPr>
      <w:r>
        <w:t>3.0 Nabataean origins, belief system and their materialisation of religious and funerary architecture</w:t>
      </w:r>
    </w:p>
    <w:p w:rsidR="00362EE7" w:rsidRDefault="00362EE7" w:rsidP="00362EE7"/>
    <w:p w:rsidR="00362EE7" w:rsidRPr="00362EE7" w:rsidRDefault="00FD04DE" w:rsidP="00362EE7">
      <w:pPr>
        <w:rPr>
          <w:sz w:val="24"/>
        </w:rPr>
      </w:pPr>
      <w:r>
        <w:rPr>
          <w:sz w:val="24"/>
        </w:rPr>
        <w:t>3.A</w:t>
      </w:r>
      <w:r w:rsidR="00362EE7">
        <w:rPr>
          <w:sz w:val="24"/>
        </w:rPr>
        <w:t xml:space="preserve"> </w:t>
      </w:r>
      <w:r w:rsidR="00362EE7" w:rsidRPr="00362EE7">
        <w:rPr>
          <w:sz w:val="24"/>
        </w:rPr>
        <w:t>The first</w:t>
      </w:r>
      <w:r w:rsidR="00647A36">
        <w:rPr>
          <w:sz w:val="24"/>
        </w:rPr>
        <w:t xml:space="preserve"> sub-</w:t>
      </w:r>
      <w:r w:rsidR="00362EE7" w:rsidRPr="00362EE7">
        <w:rPr>
          <w:sz w:val="24"/>
        </w:rPr>
        <w:t xml:space="preserve"> section focuses on Nabataean origins,</w:t>
      </w:r>
      <w:r w:rsidR="00362EE7" w:rsidRPr="00362EE7">
        <w:rPr>
          <w:sz w:val="24"/>
          <w:vertAlign w:val="superscript"/>
        </w:rPr>
        <w:footnoteReference w:id="10"/>
      </w:r>
      <w:r w:rsidR="00362EE7" w:rsidRPr="00362EE7">
        <w:rPr>
          <w:sz w:val="24"/>
        </w:rPr>
        <w:t xml:space="preserve"> with inclusion of a time line of Nabataean history and expansion, thus naming cultural centres which inherently influenced the Nabataeans and also were influenced in return.</w:t>
      </w:r>
      <w:r w:rsidR="00362EE7" w:rsidRPr="00362EE7">
        <w:rPr>
          <w:sz w:val="24"/>
          <w:vertAlign w:val="superscript"/>
        </w:rPr>
        <w:footnoteReference w:id="11"/>
      </w:r>
      <w:r w:rsidR="00362EE7" w:rsidRPr="00362EE7">
        <w:rPr>
          <w:sz w:val="24"/>
        </w:rPr>
        <w:t xml:space="preserve">  Diverse sources will be mentioned in order to determine Nabataean ways of life in different areas, such as increased sedentary agriculture in the Hauran region, but a continued nomadic lifestyle in the southern Nabatean regions.</w:t>
      </w:r>
      <w:r w:rsidR="00362EE7" w:rsidRPr="00362EE7">
        <w:rPr>
          <w:sz w:val="24"/>
          <w:vertAlign w:val="superscript"/>
        </w:rPr>
        <w:footnoteReference w:id="12"/>
      </w:r>
    </w:p>
    <w:p w:rsidR="00362EE7" w:rsidRPr="00362EE7" w:rsidRDefault="00B025BA" w:rsidP="00362EE7">
      <w:pPr>
        <w:rPr>
          <w:sz w:val="24"/>
        </w:rPr>
      </w:pPr>
      <w:r>
        <w:rPr>
          <w:sz w:val="24"/>
        </w:rPr>
        <w:t>3.B</w:t>
      </w:r>
      <w:r w:rsidR="00362EE7">
        <w:rPr>
          <w:sz w:val="24"/>
        </w:rPr>
        <w:t xml:space="preserve"> The discussion</w:t>
      </w:r>
      <w:r w:rsidR="00362EE7" w:rsidRPr="00362EE7">
        <w:rPr>
          <w:sz w:val="24"/>
        </w:rPr>
        <w:t xml:space="preserve"> of the basic Nabataean belief system</w:t>
      </w:r>
      <w:r w:rsidR="00362EE7">
        <w:rPr>
          <w:sz w:val="24"/>
        </w:rPr>
        <w:t xml:space="preserve"> will follow</w:t>
      </w:r>
      <w:r w:rsidR="00362EE7" w:rsidRPr="00362EE7">
        <w:rPr>
          <w:sz w:val="24"/>
        </w:rPr>
        <w:t>, including some scholars’ belief that it</w:t>
      </w:r>
      <w:r w:rsidR="00647A36">
        <w:rPr>
          <w:sz w:val="24"/>
        </w:rPr>
        <w:t xml:space="preserve"> increasingly</w:t>
      </w:r>
      <w:r w:rsidR="00362EE7" w:rsidRPr="00362EE7">
        <w:rPr>
          <w:sz w:val="24"/>
        </w:rPr>
        <w:t xml:space="preserve"> tended more towards monotheism.</w:t>
      </w:r>
      <w:r w:rsidR="00362EE7" w:rsidRPr="00362EE7">
        <w:rPr>
          <w:sz w:val="24"/>
          <w:vertAlign w:val="superscript"/>
        </w:rPr>
        <w:footnoteReference w:id="13"/>
      </w:r>
      <w:r w:rsidR="00362EE7" w:rsidRPr="00362EE7">
        <w:rPr>
          <w:sz w:val="24"/>
        </w:rPr>
        <w:t xml:space="preserve"> Further, an introduction will be made of all known Nabataean deities,</w:t>
      </w:r>
      <w:r w:rsidR="00362EE7" w:rsidRPr="00362EE7">
        <w:rPr>
          <w:sz w:val="24"/>
          <w:vertAlign w:val="superscript"/>
        </w:rPr>
        <w:footnoteReference w:id="14"/>
      </w:r>
      <w:r w:rsidR="00362EE7" w:rsidRPr="00362EE7">
        <w:rPr>
          <w:sz w:val="24"/>
        </w:rPr>
        <w:t xml:space="preserve"> their places of worship,</w:t>
      </w:r>
      <w:r w:rsidR="00362EE7" w:rsidRPr="00362EE7">
        <w:rPr>
          <w:sz w:val="24"/>
          <w:vertAlign w:val="superscript"/>
        </w:rPr>
        <w:footnoteReference w:id="15"/>
      </w:r>
      <w:r w:rsidR="00362EE7" w:rsidRPr="00362EE7">
        <w:rPr>
          <w:sz w:val="24"/>
        </w:rPr>
        <w:t xml:space="preserve"> as well as adopted deities, their origins and </w:t>
      </w:r>
      <w:r w:rsidR="00647A36" w:rsidRPr="00362EE7">
        <w:rPr>
          <w:sz w:val="24"/>
        </w:rPr>
        <w:t>significance</w:t>
      </w:r>
      <w:r w:rsidR="00362EE7" w:rsidRPr="00362EE7">
        <w:rPr>
          <w:sz w:val="24"/>
        </w:rPr>
        <w:t xml:space="preserve"> to the Nabateans, such as the cult of Baal Shamin carried out by the sedentary Nabataeans of the Hauran.</w:t>
      </w:r>
      <w:r w:rsidR="00362EE7" w:rsidRPr="00362EE7">
        <w:rPr>
          <w:sz w:val="24"/>
          <w:vertAlign w:val="superscript"/>
        </w:rPr>
        <w:footnoteReference w:id="16"/>
      </w:r>
      <w:r w:rsidR="00362EE7" w:rsidRPr="00362EE7">
        <w:rPr>
          <w:sz w:val="24"/>
        </w:rPr>
        <w:t xml:space="preserve">Also, the ways in which material </w:t>
      </w:r>
      <w:r w:rsidR="00362EE7" w:rsidRPr="00362EE7">
        <w:rPr>
          <w:sz w:val="24"/>
        </w:rPr>
        <w:lastRenderedPageBreak/>
        <w:t>culture manifested itself through religious belief such as in the cult of altars,</w:t>
      </w:r>
      <w:r w:rsidR="00362EE7" w:rsidRPr="00362EE7">
        <w:rPr>
          <w:sz w:val="24"/>
          <w:vertAlign w:val="superscript"/>
        </w:rPr>
        <w:footnoteReference w:id="17"/>
      </w:r>
      <w:r w:rsidR="00362EE7" w:rsidRPr="00362EE7">
        <w:rPr>
          <w:sz w:val="24"/>
        </w:rPr>
        <w:t xml:space="preserve"> the worship of baetyls</w:t>
      </w:r>
      <w:r w:rsidR="00362EE7" w:rsidRPr="00362EE7">
        <w:rPr>
          <w:sz w:val="24"/>
          <w:vertAlign w:val="superscript"/>
        </w:rPr>
        <w:footnoteReference w:id="18"/>
      </w:r>
      <w:r w:rsidR="00362EE7" w:rsidRPr="00362EE7">
        <w:rPr>
          <w:sz w:val="24"/>
        </w:rPr>
        <w:t xml:space="preserve">  or betyls,</w:t>
      </w:r>
      <w:r w:rsidR="00362EE7" w:rsidRPr="00362EE7">
        <w:rPr>
          <w:sz w:val="24"/>
          <w:vertAlign w:val="superscript"/>
        </w:rPr>
        <w:footnoteReference w:id="19"/>
      </w:r>
      <w:r w:rsidR="00362EE7" w:rsidRPr="00362EE7">
        <w:rPr>
          <w:sz w:val="24"/>
        </w:rPr>
        <w:t xml:space="preserve"> and Nepheshes will be included.</w:t>
      </w:r>
      <w:r w:rsidR="00362EE7" w:rsidRPr="00362EE7">
        <w:rPr>
          <w:sz w:val="24"/>
          <w:vertAlign w:val="superscript"/>
        </w:rPr>
        <w:footnoteReference w:id="20"/>
      </w:r>
      <w:r w:rsidR="00362EE7" w:rsidRPr="00362EE7">
        <w:rPr>
          <w:sz w:val="24"/>
        </w:rPr>
        <w:t xml:space="preserve"> </w:t>
      </w:r>
    </w:p>
    <w:p w:rsidR="00362EE7" w:rsidRPr="00362EE7" w:rsidRDefault="00362EE7" w:rsidP="00362EE7">
      <w:pPr>
        <w:rPr>
          <w:sz w:val="24"/>
        </w:rPr>
      </w:pPr>
    </w:p>
    <w:p w:rsidR="00362EE7" w:rsidRPr="00362EE7" w:rsidRDefault="00B025BA" w:rsidP="00362EE7">
      <w:pPr>
        <w:rPr>
          <w:sz w:val="24"/>
        </w:rPr>
      </w:pPr>
      <w:r>
        <w:rPr>
          <w:sz w:val="24"/>
        </w:rPr>
        <w:t xml:space="preserve">3.C </w:t>
      </w:r>
      <w:r w:rsidR="00362EE7" w:rsidRPr="00362EE7">
        <w:rPr>
          <w:sz w:val="24"/>
        </w:rPr>
        <w:t>T</w:t>
      </w:r>
      <w:r w:rsidR="00362EE7">
        <w:rPr>
          <w:sz w:val="24"/>
        </w:rPr>
        <w:t xml:space="preserve">he third </w:t>
      </w:r>
      <w:r w:rsidR="00647A36">
        <w:rPr>
          <w:sz w:val="24"/>
        </w:rPr>
        <w:t>sub-</w:t>
      </w:r>
      <w:r w:rsidR="00362EE7">
        <w:rPr>
          <w:sz w:val="24"/>
        </w:rPr>
        <w:t>section of this chapter</w:t>
      </w:r>
      <w:r w:rsidR="00362EE7" w:rsidRPr="00362EE7">
        <w:rPr>
          <w:sz w:val="24"/>
        </w:rPr>
        <w:t xml:space="preserve"> will concern itself with the outlining of Nabataean funerary and religious architecture,</w:t>
      </w:r>
      <w:r w:rsidR="00362EE7" w:rsidRPr="00362EE7">
        <w:rPr>
          <w:sz w:val="24"/>
          <w:vertAlign w:val="superscript"/>
        </w:rPr>
        <w:footnoteReference w:id="21"/>
      </w:r>
      <w:r w:rsidR="00362EE7" w:rsidRPr="00362EE7">
        <w:rPr>
          <w:sz w:val="24"/>
        </w:rPr>
        <w:t xml:space="preserve"> as it manifested itself at Nabataean cultural centres such as Petra,</w:t>
      </w:r>
      <w:r w:rsidR="00362EE7" w:rsidRPr="00362EE7">
        <w:rPr>
          <w:sz w:val="24"/>
          <w:vertAlign w:val="superscript"/>
        </w:rPr>
        <w:footnoteReference w:id="22"/>
      </w:r>
      <w:r w:rsidR="00362EE7" w:rsidRPr="00362EE7">
        <w:rPr>
          <w:sz w:val="24"/>
        </w:rPr>
        <w:t xml:space="preserve"> Bostra,</w:t>
      </w:r>
      <w:r w:rsidR="00362EE7" w:rsidRPr="00362EE7">
        <w:rPr>
          <w:sz w:val="24"/>
          <w:vertAlign w:val="superscript"/>
        </w:rPr>
        <w:footnoteReference w:id="23"/>
      </w:r>
      <w:r w:rsidR="00362EE7" w:rsidRPr="00362EE7">
        <w:rPr>
          <w:sz w:val="24"/>
        </w:rPr>
        <w:t xml:space="preserve"> Khirbet Tannur,</w:t>
      </w:r>
      <w:r w:rsidR="00362EE7" w:rsidRPr="00362EE7">
        <w:rPr>
          <w:sz w:val="24"/>
          <w:vertAlign w:val="superscript"/>
        </w:rPr>
        <w:footnoteReference w:id="24"/>
      </w:r>
      <w:r w:rsidR="00362EE7" w:rsidRPr="00362EE7">
        <w:rPr>
          <w:sz w:val="24"/>
        </w:rPr>
        <w:t xml:space="preserve"> Canatha, Dionysias, Nissana and Avdat.</w:t>
      </w:r>
      <w:r w:rsidR="00362EE7" w:rsidRPr="00362EE7">
        <w:rPr>
          <w:sz w:val="24"/>
          <w:vertAlign w:val="superscript"/>
        </w:rPr>
        <w:footnoteReference w:id="25"/>
      </w:r>
      <w:r w:rsidR="00362EE7" w:rsidRPr="00362EE7">
        <w:rPr>
          <w:sz w:val="24"/>
        </w:rPr>
        <w:t xml:space="preserve"> This chapter will see a main division between different purposes given to the architecture, such as funerary places,</w:t>
      </w:r>
      <w:r w:rsidR="00362EE7" w:rsidRPr="00362EE7">
        <w:rPr>
          <w:sz w:val="24"/>
          <w:vertAlign w:val="superscript"/>
        </w:rPr>
        <w:footnoteReference w:id="26"/>
      </w:r>
      <w:r w:rsidR="00362EE7" w:rsidRPr="00362EE7">
        <w:rPr>
          <w:sz w:val="24"/>
        </w:rPr>
        <w:t>and places of sacrifice and worship to the gods alone.</w:t>
      </w:r>
      <w:r w:rsidR="00362EE7" w:rsidRPr="00362EE7">
        <w:rPr>
          <w:sz w:val="24"/>
          <w:vertAlign w:val="superscript"/>
        </w:rPr>
        <w:footnoteReference w:id="27"/>
      </w:r>
    </w:p>
    <w:p w:rsidR="00362EE7" w:rsidRDefault="00F80433" w:rsidP="00F80433">
      <w:pPr>
        <w:pStyle w:val="berschrift1"/>
      </w:pPr>
      <w:r>
        <w:t>4.0 Cultures and beliefs influencing Nabataean architecture, as well as examples of the innovative architectural results</w:t>
      </w:r>
    </w:p>
    <w:p w:rsidR="00F80433" w:rsidRDefault="00F80433" w:rsidP="00F80433"/>
    <w:p w:rsidR="00EC53F8" w:rsidRDefault="00B025BA" w:rsidP="00F80433">
      <w:pPr>
        <w:rPr>
          <w:sz w:val="24"/>
        </w:rPr>
      </w:pPr>
      <w:r>
        <w:t>4.A</w:t>
      </w:r>
      <w:r w:rsidR="00F80433">
        <w:t xml:space="preserve"> </w:t>
      </w:r>
      <w:r w:rsidR="00EC53F8">
        <w:rPr>
          <w:sz w:val="24"/>
        </w:rPr>
        <w:t xml:space="preserve">This chapter discusses </w:t>
      </w:r>
      <w:r w:rsidR="00F80433" w:rsidRPr="00F80433">
        <w:rPr>
          <w:sz w:val="24"/>
        </w:rPr>
        <w:t xml:space="preserve">the most important cultures </w:t>
      </w:r>
      <w:r w:rsidR="00F80433" w:rsidRPr="00F80433">
        <w:rPr>
          <w:sz w:val="24"/>
          <w:vertAlign w:val="superscript"/>
        </w:rPr>
        <w:footnoteReference w:id="28"/>
      </w:r>
      <w:r w:rsidR="00F80433" w:rsidRPr="00F80433">
        <w:rPr>
          <w:sz w:val="24"/>
        </w:rPr>
        <w:t xml:space="preserve"> influencing Nabatean belief and consequentially architecture, investigating how and why this influence happened in order to discuss the outcome of this</w:t>
      </w:r>
      <w:r w:rsidR="00EC53F8">
        <w:rPr>
          <w:sz w:val="24"/>
        </w:rPr>
        <w:t xml:space="preserve"> change in the following sub-section</w:t>
      </w:r>
      <w:r w:rsidR="00F80433" w:rsidRPr="00F80433">
        <w:rPr>
          <w:sz w:val="24"/>
        </w:rPr>
        <w:t>.</w:t>
      </w:r>
      <w:r w:rsidR="00EC53F8">
        <w:rPr>
          <w:sz w:val="24"/>
        </w:rPr>
        <w:t xml:space="preserve"> It is important to name that many styles were also influenced by each other prior to influencing Nabataean architecture, and it is thus difficult to trace back the origins of each style precisely. </w:t>
      </w:r>
      <w:r w:rsidR="00CE0370">
        <w:rPr>
          <w:sz w:val="24"/>
        </w:rPr>
        <w:t xml:space="preserve">For example, the Nabataeans were heavily influenced by Hellenistic architecture such as the ionic temple structure, but as this happened at a very early stage of Nabatean development as a culture, the end product is often referred to as distinctly Nabatean instead of </w:t>
      </w:r>
      <w:r w:rsidR="00647A36">
        <w:rPr>
          <w:sz w:val="24"/>
        </w:rPr>
        <w:t xml:space="preserve">being </w:t>
      </w:r>
      <w:r w:rsidR="00CE0370">
        <w:rPr>
          <w:sz w:val="24"/>
        </w:rPr>
        <w:t>seen as a Hybrid.</w:t>
      </w:r>
      <w:r w:rsidR="00CE0370">
        <w:rPr>
          <w:rStyle w:val="Funotenzeichen"/>
          <w:sz w:val="24"/>
        </w:rPr>
        <w:footnoteReference w:id="29"/>
      </w:r>
      <w:r w:rsidR="00CE0370">
        <w:rPr>
          <w:sz w:val="24"/>
        </w:rPr>
        <w:t xml:space="preserve"> Other influences happened under Byzantine rule,</w:t>
      </w:r>
      <w:r w:rsidR="00647A36">
        <w:rPr>
          <w:sz w:val="24"/>
        </w:rPr>
        <w:t xml:space="preserve"> in</w:t>
      </w:r>
      <w:r w:rsidR="00CE0370">
        <w:rPr>
          <w:sz w:val="24"/>
        </w:rPr>
        <w:t xml:space="preserve"> earlier </w:t>
      </w:r>
      <w:r w:rsidR="00647A36">
        <w:rPr>
          <w:sz w:val="24"/>
        </w:rPr>
        <w:t xml:space="preserve">times </w:t>
      </w:r>
      <w:r w:rsidR="00CE0370">
        <w:rPr>
          <w:sz w:val="24"/>
        </w:rPr>
        <w:t xml:space="preserve">than the </w:t>
      </w:r>
      <w:r w:rsidR="00647A36">
        <w:rPr>
          <w:sz w:val="24"/>
        </w:rPr>
        <w:t>Nabateans were officially named as a people</w:t>
      </w:r>
      <w:r w:rsidR="00CE0370">
        <w:rPr>
          <w:sz w:val="24"/>
        </w:rPr>
        <w:t>.</w:t>
      </w:r>
      <w:r w:rsidR="00CE0370">
        <w:rPr>
          <w:rStyle w:val="Funotenzeichen"/>
          <w:sz w:val="24"/>
        </w:rPr>
        <w:footnoteReference w:id="30"/>
      </w:r>
    </w:p>
    <w:p w:rsidR="00F80433" w:rsidRPr="00F80433" w:rsidRDefault="00F80433" w:rsidP="00F80433">
      <w:pPr>
        <w:rPr>
          <w:sz w:val="24"/>
        </w:rPr>
      </w:pPr>
      <w:r w:rsidRPr="00F80433">
        <w:rPr>
          <w:sz w:val="24"/>
        </w:rPr>
        <w:t>To name a few</w:t>
      </w:r>
      <w:r w:rsidR="00CE0370">
        <w:rPr>
          <w:sz w:val="24"/>
        </w:rPr>
        <w:t xml:space="preserve"> other influences: Ptolemaic Egypt and Egypt in general through trade,</w:t>
      </w:r>
      <w:r w:rsidRPr="00F80433">
        <w:rPr>
          <w:sz w:val="24"/>
          <w:vertAlign w:val="superscript"/>
        </w:rPr>
        <w:footnoteReference w:id="31"/>
      </w:r>
      <w:r w:rsidRPr="00F80433">
        <w:rPr>
          <w:sz w:val="24"/>
        </w:rPr>
        <w:t xml:space="preserve"> </w:t>
      </w:r>
      <w:r w:rsidR="00CE0370" w:rsidRPr="00F80433">
        <w:rPr>
          <w:sz w:val="24"/>
        </w:rPr>
        <w:t xml:space="preserve"> </w:t>
      </w:r>
      <w:r w:rsidRPr="00F80433">
        <w:rPr>
          <w:sz w:val="24"/>
        </w:rPr>
        <w:t>the Phoenicians, Syrians, Palmyrans</w:t>
      </w:r>
      <w:r w:rsidRPr="00F80433">
        <w:rPr>
          <w:sz w:val="24"/>
          <w:vertAlign w:val="superscript"/>
        </w:rPr>
        <w:footnoteReference w:id="32"/>
      </w:r>
      <w:r w:rsidRPr="00F80433">
        <w:rPr>
          <w:sz w:val="24"/>
        </w:rPr>
        <w:t xml:space="preserve"> and neighbouring Arab tribes.</w:t>
      </w:r>
      <w:r w:rsidRPr="00F80433">
        <w:rPr>
          <w:sz w:val="24"/>
          <w:vertAlign w:val="superscript"/>
        </w:rPr>
        <w:footnoteReference w:id="33"/>
      </w:r>
      <w:r w:rsidRPr="00F80433">
        <w:rPr>
          <w:sz w:val="24"/>
        </w:rPr>
        <w:t xml:space="preserve"> Further impact has been made through trade by the neighbouring Seleucid Empire,</w:t>
      </w:r>
      <w:r w:rsidRPr="00F80433">
        <w:rPr>
          <w:sz w:val="24"/>
          <w:vertAlign w:val="superscript"/>
        </w:rPr>
        <w:footnoteReference w:id="34"/>
      </w:r>
      <w:r w:rsidRPr="00F80433">
        <w:rPr>
          <w:sz w:val="24"/>
        </w:rPr>
        <w:t xml:space="preserve"> Herodian kingdom,</w:t>
      </w:r>
      <w:r w:rsidRPr="00F80433">
        <w:rPr>
          <w:sz w:val="24"/>
          <w:vertAlign w:val="superscript"/>
        </w:rPr>
        <w:footnoteReference w:id="35"/>
      </w:r>
      <w:r w:rsidRPr="00F80433">
        <w:rPr>
          <w:sz w:val="24"/>
        </w:rPr>
        <w:t xml:space="preserve"> and from </w:t>
      </w:r>
      <w:r w:rsidRPr="00F80433">
        <w:rPr>
          <w:sz w:val="24"/>
        </w:rPr>
        <w:lastRenderedPageBreak/>
        <w:t xml:space="preserve">105-106 A.D. onwards by the Romans as Nabataea became part of the Roman province </w:t>
      </w:r>
      <w:r w:rsidRPr="00F80433">
        <w:rPr>
          <w:i/>
          <w:sz w:val="24"/>
        </w:rPr>
        <w:t>Arabia.</w:t>
      </w:r>
      <w:r w:rsidRPr="00F80433">
        <w:rPr>
          <w:i/>
          <w:sz w:val="24"/>
          <w:vertAlign w:val="superscript"/>
        </w:rPr>
        <w:footnoteReference w:id="36"/>
      </w:r>
    </w:p>
    <w:p w:rsidR="00630B66" w:rsidRDefault="00B025BA" w:rsidP="00F80433">
      <w:pPr>
        <w:rPr>
          <w:sz w:val="24"/>
        </w:rPr>
      </w:pPr>
      <w:r>
        <w:t>4.B</w:t>
      </w:r>
      <w:r w:rsidR="00F80433">
        <w:t xml:space="preserve"> </w:t>
      </w:r>
      <w:r w:rsidR="00CC4FE3">
        <w:rPr>
          <w:sz w:val="24"/>
        </w:rPr>
        <w:t>This sub-section</w:t>
      </w:r>
      <w:r w:rsidR="00F80433" w:rsidRPr="00F80433">
        <w:rPr>
          <w:sz w:val="24"/>
        </w:rPr>
        <w:t xml:space="preserve"> sees the actual manifestations of foreign influence in Nabatean</w:t>
      </w:r>
      <w:r w:rsidR="00CC4FE3">
        <w:rPr>
          <w:sz w:val="24"/>
        </w:rPr>
        <w:t xml:space="preserve"> religious architecture, initiated</w:t>
      </w:r>
      <w:r w:rsidR="00F80433" w:rsidRPr="00F80433">
        <w:rPr>
          <w:sz w:val="24"/>
        </w:rPr>
        <w:t xml:space="preserve"> by the extensive exchange</w:t>
      </w:r>
      <w:r w:rsidR="00CC4FE3">
        <w:rPr>
          <w:sz w:val="24"/>
        </w:rPr>
        <w:t xml:space="preserve"> of ideas and materials with other cultures by the means</w:t>
      </w:r>
      <w:r w:rsidR="00F80433" w:rsidRPr="00F80433">
        <w:rPr>
          <w:sz w:val="24"/>
        </w:rPr>
        <w:t xml:space="preserve"> </w:t>
      </w:r>
      <w:r w:rsidR="00F9236B">
        <w:rPr>
          <w:sz w:val="24"/>
        </w:rPr>
        <w:t xml:space="preserve">of </w:t>
      </w:r>
      <w:r w:rsidR="00F80433" w:rsidRPr="00F80433">
        <w:rPr>
          <w:sz w:val="24"/>
        </w:rPr>
        <w:t>nom</w:t>
      </w:r>
      <w:r w:rsidR="00CC4FE3">
        <w:rPr>
          <w:sz w:val="24"/>
        </w:rPr>
        <w:t>adic trade, exchange of peoples</w:t>
      </w:r>
      <w:r w:rsidR="00CC4FE3">
        <w:rPr>
          <w:rStyle w:val="Funotenzeichen"/>
          <w:sz w:val="24"/>
        </w:rPr>
        <w:footnoteReference w:id="37"/>
      </w:r>
      <w:r w:rsidR="00CC4FE3">
        <w:rPr>
          <w:sz w:val="24"/>
        </w:rPr>
        <w:t xml:space="preserve"> </w:t>
      </w:r>
      <w:r w:rsidR="00F80433" w:rsidRPr="00836A4B">
        <w:rPr>
          <w:sz w:val="24"/>
        </w:rPr>
        <w:t xml:space="preserve">and </w:t>
      </w:r>
      <w:r w:rsidR="00630B66">
        <w:rPr>
          <w:sz w:val="24"/>
        </w:rPr>
        <w:t xml:space="preserve"> through military </w:t>
      </w:r>
      <w:r w:rsidR="00F80433" w:rsidRPr="00836A4B">
        <w:rPr>
          <w:sz w:val="24"/>
        </w:rPr>
        <w:t>occupation.</w:t>
      </w:r>
      <w:r w:rsidR="00630B66">
        <w:rPr>
          <w:rStyle w:val="Funotenzeichen"/>
          <w:sz w:val="24"/>
        </w:rPr>
        <w:footnoteReference w:id="38"/>
      </w:r>
      <w:r w:rsidR="00F80433" w:rsidRPr="00836A4B">
        <w:rPr>
          <w:sz w:val="24"/>
        </w:rPr>
        <w:t xml:space="preserve"> </w:t>
      </w:r>
    </w:p>
    <w:p w:rsidR="00F80433" w:rsidRPr="00F80433" w:rsidRDefault="00630B66" w:rsidP="00F80433">
      <w:pPr>
        <w:rPr>
          <w:sz w:val="24"/>
        </w:rPr>
      </w:pPr>
      <w:r>
        <w:rPr>
          <w:sz w:val="24"/>
        </w:rPr>
        <w:t>Some very extensive influences manifested themselves through the cult of Isis at Siq in</w:t>
      </w:r>
      <w:r w:rsidR="00F80433" w:rsidRPr="00F80433">
        <w:rPr>
          <w:sz w:val="24"/>
        </w:rPr>
        <w:t xml:space="preserve"> Petra, as can be seen in the structure of the Khazneh or treasury.</w:t>
      </w:r>
      <w:r w:rsidR="00F80433" w:rsidRPr="00F80433">
        <w:rPr>
          <w:sz w:val="24"/>
          <w:vertAlign w:val="superscript"/>
        </w:rPr>
        <w:footnoteReference w:id="39"/>
      </w:r>
      <w:r w:rsidR="00F80433" w:rsidRPr="00F80433">
        <w:rPr>
          <w:sz w:val="24"/>
        </w:rPr>
        <w:t>Another example would be the carved elephant heads of the Great Temple at Petra, supposedly influenced by trading contacts with India.</w:t>
      </w:r>
      <w:r w:rsidR="00F80433" w:rsidRPr="00F80433">
        <w:rPr>
          <w:sz w:val="24"/>
          <w:vertAlign w:val="superscript"/>
        </w:rPr>
        <w:footnoteReference w:id="40"/>
      </w:r>
      <w:r w:rsidR="00F80433" w:rsidRPr="00F80433">
        <w:rPr>
          <w:sz w:val="24"/>
        </w:rPr>
        <w:t xml:space="preserve">  The rest of the temple is very much in coherence with the Greek ionic tradition.</w:t>
      </w:r>
      <w:r w:rsidR="00F80433" w:rsidRPr="00F80433">
        <w:rPr>
          <w:sz w:val="24"/>
          <w:vertAlign w:val="superscript"/>
        </w:rPr>
        <w:footnoteReference w:id="41"/>
      </w:r>
      <w:r w:rsidR="00F80433" w:rsidRPr="00F80433">
        <w:rPr>
          <w:sz w:val="24"/>
        </w:rPr>
        <w:t xml:space="preserve"> Oth</w:t>
      </w:r>
      <w:r>
        <w:rPr>
          <w:sz w:val="24"/>
        </w:rPr>
        <w:t>er examples include the adoption</w:t>
      </w:r>
      <w:r w:rsidR="00F80433" w:rsidRPr="00F80433">
        <w:rPr>
          <w:sz w:val="24"/>
        </w:rPr>
        <w:t xml:space="preserve"> of anthr</w:t>
      </w:r>
      <w:r w:rsidR="00AD348B">
        <w:rPr>
          <w:sz w:val="24"/>
        </w:rPr>
        <w:t>opomorphic figures for</w:t>
      </w:r>
      <w:r>
        <w:rPr>
          <w:sz w:val="24"/>
        </w:rPr>
        <w:t xml:space="preserve"> representing their deities, such as the odd rectang</w:t>
      </w:r>
      <w:r w:rsidR="001516B7">
        <w:rPr>
          <w:sz w:val="24"/>
        </w:rPr>
        <w:t>ular betyl of Dushara found in W</w:t>
      </w:r>
      <w:r>
        <w:rPr>
          <w:sz w:val="24"/>
        </w:rPr>
        <w:t xml:space="preserve">adi Farasa by Petra, portraying an </w:t>
      </w:r>
      <w:r w:rsidR="001516B7">
        <w:rPr>
          <w:sz w:val="24"/>
        </w:rPr>
        <w:t>encircled</w:t>
      </w:r>
      <w:r>
        <w:rPr>
          <w:sz w:val="24"/>
        </w:rPr>
        <w:t xml:space="preserve"> human head.</w:t>
      </w:r>
      <w:r>
        <w:rPr>
          <w:rStyle w:val="Funotenzeichen"/>
          <w:sz w:val="24"/>
        </w:rPr>
        <w:footnoteReference w:id="42"/>
      </w:r>
    </w:p>
    <w:p w:rsidR="00F80433" w:rsidRDefault="00F80433" w:rsidP="00F80433"/>
    <w:p w:rsidR="00F80433" w:rsidRDefault="00F80433" w:rsidP="00F80433">
      <w:pPr>
        <w:pStyle w:val="berschrift1"/>
      </w:pPr>
      <w:r>
        <w:t>5.0 Conclusion</w:t>
      </w:r>
    </w:p>
    <w:p w:rsidR="00F80433" w:rsidRDefault="00F80433" w:rsidP="00F80433"/>
    <w:p w:rsidR="007162A2" w:rsidRPr="007162A2" w:rsidRDefault="007162A2" w:rsidP="007162A2">
      <w:pPr>
        <w:rPr>
          <w:sz w:val="24"/>
        </w:rPr>
      </w:pPr>
      <w:r w:rsidRPr="007162A2">
        <w:rPr>
          <w:sz w:val="24"/>
        </w:rPr>
        <w:t xml:space="preserve">Finally, the conclusion will combine and summarize any previous discussions regarding influences affecting Nabatean religious and funerary architecture, as well as the extent to which such can be defined as Hybridization or perhaps any of the other terms such as Creolization and Hellenization.  It can surely be said that investigating this matter is important in order to preserve the pre-Islamic cultural heritage of this region and make people more aware of the beauty of this architectural style. </w:t>
      </w:r>
    </w:p>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 w:rsidR="00F80433" w:rsidRDefault="00F80433" w:rsidP="00F80433">
      <w:pPr>
        <w:pStyle w:val="berschrift1"/>
      </w:pPr>
      <w:r>
        <w:t xml:space="preserve">6.0 Bibliography </w:t>
      </w:r>
    </w:p>
    <w:p w:rsidR="00F80433" w:rsidRDefault="00F80433" w:rsidP="00F80433"/>
    <w:p w:rsidR="00F80433" w:rsidRPr="00F80433" w:rsidRDefault="00F80433" w:rsidP="00F80433">
      <w:pPr>
        <w:rPr>
          <w:sz w:val="24"/>
        </w:rPr>
      </w:pPr>
      <w:r w:rsidRPr="00F80433">
        <w:rPr>
          <w:sz w:val="24"/>
        </w:rPr>
        <w:t>Altaweel, M., Squitieri, A.2018.</w:t>
      </w:r>
      <w:r w:rsidRPr="00F80433">
        <w:rPr>
          <w:i/>
          <w:sz w:val="24"/>
        </w:rPr>
        <w:t xml:space="preserve">Revolutionizing a World. </w:t>
      </w:r>
      <w:r w:rsidRPr="00F80433">
        <w:rPr>
          <w:sz w:val="24"/>
        </w:rPr>
        <w:t>UCL Press.</w:t>
      </w:r>
    </w:p>
    <w:p w:rsidR="00F80433" w:rsidRPr="00F80433" w:rsidRDefault="00F80433" w:rsidP="00F80433">
      <w:pPr>
        <w:rPr>
          <w:sz w:val="24"/>
        </w:rPr>
      </w:pPr>
      <w:r w:rsidRPr="00F80433">
        <w:rPr>
          <w:sz w:val="24"/>
        </w:rPr>
        <w:t xml:space="preserve">Bass, W.2015. </w:t>
      </w:r>
      <w:r w:rsidRPr="00F80433">
        <w:rPr>
          <w:i/>
          <w:sz w:val="24"/>
        </w:rPr>
        <w:t xml:space="preserve">A surprise out of Zion?: Case studies in Israel’s Decisions on whether to Alert the United States to pre-emptive and preventive strikes, from Suez to the Syrian Nuclear Reactor. </w:t>
      </w:r>
      <w:r w:rsidRPr="00F80433">
        <w:rPr>
          <w:sz w:val="24"/>
        </w:rPr>
        <w:t>RAND Corporation.</w:t>
      </w:r>
    </w:p>
    <w:p w:rsidR="00F80433" w:rsidRPr="00F80433" w:rsidRDefault="00F80433" w:rsidP="00F80433">
      <w:pPr>
        <w:rPr>
          <w:sz w:val="24"/>
        </w:rPr>
      </w:pPr>
      <w:r w:rsidRPr="00F80433">
        <w:rPr>
          <w:sz w:val="24"/>
        </w:rPr>
        <w:t>Bradley</w:t>
      </w:r>
      <w:r w:rsidR="00CA0586" w:rsidRPr="00F80433">
        <w:rPr>
          <w:sz w:val="24"/>
        </w:rPr>
        <w:t>, R.2004</w:t>
      </w:r>
      <w:r w:rsidRPr="00F80433">
        <w:rPr>
          <w:sz w:val="24"/>
        </w:rPr>
        <w:t xml:space="preserve">.’ Domestication, Sedentism, Property and Time: Materiality and the Beginnings of Agriculture in Northern Europe’, in E. DeMarrais, C. Gosden and C.Renfrew (eds.), </w:t>
      </w:r>
      <w:r w:rsidRPr="00F80433">
        <w:rPr>
          <w:i/>
          <w:sz w:val="24"/>
        </w:rPr>
        <w:t>Rethinking materiality: the engagement of mind with the material world.</w:t>
      </w:r>
      <w:r w:rsidRPr="00F80433">
        <w:rPr>
          <w:sz w:val="24"/>
        </w:rPr>
        <w:t xml:space="preserve"> Oxford: McDonald Institute for Archaeological research, 107-116.</w:t>
      </w:r>
    </w:p>
    <w:p w:rsidR="00F80433" w:rsidRDefault="00F80433" w:rsidP="00F80433">
      <w:pPr>
        <w:rPr>
          <w:sz w:val="24"/>
        </w:rPr>
      </w:pPr>
      <w:r w:rsidRPr="00F80433">
        <w:rPr>
          <w:sz w:val="24"/>
        </w:rPr>
        <w:t>Cohen</w:t>
      </w:r>
      <w:r w:rsidR="00CA0586" w:rsidRPr="00F80433">
        <w:rPr>
          <w:sz w:val="24"/>
        </w:rPr>
        <w:t>, G.M.1972</w:t>
      </w:r>
      <w:r w:rsidRPr="00F80433">
        <w:rPr>
          <w:sz w:val="24"/>
        </w:rPr>
        <w:t xml:space="preserve">. ‘The Hellenistic Military Colony: A Herodian Example’, </w:t>
      </w:r>
      <w:r w:rsidRPr="00F80433">
        <w:rPr>
          <w:i/>
          <w:sz w:val="24"/>
        </w:rPr>
        <w:t>Transactions and Proceedings of the American Philological Association,</w:t>
      </w:r>
      <w:r w:rsidRPr="00F80433">
        <w:rPr>
          <w:sz w:val="24"/>
        </w:rPr>
        <w:t xml:space="preserve"> 103.83-95.</w:t>
      </w:r>
    </w:p>
    <w:p w:rsidR="006B268A" w:rsidRPr="00F80433" w:rsidRDefault="006B268A" w:rsidP="00F80433">
      <w:pPr>
        <w:rPr>
          <w:sz w:val="24"/>
        </w:rPr>
      </w:pPr>
      <w:r w:rsidRPr="006B268A">
        <w:rPr>
          <w:sz w:val="24"/>
          <w:lang w:val="de-DE"/>
        </w:rPr>
        <w:t xml:space="preserve">Decker, M. 2007. </w:t>
      </w:r>
      <w:r w:rsidRPr="006B268A">
        <w:rPr>
          <w:sz w:val="24"/>
        </w:rPr>
        <w:t>‘</w:t>
      </w:r>
      <w:r>
        <w:rPr>
          <w:sz w:val="24"/>
        </w:rPr>
        <w:t>Frontier Settlement and E</w:t>
      </w:r>
      <w:r w:rsidRPr="006B268A">
        <w:rPr>
          <w:sz w:val="24"/>
        </w:rPr>
        <w:t>conomy in the Byzantine</w:t>
      </w:r>
      <w:r>
        <w:rPr>
          <w:sz w:val="24"/>
        </w:rPr>
        <w:t xml:space="preserve"> East’, </w:t>
      </w:r>
      <w:r>
        <w:rPr>
          <w:i/>
          <w:sz w:val="24"/>
        </w:rPr>
        <w:t xml:space="preserve">Dumbarton Oaks Papers, </w:t>
      </w:r>
      <w:r>
        <w:rPr>
          <w:sz w:val="24"/>
        </w:rPr>
        <w:t>61. 217-267.</w:t>
      </w:r>
    </w:p>
    <w:p w:rsidR="00F80433" w:rsidRPr="00F80433" w:rsidRDefault="00F80433" w:rsidP="00F80433">
      <w:pPr>
        <w:rPr>
          <w:sz w:val="24"/>
        </w:rPr>
      </w:pPr>
      <w:r w:rsidRPr="00F80433">
        <w:rPr>
          <w:sz w:val="24"/>
        </w:rPr>
        <w:t xml:space="preserve">Gamble, C.2004. ‘Materiality and Symbolic Force: A Palaeolithic View of Sedentism’, in E. DeMarrais, C. Gosden and C.Renfrew (eds.), </w:t>
      </w:r>
      <w:r w:rsidRPr="00F80433">
        <w:rPr>
          <w:i/>
          <w:sz w:val="24"/>
        </w:rPr>
        <w:t>Rethinking materiality: the engagement of mind with the material world.</w:t>
      </w:r>
      <w:r w:rsidRPr="00F80433">
        <w:rPr>
          <w:sz w:val="24"/>
        </w:rPr>
        <w:t xml:space="preserve"> Oxford: McDonald Institute for Archaeological research, 85-96.</w:t>
      </w:r>
    </w:p>
    <w:p w:rsidR="00F80433" w:rsidRPr="00F80433" w:rsidRDefault="00F80433" w:rsidP="00F80433">
      <w:pPr>
        <w:rPr>
          <w:sz w:val="24"/>
        </w:rPr>
      </w:pPr>
      <w:r w:rsidRPr="00F80433">
        <w:rPr>
          <w:sz w:val="24"/>
        </w:rPr>
        <w:t xml:space="preserve">Joukowsky, M.S.2002. ‘The Petra Great Temple: A Nabataean Architectural Miracle’, </w:t>
      </w:r>
      <w:r w:rsidRPr="00F80433">
        <w:rPr>
          <w:i/>
          <w:sz w:val="24"/>
        </w:rPr>
        <w:t>Near Eastern Archaeology,</w:t>
      </w:r>
      <w:r w:rsidRPr="00F80433">
        <w:rPr>
          <w:sz w:val="24"/>
        </w:rPr>
        <w:t xml:space="preserve"> 65. 4, December, 235-248.</w:t>
      </w:r>
    </w:p>
    <w:p w:rsidR="00F80433" w:rsidRPr="00F80433" w:rsidRDefault="00F80433" w:rsidP="00F80433">
      <w:pPr>
        <w:rPr>
          <w:i/>
          <w:sz w:val="24"/>
        </w:rPr>
      </w:pPr>
      <w:r w:rsidRPr="00F80433">
        <w:rPr>
          <w:sz w:val="24"/>
        </w:rPr>
        <w:t>Murray,M.</w:t>
      </w:r>
      <w:r w:rsidR="00CA0586">
        <w:rPr>
          <w:sz w:val="24"/>
        </w:rPr>
        <w:t xml:space="preserve"> </w:t>
      </w:r>
      <w:r w:rsidRPr="00F80433">
        <w:rPr>
          <w:sz w:val="24"/>
        </w:rPr>
        <w:t xml:space="preserve">1989. </w:t>
      </w:r>
      <w:r w:rsidRPr="00F80433">
        <w:rPr>
          <w:i/>
          <w:sz w:val="24"/>
        </w:rPr>
        <w:t xml:space="preserve">Religion and the Nomadic Lifestyle: The Nabataeans. </w:t>
      </w:r>
      <w:r w:rsidRPr="00F80433">
        <w:rPr>
          <w:sz w:val="24"/>
        </w:rPr>
        <w:t>Quebec: Bishop’s University Press.</w:t>
      </w:r>
      <w:r w:rsidRPr="00F80433">
        <w:rPr>
          <w:i/>
          <w:sz w:val="24"/>
        </w:rPr>
        <w:t xml:space="preserve"> </w:t>
      </w:r>
    </w:p>
    <w:p w:rsidR="00F80433" w:rsidRPr="00F80433" w:rsidRDefault="00F80433" w:rsidP="00F80433">
      <w:pPr>
        <w:rPr>
          <w:sz w:val="24"/>
        </w:rPr>
      </w:pPr>
      <w:r w:rsidRPr="00F80433">
        <w:rPr>
          <w:sz w:val="24"/>
        </w:rPr>
        <w:t xml:space="preserve">Paradise, T., Angel, C. 2015. </w:t>
      </w:r>
      <w:r w:rsidRPr="00F80433">
        <w:rPr>
          <w:i/>
          <w:sz w:val="24"/>
        </w:rPr>
        <w:t>Nabataean Architecture and the Sun.</w:t>
      </w:r>
      <w:r w:rsidRPr="00F80433">
        <w:rPr>
          <w:sz w:val="24"/>
        </w:rPr>
        <w:t xml:space="preserve"> University of Arkansas.</w:t>
      </w:r>
    </w:p>
    <w:p w:rsidR="00F80433" w:rsidRPr="00F80433" w:rsidRDefault="00F80433" w:rsidP="00F80433">
      <w:pPr>
        <w:rPr>
          <w:sz w:val="24"/>
        </w:rPr>
      </w:pPr>
      <w:r w:rsidRPr="00F80433">
        <w:rPr>
          <w:sz w:val="24"/>
        </w:rPr>
        <w:t xml:space="preserve">Perry,M.A. 2002.’ Life and Death in Nabataea: The North Ridge Tombs and Nabataean Burial Practices’, </w:t>
      </w:r>
      <w:r w:rsidRPr="00F80433">
        <w:rPr>
          <w:i/>
          <w:sz w:val="24"/>
        </w:rPr>
        <w:t xml:space="preserve">Near Eastern Archaeology, </w:t>
      </w:r>
      <w:r w:rsidRPr="00F80433">
        <w:rPr>
          <w:sz w:val="24"/>
        </w:rPr>
        <w:t>65.4, December, 265-270.</w:t>
      </w:r>
    </w:p>
    <w:p w:rsidR="00F80433" w:rsidRPr="00F80433" w:rsidRDefault="00F80433" w:rsidP="00F80433">
      <w:pPr>
        <w:rPr>
          <w:sz w:val="24"/>
        </w:rPr>
      </w:pPr>
      <w:r w:rsidRPr="00F80433">
        <w:rPr>
          <w:sz w:val="24"/>
        </w:rPr>
        <w:t xml:space="preserve">Shimoff, S.R. 1996. ‘Banquets: The limits of Hellenization’, </w:t>
      </w:r>
      <w:r w:rsidRPr="00F80433">
        <w:rPr>
          <w:i/>
          <w:sz w:val="24"/>
        </w:rPr>
        <w:t xml:space="preserve">Journal for the Study of Judaism in the Persian, Hellenistic, and Roman Period, </w:t>
      </w:r>
      <w:r w:rsidRPr="00F80433">
        <w:rPr>
          <w:sz w:val="24"/>
        </w:rPr>
        <w:t>27.4, November, 440-452.</w:t>
      </w:r>
    </w:p>
    <w:p w:rsidR="00F80433" w:rsidRPr="00F80433" w:rsidRDefault="00F80433" w:rsidP="00F80433">
      <w:pPr>
        <w:rPr>
          <w:sz w:val="24"/>
        </w:rPr>
      </w:pPr>
      <w:r w:rsidRPr="00F80433">
        <w:rPr>
          <w:sz w:val="24"/>
        </w:rPr>
        <w:t>Tarn, W.W. 1929. ‘Ptolemy II and Arabia’</w:t>
      </w:r>
      <w:r w:rsidR="00FB2B89">
        <w:rPr>
          <w:sz w:val="24"/>
        </w:rPr>
        <w:t>,</w:t>
      </w:r>
      <w:r w:rsidRPr="00F80433">
        <w:rPr>
          <w:i/>
          <w:sz w:val="24"/>
        </w:rPr>
        <w:t>The Journal of Egyptian Archaeology,</w:t>
      </w:r>
      <w:r w:rsidR="00FB2B89">
        <w:rPr>
          <w:i/>
          <w:sz w:val="24"/>
        </w:rPr>
        <w:t xml:space="preserve"> </w:t>
      </w:r>
      <w:r w:rsidRPr="00F80433">
        <w:rPr>
          <w:sz w:val="24"/>
        </w:rPr>
        <w:t>15. 2, May,</w:t>
      </w:r>
      <w:r w:rsidR="00FB2B89">
        <w:rPr>
          <w:sz w:val="24"/>
        </w:rPr>
        <w:t xml:space="preserve"> </w:t>
      </w:r>
      <w:r w:rsidRPr="00F80433">
        <w:rPr>
          <w:sz w:val="24"/>
        </w:rPr>
        <w:t>9-25.</w:t>
      </w:r>
    </w:p>
    <w:p w:rsidR="00F80433" w:rsidRPr="00F80433" w:rsidRDefault="00F80433" w:rsidP="00F80433">
      <w:pPr>
        <w:rPr>
          <w:sz w:val="24"/>
          <w:szCs w:val="24"/>
          <w:lang w:val="en-NZ"/>
        </w:rPr>
      </w:pPr>
      <w:r w:rsidRPr="00F80433">
        <w:rPr>
          <w:rFonts w:eastAsia="Times New Roman" w:cs="Times New Roman"/>
          <w:bCs/>
          <w:kern w:val="36"/>
          <w:sz w:val="24"/>
          <w:szCs w:val="24"/>
          <w:lang w:val="en-NZ" w:eastAsia="de-DE"/>
        </w:rPr>
        <w:t xml:space="preserve">Teixidor, J. 2015. </w:t>
      </w:r>
      <w:r w:rsidRPr="00F80433">
        <w:rPr>
          <w:rFonts w:eastAsia="Times New Roman" w:cs="Times New Roman"/>
          <w:bCs/>
          <w:i/>
          <w:kern w:val="36"/>
          <w:sz w:val="24"/>
          <w:szCs w:val="24"/>
          <w:lang w:val="en-NZ" w:eastAsia="de-DE"/>
        </w:rPr>
        <w:t>The Pagan God: Popular Reli</w:t>
      </w:r>
      <w:bookmarkStart w:id="0" w:name="_GoBack"/>
      <w:bookmarkEnd w:id="0"/>
      <w:r w:rsidRPr="00F80433">
        <w:rPr>
          <w:rFonts w:eastAsia="Times New Roman" w:cs="Times New Roman"/>
          <w:bCs/>
          <w:i/>
          <w:kern w:val="36"/>
          <w:sz w:val="24"/>
          <w:szCs w:val="24"/>
          <w:lang w:val="en-NZ" w:eastAsia="de-DE"/>
        </w:rPr>
        <w:t xml:space="preserve">gion in the Greco-Roman Near East. </w:t>
      </w:r>
      <w:r w:rsidRPr="00F80433">
        <w:rPr>
          <w:rFonts w:eastAsia="Times New Roman" w:cs="Times New Roman"/>
          <w:bCs/>
          <w:kern w:val="36"/>
          <w:sz w:val="24"/>
          <w:szCs w:val="24"/>
          <w:lang w:val="en-NZ" w:eastAsia="de-DE"/>
        </w:rPr>
        <w:t xml:space="preserve">Princeton: Princeton University Press. </w:t>
      </w:r>
    </w:p>
    <w:p w:rsidR="00F80433" w:rsidRPr="00F80433" w:rsidRDefault="00F80433" w:rsidP="00F80433">
      <w:pPr>
        <w:rPr>
          <w:sz w:val="24"/>
        </w:rPr>
      </w:pPr>
      <w:r w:rsidRPr="00F80433">
        <w:rPr>
          <w:sz w:val="24"/>
        </w:rPr>
        <w:t>Webster,J. 2001. ‘Creolizing the Roman provinces’,</w:t>
      </w:r>
      <w:r w:rsidRPr="00F80433">
        <w:rPr>
          <w:i/>
          <w:sz w:val="24"/>
        </w:rPr>
        <w:t xml:space="preserve"> American Journal of Archaeology,</w:t>
      </w:r>
      <w:r w:rsidRPr="00F80433">
        <w:rPr>
          <w:sz w:val="24"/>
        </w:rPr>
        <w:t xml:space="preserve"> 105.2,</w:t>
      </w:r>
      <w:r w:rsidR="00CA0586">
        <w:rPr>
          <w:sz w:val="24"/>
        </w:rPr>
        <w:t xml:space="preserve"> </w:t>
      </w:r>
      <w:r w:rsidRPr="00F80433">
        <w:rPr>
          <w:sz w:val="24"/>
        </w:rPr>
        <w:t>April, 209-225.</w:t>
      </w:r>
    </w:p>
    <w:p w:rsidR="00F80433" w:rsidRPr="00F80433" w:rsidRDefault="00F80433" w:rsidP="00F80433"/>
    <w:p w:rsidR="00353FA1" w:rsidRDefault="00353FA1"/>
    <w:sectPr w:rsidR="00353FA1">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0F03" w:rsidRDefault="00F10F03" w:rsidP="00353FA1">
      <w:pPr>
        <w:spacing w:after="0" w:line="240" w:lineRule="auto"/>
      </w:pPr>
      <w:r>
        <w:separator/>
      </w:r>
    </w:p>
  </w:endnote>
  <w:endnote w:type="continuationSeparator" w:id="0">
    <w:p w:rsidR="00F10F03" w:rsidRDefault="00F10F03" w:rsidP="00353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0F03" w:rsidRDefault="00F10F03" w:rsidP="00353FA1">
      <w:pPr>
        <w:spacing w:after="0" w:line="240" w:lineRule="auto"/>
      </w:pPr>
      <w:r>
        <w:separator/>
      </w:r>
    </w:p>
  </w:footnote>
  <w:footnote w:type="continuationSeparator" w:id="0">
    <w:p w:rsidR="00F10F03" w:rsidRDefault="00F10F03" w:rsidP="00353FA1">
      <w:pPr>
        <w:spacing w:after="0" w:line="240" w:lineRule="auto"/>
      </w:pPr>
      <w:r>
        <w:continuationSeparator/>
      </w:r>
    </w:p>
  </w:footnote>
  <w:footnote w:id="1">
    <w:p w:rsidR="00353FA1" w:rsidRPr="00187478" w:rsidRDefault="00353FA1" w:rsidP="00353FA1">
      <w:pPr>
        <w:pStyle w:val="Funotentext"/>
      </w:pPr>
      <w:r>
        <w:rPr>
          <w:rStyle w:val="Funotenzeichen"/>
        </w:rPr>
        <w:footnoteRef/>
      </w:r>
      <w:r>
        <w:t xml:space="preserve"> </w:t>
      </w:r>
      <w:r w:rsidRPr="00DF06B7">
        <w:t>Teixidor 1977:83-84</w:t>
      </w:r>
    </w:p>
  </w:footnote>
  <w:footnote w:id="2">
    <w:p w:rsidR="00353FA1" w:rsidRPr="00353FA1" w:rsidRDefault="00353FA1" w:rsidP="00353FA1">
      <w:pPr>
        <w:pStyle w:val="Funotentext"/>
      </w:pPr>
      <w:r w:rsidRPr="00187478">
        <w:rPr>
          <w:rStyle w:val="Funotenzeichen"/>
        </w:rPr>
        <w:footnoteRef/>
      </w:r>
      <w:r w:rsidRPr="00187478">
        <w:t xml:space="preserve"> Teixidor</w:t>
      </w:r>
      <w:r w:rsidRPr="00015B16">
        <w:t xml:space="preserve"> 1977:82</w:t>
      </w:r>
    </w:p>
  </w:footnote>
  <w:footnote w:id="3">
    <w:p w:rsidR="00837CE7" w:rsidRPr="00837CE7" w:rsidRDefault="00837CE7">
      <w:pPr>
        <w:pStyle w:val="Funotentext"/>
        <w:rPr>
          <w:lang w:val="de-DE"/>
        </w:rPr>
      </w:pPr>
      <w:r>
        <w:rPr>
          <w:rStyle w:val="Funotenzeichen"/>
        </w:rPr>
        <w:footnoteRef/>
      </w:r>
      <w:r>
        <w:t xml:space="preserve"> </w:t>
      </w:r>
      <w:r>
        <w:rPr>
          <w:lang w:val="de-DE"/>
        </w:rPr>
        <w:t>Teixidor 1977:77-84</w:t>
      </w:r>
    </w:p>
  </w:footnote>
  <w:footnote w:id="4">
    <w:p w:rsidR="00353FA1" w:rsidRPr="00187478" w:rsidRDefault="00353FA1" w:rsidP="00353FA1">
      <w:pPr>
        <w:pStyle w:val="Funotentext"/>
      </w:pPr>
      <w:r>
        <w:rPr>
          <w:rStyle w:val="Funotenzeichen"/>
        </w:rPr>
        <w:footnoteRef/>
      </w:r>
      <w:r>
        <w:t xml:space="preserve"> Teixidor 1977:77-84</w:t>
      </w:r>
    </w:p>
  </w:footnote>
  <w:footnote w:id="5">
    <w:p w:rsidR="00353FA1" w:rsidRPr="00187478" w:rsidRDefault="00353FA1" w:rsidP="00353FA1">
      <w:pPr>
        <w:pStyle w:val="Funotentext"/>
      </w:pPr>
      <w:r>
        <w:rPr>
          <w:rStyle w:val="Funotenzeichen"/>
        </w:rPr>
        <w:footnoteRef/>
      </w:r>
      <w:r>
        <w:t xml:space="preserve"> </w:t>
      </w:r>
      <w:r w:rsidRPr="00187478">
        <w:t>Murray 1989:215</w:t>
      </w:r>
    </w:p>
  </w:footnote>
  <w:footnote w:id="6">
    <w:p w:rsidR="00353FA1" w:rsidRPr="00353FA1" w:rsidRDefault="00353FA1">
      <w:pPr>
        <w:pStyle w:val="Funotentext"/>
        <w:rPr>
          <w:lang w:val="de-DE"/>
        </w:rPr>
      </w:pPr>
      <w:r>
        <w:rPr>
          <w:rStyle w:val="Funotenzeichen"/>
        </w:rPr>
        <w:footnoteRef/>
      </w:r>
      <w:r>
        <w:t xml:space="preserve"> </w:t>
      </w:r>
      <w:r>
        <w:t>Bass 2015:15-26</w:t>
      </w:r>
    </w:p>
  </w:footnote>
  <w:footnote w:id="7">
    <w:p w:rsidR="00836DA8" w:rsidRPr="001D5A0B" w:rsidRDefault="00836DA8" w:rsidP="00836DA8">
      <w:pPr>
        <w:pStyle w:val="Funotentext"/>
      </w:pPr>
      <w:r>
        <w:rPr>
          <w:rStyle w:val="Funotenzeichen"/>
        </w:rPr>
        <w:footnoteRef/>
      </w:r>
      <w:r>
        <w:t xml:space="preserve"> </w:t>
      </w:r>
      <w:r w:rsidRPr="001D5A0B">
        <w:t>Altaweel and Squitieri 2018:179-181</w:t>
      </w:r>
    </w:p>
  </w:footnote>
  <w:footnote w:id="8">
    <w:p w:rsidR="00836DA8" w:rsidRPr="001D5A0B" w:rsidRDefault="00836DA8" w:rsidP="00836DA8">
      <w:pPr>
        <w:pStyle w:val="Funotentext"/>
      </w:pPr>
      <w:r>
        <w:rPr>
          <w:rStyle w:val="Funotenzeichen"/>
        </w:rPr>
        <w:footnoteRef/>
      </w:r>
      <w:r>
        <w:t xml:space="preserve"> </w:t>
      </w:r>
      <w:r w:rsidRPr="001D5A0B">
        <w:t>Webster 2001:209-213,216-219 and Shimoff 1996:440-452</w:t>
      </w:r>
    </w:p>
  </w:footnote>
  <w:footnote w:id="9">
    <w:p w:rsidR="00836DA8" w:rsidRPr="00187478" w:rsidRDefault="00836DA8" w:rsidP="00836DA8">
      <w:pPr>
        <w:pStyle w:val="Funotentext"/>
      </w:pPr>
      <w:r>
        <w:rPr>
          <w:rStyle w:val="Funotenzeichen"/>
        </w:rPr>
        <w:footnoteRef/>
      </w:r>
      <w:r>
        <w:t xml:space="preserve"> </w:t>
      </w:r>
      <w:r w:rsidRPr="00187478">
        <w:t>Gamble 2004:85-93 and Bradley 2004:107-113</w:t>
      </w:r>
    </w:p>
  </w:footnote>
  <w:footnote w:id="10">
    <w:p w:rsidR="00362EE7" w:rsidRPr="00187478" w:rsidRDefault="00362EE7" w:rsidP="00362EE7">
      <w:pPr>
        <w:pStyle w:val="Funotentext"/>
      </w:pPr>
      <w:r>
        <w:rPr>
          <w:rStyle w:val="Funotenzeichen"/>
        </w:rPr>
        <w:footnoteRef/>
      </w:r>
      <w:r>
        <w:t xml:space="preserve"> Teixidor 1977:76</w:t>
      </w:r>
    </w:p>
  </w:footnote>
  <w:footnote w:id="11">
    <w:p w:rsidR="00362EE7" w:rsidRPr="00187478" w:rsidRDefault="00362EE7" w:rsidP="00362EE7">
      <w:pPr>
        <w:pStyle w:val="Funotentext"/>
      </w:pPr>
      <w:r>
        <w:rPr>
          <w:rStyle w:val="Funotenzeichen"/>
        </w:rPr>
        <w:footnoteRef/>
      </w:r>
      <w:r>
        <w:t xml:space="preserve"> </w:t>
      </w:r>
      <w:r w:rsidRPr="00187478">
        <w:t>Teixidor 1977:76-94</w:t>
      </w:r>
    </w:p>
  </w:footnote>
  <w:footnote w:id="12">
    <w:p w:rsidR="00362EE7" w:rsidRPr="00E72AD6" w:rsidRDefault="00362EE7" w:rsidP="00362EE7">
      <w:pPr>
        <w:pStyle w:val="Funotentext"/>
      </w:pPr>
      <w:r>
        <w:rPr>
          <w:rStyle w:val="Funotenzeichen"/>
        </w:rPr>
        <w:footnoteRef/>
      </w:r>
      <w:r>
        <w:t xml:space="preserve"> </w:t>
      </w:r>
      <w:r w:rsidRPr="00187478">
        <w:t>Teixidor 1977:84,93</w:t>
      </w:r>
    </w:p>
  </w:footnote>
  <w:footnote w:id="13">
    <w:p w:rsidR="00362EE7" w:rsidRPr="00187478" w:rsidRDefault="00362EE7" w:rsidP="00362EE7">
      <w:pPr>
        <w:pStyle w:val="Funotentext"/>
      </w:pPr>
      <w:r>
        <w:rPr>
          <w:rStyle w:val="Funotenzeichen"/>
        </w:rPr>
        <w:footnoteRef/>
      </w:r>
      <w:r>
        <w:t xml:space="preserve"> </w:t>
      </w:r>
      <w:r w:rsidRPr="00187478">
        <w:t>Teixidor 1977:84-85</w:t>
      </w:r>
    </w:p>
  </w:footnote>
  <w:footnote w:id="14">
    <w:p w:rsidR="00362EE7" w:rsidRPr="00187478" w:rsidRDefault="00362EE7" w:rsidP="00362EE7">
      <w:pPr>
        <w:pStyle w:val="Funotentext"/>
      </w:pPr>
      <w:r>
        <w:rPr>
          <w:rStyle w:val="Funotenzeichen"/>
        </w:rPr>
        <w:footnoteRef/>
      </w:r>
      <w:r>
        <w:t xml:space="preserve"> </w:t>
      </w:r>
      <w:r w:rsidRPr="00187478">
        <w:t>Murray 1989:220-221</w:t>
      </w:r>
    </w:p>
  </w:footnote>
  <w:footnote w:id="15">
    <w:p w:rsidR="00362EE7" w:rsidRPr="00187478" w:rsidRDefault="00362EE7" w:rsidP="00362EE7">
      <w:pPr>
        <w:pStyle w:val="Funotentext"/>
      </w:pPr>
      <w:r>
        <w:rPr>
          <w:rStyle w:val="Funotenzeichen"/>
        </w:rPr>
        <w:footnoteRef/>
      </w:r>
      <w:r>
        <w:t xml:space="preserve"> </w:t>
      </w:r>
      <w:r w:rsidRPr="00187478">
        <w:t>Teixidor 1977:91</w:t>
      </w:r>
    </w:p>
  </w:footnote>
  <w:footnote w:id="16">
    <w:p w:rsidR="00362EE7" w:rsidRPr="00187478" w:rsidRDefault="00362EE7" w:rsidP="00362EE7">
      <w:pPr>
        <w:pStyle w:val="Funotentext"/>
      </w:pPr>
      <w:r>
        <w:rPr>
          <w:rStyle w:val="Funotenzeichen"/>
        </w:rPr>
        <w:footnoteRef/>
      </w:r>
      <w:r>
        <w:t xml:space="preserve"> </w:t>
      </w:r>
      <w:r w:rsidRPr="00187478">
        <w:t>Teixidor 1977:79-85</w:t>
      </w:r>
    </w:p>
  </w:footnote>
  <w:footnote w:id="17">
    <w:p w:rsidR="00362EE7" w:rsidRPr="00187478" w:rsidRDefault="00362EE7" w:rsidP="00362EE7">
      <w:pPr>
        <w:pStyle w:val="Funotentext"/>
      </w:pPr>
      <w:r>
        <w:rPr>
          <w:rStyle w:val="Funotenzeichen"/>
        </w:rPr>
        <w:footnoteRef/>
      </w:r>
      <w:r>
        <w:t xml:space="preserve"> </w:t>
      </w:r>
      <w:r w:rsidRPr="00187478">
        <w:t>Teixidor 1977:85-87</w:t>
      </w:r>
    </w:p>
  </w:footnote>
  <w:footnote w:id="18">
    <w:p w:rsidR="00362EE7" w:rsidRPr="00187478" w:rsidRDefault="00362EE7" w:rsidP="00362EE7">
      <w:pPr>
        <w:pStyle w:val="Funotentext"/>
      </w:pPr>
      <w:r>
        <w:rPr>
          <w:rStyle w:val="Funotenzeichen"/>
        </w:rPr>
        <w:footnoteRef/>
      </w:r>
      <w:r>
        <w:t xml:space="preserve"> </w:t>
      </w:r>
      <w:r w:rsidRPr="00187478">
        <w:t>Teixidor 1977:87</w:t>
      </w:r>
    </w:p>
  </w:footnote>
  <w:footnote w:id="19">
    <w:p w:rsidR="00362EE7" w:rsidRPr="00187478" w:rsidRDefault="00362EE7" w:rsidP="00362EE7">
      <w:pPr>
        <w:pStyle w:val="Funotentext"/>
      </w:pPr>
      <w:r>
        <w:rPr>
          <w:rStyle w:val="Funotenzeichen"/>
        </w:rPr>
        <w:footnoteRef/>
      </w:r>
      <w:r>
        <w:t xml:space="preserve"> </w:t>
      </w:r>
      <w:r w:rsidRPr="00187478">
        <w:t>Murray 1989:221-222</w:t>
      </w:r>
    </w:p>
  </w:footnote>
  <w:footnote w:id="20">
    <w:p w:rsidR="00362EE7" w:rsidRPr="00187478" w:rsidRDefault="00362EE7" w:rsidP="00362EE7">
      <w:pPr>
        <w:pStyle w:val="Funotentext"/>
      </w:pPr>
      <w:r>
        <w:rPr>
          <w:rStyle w:val="Funotenzeichen"/>
        </w:rPr>
        <w:footnoteRef/>
      </w:r>
      <w:r>
        <w:t xml:space="preserve"> </w:t>
      </w:r>
      <w:r w:rsidRPr="00187478">
        <w:t>Murray 1989:223-224</w:t>
      </w:r>
    </w:p>
  </w:footnote>
  <w:footnote w:id="21">
    <w:p w:rsidR="00362EE7" w:rsidRPr="004107A3" w:rsidRDefault="00362EE7" w:rsidP="00362EE7">
      <w:pPr>
        <w:pStyle w:val="Funotentext"/>
      </w:pPr>
      <w:r>
        <w:rPr>
          <w:rStyle w:val="Funotenzeichen"/>
        </w:rPr>
        <w:footnoteRef/>
      </w:r>
      <w:r>
        <w:t xml:space="preserve"> </w:t>
      </w:r>
      <w:r w:rsidRPr="004107A3">
        <w:t>Paradise and Angel 2015:17-19 and Perry 2002:</w:t>
      </w:r>
      <w:r>
        <w:t>265-270</w:t>
      </w:r>
    </w:p>
  </w:footnote>
  <w:footnote w:id="22">
    <w:p w:rsidR="00362EE7" w:rsidRPr="001D5A0B" w:rsidRDefault="00362EE7" w:rsidP="00362EE7">
      <w:pPr>
        <w:pStyle w:val="Funotentext"/>
      </w:pPr>
      <w:r>
        <w:rPr>
          <w:rStyle w:val="Funotenzeichen"/>
        </w:rPr>
        <w:footnoteRef/>
      </w:r>
      <w:r>
        <w:t xml:space="preserve"> Joukowsky 2002:235-248</w:t>
      </w:r>
    </w:p>
  </w:footnote>
  <w:footnote w:id="23">
    <w:p w:rsidR="00362EE7" w:rsidRPr="00371957" w:rsidRDefault="00362EE7" w:rsidP="00362EE7">
      <w:pPr>
        <w:pStyle w:val="Funotentext"/>
      </w:pPr>
      <w:r>
        <w:rPr>
          <w:rStyle w:val="Funotenzeichen"/>
        </w:rPr>
        <w:footnoteRef/>
      </w:r>
      <w:r>
        <w:t xml:space="preserve"> </w:t>
      </w:r>
      <w:r w:rsidRPr="00371957">
        <w:t>Teixidor 1977:82,</w:t>
      </w:r>
    </w:p>
  </w:footnote>
  <w:footnote w:id="24">
    <w:p w:rsidR="00362EE7" w:rsidRPr="001D5A0B" w:rsidRDefault="00362EE7" w:rsidP="00362EE7">
      <w:pPr>
        <w:pStyle w:val="Funotentext"/>
      </w:pPr>
      <w:r>
        <w:rPr>
          <w:rStyle w:val="Funotenzeichen"/>
        </w:rPr>
        <w:footnoteRef/>
      </w:r>
      <w:r>
        <w:t xml:space="preserve"> Teixidor 1977:89</w:t>
      </w:r>
    </w:p>
  </w:footnote>
  <w:footnote w:id="25">
    <w:p w:rsidR="00362EE7" w:rsidRPr="00371957" w:rsidRDefault="00362EE7" w:rsidP="00362EE7">
      <w:pPr>
        <w:pStyle w:val="Funotentext"/>
      </w:pPr>
      <w:r>
        <w:rPr>
          <w:rStyle w:val="Funotenzeichen"/>
        </w:rPr>
        <w:footnoteRef/>
      </w:r>
      <w:r>
        <w:t xml:space="preserve"> Murray 1989:220</w:t>
      </w:r>
    </w:p>
  </w:footnote>
  <w:footnote w:id="26">
    <w:p w:rsidR="00362EE7" w:rsidRPr="00BB2E45" w:rsidRDefault="00362EE7" w:rsidP="00362EE7">
      <w:pPr>
        <w:pStyle w:val="Funotentext"/>
      </w:pPr>
      <w:r>
        <w:rPr>
          <w:rStyle w:val="Funotenzeichen"/>
        </w:rPr>
        <w:footnoteRef/>
      </w:r>
      <w:r>
        <w:t xml:space="preserve"> </w:t>
      </w:r>
      <w:r w:rsidRPr="00BB2E45">
        <w:t>Perry 2002:265-270</w:t>
      </w:r>
    </w:p>
  </w:footnote>
  <w:footnote w:id="27">
    <w:p w:rsidR="00362EE7" w:rsidRPr="00BB2E45" w:rsidRDefault="00362EE7" w:rsidP="00362EE7">
      <w:pPr>
        <w:pStyle w:val="Funotentext"/>
      </w:pPr>
      <w:r>
        <w:rPr>
          <w:rStyle w:val="Funotenzeichen"/>
        </w:rPr>
        <w:footnoteRef/>
      </w:r>
      <w:r>
        <w:t xml:space="preserve"> Joukowsky 2002:235-248</w:t>
      </w:r>
    </w:p>
  </w:footnote>
  <w:footnote w:id="28">
    <w:p w:rsidR="00F80433" w:rsidRPr="00187478" w:rsidRDefault="00F80433" w:rsidP="00F80433">
      <w:pPr>
        <w:pStyle w:val="Funotentext"/>
      </w:pPr>
      <w:r>
        <w:rPr>
          <w:rStyle w:val="Funotenzeichen"/>
        </w:rPr>
        <w:footnoteRef/>
      </w:r>
      <w:r>
        <w:t xml:space="preserve"> </w:t>
      </w:r>
      <w:r w:rsidRPr="00187478">
        <w:t>Tarn 1929:9,</w:t>
      </w:r>
    </w:p>
  </w:footnote>
  <w:footnote w:id="29">
    <w:p w:rsidR="00CE0370" w:rsidRPr="00CE0370" w:rsidRDefault="00CE0370">
      <w:pPr>
        <w:pStyle w:val="Funotentext"/>
        <w:rPr>
          <w:lang w:val="de-DE"/>
        </w:rPr>
      </w:pPr>
      <w:r>
        <w:rPr>
          <w:rStyle w:val="Funotenzeichen"/>
        </w:rPr>
        <w:footnoteRef/>
      </w:r>
      <w:r>
        <w:t xml:space="preserve"> </w:t>
      </w:r>
      <w:r w:rsidRPr="00DF06B7">
        <w:t>Teixidor 1977:91</w:t>
      </w:r>
    </w:p>
  </w:footnote>
  <w:footnote w:id="30">
    <w:p w:rsidR="00CE0370" w:rsidRPr="00CE0370" w:rsidRDefault="00CE0370">
      <w:pPr>
        <w:pStyle w:val="Funotentext"/>
        <w:rPr>
          <w:lang w:val="de-DE"/>
        </w:rPr>
      </w:pPr>
      <w:r w:rsidRPr="006B268A">
        <w:rPr>
          <w:rStyle w:val="Funotenzeichen"/>
        </w:rPr>
        <w:footnoteRef/>
      </w:r>
      <w:r w:rsidRPr="006B268A">
        <w:t xml:space="preserve"> </w:t>
      </w:r>
      <w:r w:rsidR="006B268A" w:rsidRPr="006B268A">
        <w:t>D</w:t>
      </w:r>
      <w:r w:rsidR="006B268A">
        <w:t>ecker 2007:217</w:t>
      </w:r>
    </w:p>
  </w:footnote>
  <w:footnote w:id="31">
    <w:p w:rsidR="00F80433" w:rsidRPr="00187478" w:rsidRDefault="00F80433" w:rsidP="00F80433">
      <w:pPr>
        <w:pStyle w:val="Funotentext"/>
      </w:pPr>
      <w:r>
        <w:rPr>
          <w:rStyle w:val="Funotenzeichen"/>
        </w:rPr>
        <w:footnoteRef/>
      </w:r>
      <w:r>
        <w:t xml:space="preserve"> </w:t>
      </w:r>
      <w:r w:rsidRPr="00187478">
        <w:t>Tarn 1929:16</w:t>
      </w:r>
    </w:p>
  </w:footnote>
  <w:footnote w:id="32">
    <w:p w:rsidR="00F80433" w:rsidRPr="00DF06B7" w:rsidRDefault="00F80433" w:rsidP="00F80433">
      <w:pPr>
        <w:pStyle w:val="Funotentext"/>
      </w:pPr>
      <w:r>
        <w:rPr>
          <w:rStyle w:val="Funotenzeichen"/>
        </w:rPr>
        <w:footnoteRef/>
      </w:r>
      <w:r>
        <w:t xml:space="preserve"> </w:t>
      </w:r>
      <w:r w:rsidRPr="00DF06B7">
        <w:t>Teixidor 1977:83-84</w:t>
      </w:r>
    </w:p>
  </w:footnote>
  <w:footnote w:id="33">
    <w:p w:rsidR="00F80433" w:rsidRPr="00DF06B7" w:rsidRDefault="00F80433" w:rsidP="00F80433">
      <w:pPr>
        <w:pStyle w:val="Funotentext"/>
      </w:pPr>
      <w:r>
        <w:rPr>
          <w:rStyle w:val="Funotenzeichen"/>
        </w:rPr>
        <w:footnoteRef/>
      </w:r>
      <w:r>
        <w:t xml:space="preserve"> </w:t>
      </w:r>
      <w:r w:rsidRPr="00DF06B7">
        <w:t>Teixidor 1977:78,88 and 94</w:t>
      </w:r>
    </w:p>
  </w:footnote>
  <w:footnote w:id="34">
    <w:p w:rsidR="00F80433" w:rsidRPr="00DF06B7" w:rsidRDefault="00F80433" w:rsidP="00F80433">
      <w:pPr>
        <w:pStyle w:val="Funotentext"/>
      </w:pPr>
      <w:r>
        <w:rPr>
          <w:rStyle w:val="Funotenzeichen"/>
        </w:rPr>
        <w:footnoteRef/>
      </w:r>
      <w:r>
        <w:t xml:space="preserve"> </w:t>
      </w:r>
      <w:r w:rsidRPr="00DF06B7">
        <w:t>Cohen 1972:83</w:t>
      </w:r>
    </w:p>
  </w:footnote>
  <w:footnote w:id="35">
    <w:p w:rsidR="00F80433" w:rsidRPr="00DF06B7" w:rsidRDefault="00F80433" w:rsidP="00F80433">
      <w:pPr>
        <w:pStyle w:val="Funotentext"/>
      </w:pPr>
      <w:r>
        <w:rPr>
          <w:rStyle w:val="Funotenzeichen"/>
        </w:rPr>
        <w:footnoteRef/>
      </w:r>
      <w:r>
        <w:t xml:space="preserve"> </w:t>
      </w:r>
      <w:r w:rsidRPr="00DF06B7">
        <w:t>Cohen 1972:83</w:t>
      </w:r>
    </w:p>
  </w:footnote>
  <w:footnote w:id="36">
    <w:p w:rsidR="00F80433" w:rsidRPr="00DF06B7" w:rsidRDefault="00F80433" w:rsidP="00F80433">
      <w:pPr>
        <w:pStyle w:val="Funotentext"/>
      </w:pPr>
      <w:r>
        <w:rPr>
          <w:rStyle w:val="Funotenzeichen"/>
        </w:rPr>
        <w:footnoteRef/>
      </w:r>
      <w:r>
        <w:t xml:space="preserve"> </w:t>
      </w:r>
      <w:r w:rsidRPr="00015B16">
        <w:t>Teixidor 1977:82</w:t>
      </w:r>
    </w:p>
  </w:footnote>
  <w:footnote w:id="37">
    <w:p w:rsidR="00CC4FE3" w:rsidRPr="00630B66" w:rsidRDefault="00CC4FE3">
      <w:pPr>
        <w:pStyle w:val="Funotentext"/>
      </w:pPr>
      <w:r>
        <w:rPr>
          <w:rStyle w:val="Funotenzeichen"/>
        </w:rPr>
        <w:footnoteRef/>
      </w:r>
      <w:r>
        <w:t xml:space="preserve"> </w:t>
      </w:r>
      <w:r w:rsidRPr="00630B66">
        <w:t>Murray 1989:224-225</w:t>
      </w:r>
    </w:p>
  </w:footnote>
  <w:footnote w:id="38">
    <w:p w:rsidR="00630B66" w:rsidRPr="00630B66" w:rsidRDefault="00630B66">
      <w:pPr>
        <w:pStyle w:val="Funotentext"/>
      </w:pPr>
      <w:r>
        <w:rPr>
          <w:rStyle w:val="Funotenzeichen"/>
        </w:rPr>
        <w:footnoteRef/>
      </w:r>
      <w:r>
        <w:t xml:space="preserve"> </w:t>
      </w:r>
      <w:r w:rsidRPr="00015B16">
        <w:t>Teixidor 1977:82</w:t>
      </w:r>
    </w:p>
  </w:footnote>
  <w:footnote w:id="39">
    <w:p w:rsidR="00F80433" w:rsidRPr="00AA065D" w:rsidRDefault="00F80433" w:rsidP="00F80433">
      <w:pPr>
        <w:pStyle w:val="Funotentext"/>
      </w:pPr>
      <w:r>
        <w:rPr>
          <w:rStyle w:val="Funotenzeichen"/>
        </w:rPr>
        <w:footnoteRef/>
      </w:r>
      <w:r>
        <w:t xml:space="preserve"> </w:t>
      </w:r>
      <w:r w:rsidRPr="00AA065D">
        <w:t>Murray 1989:225</w:t>
      </w:r>
    </w:p>
  </w:footnote>
  <w:footnote w:id="40">
    <w:p w:rsidR="00F80433" w:rsidRPr="00AA065D" w:rsidRDefault="00F80433" w:rsidP="00F80433">
      <w:pPr>
        <w:pStyle w:val="Funotentext"/>
      </w:pPr>
      <w:r>
        <w:rPr>
          <w:rStyle w:val="Funotenzeichen"/>
        </w:rPr>
        <w:footnoteRef/>
      </w:r>
      <w:r>
        <w:t xml:space="preserve"> </w:t>
      </w:r>
      <w:r w:rsidRPr="00AA065D">
        <w:t>Murray 1989:225</w:t>
      </w:r>
    </w:p>
  </w:footnote>
  <w:footnote w:id="41">
    <w:p w:rsidR="00F80433" w:rsidRPr="00AA065D" w:rsidRDefault="00F80433" w:rsidP="00F80433">
      <w:pPr>
        <w:pStyle w:val="Funotentext"/>
      </w:pPr>
      <w:r>
        <w:rPr>
          <w:rStyle w:val="Funotenzeichen"/>
        </w:rPr>
        <w:footnoteRef/>
      </w:r>
      <w:r>
        <w:t xml:space="preserve"> </w:t>
      </w:r>
      <w:r w:rsidRPr="00AA065D">
        <w:t>Murray 1989:225</w:t>
      </w:r>
    </w:p>
  </w:footnote>
  <w:footnote w:id="42">
    <w:p w:rsidR="00630B66" w:rsidRPr="00630B66" w:rsidRDefault="00630B66">
      <w:pPr>
        <w:pStyle w:val="Funotentext"/>
        <w:rPr>
          <w:lang w:val="de-DE"/>
        </w:rPr>
      </w:pPr>
      <w:r>
        <w:rPr>
          <w:rStyle w:val="Funotenzeichen"/>
        </w:rPr>
        <w:footnoteRef/>
      </w:r>
      <w:r>
        <w:t xml:space="preserve"> </w:t>
      </w:r>
      <w:r>
        <w:rPr>
          <w:lang w:val="de-DE"/>
        </w:rPr>
        <w:t>Murray 1989:226</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9C48BE"/>
    <w:multiLevelType w:val="hybridMultilevel"/>
    <w:tmpl w:val="13E0DD36"/>
    <w:lvl w:ilvl="0" w:tplc="0809000F">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6CB80D6E"/>
    <w:multiLevelType w:val="hybridMultilevel"/>
    <w:tmpl w:val="BBA2E9A0"/>
    <w:lvl w:ilvl="0" w:tplc="1EF2B350">
      <w:start w:val="1"/>
      <w:numFmt w:val="decimal"/>
      <w:lvlText w:val="%1."/>
      <w:lvlJc w:val="left"/>
      <w:pPr>
        <w:ind w:left="501" w:hanging="360"/>
      </w:pPr>
      <w:rPr>
        <w:rFonts w:hint="default"/>
      </w:rPr>
    </w:lvl>
    <w:lvl w:ilvl="1" w:tplc="04070019" w:tentative="1">
      <w:start w:val="1"/>
      <w:numFmt w:val="lowerLetter"/>
      <w:lvlText w:val="%2."/>
      <w:lvlJc w:val="left"/>
      <w:pPr>
        <w:ind w:left="1221" w:hanging="360"/>
      </w:pPr>
    </w:lvl>
    <w:lvl w:ilvl="2" w:tplc="0407001B" w:tentative="1">
      <w:start w:val="1"/>
      <w:numFmt w:val="lowerRoman"/>
      <w:lvlText w:val="%3."/>
      <w:lvlJc w:val="right"/>
      <w:pPr>
        <w:ind w:left="1941" w:hanging="180"/>
      </w:pPr>
    </w:lvl>
    <w:lvl w:ilvl="3" w:tplc="0407000F" w:tentative="1">
      <w:start w:val="1"/>
      <w:numFmt w:val="decimal"/>
      <w:lvlText w:val="%4."/>
      <w:lvlJc w:val="left"/>
      <w:pPr>
        <w:ind w:left="2661" w:hanging="360"/>
      </w:pPr>
    </w:lvl>
    <w:lvl w:ilvl="4" w:tplc="04070019" w:tentative="1">
      <w:start w:val="1"/>
      <w:numFmt w:val="lowerLetter"/>
      <w:lvlText w:val="%5."/>
      <w:lvlJc w:val="left"/>
      <w:pPr>
        <w:ind w:left="3381" w:hanging="360"/>
      </w:pPr>
    </w:lvl>
    <w:lvl w:ilvl="5" w:tplc="0407001B" w:tentative="1">
      <w:start w:val="1"/>
      <w:numFmt w:val="lowerRoman"/>
      <w:lvlText w:val="%6."/>
      <w:lvlJc w:val="right"/>
      <w:pPr>
        <w:ind w:left="4101" w:hanging="180"/>
      </w:pPr>
    </w:lvl>
    <w:lvl w:ilvl="6" w:tplc="0407000F" w:tentative="1">
      <w:start w:val="1"/>
      <w:numFmt w:val="decimal"/>
      <w:lvlText w:val="%7."/>
      <w:lvlJc w:val="left"/>
      <w:pPr>
        <w:ind w:left="4821" w:hanging="360"/>
      </w:pPr>
    </w:lvl>
    <w:lvl w:ilvl="7" w:tplc="04070019" w:tentative="1">
      <w:start w:val="1"/>
      <w:numFmt w:val="lowerLetter"/>
      <w:lvlText w:val="%8."/>
      <w:lvlJc w:val="left"/>
      <w:pPr>
        <w:ind w:left="5541" w:hanging="360"/>
      </w:pPr>
    </w:lvl>
    <w:lvl w:ilvl="8" w:tplc="0407001B" w:tentative="1">
      <w:start w:val="1"/>
      <w:numFmt w:val="lowerRoman"/>
      <w:lvlText w:val="%9."/>
      <w:lvlJc w:val="right"/>
      <w:pPr>
        <w:ind w:left="6261"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3FA1"/>
    <w:rsid w:val="0008295D"/>
    <w:rsid w:val="001516B7"/>
    <w:rsid w:val="00353FA1"/>
    <w:rsid w:val="00362EE7"/>
    <w:rsid w:val="0040293E"/>
    <w:rsid w:val="00630B66"/>
    <w:rsid w:val="00647A36"/>
    <w:rsid w:val="006B268A"/>
    <w:rsid w:val="007162A2"/>
    <w:rsid w:val="00836A4B"/>
    <w:rsid w:val="00836DA8"/>
    <w:rsid w:val="00837CE7"/>
    <w:rsid w:val="00937BF5"/>
    <w:rsid w:val="009846A3"/>
    <w:rsid w:val="00AD348B"/>
    <w:rsid w:val="00B025BA"/>
    <w:rsid w:val="00CA0586"/>
    <w:rsid w:val="00CC4FE3"/>
    <w:rsid w:val="00CE0370"/>
    <w:rsid w:val="00EC53F8"/>
    <w:rsid w:val="00F10F03"/>
    <w:rsid w:val="00F80433"/>
    <w:rsid w:val="00F9236B"/>
    <w:rsid w:val="00FB2B89"/>
    <w:rsid w:val="00FD04DE"/>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46A1DB-9ADE-4BEF-8A0E-22A437FA1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GB"/>
    </w:rPr>
  </w:style>
  <w:style w:type="paragraph" w:styleId="berschrift1">
    <w:name w:val="heading 1"/>
    <w:basedOn w:val="Standard"/>
    <w:next w:val="Standard"/>
    <w:link w:val="berschrift1Zchn"/>
    <w:uiPriority w:val="9"/>
    <w:qFormat/>
    <w:rsid w:val="00362E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Funotentext">
    <w:name w:val="footnote text"/>
    <w:basedOn w:val="Standard"/>
    <w:link w:val="FunotentextZchn"/>
    <w:uiPriority w:val="99"/>
    <w:semiHidden/>
    <w:unhideWhenUsed/>
    <w:rsid w:val="00353FA1"/>
    <w:pPr>
      <w:spacing w:after="0" w:line="240" w:lineRule="auto"/>
    </w:pPr>
    <w:rPr>
      <w:sz w:val="20"/>
      <w:szCs w:val="20"/>
    </w:rPr>
  </w:style>
  <w:style w:type="character" w:customStyle="1" w:styleId="FunotentextZchn">
    <w:name w:val="Fußnotentext Zchn"/>
    <w:basedOn w:val="Absatz-Standardschriftart"/>
    <w:link w:val="Funotentext"/>
    <w:uiPriority w:val="99"/>
    <w:semiHidden/>
    <w:rsid w:val="00353FA1"/>
    <w:rPr>
      <w:sz w:val="20"/>
      <w:szCs w:val="20"/>
      <w:lang w:val="en-GB"/>
    </w:rPr>
  </w:style>
  <w:style w:type="character" w:styleId="Funotenzeichen">
    <w:name w:val="footnote reference"/>
    <w:basedOn w:val="Absatz-Standardschriftart"/>
    <w:uiPriority w:val="99"/>
    <w:semiHidden/>
    <w:unhideWhenUsed/>
    <w:rsid w:val="00353FA1"/>
    <w:rPr>
      <w:vertAlign w:val="superscript"/>
    </w:rPr>
  </w:style>
  <w:style w:type="character" w:styleId="Kommentarzeichen">
    <w:name w:val="annotation reference"/>
    <w:basedOn w:val="Absatz-Standardschriftart"/>
    <w:uiPriority w:val="99"/>
    <w:semiHidden/>
    <w:unhideWhenUsed/>
    <w:rsid w:val="00353FA1"/>
    <w:rPr>
      <w:sz w:val="16"/>
      <w:szCs w:val="16"/>
    </w:rPr>
  </w:style>
  <w:style w:type="paragraph" w:styleId="Kommentartext">
    <w:name w:val="annotation text"/>
    <w:basedOn w:val="Standard"/>
    <w:link w:val="KommentartextZchn"/>
    <w:uiPriority w:val="99"/>
    <w:semiHidden/>
    <w:unhideWhenUsed/>
    <w:rsid w:val="00353FA1"/>
    <w:pPr>
      <w:spacing w:line="240" w:lineRule="auto"/>
    </w:pPr>
    <w:rPr>
      <w:sz w:val="20"/>
      <w:szCs w:val="20"/>
    </w:rPr>
  </w:style>
  <w:style w:type="character" w:customStyle="1" w:styleId="KommentartextZchn">
    <w:name w:val="Kommentartext Zchn"/>
    <w:basedOn w:val="Absatz-Standardschriftart"/>
    <w:link w:val="Kommentartext"/>
    <w:uiPriority w:val="99"/>
    <w:semiHidden/>
    <w:rsid w:val="00353FA1"/>
    <w:rPr>
      <w:sz w:val="20"/>
      <w:szCs w:val="20"/>
      <w:lang w:val="en-GB"/>
    </w:rPr>
  </w:style>
  <w:style w:type="paragraph" w:styleId="Sprechblasentext">
    <w:name w:val="Balloon Text"/>
    <w:basedOn w:val="Standard"/>
    <w:link w:val="SprechblasentextZchn"/>
    <w:uiPriority w:val="99"/>
    <w:semiHidden/>
    <w:unhideWhenUsed/>
    <w:rsid w:val="00353FA1"/>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353FA1"/>
    <w:rPr>
      <w:rFonts w:ascii="Segoe UI" w:hAnsi="Segoe UI" w:cs="Segoe UI"/>
      <w:sz w:val="18"/>
      <w:szCs w:val="18"/>
      <w:lang w:val="en-GB"/>
    </w:rPr>
  </w:style>
  <w:style w:type="paragraph" w:styleId="Listenabsatz">
    <w:name w:val="List Paragraph"/>
    <w:basedOn w:val="Standard"/>
    <w:uiPriority w:val="34"/>
    <w:qFormat/>
    <w:rsid w:val="00836DA8"/>
    <w:pPr>
      <w:ind w:left="720"/>
      <w:contextualSpacing/>
    </w:pPr>
  </w:style>
  <w:style w:type="character" w:customStyle="1" w:styleId="berschrift1Zchn">
    <w:name w:val="Überschrift 1 Zchn"/>
    <w:basedOn w:val="Absatz-Standardschriftart"/>
    <w:link w:val="berschrift1"/>
    <w:uiPriority w:val="9"/>
    <w:rsid w:val="00362EE7"/>
    <w:rPr>
      <w:rFonts w:asciiTheme="majorHAnsi" w:eastAsiaTheme="majorEastAsia" w:hAnsiTheme="majorHAnsi"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5E9F88-7319-4DD8-AC2E-B460324F8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1293</Words>
  <Characters>8147</Characters>
  <Application>Microsoft Office Word</Application>
  <DocSecurity>0</DocSecurity>
  <Lines>67</Lines>
  <Paragraphs>18</Paragraphs>
  <ScaleCrop>false</ScaleCrop>
  <Company/>
  <LinksUpToDate>false</LinksUpToDate>
  <CharactersWithSpaces>9422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Schokoladeneis Marzipan</dc:creator>
  <cp:keywords/>
  <dc:description/>
  <cp:lastModifiedBy>Schokoladeneis Marzipan</cp:lastModifiedBy>
  <cp:revision>24</cp:revision>
  <dcterms:created xsi:type="dcterms:W3CDTF">2018-11-23T19:43:00Z</dcterms:created>
  <dcterms:modified xsi:type="dcterms:W3CDTF">2018-11-23T21:57:00Z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