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Critically evaluate the Ontological Argument. Does it succeed in proving God's existence?</w:t>
      </w:r>
    </w:p>
    <w:p w:rsidR="00000000" w:rsidDel="00000000" w:rsidP="00000000" w:rsidRDefault="00000000" w:rsidRPr="00000000" w14:paraId="00000002">
      <w:pPr>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3">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Ontological Argument is a logical formulation first devised by one Anselm of Canterbury, who held the position of the Archbishop of Canterbury at the end of the 11th century. Anselm wrote this in his book </w:t>
      </w:r>
      <w:r w:rsidDel="00000000" w:rsidR="00000000" w:rsidRPr="00000000">
        <w:rPr>
          <w:rFonts w:ascii="Times New Roman" w:cs="Times New Roman" w:eastAsia="Times New Roman" w:hAnsi="Times New Roman"/>
          <w:i w:val="1"/>
          <w:sz w:val="24"/>
          <w:szCs w:val="24"/>
          <w:rtl w:val="0"/>
        </w:rPr>
        <w:t xml:space="preserve">Proslogion</w:t>
      </w:r>
      <w:r w:rsidDel="00000000" w:rsidR="00000000" w:rsidRPr="00000000">
        <w:rPr>
          <w:rFonts w:ascii="Times New Roman" w:cs="Times New Roman" w:eastAsia="Times New Roman" w:hAnsi="Times New Roman"/>
          <w:sz w:val="24"/>
          <w:szCs w:val="24"/>
          <w:rtl w:val="0"/>
        </w:rPr>
        <w:t xml:space="preserve">, and was not written to be a definitive proof of God’s existence, but rather to be a personal piece showing how the existence of God became self-evident to Anselm himself, which he then wrote down.</w:t>
      </w:r>
      <w:r w:rsidDel="00000000" w:rsidR="00000000" w:rsidRPr="00000000">
        <w:rPr>
          <w:rFonts w:ascii="Times New Roman" w:cs="Times New Roman" w:eastAsia="Times New Roman" w:hAnsi="Times New Roman"/>
          <w:sz w:val="24"/>
          <w:szCs w:val="24"/>
          <w:vertAlign w:val="superscript"/>
        </w:rPr>
        <w:footnoteReference w:customMarkFollows="0" w:id="0"/>
      </w:r>
      <w:r w:rsidDel="00000000" w:rsidR="00000000" w:rsidRPr="00000000">
        <w:rPr>
          <w:rtl w:val="0"/>
        </w:rPr>
      </w:r>
    </w:p>
    <w:p w:rsidR="00000000" w:rsidDel="00000000" w:rsidP="00000000" w:rsidRDefault="00000000" w:rsidRPr="00000000" w14:paraId="00000004">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Anselm’s proof of God’s existence relies on the notion that God is a being ‘that which none greater can be conceived’.</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What this means is that the concept of God logically entails an utterly perfect being - the most perfect being one could imagine, for if a person could think of a being or an object as being greater than God, then that is illogical as God would not therefore be perfect. Anselm believed that everybody is able to think about God as an idea of the mind, even if they were not to actually believe in God. As William Mann translates, “Thus even the fool is convinced that something than which nothing greater can be conceived is in the understanding, since when he hears this, he understands it; and whatever is understood is in the understanding.</w:t>
      </w:r>
      <w:r w:rsidDel="00000000" w:rsidR="00000000" w:rsidRPr="00000000">
        <w:rPr>
          <w:rFonts w:ascii="Times New Roman" w:cs="Times New Roman" w:eastAsia="Times New Roman" w:hAnsi="Times New Roman"/>
          <w:sz w:val="24"/>
          <w:szCs w:val="24"/>
          <w:vertAlign w:val="superscript"/>
        </w:rPr>
        <w:footnoteReference w:customMarkFollows="0" w:id="2"/>
      </w:r>
      <w:r w:rsidDel="00000000" w:rsidR="00000000" w:rsidRPr="00000000">
        <w:rPr>
          <w:rFonts w:ascii="Times New Roman" w:cs="Times New Roman" w:eastAsia="Times New Roman" w:hAnsi="Times New Roman"/>
          <w:sz w:val="24"/>
          <w:szCs w:val="24"/>
          <w:rtl w:val="0"/>
        </w:rPr>
        <w:t xml:space="preserve">” In other words, Anselm states that it is a simple idea that nothing can be thought of that is better than what people believe God to be. Anselm then says that something that exists in the mind as a perfect being but does not exist in reality is logically impossible, for anyone, even the fool, can conceive of a being that exists both in the mind and in reality, and </w:t>
      </w:r>
      <w:r w:rsidDel="00000000" w:rsidR="00000000" w:rsidRPr="00000000">
        <w:rPr>
          <w:rFonts w:ascii="Times New Roman" w:cs="Times New Roman" w:eastAsia="Times New Roman" w:hAnsi="Times New Roman"/>
          <w:i w:val="1"/>
          <w:sz w:val="24"/>
          <w:szCs w:val="24"/>
          <w:rtl w:val="0"/>
        </w:rPr>
        <w:t xml:space="preserve">this</w:t>
      </w:r>
      <w:r w:rsidDel="00000000" w:rsidR="00000000" w:rsidRPr="00000000">
        <w:rPr>
          <w:rFonts w:ascii="Times New Roman" w:cs="Times New Roman" w:eastAsia="Times New Roman" w:hAnsi="Times New Roman"/>
          <w:sz w:val="24"/>
          <w:szCs w:val="24"/>
          <w:rtl w:val="0"/>
        </w:rPr>
        <w:t xml:space="preserve"> therefore, is greater. Therefore, God, who is a being that no other being can be conceived as being greater, </w:t>
      </w:r>
      <w:r w:rsidDel="00000000" w:rsidR="00000000" w:rsidRPr="00000000">
        <w:rPr>
          <w:rFonts w:ascii="Times New Roman" w:cs="Times New Roman" w:eastAsia="Times New Roman" w:hAnsi="Times New Roman"/>
          <w:i w:val="1"/>
          <w:sz w:val="24"/>
          <w:szCs w:val="24"/>
          <w:rtl w:val="0"/>
        </w:rPr>
        <w:t xml:space="preserve">must exist</w:t>
      </w:r>
      <w:r w:rsidDel="00000000" w:rsidR="00000000" w:rsidRPr="00000000">
        <w:rPr>
          <w:rFonts w:ascii="Times New Roman" w:cs="Times New Roman" w:eastAsia="Times New Roman" w:hAnsi="Times New Roman"/>
          <w:sz w:val="24"/>
          <w:szCs w:val="24"/>
          <w:rtl w:val="0"/>
        </w:rPr>
        <w:t xml:space="preserve">, because if God exists in the minds of people, in order to remain as the greatest possible being, God must also exist in reality. As Anselm writes, “Thus without doubt something than which a greater cannot be conceived exists, both in the understanding and in reality.”</w:t>
      </w:r>
      <w:r w:rsidDel="00000000" w:rsidR="00000000" w:rsidRPr="00000000">
        <w:rPr>
          <w:rFonts w:ascii="Times New Roman" w:cs="Times New Roman" w:eastAsia="Times New Roman" w:hAnsi="Times New Roman"/>
          <w:sz w:val="24"/>
          <w:szCs w:val="24"/>
          <w:vertAlign w:val="superscript"/>
        </w:rPr>
        <w:footnoteReference w:customMarkFollows="0" w:id="3"/>
      </w:r>
      <w:r w:rsidDel="00000000" w:rsidR="00000000" w:rsidRPr="00000000">
        <w:rPr>
          <w:rtl w:val="0"/>
        </w:rPr>
      </w:r>
    </w:p>
    <w:p w:rsidR="00000000" w:rsidDel="00000000" w:rsidP="00000000" w:rsidRDefault="00000000" w:rsidRPr="00000000" w14:paraId="00000006">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important response to this argument comes from Gaunilo, a contemporary of Anselm and an early Christian monk, who responded about how Anselm’s logic could be extrapolated to something like an island, and that if a perfect island exists in the mind, better than any island that can be imagined, but much like Anselm’s depiction of God, if it does not exist in reality, we can imagine an island that is better, and therefore the ‘perfect island’ exists.</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rtl w:val="0"/>
        </w:rPr>
        <w:t xml:space="preserve"> What’s important about this response is that it is not necessarily a criticism of Anselm’s argument in and of itself, but rather an explanation that Anselm’s logic and reasoning are sound, but that the logic may lead to similar conclusions being made about other things, such as islands, which cannot be reasoned that there exists a ‘perfect’ version of. The problem with Gaunilo’s response to Anselm’s argument also, according to Jasper Hopkins, lies in the fact that Gaunilo is fundamentally misinterpreting Anselm and misconstruing the Ontological Argument into something that it is not. Hopkins writes:</w:t>
      </w:r>
    </w:p>
    <w:p w:rsidR="00000000" w:rsidDel="00000000" w:rsidP="00000000" w:rsidRDefault="00000000" w:rsidRPr="00000000" w14:paraId="00000008">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Now, as the beginning and end of Section 4 reveal, Gaunilo is using "</w:t>
      </w:r>
      <w:r w:rsidDel="00000000" w:rsidR="00000000" w:rsidRPr="00000000">
        <w:rPr>
          <w:rFonts w:ascii="Times New Roman" w:cs="Times New Roman" w:eastAsia="Times New Roman" w:hAnsi="Times New Roman"/>
          <w:i w:val="1"/>
          <w:sz w:val="24"/>
          <w:szCs w:val="24"/>
          <w:rtl w:val="0"/>
        </w:rPr>
        <w:t xml:space="preserve">maius omnibus</w:t>
      </w:r>
      <w:r w:rsidDel="00000000" w:rsidR="00000000" w:rsidRPr="00000000">
        <w:rPr>
          <w:rFonts w:ascii="Times New Roman" w:cs="Times New Roman" w:eastAsia="Times New Roman" w:hAnsi="Times New Roman"/>
          <w:sz w:val="24"/>
          <w:szCs w:val="24"/>
          <w:rtl w:val="0"/>
        </w:rPr>
        <w:t xml:space="preserve">" ("that which is greater than all others") as an abbreviation of "</w:t>
      </w:r>
      <w:r w:rsidDel="00000000" w:rsidR="00000000" w:rsidRPr="00000000">
        <w:rPr>
          <w:rFonts w:ascii="Times New Roman" w:cs="Times New Roman" w:eastAsia="Times New Roman" w:hAnsi="Times New Roman"/>
          <w:i w:val="1"/>
          <w:sz w:val="24"/>
          <w:szCs w:val="24"/>
          <w:rtl w:val="0"/>
        </w:rPr>
        <w:t xml:space="preserve">illud maius omnibus quae cogitari possunt</w:t>
      </w:r>
      <w:r w:rsidDel="00000000" w:rsidR="00000000" w:rsidRPr="00000000">
        <w:rPr>
          <w:rFonts w:ascii="Times New Roman" w:cs="Times New Roman" w:eastAsia="Times New Roman" w:hAnsi="Times New Roman"/>
          <w:sz w:val="24"/>
          <w:szCs w:val="24"/>
          <w:rtl w:val="0"/>
        </w:rPr>
        <w:t xml:space="preserve">" ("that which is greater than all others that can be thought"). But Anselm reads "</w:t>
      </w:r>
      <w:r w:rsidDel="00000000" w:rsidR="00000000" w:rsidRPr="00000000">
        <w:rPr>
          <w:rFonts w:ascii="Times New Roman" w:cs="Times New Roman" w:eastAsia="Times New Roman" w:hAnsi="Times New Roman"/>
          <w:i w:val="1"/>
          <w:sz w:val="24"/>
          <w:szCs w:val="24"/>
          <w:rtl w:val="0"/>
        </w:rPr>
        <w:t xml:space="preserve">maius omnibus</w:t>
      </w:r>
      <w:r w:rsidDel="00000000" w:rsidR="00000000" w:rsidRPr="00000000">
        <w:rPr>
          <w:rFonts w:ascii="Times New Roman" w:cs="Times New Roman" w:eastAsia="Times New Roman" w:hAnsi="Times New Roman"/>
          <w:sz w:val="24"/>
          <w:szCs w:val="24"/>
          <w:rtl w:val="0"/>
        </w:rPr>
        <w:t xml:space="preserve">" as a shorthand for "</w:t>
      </w:r>
      <w:r w:rsidDel="00000000" w:rsidR="00000000" w:rsidRPr="00000000">
        <w:rPr>
          <w:rFonts w:ascii="Times New Roman" w:cs="Times New Roman" w:eastAsia="Times New Roman" w:hAnsi="Times New Roman"/>
          <w:i w:val="1"/>
          <w:sz w:val="24"/>
          <w:szCs w:val="24"/>
          <w:rtl w:val="0"/>
        </w:rPr>
        <w:t xml:space="preserve">maius omnibus quae sunt</w:t>
      </w:r>
      <w:r w:rsidDel="00000000" w:rsidR="00000000" w:rsidRPr="00000000">
        <w:rPr>
          <w:rFonts w:ascii="Times New Roman" w:cs="Times New Roman" w:eastAsia="Times New Roman" w:hAnsi="Times New Roman"/>
          <w:sz w:val="24"/>
          <w:szCs w:val="24"/>
          <w:rtl w:val="0"/>
        </w:rPr>
        <w:t xml:space="preserve">": "that which is greater than all other existing beings".</w:t>
      </w:r>
      <w:r w:rsidDel="00000000" w:rsidR="00000000" w:rsidRPr="00000000">
        <w:rPr>
          <w:rFonts w:ascii="Times New Roman" w:cs="Times New Roman" w:eastAsia="Times New Roman" w:hAnsi="Times New Roman"/>
          <w:sz w:val="24"/>
          <w:szCs w:val="24"/>
          <w:vertAlign w:val="superscript"/>
        </w:rPr>
        <w:footnoteReference w:customMarkFollows="0" w:id="5"/>
      </w:r>
      <w:r w:rsidDel="00000000" w:rsidR="00000000" w:rsidRPr="00000000">
        <w:rPr>
          <w:rtl w:val="0"/>
        </w:rPr>
      </w:r>
    </w:p>
    <w:p w:rsidR="00000000" w:rsidDel="00000000" w:rsidP="00000000" w:rsidRDefault="00000000" w:rsidRPr="00000000" w14:paraId="0000000A">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B">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What this means is that Gaunilo is treating Anselm’s writing as if Anselm were writing about God being the greatest being in the context of beings that could be compared to God, whilst in actuality Anselm is writing about God being the greatest being that could possibly exist in all categories. Gaunilo’s response talks of an island of which no better island can be conceived, but in Anselm’s reasoning, it is not ‘that which is greater than all other existing beings’ because that would be God, or another perfect being that could be construed to be God quite easily. Indeed, this is essentially Anselm’s response to Gaunilo: his objections might be valid for anything else, such as islands, but it is not valid for God, who is utterly unlike anything in the world as we understand it, and is by all definition, </w:t>
      </w:r>
      <w:r w:rsidDel="00000000" w:rsidR="00000000" w:rsidRPr="00000000">
        <w:rPr>
          <w:rFonts w:ascii="Times New Roman" w:cs="Times New Roman" w:eastAsia="Times New Roman" w:hAnsi="Times New Roman"/>
          <w:i w:val="1"/>
          <w:sz w:val="24"/>
          <w:szCs w:val="24"/>
          <w:rtl w:val="0"/>
        </w:rPr>
        <w:t xml:space="preserve">a being that is greater than all that can be conceived</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0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 Thomas Aquinas, a Christian theologian from two centuries after the time of Anselm and Gaunilo, also objected to the Ontological Argument, despite being a staunch Christian and the creator of the Cosmological Argument, saying that the idea of God’s existence being self-evident (as Anselm’s argument suggests) is impossible, as “no one can mentally admit the opposite of what is self-evident.”</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Fonts w:ascii="Times New Roman" w:cs="Times New Roman" w:eastAsia="Times New Roman" w:hAnsi="Times New Roman"/>
          <w:sz w:val="24"/>
          <w:szCs w:val="24"/>
          <w:rtl w:val="0"/>
        </w:rPr>
        <w:t xml:space="preserve"> What this implies is that the very notion of being able to reject the idea of either God’s existence or God’s nature therefore shows that the concept of God is not self-evident to everyone, and therefore, if God is not self-evident, then Anselm’s argument is founded on a logical inconsistency in the sense that not everybody can agree on how God is ‘that which greater things can not be conceived’. Anselm’s argument can be changed in a slight sense to accommodate Aquinas’ rebuttal, which would be that one could change the concept of God to be that of anything that is above all others and nothing greater could be imagined, but that would mean that the personal reasons as to why Anselm brought up the argument in the first place in </w:t>
      </w:r>
      <w:r w:rsidDel="00000000" w:rsidR="00000000" w:rsidRPr="00000000">
        <w:rPr>
          <w:rFonts w:ascii="Times New Roman" w:cs="Times New Roman" w:eastAsia="Times New Roman" w:hAnsi="Times New Roman"/>
          <w:i w:val="1"/>
          <w:sz w:val="24"/>
          <w:szCs w:val="24"/>
          <w:rtl w:val="0"/>
        </w:rPr>
        <w:t xml:space="preserve">Proslogion 2 </w:t>
      </w:r>
      <w:r w:rsidDel="00000000" w:rsidR="00000000" w:rsidRPr="00000000">
        <w:rPr>
          <w:rFonts w:ascii="Times New Roman" w:cs="Times New Roman" w:eastAsia="Times New Roman" w:hAnsi="Times New Roman"/>
          <w:sz w:val="24"/>
          <w:szCs w:val="24"/>
          <w:rtl w:val="0"/>
        </w:rPr>
        <w:t xml:space="preserve">would be invalidated.</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0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criticism that goes against the Ontological Argument in the eighteenth century was from Immanuel Kant, whose response was that he did not believe that existing in reality was a prerequisite to being greater than a being that exists only in the mind. In Kant’s own words:</w:t>
      </w:r>
    </w:p>
    <w:p w:rsidR="00000000" w:rsidDel="00000000" w:rsidP="00000000" w:rsidRDefault="00000000" w:rsidRPr="00000000" w14:paraId="0000001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'Being' is obviously not a real predicate; that is, it is not a concept of something which could be added to the concept of a thing. It is merely the positing of a thing, or of certain determinations, as existing in themselves. Logically, it is merely the copula of a judgement. --- By whatever and by however many predicates we may think a thing - even if we completely determine it - we do not make the least addition to the thing when we further declare that the thing is.</w:t>
      </w:r>
      <w:r w:rsidDel="00000000" w:rsidR="00000000" w:rsidRPr="00000000">
        <w:rPr>
          <w:rFonts w:ascii="Times New Roman" w:cs="Times New Roman" w:eastAsia="Times New Roman" w:hAnsi="Times New Roman"/>
          <w:sz w:val="24"/>
          <w:szCs w:val="24"/>
          <w:vertAlign w:val="superscript"/>
        </w:rPr>
        <w:footnoteReference w:customMarkFollows="0" w:id="8"/>
      </w:r>
      <w:r w:rsidDel="00000000" w:rsidR="00000000" w:rsidRPr="00000000">
        <w:rPr>
          <w:rtl w:val="0"/>
        </w:rPr>
      </w:r>
    </w:p>
    <w:p w:rsidR="00000000" w:rsidDel="00000000" w:rsidP="00000000" w:rsidRDefault="00000000" w:rsidRPr="00000000" w14:paraId="00000012">
      <w:pPr>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is a valid argument in the sense that if one were to not believe that existence is part of greatness, then, in a similar vein to Gaunilo’s argument, the view that people may have on the perfection of God may be skewed. For clarity, the view that God is absolutely perfect and that therefore God must exist in the mind, as Anselm has stated, is only true if you believe that existence is required to be perfect. If one were to reject that, then the Ontological Argument fails due to the assumption made by Anselm that </w:t>
      </w:r>
      <w:r w:rsidDel="00000000" w:rsidR="00000000" w:rsidRPr="00000000">
        <w:rPr>
          <w:rFonts w:ascii="Times New Roman" w:cs="Times New Roman" w:eastAsia="Times New Roman" w:hAnsi="Times New Roman"/>
          <w:i w:val="1"/>
          <w:sz w:val="24"/>
          <w:szCs w:val="24"/>
          <w:rtl w:val="0"/>
        </w:rPr>
        <w:t xml:space="preserve">all </w:t>
      </w:r>
      <w:r w:rsidDel="00000000" w:rsidR="00000000" w:rsidRPr="00000000">
        <w:rPr>
          <w:rFonts w:ascii="Times New Roman" w:cs="Times New Roman" w:eastAsia="Times New Roman" w:hAnsi="Times New Roman"/>
          <w:sz w:val="24"/>
          <w:szCs w:val="24"/>
          <w:rtl w:val="0"/>
        </w:rPr>
        <w:t xml:space="preserve">people agree on the basis that God must exist. Kant in that quote states that existence is neither a perfection in itself nor is it a predicate toward further perfection, and that Anselm is incorrect for trying to use existence in reality as the evidence that proves God’s existence.</w:t>
      </w:r>
    </w:p>
    <w:p w:rsidR="00000000" w:rsidDel="00000000" w:rsidP="00000000" w:rsidRDefault="00000000" w:rsidRPr="00000000" w14:paraId="0000001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there is a potential rebuttal that can be interpreted with Rene Descartes in </w:t>
      </w:r>
      <w:r w:rsidDel="00000000" w:rsidR="00000000" w:rsidRPr="00000000">
        <w:rPr>
          <w:rFonts w:ascii="Times New Roman" w:cs="Times New Roman" w:eastAsia="Times New Roman" w:hAnsi="Times New Roman"/>
          <w:i w:val="1"/>
          <w:sz w:val="24"/>
          <w:szCs w:val="24"/>
          <w:rtl w:val="0"/>
        </w:rPr>
        <w:t xml:space="preserve">Meditations V</w:t>
      </w:r>
      <w:r w:rsidDel="00000000" w:rsidR="00000000" w:rsidRPr="00000000">
        <w:rPr>
          <w:rFonts w:ascii="Times New Roman" w:cs="Times New Roman" w:eastAsia="Times New Roman" w:hAnsi="Times New Roman"/>
          <w:sz w:val="24"/>
          <w:szCs w:val="24"/>
          <w:rtl w:val="0"/>
        </w:rPr>
        <w:t xml:space="preserve">, when he talks of how God is a ‘necessary being’. Necessary beings are beings that exist necessarily by their very nature. The idea of a triangle having three sides must be true, for if it had more or less it would no longer be a triangle. Descartes uses this logic to his benefit when he argues that God’s existence is a necessary factor to God’s being, and therefore if you were to add this logic to the Ontological Argument, whilst God’s existence would not necessarily be made greater, God’s existence must be true on account that if God might exist, God must exist. God’s existence is necessary. Descartes himself posits it as such:</w:t>
      </w:r>
    </w:p>
    <w:p w:rsidR="00000000" w:rsidDel="00000000" w:rsidP="00000000" w:rsidRDefault="00000000" w:rsidRPr="00000000" w14:paraId="00000016">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ind w:left="72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this necessity suffices to make me conclude [...] that this first and sovereign Being really exists, just as though it is not necessary for me ever to imagine any triangle, yet, whenever I wish to consider a rectilinear figure composed only of three angles, it is absolutely essential that I should attribute to it all those properties.</w:t>
      </w:r>
      <w:r w:rsidDel="00000000" w:rsidR="00000000" w:rsidRPr="00000000">
        <w:rPr>
          <w:rFonts w:ascii="Times New Roman" w:cs="Times New Roman" w:eastAsia="Times New Roman" w:hAnsi="Times New Roman"/>
          <w:sz w:val="24"/>
          <w:szCs w:val="24"/>
          <w:vertAlign w:val="superscript"/>
        </w:rPr>
        <w:footnoteReference w:customMarkFollows="0" w:id="9"/>
      </w:r>
      <w:r w:rsidDel="00000000" w:rsidR="00000000" w:rsidRPr="00000000">
        <w:rPr>
          <w:rtl w:val="0"/>
        </w:rPr>
      </w:r>
    </w:p>
    <w:p w:rsidR="00000000" w:rsidDel="00000000" w:rsidP="00000000" w:rsidRDefault="00000000" w:rsidRPr="00000000" w14:paraId="00000018">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9">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follows on to Norman Malcolm’s version of the Ontological Argument, where in his journal article titled </w:t>
      </w:r>
      <w:r w:rsidDel="00000000" w:rsidR="00000000" w:rsidRPr="00000000">
        <w:rPr>
          <w:rFonts w:ascii="Times New Roman" w:cs="Times New Roman" w:eastAsia="Times New Roman" w:hAnsi="Times New Roman"/>
          <w:i w:val="1"/>
          <w:sz w:val="24"/>
          <w:szCs w:val="24"/>
          <w:rtl w:val="0"/>
        </w:rPr>
        <w:t xml:space="preserve">Anselm’s Ontological Arguments</w:t>
      </w:r>
      <w:r w:rsidDel="00000000" w:rsidR="00000000" w:rsidRPr="00000000">
        <w:rPr>
          <w:rFonts w:ascii="Times New Roman" w:cs="Times New Roman" w:eastAsia="Times New Roman" w:hAnsi="Times New Roman"/>
          <w:sz w:val="24"/>
          <w:szCs w:val="24"/>
          <w:rtl w:val="0"/>
        </w:rPr>
        <w:t xml:space="preserve">, where Malcolm claims that the formulation of the Ontological Argument that Anselm wrote in </w:t>
      </w:r>
      <w:r w:rsidDel="00000000" w:rsidR="00000000" w:rsidRPr="00000000">
        <w:rPr>
          <w:rFonts w:ascii="Times New Roman" w:cs="Times New Roman" w:eastAsia="Times New Roman" w:hAnsi="Times New Roman"/>
          <w:i w:val="1"/>
          <w:sz w:val="24"/>
          <w:szCs w:val="24"/>
          <w:rtl w:val="0"/>
        </w:rPr>
        <w:t xml:space="preserve">Proslogion 2 </w:t>
      </w:r>
      <w:r w:rsidDel="00000000" w:rsidR="00000000" w:rsidRPr="00000000">
        <w:rPr>
          <w:rFonts w:ascii="Times New Roman" w:cs="Times New Roman" w:eastAsia="Times New Roman" w:hAnsi="Times New Roman"/>
          <w:sz w:val="24"/>
          <w:szCs w:val="24"/>
          <w:rtl w:val="0"/>
        </w:rPr>
        <w:t xml:space="preserve">is inferior compared to that of his work in </w:t>
      </w:r>
      <w:r w:rsidDel="00000000" w:rsidR="00000000" w:rsidRPr="00000000">
        <w:rPr>
          <w:rFonts w:ascii="Times New Roman" w:cs="Times New Roman" w:eastAsia="Times New Roman" w:hAnsi="Times New Roman"/>
          <w:i w:val="1"/>
          <w:sz w:val="24"/>
          <w:szCs w:val="24"/>
          <w:rtl w:val="0"/>
        </w:rPr>
        <w:t xml:space="preserve">Proslogion 3</w:t>
      </w:r>
      <w:r w:rsidDel="00000000" w:rsidR="00000000" w:rsidRPr="00000000">
        <w:rPr>
          <w:rFonts w:ascii="Times New Roman" w:cs="Times New Roman" w:eastAsia="Times New Roman" w:hAnsi="Times New Roman"/>
          <w:sz w:val="24"/>
          <w:szCs w:val="24"/>
          <w:rtl w:val="0"/>
        </w:rPr>
        <w:t xml:space="preserve">, with the implication being there from the fact that God is a necessary being. This outlook on Malcolm’s philosophy is surmised by Terence Penelhum as such: “This interesting defense of the second argument depends upon a clear sense being given to the idea of reducing the second argument to the first, which is already admitted to fail.</w:t>
      </w:r>
      <w:r w:rsidDel="00000000" w:rsidR="00000000" w:rsidRPr="00000000">
        <w:rPr>
          <w:rFonts w:ascii="Times New Roman" w:cs="Times New Roman" w:eastAsia="Times New Roman" w:hAnsi="Times New Roman"/>
          <w:sz w:val="24"/>
          <w:szCs w:val="24"/>
          <w:vertAlign w:val="superscript"/>
        </w:rPr>
        <w:footnoteReference w:customMarkFollows="0" w:id="10"/>
      </w:r>
      <w:r w:rsidDel="00000000" w:rsidR="00000000" w:rsidRPr="00000000">
        <w:rPr>
          <w:rFonts w:ascii="Times New Roman" w:cs="Times New Roman" w:eastAsia="Times New Roman" w:hAnsi="Times New Roman"/>
          <w:sz w:val="24"/>
          <w:szCs w:val="24"/>
          <w:rtl w:val="0"/>
        </w:rPr>
        <w:t xml:space="preserve">” Malcolm’s argument is much the same as previously discussed versions of the argument, with the admittance that the argument of </w:t>
      </w:r>
      <w:r w:rsidDel="00000000" w:rsidR="00000000" w:rsidRPr="00000000">
        <w:rPr>
          <w:rFonts w:ascii="Times New Roman" w:cs="Times New Roman" w:eastAsia="Times New Roman" w:hAnsi="Times New Roman"/>
          <w:i w:val="1"/>
          <w:sz w:val="24"/>
          <w:szCs w:val="24"/>
          <w:rtl w:val="0"/>
        </w:rPr>
        <w:t xml:space="preserve">Proslogion 2 </w:t>
      </w:r>
      <w:r w:rsidDel="00000000" w:rsidR="00000000" w:rsidRPr="00000000">
        <w:rPr>
          <w:rFonts w:ascii="Times New Roman" w:cs="Times New Roman" w:eastAsia="Times New Roman" w:hAnsi="Times New Roman"/>
          <w:sz w:val="24"/>
          <w:szCs w:val="24"/>
          <w:rtl w:val="0"/>
        </w:rPr>
        <w:t xml:space="preserve">is flawed for calling existence a perfection (which Kant argued against). However, leaning towards the idea of God’s existence being </w:t>
      </w:r>
      <w:r w:rsidDel="00000000" w:rsidR="00000000" w:rsidRPr="00000000">
        <w:rPr>
          <w:rFonts w:ascii="Times New Roman" w:cs="Times New Roman" w:eastAsia="Times New Roman" w:hAnsi="Times New Roman"/>
          <w:i w:val="1"/>
          <w:sz w:val="24"/>
          <w:szCs w:val="24"/>
          <w:rtl w:val="0"/>
        </w:rPr>
        <w:t xml:space="preserve">necessary </w:t>
      </w:r>
      <w:r w:rsidDel="00000000" w:rsidR="00000000" w:rsidRPr="00000000">
        <w:rPr>
          <w:rFonts w:ascii="Times New Roman" w:cs="Times New Roman" w:eastAsia="Times New Roman" w:hAnsi="Times New Roman"/>
          <w:sz w:val="24"/>
          <w:szCs w:val="24"/>
          <w:rtl w:val="0"/>
        </w:rPr>
        <w:t xml:space="preserve">to the reality we know, Malcolm states that a necessary being either cannot exist or must have always existed, for God cannot be brought into existence from an external force, as that would go against the nature of God. With this, God can only </w:t>
      </w:r>
      <w:r w:rsidDel="00000000" w:rsidR="00000000" w:rsidRPr="00000000">
        <w:rPr>
          <w:rFonts w:ascii="Times New Roman" w:cs="Times New Roman" w:eastAsia="Times New Roman" w:hAnsi="Times New Roman"/>
          <w:i w:val="1"/>
          <w:sz w:val="24"/>
          <w:szCs w:val="24"/>
          <w:rtl w:val="0"/>
        </w:rPr>
        <w:t xml:space="preserve">not</w:t>
      </w:r>
      <w:r w:rsidDel="00000000" w:rsidR="00000000" w:rsidRPr="00000000">
        <w:rPr>
          <w:rFonts w:ascii="Times New Roman" w:cs="Times New Roman" w:eastAsia="Times New Roman" w:hAnsi="Times New Roman"/>
          <w:sz w:val="24"/>
          <w:szCs w:val="24"/>
          <w:rtl w:val="0"/>
        </w:rPr>
        <w:t xml:space="preserve"> exist if the idea of god is absurd or illogical. Given it is not, it must therefore be true that God exists.</w:t>
      </w:r>
      <w:r w:rsidDel="00000000" w:rsidR="00000000" w:rsidRPr="00000000">
        <w:rPr>
          <w:rFonts w:ascii="Times New Roman" w:cs="Times New Roman" w:eastAsia="Times New Roman" w:hAnsi="Times New Roman"/>
          <w:sz w:val="24"/>
          <w:szCs w:val="24"/>
          <w:vertAlign w:val="superscript"/>
        </w:rPr>
        <w:footnoteReference w:customMarkFollows="0" w:id="11"/>
      </w:r>
      <w:r w:rsidDel="00000000" w:rsidR="00000000" w:rsidRPr="00000000">
        <w:rPr>
          <w:rtl w:val="0"/>
        </w:rPr>
      </w:r>
    </w:p>
    <w:p w:rsidR="00000000" w:rsidDel="00000000" w:rsidP="00000000" w:rsidRDefault="00000000" w:rsidRPr="00000000" w14:paraId="0000001A">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final important addition to the Ontological Argument came from Alvin Plantinga, who criticised Malcolm’s approach by admitting that he did prove the existence of a ‘being that is above all other beings and none greater can be imagined’ in</w:t>
      </w:r>
      <w:r w:rsidDel="00000000" w:rsidR="00000000" w:rsidRPr="00000000">
        <w:rPr>
          <w:rFonts w:ascii="Times New Roman" w:cs="Times New Roman" w:eastAsia="Times New Roman" w:hAnsi="Times New Roman"/>
          <w:i w:val="1"/>
          <w:sz w:val="24"/>
          <w:szCs w:val="24"/>
          <w:rtl w:val="0"/>
        </w:rPr>
        <w:t xml:space="preserve"> some </w:t>
      </w:r>
      <w:r w:rsidDel="00000000" w:rsidR="00000000" w:rsidRPr="00000000">
        <w:rPr>
          <w:rFonts w:ascii="Times New Roman" w:cs="Times New Roman" w:eastAsia="Times New Roman" w:hAnsi="Times New Roman"/>
          <w:sz w:val="24"/>
          <w:szCs w:val="24"/>
          <w:rtl w:val="0"/>
        </w:rPr>
        <w:t xml:space="preserve">worlds that may exist, but not that a being as such must exist in all possible worlds.</w:t>
      </w:r>
      <w:r w:rsidDel="00000000" w:rsidR="00000000" w:rsidRPr="00000000">
        <w:rPr>
          <w:rFonts w:ascii="Times New Roman" w:cs="Times New Roman" w:eastAsia="Times New Roman" w:hAnsi="Times New Roman"/>
          <w:sz w:val="24"/>
          <w:szCs w:val="24"/>
          <w:vertAlign w:val="superscript"/>
        </w:rPr>
        <w:footnoteReference w:customMarkFollows="0" w:id="12"/>
      </w:r>
      <w:r w:rsidDel="00000000" w:rsidR="00000000" w:rsidRPr="00000000">
        <w:rPr>
          <w:rFonts w:ascii="Times New Roman" w:cs="Times New Roman" w:eastAsia="Times New Roman" w:hAnsi="Times New Roman"/>
          <w:sz w:val="24"/>
          <w:szCs w:val="24"/>
          <w:rtl w:val="0"/>
        </w:rPr>
        <w:t xml:space="preserve"> Plantinga’s version of the argument aims to prove how the existence of God in one possible world proves the existence of God in all possible worlds due to the fact that God’s omnipotence would not make God limited in God’s power, because if God exists in one possible world (which can be feasibly conceived), then, in order to not set a limitation as to the powers of God, God must therefore exist in </w:t>
      </w:r>
      <w:r w:rsidDel="00000000" w:rsidR="00000000" w:rsidRPr="00000000">
        <w:rPr>
          <w:rFonts w:ascii="Times New Roman" w:cs="Times New Roman" w:eastAsia="Times New Roman" w:hAnsi="Times New Roman"/>
          <w:i w:val="1"/>
          <w:sz w:val="24"/>
          <w:szCs w:val="24"/>
          <w:rtl w:val="0"/>
        </w:rPr>
        <w:t xml:space="preserve">all </w:t>
      </w:r>
      <w:r w:rsidDel="00000000" w:rsidR="00000000" w:rsidRPr="00000000">
        <w:rPr>
          <w:rFonts w:ascii="Times New Roman" w:cs="Times New Roman" w:eastAsia="Times New Roman" w:hAnsi="Times New Roman"/>
          <w:sz w:val="24"/>
          <w:szCs w:val="24"/>
          <w:rtl w:val="0"/>
        </w:rPr>
        <w:t xml:space="preserve">possible worlds as otherwise there is a fallacy in God’s omnipotence and therefore cannot be called all-powerful.</w:t>
      </w:r>
      <w:r w:rsidDel="00000000" w:rsidR="00000000" w:rsidRPr="00000000">
        <w:rPr>
          <w:rFonts w:ascii="Times New Roman" w:cs="Times New Roman" w:eastAsia="Times New Roman" w:hAnsi="Times New Roman"/>
          <w:sz w:val="24"/>
          <w:szCs w:val="24"/>
          <w:vertAlign w:val="superscript"/>
        </w:rPr>
        <w:footnoteReference w:customMarkFollows="0" w:id="13"/>
      </w:r>
      <w:r w:rsidDel="00000000" w:rsidR="00000000" w:rsidRPr="00000000">
        <w:rPr>
          <w:rFonts w:ascii="Times New Roman" w:cs="Times New Roman" w:eastAsia="Times New Roman" w:hAnsi="Times New Roman"/>
          <w:sz w:val="24"/>
          <w:szCs w:val="24"/>
          <w:rtl w:val="0"/>
        </w:rPr>
        <w:t xml:space="preserve"> In summary, if we can conceivably believe God existing in one possible world with total omnipotence, by all definitions of said omnipotence, God must exist in all possible worlds, which includes the one we reside in now.</w:t>
      </w:r>
    </w:p>
    <w:p w:rsidR="00000000" w:rsidDel="00000000" w:rsidP="00000000" w:rsidRDefault="00000000" w:rsidRPr="00000000" w14:paraId="0000001C">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to whether or not the Ontological Argument critically proves the existence of God is a tricky question, because there are nuanced things about the way that they are presented. McGrath talks of Anselm’s arguments being personal, which, if true, would make his views subjective as opposed to being an aim to find an objective proof. The Ontological Argument as Anselm formulated is one wherein he discovered the nature of God’s existence for himself.</w:t>
      </w:r>
    </w:p>
    <w:p w:rsidR="00000000" w:rsidDel="00000000" w:rsidP="00000000" w:rsidRDefault="00000000" w:rsidRPr="00000000" w14:paraId="0000001E">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problem that lies within the Ontological argument is that it is a logically sound argument within the logic it provides itself. In a vacuum, it is agreeable how people could believe that God exists within the confines of itself, but as a logical piece that critically proves the existence of a Judaeo-Christian God, too many assumptions are made about the nature of God and how people can perceive God to be a ‘being so great that none greater can be imagined’. </w:t>
      </w:r>
    </w:p>
    <w:p w:rsidR="00000000" w:rsidDel="00000000" w:rsidP="00000000" w:rsidRDefault="00000000" w:rsidRPr="00000000" w14:paraId="00000020">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1">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Kant’s argument about how existence is not a predicate to greatness is a damning counterpoint that the Ontological Argument has taken, because existence in reality being part of what makes a being greater than those that exist only in the mind is the assumption of which the argument is founded on. The notion that people can see how a being that exists in both mind and in reality is paramount to Anselm’s argument. If only one person believes that existence is not aligned to these beliefs, then Anselm’s argument fails. It is evident that at least one of those persons who does not believe it is Immanuel Kant, and therefore Anselm fails to prove a logical existence of God once outside factors are brought into the logical puzzle. </w:t>
      </w:r>
    </w:p>
    <w:p w:rsidR="00000000" w:rsidDel="00000000" w:rsidP="00000000" w:rsidRDefault="00000000" w:rsidRPr="00000000" w14:paraId="00000022">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problem that befalls all arguments that try to prove the existence of God through reasoning and evidence, such as the Teleological, Ontological and Cosmological Arguments, is that the nature of God, as devised by biblical texts, is unknowable, as God is a being that ascends our understanding. God, by definition, is irrational (in the sense that God is a being that can not be understood by God’s very nature), and if one were to believe in God’s existence, one must accept that there is no evidence to support it. Logical truths likes this exist in the universe as we know it, even the fact that the universe exists in the first place. Consider the universe’s existence. Either:</w:t>
      </w:r>
    </w:p>
    <w:p w:rsidR="00000000" w:rsidDel="00000000" w:rsidP="00000000" w:rsidRDefault="00000000" w:rsidRPr="00000000" w14:paraId="00000024">
      <w:pPr>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universe has always existed in some state of being for all eternity, with an infinite regression being true about time and matter. Or:</w:t>
      </w:r>
    </w:p>
    <w:p w:rsidR="00000000" w:rsidDel="00000000" w:rsidP="00000000" w:rsidRDefault="00000000" w:rsidRPr="00000000" w14:paraId="00000026">
      <w:pPr>
        <w:numPr>
          <w:ilvl w:val="0"/>
          <w:numId w:val="1"/>
        </w:numPr>
        <w:ind w:left="720" w:hanging="360"/>
        <w:jc w:val="both"/>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universe has, at some point, not existed, with nothing existing until it suddenly all existed.</w:t>
      </w:r>
    </w:p>
    <w:p w:rsidR="00000000" w:rsidDel="00000000" w:rsidP="00000000" w:rsidRDefault="00000000" w:rsidRPr="00000000" w14:paraId="00000027">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Neither of these claims makes sense in the universe as we currently understand it, yet we must admit that one of these claims must be true. It is irrational, but invariably true for one of them. The existence of God must be treated with the same amount of irrationality. It may be true that God exists, but it also may be true that God does not exist, which makes trying to find the evidence next to impossible.</w:t>
      </w:r>
    </w:p>
    <w:p w:rsidR="00000000" w:rsidDel="00000000" w:rsidP="00000000" w:rsidRDefault="00000000" w:rsidRPr="00000000" w14:paraId="00000029">
      <w:pPr>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conclude, the Ontological Argument is an attempt to find the existence of God through logical puzzles and rationality that simply fail on account that too many assumptions are made about the people that are being told this evidence and the very nature of God’s existence. The Ontological Argument does </w:t>
      </w:r>
      <w:r w:rsidDel="00000000" w:rsidR="00000000" w:rsidRPr="00000000">
        <w:rPr>
          <w:rFonts w:ascii="Times New Roman" w:cs="Times New Roman" w:eastAsia="Times New Roman" w:hAnsi="Times New Roman"/>
          <w:i w:val="1"/>
          <w:sz w:val="24"/>
          <w:szCs w:val="24"/>
          <w:rtl w:val="0"/>
        </w:rPr>
        <w:t xml:space="preserve">not </w:t>
      </w:r>
      <w:r w:rsidDel="00000000" w:rsidR="00000000" w:rsidRPr="00000000">
        <w:rPr>
          <w:rFonts w:ascii="Times New Roman" w:cs="Times New Roman" w:eastAsia="Times New Roman" w:hAnsi="Times New Roman"/>
          <w:sz w:val="24"/>
          <w:szCs w:val="24"/>
          <w:rtl w:val="0"/>
        </w:rPr>
        <w:t xml:space="preserve">prove the existence of God in </w:t>
      </w:r>
      <w:r w:rsidDel="00000000" w:rsidR="00000000" w:rsidRPr="00000000">
        <w:rPr>
          <w:rFonts w:ascii="Times New Roman" w:cs="Times New Roman" w:eastAsia="Times New Roman" w:hAnsi="Times New Roman"/>
          <w:i w:val="1"/>
          <w:sz w:val="24"/>
          <w:szCs w:val="24"/>
          <w:rtl w:val="0"/>
        </w:rPr>
        <w:t xml:space="preserve">any </w:t>
      </w:r>
      <w:r w:rsidDel="00000000" w:rsidR="00000000" w:rsidRPr="00000000">
        <w:rPr>
          <w:rFonts w:ascii="Times New Roman" w:cs="Times New Roman" w:eastAsia="Times New Roman" w:hAnsi="Times New Roman"/>
          <w:sz w:val="24"/>
          <w:szCs w:val="24"/>
          <w:rtl w:val="0"/>
        </w:rPr>
        <w:t xml:space="preserve">capacity.</w:t>
      </w:r>
      <w:r w:rsidDel="00000000" w:rsidR="00000000" w:rsidRPr="00000000">
        <w:br w:type="page"/>
      </w:r>
      <w:r w:rsidDel="00000000" w:rsidR="00000000" w:rsidRPr="00000000">
        <w:rPr>
          <w:rtl w:val="0"/>
        </w:rPr>
      </w:r>
    </w:p>
    <w:p w:rsidR="00000000" w:rsidDel="00000000" w:rsidP="00000000" w:rsidRDefault="00000000" w:rsidRPr="00000000" w14:paraId="0000002B">
      <w:pPr>
        <w:pStyle w:val="Heading2"/>
        <w:keepNext w:val="0"/>
        <w:keepLines w:val="0"/>
        <w:spacing w:after="80" w:before="0" w:lineRule="auto"/>
        <w:jc w:val="both"/>
        <w:rPr>
          <w:rFonts w:ascii="Times New Roman" w:cs="Times New Roman" w:eastAsia="Times New Roman" w:hAnsi="Times New Roman"/>
          <w:sz w:val="34"/>
          <w:szCs w:val="34"/>
        </w:rPr>
      </w:pPr>
      <w:bookmarkStart w:colFirst="0" w:colLast="0" w:name="_s9wb7h27isr8" w:id="0"/>
      <w:bookmarkEnd w:id="0"/>
      <w:r w:rsidDel="00000000" w:rsidR="00000000" w:rsidRPr="00000000">
        <w:rPr>
          <w:rFonts w:ascii="Times New Roman" w:cs="Times New Roman" w:eastAsia="Times New Roman" w:hAnsi="Times New Roman"/>
          <w:sz w:val="34"/>
          <w:szCs w:val="34"/>
          <w:rtl w:val="0"/>
        </w:rPr>
        <w:t xml:space="preserve">References</w:t>
      </w:r>
    </w:p>
    <w:p w:rsidR="00000000" w:rsidDel="00000000" w:rsidP="00000000" w:rsidRDefault="00000000" w:rsidRPr="00000000" w14:paraId="0000002C">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Anselm, and Sidney Norton Deane, </w:t>
      </w:r>
      <w:r w:rsidDel="00000000" w:rsidR="00000000" w:rsidRPr="00000000">
        <w:rPr>
          <w:rFonts w:ascii="Times New Roman" w:cs="Times New Roman" w:eastAsia="Times New Roman" w:hAnsi="Times New Roman"/>
          <w:i w:val="1"/>
          <w:sz w:val="24"/>
          <w:szCs w:val="24"/>
          <w:rtl w:val="0"/>
        </w:rPr>
        <w:t xml:space="preserve">St. Anselm: Basic Writings</w:t>
      </w:r>
      <w:r w:rsidDel="00000000" w:rsidR="00000000" w:rsidRPr="00000000">
        <w:rPr>
          <w:rFonts w:ascii="Times New Roman" w:cs="Times New Roman" w:eastAsia="Times New Roman" w:hAnsi="Times New Roman"/>
          <w:sz w:val="24"/>
          <w:szCs w:val="24"/>
          <w:rtl w:val="0"/>
        </w:rPr>
        <w:t xml:space="preserve"> (La Salle, Ill.: Open Court, 1962)</w:t>
      </w:r>
    </w:p>
    <w:p w:rsidR="00000000" w:rsidDel="00000000" w:rsidP="00000000" w:rsidRDefault="00000000" w:rsidRPr="00000000" w14:paraId="0000002D">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Anselm, and Gaunilo, (ed. M. J Charlesworth) </w:t>
      </w:r>
      <w:r w:rsidDel="00000000" w:rsidR="00000000" w:rsidRPr="00000000">
        <w:rPr>
          <w:rFonts w:ascii="Times New Roman" w:cs="Times New Roman" w:eastAsia="Times New Roman" w:hAnsi="Times New Roman"/>
          <w:i w:val="1"/>
          <w:sz w:val="24"/>
          <w:szCs w:val="24"/>
          <w:rtl w:val="0"/>
        </w:rPr>
        <w:t xml:space="preserve">St. Anselm's Proslogion With A Reply On Behalf Of The Fool</w:t>
      </w:r>
      <w:r w:rsidDel="00000000" w:rsidR="00000000" w:rsidRPr="00000000">
        <w:rPr>
          <w:rFonts w:ascii="Times New Roman" w:cs="Times New Roman" w:eastAsia="Times New Roman" w:hAnsi="Times New Roman"/>
          <w:sz w:val="24"/>
          <w:szCs w:val="24"/>
          <w:rtl w:val="0"/>
        </w:rPr>
        <w:t xml:space="preserve"> (Notre Dame, Ind.: University of Notre Dame Press, 2004)</w:t>
      </w:r>
    </w:p>
    <w:p w:rsidR="00000000" w:rsidDel="00000000" w:rsidP="00000000" w:rsidRDefault="00000000" w:rsidRPr="00000000" w14:paraId="0000002E">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Cornman, James W, Keith Lehrer, and George Sotiros Pappas, </w:t>
      </w:r>
      <w:r w:rsidDel="00000000" w:rsidR="00000000" w:rsidRPr="00000000">
        <w:rPr>
          <w:rFonts w:ascii="Times New Roman" w:cs="Times New Roman" w:eastAsia="Times New Roman" w:hAnsi="Times New Roman"/>
          <w:i w:val="1"/>
          <w:sz w:val="24"/>
          <w:szCs w:val="24"/>
          <w:rtl w:val="0"/>
        </w:rPr>
        <w:t xml:space="preserve">Philosophical Problems And Arguments: An Introduction</w:t>
      </w:r>
      <w:r w:rsidDel="00000000" w:rsidR="00000000" w:rsidRPr="00000000">
        <w:rPr>
          <w:rFonts w:ascii="Times New Roman" w:cs="Times New Roman" w:eastAsia="Times New Roman" w:hAnsi="Times New Roman"/>
          <w:sz w:val="24"/>
          <w:szCs w:val="24"/>
          <w:rtl w:val="0"/>
        </w:rPr>
        <w:t xml:space="preserve"> (Indianapolis: Hackett, 1992), pp. 254-256</w:t>
      </w:r>
    </w:p>
    <w:p w:rsidR="00000000" w:rsidDel="00000000" w:rsidP="00000000" w:rsidRDefault="00000000" w:rsidRPr="00000000" w14:paraId="0000002F">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Descartes, René, Stanley Tweyman, Elizabeth Sanderson Haldane, and G. R. T Ross, </w:t>
      </w:r>
      <w:r w:rsidDel="00000000" w:rsidR="00000000" w:rsidRPr="00000000">
        <w:rPr>
          <w:rFonts w:ascii="Times New Roman" w:cs="Times New Roman" w:eastAsia="Times New Roman" w:hAnsi="Times New Roman"/>
          <w:i w:val="1"/>
          <w:sz w:val="24"/>
          <w:szCs w:val="24"/>
          <w:rtl w:val="0"/>
        </w:rPr>
        <w:t xml:space="preserve">Meditations On First Philosophy In Focus</w:t>
      </w:r>
      <w:r w:rsidDel="00000000" w:rsidR="00000000" w:rsidRPr="00000000">
        <w:rPr>
          <w:rFonts w:ascii="Times New Roman" w:cs="Times New Roman" w:eastAsia="Times New Roman" w:hAnsi="Times New Roman"/>
          <w:sz w:val="24"/>
          <w:szCs w:val="24"/>
          <w:rtl w:val="0"/>
        </w:rPr>
        <w:t xml:space="preserve"> (London: Routledge, 1993), p. 83</w:t>
      </w:r>
    </w:p>
    <w:p w:rsidR="00000000" w:rsidDel="00000000" w:rsidP="00000000" w:rsidRDefault="00000000" w:rsidRPr="00000000" w14:paraId="00000030">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Hick, John, (ed.) </w:t>
      </w:r>
      <w:r w:rsidDel="00000000" w:rsidR="00000000" w:rsidRPr="00000000">
        <w:rPr>
          <w:rFonts w:ascii="Times New Roman" w:cs="Times New Roman" w:eastAsia="Times New Roman" w:hAnsi="Times New Roman"/>
          <w:i w:val="1"/>
          <w:sz w:val="24"/>
          <w:szCs w:val="24"/>
          <w:rtl w:val="0"/>
        </w:rPr>
        <w:t xml:space="preserve">The Existence Of God</w:t>
      </w:r>
      <w:r w:rsidDel="00000000" w:rsidR="00000000" w:rsidRPr="00000000">
        <w:rPr>
          <w:rFonts w:ascii="Times New Roman" w:cs="Times New Roman" w:eastAsia="Times New Roman" w:hAnsi="Times New Roman"/>
          <w:sz w:val="24"/>
          <w:szCs w:val="24"/>
          <w:rtl w:val="0"/>
        </w:rPr>
        <w:t xml:space="preserve"> (New York: The Macmillan Company, 1964), pp. 23-71</w:t>
      </w:r>
    </w:p>
    <w:p w:rsidR="00000000" w:rsidDel="00000000" w:rsidP="00000000" w:rsidRDefault="00000000" w:rsidRPr="00000000" w14:paraId="00000031">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Hopkins, Jasper, </w:t>
      </w:r>
      <w:r w:rsidDel="00000000" w:rsidR="00000000" w:rsidRPr="00000000">
        <w:rPr>
          <w:rFonts w:ascii="Times New Roman" w:cs="Times New Roman" w:eastAsia="Times New Roman" w:hAnsi="Times New Roman"/>
          <w:i w:val="1"/>
          <w:sz w:val="24"/>
          <w:szCs w:val="24"/>
          <w:rtl w:val="0"/>
        </w:rPr>
        <w:t xml:space="preserve">Anselm Of Canterbury</w:t>
      </w:r>
      <w:r w:rsidDel="00000000" w:rsidR="00000000" w:rsidRPr="00000000">
        <w:rPr>
          <w:rFonts w:ascii="Times New Roman" w:cs="Times New Roman" w:eastAsia="Times New Roman" w:hAnsi="Times New Roman"/>
          <w:sz w:val="24"/>
          <w:szCs w:val="24"/>
          <w:rtl w:val="0"/>
        </w:rPr>
        <w:t xml:space="preserve"> (Toronto: Edward Mellen Press, 1976), pp. 97-117</w:t>
      </w:r>
    </w:p>
    <w:p w:rsidR="00000000" w:rsidDel="00000000" w:rsidP="00000000" w:rsidRDefault="00000000" w:rsidRPr="00000000" w14:paraId="00000032">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Kant, Immanuel, (Trans. Norman Kemp Smith), </w:t>
      </w:r>
      <w:r w:rsidDel="00000000" w:rsidR="00000000" w:rsidRPr="00000000">
        <w:rPr>
          <w:rFonts w:ascii="Times New Roman" w:cs="Times New Roman" w:eastAsia="Times New Roman" w:hAnsi="Times New Roman"/>
          <w:i w:val="1"/>
          <w:sz w:val="24"/>
          <w:szCs w:val="24"/>
          <w:rtl w:val="0"/>
        </w:rPr>
        <w:t xml:space="preserve">Critique Of Pure Reason</w:t>
      </w:r>
      <w:r w:rsidDel="00000000" w:rsidR="00000000" w:rsidRPr="00000000">
        <w:rPr>
          <w:rFonts w:ascii="Times New Roman" w:cs="Times New Roman" w:eastAsia="Times New Roman" w:hAnsi="Times New Roman"/>
          <w:sz w:val="24"/>
          <w:szCs w:val="24"/>
          <w:rtl w:val="0"/>
        </w:rPr>
        <w:t xml:space="preserve"> (London: Macmillan, 1929), p. 503</w:t>
      </w:r>
    </w:p>
    <w:p w:rsidR="00000000" w:rsidDel="00000000" w:rsidP="00000000" w:rsidRDefault="00000000" w:rsidRPr="00000000" w14:paraId="00000033">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Malcolm, Norman, "Anselm's Ontological Arguments", </w:t>
      </w:r>
      <w:r w:rsidDel="00000000" w:rsidR="00000000" w:rsidRPr="00000000">
        <w:rPr>
          <w:rFonts w:ascii="Times New Roman" w:cs="Times New Roman" w:eastAsia="Times New Roman" w:hAnsi="Times New Roman"/>
          <w:i w:val="1"/>
          <w:sz w:val="24"/>
          <w:szCs w:val="24"/>
          <w:rtl w:val="0"/>
        </w:rPr>
        <w:t xml:space="preserve">The Philosophical Review</w:t>
      </w:r>
      <w:r w:rsidDel="00000000" w:rsidR="00000000" w:rsidRPr="00000000">
        <w:rPr>
          <w:rFonts w:ascii="Times New Roman" w:cs="Times New Roman" w:eastAsia="Times New Roman" w:hAnsi="Times New Roman"/>
          <w:sz w:val="24"/>
          <w:szCs w:val="24"/>
          <w:rtl w:val="0"/>
        </w:rPr>
        <w:t xml:space="preserve">, 69 (1960), 41-62</w:t>
      </w:r>
    </w:p>
    <w:p w:rsidR="00000000" w:rsidDel="00000000" w:rsidP="00000000" w:rsidRDefault="00000000" w:rsidRPr="00000000" w14:paraId="00000034">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Mann, William, "The Ontological Presuppositions Of The Ontological Argument", </w:t>
      </w:r>
      <w:r w:rsidDel="00000000" w:rsidR="00000000" w:rsidRPr="00000000">
        <w:rPr>
          <w:rFonts w:ascii="Times New Roman" w:cs="Times New Roman" w:eastAsia="Times New Roman" w:hAnsi="Times New Roman"/>
          <w:i w:val="1"/>
          <w:sz w:val="24"/>
          <w:szCs w:val="24"/>
          <w:rtl w:val="0"/>
        </w:rPr>
        <w:t xml:space="preserve">Review Of Metaphysics</w:t>
      </w:r>
      <w:r w:rsidDel="00000000" w:rsidR="00000000" w:rsidRPr="00000000">
        <w:rPr>
          <w:rFonts w:ascii="Times New Roman" w:cs="Times New Roman" w:eastAsia="Times New Roman" w:hAnsi="Times New Roman"/>
          <w:sz w:val="24"/>
          <w:szCs w:val="24"/>
          <w:rtl w:val="0"/>
        </w:rPr>
        <w:t xml:space="preserve">, 26 (1972), 260-77</w:t>
      </w:r>
    </w:p>
    <w:p w:rsidR="00000000" w:rsidDel="00000000" w:rsidP="00000000" w:rsidRDefault="00000000" w:rsidRPr="00000000" w14:paraId="00000035">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McGrath, Alister E., </w:t>
      </w:r>
      <w:r w:rsidDel="00000000" w:rsidR="00000000" w:rsidRPr="00000000">
        <w:rPr>
          <w:rFonts w:ascii="Times New Roman" w:cs="Times New Roman" w:eastAsia="Times New Roman" w:hAnsi="Times New Roman"/>
          <w:i w:val="1"/>
          <w:sz w:val="24"/>
          <w:szCs w:val="24"/>
          <w:rtl w:val="0"/>
        </w:rPr>
        <w:t xml:space="preserve">Science &amp; Religion</w:t>
      </w:r>
      <w:r w:rsidDel="00000000" w:rsidR="00000000" w:rsidRPr="00000000">
        <w:rPr>
          <w:rFonts w:ascii="Times New Roman" w:cs="Times New Roman" w:eastAsia="Times New Roman" w:hAnsi="Times New Roman"/>
          <w:sz w:val="24"/>
          <w:szCs w:val="24"/>
          <w:rtl w:val="0"/>
        </w:rPr>
        <w:t xml:space="preserve"> (Malden, Mass: Blackwell Publishing, 2008), pp. 89-91</w:t>
      </w:r>
    </w:p>
    <w:p w:rsidR="00000000" w:rsidDel="00000000" w:rsidP="00000000" w:rsidRDefault="00000000" w:rsidRPr="00000000" w14:paraId="00000036">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Penelhum, Terence, "On The Second Ontological Argument", </w:t>
      </w:r>
      <w:r w:rsidDel="00000000" w:rsidR="00000000" w:rsidRPr="00000000">
        <w:rPr>
          <w:rFonts w:ascii="Times New Roman" w:cs="Times New Roman" w:eastAsia="Times New Roman" w:hAnsi="Times New Roman"/>
          <w:i w:val="1"/>
          <w:sz w:val="24"/>
          <w:szCs w:val="24"/>
          <w:rtl w:val="0"/>
        </w:rPr>
        <w:t xml:space="preserve">The Philosophical Review</w:t>
      </w:r>
      <w:r w:rsidDel="00000000" w:rsidR="00000000" w:rsidRPr="00000000">
        <w:rPr>
          <w:rFonts w:ascii="Times New Roman" w:cs="Times New Roman" w:eastAsia="Times New Roman" w:hAnsi="Times New Roman"/>
          <w:sz w:val="24"/>
          <w:szCs w:val="24"/>
          <w:rtl w:val="0"/>
        </w:rPr>
        <w:t xml:space="preserve">, 70 (1961), 85-92</w:t>
      </w:r>
    </w:p>
    <w:p w:rsidR="00000000" w:rsidDel="00000000" w:rsidP="00000000" w:rsidRDefault="00000000" w:rsidRPr="00000000" w14:paraId="00000037">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Plantinga, Alvin, and James F Sennett, </w:t>
      </w:r>
      <w:r w:rsidDel="00000000" w:rsidR="00000000" w:rsidRPr="00000000">
        <w:rPr>
          <w:rFonts w:ascii="Times New Roman" w:cs="Times New Roman" w:eastAsia="Times New Roman" w:hAnsi="Times New Roman"/>
          <w:i w:val="1"/>
          <w:sz w:val="24"/>
          <w:szCs w:val="24"/>
          <w:rtl w:val="0"/>
        </w:rPr>
        <w:t xml:space="preserve">The Analytic Theist</w:t>
      </w:r>
      <w:r w:rsidDel="00000000" w:rsidR="00000000" w:rsidRPr="00000000">
        <w:rPr>
          <w:rFonts w:ascii="Times New Roman" w:cs="Times New Roman" w:eastAsia="Times New Roman" w:hAnsi="Times New Roman"/>
          <w:sz w:val="24"/>
          <w:szCs w:val="24"/>
          <w:rtl w:val="0"/>
        </w:rPr>
        <w:t xml:space="preserve"> (Grand Rapids, Mi.: Eerdmans, 2000)</w:t>
      </w:r>
    </w:p>
    <w:p w:rsidR="00000000" w:rsidDel="00000000" w:rsidP="00000000" w:rsidRDefault="00000000" w:rsidRPr="00000000" w14:paraId="00000038">
      <w:pPr>
        <w:spacing w:after="180" w:lineRule="auto"/>
        <w:ind w:left="900" w:hanging="44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Zagzebski, Linda, and Timothy Miller, </w:t>
      </w:r>
      <w:r w:rsidDel="00000000" w:rsidR="00000000" w:rsidRPr="00000000">
        <w:rPr>
          <w:rFonts w:ascii="Times New Roman" w:cs="Times New Roman" w:eastAsia="Times New Roman" w:hAnsi="Times New Roman"/>
          <w:i w:val="1"/>
          <w:sz w:val="24"/>
          <w:szCs w:val="24"/>
          <w:rtl w:val="0"/>
        </w:rPr>
        <w:t xml:space="preserve">Readings In Philosophy Of Religion</w:t>
      </w:r>
      <w:r w:rsidDel="00000000" w:rsidR="00000000" w:rsidRPr="00000000">
        <w:rPr>
          <w:rFonts w:ascii="Times New Roman" w:cs="Times New Roman" w:eastAsia="Times New Roman" w:hAnsi="Times New Roman"/>
          <w:sz w:val="24"/>
          <w:szCs w:val="24"/>
          <w:rtl w:val="0"/>
        </w:rPr>
        <w:t xml:space="preserve"> (Malden, Mass.: Wiley-Blackwell, 2009), p. 82</w:t>
      </w:r>
    </w:p>
    <w:p w:rsidR="00000000" w:rsidDel="00000000" w:rsidP="00000000" w:rsidRDefault="00000000" w:rsidRPr="00000000" w14:paraId="00000039">
      <w:pPr>
        <w:jc w:val="both"/>
        <w:rPr>
          <w:rFonts w:ascii="Times New Roman" w:cs="Times New Roman" w:eastAsia="Times New Roman" w:hAnsi="Times New Roman"/>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John Hick, </w:t>
      </w:r>
      <w:r w:rsidDel="00000000" w:rsidR="00000000" w:rsidRPr="00000000">
        <w:rPr>
          <w:i w:val="1"/>
          <w:sz w:val="20"/>
          <w:szCs w:val="20"/>
          <w:highlight w:val="white"/>
          <w:rtl w:val="0"/>
        </w:rPr>
        <w:t xml:space="preserve">The Existence Of God</w:t>
      </w:r>
      <w:r w:rsidDel="00000000" w:rsidR="00000000" w:rsidRPr="00000000">
        <w:rPr>
          <w:sz w:val="20"/>
          <w:szCs w:val="20"/>
          <w:highlight w:val="white"/>
          <w:rtl w:val="0"/>
        </w:rPr>
        <w:t xml:space="preserve"> (New York: The Macmillan Company, 1964), pp. 23.</w:t>
      </w:r>
      <w:r w:rsidDel="00000000" w:rsidR="00000000" w:rsidRPr="00000000">
        <w:rPr>
          <w:rtl w:val="0"/>
        </w:rPr>
      </w:r>
    </w:p>
  </w:footnote>
  <w:footnote w:id="2">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William Mann, "The Ontological Presuppositions Of The Ontological Argument", </w:t>
      </w:r>
      <w:r w:rsidDel="00000000" w:rsidR="00000000" w:rsidRPr="00000000">
        <w:rPr>
          <w:i w:val="1"/>
          <w:sz w:val="20"/>
          <w:szCs w:val="20"/>
          <w:highlight w:val="white"/>
          <w:rtl w:val="0"/>
        </w:rPr>
        <w:t xml:space="preserve">Review Of Metaphysics</w:t>
      </w:r>
      <w:r w:rsidDel="00000000" w:rsidR="00000000" w:rsidRPr="00000000">
        <w:rPr>
          <w:sz w:val="20"/>
          <w:szCs w:val="20"/>
          <w:highlight w:val="white"/>
          <w:rtl w:val="0"/>
        </w:rPr>
        <w:t xml:space="preserve">, 26 (1972), 260-77.</w:t>
      </w:r>
      <w:r w:rsidDel="00000000" w:rsidR="00000000" w:rsidRPr="00000000">
        <w:rPr>
          <w:rtl w:val="0"/>
        </w:rPr>
      </w:r>
    </w:p>
  </w:footnote>
  <w:footnote w:id="0">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Alister E. McGrath, </w:t>
      </w:r>
      <w:r w:rsidDel="00000000" w:rsidR="00000000" w:rsidRPr="00000000">
        <w:rPr>
          <w:i w:val="1"/>
          <w:sz w:val="20"/>
          <w:szCs w:val="20"/>
          <w:highlight w:val="white"/>
          <w:rtl w:val="0"/>
        </w:rPr>
        <w:t xml:space="preserve">Science &amp; Religion</w:t>
      </w:r>
      <w:r w:rsidDel="00000000" w:rsidR="00000000" w:rsidRPr="00000000">
        <w:rPr>
          <w:sz w:val="20"/>
          <w:szCs w:val="20"/>
          <w:highlight w:val="white"/>
          <w:rtl w:val="0"/>
        </w:rPr>
        <w:t xml:space="preserve"> (Malden, Mass: Blackwell Publishing, 2008), pp. 89-91.</w:t>
      </w:r>
      <w:r w:rsidDel="00000000" w:rsidR="00000000" w:rsidRPr="00000000">
        <w:rPr>
          <w:rtl w:val="0"/>
        </w:rPr>
      </w:r>
    </w:p>
  </w:footnote>
  <w:footnote w:id="3">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ibid</w:t>
      </w:r>
      <w:r w:rsidDel="00000000" w:rsidR="00000000" w:rsidRPr="00000000">
        <w:rPr>
          <w:sz w:val="20"/>
          <w:szCs w:val="20"/>
          <w:rtl w:val="0"/>
        </w:rPr>
        <w:t xml:space="preserve">.</w:t>
      </w:r>
    </w:p>
  </w:footnote>
  <w:footnote w:id="4">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James W Cornman, Keith Lehrer and George Sotiros Pappas, </w:t>
      </w:r>
      <w:r w:rsidDel="00000000" w:rsidR="00000000" w:rsidRPr="00000000">
        <w:rPr>
          <w:i w:val="1"/>
          <w:sz w:val="20"/>
          <w:szCs w:val="20"/>
          <w:highlight w:val="white"/>
          <w:rtl w:val="0"/>
        </w:rPr>
        <w:t xml:space="preserve">Philosophical Problems And Arguments: An Introduction</w:t>
      </w:r>
      <w:r w:rsidDel="00000000" w:rsidR="00000000" w:rsidRPr="00000000">
        <w:rPr>
          <w:sz w:val="20"/>
          <w:szCs w:val="20"/>
          <w:highlight w:val="white"/>
          <w:rtl w:val="0"/>
        </w:rPr>
        <w:t xml:space="preserve"> (Indianapolis: Hackett, 1992), pp. 254-256.</w:t>
      </w:r>
      <w:r w:rsidDel="00000000" w:rsidR="00000000" w:rsidRPr="00000000">
        <w:rPr>
          <w:rtl w:val="0"/>
        </w:rPr>
      </w:r>
    </w:p>
  </w:footnote>
  <w:footnote w:id="5">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Jasper Hopkins, </w:t>
      </w:r>
      <w:r w:rsidDel="00000000" w:rsidR="00000000" w:rsidRPr="00000000">
        <w:rPr>
          <w:i w:val="1"/>
          <w:sz w:val="20"/>
          <w:szCs w:val="20"/>
          <w:highlight w:val="white"/>
          <w:rtl w:val="0"/>
        </w:rPr>
        <w:t xml:space="preserve">Anselm Of Canterbury</w:t>
      </w:r>
      <w:r w:rsidDel="00000000" w:rsidR="00000000" w:rsidRPr="00000000">
        <w:rPr>
          <w:sz w:val="20"/>
          <w:szCs w:val="20"/>
          <w:highlight w:val="white"/>
          <w:rtl w:val="0"/>
        </w:rPr>
        <w:t xml:space="preserve"> (Toronto: Edward Mellen Press, 1976), p. 98.</w:t>
      </w:r>
      <w:r w:rsidDel="00000000" w:rsidR="00000000" w:rsidRPr="00000000">
        <w:rPr>
          <w:rtl w:val="0"/>
        </w:rPr>
      </w:r>
    </w:p>
  </w:footnote>
  <w:footnote w:id="6">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John Hick, (ed.) </w:t>
      </w:r>
      <w:r w:rsidDel="00000000" w:rsidR="00000000" w:rsidRPr="00000000">
        <w:rPr>
          <w:i w:val="1"/>
          <w:sz w:val="20"/>
          <w:szCs w:val="20"/>
          <w:highlight w:val="white"/>
          <w:rtl w:val="0"/>
        </w:rPr>
        <w:t xml:space="preserve">The Existence Of God</w:t>
      </w:r>
      <w:r w:rsidDel="00000000" w:rsidR="00000000" w:rsidRPr="00000000">
        <w:rPr>
          <w:sz w:val="20"/>
          <w:szCs w:val="20"/>
          <w:highlight w:val="white"/>
          <w:rtl w:val="0"/>
        </w:rPr>
        <w:t xml:space="preserve"> (New York: The Macmillan Company, 1964), p. 31.</w:t>
      </w:r>
      <w:r w:rsidDel="00000000" w:rsidR="00000000" w:rsidRPr="00000000">
        <w:rPr>
          <w:rtl w:val="0"/>
        </w:rPr>
      </w:r>
    </w:p>
  </w:footnote>
  <w:footnote w:id="7">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Alister E. McGrath, </w:t>
      </w:r>
      <w:r w:rsidDel="00000000" w:rsidR="00000000" w:rsidRPr="00000000">
        <w:rPr>
          <w:i w:val="1"/>
          <w:sz w:val="20"/>
          <w:szCs w:val="20"/>
          <w:highlight w:val="white"/>
          <w:rtl w:val="0"/>
        </w:rPr>
        <w:t xml:space="preserve">Science &amp; Religion</w:t>
      </w:r>
      <w:r w:rsidDel="00000000" w:rsidR="00000000" w:rsidRPr="00000000">
        <w:rPr>
          <w:sz w:val="20"/>
          <w:szCs w:val="20"/>
          <w:highlight w:val="white"/>
          <w:rtl w:val="0"/>
        </w:rPr>
        <w:t xml:space="preserve"> (Malden, Mass: Blackwell Publishing, 2008), pp. 89-91.</w:t>
      </w:r>
      <w:r w:rsidDel="00000000" w:rsidR="00000000" w:rsidRPr="00000000">
        <w:rPr>
          <w:rtl w:val="0"/>
        </w:rPr>
      </w:r>
    </w:p>
  </w:footnote>
  <w:footnote w:id="8">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Immanuel Kant (Trans. Norman Kemp Smith), </w:t>
      </w:r>
      <w:r w:rsidDel="00000000" w:rsidR="00000000" w:rsidRPr="00000000">
        <w:rPr>
          <w:i w:val="1"/>
          <w:sz w:val="20"/>
          <w:szCs w:val="20"/>
          <w:highlight w:val="white"/>
          <w:rtl w:val="0"/>
        </w:rPr>
        <w:t xml:space="preserve">Critique Of Pure Reason</w:t>
      </w:r>
      <w:r w:rsidDel="00000000" w:rsidR="00000000" w:rsidRPr="00000000">
        <w:rPr>
          <w:sz w:val="20"/>
          <w:szCs w:val="20"/>
          <w:highlight w:val="white"/>
          <w:rtl w:val="0"/>
        </w:rPr>
        <w:t xml:space="preserve"> (London: Macmillan, 1929), p. 503.</w:t>
      </w:r>
      <w:r w:rsidDel="00000000" w:rsidR="00000000" w:rsidRPr="00000000">
        <w:rPr>
          <w:rtl w:val="0"/>
        </w:rPr>
      </w:r>
    </w:p>
  </w:footnote>
  <w:footnote w:id="9">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René Descartes and others, </w:t>
      </w:r>
      <w:r w:rsidDel="00000000" w:rsidR="00000000" w:rsidRPr="00000000">
        <w:rPr>
          <w:i w:val="1"/>
          <w:sz w:val="20"/>
          <w:szCs w:val="20"/>
          <w:highlight w:val="white"/>
          <w:rtl w:val="0"/>
        </w:rPr>
        <w:t xml:space="preserve">Meditations On First Philosophy In Focus</w:t>
      </w:r>
      <w:r w:rsidDel="00000000" w:rsidR="00000000" w:rsidRPr="00000000">
        <w:rPr>
          <w:sz w:val="20"/>
          <w:szCs w:val="20"/>
          <w:highlight w:val="white"/>
          <w:rtl w:val="0"/>
        </w:rPr>
        <w:t xml:space="preserve"> (London: Routledge, 1993), p. 83.</w:t>
      </w:r>
      <w:r w:rsidDel="00000000" w:rsidR="00000000" w:rsidRPr="00000000">
        <w:rPr>
          <w:rtl w:val="0"/>
        </w:rPr>
      </w:r>
    </w:p>
  </w:footnote>
  <w:footnote w:id="10">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Terence Penelhum, "On The Second Ontological Argument", </w:t>
      </w:r>
      <w:r w:rsidDel="00000000" w:rsidR="00000000" w:rsidRPr="00000000">
        <w:rPr>
          <w:i w:val="1"/>
          <w:sz w:val="20"/>
          <w:szCs w:val="20"/>
          <w:highlight w:val="white"/>
          <w:rtl w:val="0"/>
        </w:rPr>
        <w:t xml:space="preserve">The Philosophical Review</w:t>
      </w:r>
      <w:r w:rsidDel="00000000" w:rsidR="00000000" w:rsidRPr="00000000">
        <w:rPr>
          <w:sz w:val="20"/>
          <w:szCs w:val="20"/>
          <w:highlight w:val="white"/>
          <w:rtl w:val="0"/>
        </w:rPr>
        <w:t xml:space="preserve">, 70.1 (1961), 85-92.</w:t>
      </w:r>
      <w:r w:rsidDel="00000000" w:rsidR="00000000" w:rsidRPr="00000000">
        <w:rPr>
          <w:rtl w:val="0"/>
        </w:rPr>
      </w:r>
    </w:p>
  </w:footnote>
  <w:footnote w:id="11">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Norman Malcolm, "Anselm's Ontological Arguments", </w:t>
      </w:r>
      <w:r w:rsidDel="00000000" w:rsidR="00000000" w:rsidRPr="00000000">
        <w:rPr>
          <w:i w:val="1"/>
          <w:sz w:val="20"/>
          <w:szCs w:val="20"/>
          <w:highlight w:val="white"/>
          <w:rtl w:val="0"/>
        </w:rPr>
        <w:t xml:space="preserve">The Philosophical Review</w:t>
      </w:r>
      <w:r w:rsidDel="00000000" w:rsidR="00000000" w:rsidRPr="00000000">
        <w:rPr>
          <w:sz w:val="20"/>
          <w:szCs w:val="20"/>
          <w:highlight w:val="white"/>
          <w:rtl w:val="0"/>
        </w:rPr>
        <w:t xml:space="preserve">, 69.1 (1960), 41-62.</w:t>
      </w:r>
      <w:r w:rsidDel="00000000" w:rsidR="00000000" w:rsidRPr="00000000">
        <w:rPr>
          <w:rtl w:val="0"/>
        </w:rPr>
      </w:r>
    </w:p>
  </w:footnote>
  <w:footnote w:id="12">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highlight w:val="white"/>
          <w:rtl w:val="0"/>
        </w:rPr>
        <w:t xml:space="preserve">Alvin Plantinga and James F Sennett, </w:t>
      </w:r>
      <w:r w:rsidDel="00000000" w:rsidR="00000000" w:rsidRPr="00000000">
        <w:rPr>
          <w:i w:val="1"/>
          <w:sz w:val="20"/>
          <w:szCs w:val="20"/>
          <w:highlight w:val="white"/>
          <w:rtl w:val="0"/>
        </w:rPr>
        <w:t xml:space="preserve">The Analytic Theist</w:t>
      </w:r>
      <w:r w:rsidDel="00000000" w:rsidR="00000000" w:rsidRPr="00000000">
        <w:rPr>
          <w:sz w:val="20"/>
          <w:szCs w:val="20"/>
          <w:highlight w:val="white"/>
          <w:rtl w:val="0"/>
        </w:rPr>
        <w:t xml:space="preserve"> (Grand Rapids, Mi.: Eerdmans, 2000).</w:t>
      </w:r>
      <w:r w:rsidDel="00000000" w:rsidR="00000000" w:rsidRPr="00000000">
        <w:rPr>
          <w:rtl w:val="0"/>
        </w:rPr>
      </w:r>
    </w:p>
  </w:footnote>
  <w:footnote w:id="13">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ibid.</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lowerLetter"/>
      <w:lvlText w:val="(%1)"/>
      <w:lvlJc w:val="left"/>
      <w:pPr>
        <w:ind w:left="720" w:hanging="360"/>
      </w:pPr>
      <w:rPr>
        <w:u w:val="none"/>
      </w:rPr>
    </w:lvl>
    <w:lvl w:ilvl="1">
      <w:start w:val="1"/>
      <w:numFmt w:val="lowerRoman"/>
      <w:lvlText w:val="(%2)"/>
      <w:lvlJc w:val="right"/>
      <w:pPr>
        <w:ind w:left="1440" w:hanging="360"/>
      </w:pPr>
      <w:rPr>
        <w:u w:val="none"/>
      </w:rPr>
    </w:lvl>
    <w:lvl w:ilvl="2">
      <w:start w:val="1"/>
      <w:numFmt w:val="decimal"/>
      <w:lvlText w:val="(%3)"/>
      <w:lvlJc w:val="left"/>
      <w:pPr>
        <w:ind w:left="2160" w:hanging="360"/>
      </w:pPr>
      <w:rPr>
        <w:u w:val="none"/>
      </w:rPr>
    </w:lvl>
    <w:lvl w:ilvl="3">
      <w:start w:val="1"/>
      <w:numFmt w:val="lowerLetter"/>
      <w:lvlText w:val="%4)"/>
      <w:lvlJc w:val="left"/>
      <w:pPr>
        <w:ind w:left="2880" w:hanging="360"/>
      </w:pPr>
      <w:rPr>
        <w:u w:val="none"/>
      </w:rPr>
    </w:lvl>
    <w:lvl w:ilvl="4">
      <w:start w:val="1"/>
      <w:numFmt w:val="lowerRoman"/>
      <w:lvlText w:val="%5)"/>
      <w:lvlJc w:val="right"/>
      <w:pPr>
        <w:ind w:left="3600" w:hanging="360"/>
      </w:pPr>
      <w:rPr>
        <w:u w:val="none"/>
      </w:rPr>
    </w:lvl>
    <w:lvl w:ilvl="5">
      <w:start w:val="1"/>
      <w:numFmt w:val="decimal"/>
      <w:lvlText w:val="%6)"/>
      <w:lvlJc w:val="left"/>
      <w:pPr>
        <w:ind w:left="4320" w:hanging="360"/>
      </w:pPr>
      <w:rPr>
        <w:u w:val="none"/>
      </w:rPr>
    </w:lvl>
    <w:lvl w:ilvl="6">
      <w:start w:val="1"/>
      <w:numFmt w:val="lowerLetter"/>
      <w:lvlText w:val="%7."/>
      <w:lvlJc w:val="left"/>
      <w:pPr>
        <w:ind w:left="5040" w:hanging="360"/>
      </w:pPr>
      <w:rPr>
        <w:u w:val="none"/>
      </w:rPr>
    </w:lvl>
    <w:lvl w:ilvl="7">
      <w:start w:val="1"/>
      <w:numFmt w:val="lowerRoman"/>
      <w:lvlText w:val="%8."/>
      <w:lvlJc w:val="right"/>
      <w:pPr>
        <w:ind w:left="5760" w:hanging="360"/>
      </w:pPr>
      <w:rPr>
        <w:u w:val="none"/>
      </w:rPr>
    </w:lvl>
    <w:lvl w:ilvl="8">
      <w:start w:val="1"/>
      <w:numFmt w:val="decimal"/>
      <w:lvlText w:val="%9."/>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