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026586" w14:textId="77777777" w:rsidR="001B7F56" w:rsidRDefault="001B7F56" w:rsidP="0050457F">
      <w:pPr>
        <w:rPr>
          <w:b/>
          <w:bCs/>
          <w:noProof/>
          <w:color w:val="FF0000"/>
          <w:sz w:val="56"/>
          <w:szCs w:val="56"/>
          <w:lang w:val="en-US"/>
        </w:rPr>
      </w:pPr>
    </w:p>
    <w:p w14:paraId="1AFDC835" w14:textId="77777777" w:rsidR="001B7F56" w:rsidRDefault="001B7F56" w:rsidP="001B7F56">
      <w:pPr>
        <w:jc w:val="center"/>
        <w:rPr>
          <w:b/>
          <w:sz w:val="28"/>
        </w:rPr>
      </w:pPr>
      <w:r>
        <w:rPr>
          <w:b/>
          <w:sz w:val="28"/>
        </w:rPr>
        <w:t>International Meetings Management for the Hotel Industry</w:t>
      </w:r>
    </w:p>
    <w:p w14:paraId="14F65CEB" w14:textId="77777777" w:rsidR="001B7F56" w:rsidRDefault="001B7F56" w:rsidP="001B7F56">
      <w:pPr>
        <w:jc w:val="center"/>
        <w:rPr>
          <w:b/>
          <w:sz w:val="28"/>
        </w:rPr>
      </w:pPr>
      <w:r>
        <w:rPr>
          <w:b/>
          <w:sz w:val="28"/>
        </w:rPr>
        <w:t>BMIH6007</w:t>
      </w:r>
    </w:p>
    <w:p w14:paraId="4A5757AC" w14:textId="77777777" w:rsidR="001B7F56" w:rsidRDefault="001B7F56" w:rsidP="001B7F56">
      <w:pPr>
        <w:jc w:val="center"/>
        <w:rPr>
          <w:b/>
          <w:sz w:val="28"/>
        </w:rPr>
      </w:pPr>
    </w:p>
    <w:p w14:paraId="13CB3316" w14:textId="77777777" w:rsidR="001B7F56" w:rsidRDefault="001B7F56" w:rsidP="001B7F56">
      <w:pPr>
        <w:jc w:val="center"/>
        <w:rPr>
          <w:b/>
          <w:sz w:val="28"/>
        </w:rPr>
      </w:pPr>
      <w:r>
        <w:rPr>
          <w:b/>
          <w:sz w:val="28"/>
        </w:rPr>
        <w:t>Assignment 1: Feasibility Plan for an International Meeting</w:t>
      </w:r>
    </w:p>
    <w:p w14:paraId="75737F0C" w14:textId="77777777" w:rsidR="001B7F56" w:rsidRDefault="001B7F56" w:rsidP="001B7F56">
      <w:pPr>
        <w:jc w:val="center"/>
        <w:rPr>
          <w:b/>
          <w:sz w:val="28"/>
        </w:rPr>
      </w:pPr>
    </w:p>
    <w:p w14:paraId="6ADDE811" w14:textId="77777777" w:rsidR="001B7F56" w:rsidRDefault="001B7F56" w:rsidP="001B7F56">
      <w:pPr>
        <w:jc w:val="center"/>
        <w:rPr>
          <w:b/>
          <w:bCs/>
          <w:sz w:val="28"/>
        </w:rPr>
      </w:pPr>
      <w:r>
        <w:rPr>
          <w:b/>
          <w:sz w:val="28"/>
        </w:rPr>
        <w:t xml:space="preserve">Event Theme: </w:t>
      </w:r>
      <w:r w:rsidRPr="005923AD">
        <w:rPr>
          <w:b/>
          <w:bCs/>
          <w:sz w:val="28"/>
        </w:rPr>
        <w:t>Equality, Diversit</w:t>
      </w:r>
      <w:r>
        <w:rPr>
          <w:b/>
          <w:bCs/>
          <w:sz w:val="28"/>
        </w:rPr>
        <w:t>y and Inclusion within Industry</w:t>
      </w:r>
    </w:p>
    <w:p w14:paraId="5E1CC5FE" w14:textId="77777777" w:rsidR="001B7F56" w:rsidRDefault="001B7F56" w:rsidP="001B7F56">
      <w:pPr>
        <w:jc w:val="center"/>
        <w:rPr>
          <w:b/>
          <w:sz w:val="28"/>
        </w:rPr>
      </w:pPr>
      <w:r w:rsidRPr="005923AD">
        <w:rPr>
          <w:b/>
          <w:sz w:val="28"/>
        </w:rPr>
        <w:t>Mother and Baby</w:t>
      </w:r>
    </w:p>
    <w:p w14:paraId="10E477D2" w14:textId="77777777" w:rsidR="001B7F56" w:rsidRDefault="001B7F56" w:rsidP="001B7F56">
      <w:pPr>
        <w:jc w:val="center"/>
        <w:rPr>
          <w:b/>
          <w:sz w:val="28"/>
        </w:rPr>
      </w:pPr>
    </w:p>
    <w:p w14:paraId="27D55EE6" w14:textId="77777777" w:rsidR="001B7F56" w:rsidRPr="00400BA5" w:rsidRDefault="001B7F56" w:rsidP="001B7F56">
      <w:pPr>
        <w:jc w:val="center"/>
      </w:pPr>
      <w:r>
        <w:t xml:space="preserve">Student </w:t>
      </w:r>
      <w:r w:rsidRPr="00400BA5">
        <w:t>Name: Selina Akhter Seema</w:t>
      </w:r>
    </w:p>
    <w:p w14:paraId="3FA66C74" w14:textId="77777777" w:rsidR="001B7F56" w:rsidRDefault="001B7F56" w:rsidP="001B7F56">
      <w:pPr>
        <w:jc w:val="center"/>
      </w:pPr>
      <w:r>
        <w:t xml:space="preserve">Student </w:t>
      </w:r>
      <w:r w:rsidRPr="00400BA5">
        <w:t>ID: 2225106</w:t>
      </w:r>
    </w:p>
    <w:p w14:paraId="1078B8E3" w14:textId="77777777" w:rsidR="003F27A2" w:rsidRPr="003F27A2" w:rsidRDefault="0029660C" w:rsidP="003F27A2">
      <w:pPr>
        <w:jc w:val="center"/>
      </w:pPr>
      <w:r>
        <w:t xml:space="preserve">Lecturer Name: </w:t>
      </w:r>
      <w:r w:rsidR="003F27A2" w:rsidRPr="003F27A2">
        <w:t>Christopher Wilkin</w:t>
      </w:r>
    </w:p>
    <w:p w14:paraId="6E9B823E" w14:textId="77777777" w:rsidR="001B7F56" w:rsidRDefault="001B7F56" w:rsidP="001B7F56">
      <w:pPr>
        <w:jc w:val="center"/>
      </w:pPr>
    </w:p>
    <w:p w14:paraId="5EE07823" w14:textId="77777777" w:rsidR="003038AE" w:rsidRDefault="003038AE">
      <w:pPr>
        <w:rPr>
          <w:lang w:val="en-US"/>
        </w:rPr>
      </w:pPr>
    </w:p>
    <w:p w14:paraId="08981C26" w14:textId="77777777" w:rsidR="00886001" w:rsidRPr="008D4891" w:rsidRDefault="00886001" w:rsidP="00886001">
      <w:pPr>
        <w:jc w:val="center"/>
        <w:rPr>
          <w:rFonts w:eastAsia="Times New Roman"/>
          <w:b/>
          <w:bCs/>
          <w:sz w:val="28"/>
          <w:szCs w:val="28"/>
        </w:rPr>
      </w:pPr>
      <w:r w:rsidRPr="008D4891">
        <w:rPr>
          <w:b/>
        </w:rPr>
        <w:t>AI Acknowledgement</w:t>
      </w:r>
    </w:p>
    <w:p w14:paraId="4E7C8AB0" w14:textId="77777777" w:rsidR="00886001" w:rsidRDefault="00886001" w:rsidP="00886001">
      <w:pPr>
        <w:jc w:val="center"/>
      </w:pPr>
      <w:r w:rsidRPr="00333990"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p w14:paraId="1AE15FB6" w14:textId="77777777" w:rsidR="00886001" w:rsidRDefault="00886001" w:rsidP="00886001">
      <w:pPr>
        <w:jc w:val="center"/>
      </w:pPr>
    </w:p>
    <w:p w14:paraId="646DBB0B" w14:textId="77777777" w:rsidR="001B7F56" w:rsidRDefault="001B7F56">
      <w:pPr>
        <w:rPr>
          <w:lang w:val="en-US"/>
        </w:rPr>
      </w:pPr>
    </w:p>
    <w:p w14:paraId="60AD7727" w14:textId="77777777" w:rsidR="001B7F56" w:rsidRDefault="001B7F56">
      <w:pPr>
        <w:rPr>
          <w:lang w:val="en-US"/>
        </w:rPr>
      </w:pPr>
    </w:p>
    <w:p w14:paraId="4B1E9B9B" w14:textId="77777777" w:rsidR="001B7F56" w:rsidRDefault="001B7F56">
      <w:pPr>
        <w:rPr>
          <w:lang w:val="en-US"/>
        </w:rPr>
      </w:pPr>
    </w:p>
    <w:p w14:paraId="7044762D" w14:textId="77777777" w:rsidR="001B7F56" w:rsidRDefault="001B7F56">
      <w:pPr>
        <w:rPr>
          <w:lang w:val="en-US"/>
        </w:rPr>
      </w:pPr>
    </w:p>
    <w:p w14:paraId="0D7699A2" w14:textId="77777777" w:rsidR="001B7F56" w:rsidRDefault="001B7F56">
      <w:pPr>
        <w:rPr>
          <w:lang w:val="en-US"/>
        </w:rPr>
      </w:pPr>
      <w:r>
        <w:rPr>
          <w:noProof/>
          <w14:ligatures w14:val="standardContextual"/>
        </w:rPr>
        <w:drawing>
          <wp:inline distT="0" distB="0" distL="0" distR="0" wp14:anchorId="2DC13532" wp14:editId="68228452">
            <wp:extent cx="5731510" cy="3223895"/>
            <wp:effectExtent l="0" t="0" r="2540" b="0"/>
            <wp:docPr id="208672786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6727869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083F1" w14:textId="77777777" w:rsidR="001B7F56" w:rsidRDefault="001B7F56">
      <w:pPr>
        <w:rPr>
          <w:lang w:val="en-US"/>
        </w:rPr>
      </w:pPr>
    </w:p>
    <w:p w14:paraId="3B026ED8" w14:textId="77777777" w:rsidR="001B7F56" w:rsidRDefault="001B7F56">
      <w:pPr>
        <w:rPr>
          <w:lang w:val="en-US"/>
        </w:rPr>
      </w:pPr>
      <w:r>
        <w:rPr>
          <w:noProof/>
          <w14:ligatures w14:val="standardContextual"/>
        </w:rPr>
        <w:drawing>
          <wp:inline distT="0" distB="0" distL="0" distR="0" wp14:anchorId="0F3B30BB" wp14:editId="6CC941D5">
            <wp:extent cx="5731510" cy="3223895"/>
            <wp:effectExtent l="0" t="0" r="2540" b="0"/>
            <wp:docPr id="143971628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9716281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633A72" w14:textId="77777777" w:rsidR="001B7F56" w:rsidRDefault="001B7F56">
      <w:pPr>
        <w:rPr>
          <w:lang w:val="en-US"/>
        </w:rPr>
      </w:pPr>
    </w:p>
    <w:p w14:paraId="64C6096B" w14:textId="77777777" w:rsidR="001B7F56" w:rsidRDefault="001B7F56">
      <w:pPr>
        <w:rPr>
          <w:lang w:val="en-US"/>
        </w:rPr>
      </w:pPr>
    </w:p>
    <w:p w14:paraId="1C643E31" w14:textId="77777777" w:rsidR="001B7F56" w:rsidRDefault="001B7F56">
      <w:pPr>
        <w:rPr>
          <w:lang w:val="en-US"/>
        </w:rPr>
      </w:pPr>
    </w:p>
    <w:p w14:paraId="4CB29BFE" w14:textId="77777777" w:rsidR="001B7F56" w:rsidRDefault="001B7F56">
      <w:pPr>
        <w:rPr>
          <w:lang w:val="en-US"/>
        </w:rPr>
      </w:pPr>
    </w:p>
    <w:p w14:paraId="7B172FF8" w14:textId="77777777" w:rsidR="001B7F56" w:rsidRDefault="001B7F56">
      <w:pPr>
        <w:rPr>
          <w:lang w:val="en-US"/>
        </w:rPr>
      </w:pPr>
      <w:r>
        <w:rPr>
          <w:noProof/>
          <w14:ligatures w14:val="standardContextual"/>
        </w:rPr>
        <w:lastRenderedPageBreak/>
        <w:drawing>
          <wp:inline distT="0" distB="0" distL="0" distR="0" wp14:anchorId="7FEF88A7" wp14:editId="235A6DAC">
            <wp:extent cx="5731510" cy="3223895"/>
            <wp:effectExtent l="0" t="0" r="2540" b="0"/>
            <wp:docPr id="168460606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4606066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982EFC" w14:textId="77777777" w:rsidR="001B7F56" w:rsidRDefault="001B7F56">
      <w:pPr>
        <w:rPr>
          <w:lang w:val="en-US"/>
        </w:rPr>
      </w:pPr>
    </w:p>
    <w:p w14:paraId="404F56FC" w14:textId="77777777" w:rsidR="001B7F56" w:rsidRDefault="001B7F56">
      <w:pPr>
        <w:rPr>
          <w:lang w:val="en-US"/>
        </w:rPr>
      </w:pPr>
      <w:r>
        <w:rPr>
          <w:noProof/>
          <w14:ligatures w14:val="standardContextual"/>
        </w:rPr>
        <w:drawing>
          <wp:inline distT="0" distB="0" distL="0" distR="0" wp14:anchorId="5F2E34D3" wp14:editId="0AAD7E96">
            <wp:extent cx="5731510" cy="3223895"/>
            <wp:effectExtent l="0" t="0" r="2540" b="0"/>
            <wp:docPr id="121708360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7083609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C8C86E" w14:textId="77777777" w:rsidR="001B7F56" w:rsidRDefault="001B7F56">
      <w:pPr>
        <w:rPr>
          <w:lang w:val="en-US"/>
        </w:rPr>
      </w:pPr>
    </w:p>
    <w:p w14:paraId="37BDF75B" w14:textId="77777777" w:rsidR="001B7F56" w:rsidRDefault="001B7F56">
      <w:pPr>
        <w:rPr>
          <w:lang w:val="en-US"/>
        </w:rPr>
      </w:pPr>
    </w:p>
    <w:p w14:paraId="0DC73E45" w14:textId="77777777" w:rsidR="001B7F56" w:rsidRDefault="001B7F56">
      <w:pPr>
        <w:rPr>
          <w:lang w:val="en-US"/>
        </w:rPr>
      </w:pPr>
    </w:p>
    <w:p w14:paraId="2FAC993C" w14:textId="77777777" w:rsidR="001B7F56" w:rsidRDefault="001B7F56">
      <w:pPr>
        <w:rPr>
          <w:lang w:val="en-US"/>
        </w:rPr>
      </w:pPr>
    </w:p>
    <w:p w14:paraId="0B7F672B" w14:textId="77777777" w:rsidR="001B7F56" w:rsidRDefault="001B7F56">
      <w:pPr>
        <w:rPr>
          <w:lang w:val="en-US"/>
        </w:rPr>
      </w:pPr>
    </w:p>
    <w:p w14:paraId="31A5A454" w14:textId="77777777" w:rsidR="001B7F56" w:rsidRDefault="001B7F56">
      <w:pPr>
        <w:rPr>
          <w:lang w:val="en-US"/>
        </w:rPr>
      </w:pPr>
      <w:r>
        <w:rPr>
          <w:noProof/>
          <w14:ligatures w14:val="standardContextual"/>
        </w:rPr>
        <w:lastRenderedPageBreak/>
        <w:drawing>
          <wp:inline distT="0" distB="0" distL="0" distR="0" wp14:anchorId="3CDE049A" wp14:editId="2C63660F">
            <wp:extent cx="5731510" cy="3223895"/>
            <wp:effectExtent l="0" t="0" r="2540" b="0"/>
            <wp:docPr id="87418511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4185116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9DFDD6" w14:textId="77777777" w:rsidR="001B7F56" w:rsidRDefault="001B7F56">
      <w:pPr>
        <w:rPr>
          <w:lang w:val="en-US"/>
        </w:rPr>
      </w:pPr>
    </w:p>
    <w:p w14:paraId="5A1FD3FB" w14:textId="77777777" w:rsidR="001B7F56" w:rsidRDefault="001B7F56">
      <w:pPr>
        <w:rPr>
          <w:lang w:val="en-US"/>
        </w:rPr>
      </w:pPr>
      <w:r>
        <w:rPr>
          <w:noProof/>
          <w14:ligatures w14:val="standardContextual"/>
        </w:rPr>
        <w:drawing>
          <wp:inline distT="0" distB="0" distL="0" distR="0" wp14:anchorId="7C4F0651" wp14:editId="7EB24C74">
            <wp:extent cx="5731510" cy="3223895"/>
            <wp:effectExtent l="0" t="0" r="2540" b="0"/>
            <wp:docPr id="24343292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432928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142AD7" w14:textId="77777777" w:rsidR="001B7F56" w:rsidRDefault="001B7F56">
      <w:pPr>
        <w:rPr>
          <w:lang w:val="en-US"/>
        </w:rPr>
      </w:pPr>
    </w:p>
    <w:p w14:paraId="2ABC27BD" w14:textId="77777777" w:rsidR="001B7F56" w:rsidRDefault="001B7F56">
      <w:pPr>
        <w:rPr>
          <w:lang w:val="en-US"/>
        </w:rPr>
      </w:pPr>
    </w:p>
    <w:p w14:paraId="0F4D48E4" w14:textId="77777777" w:rsidR="001B7F56" w:rsidRDefault="001B7F56">
      <w:pPr>
        <w:rPr>
          <w:lang w:val="en-US"/>
        </w:rPr>
      </w:pPr>
    </w:p>
    <w:p w14:paraId="22F21464" w14:textId="77777777" w:rsidR="001B7F56" w:rsidRDefault="001B7F56">
      <w:pPr>
        <w:rPr>
          <w:lang w:val="en-US"/>
        </w:rPr>
      </w:pPr>
    </w:p>
    <w:p w14:paraId="3C0517B2" w14:textId="77777777" w:rsidR="001B7F56" w:rsidRDefault="001B7F56">
      <w:pPr>
        <w:rPr>
          <w:lang w:val="en-US"/>
        </w:rPr>
      </w:pPr>
    </w:p>
    <w:p w14:paraId="2A6AD990" w14:textId="77777777" w:rsidR="001B7F56" w:rsidRDefault="001B7F56">
      <w:pPr>
        <w:rPr>
          <w:lang w:val="en-US"/>
        </w:rPr>
      </w:pPr>
      <w:r>
        <w:rPr>
          <w:noProof/>
          <w14:ligatures w14:val="standardContextual"/>
        </w:rPr>
        <w:lastRenderedPageBreak/>
        <w:drawing>
          <wp:inline distT="0" distB="0" distL="0" distR="0" wp14:anchorId="192C083C" wp14:editId="4944B6A5">
            <wp:extent cx="5731510" cy="3223895"/>
            <wp:effectExtent l="0" t="0" r="2540" b="0"/>
            <wp:docPr id="118512035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5120359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29313E" w14:textId="77777777" w:rsidR="001B7F56" w:rsidRDefault="001B7F56">
      <w:pPr>
        <w:rPr>
          <w:lang w:val="en-US"/>
        </w:rPr>
      </w:pPr>
    </w:p>
    <w:p w14:paraId="2752FFC0" w14:textId="77777777" w:rsidR="001B7F56" w:rsidRDefault="001B7F56">
      <w:pPr>
        <w:rPr>
          <w:lang w:val="en-US"/>
        </w:rPr>
      </w:pPr>
      <w:r>
        <w:rPr>
          <w:noProof/>
          <w14:ligatures w14:val="standardContextual"/>
        </w:rPr>
        <w:drawing>
          <wp:inline distT="0" distB="0" distL="0" distR="0" wp14:anchorId="6C1FB167" wp14:editId="16E5B7FA">
            <wp:extent cx="5731510" cy="3223895"/>
            <wp:effectExtent l="0" t="0" r="2540" b="0"/>
            <wp:docPr id="86015164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151644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2A35A1" w14:textId="77777777" w:rsidR="001B7F56" w:rsidRDefault="001B7F56">
      <w:pPr>
        <w:rPr>
          <w:lang w:val="en-US"/>
        </w:rPr>
      </w:pPr>
    </w:p>
    <w:p w14:paraId="0C5822E7" w14:textId="77777777" w:rsidR="001B7F56" w:rsidRDefault="001B7F56">
      <w:pPr>
        <w:rPr>
          <w:lang w:val="en-US"/>
        </w:rPr>
      </w:pPr>
      <w:r>
        <w:rPr>
          <w:noProof/>
          <w14:ligatures w14:val="standardContextual"/>
        </w:rPr>
        <w:lastRenderedPageBreak/>
        <w:drawing>
          <wp:inline distT="0" distB="0" distL="0" distR="0" wp14:anchorId="05CFB988" wp14:editId="0D0D435E">
            <wp:extent cx="5731510" cy="3223895"/>
            <wp:effectExtent l="0" t="0" r="2540" b="0"/>
            <wp:docPr id="715816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8161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3FC159" w14:textId="77777777" w:rsidR="001B7F56" w:rsidRDefault="001B7F56">
      <w:pPr>
        <w:rPr>
          <w:lang w:val="en-US"/>
        </w:rPr>
      </w:pPr>
    </w:p>
    <w:p w14:paraId="24E94D79" w14:textId="77777777" w:rsidR="001B7F56" w:rsidRDefault="001B7F56">
      <w:pPr>
        <w:rPr>
          <w:lang w:val="en-US"/>
        </w:rPr>
      </w:pPr>
    </w:p>
    <w:p w14:paraId="254DE224" w14:textId="77777777" w:rsidR="001B7F56" w:rsidRDefault="00A22C2D">
      <w:pPr>
        <w:rPr>
          <w:lang w:val="en-US"/>
        </w:rPr>
      </w:pPr>
      <w:r>
        <w:rPr>
          <w:noProof/>
          <w14:ligatures w14:val="standardContextual"/>
        </w:rPr>
        <w:drawing>
          <wp:inline distT="0" distB="0" distL="0" distR="0" wp14:anchorId="50DE2006" wp14:editId="747F6CD4">
            <wp:extent cx="5731510" cy="3223895"/>
            <wp:effectExtent l="0" t="0" r="2540" b="0"/>
            <wp:docPr id="203817391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173912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E947FC" w14:textId="77777777" w:rsidR="00A22C2D" w:rsidRDefault="00A22C2D">
      <w:pPr>
        <w:rPr>
          <w:lang w:val="en-US"/>
        </w:rPr>
      </w:pPr>
    </w:p>
    <w:p w14:paraId="0B7B5E46" w14:textId="77777777" w:rsidR="00A22C2D" w:rsidRDefault="00A22C2D">
      <w:pPr>
        <w:rPr>
          <w:lang w:val="en-US"/>
        </w:rPr>
      </w:pPr>
    </w:p>
    <w:p w14:paraId="16DC6119" w14:textId="77777777" w:rsidR="00A22C2D" w:rsidRDefault="00A22C2D">
      <w:pPr>
        <w:rPr>
          <w:lang w:val="en-US"/>
        </w:rPr>
      </w:pPr>
    </w:p>
    <w:p w14:paraId="1F85C25E" w14:textId="77777777" w:rsidR="00A22C2D" w:rsidRDefault="00A22C2D">
      <w:pPr>
        <w:rPr>
          <w:lang w:val="en-US"/>
        </w:rPr>
      </w:pPr>
    </w:p>
    <w:p w14:paraId="697E5228" w14:textId="77777777" w:rsidR="00A22C2D" w:rsidRDefault="00A22C2D">
      <w:pPr>
        <w:rPr>
          <w:lang w:val="en-US"/>
        </w:rPr>
      </w:pPr>
      <w:r>
        <w:rPr>
          <w:noProof/>
          <w14:ligatures w14:val="standardContextual"/>
        </w:rPr>
        <w:lastRenderedPageBreak/>
        <w:drawing>
          <wp:inline distT="0" distB="0" distL="0" distR="0" wp14:anchorId="577EFB5F" wp14:editId="3D7E5D2E">
            <wp:extent cx="5731510" cy="3223895"/>
            <wp:effectExtent l="0" t="0" r="2540" b="0"/>
            <wp:docPr id="178602405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6024055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22C9B6" w14:textId="77777777" w:rsidR="001B7F56" w:rsidRDefault="001B7F56">
      <w:pPr>
        <w:rPr>
          <w:lang w:val="en-US"/>
        </w:rPr>
      </w:pPr>
    </w:p>
    <w:p w14:paraId="07A1044B" w14:textId="77777777" w:rsidR="00A22C2D" w:rsidRDefault="00A22C2D">
      <w:pPr>
        <w:rPr>
          <w:sz w:val="28"/>
          <w:szCs w:val="28"/>
          <w:lang w:val="en-US"/>
        </w:rPr>
      </w:pPr>
    </w:p>
    <w:p w14:paraId="472E5510" w14:textId="77777777" w:rsidR="00A22C2D" w:rsidRDefault="00A22C2D">
      <w:pPr>
        <w:rPr>
          <w:sz w:val="28"/>
          <w:szCs w:val="28"/>
          <w:lang w:val="en-US"/>
        </w:rPr>
      </w:pPr>
    </w:p>
    <w:p w14:paraId="578219E8" w14:textId="77777777" w:rsidR="00A22C2D" w:rsidRDefault="00A22C2D">
      <w:pPr>
        <w:rPr>
          <w:sz w:val="28"/>
          <w:szCs w:val="28"/>
          <w:lang w:val="en-US"/>
        </w:rPr>
      </w:pPr>
    </w:p>
    <w:p w14:paraId="3528C3FB" w14:textId="77777777" w:rsidR="00A22C2D" w:rsidRDefault="00A22C2D">
      <w:pPr>
        <w:rPr>
          <w:sz w:val="28"/>
          <w:szCs w:val="28"/>
          <w:lang w:val="en-US"/>
        </w:rPr>
      </w:pPr>
    </w:p>
    <w:p w14:paraId="77F340D5" w14:textId="77777777" w:rsidR="00A22C2D" w:rsidRDefault="00A22C2D">
      <w:pPr>
        <w:rPr>
          <w:sz w:val="28"/>
          <w:szCs w:val="28"/>
          <w:lang w:val="en-US"/>
        </w:rPr>
      </w:pPr>
    </w:p>
    <w:p w14:paraId="4A0B249D" w14:textId="77777777" w:rsidR="00A22C2D" w:rsidRDefault="00A22C2D">
      <w:pPr>
        <w:rPr>
          <w:sz w:val="28"/>
          <w:szCs w:val="28"/>
          <w:lang w:val="en-US"/>
        </w:rPr>
      </w:pPr>
    </w:p>
    <w:p w14:paraId="288870FB" w14:textId="77777777" w:rsidR="00A22C2D" w:rsidRDefault="00A22C2D">
      <w:pPr>
        <w:rPr>
          <w:sz w:val="28"/>
          <w:szCs w:val="28"/>
          <w:lang w:val="en-US"/>
        </w:rPr>
      </w:pPr>
    </w:p>
    <w:p w14:paraId="15630DC6" w14:textId="77777777" w:rsidR="00A22C2D" w:rsidRDefault="00A22C2D">
      <w:pPr>
        <w:rPr>
          <w:sz w:val="28"/>
          <w:szCs w:val="28"/>
          <w:lang w:val="en-US"/>
        </w:rPr>
      </w:pPr>
    </w:p>
    <w:p w14:paraId="14142E70" w14:textId="77777777" w:rsidR="00A22C2D" w:rsidRDefault="00A22C2D">
      <w:pPr>
        <w:rPr>
          <w:sz w:val="28"/>
          <w:szCs w:val="28"/>
          <w:lang w:val="en-US"/>
        </w:rPr>
      </w:pPr>
    </w:p>
    <w:p w14:paraId="6546396E" w14:textId="77777777" w:rsidR="00A22C2D" w:rsidRDefault="00A22C2D">
      <w:pPr>
        <w:rPr>
          <w:sz w:val="28"/>
          <w:szCs w:val="28"/>
          <w:lang w:val="en-US"/>
        </w:rPr>
      </w:pPr>
    </w:p>
    <w:p w14:paraId="52161A62" w14:textId="77777777" w:rsidR="00A22C2D" w:rsidRDefault="00A22C2D">
      <w:pPr>
        <w:rPr>
          <w:sz w:val="28"/>
          <w:szCs w:val="28"/>
          <w:lang w:val="en-US"/>
        </w:rPr>
      </w:pPr>
    </w:p>
    <w:p w14:paraId="34FF113F" w14:textId="77777777" w:rsidR="00A22C2D" w:rsidRDefault="00A22C2D">
      <w:pPr>
        <w:rPr>
          <w:sz w:val="28"/>
          <w:szCs w:val="28"/>
          <w:lang w:val="en-US"/>
        </w:rPr>
      </w:pPr>
    </w:p>
    <w:p w14:paraId="38456A17" w14:textId="77777777" w:rsidR="00A22C2D" w:rsidRDefault="00A22C2D">
      <w:pPr>
        <w:rPr>
          <w:sz w:val="28"/>
          <w:szCs w:val="28"/>
          <w:lang w:val="en-US"/>
        </w:rPr>
      </w:pPr>
      <w:r w:rsidRPr="00A22C2D">
        <w:rPr>
          <w:sz w:val="28"/>
          <w:szCs w:val="28"/>
          <w:lang w:val="en-US"/>
        </w:rPr>
        <w:lastRenderedPageBreak/>
        <w:t>References:</w:t>
      </w:r>
    </w:p>
    <w:p w14:paraId="5A03C3C7" w14:textId="77777777" w:rsidR="00A22C2D" w:rsidRPr="00A22C2D" w:rsidRDefault="00A22C2D" w:rsidP="00A22C2D">
      <w:pPr>
        <w:numPr>
          <w:ilvl w:val="0"/>
          <w:numId w:val="1"/>
        </w:numPr>
        <w:rPr>
          <w:sz w:val="28"/>
          <w:szCs w:val="28"/>
        </w:rPr>
      </w:pPr>
      <w:proofErr w:type="spellStart"/>
      <w:r w:rsidRPr="00A22C2D">
        <w:rPr>
          <w:sz w:val="28"/>
          <w:szCs w:val="28"/>
          <w:lang w:val="en-US"/>
        </w:rPr>
        <w:t>AlkanD</w:t>
      </w:r>
      <w:proofErr w:type="spellEnd"/>
      <w:r w:rsidRPr="00A22C2D">
        <w:rPr>
          <w:sz w:val="28"/>
          <w:szCs w:val="28"/>
          <w:lang w:val="en-US"/>
        </w:rPr>
        <w:t xml:space="preserve">., </w:t>
      </w:r>
      <w:proofErr w:type="spellStart"/>
      <w:r w:rsidRPr="00A22C2D">
        <w:rPr>
          <w:sz w:val="28"/>
          <w:szCs w:val="28"/>
          <w:lang w:val="en-US"/>
        </w:rPr>
        <w:t>Ozbilgin</w:t>
      </w:r>
      <w:proofErr w:type="spellEnd"/>
      <w:r w:rsidRPr="00A22C2D">
        <w:rPr>
          <w:sz w:val="28"/>
          <w:szCs w:val="28"/>
          <w:lang w:val="en-US"/>
        </w:rPr>
        <w:t xml:space="preserve">, M. and </w:t>
      </w:r>
      <w:proofErr w:type="spellStart"/>
      <w:r w:rsidRPr="00A22C2D">
        <w:rPr>
          <w:sz w:val="28"/>
          <w:szCs w:val="28"/>
          <w:lang w:val="en-US"/>
        </w:rPr>
        <w:t>Kamasak</w:t>
      </w:r>
      <w:proofErr w:type="spellEnd"/>
      <w:r w:rsidRPr="00A22C2D">
        <w:rPr>
          <w:sz w:val="28"/>
          <w:szCs w:val="28"/>
          <w:lang w:val="en-US"/>
        </w:rPr>
        <w:t xml:space="preserve">, R. (2022). Social Innovation in Managing diversity: COVID-19 as a Catalyst for Change. </w:t>
      </w:r>
      <w:r w:rsidRPr="00A22C2D">
        <w:rPr>
          <w:i/>
          <w:iCs/>
          <w:sz w:val="28"/>
          <w:szCs w:val="28"/>
          <w:lang w:val="en-US"/>
        </w:rPr>
        <w:t>Equality, Diversity and Inclusion: An International Journal</w:t>
      </w:r>
      <w:r w:rsidRPr="00A22C2D">
        <w:rPr>
          <w:sz w:val="28"/>
          <w:szCs w:val="28"/>
          <w:lang w:val="en-US"/>
        </w:rPr>
        <w:t xml:space="preserve">, 41(5), pp.709–725. </w:t>
      </w:r>
      <w:proofErr w:type="spellStart"/>
      <w:r w:rsidRPr="00A22C2D">
        <w:rPr>
          <w:sz w:val="28"/>
          <w:szCs w:val="28"/>
          <w:lang w:val="en-US"/>
        </w:rPr>
        <w:t>doi:https</w:t>
      </w:r>
      <w:proofErr w:type="spellEnd"/>
      <w:r w:rsidRPr="00A22C2D">
        <w:rPr>
          <w:sz w:val="28"/>
          <w:szCs w:val="28"/>
          <w:lang w:val="en-US"/>
        </w:rPr>
        <w:t>://doi.org/10.1108/edi-07-2021-0171.</w:t>
      </w:r>
    </w:p>
    <w:p w14:paraId="5D7A97D0" w14:textId="77777777" w:rsidR="00A22C2D" w:rsidRPr="00A22C2D" w:rsidRDefault="00A22C2D" w:rsidP="00A22C2D">
      <w:pPr>
        <w:numPr>
          <w:ilvl w:val="0"/>
          <w:numId w:val="1"/>
        </w:numPr>
        <w:rPr>
          <w:sz w:val="28"/>
          <w:szCs w:val="28"/>
        </w:rPr>
      </w:pPr>
      <w:proofErr w:type="spellStart"/>
      <w:r w:rsidRPr="00A22C2D">
        <w:rPr>
          <w:sz w:val="28"/>
          <w:szCs w:val="28"/>
          <w:lang w:val="en-US"/>
        </w:rPr>
        <w:t>Dashper</w:t>
      </w:r>
      <w:proofErr w:type="spellEnd"/>
      <w:r w:rsidRPr="00A22C2D">
        <w:rPr>
          <w:sz w:val="28"/>
          <w:szCs w:val="28"/>
          <w:lang w:val="en-US"/>
        </w:rPr>
        <w:t xml:space="preserve">, K. and Finkel, R. (2020). ‘Doing gender’ in critical event studies: a dual agenda for research. </w:t>
      </w:r>
      <w:r w:rsidRPr="00A22C2D">
        <w:rPr>
          <w:i/>
          <w:iCs/>
          <w:sz w:val="28"/>
          <w:szCs w:val="28"/>
          <w:lang w:val="en-US"/>
        </w:rPr>
        <w:t>International Journal of Event and Festival Management</w:t>
      </w:r>
      <w:r w:rsidRPr="00A22C2D">
        <w:rPr>
          <w:sz w:val="28"/>
          <w:szCs w:val="28"/>
          <w:lang w:val="en-US"/>
        </w:rPr>
        <w:t xml:space="preserve">, 12(1), pp.70–84. </w:t>
      </w:r>
      <w:proofErr w:type="spellStart"/>
      <w:r w:rsidRPr="00A22C2D">
        <w:rPr>
          <w:sz w:val="28"/>
          <w:szCs w:val="28"/>
          <w:lang w:val="en-US"/>
        </w:rPr>
        <w:t>doi:https</w:t>
      </w:r>
      <w:proofErr w:type="spellEnd"/>
      <w:r w:rsidRPr="00A22C2D">
        <w:rPr>
          <w:sz w:val="28"/>
          <w:szCs w:val="28"/>
          <w:lang w:val="en-US"/>
        </w:rPr>
        <w:t>://doi.org/10.1108/ijefm-03-2020-0014.</w:t>
      </w:r>
    </w:p>
    <w:p w14:paraId="431EDD54" w14:textId="77777777" w:rsidR="00A22C2D" w:rsidRPr="00A22C2D" w:rsidRDefault="00A22C2D" w:rsidP="00A22C2D">
      <w:pPr>
        <w:numPr>
          <w:ilvl w:val="0"/>
          <w:numId w:val="1"/>
        </w:numPr>
        <w:rPr>
          <w:sz w:val="28"/>
          <w:szCs w:val="28"/>
        </w:rPr>
      </w:pPr>
      <w:proofErr w:type="spellStart"/>
      <w:r w:rsidRPr="00A22C2D">
        <w:rPr>
          <w:sz w:val="28"/>
          <w:szCs w:val="28"/>
          <w:lang w:val="en-US"/>
        </w:rPr>
        <w:t>Dashper</w:t>
      </w:r>
      <w:proofErr w:type="spellEnd"/>
      <w:r w:rsidRPr="00A22C2D">
        <w:rPr>
          <w:sz w:val="28"/>
          <w:szCs w:val="28"/>
          <w:lang w:val="en-US"/>
        </w:rPr>
        <w:t xml:space="preserve">, K., </w:t>
      </w:r>
      <w:proofErr w:type="spellStart"/>
      <w:r w:rsidRPr="00A22C2D">
        <w:rPr>
          <w:sz w:val="28"/>
          <w:szCs w:val="28"/>
          <w:lang w:val="en-US"/>
        </w:rPr>
        <w:t>Helgadóttir</w:t>
      </w:r>
      <w:proofErr w:type="spellEnd"/>
      <w:r w:rsidRPr="00A22C2D">
        <w:rPr>
          <w:sz w:val="28"/>
          <w:szCs w:val="28"/>
          <w:lang w:val="en-US"/>
        </w:rPr>
        <w:t xml:space="preserve"> and </w:t>
      </w:r>
      <w:proofErr w:type="spellStart"/>
      <w:r w:rsidRPr="00A22C2D">
        <w:rPr>
          <w:sz w:val="28"/>
          <w:szCs w:val="28"/>
          <w:lang w:val="en-US"/>
        </w:rPr>
        <w:t>Sigurðardóttir</w:t>
      </w:r>
      <w:proofErr w:type="spellEnd"/>
      <w:r w:rsidRPr="00A22C2D">
        <w:rPr>
          <w:sz w:val="28"/>
          <w:szCs w:val="28"/>
          <w:lang w:val="en-US"/>
        </w:rPr>
        <w:t xml:space="preserve"> (2021). </w:t>
      </w:r>
      <w:r w:rsidRPr="00A22C2D">
        <w:rPr>
          <w:i/>
          <w:iCs/>
          <w:sz w:val="28"/>
          <w:szCs w:val="28"/>
          <w:lang w:val="en-US"/>
        </w:rPr>
        <w:t>Humans, horses and events management</w:t>
      </w:r>
      <w:r w:rsidRPr="00A22C2D">
        <w:rPr>
          <w:sz w:val="28"/>
          <w:szCs w:val="28"/>
          <w:lang w:val="en-US"/>
        </w:rPr>
        <w:t>. Boston: Cab International.</w:t>
      </w:r>
    </w:p>
    <w:p w14:paraId="121DC665" w14:textId="77777777" w:rsidR="00A22C2D" w:rsidRPr="00A22C2D" w:rsidRDefault="00A22C2D" w:rsidP="00A22C2D">
      <w:pPr>
        <w:numPr>
          <w:ilvl w:val="0"/>
          <w:numId w:val="1"/>
        </w:numPr>
        <w:rPr>
          <w:sz w:val="28"/>
          <w:szCs w:val="28"/>
        </w:rPr>
      </w:pPr>
      <w:r w:rsidRPr="00A22C2D">
        <w:rPr>
          <w:sz w:val="28"/>
          <w:szCs w:val="28"/>
          <w:lang w:val="en-US"/>
        </w:rPr>
        <w:t xml:space="preserve">Dayuse.co.uk (2025). </w:t>
      </w:r>
      <w:r w:rsidRPr="00A22C2D">
        <w:rPr>
          <w:i/>
          <w:iCs/>
          <w:sz w:val="28"/>
          <w:szCs w:val="28"/>
          <w:lang w:val="en-US"/>
        </w:rPr>
        <w:t>Leicester Marriott</w:t>
      </w:r>
      <w:r w:rsidRPr="00A22C2D">
        <w:rPr>
          <w:sz w:val="28"/>
          <w:szCs w:val="28"/>
          <w:lang w:val="en-US"/>
        </w:rPr>
        <w:t xml:space="preserve">. [online] </w:t>
      </w:r>
      <w:proofErr w:type="spellStart"/>
      <w:r w:rsidRPr="00A22C2D">
        <w:rPr>
          <w:sz w:val="28"/>
          <w:szCs w:val="28"/>
          <w:lang w:val="en-US"/>
        </w:rPr>
        <w:t>Dayuse</w:t>
      </w:r>
      <w:proofErr w:type="spellEnd"/>
      <w:r w:rsidRPr="00A22C2D">
        <w:rPr>
          <w:sz w:val="28"/>
          <w:szCs w:val="28"/>
          <w:lang w:val="en-US"/>
        </w:rPr>
        <w:t>. Available at: https://www.dayuse.co.uk/hotels/united-kingdom/leicester-marriott [Accessed 1 Feb. 2025].</w:t>
      </w:r>
    </w:p>
    <w:p w14:paraId="1B50D33B" w14:textId="77777777" w:rsidR="00A22C2D" w:rsidRPr="00A22C2D" w:rsidRDefault="00A22C2D" w:rsidP="00A22C2D">
      <w:pPr>
        <w:numPr>
          <w:ilvl w:val="0"/>
          <w:numId w:val="1"/>
        </w:numPr>
        <w:rPr>
          <w:sz w:val="28"/>
          <w:szCs w:val="28"/>
        </w:rPr>
      </w:pPr>
      <w:r w:rsidRPr="00A22C2D">
        <w:rPr>
          <w:sz w:val="28"/>
          <w:szCs w:val="28"/>
          <w:lang w:val="en-US"/>
        </w:rPr>
        <w:t xml:space="preserve">EHRC (2021). </w:t>
      </w:r>
      <w:r w:rsidRPr="00A22C2D">
        <w:rPr>
          <w:i/>
          <w:iCs/>
          <w:sz w:val="28"/>
          <w:szCs w:val="28"/>
          <w:lang w:val="en-US"/>
        </w:rPr>
        <w:t>Protected Characteristics | EHRC</w:t>
      </w:r>
      <w:r w:rsidRPr="00A22C2D">
        <w:rPr>
          <w:sz w:val="28"/>
          <w:szCs w:val="28"/>
          <w:lang w:val="en-US"/>
        </w:rPr>
        <w:t>. [online] www.equalityhumanrights.com. Available at: https://www.equalityhumanrights.com/equality/equality-act-2010/protected-characteristics [Accessed 1 Feb. 2025].</w:t>
      </w:r>
    </w:p>
    <w:p w14:paraId="06C43D4D" w14:textId="77777777" w:rsidR="00A22C2D" w:rsidRPr="00A22C2D" w:rsidRDefault="00A22C2D" w:rsidP="00A22C2D">
      <w:pPr>
        <w:numPr>
          <w:ilvl w:val="0"/>
          <w:numId w:val="1"/>
        </w:numPr>
        <w:rPr>
          <w:sz w:val="28"/>
          <w:szCs w:val="28"/>
        </w:rPr>
      </w:pPr>
      <w:r w:rsidRPr="00A22C2D">
        <w:rPr>
          <w:sz w:val="28"/>
          <w:szCs w:val="28"/>
          <w:lang w:val="en-US"/>
        </w:rPr>
        <w:t xml:space="preserve">Getz, D. and Page, S.J. (2019). </w:t>
      </w:r>
      <w:r w:rsidRPr="00A22C2D">
        <w:rPr>
          <w:i/>
          <w:iCs/>
          <w:sz w:val="28"/>
          <w:szCs w:val="28"/>
          <w:lang w:val="en-US"/>
        </w:rPr>
        <w:t>Event Studies : theory, Research and Policy for Planned Events</w:t>
      </w:r>
      <w:r w:rsidRPr="00A22C2D">
        <w:rPr>
          <w:sz w:val="28"/>
          <w:szCs w:val="28"/>
          <w:lang w:val="en-US"/>
        </w:rPr>
        <w:t>. 4th ed. London: Routledge.</w:t>
      </w:r>
    </w:p>
    <w:p w14:paraId="317075A9" w14:textId="77777777" w:rsidR="00A22C2D" w:rsidRPr="00A22C2D" w:rsidRDefault="00A22C2D" w:rsidP="00A22C2D">
      <w:pPr>
        <w:numPr>
          <w:ilvl w:val="0"/>
          <w:numId w:val="1"/>
        </w:numPr>
        <w:rPr>
          <w:sz w:val="28"/>
          <w:szCs w:val="28"/>
        </w:rPr>
      </w:pPr>
      <w:r w:rsidRPr="00A22C2D">
        <w:rPr>
          <w:sz w:val="28"/>
          <w:szCs w:val="28"/>
          <w:lang w:val="en-US"/>
        </w:rPr>
        <w:t xml:space="preserve">Hafod.org.uk (2018). </w:t>
      </w:r>
      <w:r w:rsidRPr="00A22C2D">
        <w:rPr>
          <w:i/>
          <w:iCs/>
          <w:sz w:val="28"/>
          <w:szCs w:val="28"/>
          <w:lang w:val="en-US"/>
        </w:rPr>
        <w:t>Equality, diversity and inclusion – www.hafod.org.uk</w:t>
      </w:r>
      <w:r w:rsidRPr="00A22C2D">
        <w:rPr>
          <w:sz w:val="28"/>
          <w:szCs w:val="28"/>
          <w:lang w:val="en-US"/>
        </w:rPr>
        <w:t>. [online] www.hafod.org.uk. Available at: https://www.hafod.org.uk/equality-diversity-inclusion [Accessed 1 Feb. 2025].</w:t>
      </w:r>
    </w:p>
    <w:p w14:paraId="425EA132" w14:textId="77777777" w:rsidR="00A22C2D" w:rsidRPr="00A22C2D" w:rsidRDefault="00A22C2D" w:rsidP="00A22C2D">
      <w:pPr>
        <w:numPr>
          <w:ilvl w:val="0"/>
          <w:numId w:val="1"/>
        </w:numPr>
        <w:rPr>
          <w:sz w:val="28"/>
          <w:szCs w:val="28"/>
        </w:rPr>
      </w:pPr>
      <w:r w:rsidRPr="00A22C2D">
        <w:rPr>
          <w:sz w:val="28"/>
          <w:szCs w:val="28"/>
          <w:lang w:val="en-US"/>
        </w:rPr>
        <w:t xml:space="preserve">Hagen, D. (2021). Sustainable Event Management: New Perspectives for the Meeting Industry Through Innovation and </w:t>
      </w:r>
      <w:proofErr w:type="spellStart"/>
      <w:r w:rsidRPr="00A22C2D">
        <w:rPr>
          <w:sz w:val="28"/>
          <w:szCs w:val="28"/>
          <w:lang w:val="en-US"/>
        </w:rPr>
        <w:lastRenderedPageBreak/>
        <w:t>Digitalisation</w:t>
      </w:r>
      <w:proofErr w:type="spellEnd"/>
      <w:r w:rsidRPr="00A22C2D">
        <w:rPr>
          <w:sz w:val="28"/>
          <w:szCs w:val="28"/>
          <w:lang w:val="en-US"/>
        </w:rPr>
        <w:t xml:space="preserve">? </w:t>
      </w:r>
      <w:r w:rsidRPr="00A22C2D">
        <w:rPr>
          <w:i/>
          <w:iCs/>
          <w:sz w:val="28"/>
          <w:szCs w:val="28"/>
          <w:lang w:val="en-US"/>
        </w:rPr>
        <w:t>World Sustainability Series</w:t>
      </w:r>
      <w:r w:rsidRPr="00A22C2D">
        <w:rPr>
          <w:sz w:val="28"/>
          <w:szCs w:val="28"/>
          <w:lang w:val="en-US"/>
        </w:rPr>
        <w:t xml:space="preserve">, pp.259–275. </w:t>
      </w:r>
      <w:proofErr w:type="spellStart"/>
      <w:r w:rsidRPr="00A22C2D">
        <w:rPr>
          <w:sz w:val="28"/>
          <w:szCs w:val="28"/>
          <w:lang w:val="en-US"/>
        </w:rPr>
        <w:t>doi:https</w:t>
      </w:r>
      <w:proofErr w:type="spellEnd"/>
      <w:r w:rsidRPr="00A22C2D">
        <w:rPr>
          <w:sz w:val="28"/>
          <w:szCs w:val="28"/>
          <w:lang w:val="en-US"/>
        </w:rPr>
        <w:t>://doi.org/10.1007/978-3-030-78825-4_16.</w:t>
      </w:r>
    </w:p>
    <w:p w14:paraId="435ADBF9" w14:textId="77777777" w:rsidR="00A22C2D" w:rsidRPr="00A22C2D" w:rsidRDefault="00A22C2D" w:rsidP="00A22C2D">
      <w:pPr>
        <w:numPr>
          <w:ilvl w:val="0"/>
          <w:numId w:val="1"/>
        </w:numPr>
        <w:rPr>
          <w:sz w:val="28"/>
          <w:szCs w:val="28"/>
        </w:rPr>
      </w:pPr>
      <w:r w:rsidRPr="00A22C2D">
        <w:rPr>
          <w:sz w:val="28"/>
          <w:szCs w:val="28"/>
          <w:lang w:val="en-US"/>
        </w:rPr>
        <w:t xml:space="preserve">Kirton, G. and Greene, A.M. (2021). </w:t>
      </w:r>
      <w:r w:rsidRPr="00A22C2D">
        <w:rPr>
          <w:i/>
          <w:iCs/>
          <w:sz w:val="28"/>
          <w:szCs w:val="28"/>
          <w:lang w:val="en-US"/>
        </w:rPr>
        <w:t>The dynamics of managing diversity and inclusion : a critical approach</w:t>
      </w:r>
      <w:r w:rsidRPr="00A22C2D">
        <w:rPr>
          <w:sz w:val="28"/>
          <w:szCs w:val="28"/>
          <w:lang w:val="en-US"/>
        </w:rPr>
        <w:t>. New York, Ny: Routledge.</w:t>
      </w:r>
    </w:p>
    <w:p w14:paraId="0FB5AD03" w14:textId="77777777" w:rsidR="00A22C2D" w:rsidRPr="00A22C2D" w:rsidRDefault="00A22C2D" w:rsidP="00A22C2D">
      <w:pPr>
        <w:numPr>
          <w:ilvl w:val="0"/>
          <w:numId w:val="1"/>
        </w:numPr>
        <w:rPr>
          <w:sz w:val="28"/>
          <w:szCs w:val="28"/>
        </w:rPr>
      </w:pPr>
      <w:r w:rsidRPr="00A22C2D">
        <w:rPr>
          <w:sz w:val="28"/>
          <w:szCs w:val="28"/>
          <w:lang w:val="en-US"/>
        </w:rPr>
        <w:t xml:space="preserve">Kramer, S., </w:t>
      </w:r>
      <w:proofErr w:type="spellStart"/>
      <w:r w:rsidRPr="00A22C2D">
        <w:rPr>
          <w:sz w:val="28"/>
          <w:szCs w:val="28"/>
          <w:lang w:val="en-US"/>
        </w:rPr>
        <w:t>Bingjie</w:t>
      </w:r>
      <w:proofErr w:type="spellEnd"/>
      <w:r w:rsidRPr="00A22C2D">
        <w:rPr>
          <w:sz w:val="28"/>
          <w:szCs w:val="28"/>
          <w:lang w:val="en-US"/>
        </w:rPr>
        <w:t xml:space="preserve"> Liu-Lastres, Cecil, A.K. and Shonkwiler, E. (2023). A post-pandemic reflection of the changing role of contemporary event professionals: Implications for event professionals and higher education. </w:t>
      </w:r>
      <w:r w:rsidRPr="00A22C2D">
        <w:rPr>
          <w:i/>
          <w:iCs/>
          <w:sz w:val="28"/>
          <w:szCs w:val="28"/>
          <w:lang w:val="en-US"/>
        </w:rPr>
        <w:t>Journal of Convention &amp; Event Tourism</w:t>
      </w:r>
      <w:r w:rsidRPr="00A22C2D">
        <w:rPr>
          <w:sz w:val="28"/>
          <w:szCs w:val="28"/>
          <w:lang w:val="en-US"/>
        </w:rPr>
        <w:t xml:space="preserve">, pp.1–21. </w:t>
      </w:r>
      <w:proofErr w:type="spellStart"/>
      <w:r w:rsidRPr="00A22C2D">
        <w:rPr>
          <w:sz w:val="28"/>
          <w:szCs w:val="28"/>
          <w:lang w:val="en-US"/>
        </w:rPr>
        <w:t>doi:https</w:t>
      </w:r>
      <w:proofErr w:type="spellEnd"/>
      <w:r w:rsidRPr="00A22C2D">
        <w:rPr>
          <w:sz w:val="28"/>
          <w:szCs w:val="28"/>
          <w:lang w:val="en-US"/>
        </w:rPr>
        <w:t>://doi.org/10.1080/15470148.2023.2224595.</w:t>
      </w:r>
    </w:p>
    <w:p w14:paraId="47BAFF7E" w14:textId="77777777" w:rsidR="00A22C2D" w:rsidRPr="00A22C2D" w:rsidRDefault="00A22C2D" w:rsidP="00A22C2D">
      <w:pPr>
        <w:numPr>
          <w:ilvl w:val="0"/>
          <w:numId w:val="1"/>
        </w:numPr>
        <w:rPr>
          <w:sz w:val="28"/>
          <w:szCs w:val="28"/>
        </w:rPr>
      </w:pPr>
      <w:r w:rsidRPr="00A22C2D">
        <w:rPr>
          <w:sz w:val="28"/>
          <w:szCs w:val="28"/>
          <w:lang w:val="en-US"/>
        </w:rPr>
        <w:t xml:space="preserve">Lastres, B. and </w:t>
      </w:r>
      <w:proofErr w:type="spellStart"/>
      <w:r w:rsidRPr="00A22C2D">
        <w:rPr>
          <w:sz w:val="28"/>
          <w:szCs w:val="28"/>
          <w:lang w:val="en-US"/>
        </w:rPr>
        <w:t>Cahyanto</w:t>
      </w:r>
      <w:proofErr w:type="spellEnd"/>
      <w:r w:rsidRPr="00A22C2D">
        <w:rPr>
          <w:sz w:val="28"/>
          <w:szCs w:val="28"/>
          <w:lang w:val="en-US"/>
        </w:rPr>
        <w:t xml:space="preserve">, I.P. (2023). Are we always ready? Examining event professionals approaches to risk and crisis management and resilience. </w:t>
      </w:r>
      <w:r w:rsidRPr="00A22C2D">
        <w:rPr>
          <w:i/>
          <w:iCs/>
          <w:sz w:val="28"/>
          <w:szCs w:val="28"/>
          <w:lang w:val="en-US"/>
        </w:rPr>
        <w:t>Tourism Management Perspectives</w:t>
      </w:r>
      <w:r w:rsidRPr="00A22C2D">
        <w:rPr>
          <w:sz w:val="28"/>
          <w:szCs w:val="28"/>
          <w:lang w:val="en-US"/>
        </w:rPr>
        <w:t xml:space="preserve">, 46, p.101073. </w:t>
      </w:r>
      <w:proofErr w:type="spellStart"/>
      <w:r w:rsidRPr="00A22C2D">
        <w:rPr>
          <w:sz w:val="28"/>
          <w:szCs w:val="28"/>
          <w:lang w:val="en-US"/>
        </w:rPr>
        <w:t>doi:https</w:t>
      </w:r>
      <w:proofErr w:type="spellEnd"/>
      <w:r w:rsidRPr="00A22C2D">
        <w:rPr>
          <w:sz w:val="28"/>
          <w:szCs w:val="28"/>
          <w:lang w:val="en-US"/>
        </w:rPr>
        <w:t>://doi.org/10.1016/j.tmp.2023.101073.</w:t>
      </w:r>
    </w:p>
    <w:p w14:paraId="6BE84F79" w14:textId="77777777" w:rsidR="00A22C2D" w:rsidRPr="00A22C2D" w:rsidRDefault="00A22C2D" w:rsidP="00A22C2D">
      <w:pPr>
        <w:numPr>
          <w:ilvl w:val="0"/>
          <w:numId w:val="1"/>
        </w:numPr>
        <w:rPr>
          <w:sz w:val="28"/>
          <w:szCs w:val="28"/>
        </w:rPr>
      </w:pPr>
      <w:r w:rsidRPr="00A22C2D">
        <w:rPr>
          <w:sz w:val="28"/>
          <w:szCs w:val="28"/>
          <w:lang w:val="en-US"/>
        </w:rPr>
        <w:t xml:space="preserve">Marriott.com (2025). </w:t>
      </w:r>
      <w:r w:rsidRPr="00A22C2D">
        <w:rPr>
          <w:i/>
          <w:iCs/>
          <w:sz w:val="28"/>
          <w:szCs w:val="28"/>
          <w:lang w:val="en-US"/>
        </w:rPr>
        <w:t>4-Star Hotel in Enderby, Leicester - England | Leicester Marriott Hotel</w:t>
      </w:r>
      <w:r w:rsidRPr="00A22C2D">
        <w:rPr>
          <w:sz w:val="28"/>
          <w:szCs w:val="28"/>
          <w:lang w:val="en-US"/>
        </w:rPr>
        <w:t>. [online] www.marriott.com. Available at: https://www.marriott.com/en-us/hotels/emalm-leicester-marriott-hotel/overview/ [Accessed 1 Feb. 2025].</w:t>
      </w:r>
    </w:p>
    <w:p w14:paraId="4A3DD8D5" w14:textId="77777777" w:rsidR="00A22C2D" w:rsidRPr="00A22C2D" w:rsidRDefault="00A22C2D" w:rsidP="00A22C2D">
      <w:pPr>
        <w:numPr>
          <w:ilvl w:val="0"/>
          <w:numId w:val="1"/>
        </w:numPr>
        <w:rPr>
          <w:sz w:val="28"/>
          <w:szCs w:val="28"/>
        </w:rPr>
      </w:pPr>
      <w:r w:rsidRPr="00A22C2D">
        <w:rPr>
          <w:sz w:val="28"/>
          <w:szCs w:val="28"/>
          <w:lang w:val="en-US"/>
        </w:rPr>
        <w:t xml:space="preserve">Mohammadi, Z., Bhati, A. and Ng, E. (2022). 20 years of workplace diversity research in hospitality and tourism: a bibliometric analysis. </w:t>
      </w:r>
      <w:r w:rsidRPr="00A22C2D">
        <w:rPr>
          <w:i/>
          <w:iCs/>
          <w:sz w:val="28"/>
          <w:szCs w:val="28"/>
          <w:lang w:val="en-US"/>
        </w:rPr>
        <w:t>Equality, Diversity and Inclusion: An International Journal</w:t>
      </w:r>
      <w:r w:rsidRPr="00A22C2D">
        <w:rPr>
          <w:sz w:val="28"/>
          <w:szCs w:val="28"/>
          <w:lang w:val="en-US"/>
        </w:rPr>
        <w:t xml:space="preserve">. </w:t>
      </w:r>
      <w:proofErr w:type="spellStart"/>
      <w:r w:rsidRPr="00A22C2D">
        <w:rPr>
          <w:sz w:val="28"/>
          <w:szCs w:val="28"/>
          <w:lang w:val="en-US"/>
        </w:rPr>
        <w:t>doi:https</w:t>
      </w:r>
      <w:proofErr w:type="spellEnd"/>
      <w:r w:rsidRPr="00A22C2D">
        <w:rPr>
          <w:sz w:val="28"/>
          <w:szCs w:val="28"/>
          <w:lang w:val="en-US"/>
        </w:rPr>
        <w:t>://doi.org/10.1108/edi-02-2022-0046.</w:t>
      </w:r>
    </w:p>
    <w:p w14:paraId="41B4313B" w14:textId="77777777" w:rsidR="00A22C2D" w:rsidRPr="00A22C2D" w:rsidRDefault="00A22C2D" w:rsidP="00A22C2D">
      <w:pPr>
        <w:numPr>
          <w:ilvl w:val="0"/>
          <w:numId w:val="1"/>
        </w:numPr>
        <w:rPr>
          <w:sz w:val="28"/>
          <w:szCs w:val="28"/>
        </w:rPr>
      </w:pPr>
      <w:r w:rsidRPr="00A22C2D">
        <w:rPr>
          <w:sz w:val="28"/>
          <w:szCs w:val="28"/>
          <w:lang w:val="en-US"/>
        </w:rPr>
        <w:t xml:space="preserve">Nadine, N. (2023). </w:t>
      </w:r>
      <w:r w:rsidRPr="00A22C2D">
        <w:rPr>
          <w:i/>
          <w:iCs/>
          <w:sz w:val="28"/>
          <w:szCs w:val="28"/>
          <w:lang w:val="en-US"/>
        </w:rPr>
        <w:t>Shopping at the Baby Company Mom &amp; Baby Fest 2023</w:t>
      </w:r>
      <w:r w:rsidRPr="00A22C2D">
        <w:rPr>
          <w:sz w:val="28"/>
          <w:szCs w:val="28"/>
          <w:lang w:val="en-US"/>
        </w:rPr>
        <w:t>. [online] Scenes From Nadine. Available at: https://scenesfromnadine.com/shopping-at-the-baby-company-mom-baby-fest-2023/ [Accessed 1 Feb. 2025].</w:t>
      </w:r>
    </w:p>
    <w:p w14:paraId="38D173B5" w14:textId="77777777" w:rsidR="00A22C2D" w:rsidRPr="00A22C2D" w:rsidRDefault="00A22C2D" w:rsidP="00A22C2D">
      <w:pPr>
        <w:numPr>
          <w:ilvl w:val="0"/>
          <w:numId w:val="1"/>
        </w:numPr>
        <w:rPr>
          <w:sz w:val="28"/>
          <w:szCs w:val="28"/>
        </w:rPr>
      </w:pPr>
      <w:r w:rsidRPr="00A22C2D">
        <w:rPr>
          <w:sz w:val="28"/>
          <w:szCs w:val="28"/>
          <w:lang w:val="en-US"/>
        </w:rPr>
        <w:lastRenderedPageBreak/>
        <w:t xml:space="preserve">Ostrom, A.L., Parasuraman, A., Bowen, D.E., Patrício, L. and Voss, C.A. (2015). Service Research Priorities in a Rapidly Changing Context. </w:t>
      </w:r>
      <w:r w:rsidRPr="00A22C2D">
        <w:rPr>
          <w:i/>
          <w:iCs/>
          <w:sz w:val="28"/>
          <w:szCs w:val="28"/>
          <w:lang w:val="en-US"/>
        </w:rPr>
        <w:t>Journal of Service Research</w:t>
      </w:r>
      <w:r w:rsidRPr="00A22C2D">
        <w:rPr>
          <w:sz w:val="28"/>
          <w:szCs w:val="28"/>
          <w:lang w:val="en-US"/>
        </w:rPr>
        <w:t>, 18(2), pp.127–159.</w:t>
      </w:r>
    </w:p>
    <w:p w14:paraId="5650C756" w14:textId="77777777" w:rsidR="00A22C2D" w:rsidRPr="00A22C2D" w:rsidRDefault="00A22C2D" w:rsidP="00A22C2D">
      <w:pPr>
        <w:numPr>
          <w:ilvl w:val="0"/>
          <w:numId w:val="1"/>
        </w:numPr>
        <w:rPr>
          <w:sz w:val="28"/>
          <w:szCs w:val="28"/>
        </w:rPr>
      </w:pPr>
      <w:r w:rsidRPr="00A22C2D">
        <w:rPr>
          <w:sz w:val="28"/>
          <w:szCs w:val="28"/>
          <w:lang w:val="en-US"/>
        </w:rPr>
        <w:t xml:space="preserve">Revilla, R., Moure, O. and </w:t>
      </w:r>
      <w:proofErr w:type="spellStart"/>
      <w:r w:rsidRPr="00A22C2D">
        <w:rPr>
          <w:sz w:val="28"/>
          <w:szCs w:val="28"/>
          <w:lang w:val="en-US"/>
        </w:rPr>
        <w:t>Einsle</w:t>
      </w:r>
      <w:proofErr w:type="spellEnd"/>
      <w:r w:rsidRPr="00A22C2D">
        <w:rPr>
          <w:sz w:val="28"/>
          <w:szCs w:val="28"/>
          <w:lang w:val="en-US"/>
        </w:rPr>
        <w:t xml:space="preserve">, C.S. (2023). Advances in event management using new technologies and mobile applications. </w:t>
      </w:r>
      <w:r w:rsidRPr="00A22C2D">
        <w:rPr>
          <w:i/>
          <w:iCs/>
          <w:sz w:val="28"/>
          <w:szCs w:val="28"/>
          <w:lang w:val="en-US"/>
        </w:rPr>
        <w:t>International Journal of Event and Festival Management</w:t>
      </w:r>
      <w:r w:rsidRPr="00A22C2D">
        <w:rPr>
          <w:sz w:val="28"/>
          <w:szCs w:val="28"/>
          <w:lang w:val="en-US"/>
        </w:rPr>
        <w:t xml:space="preserve">, 14(1). </w:t>
      </w:r>
      <w:proofErr w:type="spellStart"/>
      <w:r w:rsidRPr="00A22C2D">
        <w:rPr>
          <w:sz w:val="28"/>
          <w:szCs w:val="28"/>
          <w:lang w:val="en-US"/>
        </w:rPr>
        <w:t>doi:https</w:t>
      </w:r>
      <w:proofErr w:type="spellEnd"/>
      <w:r w:rsidRPr="00A22C2D">
        <w:rPr>
          <w:sz w:val="28"/>
          <w:szCs w:val="28"/>
          <w:lang w:val="en-US"/>
        </w:rPr>
        <w:t>://doi.org/10.1108/ijefm-05-2022-0039.</w:t>
      </w:r>
    </w:p>
    <w:p w14:paraId="73FC0D40" w14:textId="77777777" w:rsidR="00A22C2D" w:rsidRPr="00A22C2D" w:rsidRDefault="00A22C2D" w:rsidP="00A22C2D">
      <w:pPr>
        <w:numPr>
          <w:ilvl w:val="0"/>
          <w:numId w:val="1"/>
        </w:numPr>
        <w:rPr>
          <w:sz w:val="28"/>
          <w:szCs w:val="28"/>
        </w:rPr>
      </w:pPr>
      <w:proofErr w:type="spellStart"/>
      <w:r w:rsidRPr="00A22C2D">
        <w:rPr>
          <w:sz w:val="28"/>
          <w:szCs w:val="28"/>
          <w:lang w:val="en-US"/>
        </w:rPr>
        <w:t>Samatovich</w:t>
      </w:r>
      <w:proofErr w:type="spellEnd"/>
      <w:r w:rsidRPr="00A22C2D">
        <w:rPr>
          <w:sz w:val="28"/>
          <w:szCs w:val="28"/>
          <w:lang w:val="en-US"/>
        </w:rPr>
        <w:t xml:space="preserve">, R.S. (2021). Importance of Marketing in Tourism and Hotel Industry. </w:t>
      </w:r>
      <w:r w:rsidRPr="00A22C2D">
        <w:rPr>
          <w:i/>
          <w:iCs/>
          <w:sz w:val="28"/>
          <w:szCs w:val="28"/>
          <w:lang w:val="en-US"/>
        </w:rPr>
        <w:t>International Journal of Business, Technology and Organizational Behavior (IJBTOB)</w:t>
      </w:r>
      <w:r w:rsidRPr="00A22C2D">
        <w:rPr>
          <w:sz w:val="28"/>
          <w:szCs w:val="28"/>
          <w:lang w:val="en-US"/>
        </w:rPr>
        <w:t xml:space="preserve">, 1(2), pp.79–84. </w:t>
      </w:r>
      <w:proofErr w:type="spellStart"/>
      <w:r w:rsidRPr="00A22C2D">
        <w:rPr>
          <w:sz w:val="28"/>
          <w:szCs w:val="28"/>
          <w:lang w:val="en-US"/>
        </w:rPr>
        <w:t>doi:https</w:t>
      </w:r>
      <w:proofErr w:type="spellEnd"/>
      <w:r w:rsidRPr="00A22C2D">
        <w:rPr>
          <w:sz w:val="28"/>
          <w:szCs w:val="28"/>
          <w:lang w:val="en-US"/>
        </w:rPr>
        <w:t>://doi.org/10.52218/ijbtob.v1i2.11.</w:t>
      </w:r>
    </w:p>
    <w:p w14:paraId="27953661" w14:textId="77777777" w:rsidR="00A22C2D" w:rsidRPr="00A22C2D" w:rsidRDefault="00A22C2D" w:rsidP="00A22C2D">
      <w:pPr>
        <w:numPr>
          <w:ilvl w:val="0"/>
          <w:numId w:val="1"/>
        </w:numPr>
        <w:rPr>
          <w:sz w:val="28"/>
          <w:szCs w:val="28"/>
        </w:rPr>
      </w:pPr>
      <w:r w:rsidRPr="00A22C2D">
        <w:rPr>
          <w:sz w:val="28"/>
          <w:szCs w:val="28"/>
          <w:lang w:val="en-US"/>
        </w:rPr>
        <w:t xml:space="preserve">Shin, H., Sharma, A., Nicolau, J.L. and Kang, J. (2021). The impact of hotel CSR for strategic philanthropy on booking behavior and hotel performance during the COVID-19 pandemic. </w:t>
      </w:r>
      <w:r w:rsidRPr="00A22C2D">
        <w:rPr>
          <w:i/>
          <w:iCs/>
          <w:sz w:val="28"/>
          <w:szCs w:val="28"/>
          <w:lang w:val="en-US"/>
        </w:rPr>
        <w:t>Tourism Management</w:t>
      </w:r>
      <w:r w:rsidRPr="00A22C2D">
        <w:rPr>
          <w:sz w:val="28"/>
          <w:szCs w:val="28"/>
          <w:lang w:val="en-US"/>
        </w:rPr>
        <w:t>, [online] 85, p.104322. Available at: https://www.ncbi.nlm.nih.gov/pmc/articles/PMC8602938/.</w:t>
      </w:r>
    </w:p>
    <w:p w14:paraId="2253F0E5" w14:textId="77777777" w:rsidR="00A22C2D" w:rsidRPr="00A22C2D" w:rsidRDefault="00A22C2D" w:rsidP="00A22C2D">
      <w:pPr>
        <w:numPr>
          <w:ilvl w:val="0"/>
          <w:numId w:val="1"/>
        </w:numPr>
        <w:rPr>
          <w:sz w:val="28"/>
          <w:szCs w:val="28"/>
        </w:rPr>
      </w:pPr>
      <w:r w:rsidRPr="00A22C2D">
        <w:rPr>
          <w:sz w:val="28"/>
          <w:szCs w:val="28"/>
          <w:lang w:val="en-US"/>
        </w:rPr>
        <w:t xml:space="preserve">Srivastava, P.R., Sharma, D. and Haryana, R. (2021). Fourteen Years of Event Management: A Bibliometric Analysis. </w:t>
      </w:r>
      <w:r w:rsidRPr="00A22C2D">
        <w:rPr>
          <w:i/>
          <w:iCs/>
          <w:sz w:val="28"/>
          <w:szCs w:val="28"/>
          <w:lang w:val="en-US"/>
        </w:rPr>
        <w:t>Event Management</w:t>
      </w:r>
      <w:r w:rsidRPr="00A22C2D">
        <w:rPr>
          <w:sz w:val="28"/>
          <w:szCs w:val="28"/>
          <w:lang w:val="en-US"/>
        </w:rPr>
        <w:t xml:space="preserve">. </w:t>
      </w:r>
      <w:proofErr w:type="spellStart"/>
      <w:r w:rsidRPr="00A22C2D">
        <w:rPr>
          <w:sz w:val="28"/>
          <w:szCs w:val="28"/>
          <w:lang w:val="en-US"/>
        </w:rPr>
        <w:t>doi:https</w:t>
      </w:r>
      <w:proofErr w:type="spellEnd"/>
      <w:r w:rsidRPr="00A22C2D">
        <w:rPr>
          <w:sz w:val="28"/>
          <w:szCs w:val="28"/>
          <w:lang w:val="en-US"/>
        </w:rPr>
        <w:t>://doi.org/10.3727/152599521x16106577965161.</w:t>
      </w:r>
    </w:p>
    <w:p w14:paraId="094D49E0" w14:textId="77777777" w:rsidR="00A22C2D" w:rsidRPr="00A22C2D" w:rsidRDefault="00A22C2D" w:rsidP="00A22C2D">
      <w:pPr>
        <w:numPr>
          <w:ilvl w:val="0"/>
          <w:numId w:val="1"/>
        </w:numPr>
        <w:rPr>
          <w:sz w:val="28"/>
          <w:szCs w:val="28"/>
        </w:rPr>
      </w:pPr>
      <w:r w:rsidRPr="00A22C2D">
        <w:rPr>
          <w:sz w:val="28"/>
          <w:szCs w:val="28"/>
          <w:lang w:val="en-US"/>
        </w:rPr>
        <w:t xml:space="preserve">Walters, T., Stadler, R. and Jepson, A.S. (2021). Positive power: events as temporary sites of power which ‘empower’ </w:t>
      </w:r>
      <w:proofErr w:type="spellStart"/>
      <w:r w:rsidRPr="00A22C2D">
        <w:rPr>
          <w:sz w:val="28"/>
          <w:szCs w:val="28"/>
          <w:lang w:val="en-US"/>
        </w:rPr>
        <w:t>marginalised</w:t>
      </w:r>
      <w:proofErr w:type="spellEnd"/>
      <w:r w:rsidRPr="00A22C2D">
        <w:rPr>
          <w:sz w:val="28"/>
          <w:szCs w:val="28"/>
          <w:lang w:val="en-US"/>
        </w:rPr>
        <w:t xml:space="preserve"> groups. </w:t>
      </w:r>
      <w:r w:rsidRPr="00A22C2D">
        <w:rPr>
          <w:i/>
          <w:iCs/>
          <w:sz w:val="28"/>
          <w:szCs w:val="28"/>
          <w:lang w:val="en-US"/>
        </w:rPr>
        <w:t>International Journal of Contemporary Hospitality Management</w:t>
      </w:r>
      <w:r w:rsidRPr="00A22C2D">
        <w:rPr>
          <w:sz w:val="28"/>
          <w:szCs w:val="28"/>
          <w:lang w:val="en-US"/>
        </w:rPr>
        <w:t xml:space="preserve">, 33(7), pp.2391–2409. </w:t>
      </w:r>
      <w:proofErr w:type="spellStart"/>
      <w:r w:rsidRPr="00A22C2D">
        <w:rPr>
          <w:sz w:val="28"/>
          <w:szCs w:val="28"/>
          <w:lang w:val="en-US"/>
        </w:rPr>
        <w:t>doi:https</w:t>
      </w:r>
      <w:proofErr w:type="spellEnd"/>
      <w:r w:rsidRPr="00A22C2D">
        <w:rPr>
          <w:sz w:val="28"/>
          <w:szCs w:val="28"/>
          <w:lang w:val="en-US"/>
        </w:rPr>
        <w:t>://doi.org/10.1108/ijchm-08-2020-0935.</w:t>
      </w:r>
    </w:p>
    <w:p w14:paraId="7517D131" w14:textId="77777777" w:rsidR="001B7F56" w:rsidRPr="001B7F56" w:rsidRDefault="001B7F56">
      <w:pPr>
        <w:rPr>
          <w:lang w:val="en-US"/>
        </w:rPr>
      </w:pPr>
    </w:p>
    <w:sectPr w:rsidR="001B7F56" w:rsidRPr="001B7F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074F89"/>
    <w:multiLevelType w:val="hybridMultilevel"/>
    <w:tmpl w:val="F6885AB6"/>
    <w:lvl w:ilvl="0" w:tplc="59F45B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D5C7A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08D5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40E74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58CE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36CF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386A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245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04D2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635766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F56"/>
    <w:rsid w:val="00183272"/>
    <w:rsid w:val="001B7F56"/>
    <w:rsid w:val="0029660C"/>
    <w:rsid w:val="003038AE"/>
    <w:rsid w:val="003F27A2"/>
    <w:rsid w:val="0050457F"/>
    <w:rsid w:val="00886001"/>
    <w:rsid w:val="00A22C2D"/>
    <w:rsid w:val="00A72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553A4"/>
  <w15:chartTrackingRefBased/>
  <w15:docId w15:val="{4FE00F86-B470-48C7-8C3D-6801A26CE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7F56"/>
    <w:pPr>
      <w:spacing w:line="360" w:lineRule="auto"/>
      <w:jc w:val="both"/>
    </w:pPr>
    <w:rPr>
      <w:rFonts w:ascii="Arial" w:hAnsi="Arial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B7F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7F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7F5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7F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7F5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7F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7F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7F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7F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7F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7F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7F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7F5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7F5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7F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7F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7F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7F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7F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7F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7F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7F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7F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7F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7F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7F5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7F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7F5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7F5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0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22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607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387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56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5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300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169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420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759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746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582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78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06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490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66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188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249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24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77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34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85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26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193949">
              <w:marLeft w:val="6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056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745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724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93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76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833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2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1513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32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86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041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430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10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162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696944">
              <w:marLeft w:val="6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04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336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54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4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22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957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789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0139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627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38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45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036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972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13" Type="http://schemas.openxmlformats.org/officeDocument/2006/relationships/image" Target="media/image9.png"/><Relationship Id="rId18" Type="http://schemas.openxmlformats.org/officeDocument/2006/relationships/image" Target="media/image14.svg"/><Relationship Id="rId26" Type="http://schemas.openxmlformats.org/officeDocument/2006/relationships/image" Target="media/image22.sv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sv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svg"/><Relationship Id="rId20" Type="http://schemas.openxmlformats.org/officeDocument/2006/relationships/image" Target="media/image16.svg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7.png"/><Relationship Id="rId24" Type="http://schemas.openxmlformats.org/officeDocument/2006/relationships/image" Target="media/image20.sv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sv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svg"/><Relationship Id="rId22" Type="http://schemas.openxmlformats.org/officeDocument/2006/relationships/image" Target="media/image18.sv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10</Pages>
  <Words>742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kaamil ahmed</dc:creator>
  <cp:keywords/>
  <dc:description/>
  <cp:lastModifiedBy>kaamil ahmed</cp:lastModifiedBy>
  <cp:revision>5</cp:revision>
  <dcterms:created xsi:type="dcterms:W3CDTF">2025-02-07T15:50:00Z</dcterms:created>
  <dcterms:modified xsi:type="dcterms:W3CDTF">2025-02-07T16:16:00Z</dcterms:modified>
</cp:coreProperties>
</file>