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67896" w14:textId="77777777" w:rsidR="00B2027E" w:rsidRDefault="00000E0A" w:rsidP="00000E0A">
      <w:pPr>
        <w:tabs>
          <w:tab w:val="clear" w:pos="794"/>
        </w:tabs>
        <w:spacing w:line="360" w:lineRule="auto"/>
        <w:ind w:left="0" w:firstLine="0"/>
        <w:jc w:val="center"/>
        <w:rPr>
          <w:rFonts w:ascii="Times New Roman" w:eastAsiaTheme="minorHAnsi" w:hAnsi="Times New Roman" w:cstheme="minorBidi"/>
          <w:b/>
          <w:color w:val="000000" w:themeColor="text1"/>
          <w:sz w:val="28"/>
          <w:szCs w:val="22"/>
        </w:rPr>
      </w:pPr>
      <w:bookmarkStart w:id="0" w:name="_Toc468867803"/>
      <w:bookmarkStart w:id="1" w:name="_Toc468867804"/>
      <w:bookmarkStart w:id="2" w:name="_Toc418676865"/>
      <w:bookmarkStart w:id="3" w:name="_Toc418677779"/>
      <w:bookmarkStart w:id="4" w:name="_Toc418993945"/>
      <w:bookmarkStart w:id="5" w:name="_Toc418996514"/>
      <w:bookmarkStart w:id="6" w:name="_Toc418996965"/>
      <w:bookmarkStart w:id="7" w:name="_Toc418997272"/>
      <w:bookmarkStart w:id="8" w:name="_Toc419000900"/>
      <w:bookmarkStart w:id="9" w:name="_Toc419001005"/>
      <w:bookmarkStart w:id="10" w:name="_Toc419001293"/>
      <w:bookmarkStart w:id="11" w:name="_Toc423396899"/>
      <w:bookmarkStart w:id="12" w:name="_Toc423403714"/>
      <w:bookmarkStart w:id="13" w:name="_Toc424547961"/>
      <w:bookmarkStart w:id="14" w:name="_Toc424549787"/>
      <w:bookmarkStart w:id="15" w:name="_Toc424608088"/>
      <w:bookmarkStart w:id="16" w:name="_Toc424629794"/>
      <w:bookmarkStart w:id="17" w:name="_Toc424629936"/>
      <w:bookmarkStart w:id="18" w:name="_Toc424694364"/>
      <w:bookmarkStart w:id="19" w:name="_Toc424694430"/>
      <w:bookmarkStart w:id="20" w:name="_Toc424703307"/>
      <w:bookmarkStart w:id="21" w:name="_Toc424704045"/>
      <w:bookmarkStart w:id="22" w:name="_Toc424704616"/>
      <w:bookmarkStart w:id="23" w:name="_Toc444409468"/>
      <w:bookmarkStart w:id="24" w:name="_Toc444478396"/>
      <w:bookmarkStart w:id="25" w:name="_Toc444481960"/>
      <w:bookmarkStart w:id="26" w:name="_Toc444485740"/>
      <w:bookmarkStart w:id="27" w:name="_Toc444583686"/>
      <w:bookmarkStart w:id="28" w:name="_Toc444664582"/>
      <w:bookmarkStart w:id="29" w:name="_Toc444664658"/>
      <w:bookmarkStart w:id="30" w:name="_Toc444666290"/>
      <w:bookmarkStart w:id="31" w:name="_Toc444669210"/>
      <w:bookmarkStart w:id="32" w:name="_Toc444669678"/>
      <w:bookmarkStart w:id="33" w:name="_Toc444913492"/>
      <w:bookmarkStart w:id="34" w:name="_Toc474743376"/>
      <w:bookmarkStart w:id="35" w:name="_Toc474744492"/>
      <w:bookmarkStart w:id="36" w:name="_Toc474833620"/>
      <w:bookmarkStart w:id="37" w:name="_Toc481989599"/>
      <w:bookmarkStart w:id="38" w:name="_Toc482062566"/>
      <w:bookmarkStart w:id="39" w:name="_Toc482162408"/>
      <w:bookmarkStart w:id="40" w:name="_Toc493563687"/>
      <w:bookmarkStart w:id="41" w:name="_Toc494786134"/>
      <w:bookmarkStart w:id="42" w:name="_Toc335913202"/>
      <w:bookmarkStart w:id="43" w:name="_Toc338085414"/>
      <w:bookmarkStart w:id="44" w:name="_Toc338141894"/>
      <w:bookmarkStart w:id="45" w:name="_Toc339878735"/>
      <w:bookmarkStart w:id="46" w:name="_Toc287356060"/>
      <w:bookmarkStart w:id="47" w:name="_Toc325726712"/>
      <w:bookmarkStart w:id="48" w:name="_Toc130544698"/>
      <w:bookmarkEnd w:id="0"/>
      <w:r w:rsidRPr="00DC0C6B">
        <w:rPr>
          <w:rFonts w:ascii="Times New Roman" w:eastAsiaTheme="minorHAnsi" w:hAnsi="Times New Roman" w:cstheme="minorBidi"/>
          <w:b/>
          <w:color w:val="000000" w:themeColor="text1"/>
          <w:sz w:val="28"/>
          <w:szCs w:val="22"/>
        </w:rPr>
        <w:t xml:space="preserve">An Early Bronze Age cremation burial and Middle Iron Age settlement </w:t>
      </w:r>
    </w:p>
    <w:p w14:paraId="223ABDAA" w14:textId="4D5E2BE3" w:rsidR="00000E0A" w:rsidRPr="00DC0C6B" w:rsidRDefault="00000E0A" w:rsidP="00000E0A">
      <w:pPr>
        <w:tabs>
          <w:tab w:val="clear" w:pos="794"/>
        </w:tabs>
        <w:spacing w:line="360" w:lineRule="auto"/>
        <w:ind w:left="0" w:firstLine="0"/>
        <w:jc w:val="center"/>
        <w:rPr>
          <w:rFonts w:ascii="Times New Roman" w:eastAsiaTheme="minorHAnsi" w:hAnsi="Times New Roman" w:cstheme="minorBidi"/>
          <w:b/>
          <w:color w:val="000000" w:themeColor="text1"/>
          <w:sz w:val="28"/>
          <w:szCs w:val="22"/>
        </w:rPr>
      </w:pPr>
      <w:r w:rsidRPr="00DC0C6B">
        <w:rPr>
          <w:rFonts w:ascii="Times New Roman" w:eastAsiaTheme="minorHAnsi" w:hAnsi="Times New Roman" w:cstheme="minorBidi"/>
          <w:b/>
          <w:color w:val="000000" w:themeColor="text1"/>
          <w:sz w:val="28"/>
          <w:szCs w:val="22"/>
        </w:rPr>
        <w:t xml:space="preserve">at Eynsham, Oxfordshire: </w:t>
      </w:r>
    </w:p>
    <w:p w14:paraId="23187CE3" w14:textId="4D15FC9C" w:rsidR="00000E0A" w:rsidRPr="00DC0C6B" w:rsidRDefault="00000E0A" w:rsidP="00000E0A">
      <w:pPr>
        <w:tabs>
          <w:tab w:val="clear" w:pos="794"/>
        </w:tabs>
        <w:spacing w:line="360" w:lineRule="auto"/>
        <w:ind w:left="0" w:firstLine="0"/>
        <w:jc w:val="center"/>
        <w:rPr>
          <w:rFonts w:ascii="Times New Roman" w:eastAsiaTheme="minorHAnsi" w:hAnsi="Times New Roman" w:cstheme="minorBidi"/>
          <w:b/>
          <w:color w:val="000000" w:themeColor="text1"/>
          <w:sz w:val="28"/>
          <w:szCs w:val="22"/>
        </w:rPr>
      </w:pPr>
      <w:r w:rsidRPr="00DC0C6B">
        <w:rPr>
          <w:rFonts w:ascii="Times New Roman" w:eastAsiaTheme="minorHAnsi" w:hAnsi="Times New Roman" w:cstheme="minorBidi"/>
          <w:b/>
          <w:color w:val="000000" w:themeColor="text1"/>
          <w:sz w:val="28"/>
          <w:szCs w:val="22"/>
        </w:rPr>
        <w:t xml:space="preserve">a summary report on </w:t>
      </w:r>
      <w:r w:rsidR="00A33E64">
        <w:rPr>
          <w:rFonts w:ascii="Times New Roman" w:eastAsiaTheme="minorHAnsi" w:hAnsi="Times New Roman" w:cstheme="minorBidi"/>
          <w:b/>
          <w:color w:val="000000" w:themeColor="text1"/>
          <w:sz w:val="28"/>
          <w:szCs w:val="22"/>
        </w:rPr>
        <w:t xml:space="preserve">archaeological </w:t>
      </w:r>
      <w:r w:rsidRPr="00DC0C6B">
        <w:rPr>
          <w:rFonts w:ascii="Times New Roman" w:eastAsiaTheme="minorHAnsi" w:hAnsi="Times New Roman" w:cstheme="minorBidi"/>
          <w:b/>
          <w:color w:val="000000" w:themeColor="text1"/>
          <w:sz w:val="28"/>
          <w:szCs w:val="22"/>
        </w:rPr>
        <w:t>excavations in 2022</w:t>
      </w:r>
    </w:p>
    <w:p w14:paraId="7BB8E1F6" w14:textId="1D5D65D6" w:rsidR="00E60F26" w:rsidRPr="00DC0C6B" w:rsidRDefault="00E60F26" w:rsidP="00000E0A">
      <w:pPr>
        <w:tabs>
          <w:tab w:val="clear" w:pos="794"/>
        </w:tabs>
        <w:spacing w:line="360" w:lineRule="auto"/>
        <w:ind w:left="0" w:firstLine="0"/>
        <w:jc w:val="center"/>
        <w:rPr>
          <w:rFonts w:ascii="Times New Roman" w:hAnsi="Times New Roman"/>
          <w:bCs/>
          <w:sz w:val="24"/>
          <w:szCs w:val="24"/>
        </w:rPr>
      </w:pPr>
      <w:r w:rsidRPr="00DC0C6B">
        <w:rPr>
          <w:rFonts w:ascii="Times New Roman" w:hAnsi="Times New Roman"/>
          <w:bCs/>
          <w:sz w:val="24"/>
          <w:szCs w:val="24"/>
        </w:rPr>
        <w:t>JO BARKER</w:t>
      </w:r>
    </w:p>
    <w:p w14:paraId="171903BE" w14:textId="77777777" w:rsidR="00502F58" w:rsidRPr="00DC0C6B" w:rsidRDefault="00E60F26" w:rsidP="00502F58">
      <w:pPr>
        <w:pStyle w:val="05TextNumberedParagraph"/>
        <w:ind w:firstLine="0"/>
        <w:jc w:val="center"/>
        <w:rPr>
          <w:rFonts w:cs="Times New Roman"/>
          <w:szCs w:val="24"/>
        </w:rPr>
      </w:pPr>
      <w:r w:rsidRPr="00DC0C6B">
        <w:rPr>
          <w:rFonts w:cs="Times New Roman"/>
          <w:szCs w:val="24"/>
        </w:rPr>
        <w:t xml:space="preserve">with contributions by </w:t>
      </w:r>
      <w:r w:rsidR="00000E0A" w:rsidRPr="00DC0C6B">
        <w:rPr>
          <w:rFonts w:cs="Times New Roman"/>
          <w:szCs w:val="24"/>
        </w:rPr>
        <w:t xml:space="preserve">EMMA AITKEN, </w:t>
      </w:r>
      <w:r w:rsidRPr="00DC0C6B">
        <w:rPr>
          <w:rFonts w:cs="Times New Roman"/>
          <w:szCs w:val="24"/>
        </w:rPr>
        <w:t xml:space="preserve">PETE BANKS, SHELIA BOARDMAN, </w:t>
      </w:r>
    </w:p>
    <w:p w14:paraId="55DCDBA7" w14:textId="77777777" w:rsidR="00255AA6" w:rsidRDefault="00E60F26" w:rsidP="00502F58">
      <w:pPr>
        <w:pStyle w:val="05TextNumberedParagraph"/>
        <w:ind w:firstLine="0"/>
        <w:jc w:val="center"/>
        <w:rPr>
          <w:rFonts w:cs="Times New Roman"/>
          <w:szCs w:val="24"/>
        </w:rPr>
      </w:pPr>
      <w:r w:rsidRPr="00DC0C6B">
        <w:rPr>
          <w:rFonts w:cs="Times New Roman"/>
          <w:szCs w:val="24"/>
        </w:rPr>
        <w:t xml:space="preserve">SHARON CLOUGH, CLAIRE COLLIER-JONES, </w:t>
      </w:r>
      <w:r w:rsidR="00255AA6" w:rsidRPr="00255AA6">
        <w:rPr>
          <w:rFonts w:cs="Times New Roman"/>
          <w:szCs w:val="24"/>
        </w:rPr>
        <w:t>ALEJANDRA GUTIÉRREZ</w:t>
      </w:r>
      <w:r w:rsidR="00255AA6">
        <w:rPr>
          <w:rFonts w:cs="Times New Roman"/>
          <w:szCs w:val="24"/>
        </w:rPr>
        <w:t>,</w:t>
      </w:r>
      <w:r w:rsidR="00255AA6" w:rsidRPr="00255AA6">
        <w:rPr>
          <w:rFonts w:cs="Times New Roman"/>
          <w:szCs w:val="24"/>
        </w:rPr>
        <w:t xml:space="preserve"> </w:t>
      </w:r>
      <w:r w:rsidRPr="00DC0C6B">
        <w:rPr>
          <w:rFonts w:cs="Times New Roman"/>
          <w:szCs w:val="24"/>
        </w:rPr>
        <w:t xml:space="preserve">MATILDA HOLMES, CHARLOTTE MOLLOY, </w:t>
      </w:r>
    </w:p>
    <w:p w14:paraId="6D7234E7" w14:textId="14E37E6C" w:rsidR="00E60F26" w:rsidRPr="00DC0C6B" w:rsidRDefault="00E60F26" w:rsidP="00255AA6">
      <w:pPr>
        <w:pStyle w:val="05TextNumberedParagraph"/>
        <w:ind w:firstLine="0"/>
        <w:jc w:val="center"/>
        <w:rPr>
          <w:rFonts w:cs="Times New Roman"/>
          <w:szCs w:val="24"/>
        </w:rPr>
      </w:pPr>
      <w:r w:rsidRPr="00DC0C6B">
        <w:rPr>
          <w:rFonts w:cs="Times New Roman"/>
          <w:szCs w:val="24"/>
        </w:rPr>
        <w:t>LAURA PEARSON</w:t>
      </w:r>
      <w:r w:rsidR="00502F58" w:rsidRPr="00DC0C6B">
        <w:rPr>
          <w:rFonts w:cs="Times New Roman"/>
          <w:szCs w:val="24"/>
        </w:rPr>
        <w:t xml:space="preserve"> </w:t>
      </w:r>
      <w:r w:rsidRPr="00DC0C6B">
        <w:rPr>
          <w:rFonts w:cs="Times New Roman"/>
          <w:szCs w:val="24"/>
        </w:rPr>
        <w:t>AND SARAH WYLES</w:t>
      </w:r>
    </w:p>
    <w:p w14:paraId="5CC6EB88" w14:textId="77777777" w:rsidR="00E60F26" w:rsidRPr="00DC0C6B" w:rsidRDefault="00E60F26" w:rsidP="00E60F26">
      <w:pPr>
        <w:pStyle w:val="05TextNumberedParagraph"/>
      </w:pPr>
    </w:p>
    <w:p w14:paraId="2533BEAE" w14:textId="69C08435" w:rsidR="00CB7E15" w:rsidRPr="00DC0C6B" w:rsidRDefault="00E60F26" w:rsidP="00F57D70">
      <w:pPr>
        <w:pStyle w:val="01Heading1"/>
      </w:pPr>
      <w:r w:rsidRPr="00DC0C6B">
        <w:t>SUMMARY</w:t>
      </w:r>
      <w:bookmarkEnd w:id="48"/>
    </w:p>
    <w:p w14:paraId="0D9E72F8" w14:textId="1C2234E8" w:rsidR="0096749A" w:rsidRDefault="0074783A" w:rsidP="007114C7">
      <w:pPr>
        <w:pStyle w:val="05TextNumberedParagraph"/>
        <w:ind w:left="794" w:firstLine="0"/>
        <w:rPr>
          <w:i/>
          <w:iCs/>
        </w:rPr>
      </w:pPr>
      <w:r w:rsidRPr="00DC0C6B">
        <w:rPr>
          <w:i/>
          <w:iCs/>
        </w:rPr>
        <w:t>Between March and May 2022</w:t>
      </w:r>
      <w:r w:rsidR="00A17A67" w:rsidRPr="00DC0C6B">
        <w:rPr>
          <w:i/>
          <w:iCs/>
        </w:rPr>
        <w:t xml:space="preserve">, Cotswold Archaeology carried out an </w:t>
      </w:r>
      <w:r w:rsidRPr="00DC0C6B">
        <w:rPr>
          <w:i/>
          <w:iCs/>
        </w:rPr>
        <w:t xml:space="preserve">archaeological excavation on land at the A40 </w:t>
      </w:r>
      <w:r w:rsidR="008B4CB8" w:rsidRPr="00DC0C6B">
        <w:rPr>
          <w:i/>
          <w:iCs/>
        </w:rPr>
        <w:t xml:space="preserve">Science Transit Phase 2 </w:t>
      </w:r>
      <w:r w:rsidR="005A55D6" w:rsidRPr="00DC0C6B">
        <w:rPr>
          <w:i/>
          <w:iCs/>
        </w:rPr>
        <w:t>-</w:t>
      </w:r>
      <w:r w:rsidR="008B4CB8" w:rsidRPr="00DC0C6B">
        <w:rPr>
          <w:i/>
          <w:iCs/>
        </w:rPr>
        <w:t xml:space="preserve"> </w:t>
      </w:r>
      <w:r w:rsidRPr="00DC0C6B">
        <w:rPr>
          <w:i/>
          <w:iCs/>
        </w:rPr>
        <w:t xml:space="preserve">Park </w:t>
      </w:r>
      <w:r w:rsidR="008B4CB8" w:rsidRPr="00DC0C6B">
        <w:rPr>
          <w:i/>
          <w:iCs/>
        </w:rPr>
        <w:t>and</w:t>
      </w:r>
      <w:r w:rsidRPr="00DC0C6B">
        <w:rPr>
          <w:i/>
          <w:iCs/>
        </w:rPr>
        <w:t xml:space="preserve"> Ride development off Cuckoo Lane, Eynsham, Oxfordshire</w:t>
      </w:r>
      <w:r w:rsidR="00A17A67" w:rsidRPr="00DC0C6B">
        <w:rPr>
          <w:i/>
          <w:iCs/>
        </w:rPr>
        <w:t xml:space="preserve">. </w:t>
      </w:r>
      <w:r w:rsidR="00257E72" w:rsidRPr="00DC0C6B">
        <w:rPr>
          <w:i/>
          <w:iCs/>
        </w:rPr>
        <w:t xml:space="preserve">The earliest evidence of human activity comprised an Early Bronze Age cremation burial that contained a pyre good in the form of a worked phalanx of a </w:t>
      </w:r>
      <w:r w:rsidR="004B0A00">
        <w:rPr>
          <w:i/>
          <w:iCs/>
        </w:rPr>
        <w:t xml:space="preserve">probable </w:t>
      </w:r>
      <w:r w:rsidR="00475B76" w:rsidRPr="00DC0C6B">
        <w:rPr>
          <w:i/>
          <w:iCs/>
        </w:rPr>
        <w:t>g</w:t>
      </w:r>
      <w:r w:rsidR="005A72EA" w:rsidRPr="00DC0C6B">
        <w:rPr>
          <w:i/>
          <w:iCs/>
        </w:rPr>
        <w:t>olden</w:t>
      </w:r>
      <w:r w:rsidR="00257E72" w:rsidRPr="00DC0C6B">
        <w:rPr>
          <w:i/>
          <w:iCs/>
        </w:rPr>
        <w:t xml:space="preserve"> </w:t>
      </w:r>
      <w:r w:rsidR="00475B76" w:rsidRPr="00DC0C6B">
        <w:rPr>
          <w:i/>
          <w:iCs/>
        </w:rPr>
        <w:t>e</w:t>
      </w:r>
      <w:r w:rsidR="00257E72" w:rsidRPr="00DC0C6B">
        <w:rPr>
          <w:i/>
          <w:iCs/>
        </w:rPr>
        <w:t xml:space="preserve">agle. The </w:t>
      </w:r>
      <w:proofErr w:type="gramStart"/>
      <w:r w:rsidR="00257E72" w:rsidRPr="00DC0C6B">
        <w:rPr>
          <w:i/>
          <w:iCs/>
        </w:rPr>
        <w:t>main focus</w:t>
      </w:r>
      <w:proofErr w:type="gramEnd"/>
      <w:r w:rsidR="00257E72" w:rsidRPr="00DC0C6B">
        <w:rPr>
          <w:i/>
          <w:iCs/>
        </w:rPr>
        <w:t xml:space="preserve"> of activity, however, was a Middle Iron Age settlement</w:t>
      </w:r>
      <w:r w:rsidR="00390893" w:rsidRPr="00DC0C6B">
        <w:rPr>
          <w:i/>
          <w:iCs/>
        </w:rPr>
        <w:t xml:space="preserve"> compris</w:t>
      </w:r>
      <w:r w:rsidR="00257E72" w:rsidRPr="00DC0C6B">
        <w:rPr>
          <w:i/>
          <w:iCs/>
        </w:rPr>
        <w:t>ing</w:t>
      </w:r>
      <w:r w:rsidR="00390893" w:rsidRPr="00DC0C6B">
        <w:rPr>
          <w:i/>
          <w:iCs/>
        </w:rPr>
        <w:t xml:space="preserve"> roundhouses, </w:t>
      </w:r>
      <w:r w:rsidR="002E0DB1" w:rsidRPr="00DC0C6B">
        <w:rPr>
          <w:i/>
          <w:iCs/>
        </w:rPr>
        <w:t>small</w:t>
      </w:r>
      <w:r w:rsidR="00390893" w:rsidRPr="00DC0C6B">
        <w:rPr>
          <w:i/>
          <w:iCs/>
        </w:rPr>
        <w:t xml:space="preserve"> enclosures, post-built structures and clusters of pits and postholes. </w:t>
      </w:r>
      <w:r w:rsidR="00212FFF" w:rsidRPr="00DC0C6B">
        <w:rPr>
          <w:i/>
          <w:iCs/>
        </w:rPr>
        <w:t xml:space="preserve">Following a hiatus in activity during the Late Iron Age, Roman and Anglo-Saxon periods part of a ridge-and-furrow cultivation system </w:t>
      </w:r>
      <w:proofErr w:type="gramStart"/>
      <w:r w:rsidR="00212FFF" w:rsidRPr="00DC0C6B">
        <w:rPr>
          <w:i/>
          <w:iCs/>
        </w:rPr>
        <w:t>was established</w:t>
      </w:r>
      <w:proofErr w:type="gramEnd"/>
      <w:r w:rsidR="00212FFF" w:rsidRPr="00DC0C6B">
        <w:rPr>
          <w:i/>
          <w:iCs/>
        </w:rPr>
        <w:t xml:space="preserve"> on the site during the medieval period.  </w:t>
      </w:r>
    </w:p>
    <w:p w14:paraId="67547575" w14:textId="77777777" w:rsidR="008F5FFA" w:rsidRPr="00DC0C6B" w:rsidRDefault="008F5FFA" w:rsidP="007114C7">
      <w:pPr>
        <w:pStyle w:val="05TextNumberedParagraph"/>
        <w:ind w:left="794" w:firstLine="0"/>
        <w:rPr>
          <w:i/>
          <w:iCs/>
        </w:rPr>
      </w:pPr>
    </w:p>
    <w:p w14:paraId="1F401F73" w14:textId="774B554A" w:rsidR="008F70B5" w:rsidRPr="00DC0C6B" w:rsidRDefault="00595FD5" w:rsidP="00F57D70">
      <w:pPr>
        <w:pStyle w:val="01Heading1"/>
      </w:pPr>
      <w:bookmarkStart w:id="49" w:name="_Toc130544699"/>
      <w:r w:rsidRPr="00DC0C6B">
        <w:t>INTRODUCTION</w:t>
      </w:r>
      <w:bookmarkEnd w:id="1"/>
      <w:bookmarkEnd w:id="49"/>
    </w:p>
    <w:p w14:paraId="44643262" w14:textId="4C543896" w:rsidR="007114C7" w:rsidRPr="00DC0C6B" w:rsidRDefault="007132CC" w:rsidP="007114C7">
      <w:pPr>
        <w:pStyle w:val="05TextNumberedParagraph"/>
        <w:ind w:firstLine="0"/>
      </w:pPr>
      <w:bookmarkStart w:id="50" w:name="_Toc465081219"/>
      <w:bookmarkStart w:id="51" w:name="_Toc150243252"/>
      <w:bookmarkStart w:id="52" w:name="_Toc179256293"/>
      <w:r w:rsidRPr="00DC0C6B">
        <w:t>Between March and May 2022</w:t>
      </w:r>
      <w:r w:rsidR="000E70DE" w:rsidRPr="00DC0C6B">
        <w:t xml:space="preserve">, Cotswold Archaeology (CA) carried out </w:t>
      </w:r>
      <w:r w:rsidR="00627923" w:rsidRPr="00DC0C6B">
        <w:t xml:space="preserve">an archaeological </w:t>
      </w:r>
      <w:r w:rsidRPr="00DC0C6B">
        <w:t xml:space="preserve">excavation </w:t>
      </w:r>
      <w:r w:rsidR="00BE5038" w:rsidRPr="00DC0C6B">
        <w:t>of</w:t>
      </w:r>
      <w:r w:rsidRPr="00DC0C6B">
        <w:t xml:space="preserve"> land</w:t>
      </w:r>
      <w:r w:rsidR="00BE5038" w:rsidRPr="00DC0C6B">
        <w:t xml:space="preserve"> at the junction of Cuckoo Lane and the A40 Oxford to </w:t>
      </w:r>
      <w:proofErr w:type="gramStart"/>
      <w:r w:rsidR="00BE5038" w:rsidRPr="00DC0C6B">
        <w:t>Cheltenham road</w:t>
      </w:r>
      <w:proofErr w:type="gramEnd"/>
      <w:r w:rsidR="009120C6" w:rsidRPr="00DC0C6B">
        <w:t xml:space="preserve">, to the north-west of Eynsham. This </w:t>
      </w:r>
      <w:proofErr w:type="gramStart"/>
      <w:r w:rsidR="009120C6" w:rsidRPr="00DC0C6B">
        <w:t>was undertaken</w:t>
      </w:r>
      <w:proofErr w:type="gramEnd"/>
      <w:r w:rsidR="00BE5038" w:rsidRPr="00DC0C6B">
        <w:t xml:space="preserve"> as part of the</w:t>
      </w:r>
      <w:r w:rsidRPr="00DC0C6B">
        <w:t xml:space="preserve"> A40 </w:t>
      </w:r>
      <w:r w:rsidR="00BD5789" w:rsidRPr="00DC0C6B">
        <w:t>Science Transit Phase 2</w:t>
      </w:r>
      <w:r w:rsidR="00173FFA" w:rsidRPr="00DC0C6B">
        <w:t xml:space="preserve"> - </w:t>
      </w:r>
      <w:r w:rsidRPr="00DC0C6B">
        <w:t xml:space="preserve">Park </w:t>
      </w:r>
      <w:r w:rsidR="00F57D64" w:rsidRPr="00DC0C6B">
        <w:t>and</w:t>
      </w:r>
      <w:r w:rsidRPr="00DC0C6B">
        <w:t xml:space="preserve"> Ride development</w:t>
      </w:r>
      <w:r w:rsidR="00BE5038" w:rsidRPr="00DC0C6B">
        <w:t xml:space="preserve"> </w:t>
      </w:r>
      <w:r w:rsidRPr="00DC0C6B">
        <w:t>(centred at NGR: 442300 210085;</w:t>
      </w:r>
      <w:r w:rsidR="00E84C45" w:rsidRPr="00DC0C6B">
        <w:t xml:space="preserve"> </w:t>
      </w:r>
      <w:r w:rsidR="00221BFA" w:rsidRPr="00DC0C6B">
        <w:t>Fig. 1</w:t>
      </w:r>
      <w:r w:rsidR="00627923" w:rsidRPr="00DC0C6B">
        <w:t xml:space="preserve">). </w:t>
      </w:r>
      <w:r w:rsidR="00F57D70" w:rsidRPr="00DC0C6B">
        <w:t>The development site was situated in the Upper Thames Valley</w:t>
      </w:r>
      <w:r w:rsidR="000A7DA1" w:rsidRPr="00DC0C6B">
        <w:t xml:space="preserve"> </w:t>
      </w:r>
      <w:r w:rsidR="00173FFA" w:rsidRPr="00DC0C6B">
        <w:t>in an area of the second (Summertown-Radley) gravel terrace</w:t>
      </w:r>
      <w:r w:rsidR="00D02574" w:rsidRPr="00DC0C6B">
        <w:rPr>
          <w:rStyle w:val="FootnoteReference"/>
        </w:rPr>
        <w:footnoteReference w:id="1"/>
      </w:r>
      <w:r w:rsidR="00173FFA" w:rsidRPr="00DC0C6B">
        <w:t xml:space="preserve">, </w:t>
      </w:r>
      <w:r w:rsidR="00722328" w:rsidRPr="00DC0C6B">
        <w:t xml:space="preserve">approximately 2.4 km to the north-west of the </w:t>
      </w:r>
      <w:proofErr w:type="gramStart"/>
      <w:r w:rsidR="00722328" w:rsidRPr="00DC0C6B">
        <w:t>River</w:t>
      </w:r>
      <w:proofErr w:type="gramEnd"/>
      <w:r w:rsidR="00722328" w:rsidRPr="00DC0C6B">
        <w:t xml:space="preserve"> Thames. Underlying the gravels </w:t>
      </w:r>
      <w:r w:rsidR="00A46D03" w:rsidRPr="00DC0C6B">
        <w:t xml:space="preserve">in this area </w:t>
      </w:r>
      <w:r w:rsidR="00722328" w:rsidRPr="00DC0C6B">
        <w:t>is Oxford Clay and West Walton Formations</w:t>
      </w:r>
      <w:r w:rsidR="00722328" w:rsidRPr="00DC0C6B">
        <w:rPr>
          <w:rStyle w:val="FootnoteReference"/>
        </w:rPr>
        <w:footnoteReference w:id="2"/>
      </w:r>
      <w:r w:rsidR="00722328" w:rsidRPr="00DC0C6B">
        <w:t xml:space="preserve">. The north-east boundary of the site </w:t>
      </w:r>
      <w:r w:rsidR="00A46D03" w:rsidRPr="00DC0C6B">
        <w:t>was situated</w:t>
      </w:r>
      <w:r w:rsidR="00722328" w:rsidRPr="00DC0C6B">
        <w:t xml:space="preserve"> at </w:t>
      </w:r>
      <w:r w:rsidR="00595FD5" w:rsidRPr="00DC0C6B">
        <w:t xml:space="preserve">approximately 80 m above Ordnance Datum (aOD) </w:t>
      </w:r>
      <w:r w:rsidR="00722328" w:rsidRPr="00DC0C6B">
        <w:t>and the land slope</w:t>
      </w:r>
      <w:r w:rsidR="00A46D03" w:rsidRPr="00DC0C6B">
        <w:t>d</w:t>
      </w:r>
      <w:r w:rsidR="00595FD5" w:rsidRPr="00DC0C6B">
        <w:t xml:space="preserve"> </w:t>
      </w:r>
      <w:r w:rsidR="00987F4B" w:rsidRPr="00DC0C6B">
        <w:lastRenderedPageBreak/>
        <w:t xml:space="preserve">gradually downwards </w:t>
      </w:r>
      <w:r w:rsidR="00595FD5" w:rsidRPr="00DC0C6B">
        <w:t xml:space="preserve">towards the </w:t>
      </w:r>
      <w:proofErr w:type="spellStart"/>
      <w:r w:rsidR="00595FD5" w:rsidRPr="00DC0C6B">
        <w:t>Chil</w:t>
      </w:r>
      <w:proofErr w:type="spellEnd"/>
      <w:r w:rsidR="00595FD5" w:rsidRPr="00DC0C6B">
        <w:t xml:space="preserve"> Brook, a tributary of the </w:t>
      </w:r>
      <w:proofErr w:type="gramStart"/>
      <w:r w:rsidR="00595FD5" w:rsidRPr="00DC0C6B">
        <w:t>River</w:t>
      </w:r>
      <w:proofErr w:type="gramEnd"/>
      <w:r w:rsidR="00595FD5" w:rsidRPr="00DC0C6B">
        <w:t xml:space="preserve"> Thames</w:t>
      </w:r>
      <w:r w:rsidR="00A46D03" w:rsidRPr="00DC0C6B">
        <w:t>,</w:t>
      </w:r>
      <w:r w:rsidR="00595FD5" w:rsidRPr="00DC0C6B">
        <w:t xml:space="preserve"> situated approximately 250 m to the south-west (</w:t>
      </w:r>
      <w:r w:rsidR="00987F4B" w:rsidRPr="00DC0C6B">
        <w:t>Fig. 1</w:t>
      </w:r>
      <w:r w:rsidR="00FC32EF" w:rsidRPr="00DC0C6B">
        <w:t>)</w:t>
      </w:r>
      <w:r w:rsidR="00595FD5" w:rsidRPr="00DC0C6B">
        <w:t>.</w:t>
      </w:r>
      <w:r w:rsidR="006F7F9C" w:rsidRPr="00DC0C6B">
        <w:t xml:space="preserve"> </w:t>
      </w:r>
    </w:p>
    <w:p w14:paraId="3140DC21" w14:textId="77777777" w:rsidR="007114C7" w:rsidRPr="00DC0C6B" w:rsidRDefault="007114C7" w:rsidP="007114C7">
      <w:pPr>
        <w:pStyle w:val="05TextNumberedParagraph"/>
        <w:ind w:firstLine="0"/>
      </w:pPr>
    </w:p>
    <w:p w14:paraId="6B13B3FA" w14:textId="54BB0915" w:rsidR="006F7F9C" w:rsidRPr="00DC0C6B" w:rsidRDefault="006F7F9C" w:rsidP="007114C7">
      <w:pPr>
        <w:pStyle w:val="05TextNumberedParagraph"/>
        <w:ind w:firstLine="0"/>
      </w:pPr>
      <w:r w:rsidRPr="00DC0C6B">
        <w:t>Insert</w:t>
      </w:r>
      <w:r w:rsidR="009233B5" w:rsidRPr="00DC0C6B">
        <w:t xml:space="preserve"> near</w:t>
      </w:r>
      <w:r w:rsidRPr="00DC0C6B">
        <w:t xml:space="preserve"> here: Figure </w:t>
      </w:r>
      <w:commentRangeStart w:id="53"/>
      <w:r w:rsidRPr="00DC0C6B">
        <w:t>1</w:t>
      </w:r>
      <w:commentRangeEnd w:id="53"/>
      <w:r w:rsidR="009233B5" w:rsidRPr="00DC0C6B">
        <w:rPr>
          <w:rStyle w:val="CommentReference"/>
          <w:rFonts w:ascii="Arial" w:eastAsia="Times New Roman" w:hAnsi="Arial" w:cs="Times New Roman"/>
        </w:rPr>
        <w:commentReference w:id="53"/>
      </w:r>
    </w:p>
    <w:p w14:paraId="091B13E8" w14:textId="77777777" w:rsidR="007114C7" w:rsidRPr="00DC0C6B" w:rsidRDefault="007114C7" w:rsidP="007114C7">
      <w:pPr>
        <w:pStyle w:val="05TextNumberedParagraph"/>
        <w:ind w:firstLine="0"/>
      </w:pPr>
    </w:p>
    <w:p w14:paraId="46A202E1" w14:textId="2D6A8E0D" w:rsidR="00B71F82" w:rsidRPr="00DC0C6B" w:rsidRDefault="007114C7" w:rsidP="006F7F9C">
      <w:pPr>
        <w:pStyle w:val="05TextNumberedParagraph"/>
      </w:pPr>
      <w:r w:rsidRPr="00DC0C6B">
        <w:t xml:space="preserve">The development site </w:t>
      </w:r>
      <w:r w:rsidR="00A46D03" w:rsidRPr="00DC0C6B">
        <w:t>was</w:t>
      </w:r>
      <w:r w:rsidRPr="00DC0C6B">
        <w:t xml:space="preserve"> situated in a landscape </w:t>
      </w:r>
      <w:r w:rsidR="008F29F9" w:rsidRPr="00DC0C6B">
        <w:t xml:space="preserve">rich in </w:t>
      </w:r>
      <w:r w:rsidRPr="00DC0C6B">
        <w:t>prehistoric</w:t>
      </w:r>
      <w:r w:rsidR="008F29F9" w:rsidRPr="00DC0C6B">
        <w:t xml:space="preserve"> monuments and burials</w:t>
      </w:r>
      <w:r w:rsidR="0075699B" w:rsidRPr="00DC0C6B">
        <w:t xml:space="preserve">, with numerous sites producing </w:t>
      </w:r>
      <w:r w:rsidR="008F29F9" w:rsidRPr="00DC0C6B">
        <w:t xml:space="preserve">evidence for multi-period settlement and agricultural activity. </w:t>
      </w:r>
      <w:r w:rsidR="002E4838" w:rsidRPr="00DC0C6B">
        <w:t>A</w:t>
      </w:r>
      <w:r w:rsidR="00BE5038" w:rsidRPr="00DC0C6B">
        <w:t>n archaeological</w:t>
      </w:r>
      <w:r w:rsidR="002E4838" w:rsidRPr="00DC0C6B">
        <w:t xml:space="preserve"> survey of the Upper Thames Valley gravels</w:t>
      </w:r>
      <w:r w:rsidR="00D02574" w:rsidRPr="00DC0C6B">
        <w:rPr>
          <w:rStyle w:val="FootnoteReference"/>
        </w:rPr>
        <w:footnoteReference w:id="3"/>
      </w:r>
      <w:r w:rsidR="00BE5038" w:rsidRPr="00DC0C6B">
        <w:t xml:space="preserve"> </w:t>
      </w:r>
      <w:r w:rsidR="002E4838" w:rsidRPr="00DC0C6B">
        <w:t xml:space="preserve">identified an extensive complex of cropmarks in the area of </w:t>
      </w:r>
      <w:r w:rsidRPr="00DC0C6B">
        <w:t xml:space="preserve">New </w:t>
      </w:r>
      <w:proofErr w:type="spellStart"/>
      <w:r w:rsidRPr="00DC0C6B">
        <w:t>Wintles</w:t>
      </w:r>
      <w:proofErr w:type="spellEnd"/>
      <w:r w:rsidRPr="00DC0C6B">
        <w:t xml:space="preserve"> Farm, approximately 700m to the north</w:t>
      </w:r>
      <w:r w:rsidR="00B1739F" w:rsidRPr="00DC0C6B">
        <w:t>-</w:t>
      </w:r>
      <w:r w:rsidRPr="00DC0C6B">
        <w:t>east of the site</w:t>
      </w:r>
      <w:r w:rsidR="00BE5038" w:rsidRPr="00DC0C6B">
        <w:t xml:space="preserve"> (HER 5151, HER 15094, HER 29467</w:t>
      </w:r>
      <w:r w:rsidR="00D026BB" w:rsidRPr="00DC0C6B">
        <w:t>, HER 15055</w:t>
      </w:r>
      <w:r w:rsidR="00A46D03" w:rsidRPr="00DC0C6B">
        <w:t xml:space="preserve"> and </w:t>
      </w:r>
      <w:r w:rsidR="00075DFF" w:rsidRPr="00DC0C6B">
        <w:t>HER 15056</w:t>
      </w:r>
      <w:r w:rsidR="00BE5038" w:rsidRPr="00DC0C6B">
        <w:t>; Fig. 1)</w:t>
      </w:r>
      <w:r w:rsidR="00557902">
        <w:t xml:space="preserve">, to the south of the </w:t>
      </w:r>
      <w:proofErr w:type="spellStart"/>
      <w:r w:rsidR="00557902">
        <w:t>Chil</w:t>
      </w:r>
      <w:proofErr w:type="spellEnd"/>
      <w:r w:rsidR="00557902">
        <w:t xml:space="preserve"> Brook (HER 16286; Fig. 1) and</w:t>
      </w:r>
      <w:r w:rsidRPr="00DC0C6B">
        <w:t xml:space="preserve"> </w:t>
      </w:r>
      <w:proofErr w:type="spellStart"/>
      <w:r w:rsidR="002E4838" w:rsidRPr="00DC0C6B">
        <w:t>and</w:t>
      </w:r>
      <w:proofErr w:type="spellEnd"/>
      <w:r w:rsidR="002E4838" w:rsidRPr="00DC0C6B">
        <w:t xml:space="preserve"> </w:t>
      </w:r>
      <w:r w:rsidR="00557902">
        <w:t xml:space="preserve">on land at </w:t>
      </w:r>
      <w:proofErr w:type="spellStart"/>
      <w:r w:rsidR="002E4838" w:rsidRPr="00DC0C6B">
        <w:t>Foxley</w:t>
      </w:r>
      <w:proofErr w:type="spellEnd"/>
      <w:r w:rsidR="002E4838" w:rsidRPr="00DC0C6B">
        <w:t xml:space="preserve"> Farm</w:t>
      </w:r>
      <w:r w:rsidR="009233B5" w:rsidRPr="00DC0C6B">
        <w:t>,</w:t>
      </w:r>
      <w:r w:rsidR="002E4838" w:rsidRPr="00DC0C6B">
        <w:t xml:space="preserve"> situated 1.4</w:t>
      </w:r>
      <w:r w:rsidR="00B1739F" w:rsidRPr="00DC0C6B">
        <w:t xml:space="preserve"> </w:t>
      </w:r>
      <w:r w:rsidR="002E4838" w:rsidRPr="00DC0C6B">
        <w:t>km to the sout</w:t>
      </w:r>
      <w:r w:rsidR="00BE5038" w:rsidRPr="00DC0C6B">
        <w:t>h (HER 15027</w:t>
      </w:r>
      <w:r w:rsidR="00557902">
        <w:t>;</w:t>
      </w:r>
      <w:r w:rsidR="00792922" w:rsidRPr="00DC0C6B">
        <w:t xml:space="preserve"> Fig. 1)</w:t>
      </w:r>
      <w:r w:rsidR="002E4838" w:rsidRPr="00DC0C6B">
        <w:t>. Archaeological investigation of some of the cropmarks</w:t>
      </w:r>
      <w:r w:rsidR="00A46D03" w:rsidRPr="00DC0C6B">
        <w:t xml:space="preserve"> </w:t>
      </w:r>
      <w:r w:rsidR="002E4838" w:rsidRPr="00DC0C6B">
        <w:t xml:space="preserve">revealed evidence for </w:t>
      </w:r>
      <w:r w:rsidR="00BE5038" w:rsidRPr="00DC0C6B">
        <w:t xml:space="preserve">Neolithic and </w:t>
      </w:r>
      <w:r w:rsidR="002E4838" w:rsidRPr="00DC0C6B">
        <w:t xml:space="preserve">Bronze Age </w:t>
      </w:r>
      <w:r w:rsidR="00BE5038" w:rsidRPr="00DC0C6B">
        <w:t>monuments</w:t>
      </w:r>
      <w:r w:rsidR="002E4838" w:rsidRPr="00DC0C6B">
        <w:t>, Beaker burials</w:t>
      </w:r>
      <w:r w:rsidR="00BE5038" w:rsidRPr="00DC0C6B">
        <w:t xml:space="preserve"> and</w:t>
      </w:r>
      <w:r w:rsidR="002E4838" w:rsidRPr="00DC0C6B">
        <w:t xml:space="preserve"> Neolithic </w:t>
      </w:r>
      <w:r w:rsidR="00BE5038" w:rsidRPr="00DC0C6B">
        <w:t>to</w:t>
      </w:r>
      <w:r w:rsidR="002E4838" w:rsidRPr="00DC0C6B">
        <w:t xml:space="preserve"> </w:t>
      </w:r>
      <w:r w:rsidR="00B1739F" w:rsidRPr="00DC0C6B">
        <w:t>Saxon</w:t>
      </w:r>
      <w:r w:rsidR="00A46D03" w:rsidRPr="00DC0C6B">
        <w:t xml:space="preserve"> period</w:t>
      </w:r>
      <w:r w:rsidR="002E4838" w:rsidRPr="00DC0C6B">
        <w:t xml:space="preserve"> settlement</w:t>
      </w:r>
      <w:r w:rsidR="00B1739F" w:rsidRPr="00DC0C6B">
        <w:t>.</w:t>
      </w:r>
      <w:r w:rsidR="0075699B" w:rsidRPr="00DC0C6B">
        <w:rPr>
          <w:rStyle w:val="FootnoteReference"/>
        </w:rPr>
        <w:footnoteReference w:id="4"/>
      </w:r>
      <w:r w:rsidR="005D417F" w:rsidRPr="00DC0C6B">
        <w:t xml:space="preserve"> </w:t>
      </w:r>
      <w:r w:rsidR="006F7F9C" w:rsidRPr="00DC0C6B">
        <w:t xml:space="preserve">The archaeological potential of the site </w:t>
      </w:r>
      <w:proofErr w:type="gramStart"/>
      <w:r w:rsidR="006F7F9C" w:rsidRPr="00DC0C6B">
        <w:t>was established</w:t>
      </w:r>
      <w:proofErr w:type="gramEnd"/>
      <w:r w:rsidR="006F7F9C" w:rsidRPr="00DC0C6B">
        <w:t xml:space="preserve"> </w:t>
      </w:r>
      <w:r w:rsidR="008F29F9" w:rsidRPr="00DC0C6B">
        <w:t xml:space="preserve">by </w:t>
      </w:r>
      <w:r w:rsidR="006F7F9C" w:rsidRPr="00DC0C6B">
        <w:t>previous archaeological works within the development area, comprising a desk-based assessment</w:t>
      </w:r>
      <w:r w:rsidR="006F7F9C" w:rsidRPr="00DC0C6B">
        <w:rPr>
          <w:rStyle w:val="FootnoteReference"/>
        </w:rPr>
        <w:footnoteReference w:id="5"/>
      </w:r>
      <w:r w:rsidR="006F7F9C" w:rsidRPr="00DC0C6B">
        <w:t>, geophysical survey</w:t>
      </w:r>
      <w:r w:rsidR="006F7F9C" w:rsidRPr="00DC0C6B">
        <w:rPr>
          <w:rStyle w:val="FootnoteReference"/>
        </w:rPr>
        <w:footnoteReference w:id="6"/>
      </w:r>
      <w:r w:rsidR="006F7F9C" w:rsidRPr="00DC0C6B">
        <w:t xml:space="preserve"> and two stages of trial-trench evaluation</w:t>
      </w:r>
      <w:r w:rsidR="006F7F9C" w:rsidRPr="00DC0C6B">
        <w:rPr>
          <w:rStyle w:val="FootnoteReference"/>
        </w:rPr>
        <w:footnoteReference w:id="7"/>
      </w:r>
      <w:r w:rsidR="00A46D03" w:rsidRPr="00DC0C6B">
        <w:t xml:space="preserve"> (Fig. 2)</w:t>
      </w:r>
      <w:r w:rsidR="00676719" w:rsidRPr="00DC0C6B">
        <w:t xml:space="preserve">. </w:t>
      </w:r>
      <w:r w:rsidR="006F7F9C" w:rsidRPr="00DC0C6B">
        <w:t>The investigations identified remains pertaining to Iron Age</w:t>
      </w:r>
      <w:r w:rsidR="00B1739F" w:rsidRPr="00DC0C6B">
        <w:t xml:space="preserve"> settlement and</w:t>
      </w:r>
      <w:r w:rsidR="006F7F9C" w:rsidRPr="00DC0C6B">
        <w:t xml:space="preserve"> medieval and post-medieval </w:t>
      </w:r>
      <w:r w:rsidR="00B1739F" w:rsidRPr="00DC0C6B">
        <w:t xml:space="preserve">agricultural land-use </w:t>
      </w:r>
      <w:r w:rsidR="006F7F9C" w:rsidRPr="00DC0C6B">
        <w:t xml:space="preserve">in the eastern half of the development site and in light of this a </w:t>
      </w:r>
      <w:proofErr w:type="gramStart"/>
      <w:r w:rsidR="006F7F9C" w:rsidRPr="00DC0C6B">
        <w:t>0.88 hectare</w:t>
      </w:r>
      <w:proofErr w:type="gramEnd"/>
      <w:r w:rsidR="006F7F9C" w:rsidRPr="00DC0C6B">
        <w:t xml:space="preserve"> area was subject to archaeological excavation. Evidence for </w:t>
      </w:r>
      <w:r w:rsidR="006C0805" w:rsidRPr="00DC0C6B">
        <w:t>four</w:t>
      </w:r>
      <w:r w:rsidR="006F7F9C" w:rsidRPr="00DC0C6B">
        <w:t xml:space="preserve"> p</w:t>
      </w:r>
      <w:r w:rsidR="006C0805" w:rsidRPr="00DC0C6B">
        <w:t>e</w:t>
      </w:r>
      <w:r w:rsidR="006F7F9C" w:rsidRPr="00DC0C6B">
        <w:t xml:space="preserve">riods of activity </w:t>
      </w:r>
      <w:proofErr w:type="gramStart"/>
      <w:r w:rsidR="006F7F9C" w:rsidRPr="00DC0C6B">
        <w:t>were revealed</w:t>
      </w:r>
      <w:proofErr w:type="gramEnd"/>
      <w:r w:rsidR="006F7F9C" w:rsidRPr="00DC0C6B">
        <w:t>:</w:t>
      </w:r>
    </w:p>
    <w:p w14:paraId="5F4B36F0" w14:textId="77777777" w:rsidR="007114C7" w:rsidRPr="00DC0C6B" w:rsidRDefault="007114C7" w:rsidP="006F7F9C">
      <w:pPr>
        <w:pStyle w:val="05TextNumberedParagraph"/>
      </w:pPr>
    </w:p>
    <w:p w14:paraId="49A7073F" w14:textId="505A431A" w:rsidR="006F7F9C" w:rsidRPr="00DC0C6B" w:rsidRDefault="006F7F9C" w:rsidP="006F7F9C">
      <w:pPr>
        <w:pStyle w:val="05TextNumberedParagraph"/>
        <w:numPr>
          <w:ilvl w:val="0"/>
          <w:numId w:val="48"/>
        </w:numPr>
      </w:pPr>
      <w:r w:rsidRPr="00DC0C6B">
        <w:t>Period 1: Early Bronze Age (</w:t>
      </w:r>
      <w:r w:rsidR="006C0805" w:rsidRPr="00DC0C6B">
        <w:rPr>
          <w:i/>
          <w:iCs/>
        </w:rPr>
        <w:t>c</w:t>
      </w:r>
      <w:r w:rsidR="006C0805" w:rsidRPr="00DC0C6B">
        <w:t xml:space="preserve">. </w:t>
      </w:r>
      <w:r w:rsidRPr="00DC0C6B">
        <w:t>2400–1500 BC)</w:t>
      </w:r>
    </w:p>
    <w:p w14:paraId="27CDDF2B" w14:textId="70EACDB0" w:rsidR="006F7F9C" w:rsidRPr="00DC0C6B" w:rsidRDefault="006F7F9C" w:rsidP="006F7F9C">
      <w:pPr>
        <w:pStyle w:val="05TextNumberedParagraph"/>
        <w:numPr>
          <w:ilvl w:val="0"/>
          <w:numId w:val="48"/>
        </w:numPr>
      </w:pPr>
      <w:r w:rsidRPr="00DC0C6B">
        <w:t xml:space="preserve">Period 2: </w:t>
      </w:r>
      <w:r w:rsidR="00C13F9F">
        <w:t>M</w:t>
      </w:r>
      <w:r w:rsidRPr="00DC0C6B">
        <w:t>iddle Iron Age (</w:t>
      </w:r>
      <w:r w:rsidR="006C0805" w:rsidRPr="00DC0C6B">
        <w:rPr>
          <w:i/>
          <w:iCs/>
        </w:rPr>
        <w:t>c</w:t>
      </w:r>
      <w:r w:rsidR="006C0805" w:rsidRPr="00DC0C6B">
        <w:t xml:space="preserve">. </w:t>
      </w:r>
      <w:r w:rsidR="00C13F9F">
        <w:t>400</w:t>
      </w:r>
      <w:r w:rsidRPr="00DC0C6B">
        <w:t>–100 BC)</w:t>
      </w:r>
    </w:p>
    <w:p w14:paraId="1FF741F3" w14:textId="371D8787" w:rsidR="006F7F9C" w:rsidRPr="00DC0C6B" w:rsidRDefault="006F7F9C" w:rsidP="006F7F9C">
      <w:pPr>
        <w:pStyle w:val="05TextNumberedParagraph"/>
        <w:numPr>
          <w:ilvl w:val="0"/>
          <w:numId w:val="48"/>
        </w:numPr>
      </w:pPr>
      <w:r w:rsidRPr="00DC0C6B">
        <w:lastRenderedPageBreak/>
        <w:t>Period 3: medieval (</w:t>
      </w:r>
      <w:r w:rsidR="006C0805" w:rsidRPr="00DC0C6B">
        <w:rPr>
          <w:i/>
          <w:iCs/>
        </w:rPr>
        <w:t>c</w:t>
      </w:r>
      <w:r w:rsidR="006C0805" w:rsidRPr="00DC0C6B">
        <w:t>. 1</w:t>
      </w:r>
      <w:r w:rsidRPr="00DC0C6B">
        <w:t>066–1539)</w:t>
      </w:r>
    </w:p>
    <w:p w14:paraId="6BA9CC22" w14:textId="4D8B60D4" w:rsidR="006F7F9C" w:rsidRPr="00DC0C6B" w:rsidRDefault="006F7F9C" w:rsidP="006F7F9C">
      <w:pPr>
        <w:pStyle w:val="05TextNumberedParagraph"/>
        <w:numPr>
          <w:ilvl w:val="0"/>
          <w:numId w:val="48"/>
        </w:numPr>
      </w:pPr>
      <w:r w:rsidRPr="00DC0C6B">
        <w:t>Period 4: post-medieval (</w:t>
      </w:r>
      <w:r w:rsidR="006C0805" w:rsidRPr="00DC0C6B">
        <w:rPr>
          <w:i/>
          <w:iCs/>
        </w:rPr>
        <w:t>c</w:t>
      </w:r>
      <w:r w:rsidR="006C0805" w:rsidRPr="00DC0C6B">
        <w:t xml:space="preserve">. </w:t>
      </w:r>
      <w:r w:rsidRPr="00DC0C6B">
        <w:t>1540–1800)</w:t>
      </w:r>
    </w:p>
    <w:p w14:paraId="770E96AE" w14:textId="77777777" w:rsidR="007114C7" w:rsidRPr="00DC0C6B" w:rsidRDefault="007114C7" w:rsidP="007114C7">
      <w:pPr>
        <w:pStyle w:val="05TextNumberedParagraph"/>
        <w:ind w:left="720" w:firstLine="0"/>
      </w:pPr>
    </w:p>
    <w:p w14:paraId="24798298" w14:textId="680E8E76" w:rsidR="006F7F9C" w:rsidRPr="00DC0C6B" w:rsidRDefault="00676719" w:rsidP="006F7F9C">
      <w:pPr>
        <w:pStyle w:val="05TextNumberedParagraph"/>
      </w:pPr>
      <w:r w:rsidRPr="00DC0C6B">
        <w:t>The main phases of occupation occurred during the Early Bronze Age (Period 1) and Middle Iron Age (Period 2).</w:t>
      </w:r>
    </w:p>
    <w:p w14:paraId="117C20A8" w14:textId="10791837" w:rsidR="00676719" w:rsidRPr="00DC0C6B" w:rsidRDefault="00676719" w:rsidP="006F7F9C">
      <w:pPr>
        <w:pStyle w:val="05TextNumberedParagraph"/>
      </w:pPr>
      <w:r w:rsidRPr="00DC0C6B">
        <w:t>This report presents a summary of the discoveries at the A40 Science Transit Phase 2 – Park and Ride site; a detailed excavation report, with specialist finds and biological evidence reports, including details on methods using during analysis, is available online via the Cotswold Archaeology website</w:t>
      </w:r>
      <w:r w:rsidRPr="00DC0C6B">
        <w:rPr>
          <w:rStyle w:val="FootnoteReference"/>
        </w:rPr>
        <w:footnoteReference w:id="8"/>
      </w:r>
      <w:r w:rsidRPr="00DC0C6B">
        <w:t>.</w:t>
      </w:r>
    </w:p>
    <w:p w14:paraId="10A2B3A6" w14:textId="748D05C5" w:rsidR="00E56447" w:rsidRPr="00DC0C6B" w:rsidRDefault="00E56447" w:rsidP="00E56447">
      <w:pPr>
        <w:pStyle w:val="05TextNumberedParagraph"/>
        <w:ind w:firstLine="0"/>
        <w:jc w:val="left"/>
      </w:pPr>
    </w:p>
    <w:p w14:paraId="61234875" w14:textId="005AACDB" w:rsidR="00E56447" w:rsidRPr="00DC0C6B" w:rsidRDefault="00E56447" w:rsidP="00E56447">
      <w:pPr>
        <w:pStyle w:val="05TextNumberedParagraph"/>
        <w:ind w:firstLine="0"/>
        <w:jc w:val="left"/>
      </w:pPr>
      <w:r w:rsidRPr="00DC0C6B">
        <w:t xml:space="preserve">Insert </w:t>
      </w:r>
      <w:r w:rsidR="009233B5" w:rsidRPr="00DC0C6B">
        <w:t xml:space="preserve">near </w:t>
      </w:r>
      <w:r w:rsidRPr="00DC0C6B">
        <w:t xml:space="preserve">here: Figure </w:t>
      </w:r>
      <w:commentRangeStart w:id="54"/>
      <w:r w:rsidRPr="00DC0C6B">
        <w:t>2</w:t>
      </w:r>
      <w:commentRangeEnd w:id="54"/>
      <w:r w:rsidRPr="00DC0C6B">
        <w:rPr>
          <w:rStyle w:val="CommentReference"/>
          <w:rFonts w:ascii="Arial" w:eastAsia="Times New Roman" w:hAnsi="Arial" w:cs="Times New Roman"/>
        </w:rPr>
        <w:commentReference w:id="54"/>
      </w:r>
    </w:p>
    <w:p w14:paraId="0BB4E903" w14:textId="77777777" w:rsidR="00E56447" w:rsidRPr="00DC0C6B" w:rsidRDefault="00E56447" w:rsidP="00E56447">
      <w:pPr>
        <w:pStyle w:val="05TextNumberedParagraph"/>
        <w:ind w:firstLine="0"/>
      </w:pPr>
    </w:p>
    <w:p w14:paraId="50D6F39C" w14:textId="256A917C" w:rsidR="00793328" w:rsidRPr="00DC0C6B" w:rsidRDefault="005904F0" w:rsidP="00F57D70">
      <w:pPr>
        <w:pStyle w:val="01Heading1"/>
      </w:pPr>
      <w:bookmarkStart w:id="55" w:name="_Toc468867806"/>
      <w:bookmarkStart w:id="56" w:name="_Toc468867808"/>
      <w:bookmarkStart w:id="57" w:name="_Toc468867811"/>
      <w:bookmarkStart w:id="58" w:name="_Toc130544703"/>
      <w:bookmarkStart w:id="59" w:name="_Toc468867813"/>
      <w:bookmarkStart w:id="60" w:name="_Toc465081221"/>
      <w:bookmarkEnd w:id="50"/>
      <w:bookmarkEnd w:id="55"/>
      <w:bookmarkEnd w:id="56"/>
      <w:r w:rsidRPr="00DC0C6B">
        <w:t>EXCAVATION RESULTS</w:t>
      </w:r>
      <w:bookmarkEnd w:id="57"/>
      <w:bookmarkEnd w:id="58"/>
    </w:p>
    <w:p w14:paraId="7721F974" w14:textId="4B9F3C19" w:rsidR="00213312" w:rsidRPr="00DC0C6B" w:rsidRDefault="005904F0" w:rsidP="009A5A85">
      <w:pPr>
        <w:pStyle w:val="02heading2"/>
      </w:pPr>
      <w:bookmarkStart w:id="61" w:name="_Toc130544705"/>
      <w:r w:rsidRPr="00DC0C6B">
        <w:t>Period 1:</w:t>
      </w:r>
      <w:r w:rsidR="00967902" w:rsidRPr="00DC0C6B">
        <w:t xml:space="preserve"> </w:t>
      </w:r>
      <w:r w:rsidRPr="00DC0C6B">
        <w:t xml:space="preserve">Early Bronze Age (c. 2400–1500 BC; Figs </w:t>
      </w:r>
      <w:r w:rsidR="00A46D03" w:rsidRPr="00DC0C6B">
        <w:t>2</w:t>
      </w:r>
      <w:r w:rsidRPr="00DC0C6B">
        <w:t xml:space="preserve"> and </w:t>
      </w:r>
      <w:r w:rsidR="00A46D03" w:rsidRPr="00DC0C6B">
        <w:t>3</w:t>
      </w:r>
      <w:r w:rsidRPr="00DC0C6B">
        <w:t>)</w:t>
      </w:r>
      <w:bookmarkEnd w:id="61"/>
    </w:p>
    <w:p w14:paraId="17269E1D" w14:textId="7AE1DDDB" w:rsidR="00213312" w:rsidRPr="00DC0C6B" w:rsidRDefault="00F41487" w:rsidP="00C53614">
      <w:pPr>
        <w:pStyle w:val="05TextNumberedParagraph"/>
        <w:ind w:firstLine="0"/>
      </w:pPr>
      <w:r w:rsidRPr="00DC0C6B">
        <w:t>The earliest firm evidence of human activity within the development site comprised a</w:t>
      </w:r>
      <w:r w:rsidR="00213312" w:rsidRPr="00DC0C6B">
        <w:t xml:space="preserve"> cremation burial</w:t>
      </w:r>
      <w:r w:rsidR="005A2945" w:rsidRPr="00DC0C6B">
        <w:t xml:space="preserve"> of a child</w:t>
      </w:r>
      <w:r w:rsidR="008A79AE" w:rsidRPr="00DC0C6B">
        <w:t xml:space="preserve"> (10649; Fig</w:t>
      </w:r>
      <w:r w:rsidR="00A46D03" w:rsidRPr="00DC0C6B">
        <w:t>. 2</w:t>
      </w:r>
      <w:r w:rsidR="008A79AE" w:rsidRPr="00DC0C6B">
        <w:t>)</w:t>
      </w:r>
      <w:r w:rsidR="000F38DA" w:rsidRPr="00DC0C6B">
        <w:t xml:space="preserve"> </w:t>
      </w:r>
      <w:r w:rsidR="00B1739F" w:rsidRPr="00DC0C6B">
        <w:t xml:space="preserve">that had </w:t>
      </w:r>
      <w:proofErr w:type="gramStart"/>
      <w:r w:rsidR="00B1739F" w:rsidRPr="00DC0C6B">
        <w:t>been</w:t>
      </w:r>
      <w:r w:rsidR="00766181" w:rsidRPr="00DC0C6B">
        <w:t xml:space="preserve"> placed</w:t>
      </w:r>
      <w:proofErr w:type="gramEnd"/>
      <w:r w:rsidR="00766181" w:rsidRPr="00DC0C6B">
        <w:t xml:space="preserve"> </w:t>
      </w:r>
      <w:proofErr w:type="spellStart"/>
      <w:r w:rsidR="008A79AE" w:rsidRPr="00DC0C6B">
        <w:t>unurned</w:t>
      </w:r>
      <w:proofErr w:type="spellEnd"/>
      <w:r w:rsidR="008A79AE" w:rsidRPr="00DC0C6B">
        <w:t xml:space="preserve"> </w:t>
      </w:r>
      <w:r w:rsidR="000F38DA" w:rsidRPr="00DC0C6B">
        <w:t>in</w:t>
      </w:r>
      <w:r w:rsidR="00766181" w:rsidRPr="00DC0C6B">
        <w:t xml:space="preserve"> </w:t>
      </w:r>
      <w:r w:rsidR="000F38DA" w:rsidRPr="00DC0C6B">
        <w:t>a</w:t>
      </w:r>
      <w:r w:rsidR="00B1739F" w:rsidRPr="00DC0C6B">
        <w:t xml:space="preserve"> </w:t>
      </w:r>
      <w:r w:rsidR="000F38DA" w:rsidRPr="00DC0C6B">
        <w:t>pit (0.6 m long, 0.4 m wide and 0.1 m deep)</w:t>
      </w:r>
      <w:r w:rsidR="00766181" w:rsidRPr="00DC0C6B">
        <w:t xml:space="preserve">. </w:t>
      </w:r>
      <w:r w:rsidR="00B1739F" w:rsidRPr="00DC0C6B">
        <w:t>The small quantity of cremated bone</w:t>
      </w:r>
      <w:r w:rsidR="00766181" w:rsidRPr="00DC0C6B">
        <w:t xml:space="preserve"> </w:t>
      </w:r>
      <w:r w:rsidR="00B1739F" w:rsidRPr="00DC0C6B">
        <w:t>(</w:t>
      </w:r>
      <w:r w:rsidR="00BD3480" w:rsidRPr="00DC0C6B">
        <w:t>68.3</w:t>
      </w:r>
      <w:r w:rsidR="00BA486D" w:rsidRPr="00DC0C6B">
        <w:t xml:space="preserve"> </w:t>
      </w:r>
      <w:r w:rsidR="00BD3480" w:rsidRPr="00DC0C6B">
        <w:t>g</w:t>
      </w:r>
      <w:r w:rsidR="00B1739F" w:rsidRPr="00DC0C6B">
        <w:t>) was from</w:t>
      </w:r>
      <w:r w:rsidR="00BD3480" w:rsidRPr="00DC0C6B">
        <w:t xml:space="preserve"> </w:t>
      </w:r>
      <w:r w:rsidR="00766181" w:rsidRPr="00DC0C6B">
        <w:t xml:space="preserve">a </w:t>
      </w:r>
      <w:r w:rsidR="00BD3480" w:rsidRPr="00DC0C6B">
        <w:t xml:space="preserve">single individual, but only skull and lower limbs </w:t>
      </w:r>
      <w:proofErr w:type="gramStart"/>
      <w:r w:rsidR="008A79AE" w:rsidRPr="00DC0C6B">
        <w:t>were represented</w:t>
      </w:r>
      <w:proofErr w:type="gramEnd"/>
      <w:r w:rsidR="00BA486D" w:rsidRPr="00DC0C6B">
        <w:t>.</w:t>
      </w:r>
      <w:r w:rsidR="00BA486D" w:rsidRPr="00DC0C6B">
        <w:rPr>
          <w:rStyle w:val="FootnoteReference"/>
        </w:rPr>
        <w:footnoteReference w:id="9"/>
      </w:r>
      <w:r w:rsidR="00BD3480" w:rsidRPr="00DC0C6B">
        <w:t xml:space="preserve"> </w:t>
      </w:r>
      <w:r w:rsidR="00B1739F" w:rsidRPr="00DC0C6B">
        <w:t xml:space="preserve">Charcoal from the pyre was </w:t>
      </w:r>
      <w:r w:rsidR="00A46D03" w:rsidRPr="00DC0C6B">
        <w:t xml:space="preserve">mixed with the bone and was </w:t>
      </w:r>
      <w:r w:rsidR="00B1739F" w:rsidRPr="00DC0C6B">
        <w:t xml:space="preserve">dominated by </w:t>
      </w:r>
      <w:r w:rsidR="00154BC3" w:rsidRPr="00DC0C6B">
        <w:t>o</w:t>
      </w:r>
      <w:r w:rsidR="005A2945" w:rsidRPr="00DC0C6B">
        <w:t>ak</w:t>
      </w:r>
      <w:r w:rsidR="00BA486D" w:rsidRPr="00DC0C6B">
        <w:t xml:space="preserve"> (</w:t>
      </w:r>
      <w:r w:rsidR="00BA486D" w:rsidRPr="00DC0C6B">
        <w:rPr>
          <w:i/>
          <w:iCs/>
        </w:rPr>
        <w:t>Quercus</w:t>
      </w:r>
      <w:r w:rsidR="00BA486D" w:rsidRPr="00DC0C6B">
        <w:t xml:space="preserve"> spp.)</w:t>
      </w:r>
      <w:r w:rsidR="005A2945" w:rsidRPr="00DC0C6B">
        <w:t xml:space="preserve">, </w:t>
      </w:r>
      <w:r w:rsidR="008A79AE" w:rsidRPr="00DC0C6B">
        <w:t>consisting of</w:t>
      </w:r>
      <w:r w:rsidR="005A2945" w:rsidRPr="00DC0C6B">
        <w:t xml:space="preserve"> </w:t>
      </w:r>
      <w:r w:rsidR="008A79AE" w:rsidRPr="00DC0C6B">
        <w:t>almost</w:t>
      </w:r>
      <w:r w:rsidR="005A2945" w:rsidRPr="00DC0C6B">
        <w:t xml:space="preserve"> equal amounts of heartwood and sapwood, and smaller quantities of hazel </w:t>
      </w:r>
      <w:r w:rsidR="00A46D03" w:rsidRPr="00DC0C6B">
        <w:t>(</w:t>
      </w:r>
      <w:r w:rsidR="00E56447" w:rsidRPr="00DC0C6B">
        <w:rPr>
          <w:i/>
          <w:iCs/>
        </w:rPr>
        <w:t>Corylus avellana</w:t>
      </w:r>
      <w:r w:rsidR="00E56447" w:rsidRPr="00DC0C6B">
        <w:t xml:space="preserve"> L.) </w:t>
      </w:r>
      <w:r w:rsidR="005A2945" w:rsidRPr="00DC0C6B">
        <w:t>and hawthorn group</w:t>
      </w:r>
      <w:r w:rsidR="00E56447" w:rsidRPr="00DC0C6B">
        <w:t xml:space="preserve"> (</w:t>
      </w:r>
      <w:proofErr w:type="spellStart"/>
      <w:r w:rsidR="00E56447" w:rsidRPr="00DC0C6B">
        <w:t>Pomoideae</w:t>
      </w:r>
      <w:proofErr w:type="spellEnd"/>
      <w:r w:rsidR="00E56447" w:rsidRPr="00DC0C6B">
        <w:t>)</w:t>
      </w:r>
      <w:r w:rsidR="00B1739F" w:rsidRPr="00DC0C6B">
        <w:t xml:space="preserve">. </w:t>
      </w:r>
      <w:r w:rsidR="006C515E" w:rsidRPr="00DC0C6B">
        <w:t>Radiocarbon analysis of a sample of cremated human bone returned an Early Bronze Age date of 1881–1693 cal</w:t>
      </w:r>
      <w:r w:rsidR="00960EA4">
        <w:t>.</w:t>
      </w:r>
      <w:r w:rsidR="006C515E" w:rsidRPr="00DC0C6B">
        <w:t xml:space="preserve"> BC (SUERC-108039</w:t>
      </w:r>
      <w:r w:rsidR="00960EA4">
        <w:t>;</w:t>
      </w:r>
      <w:r w:rsidR="006C515E" w:rsidRPr="00DC0C6B">
        <w:t>95.4</w:t>
      </w:r>
      <w:r w:rsidR="00BA486D" w:rsidRPr="00DC0C6B">
        <w:t xml:space="preserve"> per</w:t>
      </w:r>
      <w:r w:rsidR="00E10536" w:rsidRPr="00DC0C6B">
        <w:t xml:space="preserve"> </w:t>
      </w:r>
      <w:r w:rsidR="00BA486D" w:rsidRPr="00DC0C6B">
        <w:t>cent</w:t>
      </w:r>
      <w:r w:rsidR="006C515E" w:rsidRPr="00DC0C6B">
        <w:t xml:space="preserve"> probability).</w:t>
      </w:r>
    </w:p>
    <w:p w14:paraId="6CFD5DDD" w14:textId="181248A1" w:rsidR="00F41487" w:rsidRPr="00DC0C6B" w:rsidRDefault="006C515E" w:rsidP="00213312">
      <w:pPr>
        <w:pStyle w:val="05TextNumberedParagraph"/>
      </w:pPr>
      <w:r w:rsidRPr="00DC0C6B">
        <w:t xml:space="preserve">A </w:t>
      </w:r>
      <w:r w:rsidR="005A2945" w:rsidRPr="00DC0C6B">
        <w:t xml:space="preserve">calcined </w:t>
      </w:r>
      <w:r w:rsidR="00E10536" w:rsidRPr="00DC0C6B">
        <w:t xml:space="preserve">first </w:t>
      </w:r>
      <w:r w:rsidR="005A2945" w:rsidRPr="00DC0C6B">
        <w:t>phalanx of a</w:t>
      </w:r>
      <w:r w:rsidR="00E10536" w:rsidRPr="00DC0C6B">
        <w:t xml:space="preserve"> large bird, identified as possible </w:t>
      </w:r>
      <w:r w:rsidR="00475B76" w:rsidRPr="00DC0C6B">
        <w:t>g</w:t>
      </w:r>
      <w:r w:rsidR="00E10536" w:rsidRPr="00DC0C6B">
        <w:t xml:space="preserve">olden </w:t>
      </w:r>
      <w:r w:rsidR="00475B76" w:rsidRPr="00DC0C6B">
        <w:t>e</w:t>
      </w:r>
      <w:r w:rsidR="00E10536" w:rsidRPr="00DC0C6B">
        <w:t>agle,</w:t>
      </w:r>
      <w:r w:rsidR="005A2945" w:rsidRPr="00DC0C6B">
        <w:t xml:space="preserve"> was recovered from the cremation </w:t>
      </w:r>
      <w:proofErr w:type="gramStart"/>
      <w:r w:rsidR="005A2945" w:rsidRPr="00DC0C6B">
        <w:t>deposit</w:t>
      </w:r>
      <w:proofErr w:type="gramEnd"/>
      <w:r w:rsidR="00154BC3" w:rsidRPr="00DC0C6B">
        <w:t xml:space="preserve"> and probably represents a pyre good</w:t>
      </w:r>
      <w:r w:rsidR="005A2945" w:rsidRPr="00DC0C6B">
        <w:t xml:space="preserve">. </w:t>
      </w:r>
      <w:r w:rsidR="00154BC3" w:rsidRPr="00DC0C6B">
        <w:t xml:space="preserve">It had </w:t>
      </w:r>
      <w:proofErr w:type="gramStart"/>
      <w:r w:rsidR="00BD3480" w:rsidRPr="00DC0C6B">
        <w:t>been pierced</w:t>
      </w:r>
      <w:proofErr w:type="gramEnd"/>
      <w:r w:rsidR="00154BC3" w:rsidRPr="00DC0C6B">
        <w:t xml:space="preserve"> at one end</w:t>
      </w:r>
      <w:r w:rsidR="00D026BB" w:rsidRPr="00DC0C6B">
        <w:t xml:space="preserve"> and may have been utilised as a pin (Fig. </w:t>
      </w:r>
      <w:r w:rsidR="00E56447" w:rsidRPr="00DC0C6B">
        <w:t>3</w:t>
      </w:r>
      <w:r w:rsidR="00D026BB" w:rsidRPr="00DC0C6B">
        <w:t>).</w:t>
      </w:r>
      <w:r w:rsidR="00154BC3" w:rsidRPr="00DC0C6B">
        <w:t xml:space="preserve"> </w:t>
      </w:r>
    </w:p>
    <w:p w14:paraId="4FBC4FEF" w14:textId="06536B3B" w:rsidR="00D026BB" w:rsidRPr="00DC0C6B" w:rsidRDefault="00D026BB" w:rsidP="00D026BB">
      <w:pPr>
        <w:pStyle w:val="05TextNumberedParagraph"/>
        <w:ind w:firstLine="0"/>
      </w:pPr>
    </w:p>
    <w:p w14:paraId="49455D05" w14:textId="7B77B13E" w:rsidR="00D026BB" w:rsidRPr="00DC0C6B" w:rsidRDefault="00D026BB" w:rsidP="00D026BB">
      <w:pPr>
        <w:pStyle w:val="05TextNumberedParagraph"/>
        <w:ind w:firstLine="0"/>
      </w:pPr>
      <w:r w:rsidRPr="00DC0C6B">
        <w:t xml:space="preserve">Insert </w:t>
      </w:r>
      <w:r w:rsidR="00E56447" w:rsidRPr="00DC0C6B">
        <w:t xml:space="preserve">here: </w:t>
      </w:r>
      <w:r w:rsidRPr="00DC0C6B">
        <w:t>Fig</w:t>
      </w:r>
      <w:r w:rsidR="00E56447" w:rsidRPr="00DC0C6B">
        <w:t>ure 3</w:t>
      </w:r>
      <w:r w:rsidRPr="00DC0C6B">
        <w:t xml:space="preserve"> </w:t>
      </w:r>
      <w:commentRangeStart w:id="62"/>
      <w:r w:rsidRPr="00DC0C6B">
        <w:t>here</w:t>
      </w:r>
      <w:commentRangeEnd w:id="62"/>
      <w:r w:rsidRPr="00DC0C6B">
        <w:rPr>
          <w:rStyle w:val="CommentReference"/>
          <w:rFonts w:ascii="Arial" w:eastAsia="Times New Roman" w:hAnsi="Arial" w:cs="Times New Roman"/>
        </w:rPr>
        <w:commentReference w:id="62"/>
      </w:r>
    </w:p>
    <w:p w14:paraId="752BD173" w14:textId="77777777" w:rsidR="00D026BB" w:rsidRPr="00DC0C6B" w:rsidRDefault="00D026BB" w:rsidP="00D026BB">
      <w:pPr>
        <w:pStyle w:val="05TextNumberedParagraph"/>
        <w:ind w:firstLine="0"/>
      </w:pPr>
    </w:p>
    <w:p w14:paraId="28006C33" w14:textId="460923C1" w:rsidR="0016216F" w:rsidRPr="00DC0C6B" w:rsidRDefault="00967902" w:rsidP="009A5A85">
      <w:pPr>
        <w:pStyle w:val="02heading2"/>
      </w:pPr>
      <w:bookmarkStart w:id="63" w:name="_Toc130544706"/>
      <w:r w:rsidRPr="00DC0C6B">
        <w:lastRenderedPageBreak/>
        <w:t>Period 2: Middle Iron Age (400–100 BC; Figs</w:t>
      </w:r>
      <w:r w:rsidR="002E0DB1" w:rsidRPr="00DC0C6B">
        <w:t xml:space="preserve"> </w:t>
      </w:r>
      <w:r w:rsidR="00F52B97">
        <w:t>2</w:t>
      </w:r>
      <w:r w:rsidR="002E0DB1" w:rsidRPr="00DC0C6B">
        <w:t>–</w:t>
      </w:r>
      <w:r w:rsidR="009233B5" w:rsidRPr="00DC0C6B">
        <w:t>7</w:t>
      </w:r>
      <w:r w:rsidRPr="00DC0C6B">
        <w:t>)</w:t>
      </w:r>
      <w:bookmarkEnd w:id="63"/>
    </w:p>
    <w:p w14:paraId="023CC43D" w14:textId="3159C2E6" w:rsidR="00EE6104" w:rsidRDefault="009A5A85" w:rsidP="00967902">
      <w:pPr>
        <w:pStyle w:val="05TextNumberedParagraph"/>
        <w:ind w:firstLine="0"/>
      </w:pPr>
      <w:r w:rsidRPr="00DC0C6B">
        <w:t>E</w:t>
      </w:r>
      <w:r w:rsidR="007557CB" w:rsidRPr="00DC0C6B">
        <w:t xml:space="preserve">vidence of </w:t>
      </w:r>
      <w:r w:rsidR="00F41487" w:rsidRPr="00DC0C6B">
        <w:t>settlement</w:t>
      </w:r>
      <w:r w:rsidR="00F52B97">
        <w:t>-</w:t>
      </w:r>
      <w:r w:rsidR="00F41487" w:rsidRPr="00DC0C6B">
        <w:t xml:space="preserve">related activity </w:t>
      </w:r>
      <w:r w:rsidR="007557CB" w:rsidRPr="00DC0C6B">
        <w:t xml:space="preserve">occurred during the Middle Iron Age </w:t>
      </w:r>
      <w:r w:rsidRPr="00DC0C6B">
        <w:t>within the excavation area, consisting of</w:t>
      </w:r>
      <w:r w:rsidR="007557CB" w:rsidRPr="00DC0C6B">
        <w:t xml:space="preserve"> </w:t>
      </w:r>
      <w:r w:rsidRPr="00DC0C6B">
        <w:t xml:space="preserve">at least </w:t>
      </w:r>
      <w:r w:rsidR="007557CB" w:rsidRPr="00DC0C6B">
        <w:t>three roundhouse buildings (A, B and C), a circular enclosure (4), three sub-rectangular enclosures (1–3)</w:t>
      </w:r>
      <w:r w:rsidR="000F38DA" w:rsidRPr="00DC0C6B">
        <w:t>, t</w:t>
      </w:r>
      <w:r w:rsidR="00F84BF5" w:rsidRPr="00DC0C6B">
        <w:t>hree</w:t>
      </w:r>
      <w:r w:rsidR="000F38DA" w:rsidRPr="00DC0C6B">
        <w:t xml:space="preserve"> post-built structures (1</w:t>
      </w:r>
      <w:r w:rsidR="00F84BF5" w:rsidRPr="00DC0C6B">
        <w:t>–3</w:t>
      </w:r>
      <w:r w:rsidR="000F38DA" w:rsidRPr="00DC0C6B">
        <w:t>)</w:t>
      </w:r>
      <w:r w:rsidR="007557CB" w:rsidRPr="00DC0C6B">
        <w:t xml:space="preserve"> and dispersed ditches, </w:t>
      </w:r>
      <w:proofErr w:type="gramStart"/>
      <w:r w:rsidR="007557CB" w:rsidRPr="00DC0C6B">
        <w:t>pits</w:t>
      </w:r>
      <w:proofErr w:type="gramEnd"/>
      <w:r w:rsidR="007557CB" w:rsidRPr="00DC0C6B">
        <w:t xml:space="preserve"> and postholes</w:t>
      </w:r>
      <w:r w:rsidR="005A365F" w:rsidRPr="00DC0C6B">
        <w:t xml:space="preserve"> (Fig</w:t>
      </w:r>
      <w:r w:rsidR="00960EA4">
        <w:t>.</w:t>
      </w:r>
      <w:r w:rsidR="005A365F" w:rsidRPr="00DC0C6B">
        <w:t xml:space="preserve"> </w:t>
      </w:r>
      <w:r w:rsidR="00971E69" w:rsidRPr="00DC0C6B">
        <w:t>2</w:t>
      </w:r>
      <w:r w:rsidR="005A365F" w:rsidRPr="00DC0C6B">
        <w:t>)</w:t>
      </w:r>
      <w:r w:rsidR="007557CB" w:rsidRPr="00DC0C6B">
        <w:t xml:space="preserve">. </w:t>
      </w:r>
    </w:p>
    <w:p w14:paraId="5C7C7099" w14:textId="77777777" w:rsidR="008F5FFA" w:rsidRPr="00DC0C6B" w:rsidRDefault="008F5FFA" w:rsidP="00967902">
      <w:pPr>
        <w:pStyle w:val="05TextNumberedParagraph"/>
        <w:ind w:firstLine="0"/>
      </w:pPr>
    </w:p>
    <w:p w14:paraId="0E8A7A06" w14:textId="16CA7240" w:rsidR="001D2527" w:rsidRPr="00DC0C6B" w:rsidRDefault="000F38DA" w:rsidP="000F38DA">
      <w:pPr>
        <w:pStyle w:val="05TextNumberedParagraph"/>
        <w:ind w:firstLine="0"/>
      </w:pPr>
      <w:bookmarkStart w:id="64" w:name="_Hlk120716255"/>
      <w:r w:rsidRPr="00DC0C6B">
        <w:rPr>
          <w:i/>
          <w:iCs/>
        </w:rPr>
        <w:t>Roundhouses A, B and C</w:t>
      </w:r>
      <w:r w:rsidRPr="00DC0C6B">
        <w:t xml:space="preserve"> </w:t>
      </w:r>
      <w:r w:rsidR="00971E69" w:rsidRPr="00DC0C6B">
        <w:rPr>
          <w:i/>
          <w:iCs/>
        </w:rPr>
        <w:t>(Fig. 4)</w:t>
      </w:r>
      <w:r w:rsidR="00971E69" w:rsidRPr="00DC0C6B">
        <w:t xml:space="preserve"> </w:t>
      </w:r>
      <w:r w:rsidR="00C13F9F">
        <w:tab/>
      </w:r>
      <w:r w:rsidR="007F343E" w:rsidRPr="00DC0C6B">
        <w:t xml:space="preserve">The location of three roundhouses </w:t>
      </w:r>
      <w:r w:rsidR="000D2844" w:rsidRPr="00DC0C6B">
        <w:t xml:space="preserve">(A, B and C) </w:t>
      </w:r>
      <w:proofErr w:type="gramStart"/>
      <w:r w:rsidR="007F343E" w:rsidRPr="00DC0C6B">
        <w:t>was indicated</w:t>
      </w:r>
      <w:proofErr w:type="gramEnd"/>
      <w:r w:rsidR="007F343E" w:rsidRPr="00DC0C6B">
        <w:t xml:space="preserve"> by</w:t>
      </w:r>
      <w:r w:rsidR="00546DA5" w:rsidRPr="00DC0C6B">
        <w:t xml:space="preserve"> short lengths of curved ditch </w:t>
      </w:r>
      <w:r w:rsidR="00BA486D" w:rsidRPr="00DC0C6B">
        <w:t xml:space="preserve">(0.2–0.6 m wide) </w:t>
      </w:r>
      <w:r w:rsidR="00546DA5" w:rsidRPr="00DC0C6B">
        <w:t>that</w:t>
      </w:r>
      <w:r w:rsidR="000D2844" w:rsidRPr="00DC0C6B">
        <w:t xml:space="preserve"> appeared to </w:t>
      </w:r>
      <w:r w:rsidR="009D23CD" w:rsidRPr="00DC0C6B">
        <w:t xml:space="preserve">have </w:t>
      </w:r>
      <w:r w:rsidR="00B4623A" w:rsidRPr="00DC0C6B">
        <w:t>defin</w:t>
      </w:r>
      <w:r w:rsidR="000D2844" w:rsidRPr="00DC0C6B">
        <w:t>e</w:t>
      </w:r>
      <w:r w:rsidR="009D23CD" w:rsidRPr="00DC0C6B">
        <w:t>d</w:t>
      </w:r>
      <w:r w:rsidR="00B4623A" w:rsidRPr="00DC0C6B">
        <w:t xml:space="preserve"> circular areas</w:t>
      </w:r>
      <w:r w:rsidR="009D23CD" w:rsidRPr="00DC0C6B">
        <w:t>,</w:t>
      </w:r>
      <w:r w:rsidR="00B4623A" w:rsidRPr="00DC0C6B">
        <w:t xml:space="preserve"> approximately 12m in diameter</w:t>
      </w:r>
      <w:r w:rsidR="00717C52" w:rsidRPr="00DC0C6B">
        <w:t xml:space="preserve"> (Fig. 4)</w:t>
      </w:r>
      <w:r w:rsidR="00B4623A" w:rsidRPr="00DC0C6B">
        <w:t xml:space="preserve">. </w:t>
      </w:r>
      <w:r w:rsidR="008C72E5" w:rsidRPr="00DC0C6B">
        <w:t xml:space="preserve">The shallow depth </w:t>
      </w:r>
      <w:r w:rsidR="00714C1F" w:rsidRPr="00DC0C6B">
        <w:t xml:space="preserve">(0.12–0.18 m) </w:t>
      </w:r>
      <w:r w:rsidR="008C72E5" w:rsidRPr="00DC0C6B">
        <w:t xml:space="preserve">of the ditches and their </w:t>
      </w:r>
      <w:r w:rsidR="00D946DB" w:rsidRPr="00DC0C6B">
        <w:t xml:space="preserve">gradual sloping </w:t>
      </w:r>
      <w:r w:rsidR="008C72E5" w:rsidRPr="00DC0C6B">
        <w:t>profiles</w:t>
      </w:r>
      <w:r w:rsidR="00E44D61" w:rsidRPr="00DC0C6B">
        <w:t xml:space="preserve"> (Fig. 5, Section AA)</w:t>
      </w:r>
      <w:r w:rsidR="008C72E5" w:rsidRPr="00DC0C6B">
        <w:t xml:space="preserve"> suggest</w:t>
      </w:r>
      <w:r w:rsidR="00D946DB" w:rsidRPr="00DC0C6B">
        <w:t>ed</w:t>
      </w:r>
      <w:r w:rsidR="008C72E5" w:rsidRPr="00DC0C6B">
        <w:t xml:space="preserve"> that they </w:t>
      </w:r>
      <w:r w:rsidR="00D946DB" w:rsidRPr="00DC0C6B">
        <w:t>were not</w:t>
      </w:r>
      <w:r w:rsidR="008C72E5" w:rsidRPr="00DC0C6B">
        <w:t xml:space="preserve"> structural elements of a building but were </w:t>
      </w:r>
      <w:r w:rsidR="00BA486D" w:rsidRPr="00DC0C6B">
        <w:t xml:space="preserve">probably </w:t>
      </w:r>
      <w:r w:rsidR="008C72E5" w:rsidRPr="00DC0C6B">
        <w:t xml:space="preserve">associated </w:t>
      </w:r>
      <w:r w:rsidR="00F84BF5" w:rsidRPr="00DC0C6B">
        <w:t>drainage</w:t>
      </w:r>
      <w:r w:rsidR="00D946DB" w:rsidRPr="00DC0C6B">
        <w:t xml:space="preserve"> </w:t>
      </w:r>
      <w:r w:rsidR="00F84BF5" w:rsidRPr="00DC0C6B">
        <w:t>ditches</w:t>
      </w:r>
      <w:r w:rsidR="008C72E5" w:rsidRPr="00DC0C6B">
        <w:t>, although due to the level of truncation</w:t>
      </w:r>
      <w:r w:rsidR="00F84BF5" w:rsidRPr="00DC0C6B">
        <w:t xml:space="preserve"> in</w:t>
      </w:r>
      <w:r w:rsidR="008C72E5" w:rsidRPr="00DC0C6B">
        <w:t xml:space="preserve"> this </w:t>
      </w:r>
      <w:r w:rsidR="00F84BF5" w:rsidRPr="00DC0C6B">
        <w:t xml:space="preserve">part of the site this </w:t>
      </w:r>
      <w:r w:rsidR="008C72E5" w:rsidRPr="00DC0C6B">
        <w:t xml:space="preserve">interpretation is not certain. </w:t>
      </w:r>
      <w:r w:rsidR="00253C92" w:rsidRPr="00DC0C6B">
        <w:t>A</w:t>
      </w:r>
      <w:r w:rsidR="007F343E" w:rsidRPr="00DC0C6B">
        <w:t xml:space="preserve"> small number of pits and postholes </w:t>
      </w:r>
      <w:proofErr w:type="gramStart"/>
      <w:r w:rsidR="00F84BF5" w:rsidRPr="00DC0C6B">
        <w:t>were enclosed</w:t>
      </w:r>
      <w:proofErr w:type="gramEnd"/>
      <w:r w:rsidR="00F84BF5" w:rsidRPr="00DC0C6B">
        <w:t xml:space="preserve"> by the </w:t>
      </w:r>
      <w:r w:rsidR="00253C92" w:rsidRPr="00DC0C6B">
        <w:t>roundhouse</w:t>
      </w:r>
      <w:r w:rsidR="00F84BF5" w:rsidRPr="00DC0C6B">
        <w:t xml:space="preserve"> ditches</w:t>
      </w:r>
      <w:r w:rsidR="00714C1F" w:rsidRPr="00DC0C6B">
        <w:t>, which could represent structural elements of the roundhouse building</w:t>
      </w:r>
      <w:r w:rsidR="00E10536" w:rsidRPr="00DC0C6B">
        <w:t>, such as roof supports</w:t>
      </w:r>
      <w:r w:rsidR="00714C1F" w:rsidRPr="00DC0C6B">
        <w:t xml:space="preserve">. </w:t>
      </w:r>
      <w:r w:rsidR="00717C52" w:rsidRPr="00DC0C6B">
        <w:t>A</w:t>
      </w:r>
      <w:r w:rsidR="001D2527" w:rsidRPr="00DC0C6B">
        <w:t xml:space="preserve"> near complete triangular </w:t>
      </w:r>
      <w:proofErr w:type="spellStart"/>
      <w:r w:rsidR="001D2527" w:rsidRPr="00DC0C6B">
        <w:t>loomweight</w:t>
      </w:r>
      <w:proofErr w:type="spellEnd"/>
      <w:r w:rsidR="001D2527" w:rsidRPr="00DC0C6B">
        <w:t xml:space="preserve"> and fragments of a second one </w:t>
      </w:r>
      <w:proofErr w:type="gramStart"/>
      <w:r w:rsidR="001D2527" w:rsidRPr="00DC0C6B">
        <w:t>were</w:t>
      </w:r>
      <w:proofErr w:type="gramEnd"/>
      <w:r w:rsidR="001D2527" w:rsidRPr="00DC0C6B">
        <w:t xml:space="preserve"> recovered from two </w:t>
      </w:r>
      <w:r w:rsidR="00717C52" w:rsidRPr="00DC0C6B">
        <w:t xml:space="preserve">of the </w:t>
      </w:r>
      <w:r w:rsidR="001D2527" w:rsidRPr="00DC0C6B">
        <w:t>p</w:t>
      </w:r>
      <w:r w:rsidR="00714C1F" w:rsidRPr="00DC0C6B">
        <w:t>osthole</w:t>
      </w:r>
      <w:r w:rsidR="001D2527" w:rsidRPr="00DC0C6B">
        <w:t>s</w:t>
      </w:r>
      <w:r w:rsidR="00717C52" w:rsidRPr="00DC0C6B">
        <w:t xml:space="preserve"> (10327 and 10336)</w:t>
      </w:r>
      <w:r w:rsidR="00714C1F" w:rsidRPr="00DC0C6B">
        <w:t xml:space="preserve"> in the interior</w:t>
      </w:r>
      <w:r w:rsidR="001D2527" w:rsidRPr="00DC0C6B">
        <w:t>s</w:t>
      </w:r>
      <w:r w:rsidR="00714C1F" w:rsidRPr="00DC0C6B">
        <w:t xml:space="preserve"> of roundhouse</w:t>
      </w:r>
      <w:r w:rsidR="001D2527" w:rsidRPr="00DC0C6B">
        <w:t xml:space="preserve">s </w:t>
      </w:r>
      <w:r w:rsidR="00BA486D" w:rsidRPr="00DC0C6B">
        <w:t>B</w:t>
      </w:r>
      <w:r w:rsidR="001D2527" w:rsidRPr="00DC0C6B">
        <w:t xml:space="preserve"> and </w:t>
      </w:r>
      <w:r w:rsidR="00BA486D" w:rsidRPr="00DC0C6B">
        <w:t>A respectively</w:t>
      </w:r>
      <w:r w:rsidR="00717C52" w:rsidRPr="00DC0C6B">
        <w:t xml:space="preserve"> (Fig. 4).</w:t>
      </w:r>
    </w:p>
    <w:p w14:paraId="4B797D30" w14:textId="580E423B" w:rsidR="00717C52" w:rsidRPr="00DC0C6B" w:rsidRDefault="00717C52" w:rsidP="000F38DA">
      <w:pPr>
        <w:pStyle w:val="05TextNumberedParagraph"/>
        <w:ind w:firstLine="0"/>
      </w:pPr>
    </w:p>
    <w:p w14:paraId="360FA3EE" w14:textId="42BACD16" w:rsidR="00717C52" w:rsidRPr="00DC0C6B" w:rsidRDefault="00717C52" w:rsidP="000F38DA">
      <w:pPr>
        <w:pStyle w:val="05TextNumberedParagraph"/>
        <w:ind w:firstLine="0"/>
      </w:pPr>
      <w:r w:rsidRPr="00DC0C6B">
        <w:t>Insert near here: Figure</w:t>
      </w:r>
      <w:r w:rsidR="00E44D61" w:rsidRPr="00DC0C6B">
        <w:t>s</w:t>
      </w:r>
      <w:r w:rsidRPr="00DC0C6B">
        <w:t xml:space="preserve"> </w:t>
      </w:r>
      <w:commentRangeStart w:id="65"/>
      <w:r w:rsidRPr="00DC0C6B">
        <w:t>4</w:t>
      </w:r>
      <w:commentRangeEnd w:id="65"/>
      <w:r w:rsidRPr="00DC0C6B">
        <w:rPr>
          <w:rStyle w:val="CommentReference"/>
          <w:rFonts w:ascii="Arial" w:eastAsia="Times New Roman" w:hAnsi="Arial" w:cs="Times New Roman"/>
        </w:rPr>
        <w:commentReference w:id="65"/>
      </w:r>
      <w:r w:rsidR="00E44D61" w:rsidRPr="00DC0C6B">
        <w:t xml:space="preserve"> and </w:t>
      </w:r>
      <w:proofErr w:type="gramStart"/>
      <w:r w:rsidR="00E44D61" w:rsidRPr="00DC0C6B">
        <w:t>5</w:t>
      </w:r>
      <w:proofErr w:type="gramEnd"/>
    </w:p>
    <w:p w14:paraId="49DA2B8D" w14:textId="77777777" w:rsidR="00717C52" w:rsidRPr="00DC0C6B" w:rsidRDefault="00717C52" w:rsidP="000F38DA">
      <w:pPr>
        <w:pStyle w:val="05TextNumberedParagraph"/>
        <w:ind w:firstLine="0"/>
        <w:rPr>
          <w:b/>
          <w:bCs/>
          <w:i/>
          <w:iCs/>
        </w:rPr>
      </w:pPr>
    </w:p>
    <w:p w14:paraId="3E0A4051" w14:textId="720468A3" w:rsidR="005F0EC7" w:rsidRDefault="006F1108" w:rsidP="001D2527">
      <w:pPr>
        <w:pStyle w:val="05TextNumberedParagraph"/>
      </w:pPr>
      <w:r w:rsidRPr="00DC0C6B">
        <w:t xml:space="preserve">The location of a further </w:t>
      </w:r>
      <w:r w:rsidR="007A5AA1" w:rsidRPr="00DC0C6B">
        <w:t>three</w:t>
      </w:r>
      <w:r w:rsidRPr="00DC0C6B">
        <w:t xml:space="preserve"> roundhouses </w:t>
      </w:r>
      <w:proofErr w:type="gramStart"/>
      <w:r w:rsidRPr="00DC0C6B">
        <w:t>was tentatively implied</w:t>
      </w:r>
      <w:proofErr w:type="gramEnd"/>
      <w:r w:rsidRPr="00DC0C6B">
        <w:t xml:space="preserve"> by </w:t>
      </w:r>
      <w:r w:rsidR="00BA486D" w:rsidRPr="00DC0C6B">
        <w:t xml:space="preserve">short, </w:t>
      </w:r>
      <w:r w:rsidR="00717C52" w:rsidRPr="00DC0C6B">
        <w:t xml:space="preserve">shallow, </w:t>
      </w:r>
      <w:r w:rsidRPr="00DC0C6B">
        <w:t>slightly curved ditches 4203, 10213</w:t>
      </w:r>
      <w:r w:rsidR="007A5AA1" w:rsidRPr="00DC0C6B">
        <w:t xml:space="preserve"> </w:t>
      </w:r>
      <w:r w:rsidRPr="00DC0C6B">
        <w:t>and 10737 (Fig.</w:t>
      </w:r>
      <w:r w:rsidR="00717C52" w:rsidRPr="00DC0C6B">
        <w:t xml:space="preserve"> 2</w:t>
      </w:r>
      <w:r w:rsidRPr="00DC0C6B">
        <w:t>)</w:t>
      </w:r>
      <w:bookmarkEnd w:id="64"/>
      <w:r w:rsidR="00717C52" w:rsidRPr="00DC0C6B">
        <w:t xml:space="preserve"> that probably had the same drainage function as those defining roundhouses A, B and C</w:t>
      </w:r>
      <w:r w:rsidR="001D2527" w:rsidRPr="00DC0C6B">
        <w:t>.</w:t>
      </w:r>
    </w:p>
    <w:p w14:paraId="2E2F2383" w14:textId="77777777" w:rsidR="008F5FFA" w:rsidRPr="00DC0C6B" w:rsidRDefault="008F5FFA" w:rsidP="001D2527">
      <w:pPr>
        <w:pStyle w:val="05TextNumberedParagraph"/>
      </w:pPr>
    </w:p>
    <w:p w14:paraId="7C20AFEA" w14:textId="0F150B84" w:rsidR="00333FC7" w:rsidRPr="00DC0C6B" w:rsidRDefault="00333FC7" w:rsidP="00BA486D">
      <w:pPr>
        <w:pStyle w:val="05TextNumberedParagraph"/>
        <w:ind w:firstLine="0"/>
      </w:pPr>
      <w:r w:rsidRPr="00DC0C6B">
        <w:rPr>
          <w:i/>
          <w:iCs/>
        </w:rPr>
        <w:t>Circular e</w:t>
      </w:r>
      <w:r w:rsidR="007F343E" w:rsidRPr="00DC0C6B">
        <w:rPr>
          <w:i/>
          <w:iCs/>
        </w:rPr>
        <w:t xml:space="preserve">nclosure </w:t>
      </w:r>
      <w:r w:rsidR="007F343E" w:rsidRPr="00DC0C6B">
        <w:t>4</w:t>
      </w:r>
      <w:r w:rsidR="00A6632A" w:rsidRPr="00DC0C6B">
        <w:t xml:space="preserve"> </w:t>
      </w:r>
      <w:r w:rsidR="00971E69" w:rsidRPr="00DC0C6B">
        <w:rPr>
          <w:i/>
          <w:iCs/>
        </w:rPr>
        <w:t>(Fig</w:t>
      </w:r>
      <w:r w:rsidR="005445F0" w:rsidRPr="00DC0C6B">
        <w:rPr>
          <w:i/>
          <w:iCs/>
        </w:rPr>
        <w:t>s</w:t>
      </w:r>
      <w:r w:rsidR="00971E69" w:rsidRPr="00DC0C6B">
        <w:rPr>
          <w:i/>
          <w:iCs/>
        </w:rPr>
        <w:t xml:space="preserve"> 4</w:t>
      </w:r>
      <w:r w:rsidR="005445F0" w:rsidRPr="00DC0C6B">
        <w:rPr>
          <w:i/>
          <w:iCs/>
        </w:rPr>
        <w:t xml:space="preserve"> and 6</w:t>
      </w:r>
      <w:r w:rsidR="00971E69" w:rsidRPr="00DC0C6B">
        <w:rPr>
          <w:i/>
          <w:iCs/>
        </w:rPr>
        <w:t>)</w:t>
      </w:r>
      <w:r w:rsidR="00971E69" w:rsidRPr="00DC0C6B">
        <w:t xml:space="preserve"> </w:t>
      </w:r>
      <w:r w:rsidR="00C13F9F">
        <w:tab/>
      </w:r>
      <w:r w:rsidR="008F5FFA">
        <w:tab/>
      </w:r>
      <w:r w:rsidR="000F38DA" w:rsidRPr="00DC0C6B">
        <w:t xml:space="preserve">A circular enclosure with a similar internal diameter to the roundhouses (approximately 12 m) </w:t>
      </w:r>
      <w:r w:rsidR="001D2527" w:rsidRPr="00DC0C6B">
        <w:t>was situated immediately to the south-east of roundhouse B</w:t>
      </w:r>
      <w:r w:rsidR="000F38DA" w:rsidRPr="00DC0C6B">
        <w:t>. Enclosure 4</w:t>
      </w:r>
      <w:r w:rsidR="001D2527" w:rsidRPr="00DC0C6B">
        <w:t xml:space="preserve"> </w:t>
      </w:r>
      <w:proofErr w:type="gramStart"/>
      <w:r w:rsidR="001D2527" w:rsidRPr="00DC0C6B">
        <w:t>was defined</w:t>
      </w:r>
      <w:proofErr w:type="gramEnd"/>
      <w:r w:rsidR="001D2527" w:rsidRPr="00DC0C6B">
        <w:t xml:space="preserve"> by t</w:t>
      </w:r>
      <w:r w:rsidR="00A6632A" w:rsidRPr="00DC0C6B">
        <w:t xml:space="preserve">wo </w:t>
      </w:r>
      <w:r w:rsidR="001D2527" w:rsidRPr="00DC0C6B">
        <w:t>curved</w:t>
      </w:r>
      <w:r w:rsidRPr="00DC0C6B">
        <w:t xml:space="preserve"> </w:t>
      </w:r>
      <w:r w:rsidR="00A6632A" w:rsidRPr="00DC0C6B">
        <w:t>ditches</w:t>
      </w:r>
      <w:r w:rsidR="000F38DA" w:rsidRPr="00DC0C6B">
        <w:t xml:space="preserve"> and an associated recut</w:t>
      </w:r>
      <w:r w:rsidR="001B511F" w:rsidRPr="00DC0C6B">
        <w:t>,</w:t>
      </w:r>
      <w:r w:rsidR="00A6632A" w:rsidRPr="00DC0C6B">
        <w:t xml:space="preserve"> </w:t>
      </w:r>
      <w:r w:rsidRPr="00DC0C6B">
        <w:t xml:space="preserve">with </w:t>
      </w:r>
      <w:r w:rsidR="00BA486D" w:rsidRPr="00DC0C6B">
        <w:t xml:space="preserve">an </w:t>
      </w:r>
      <w:r w:rsidRPr="00DC0C6B">
        <w:t>opening to the north-west (5</w:t>
      </w:r>
      <w:r w:rsidR="00BA486D" w:rsidRPr="00DC0C6B">
        <w:t xml:space="preserve"> </w:t>
      </w:r>
      <w:r w:rsidRPr="00DC0C6B">
        <w:t>m wide) and south-east (at least 0.8</w:t>
      </w:r>
      <w:r w:rsidR="00BA486D" w:rsidRPr="00DC0C6B">
        <w:t xml:space="preserve"> </w:t>
      </w:r>
      <w:r w:rsidRPr="00DC0C6B">
        <w:t>m wide).</w:t>
      </w:r>
      <w:r w:rsidR="00A6632A" w:rsidRPr="00DC0C6B">
        <w:t xml:space="preserve"> </w:t>
      </w:r>
      <w:r w:rsidR="000F38DA" w:rsidRPr="00DC0C6B">
        <w:t>A</w:t>
      </w:r>
      <w:r w:rsidRPr="00DC0C6B">
        <w:t xml:space="preserve"> short ditch </w:t>
      </w:r>
      <w:r w:rsidR="001D2527" w:rsidRPr="00DC0C6B">
        <w:t xml:space="preserve">(10396) </w:t>
      </w:r>
      <w:r w:rsidRPr="00DC0C6B">
        <w:t xml:space="preserve">had </w:t>
      </w:r>
      <w:proofErr w:type="gramStart"/>
      <w:r w:rsidRPr="00DC0C6B">
        <w:t>been dug</w:t>
      </w:r>
      <w:proofErr w:type="gramEnd"/>
      <w:r w:rsidRPr="00DC0C6B">
        <w:t xml:space="preserve"> across the south-east entrance but appeared to</w:t>
      </w:r>
      <w:r w:rsidR="00BA2C06" w:rsidRPr="00DC0C6B">
        <w:t xml:space="preserve"> have</w:t>
      </w:r>
      <w:r w:rsidRPr="00DC0C6B">
        <w:t xml:space="preserve"> only partially blocked it. </w:t>
      </w:r>
    </w:p>
    <w:p w14:paraId="4BD1E273" w14:textId="2E50CE66" w:rsidR="00684AD9" w:rsidRPr="00DC0C6B" w:rsidRDefault="00333FC7" w:rsidP="00BA486D">
      <w:pPr>
        <w:pStyle w:val="05TextNumberedParagraph"/>
      </w:pPr>
      <w:r w:rsidRPr="00DC0C6B">
        <w:t>D</w:t>
      </w:r>
      <w:r w:rsidR="00A6632A" w:rsidRPr="00DC0C6B">
        <w:t>itches</w:t>
      </w:r>
      <w:r w:rsidRPr="00DC0C6B">
        <w:t xml:space="preserve"> defining enclosure 4</w:t>
      </w:r>
      <w:r w:rsidR="00A6632A" w:rsidRPr="00DC0C6B">
        <w:t xml:space="preserve"> were </w:t>
      </w:r>
      <w:r w:rsidR="008661F8" w:rsidRPr="00DC0C6B">
        <w:t>predominantly</w:t>
      </w:r>
      <w:r w:rsidR="00A6632A" w:rsidRPr="00DC0C6B">
        <w:t xml:space="preserve"> wider (1</w:t>
      </w:r>
      <w:r w:rsidR="00BA486D" w:rsidRPr="00DC0C6B">
        <w:t xml:space="preserve"> </w:t>
      </w:r>
      <w:r w:rsidR="00A6632A" w:rsidRPr="00DC0C6B">
        <w:t>m)</w:t>
      </w:r>
      <w:r w:rsidR="008661F8" w:rsidRPr="00DC0C6B">
        <w:t xml:space="preserve"> and deeper (0.</w:t>
      </w:r>
      <w:r w:rsidR="00BA486D" w:rsidRPr="00DC0C6B">
        <w:t>3</w:t>
      </w:r>
      <w:r w:rsidR="008661F8" w:rsidRPr="00DC0C6B">
        <w:t>–0.4</w:t>
      </w:r>
      <w:r w:rsidR="00BA486D" w:rsidRPr="00DC0C6B">
        <w:t xml:space="preserve"> </w:t>
      </w:r>
      <w:r w:rsidR="008661F8" w:rsidRPr="00DC0C6B">
        <w:t>m)</w:t>
      </w:r>
      <w:r w:rsidR="00BA2C06" w:rsidRPr="00DC0C6B">
        <w:t xml:space="preserve"> than th</w:t>
      </w:r>
      <w:r w:rsidR="00717C52" w:rsidRPr="00DC0C6B">
        <w:t>ose defining the</w:t>
      </w:r>
      <w:r w:rsidR="00BA2C06" w:rsidRPr="00DC0C6B">
        <w:t xml:space="preserve"> roundhouse</w:t>
      </w:r>
      <w:r w:rsidR="00717C52" w:rsidRPr="00DC0C6B">
        <w:t>s</w:t>
      </w:r>
      <w:r w:rsidR="00BA2C06" w:rsidRPr="00DC0C6B">
        <w:t xml:space="preserve"> and </w:t>
      </w:r>
      <w:r w:rsidR="008661F8" w:rsidRPr="00DC0C6B">
        <w:t>generally had asymmetrical, steeply sloping sides and flat bases</w:t>
      </w:r>
      <w:r w:rsidR="00E44D61" w:rsidRPr="00DC0C6B">
        <w:t xml:space="preserve"> (Fig. 6, Section BB)</w:t>
      </w:r>
      <w:r w:rsidR="008661F8" w:rsidRPr="00DC0C6B">
        <w:t xml:space="preserve">. </w:t>
      </w:r>
      <w:r w:rsidR="00A1793E" w:rsidRPr="00DC0C6B">
        <w:t>Pottery (188 sherds, 902</w:t>
      </w:r>
      <w:r w:rsidR="00BA486D" w:rsidRPr="00DC0C6B">
        <w:t xml:space="preserve"> </w:t>
      </w:r>
      <w:r w:rsidR="00A1793E" w:rsidRPr="00DC0C6B">
        <w:t xml:space="preserve">g) was recovered from </w:t>
      </w:r>
      <w:r w:rsidR="00BA486D" w:rsidRPr="00DC0C6B">
        <w:t>both</w:t>
      </w:r>
      <w:r w:rsidR="00A1793E" w:rsidRPr="00DC0C6B">
        <w:t xml:space="preserve"> </w:t>
      </w:r>
      <w:proofErr w:type="gramStart"/>
      <w:r w:rsidR="00A1793E" w:rsidRPr="00DC0C6B">
        <w:t>ditches</w:t>
      </w:r>
      <w:proofErr w:type="gramEnd"/>
      <w:r w:rsidR="00684AD9" w:rsidRPr="00DC0C6B">
        <w:t xml:space="preserve"> </w:t>
      </w:r>
      <w:r w:rsidR="00A1793E" w:rsidRPr="00DC0C6B">
        <w:t xml:space="preserve">but the majority was derived from the northern terminus of </w:t>
      </w:r>
      <w:r w:rsidR="00BA2C06" w:rsidRPr="00DC0C6B">
        <w:t xml:space="preserve">short </w:t>
      </w:r>
      <w:r w:rsidR="00A1793E" w:rsidRPr="00DC0C6B">
        <w:t>ditch 10396</w:t>
      </w:r>
      <w:r w:rsidR="00D75C63" w:rsidRPr="00DC0C6B">
        <w:t xml:space="preserve"> (148 sherds, 712</w:t>
      </w:r>
      <w:r w:rsidR="001D2527" w:rsidRPr="00DC0C6B">
        <w:t xml:space="preserve"> </w:t>
      </w:r>
      <w:r w:rsidR="00D75C63" w:rsidRPr="00DC0C6B">
        <w:lastRenderedPageBreak/>
        <w:t>g</w:t>
      </w:r>
      <w:r w:rsidR="00717C52" w:rsidRPr="00DC0C6B">
        <w:t>; Fig. 4</w:t>
      </w:r>
      <w:r w:rsidR="00D75C63" w:rsidRPr="00DC0C6B">
        <w:t>)</w:t>
      </w:r>
      <w:r w:rsidR="00A1793E" w:rsidRPr="00DC0C6B">
        <w:t>. The assemblage</w:t>
      </w:r>
      <w:r w:rsidR="00684AD9" w:rsidRPr="00DC0C6B">
        <w:t xml:space="preserve"> was dominated by sand and flint-tempered fabrics (145 sherds, 688</w:t>
      </w:r>
      <w:r w:rsidR="00BA486D" w:rsidRPr="00DC0C6B">
        <w:t xml:space="preserve"> g</w:t>
      </w:r>
      <w:r w:rsidR="00684AD9" w:rsidRPr="00DC0C6B">
        <w:t>)</w:t>
      </w:r>
      <w:r w:rsidR="00B57AFD" w:rsidRPr="00DC0C6B">
        <w:t xml:space="preserve">, with </w:t>
      </w:r>
      <w:r w:rsidR="005A270F" w:rsidRPr="00DC0C6B">
        <w:t xml:space="preserve">examples of flat-topped, </w:t>
      </w:r>
      <w:proofErr w:type="gramStart"/>
      <w:r w:rsidR="005A270F" w:rsidRPr="00DC0C6B">
        <w:t>beaded</w:t>
      </w:r>
      <w:proofErr w:type="gramEnd"/>
      <w:r w:rsidR="005A270F" w:rsidRPr="00DC0C6B">
        <w:t xml:space="preserve"> and inverted rims identified</w:t>
      </w:r>
      <w:r w:rsidR="00D946DB" w:rsidRPr="00DC0C6B">
        <w:t xml:space="preserve">. </w:t>
      </w:r>
      <w:r w:rsidR="00A1793E" w:rsidRPr="00DC0C6B">
        <w:t>R</w:t>
      </w:r>
      <w:r w:rsidR="00D90FD7" w:rsidRPr="00DC0C6B">
        <w:t xml:space="preserve">adiocarbon analysis of a sample of oak charcoal </w:t>
      </w:r>
      <w:r w:rsidR="00C13F9F">
        <w:t xml:space="preserve">(roundwood, immature timber/twig) </w:t>
      </w:r>
      <w:r w:rsidR="008D662A" w:rsidRPr="00DC0C6B">
        <w:t xml:space="preserve">recovered from </w:t>
      </w:r>
      <w:r w:rsidR="001D2527" w:rsidRPr="00DC0C6B">
        <w:t>short ditch</w:t>
      </w:r>
      <w:r w:rsidR="008D662A" w:rsidRPr="00DC0C6B">
        <w:t xml:space="preserve"> 10396 </w:t>
      </w:r>
      <w:r w:rsidR="00D90FD7" w:rsidRPr="00DC0C6B">
        <w:t>produced a Middle Iron Age date range of 387–197 cal</w:t>
      </w:r>
      <w:r w:rsidR="00960EA4">
        <w:t>.</w:t>
      </w:r>
      <w:r w:rsidR="00D90FD7" w:rsidRPr="00DC0C6B">
        <w:t xml:space="preserve"> BC</w:t>
      </w:r>
      <w:r w:rsidR="00BA486D" w:rsidRPr="00DC0C6B">
        <w:t>,</w:t>
      </w:r>
      <w:r w:rsidR="00D90FD7" w:rsidRPr="00DC0C6B">
        <w:t xml:space="preserve"> </w:t>
      </w:r>
      <w:r w:rsidR="00BA486D" w:rsidRPr="00DC0C6B">
        <w:t>at 95.4 per</w:t>
      </w:r>
      <w:r w:rsidR="001B511F" w:rsidRPr="00DC0C6B">
        <w:t xml:space="preserve"> </w:t>
      </w:r>
      <w:r w:rsidR="00BA486D" w:rsidRPr="00DC0C6B">
        <w:t xml:space="preserve">cent probability </w:t>
      </w:r>
      <w:r w:rsidR="00D90FD7" w:rsidRPr="00DC0C6B">
        <w:t>(SUERC-108729</w:t>
      </w:r>
      <w:r w:rsidR="00717C52" w:rsidRPr="00DC0C6B">
        <w:t>; Fig. 4</w:t>
      </w:r>
      <w:r w:rsidR="00D90FD7" w:rsidRPr="00DC0C6B">
        <w:t>).</w:t>
      </w:r>
      <w:r w:rsidR="00A7779E" w:rsidRPr="00DC0C6B">
        <w:t xml:space="preserve"> </w:t>
      </w:r>
    </w:p>
    <w:p w14:paraId="694A7E6F" w14:textId="1D1F5FE4" w:rsidR="00DF14EE" w:rsidRPr="00DC0C6B" w:rsidRDefault="007F343E" w:rsidP="001E18A7">
      <w:pPr>
        <w:pStyle w:val="05TextNumberedParagraph"/>
        <w:rPr>
          <w:bCs/>
        </w:rPr>
      </w:pPr>
      <w:r w:rsidRPr="00DC0C6B">
        <w:t>A cluster of</w:t>
      </w:r>
      <w:r w:rsidR="001D2527" w:rsidRPr="00DC0C6B">
        <w:t xml:space="preserve"> </w:t>
      </w:r>
      <w:r w:rsidRPr="00DC0C6B">
        <w:t>pits</w:t>
      </w:r>
      <w:r w:rsidR="001D2527" w:rsidRPr="00DC0C6B">
        <w:t xml:space="preserve"> </w:t>
      </w:r>
      <w:r w:rsidRPr="00DC0C6B">
        <w:t>and postholes</w:t>
      </w:r>
      <w:r w:rsidR="001D2527" w:rsidRPr="00DC0C6B">
        <w:t xml:space="preserve"> </w:t>
      </w:r>
      <w:proofErr w:type="gramStart"/>
      <w:r w:rsidRPr="00DC0C6B">
        <w:t>was observed</w:t>
      </w:r>
      <w:proofErr w:type="gramEnd"/>
      <w:r w:rsidRPr="00DC0C6B">
        <w:t xml:space="preserve"> within the enclosure’s interior</w:t>
      </w:r>
      <w:r w:rsidR="001D2527" w:rsidRPr="00DC0C6B">
        <w:t xml:space="preserve">. They were all </w:t>
      </w:r>
      <w:r w:rsidR="003552AA" w:rsidRPr="00DC0C6B">
        <w:t xml:space="preserve">shallow </w:t>
      </w:r>
      <w:r w:rsidR="001D2527" w:rsidRPr="00DC0C6B">
        <w:t>(</w:t>
      </w:r>
      <w:r w:rsidR="003552AA" w:rsidRPr="00DC0C6B">
        <w:t>0.1–0.2</w:t>
      </w:r>
      <w:r w:rsidR="001B511F" w:rsidRPr="00DC0C6B">
        <w:t xml:space="preserve"> </w:t>
      </w:r>
      <w:r w:rsidR="003552AA" w:rsidRPr="00DC0C6B">
        <w:t>m deep</w:t>
      </w:r>
      <w:r w:rsidR="001D2527" w:rsidRPr="00DC0C6B">
        <w:t xml:space="preserve">) </w:t>
      </w:r>
      <w:r w:rsidR="003552AA" w:rsidRPr="00DC0C6B">
        <w:t xml:space="preserve">and had gradual to moderately sloping concave profiles. </w:t>
      </w:r>
      <w:r w:rsidR="00B10026" w:rsidRPr="00DC0C6B">
        <w:t>A small assemblage of pottery (</w:t>
      </w:r>
      <w:r w:rsidR="007E1D03" w:rsidRPr="00DC0C6B">
        <w:t>six</w:t>
      </w:r>
      <w:r w:rsidR="00B10026" w:rsidRPr="00DC0C6B">
        <w:t xml:space="preserve"> sherds, </w:t>
      </w:r>
      <w:r w:rsidR="007E1D03" w:rsidRPr="00DC0C6B">
        <w:t>22</w:t>
      </w:r>
      <w:r w:rsidR="001D2527" w:rsidRPr="00DC0C6B">
        <w:t xml:space="preserve"> </w:t>
      </w:r>
      <w:r w:rsidR="00B10026" w:rsidRPr="00DC0C6B">
        <w:t>g)</w:t>
      </w:r>
      <w:r w:rsidR="001D2527" w:rsidRPr="00DC0C6B">
        <w:t xml:space="preserve"> and </w:t>
      </w:r>
      <w:r w:rsidR="00B10026" w:rsidRPr="00DC0C6B">
        <w:t>animal bone (47 fragments, 30</w:t>
      </w:r>
      <w:r w:rsidR="001D2527" w:rsidRPr="00DC0C6B">
        <w:t xml:space="preserve"> </w:t>
      </w:r>
      <w:r w:rsidR="00B10026" w:rsidRPr="00DC0C6B">
        <w:t>g)</w:t>
      </w:r>
      <w:r w:rsidR="001D2527" w:rsidRPr="00DC0C6B">
        <w:t xml:space="preserve"> </w:t>
      </w:r>
      <w:proofErr w:type="gramStart"/>
      <w:r w:rsidR="001D2527" w:rsidRPr="00DC0C6B">
        <w:t>was recovered</w:t>
      </w:r>
      <w:proofErr w:type="gramEnd"/>
      <w:r w:rsidR="001D2527" w:rsidRPr="00DC0C6B">
        <w:t xml:space="preserve"> from these features, as well as a fragment of daub.</w:t>
      </w:r>
    </w:p>
    <w:p w14:paraId="1FDDFA64" w14:textId="15AD123B" w:rsidR="009C23E6" w:rsidRPr="00DC0C6B" w:rsidRDefault="00E454E9" w:rsidP="001E18A7">
      <w:pPr>
        <w:pStyle w:val="05TextNumberedParagraph"/>
      </w:pPr>
      <w:r w:rsidRPr="00DC0C6B">
        <w:t>A 0.5 m diameter p</w:t>
      </w:r>
      <w:r w:rsidR="008D662A" w:rsidRPr="00DC0C6B">
        <w:t xml:space="preserve">it </w:t>
      </w:r>
      <w:r w:rsidRPr="00DC0C6B">
        <w:t>(</w:t>
      </w:r>
      <w:r w:rsidR="008D662A" w:rsidRPr="00DC0C6B">
        <w:t>10391</w:t>
      </w:r>
      <w:r w:rsidRPr="00DC0C6B">
        <w:t>)</w:t>
      </w:r>
      <w:r w:rsidR="00BA2C06" w:rsidRPr="00DC0C6B">
        <w:t xml:space="preserve"> </w:t>
      </w:r>
      <w:r w:rsidR="008D662A" w:rsidRPr="00DC0C6B">
        <w:t xml:space="preserve">truncated the northern </w:t>
      </w:r>
      <w:r w:rsidR="001F0E95" w:rsidRPr="00DC0C6B">
        <w:t>side of enclosure 4</w:t>
      </w:r>
      <w:r w:rsidR="00717C52" w:rsidRPr="00DC0C6B">
        <w:t xml:space="preserve"> (Fig. 4)</w:t>
      </w:r>
      <w:r w:rsidR="008D662A" w:rsidRPr="00DC0C6B">
        <w:t xml:space="preserve">. </w:t>
      </w:r>
      <w:r w:rsidR="00BA2C06" w:rsidRPr="00DC0C6B">
        <w:t xml:space="preserve">It </w:t>
      </w:r>
      <w:r w:rsidR="00971E69" w:rsidRPr="00DC0C6B">
        <w:t xml:space="preserve">had </w:t>
      </w:r>
      <w:r w:rsidR="00D32F56" w:rsidRPr="00DC0C6B">
        <w:t>asymmetrical, moderately sloping sides and a concave base</w:t>
      </w:r>
      <w:r w:rsidR="00971E69" w:rsidRPr="00DC0C6B">
        <w:t xml:space="preserve"> and was just 0.2 m deep</w:t>
      </w:r>
      <w:r w:rsidR="00D32F56" w:rsidRPr="00DC0C6B">
        <w:t xml:space="preserve">. </w:t>
      </w:r>
      <w:r w:rsidR="00090AFD" w:rsidRPr="00DC0C6B">
        <w:t>It</w:t>
      </w:r>
      <w:r w:rsidR="00D32F56" w:rsidRPr="00DC0C6B">
        <w:t>s single fill</w:t>
      </w:r>
      <w:r w:rsidR="00090AFD" w:rsidRPr="00DC0C6B">
        <w:t xml:space="preserve"> did not </w:t>
      </w:r>
      <w:r w:rsidR="00D32F56" w:rsidRPr="00DC0C6B">
        <w:t>produce</w:t>
      </w:r>
      <w:r w:rsidR="00090AFD" w:rsidRPr="00DC0C6B">
        <w:t xml:space="preserve"> any </w:t>
      </w:r>
      <w:r w:rsidR="00183B29" w:rsidRPr="00DC0C6B">
        <w:t>artefacts</w:t>
      </w:r>
      <w:r w:rsidR="00971E69" w:rsidRPr="00DC0C6B">
        <w:t xml:space="preserve"> but </w:t>
      </w:r>
      <w:r w:rsidR="00C13F9F">
        <w:t>r</w:t>
      </w:r>
      <w:r w:rsidR="00C13F9F" w:rsidRPr="00C13F9F">
        <w:t>adiocarbon dating of a sample of charcoal (hawthorn group) produced a date range of 359–60 cal. BC at 95.4% probability (SUERC-108728), in the Middle to Late Iron Age</w:t>
      </w:r>
      <w:r w:rsidR="00C13F9F">
        <w:t xml:space="preserve"> period</w:t>
      </w:r>
      <w:r w:rsidR="00C13F9F" w:rsidRPr="00C13F9F">
        <w:t>. At 68.3% probability the radiocarbon date suggested that the date most likely fell in the Middle Iron Age at 351–163 cal BC (SUERC-108728).</w:t>
      </w:r>
    </w:p>
    <w:p w14:paraId="0531A2DC" w14:textId="5C418818" w:rsidR="005445F0" w:rsidRPr="00DC0C6B" w:rsidRDefault="005445F0" w:rsidP="005445F0">
      <w:pPr>
        <w:pStyle w:val="05TextNumberedParagraph"/>
        <w:ind w:firstLine="0"/>
      </w:pPr>
    </w:p>
    <w:p w14:paraId="590EE712" w14:textId="4D598AE2" w:rsidR="005445F0" w:rsidRPr="00DC0C6B" w:rsidRDefault="005445F0" w:rsidP="005445F0">
      <w:pPr>
        <w:pStyle w:val="05TextNumberedParagraph"/>
        <w:ind w:firstLine="0"/>
        <w:rPr>
          <w:bCs/>
        </w:rPr>
      </w:pPr>
      <w:r w:rsidRPr="00DC0C6B">
        <w:rPr>
          <w:bCs/>
        </w:rPr>
        <w:t xml:space="preserve">Insert near here: Figure </w:t>
      </w:r>
      <w:commentRangeStart w:id="66"/>
      <w:r w:rsidRPr="00DC0C6B">
        <w:rPr>
          <w:bCs/>
        </w:rPr>
        <w:t>6</w:t>
      </w:r>
      <w:commentRangeEnd w:id="66"/>
      <w:r w:rsidRPr="00DC0C6B">
        <w:rPr>
          <w:rStyle w:val="CommentReference"/>
          <w:rFonts w:ascii="Arial" w:eastAsia="Times New Roman" w:hAnsi="Arial" w:cs="Times New Roman"/>
        </w:rPr>
        <w:commentReference w:id="66"/>
      </w:r>
    </w:p>
    <w:p w14:paraId="7690020D" w14:textId="77777777" w:rsidR="005445F0" w:rsidRPr="00DC0C6B" w:rsidRDefault="005445F0" w:rsidP="005445F0">
      <w:pPr>
        <w:pStyle w:val="05TextNumberedParagraph"/>
        <w:ind w:firstLine="0"/>
        <w:rPr>
          <w:bCs/>
        </w:rPr>
      </w:pPr>
    </w:p>
    <w:p w14:paraId="39271F50" w14:textId="5B96C1A7" w:rsidR="007B0CD2" w:rsidRPr="00DC0C6B" w:rsidRDefault="001F0E95" w:rsidP="009B4933">
      <w:pPr>
        <w:pStyle w:val="05TextNumberedParagraph"/>
        <w:ind w:firstLine="0"/>
      </w:pPr>
      <w:r w:rsidRPr="00DC0C6B">
        <w:rPr>
          <w:i/>
          <w:iCs/>
        </w:rPr>
        <w:t>Enclosure</w:t>
      </w:r>
      <w:r w:rsidR="000F38DA" w:rsidRPr="00DC0C6B">
        <w:rPr>
          <w:i/>
          <w:iCs/>
        </w:rPr>
        <w:t>s</w:t>
      </w:r>
      <w:r w:rsidRPr="00DC0C6B">
        <w:rPr>
          <w:i/>
          <w:iCs/>
        </w:rPr>
        <w:t xml:space="preserve"> 1</w:t>
      </w:r>
      <w:r w:rsidR="000F38DA" w:rsidRPr="00DC0C6B">
        <w:rPr>
          <w:i/>
          <w:iCs/>
        </w:rPr>
        <w:t xml:space="preserve"> and 2</w:t>
      </w:r>
      <w:r w:rsidR="009B4933" w:rsidRPr="00DC0C6B">
        <w:rPr>
          <w:i/>
          <w:iCs/>
        </w:rPr>
        <w:t xml:space="preserve"> (Fig. </w:t>
      </w:r>
      <w:r w:rsidR="00971E69" w:rsidRPr="00DC0C6B">
        <w:rPr>
          <w:i/>
          <w:iCs/>
        </w:rPr>
        <w:t>4</w:t>
      </w:r>
      <w:r w:rsidR="009B4933" w:rsidRPr="00DC0C6B">
        <w:rPr>
          <w:i/>
          <w:iCs/>
        </w:rPr>
        <w:t>)</w:t>
      </w:r>
      <w:r w:rsidR="008F5FFA">
        <w:rPr>
          <w:i/>
          <w:iCs/>
        </w:rPr>
        <w:tab/>
      </w:r>
      <w:r w:rsidR="008F5FFA">
        <w:rPr>
          <w:i/>
          <w:iCs/>
        </w:rPr>
        <w:tab/>
      </w:r>
      <w:r w:rsidR="000F38DA" w:rsidRPr="00DC0C6B">
        <w:t>Two</w:t>
      </w:r>
      <w:r w:rsidR="009B4933" w:rsidRPr="00DC0C6B">
        <w:t xml:space="preserve"> enclosure</w:t>
      </w:r>
      <w:r w:rsidR="000F38DA" w:rsidRPr="00DC0C6B">
        <w:t>s</w:t>
      </w:r>
      <w:r w:rsidRPr="00DC0C6B">
        <w:t xml:space="preserve"> w</w:t>
      </w:r>
      <w:r w:rsidR="000F38DA" w:rsidRPr="00DC0C6B">
        <w:t>ere</w:t>
      </w:r>
      <w:r w:rsidRPr="00DC0C6B">
        <w:t xml:space="preserve"> </w:t>
      </w:r>
      <w:r w:rsidR="009B4933" w:rsidRPr="00DC0C6B">
        <w:t xml:space="preserve">situated to the </w:t>
      </w:r>
      <w:r w:rsidR="000F38DA" w:rsidRPr="00DC0C6B">
        <w:t xml:space="preserve">north (enclosure 2) and </w:t>
      </w:r>
      <w:r w:rsidR="009B4933" w:rsidRPr="00DC0C6B">
        <w:t xml:space="preserve">north-west </w:t>
      </w:r>
      <w:r w:rsidR="000F38DA" w:rsidRPr="00DC0C6B">
        <w:t xml:space="preserve">(enclosure 1) </w:t>
      </w:r>
      <w:r w:rsidR="009B4933" w:rsidRPr="00DC0C6B">
        <w:t>of roundhouses A and B</w:t>
      </w:r>
      <w:r w:rsidR="00FA496E" w:rsidRPr="00DC0C6B">
        <w:t xml:space="preserve"> and</w:t>
      </w:r>
      <w:r w:rsidR="009B4933" w:rsidRPr="00DC0C6B">
        <w:t xml:space="preserve"> </w:t>
      </w:r>
      <w:proofErr w:type="gramStart"/>
      <w:r w:rsidR="00FA496E" w:rsidRPr="00DC0C6B">
        <w:t>w</w:t>
      </w:r>
      <w:r w:rsidR="006F7E3B" w:rsidRPr="00DC0C6B">
        <w:t>ere</w:t>
      </w:r>
      <w:r w:rsidR="009B4933" w:rsidRPr="00DC0C6B">
        <w:t xml:space="preserve"> </w:t>
      </w:r>
      <w:r w:rsidRPr="00DC0C6B">
        <w:t>defined</w:t>
      </w:r>
      <w:proofErr w:type="gramEnd"/>
      <w:r w:rsidRPr="00DC0C6B">
        <w:t xml:space="preserve"> </w:t>
      </w:r>
      <w:r w:rsidR="006F7E3B" w:rsidRPr="00DC0C6B">
        <w:t xml:space="preserve">by </w:t>
      </w:r>
      <w:r w:rsidR="00E6351B" w:rsidRPr="00DC0C6B">
        <w:t>roughly</w:t>
      </w:r>
      <w:r w:rsidR="000974A1" w:rsidRPr="00DC0C6B">
        <w:t xml:space="preserve"> ‘L’-shaped arrangement</w:t>
      </w:r>
      <w:r w:rsidR="006F7E3B" w:rsidRPr="00DC0C6B">
        <w:t>s</w:t>
      </w:r>
      <w:r w:rsidR="00FA496E" w:rsidRPr="00DC0C6B">
        <w:t xml:space="preserve"> of ditches</w:t>
      </w:r>
      <w:r w:rsidR="00971E69" w:rsidRPr="00DC0C6B">
        <w:t xml:space="preserve"> (Fig. 4)</w:t>
      </w:r>
      <w:r w:rsidR="00141D4E" w:rsidRPr="00DC0C6B">
        <w:t xml:space="preserve">. </w:t>
      </w:r>
      <w:r w:rsidR="006F7E3B" w:rsidRPr="00DC0C6B">
        <w:t xml:space="preserve">No boundaries </w:t>
      </w:r>
      <w:proofErr w:type="gramStart"/>
      <w:r w:rsidR="006F7E3B" w:rsidRPr="00DC0C6B">
        <w:t>were identified</w:t>
      </w:r>
      <w:proofErr w:type="gramEnd"/>
      <w:r w:rsidR="006F7E3B" w:rsidRPr="00DC0C6B">
        <w:t xml:space="preserve"> to the north or west of </w:t>
      </w:r>
      <w:r w:rsidR="00971E69" w:rsidRPr="00DC0C6B">
        <w:t xml:space="preserve">the </w:t>
      </w:r>
      <w:r w:rsidR="006F7E3B" w:rsidRPr="00DC0C6B">
        <w:t>enclosure</w:t>
      </w:r>
      <w:r w:rsidR="00971E69" w:rsidRPr="00DC0C6B">
        <w:t>s</w:t>
      </w:r>
      <w:r w:rsidR="006F7E3B" w:rsidRPr="00DC0C6B">
        <w:t xml:space="preserve"> </w:t>
      </w:r>
      <w:r w:rsidR="00971E69" w:rsidRPr="00DC0C6B">
        <w:t>but</w:t>
      </w:r>
      <w:r w:rsidR="006F7E3B" w:rsidRPr="00DC0C6B">
        <w:t xml:space="preserve"> </w:t>
      </w:r>
      <w:r w:rsidR="00971E69" w:rsidRPr="00DC0C6B">
        <w:t>t</w:t>
      </w:r>
      <w:r w:rsidR="006F7E3B" w:rsidRPr="00DC0C6B">
        <w:t xml:space="preserve">wo postholes </w:t>
      </w:r>
      <w:r w:rsidR="00997EB6" w:rsidRPr="00DC0C6B">
        <w:t xml:space="preserve">(10394 and 10495) </w:t>
      </w:r>
      <w:r w:rsidR="006F7E3B" w:rsidRPr="00DC0C6B">
        <w:t xml:space="preserve">on the north and west sides of enclosure 1 </w:t>
      </w:r>
      <w:r w:rsidR="00971E69" w:rsidRPr="00DC0C6B">
        <w:t xml:space="preserve">could provide tentative evidence that it was </w:t>
      </w:r>
      <w:r w:rsidR="00EA0D89" w:rsidRPr="00DC0C6B">
        <w:t>defined</w:t>
      </w:r>
      <w:r w:rsidR="00971E69" w:rsidRPr="00DC0C6B">
        <w:t xml:space="preserve"> </w:t>
      </w:r>
      <w:r w:rsidR="00EA0D89" w:rsidRPr="00DC0C6B">
        <w:t xml:space="preserve">on two sides </w:t>
      </w:r>
      <w:r w:rsidR="00971E69" w:rsidRPr="00DC0C6B">
        <w:t>by a</w:t>
      </w:r>
      <w:r w:rsidR="006F7E3B" w:rsidRPr="00DC0C6B">
        <w:t xml:space="preserve"> fence</w:t>
      </w:r>
      <w:r w:rsidR="00971E69" w:rsidRPr="00DC0C6B">
        <w:t>.</w:t>
      </w:r>
      <w:r w:rsidR="00867EDC" w:rsidRPr="00DC0C6B">
        <w:t xml:space="preserve"> A</w:t>
      </w:r>
      <w:r w:rsidR="00FF414B" w:rsidRPr="00DC0C6B">
        <w:t>n</w:t>
      </w:r>
      <w:r w:rsidR="00867EDC" w:rsidRPr="00DC0C6B">
        <w:t xml:space="preserve"> entrance</w:t>
      </w:r>
      <w:r w:rsidR="00EA0D89" w:rsidRPr="00DC0C6B">
        <w:t xml:space="preserve"> into enclosure 1</w:t>
      </w:r>
      <w:r w:rsidR="00867EDC" w:rsidRPr="00DC0C6B">
        <w:t xml:space="preserve"> </w:t>
      </w:r>
      <w:proofErr w:type="gramStart"/>
      <w:r w:rsidR="00867EDC" w:rsidRPr="00DC0C6B">
        <w:t>was indicated</w:t>
      </w:r>
      <w:proofErr w:type="gramEnd"/>
      <w:r w:rsidR="00867EDC" w:rsidRPr="00DC0C6B">
        <w:t xml:space="preserve"> by a 4</w:t>
      </w:r>
      <w:r w:rsidR="006F7E3B" w:rsidRPr="00DC0C6B">
        <w:t xml:space="preserve"> </w:t>
      </w:r>
      <w:r w:rsidR="00867EDC" w:rsidRPr="00DC0C6B">
        <w:t xml:space="preserve">m-wide gap </w:t>
      </w:r>
      <w:r w:rsidR="00FF414B" w:rsidRPr="00DC0C6B">
        <w:t>on</w:t>
      </w:r>
      <w:r w:rsidR="00867EDC" w:rsidRPr="00DC0C6B">
        <w:t xml:space="preserve"> the south-east side </w:t>
      </w:r>
      <w:r w:rsidR="006F7E3B" w:rsidRPr="00DC0C6B">
        <w:t xml:space="preserve">and </w:t>
      </w:r>
      <w:r w:rsidRPr="00DC0C6B">
        <w:t>a</w:t>
      </w:r>
      <w:r w:rsidR="009B0487" w:rsidRPr="00DC0C6B">
        <w:t xml:space="preserve"> posthole (10158) located on the </w:t>
      </w:r>
      <w:r w:rsidRPr="00DC0C6B">
        <w:t>north</w:t>
      </w:r>
      <w:r w:rsidR="009B0487" w:rsidRPr="00DC0C6B">
        <w:t xml:space="preserve"> side of </w:t>
      </w:r>
      <w:r w:rsidRPr="00DC0C6B">
        <w:t>it</w:t>
      </w:r>
      <w:r w:rsidR="00081C3C" w:rsidRPr="00DC0C6B">
        <w:t xml:space="preserve"> </w:t>
      </w:r>
      <w:r w:rsidR="009B0487" w:rsidRPr="00DC0C6B">
        <w:t>could represent an associated entranceway structure, such as a gatepost. A</w:t>
      </w:r>
      <w:r w:rsidR="00FF414B" w:rsidRPr="00DC0C6B">
        <w:t>t some point a</w:t>
      </w:r>
      <w:r w:rsidR="009B0487" w:rsidRPr="00DC0C6B">
        <w:t xml:space="preserve"> pit (10091) </w:t>
      </w:r>
      <w:proofErr w:type="gramStart"/>
      <w:r w:rsidR="009B0487" w:rsidRPr="00DC0C6B">
        <w:t xml:space="preserve">was </w:t>
      </w:r>
      <w:r w:rsidR="00FF414B" w:rsidRPr="00DC0C6B">
        <w:t>dug</w:t>
      </w:r>
      <w:proofErr w:type="gramEnd"/>
      <w:r w:rsidR="009B0487" w:rsidRPr="00DC0C6B">
        <w:t xml:space="preserve"> in the centre of this entrance but it is unclear whether </w:t>
      </w:r>
      <w:r w:rsidR="00A0174F" w:rsidRPr="00DC0C6B">
        <w:t>this was positioned to restrict access into the enclosure or was part of a l</w:t>
      </w:r>
      <w:r w:rsidR="00FA496E" w:rsidRPr="00DC0C6B">
        <w:t>ater</w:t>
      </w:r>
      <w:r w:rsidR="00A0174F" w:rsidRPr="00DC0C6B">
        <w:t xml:space="preserve"> episode of activity after the enclosure had fallen out of use</w:t>
      </w:r>
      <w:r w:rsidR="009B0487" w:rsidRPr="00DC0C6B">
        <w:t xml:space="preserve">. </w:t>
      </w:r>
    </w:p>
    <w:p w14:paraId="0DEF3CFD" w14:textId="75124D18" w:rsidR="0065446F" w:rsidRPr="00DC0C6B" w:rsidRDefault="00EC7E30" w:rsidP="009B4933">
      <w:pPr>
        <w:pStyle w:val="05TextNumberedParagraph"/>
      </w:pPr>
      <w:r w:rsidRPr="00DC0C6B">
        <w:t>Pottery (6</w:t>
      </w:r>
      <w:r w:rsidR="000F38DA" w:rsidRPr="00DC0C6B">
        <w:t>96</w:t>
      </w:r>
      <w:r w:rsidRPr="00DC0C6B">
        <w:t xml:space="preserve"> sherds, 5</w:t>
      </w:r>
      <w:r w:rsidR="000F38DA" w:rsidRPr="00DC0C6B">
        <w:t>744</w:t>
      </w:r>
      <w:r w:rsidR="009B4933" w:rsidRPr="00DC0C6B">
        <w:t xml:space="preserve"> </w:t>
      </w:r>
      <w:r w:rsidR="00A357C9" w:rsidRPr="00DC0C6B">
        <w:t>g</w:t>
      </w:r>
      <w:r w:rsidRPr="00DC0C6B">
        <w:t xml:space="preserve">) was recovered from all of the </w:t>
      </w:r>
      <w:r w:rsidR="009B4933" w:rsidRPr="00DC0C6B">
        <w:t xml:space="preserve">enclosure 1 </w:t>
      </w:r>
      <w:r w:rsidRPr="00DC0C6B">
        <w:t xml:space="preserve">ditches and </w:t>
      </w:r>
      <w:r w:rsidR="000F38DA" w:rsidRPr="00DC0C6B">
        <w:t xml:space="preserve">pits and postholes situated in the interior and </w:t>
      </w:r>
      <w:r w:rsidRPr="00DC0C6B">
        <w:t xml:space="preserve">included examples of slack-shouldered, globular and round bodies jars with flat or simple rims that are indicative of an Early to Middle Iron Age </w:t>
      </w:r>
      <w:r w:rsidRPr="00DC0C6B">
        <w:lastRenderedPageBreak/>
        <w:t>date.</w:t>
      </w:r>
      <w:r w:rsidR="00183B29" w:rsidRPr="00DC0C6B">
        <w:rPr>
          <w:rStyle w:val="FootnoteReference"/>
        </w:rPr>
        <w:footnoteReference w:id="10"/>
      </w:r>
      <w:r w:rsidRPr="00DC0C6B">
        <w:t xml:space="preserve"> The date of the enclosure was refined to the Middle Iron Age by radiocarbon analysis of a sample of oak</w:t>
      </w:r>
      <w:r w:rsidR="00C13F9F">
        <w:t xml:space="preserve"> charcoal (roundwood; immature timber/twig)</w:t>
      </w:r>
      <w:r w:rsidRPr="00DC0C6B">
        <w:t xml:space="preserve"> </w:t>
      </w:r>
      <w:r w:rsidR="00A0174F" w:rsidRPr="00DC0C6B">
        <w:t>recovered from the eastern enclosure</w:t>
      </w:r>
      <w:r w:rsidRPr="00DC0C6B">
        <w:t xml:space="preserve"> ditch 10111 (398–208 cal</w:t>
      </w:r>
      <w:r w:rsidR="001B40CD">
        <w:t>.</w:t>
      </w:r>
      <w:r w:rsidRPr="00DC0C6B">
        <w:t xml:space="preserve"> BC at 95.4</w:t>
      </w:r>
      <w:r w:rsidR="00A0174F" w:rsidRPr="00DC0C6B">
        <w:t xml:space="preserve"> per</w:t>
      </w:r>
      <w:r w:rsidR="001B511F" w:rsidRPr="00DC0C6B">
        <w:t xml:space="preserve"> </w:t>
      </w:r>
      <w:r w:rsidR="00A0174F" w:rsidRPr="00DC0C6B">
        <w:t>cent</w:t>
      </w:r>
      <w:r w:rsidRPr="00DC0C6B">
        <w:t xml:space="preserve"> probability, SUERC-108727</w:t>
      </w:r>
      <w:r w:rsidR="00971E69" w:rsidRPr="00DC0C6B">
        <w:t>; Fig. 4</w:t>
      </w:r>
      <w:r w:rsidRPr="00DC0C6B">
        <w:t xml:space="preserve">). </w:t>
      </w:r>
      <w:r w:rsidR="0065446F" w:rsidRPr="00DC0C6B">
        <w:t xml:space="preserve">Other artefacts comprised a </w:t>
      </w:r>
      <w:r w:rsidR="009B4933" w:rsidRPr="00DC0C6B">
        <w:t>fragment of daub and a</w:t>
      </w:r>
      <w:r w:rsidR="00183B29" w:rsidRPr="00DC0C6B">
        <w:t xml:space="preserve"> possible stone weight.</w:t>
      </w:r>
      <w:r w:rsidR="009B4933" w:rsidRPr="00DC0C6B">
        <w:t xml:space="preserve"> A</w:t>
      </w:r>
      <w:r w:rsidR="0065446F" w:rsidRPr="00DC0C6B">
        <w:t>nimal bone (371 fragments, 1583</w:t>
      </w:r>
      <w:r w:rsidR="009B4933" w:rsidRPr="00DC0C6B">
        <w:t xml:space="preserve"> </w:t>
      </w:r>
      <w:r w:rsidR="0065446F" w:rsidRPr="00DC0C6B">
        <w:t xml:space="preserve">g) </w:t>
      </w:r>
      <w:r w:rsidR="009B4933" w:rsidRPr="00DC0C6B">
        <w:t xml:space="preserve">from the ditches included </w:t>
      </w:r>
      <w:r w:rsidR="0065446F" w:rsidRPr="00DC0C6B">
        <w:t>sheep/goat, cattle and bird remains</w:t>
      </w:r>
      <w:r w:rsidR="000F2ADA" w:rsidRPr="00DC0C6B">
        <w:t xml:space="preserve">. A </w:t>
      </w:r>
      <w:r w:rsidR="0065446F" w:rsidRPr="00DC0C6B">
        <w:t>small quantity of cereal grains contained examples of wheat (</w:t>
      </w:r>
      <w:r w:rsidR="0065446F" w:rsidRPr="00DC0C6B">
        <w:rPr>
          <w:i/>
          <w:iCs/>
        </w:rPr>
        <w:t>Triticum</w:t>
      </w:r>
      <w:r w:rsidR="0065446F" w:rsidRPr="00DC0C6B">
        <w:t xml:space="preserve"> sp.) and barley (</w:t>
      </w:r>
      <w:r w:rsidR="0065446F" w:rsidRPr="00DC0C6B">
        <w:rPr>
          <w:i/>
          <w:iCs/>
        </w:rPr>
        <w:t>Hordeum vulgare</w:t>
      </w:r>
      <w:r w:rsidR="0065446F" w:rsidRPr="00DC0C6B">
        <w:t xml:space="preserve"> L.) and probably represents dispersed domestic hearth material</w:t>
      </w:r>
      <w:r w:rsidR="00183B29" w:rsidRPr="00DC0C6B">
        <w:t>.</w:t>
      </w:r>
      <w:r w:rsidR="00183B29" w:rsidRPr="00DC0C6B">
        <w:rPr>
          <w:rStyle w:val="FootnoteReference"/>
        </w:rPr>
        <w:footnoteReference w:id="11"/>
      </w:r>
      <w:r w:rsidR="0065446F" w:rsidRPr="00DC0C6B">
        <w:t xml:space="preserve"> </w:t>
      </w:r>
    </w:p>
    <w:p w14:paraId="23B3645D" w14:textId="13EE5A7D" w:rsidR="00BB3D03" w:rsidRPr="00DC0C6B" w:rsidRDefault="0045620C" w:rsidP="0092760B">
      <w:pPr>
        <w:pStyle w:val="05TextNumberedParagraph"/>
        <w:ind w:firstLine="0"/>
      </w:pPr>
      <w:r w:rsidRPr="00DC0C6B">
        <w:rPr>
          <w:i/>
          <w:iCs/>
        </w:rPr>
        <w:t>Enclosure 3</w:t>
      </w:r>
      <w:r w:rsidRPr="00DC0C6B">
        <w:t xml:space="preserve"> </w:t>
      </w:r>
      <w:r w:rsidR="003E0D1A" w:rsidRPr="00DC0C6B">
        <w:t xml:space="preserve">(Fig. </w:t>
      </w:r>
      <w:r w:rsidR="005445F0" w:rsidRPr="00DC0C6B">
        <w:t>7</w:t>
      </w:r>
      <w:r w:rsidR="003E0D1A" w:rsidRPr="00DC0C6B">
        <w:t xml:space="preserve">) A third enclosure </w:t>
      </w:r>
      <w:proofErr w:type="gramStart"/>
      <w:r w:rsidRPr="00DC0C6B">
        <w:t>was located in</w:t>
      </w:r>
      <w:proofErr w:type="gramEnd"/>
      <w:r w:rsidRPr="00DC0C6B">
        <w:t xml:space="preserve"> the south-west portion of the excavation area</w:t>
      </w:r>
      <w:r w:rsidR="00BE176F" w:rsidRPr="00DC0C6B">
        <w:t xml:space="preserve">, </w:t>
      </w:r>
      <w:r w:rsidR="00476D9D" w:rsidRPr="00DC0C6B">
        <w:t>approximately</w:t>
      </w:r>
      <w:r w:rsidR="005B357A" w:rsidRPr="00DC0C6B">
        <w:t xml:space="preserve"> 39</w:t>
      </w:r>
      <w:r w:rsidR="001B511F" w:rsidRPr="00DC0C6B">
        <w:t xml:space="preserve"> </w:t>
      </w:r>
      <w:r w:rsidR="005B357A" w:rsidRPr="00DC0C6B">
        <w:t>m</w:t>
      </w:r>
      <w:r w:rsidR="00BE176F" w:rsidRPr="00DC0C6B">
        <w:t xml:space="preserve"> </w:t>
      </w:r>
      <w:r w:rsidR="005B357A" w:rsidRPr="00DC0C6B">
        <w:t>south of enclosures 1 and 2</w:t>
      </w:r>
      <w:r w:rsidR="00476D9D" w:rsidRPr="00DC0C6B">
        <w:t xml:space="preserve">. It was </w:t>
      </w:r>
      <w:r w:rsidR="00EA0D89" w:rsidRPr="00DC0C6B">
        <w:t xml:space="preserve">defined on three sides (north, south and west) </w:t>
      </w:r>
      <w:r w:rsidR="00476D9D" w:rsidRPr="00DC0C6B">
        <w:t xml:space="preserve">by </w:t>
      </w:r>
      <w:r w:rsidR="003E0D1A" w:rsidRPr="00DC0C6B">
        <w:t xml:space="preserve">a </w:t>
      </w:r>
      <w:r w:rsidR="00476D9D" w:rsidRPr="00DC0C6B">
        <w:t xml:space="preserve">ditch </w:t>
      </w:r>
      <w:r w:rsidR="00EA0D89" w:rsidRPr="00DC0C6B">
        <w:t xml:space="preserve">(10514) that had been recut several times. </w:t>
      </w:r>
      <w:r w:rsidR="006A2C49" w:rsidRPr="00DC0C6B">
        <w:t xml:space="preserve">No </w:t>
      </w:r>
      <w:r w:rsidR="003E0D1A" w:rsidRPr="00DC0C6B">
        <w:t xml:space="preserve">associated </w:t>
      </w:r>
      <w:r w:rsidR="006A2C49" w:rsidRPr="00DC0C6B">
        <w:t xml:space="preserve">boundary was identified </w:t>
      </w:r>
      <w:r w:rsidR="003E0D1A" w:rsidRPr="00DC0C6B">
        <w:t>to</w:t>
      </w:r>
      <w:r w:rsidR="006A2C49" w:rsidRPr="00DC0C6B">
        <w:t xml:space="preserve"> the </w:t>
      </w:r>
      <w:proofErr w:type="gramStart"/>
      <w:r w:rsidR="006A2C49" w:rsidRPr="00DC0C6B">
        <w:t>east</w:t>
      </w:r>
      <w:proofErr w:type="gramEnd"/>
      <w:r w:rsidR="006A2C49" w:rsidRPr="00DC0C6B">
        <w:t xml:space="preserve"> but </w:t>
      </w:r>
      <w:r w:rsidR="00612AB1" w:rsidRPr="00DC0C6B">
        <w:t xml:space="preserve">it </w:t>
      </w:r>
      <w:r w:rsidR="006A2C49" w:rsidRPr="00DC0C6B">
        <w:t xml:space="preserve">could have been defined by features that have left no </w:t>
      </w:r>
      <w:r w:rsidR="00EE3164" w:rsidRPr="00DC0C6B">
        <w:t>physical trace</w:t>
      </w:r>
      <w:r w:rsidR="006A2C49" w:rsidRPr="00DC0C6B">
        <w:t>, such as</w:t>
      </w:r>
      <w:r w:rsidR="003D7CED" w:rsidRPr="00DC0C6B">
        <w:t xml:space="preserve"> a</w:t>
      </w:r>
      <w:r w:rsidR="006A2C49" w:rsidRPr="00DC0C6B">
        <w:t xml:space="preserve"> bank or hedge.</w:t>
      </w:r>
      <w:r w:rsidR="00AC51ED" w:rsidRPr="00DC0C6B">
        <w:t xml:space="preserve"> Two</w:t>
      </w:r>
      <w:r w:rsidR="003E0D1A" w:rsidRPr="00DC0C6B">
        <w:t xml:space="preserve"> associated</w:t>
      </w:r>
      <w:r w:rsidR="00AC51ED" w:rsidRPr="00DC0C6B">
        <w:t xml:space="preserve"> postholes (10743 and 10745) could suggest that it had been bounded to the east by a fence, although no other postholes </w:t>
      </w:r>
      <w:proofErr w:type="gramStart"/>
      <w:r w:rsidR="00AC51ED" w:rsidRPr="00DC0C6B">
        <w:t>were identified</w:t>
      </w:r>
      <w:proofErr w:type="gramEnd"/>
      <w:r w:rsidR="00AC51ED" w:rsidRPr="00DC0C6B">
        <w:t>.</w:t>
      </w:r>
      <w:r w:rsidR="0032432D" w:rsidRPr="00DC0C6B">
        <w:t xml:space="preserve"> </w:t>
      </w:r>
    </w:p>
    <w:p w14:paraId="2C7589BA" w14:textId="4190042D" w:rsidR="0029141A" w:rsidRPr="00DC0C6B" w:rsidRDefault="0029141A" w:rsidP="0016216F">
      <w:pPr>
        <w:pStyle w:val="05TextNumberedParagraph"/>
      </w:pPr>
      <w:r w:rsidRPr="00DC0C6B">
        <w:t>Within the enclosure’s interior, a</w:t>
      </w:r>
      <w:r w:rsidR="0032432D" w:rsidRPr="00DC0C6B">
        <w:t>n oval</w:t>
      </w:r>
      <w:r w:rsidRPr="00DC0C6B">
        <w:t xml:space="preserve"> pit (10009) and </w:t>
      </w:r>
      <w:r w:rsidR="00587896" w:rsidRPr="00DC0C6B">
        <w:t xml:space="preserve">a </w:t>
      </w:r>
      <w:r w:rsidRPr="00DC0C6B">
        <w:t>north-west/south-east</w:t>
      </w:r>
      <w:r w:rsidR="001B40CD">
        <w:t>-</w:t>
      </w:r>
      <w:r w:rsidRPr="00DC0C6B">
        <w:t xml:space="preserve">aligned ditch (10005) </w:t>
      </w:r>
      <w:proofErr w:type="gramStart"/>
      <w:r w:rsidRPr="00DC0C6B">
        <w:t>were investigated</w:t>
      </w:r>
      <w:proofErr w:type="gramEnd"/>
      <w:r w:rsidRPr="00DC0C6B">
        <w:t xml:space="preserve">. </w:t>
      </w:r>
      <w:r w:rsidR="00AA721E" w:rsidRPr="00DC0C6B">
        <w:t>D</w:t>
      </w:r>
      <w:r w:rsidR="0022088B" w:rsidRPr="00DC0C6B">
        <w:t xml:space="preserve">itch </w:t>
      </w:r>
      <w:r w:rsidR="00AA721E" w:rsidRPr="00DC0C6B">
        <w:t xml:space="preserve">10005 </w:t>
      </w:r>
      <w:r w:rsidR="009A116F" w:rsidRPr="00DC0C6B">
        <w:t>was</w:t>
      </w:r>
      <w:r w:rsidR="00431801" w:rsidRPr="00DC0C6B">
        <w:t xml:space="preserve"> </w:t>
      </w:r>
      <w:r w:rsidR="00587896" w:rsidRPr="00DC0C6B">
        <w:t>similar in width</w:t>
      </w:r>
      <w:r w:rsidR="009A116F" w:rsidRPr="00DC0C6B">
        <w:t xml:space="preserve"> </w:t>
      </w:r>
      <w:r w:rsidR="00587896" w:rsidRPr="00DC0C6B">
        <w:t>(</w:t>
      </w:r>
      <w:r w:rsidR="00431801" w:rsidRPr="00DC0C6B">
        <w:t>0.83</w:t>
      </w:r>
      <w:r w:rsidR="001B511F" w:rsidRPr="00DC0C6B">
        <w:t xml:space="preserve"> </w:t>
      </w:r>
      <w:r w:rsidR="00431801" w:rsidRPr="00DC0C6B">
        <w:t>m</w:t>
      </w:r>
      <w:r w:rsidR="00587896" w:rsidRPr="00DC0C6B">
        <w:t>)</w:t>
      </w:r>
      <w:r w:rsidR="00431801" w:rsidRPr="00DC0C6B">
        <w:t xml:space="preserve"> </w:t>
      </w:r>
      <w:r w:rsidR="00587896" w:rsidRPr="00DC0C6B">
        <w:t xml:space="preserve">to the main enclosure ditches </w:t>
      </w:r>
      <w:r w:rsidR="00780C81" w:rsidRPr="00DC0C6B">
        <w:t xml:space="preserve">and </w:t>
      </w:r>
      <w:r w:rsidR="00587896" w:rsidRPr="00DC0C6B">
        <w:t xml:space="preserve">could represent an internal division. </w:t>
      </w:r>
    </w:p>
    <w:p w14:paraId="435047BB" w14:textId="79DC9F4E" w:rsidR="005445F0" w:rsidRPr="00DC0C6B" w:rsidRDefault="005445F0" w:rsidP="005445F0">
      <w:pPr>
        <w:pStyle w:val="05TextNumberedParagraph"/>
        <w:ind w:firstLine="0"/>
      </w:pPr>
    </w:p>
    <w:p w14:paraId="1FD87364" w14:textId="66AC0701" w:rsidR="005445F0" w:rsidRPr="00DC0C6B" w:rsidRDefault="005445F0" w:rsidP="005445F0">
      <w:pPr>
        <w:pStyle w:val="05TextNumberedParagraph"/>
        <w:ind w:firstLine="0"/>
      </w:pPr>
      <w:r w:rsidRPr="00DC0C6B">
        <w:t xml:space="preserve">Insert near here: Figure </w:t>
      </w:r>
      <w:commentRangeStart w:id="67"/>
      <w:r w:rsidRPr="00DC0C6B">
        <w:t>7</w:t>
      </w:r>
      <w:commentRangeEnd w:id="67"/>
      <w:r w:rsidRPr="00DC0C6B">
        <w:rPr>
          <w:rStyle w:val="CommentReference"/>
          <w:rFonts w:ascii="Arial" w:eastAsia="Times New Roman" w:hAnsi="Arial" w:cs="Times New Roman"/>
        </w:rPr>
        <w:commentReference w:id="67"/>
      </w:r>
    </w:p>
    <w:p w14:paraId="2D803251" w14:textId="77777777" w:rsidR="005445F0" w:rsidRPr="00DC0C6B" w:rsidRDefault="005445F0" w:rsidP="005445F0">
      <w:pPr>
        <w:pStyle w:val="05TextNumberedParagraph"/>
        <w:ind w:firstLine="0"/>
      </w:pPr>
    </w:p>
    <w:p w14:paraId="135656C8" w14:textId="4CFD0A63" w:rsidR="00CF3ABC" w:rsidRDefault="00CB2873" w:rsidP="00780C81">
      <w:pPr>
        <w:pStyle w:val="05TextNumberedParagraph"/>
        <w:ind w:firstLine="0"/>
      </w:pPr>
      <w:r w:rsidRPr="00DC0C6B">
        <w:rPr>
          <w:i/>
          <w:iCs/>
        </w:rPr>
        <w:t>Post-built structures 1 and 2</w:t>
      </w:r>
      <w:r w:rsidR="0028080F" w:rsidRPr="00DC0C6B">
        <w:rPr>
          <w:i/>
          <w:iCs/>
        </w:rPr>
        <w:t xml:space="preserve"> (Fig</w:t>
      </w:r>
      <w:r w:rsidR="00EA0D89" w:rsidRPr="00DC0C6B">
        <w:rPr>
          <w:i/>
          <w:iCs/>
        </w:rPr>
        <w:t xml:space="preserve">s 4 and </w:t>
      </w:r>
      <w:r w:rsidR="005445F0" w:rsidRPr="00DC0C6B">
        <w:rPr>
          <w:i/>
          <w:iCs/>
        </w:rPr>
        <w:t>7</w:t>
      </w:r>
      <w:r w:rsidR="00780C81" w:rsidRPr="00DC0C6B">
        <w:rPr>
          <w:i/>
          <w:iCs/>
        </w:rPr>
        <w:t>)</w:t>
      </w:r>
      <w:bookmarkStart w:id="68" w:name="_Hlk122418856"/>
      <w:r w:rsidR="008F5FFA">
        <w:rPr>
          <w:i/>
          <w:iCs/>
        </w:rPr>
        <w:tab/>
      </w:r>
      <w:r w:rsidR="00CF3ABC" w:rsidRPr="00DC0C6B">
        <w:t>Two clusters of postholes were situated in the southern (post-built structure 1</w:t>
      </w:r>
      <w:r w:rsidR="005445F0" w:rsidRPr="00DC0C6B">
        <w:t>; Fig. 7</w:t>
      </w:r>
      <w:r w:rsidR="00CF3ABC" w:rsidRPr="00DC0C6B">
        <w:t>) and northern (post-built structure 2</w:t>
      </w:r>
      <w:r w:rsidR="005445F0" w:rsidRPr="00DC0C6B">
        <w:t>; Fig. 7</w:t>
      </w:r>
      <w:r w:rsidR="00CF3ABC" w:rsidRPr="00DC0C6B">
        <w:t xml:space="preserve">) parts of the excavation area, spaced </w:t>
      </w:r>
      <w:r w:rsidR="00EE233C" w:rsidRPr="00DC0C6B">
        <w:t>43</w:t>
      </w:r>
      <w:r w:rsidR="00CF3ABC" w:rsidRPr="00DC0C6B">
        <w:t xml:space="preserve">m apart. They each formed broadly </w:t>
      </w:r>
      <w:r w:rsidR="0095317F" w:rsidRPr="00DC0C6B">
        <w:t>rectangular</w:t>
      </w:r>
      <w:r w:rsidR="006041FD" w:rsidRPr="00DC0C6B">
        <w:t xml:space="preserve"> </w:t>
      </w:r>
      <w:r w:rsidR="00CF3ABC" w:rsidRPr="00DC0C6B">
        <w:t xml:space="preserve">arrangements </w:t>
      </w:r>
      <w:r w:rsidR="005667F9" w:rsidRPr="00DC0C6B">
        <w:t xml:space="preserve">(approximately 3.5–4 m by 4–5 m) </w:t>
      </w:r>
      <w:r w:rsidR="00CF3ABC" w:rsidRPr="00DC0C6B">
        <w:t xml:space="preserve">and have </w:t>
      </w:r>
      <w:proofErr w:type="gramStart"/>
      <w:r w:rsidR="00CF3ABC" w:rsidRPr="00DC0C6B">
        <w:t>been interpreted</w:t>
      </w:r>
      <w:proofErr w:type="gramEnd"/>
      <w:r w:rsidR="00CF3ABC" w:rsidRPr="00DC0C6B">
        <w:t xml:space="preserve"> as </w:t>
      </w:r>
      <w:r w:rsidR="006041FD" w:rsidRPr="00DC0C6B">
        <w:t xml:space="preserve">the remains of post-built </w:t>
      </w:r>
      <w:r w:rsidR="00CF3ABC" w:rsidRPr="00DC0C6B">
        <w:t xml:space="preserve">structures. </w:t>
      </w:r>
    </w:p>
    <w:p w14:paraId="6DB39B5D" w14:textId="77777777" w:rsidR="008F5FFA" w:rsidRPr="00DC0C6B" w:rsidRDefault="008F5FFA" w:rsidP="00780C81">
      <w:pPr>
        <w:pStyle w:val="05TextNumberedParagraph"/>
        <w:ind w:firstLine="0"/>
      </w:pPr>
    </w:p>
    <w:p w14:paraId="574B7921" w14:textId="22846237" w:rsidR="00EA0D89" w:rsidRDefault="00EA0D89" w:rsidP="00EA0D89">
      <w:pPr>
        <w:pStyle w:val="05TextNumberedParagraph"/>
        <w:ind w:firstLine="0"/>
      </w:pPr>
      <w:r w:rsidRPr="00DC0C6B">
        <w:rPr>
          <w:i/>
          <w:iCs/>
        </w:rPr>
        <w:t xml:space="preserve">Semi-circular structure </w:t>
      </w:r>
      <w:r w:rsidR="00A0146E" w:rsidRPr="00DC0C6B">
        <w:rPr>
          <w:i/>
          <w:iCs/>
        </w:rPr>
        <w:t>1</w:t>
      </w:r>
      <w:r w:rsidRPr="00DC0C6B">
        <w:rPr>
          <w:i/>
          <w:iCs/>
        </w:rPr>
        <w:t xml:space="preserve"> (Fig. 4)</w:t>
      </w:r>
      <w:r w:rsidR="008F5FFA">
        <w:tab/>
      </w:r>
      <w:r w:rsidRPr="00DC0C6B">
        <w:t xml:space="preserve">A semi-circular arrangement of </w:t>
      </w:r>
      <w:r w:rsidR="00FB13CC" w:rsidRPr="00DC0C6B">
        <w:t>six</w:t>
      </w:r>
      <w:r w:rsidRPr="00DC0C6B">
        <w:t xml:space="preserve"> postholes </w:t>
      </w:r>
      <w:r w:rsidR="00FB13CC" w:rsidRPr="00DC0C6B">
        <w:t>were</w:t>
      </w:r>
      <w:r w:rsidRPr="00DC0C6B">
        <w:t xml:space="preserve"> situated </w:t>
      </w:r>
      <w:r w:rsidR="00FB13CC" w:rsidRPr="00DC0C6B">
        <w:t>in-between</w:t>
      </w:r>
      <w:r w:rsidRPr="00DC0C6B">
        <w:t xml:space="preserve"> roundhouse A and post-built structure 2</w:t>
      </w:r>
      <w:r w:rsidR="00FB13CC" w:rsidRPr="00DC0C6B">
        <w:t>. Four of them</w:t>
      </w:r>
      <w:r w:rsidRPr="00DC0C6B">
        <w:t xml:space="preserve"> </w:t>
      </w:r>
      <w:proofErr w:type="gramStart"/>
      <w:r w:rsidRPr="00DC0C6B">
        <w:t>were spread</w:t>
      </w:r>
      <w:proofErr w:type="gramEnd"/>
      <w:r w:rsidRPr="00DC0C6B">
        <w:t xml:space="preserve"> approximately 3.2–4</w:t>
      </w:r>
      <w:r w:rsidR="00FB13CC" w:rsidRPr="00DC0C6B">
        <w:t xml:space="preserve"> </w:t>
      </w:r>
      <w:r w:rsidRPr="00DC0C6B">
        <w:t>m apart and appeared to form a</w:t>
      </w:r>
      <w:r w:rsidR="00FB13CC" w:rsidRPr="00DC0C6B">
        <w:t xml:space="preserve">n arc, whilst two postholes defined a straight, southern side. The proposed structure had an </w:t>
      </w:r>
      <w:r w:rsidRPr="00DC0C6B">
        <w:t>internal diameter of approximately 6</w:t>
      </w:r>
      <w:r w:rsidR="00FB13CC" w:rsidRPr="00DC0C6B">
        <w:t xml:space="preserve"> </w:t>
      </w:r>
      <w:r w:rsidRPr="00DC0C6B">
        <w:t xml:space="preserve">m. </w:t>
      </w:r>
      <w:r w:rsidR="00FB13CC" w:rsidRPr="00DC0C6B">
        <w:t>E</w:t>
      </w:r>
      <w:r w:rsidRPr="00DC0C6B">
        <w:t xml:space="preserve">nclosed by </w:t>
      </w:r>
      <w:r w:rsidR="00FB13CC" w:rsidRPr="00DC0C6B">
        <w:t>the postholes</w:t>
      </w:r>
      <w:r w:rsidRPr="00DC0C6B">
        <w:t xml:space="preserve"> were two intercutting pits </w:t>
      </w:r>
      <w:r w:rsidR="00FB13CC" w:rsidRPr="00DC0C6B">
        <w:t>(</w:t>
      </w:r>
      <w:r w:rsidRPr="00DC0C6B">
        <w:t>0.95–1.35</w:t>
      </w:r>
      <w:r w:rsidR="00D84AE4" w:rsidRPr="00DC0C6B">
        <w:t xml:space="preserve"> </w:t>
      </w:r>
      <w:r w:rsidRPr="00DC0C6B">
        <w:t>m in diameter and 0.14–0.18</w:t>
      </w:r>
      <w:r w:rsidR="00D84AE4" w:rsidRPr="00DC0C6B">
        <w:t xml:space="preserve"> </w:t>
      </w:r>
      <w:r w:rsidRPr="00DC0C6B">
        <w:lastRenderedPageBreak/>
        <w:t>m deep</w:t>
      </w:r>
      <w:r w:rsidR="00FB13CC" w:rsidRPr="00DC0C6B">
        <w:t>)</w:t>
      </w:r>
      <w:r w:rsidRPr="00DC0C6B">
        <w:t xml:space="preserve"> with moderate to steeply sloping sides and concave bases. </w:t>
      </w:r>
      <w:r w:rsidR="00FB13CC" w:rsidRPr="00DC0C6B">
        <w:t xml:space="preserve">They contained </w:t>
      </w:r>
      <w:r w:rsidRPr="00DC0C6B">
        <w:t xml:space="preserve">single fills </w:t>
      </w:r>
      <w:r w:rsidR="00FB13CC" w:rsidRPr="00DC0C6B">
        <w:t>that produced</w:t>
      </w:r>
      <w:r w:rsidRPr="00DC0C6B">
        <w:t xml:space="preserve"> 10 sherds (28</w:t>
      </w:r>
      <w:r w:rsidR="00D84AE4" w:rsidRPr="00DC0C6B">
        <w:t xml:space="preserve"> </w:t>
      </w:r>
      <w:r w:rsidRPr="00DC0C6B">
        <w:t xml:space="preserve">g) of sand and shell-tempered pottery </w:t>
      </w:r>
      <w:proofErr w:type="gramStart"/>
      <w:r w:rsidRPr="00DC0C6B">
        <w:t>was recovered</w:t>
      </w:r>
      <w:proofErr w:type="gramEnd"/>
      <w:r w:rsidRPr="00DC0C6B">
        <w:t xml:space="preserve"> from pits 10165 and 10241</w:t>
      </w:r>
      <w:r w:rsidR="00103859" w:rsidRPr="00DC0C6B">
        <w:t>.</w:t>
      </w:r>
    </w:p>
    <w:p w14:paraId="4F600294" w14:textId="77777777" w:rsidR="008F5FFA" w:rsidRPr="00DC0C6B" w:rsidRDefault="008F5FFA" w:rsidP="00EA0D89">
      <w:pPr>
        <w:pStyle w:val="05TextNumberedParagraph"/>
        <w:ind w:firstLine="0"/>
      </w:pPr>
    </w:p>
    <w:bookmarkEnd w:id="68"/>
    <w:p w14:paraId="056BD158" w14:textId="4BB8A12F" w:rsidR="004D0E5B" w:rsidRPr="00DC0C6B" w:rsidRDefault="000E7B13" w:rsidP="008F7EE0">
      <w:pPr>
        <w:pStyle w:val="05TextNumberedParagraph"/>
        <w:ind w:firstLine="0"/>
      </w:pPr>
      <w:r w:rsidRPr="00DC0C6B">
        <w:rPr>
          <w:i/>
          <w:iCs/>
        </w:rPr>
        <w:t>Pit</w:t>
      </w:r>
      <w:r w:rsidR="00EE2DB7" w:rsidRPr="00DC0C6B">
        <w:rPr>
          <w:i/>
          <w:iCs/>
        </w:rPr>
        <w:t xml:space="preserve">s and </w:t>
      </w:r>
      <w:r w:rsidRPr="00DC0C6B">
        <w:rPr>
          <w:i/>
          <w:iCs/>
        </w:rPr>
        <w:t>posthole</w:t>
      </w:r>
      <w:r w:rsidR="00EE2DB7" w:rsidRPr="00DC0C6B">
        <w:rPr>
          <w:i/>
          <w:iCs/>
        </w:rPr>
        <w:t>s</w:t>
      </w:r>
      <w:r w:rsidRPr="00DC0C6B">
        <w:rPr>
          <w:i/>
          <w:iCs/>
        </w:rPr>
        <w:t xml:space="preserve"> </w:t>
      </w:r>
      <w:r w:rsidR="008244C6" w:rsidRPr="00DC0C6B">
        <w:rPr>
          <w:i/>
          <w:iCs/>
        </w:rPr>
        <w:t>(Fig</w:t>
      </w:r>
      <w:r w:rsidR="00103859" w:rsidRPr="00DC0C6B">
        <w:rPr>
          <w:i/>
          <w:iCs/>
        </w:rPr>
        <w:t xml:space="preserve">s 2 and </w:t>
      </w:r>
      <w:r w:rsidR="005445F0" w:rsidRPr="00DC0C6B">
        <w:rPr>
          <w:i/>
          <w:iCs/>
        </w:rPr>
        <w:t>7</w:t>
      </w:r>
      <w:r w:rsidR="008244C6" w:rsidRPr="00DC0C6B">
        <w:rPr>
          <w:i/>
          <w:iCs/>
        </w:rPr>
        <w:t>)</w:t>
      </w:r>
      <w:r w:rsidR="008F5FFA">
        <w:tab/>
      </w:r>
      <w:r w:rsidR="008F7EE0" w:rsidRPr="00DC0C6B">
        <w:t>Large numbers of p</w:t>
      </w:r>
      <w:r w:rsidR="00EE2DB7" w:rsidRPr="00DC0C6B">
        <w:t xml:space="preserve">its and postholes </w:t>
      </w:r>
      <w:proofErr w:type="gramStart"/>
      <w:r w:rsidR="00EE2DB7" w:rsidRPr="00DC0C6B">
        <w:t>were encountered</w:t>
      </w:r>
      <w:proofErr w:type="gramEnd"/>
      <w:r w:rsidR="00EE2DB7" w:rsidRPr="00DC0C6B">
        <w:t xml:space="preserve"> </w:t>
      </w:r>
      <w:r w:rsidR="008244C6" w:rsidRPr="00DC0C6B">
        <w:t>across the excavation area</w:t>
      </w:r>
      <w:r w:rsidR="008F7EE0" w:rsidRPr="00DC0C6B">
        <w:t>, interspersed with tree-throw holes and patches of root disturbance.</w:t>
      </w:r>
      <w:r w:rsidR="00EE2DB7" w:rsidRPr="00DC0C6B">
        <w:t xml:space="preserve"> </w:t>
      </w:r>
      <w:r w:rsidR="008F7EE0" w:rsidRPr="00DC0C6B">
        <w:t xml:space="preserve">Most </w:t>
      </w:r>
      <w:r w:rsidR="00EE2DB7" w:rsidRPr="00DC0C6B">
        <w:t>notabl</w:t>
      </w:r>
      <w:r w:rsidR="00AE29F8" w:rsidRPr="00DC0C6B">
        <w:t>e</w:t>
      </w:r>
      <w:r w:rsidR="00EE2DB7" w:rsidRPr="00DC0C6B">
        <w:t xml:space="preserve"> </w:t>
      </w:r>
      <w:r w:rsidR="008F7EE0" w:rsidRPr="00DC0C6B">
        <w:t xml:space="preserve">were </w:t>
      </w:r>
      <w:r w:rsidR="00EE2DB7" w:rsidRPr="00DC0C6B">
        <w:t>those forming</w:t>
      </w:r>
      <w:r w:rsidR="008244C6" w:rsidRPr="00DC0C6B">
        <w:t xml:space="preserve"> </w:t>
      </w:r>
      <w:r w:rsidR="00EE2DB7" w:rsidRPr="00DC0C6B">
        <w:t>p</w:t>
      </w:r>
      <w:r w:rsidR="005938C0" w:rsidRPr="00DC0C6B">
        <w:t>it/p</w:t>
      </w:r>
      <w:r w:rsidR="00B27C7C" w:rsidRPr="00DC0C6B">
        <w:t>osthole group</w:t>
      </w:r>
      <w:r w:rsidR="00287224" w:rsidRPr="00DC0C6B">
        <w:t>s</w:t>
      </w:r>
      <w:r w:rsidR="00B27C7C" w:rsidRPr="00DC0C6B">
        <w:t xml:space="preserve"> 2</w:t>
      </w:r>
      <w:r w:rsidR="00287224" w:rsidRPr="00DC0C6B">
        <w:t xml:space="preserve"> and 3</w:t>
      </w:r>
      <w:r w:rsidR="00B27C7C" w:rsidRPr="00DC0C6B">
        <w:t xml:space="preserve"> in the south-eastern portion of the excavation area</w:t>
      </w:r>
      <w:r w:rsidR="00D84AE4" w:rsidRPr="00DC0C6B">
        <w:t xml:space="preserve">. </w:t>
      </w:r>
      <w:r w:rsidR="005938C0" w:rsidRPr="00DC0C6B">
        <w:t>It is possible that so</w:t>
      </w:r>
      <w:r w:rsidR="000845AC" w:rsidRPr="00DC0C6B">
        <w:t>m</w:t>
      </w:r>
      <w:r w:rsidR="005938C0" w:rsidRPr="00DC0C6B">
        <w:t xml:space="preserve">e of </w:t>
      </w:r>
      <w:r w:rsidR="008244C6" w:rsidRPr="00DC0C6B">
        <w:t xml:space="preserve">the features </w:t>
      </w:r>
      <w:r w:rsidR="005938C0" w:rsidRPr="00DC0C6B">
        <w:t>represent</w:t>
      </w:r>
      <w:r w:rsidR="008244C6" w:rsidRPr="00DC0C6B">
        <w:t>ed</w:t>
      </w:r>
      <w:r w:rsidR="005938C0" w:rsidRPr="00DC0C6B">
        <w:t xml:space="preserve"> the remains of structures</w:t>
      </w:r>
      <w:r w:rsidR="00D84AE4" w:rsidRPr="00DC0C6B">
        <w:t xml:space="preserve"> and</w:t>
      </w:r>
      <w:r w:rsidR="00AE29F8" w:rsidRPr="00DC0C6B">
        <w:t xml:space="preserve"> </w:t>
      </w:r>
      <w:r w:rsidR="00D84AE4" w:rsidRPr="00DC0C6B">
        <w:t>t</w:t>
      </w:r>
      <w:r w:rsidR="005938C0" w:rsidRPr="00DC0C6B">
        <w:t>he linear arrangement</w:t>
      </w:r>
      <w:r w:rsidR="00AE29F8" w:rsidRPr="00DC0C6B">
        <w:t>s</w:t>
      </w:r>
      <w:r w:rsidR="005938C0" w:rsidRPr="00DC0C6B">
        <w:t xml:space="preserve"> of postholes</w:t>
      </w:r>
      <w:r w:rsidR="008244C6" w:rsidRPr="00DC0C6B">
        <w:t xml:space="preserve"> and pits</w:t>
      </w:r>
      <w:r w:rsidR="00AE29F8" w:rsidRPr="00DC0C6B">
        <w:t xml:space="preserve"> in groups 2 and 3 possibly</w:t>
      </w:r>
      <w:r w:rsidR="008244C6" w:rsidRPr="00DC0C6B">
        <w:t xml:space="preserve"> </w:t>
      </w:r>
      <w:r w:rsidR="005938C0" w:rsidRPr="00DC0C6B">
        <w:t>demarcat</w:t>
      </w:r>
      <w:r w:rsidR="008244C6" w:rsidRPr="00DC0C6B">
        <w:t>ed</w:t>
      </w:r>
      <w:r w:rsidR="005938C0" w:rsidRPr="00DC0C6B">
        <w:t xml:space="preserve"> a series of enclosures or pens</w:t>
      </w:r>
      <w:r w:rsidR="00287224" w:rsidRPr="00DC0C6B">
        <w:t xml:space="preserve">. </w:t>
      </w:r>
    </w:p>
    <w:p w14:paraId="02E3E43D" w14:textId="65797A0B" w:rsidR="00D42AB8" w:rsidRDefault="00F64C76" w:rsidP="00AE29F8">
      <w:pPr>
        <w:pStyle w:val="05TextNumberedParagraph"/>
      </w:pPr>
      <w:r w:rsidRPr="00DC0C6B">
        <w:t xml:space="preserve">A cluster of fifteen </w:t>
      </w:r>
      <w:r w:rsidR="00AE29F8" w:rsidRPr="00DC0C6B">
        <w:t>pits, generally oval or sub-circular in shape,</w:t>
      </w:r>
      <w:r w:rsidRPr="00DC0C6B">
        <w:t xml:space="preserve"> </w:t>
      </w:r>
      <w:r w:rsidR="0077530F" w:rsidRPr="00DC0C6B">
        <w:t xml:space="preserve">was located immediately to the west of roundhouses A and </w:t>
      </w:r>
      <w:r w:rsidR="008F2439" w:rsidRPr="00DC0C6B">
        <w:t>B</w:t>
      </w:r>
      <w:r w:rsidR="0077530F" w:rsidRPr="00DC0C6B">
        <w:t xml:space="preserve">. </w:t>
      </w:r>
      <w:r w:rsidR="00AE29F8" w:rsidRPr="00DC0C6B">
        <w:t>They</w:t>
      </w:r>
      <w:r w:rsidR="00342C20" w:rsidRPr="00DC0C6B">
        <w:t xml:space="preserve"> had</w:t>
      </w:r>
      <w:r w:rsidR="00D42AB8" w:rsidRPr="00DC0C6B">
        <w:t xml:space="preserve"> moderately sloping sides and flat or concave bases</w:t>
      </w:r>
      <w:r w:rsidR="00342C20" w:rsidRPr="00DC0C6B">
        <w:t xml:space="preserve"> that differed to the irregular and often imperceptible profiles of the </w:t>
      </w:r>
      <w:r w:rsidR="00AE29F8" w:rsidRPr="00DC0C6B">
        <w:t xml:space="preserve">numerous </w:t>
      </w:r>
      <w:r w:rsidR="00C56ADC" w:rsidRPr="00DC0C6B">
        <w:t xml:space="preserve">tree-throws and areas </w:t>
      </w:r>
      <w:r w:rsidR="00342C20" w:rsidRPr="00DC0C6B">
        <w:t>of root disturbance</w:t>
      </w:r>
      <w:r w:rsidR="00AE29F8" w:rsidRPr="00DC0C6B">
        <w:t xml:space="preserve"> found on this site of the excavation area</w:t>
      </w:r>
      <w:r w:rsidR="00342C20" w:rsidRPr="00DC0C6B">
        <w:t>.</w:t>
      </w:r>
      <w:r w:rsidR="00D42AB8" w:rsidRPr="00DC0C6B">
        <w:t xml:space="preserve"> </w:t>
      </w:r>
      <w:r w:rsidR="00A82889" w:rsidRPr="00DC0C6B">
        <w:t>The</w:t>
      </w:r>
      <w:r w:rsidR="00342C20" w:rsidRPr="00DC0C6B">
        <w:t xml:space="preserve"> </w:t>
      </w:r>
      <w:r w:rsidRPr="00DC0C6B">
        <w:t xml:space="preserve">depths of the </w:t>
      </w:r>
      <w:r w:rsidR="00342C20" w:rsidRPr="00DC0C6B">
        <w:t>pits</w:t>
      </w:r>
      <w:r w:rsidR="00A82889" w:rsidRPr="00DC0C6B">
        <w:t xml:space="preserve"> </w:t>
      </w:r>
      <w:r w:rsidR="000A4CDF" w:rsidRPr="00DC0C6B">
        <w:t xml:space="preserve">varied between </w:t>
      </w:r>
      <w:r w:rsidR="00D42AB8" w:rsidRPr="00DC0C6B">
        <w:t>0.1</w:t>
      </w:r>
      <w:r w:rsidR="00AE29F8" w:rsidRPr="00DC0C6B">
        <w:t xml:space="preserve"> </w:t>
      </w:r>
      <w:r w:rsidR="00D42AB8" w:rsidRPr="00DC0C6B">
        <w:t xml:space="preserve">m </w:t>
      </w:r>
      <w:r w:rsidR="000A4CDF" w:rsidRPr="00DC0C6B">
        <w:t xml:space="preserve">and </w:t>
      </w:r>
      <w:r w:rsidR="00D42AB8" w:rsidRPr="00DC0C6B">
        <w:t>0.</w:t>
      </w:r>
      <w:r w:rsidR="0099635B" w:rsidRPr="00DC0C6B">
        <w:t>4</w:t>
      </w:r>
      <w:r w:rsidR="00AE29F8" w:rsidRPr="00DC0C6B">
        <w:t xml:space="preserve"> </w:t>
      </w:r>
      <w:r w:rsidR="00A82889" w:rsidRPr="00DC0C6B">
        <w:t>m</w:t>
      </w:r>
      <w:r w:rsidR="000A4CDF" w:rsidRPr="00DC0C6B">
        <w:t>.</w:t>
      </w:r>
      <w:r w:rsidR="00D527BA" w:rsidRPr="00DC0C6B">
        <w:t xml:space="preserve"> </w:t>
      </w:r>
      <w:r w:rsidR="00A82889" w:rsidRPr="00DC0C6B">
        <w:t xml:space="preserve">The </w:t>
      </w:r>
      <w:r w:rsidR="00D527BA" w:rsidRPr="00DC0C6B">
        <w:t xml:space="preserve">proximity </w:t>
      </w:r>
      <w:r w:rsidR="00AF7DC5" w:rsidRPr="00DC0C6B">
        <w:t xml:space="preserve">of the pits </w:t>
      </w:r>
      <w:r w:rsidR="00D527BA" w:rsidRPr="00DC0C6B">
        <w:t xml:space="preserve">to </w:t>
      </w:r>
      <w:r w:rsidR="00C56ADC" w:rsidRPr="00DC0C6B">
        <w:t>roundhouses A and B</w:t>
      </w:r>
      <w:r w:rsidR="00D527BA" w:rsidRPr="00DC0C6B">
        <w:t xml:space="preserve"> suggest</w:t>
      </w:r>
      <w:r w:rsidR="00AF7DC5" w:rsidRPr="00DC0C6B">
        <w:t>ed that they might have had a domestic function but only seven sherds (24</w:t>
      </w:r>
      <w:r w:rsidRPr="00DC0C6B">
        <w:t xml:space="preserve"> </w:t>
      </w:r>
      <w:r w:rsidR="00AF7DC5" w:rsidRPr="00DC0C6B">
        <w:t xml:space="preserve">g) of pottery </w:t>
      </w:r>
      <w:proofErr w:type="gramStart"/>
      <w:r w:rsidR="00AF7DC5" w:rsidRPr="00DC0C6B">
        <w:t>was recovered</w:t>
      </w:r>
      <w:proofErr w:type="gramEnd"/>
      <w:r w:rsidR="00AF7DC5" w:rsidRPr="00DC0C6B">
        <w:t xml:space="preserve"> from them.</w:t>
      </w:r>
      <w:r w:rsidR="00D527BA" w:rsidRPr="00DC0C6B">
        <w:t xml:space="preserve"> </w:t>
      </w:r>
      <w:r w:rsidR="00034EA8" w:rsidRPr="00DC0C6B">
        <w:t>An alternative suggestion is that they were related to small-scale gravel extraction.</w:t>
      </w:r>
      <w:r w:rsidRPr="00DC0C6B">
        <w:t xml:space="preserve"> </w:t>
      </w:r>
    </w:p>
    <w:p w14:paraId="004BF26F" w14:textId="77777777" w:rsidR="008F5FFA" w:rsidRPr="00DC0C6B" w:rsidRDefault="008F5FFA" w:rsidP="00AE29F8">
      <w:pPr>
        <w:pStyle w:val="05TextNumberedParagraph"/>
      </w:pPr>
    </w:p>
    <w:p w14:paraId="06C6F0B8" w14:textId="050C73AD" w:rsidR="00E253B3" w:rsidRPr="00DC0C6B" w:rsidRDefault="00695123" w:rsidP="00695123">
      <w:pPr>
        <w:pStyle w:val="05TextNumberedParagraph"/>
        <w:ind w:firstLine="0"/>
        <w:rPr>
          <w:i/>
          <w:iCs/>
        </w:rPr>
      </w:pPr>
      <w:r w:rsidRPr="00DC0C6B">
        <w:rPr>
          <w:i/>
          <w:iCs/>
        </w:rPr>
        <w:t>Isolated ditch</w:t>
      </w:r>
      <w:r w:rsidR="007D33B6" w:rsidRPr="00DC0C6B">
        <w:rPr>
          <w:i/>
          <w:iCs/>
        </w:rPr>
        <w:t xml:space="preserve">es </w:t>
      </w:r>
      <w:r w:rsidR="00D84AE4" w:rsidRPr="00DC0C6B">
        <w:rPr>
          <w:i/>
          <w:iCs/>
        </w:rPr>
        <w:t>(Fig. 2)</w:t>
      </w:r>
      <w:r w:rsidR="008F5FFA">
        <w:rPr>
          <w:i/>
          <w:iCs/>
        </w:rPr>
        <w:tab/>
      </w:r>
      <w:r w:rsidR="008F5FFA">
        <w:rPr>
          <w:i/>
          <w:iCs/>
        </w:rPr>
        <w:tab/>
      </w:r>
      <w:proofErr w:type="gramStart"/>
      <w:r w:rsidR="0077716E" w:rsidRPr="00DC0C6B">
        <w:t>A number of</w:t>
      </w:r>
      <w:proofErr w:type="gramEnd"/>
      <w:r w:rsidR="0077716E" w:rsidRPr="00DC0C6B">
        <w:t xml:space="preserve"> isolated ditch</w:t>
      </w:r>
      <w:r w:rsidR="007D33B6" w:rsidRPr="00DC0C6B">
        <w:t>es</w:t>
      </w:r>
      <w:r w:rsidR="0077716E" w:rsidRPr="00DC0C6B">
        <w:t xml:space="preserve"> were </w:t>
      </w:r>
      <w:r w:rsidR="004D0E5B" w:rsidRPr="00DC0C6B">
        <w:t>spread across the excavation area</w:t>
      </w:r>
      <w:r w:rsidR="009474D8" w:rsidRPr="00DC0C6B">
        <w:t>.</w:t>
      </w:r>
      <w:r w:rsidR="0077716E" w:rsidRPr="00DC0C6B">
        <w:t xml:space="preserve"> </w:t>
      </w:r>
      <w:r w:rsidR="00D6666F" w:rsidRPr="00DC0C6B">
        <w:t>The</w:t>
      </w:r>
      <w:r w:rsidR="004D0E5B" w:rsidRPr="00DC0C6B">
        <w:t>y</w:t>
      </w:r>
      <w:r w:rsidR="00D6666F" w:rsidRPr="00DC0C6B">
        <w:t xml:space="preserve"> varied in </w:t>
      </w:r>
      <w:r w:rsidR="004D0E5B" w:rsidRPr="00DC0C6B">
        <w:t>length (2.6–4.5</w:t>
      </w:r>
      <w:r w:rsidR="001B511F" w:rsidRPr="00DC0C6B">
        <w:t xml:space="preserve"> </w:t>
      </w:r>
      <w:r w:rsidR="004D0E5B" w:rsidRPr="00DC0C6B">
        <w:t xml:space="preserve">m) </w:t>
      </w:r>
      <w:r w:rsidR="00D6666F" w:rsidRPr="00DC0C6B">
        <w:t>and alignment</w:t>
      </w:r>
      <w:r w:rsidR="00E253B3" w:rsidRPr="00DC0C6B">
        <w:t xml:space="preserve"> and unlike the curved roundhouse ditches they tended to be straight. They could not be related to any other features but could represent the surviving remains of boundary ditches or demarcate the location of further enclosures. The layout of ditches 10058 and 10062 </w:t>
      </w:r>
      <w:proofErr w:type="gramStart"/>
      <w:r w:rsidR="00E253B3" w:rsidRPr="00DC0C6B">
        <w:t>in particular suggests</w:t>
      </w:r>
      <w:proofErr w:type="gramEnd"/>
      <w:r w:rsidR="00E253B3" w:rsidRPr="00DC0C6B">
        <w:t xml:space="preserve"> that they could represent part of an enclosure.</w:t>
      </w:r>
      <w:r w:rsidRPr="00DC0C6B">
        <w:rPr>
          <w:i/>
          <w:iCs/>
        </w:rPr>
        <w:t xml:space="preserve"> </w:t>
      </w:r>
    </w:p>
    <w:p w14:paraId="6BF0DC7E" w14:textId="37312648" w:rsidR="00CC6A0C" w:rsidRPr="00DC0C6B" w:rsidRDefault="00967902" w:rsidP="00F57D70">
      <w:pPr>
        <w:pStyle w:val="01Heading1"/>
      </w:pPr>
      <w:bookmarkStart w:id="69" w:name="_Toc130544709"/>
      <w:r w:rsidRPr="00DC0C6B">
        <w:t xml:space="preserve">Summary of Artefacts </w:t>
      </w:r>
      <w:bookmarkEnd w:id="59"/>
      <w:bookmarkEnd w:id="69"/>
    </w:p>
    <w:p w14:paraId="26A984C7" w14:textId="78C993D1" w:rsidR="005B5AB5" w:rsidRPr="00DC0C6B" w:rsidRDefault="00967902" w:rsidP="00695123">
      <w:pPr>
        <w:pStyle w:val="02heading2"/>
      </w:pPr>
      <w:r w:rsidRPr="00DC0C6B">
        <w:t>Late prehistoric and Roman pottery by Laura Pearson</w:t>
      </w:r>
    </w:p>
    <w:p w14:paraId="7AB03C7C" w14:textId="7FFCC72F" w:rsidR="00591415" w:rsidRPr="00DC0C6B" w:rsidRDefault="00591415" w:rsidP="00967902">
      <w:pPr>
        <w:pStyle w:val="05TextNumberedParagraph"/>
        <w:ind w:firstLine="0"/>
        <w:rPr>
          <w:b/>
          <w:i/>
        </w:rPr>
      </w:pPr>
      <w:r w:rsidRPr="00DC0C6B">
        <w:t>A total of 10</w:t>
      </w:r>
      <w:r w:rsidR="00C13F9F">
        <w:t>20</w:t>
      </w:r>
      <w:r w:rsidRPr="00DC0C6B">
        <w:t xml:space="preserve"> sherds (73</w:t>
      </w:r>
      <w:r w:rsidR="00C13F9F">
        <w:t>88</w:t>
      </w:r>
      <w:r w:rsidR="00745E97" w:rsidRPr="00DC0C6B">
        <w:t xml:space="preserve"> </w:t>
      </w:r>
      <w:r w:rsidRPr="00DC0C6B">
        <w:t xml:space="preserve">g) of pottery </w:t>
      </w:r>
      <w:proofErr w:type="gramStart"/>
      <w:r w:rsidRPr="00DC0C6B">
        <w:t>was recorded</w:t>
      </w:r>
      <w:proofErr w:type="gramEnd"/>
      <w:r w:rsidRPr="00DC0C6B">
        <w:t xml:space="preserve"> for the site. The majority comprises </w:t>
      </w:r>
      <w:r w:rsidR="00306BC9" w:rsidRPr="00DC0C6B">
        <w:t xml:space="preserve">handmade </w:t>
      </w:r>
      <w:r w:rsidRPr="00DC0C6B">
        <w:t>Iron Age pottery (1017 sherds, 7380</w:t>
      </w:r>
      <w:r w:rsidR="00745E97" w:rsidRPr="00DC0C6B">
        <w:t xml:space="preserve"> </w:t>
      </w:r>
      <w:r w:rsidRPr="00DC0C6B">
        <w:t>g) although a small Roman group (</w:t>
      </w:r>
      <w:r w:rsidR="00C13F9F">
        <w:t>3</w:t>
      </w:r>
      <w:r w:rsidR="00C13F9F" w:rsidRPr="00DC0C6B">
        <w:t xml:space="preserve"> </w:t>
      </w:r>
      <w:r w:rsidRPr="00DC0C6B">
        <w:t>sherds</w:t>
      </w:r>
      <w:r w:rsidR="00745E97" w:rsidRPr="00DC0C6B">
        <w:t>,</w:t>
      </w:r>
      <w:r w:rsidRPr="00DC0C6B">
        <w:t xml:space="preserve"> 8</w:t>
      </w:r>
      <w:r w:rsidR="00745E97" w:rsidRPr="00DC0C6B">
        <w:t xml:space="preserve"> </w:t>
      </w:r>
      <w:r w:rsidRPr="00DC0C6B">
        <w:t xml:space="preserve">g) </w:t>
      </w:r>
      <w:proofErr w:type="gramStart"/>
      <w:r w:rsidRPr="00DC0C6B">
        <w:t>was also recorded</w:t>
      </w:r>
      <w:proofErr w:type="gramEnd"/>
      <w:r w:rsidRPr="00DC0C6B">
        <w:t xml:space="preserve">. The Roman sherds all appeared to be re-deposited, occurring </w:t>
      </w:r>
      <w:r w:rsidR="00745E97" w:rsidRPr="00DC0C6B">
        <w:t>in</w:t>
      </w:r>
      <w:r w:rsidRPr="00DC0C6B">
        <w:t xml:space="preserve"> Period 2 pits and a</w:t>
      </w:r>
      <w:r w:rsidR="00306BC9" w:rsidRPr="00DC0C6B">
        <w:t>n undated</w:t>
      </w:r>
      <w:r w:rsidRPr="00DC0C6B">
        <w:t xml:space="preserve"> tree-throw hole.</w:t>
      </w:r>
    </w:p>
    <w:p w14:paraId="54420F8C" w14:textId="64897FB4" w:rsidR="00A74802" w:rsidRPr="00DC0C6B" w:rsidRDefault="00306BC9" w:rsidP="00A74802">
      <w:pPr>
        <w:pStyle w:val="05TextNumberedParagraph"/>
      </w:pPr>
      <w:r w:rsidRPr="00DC0C6B">
        <w:lastRenderedPageBreak/>
        <w:t>The largest group of late prehistoric fabrics</w:t>
      </w:r>
      <w:r w:rsidR="009233B5" w:rsidRPr="00DC0C6B">
        <w:t xml:space="preserve"> </w:t>
      </w:r>
      <w:r w:rsidRPr="00DC0C6B">
        <w:t xml:space="preserve">is those containing quartz </w:t>
      </w:r>
      <w:proofErr w:type="gramStart"/>
      <w:r w:rsidRPr="00DC0C6B">
        <w:t>sand</w:t>
      </w:r>
      <w:proofErr w:type="gramEnd"/>
      <w:r w:rsidR="009233B5" w:rsidRPr="00DC0C6B">
        <w:t xml:space="preserve"> but</w:t>
      </w:r>
      <w:r w:rsidRPr="00DC0C6B">
        <w:t xml:space="preserve"> </w:t>
      </w:r>
      <w:r w:rsidR="009233B5" w:rsidRPr="00DC0C6B">
        <w:t>a</w:t>
      </w:r>
      <w:r w:rsidRPr="00DC0C6B">
        <w:t xml:space="preserve"> significant proportion of the assemblage was</w:t>
      </w:r>
      <w:r w:rsidR="009233B5" w:rsidRPr="00DC0C6B">
        <w:t xml:space="preserve"> also</w:t>
      </w:r>
      <w:r w:rsidRPr="00DC0C6B">
        <w:t xml:space="preserve"> made in sand and shell-tempered fabrics</w:t>
      </w:r>
      <w:r w:rsidR="009233B5" w:rsidRPr="00DC0C6B">
        <w:t xml:space="preserve">. </w:t>
      </w:r>
      <w:r w:rsidRPr="00DC0C6B">
        <w:t>Sandy fabrics containing calcareous inclusions</w:t>
      </w:r>
      <w:r w:rsidR="00E319FD" w:rsidRPr="00DC0C6B">
        <w:t xml:space="preserve"> </w:t>
      </w:r>
      <w:proofErr w:type="gramStart"/>
      <w:r w:rsidR="00E319FD" w:rsidRPr="00DC0C6B">
        <w:t>were also represented</w:t>
      </w:r>
      <w:proofErr w:type="gramEnd"/>
      <w:r w:rsidR="00E319FD" w:rsidRPr="00DC0C6B">
        <w:t>, a</w:t>
      </w:r>
      <w:r w:rsidR="00A74802" w:rsidRPr="00DC0C6B">
        <w:t>long with</w:t>
      </w:r>
      <w:r w:rsidR="00E319FD" w:rsidRPr="00DC0C6B">
        <w:t xml:space="preserve"> </w:t>
      </w:r>
      <w:r w:rsidRPr="00DC0C6B">
        <w:t>sandy flint-tempered</w:t>
      </w:r>
      <w:r w:rsidR="00E319FD" w:rsidRPr="00DC0C6B">
        <w:t>,</w:t>
      </w:r>
      <w:r w:rsidRPr="00DC0C6B">
        <w:t xml:space="preserve"> shell-tempered, grog-tempered, flint and organic-tempered and shell/calcareous and organic-tempered fabric groups</w:t>
      </w:r>
      <w:r w:rsidR="00E319FD" w:rsidRPr="00DC0C6B">
        <w:t>.</w:t>
      </w:r>
      <w:r w:rsidR="00A74802" w:rsidRPr="00DC0C6B">
        <w:t xml:space="preserve"> </w:t>
      </w:r>
    </w:p>
    <w:p w14:paraId="055B3E6A" w14:textId="4406C6B1" w:rsidR="00A74802" w:rsidRPr="00DC0C6B" w:rsidRDefault="00A74802" w:rsidP="005A3066">
      <w:pPr>
        <w:pStyle w:val="05TextNumberedParagraph"/>
      </w:pPr>
      <w:r w:rsidRPr="00DC0C6B">
        <w:t xml:space="preserve">Jars are the most common forms within the assemblage and include tall-necked vessels </w:t>
      </w:r>
      <w:r w:rsidR="00C13F9F">
        <w:t xml:space="preserve">(Fig. 8, no. 1) </w:t>
      </w:r>
      <w:r w:rsidRPr="00DC0C6B">
        <w:t>commonly associated with Early Iron Age activity (</w:t>
      </w:r>
      <w:r w:rsidRPr="00DC0C6B">
        <w:rPr>
          <w:i/>
          <w:iCs/>
        </w:rPr>
        <w:t>c</w:t>
      </w:r>
      <w:r w:rsidRPr="00DC0C6B">
        <w:t xml:space="preserve">. 700–400 BC) in the Oxfordshire region and slack-shouldered forms </w:t>
      </w:r>
      <w:r w:rsidR="00C13F9F">
        <w:t xml:space="preserve">(Fig. 8, nos 3, 5 and 6) </w:t>
      </w:r>
      <w:r w:rsidRPr="00DC0C6B">
        <w:t xml:space="preserve">that occur among both Early and Middle Iron Age assemblages. Three </w:t>
      </w:r>
      <w:proofErr w:type="gramStart"/>
      <w:r w:rsidRPr="00DC0C6B">
        <w:t>round</w:t>
      </w:r>
      <w:proofErr w:type="gramEnd"/>
      <w:r w:rsidRPr="00DC0C6B">
        <w:t xml:space="preserve"> bodied or ovoid bowls </w:t>
      </w:r>
      <w:r w:rsidR="00C13F9F">
        <w:t xml:space="preserve">(Fig. 8, nos 2, 4 and 7) </w:t>
      </w:r>
      <w:r w:rsidRPr="00DC0C6B">
        <w:t xml:space="preserve">were also noted and are also likely to date to the Middle to Late Iron Age period. Flat-topped and simple upright rims are most common, although inverted, beaded and T-shaped rims </w:t>
      </w:r>
      <w:proofErr w:type="gramStart"/>
      <w:r w:rsidRPr="00DC0C6B">
        <w:t>were also recorded</w:t>
      </w:r>
      <w:proofErr w:type="gramEnd"/>
      <w:r w:rsidRPr="00DC0C6B">
        <w:t xml:space="preserve">. Vessels featuring T-shaped rims can </w:t>
      </w:r>
      <w:proofErr w:type="gramStart"/>
      <w:r w:rsidRPr="00DC0C6B">
        <w:t>be dated</w:t>
      </w:r>
      <w:proofErr w:type="gramEnd"/>
      <w:r w:rsidRPr="00DC0C6B">
        <w:t xml:space="preserve"> to the Early Iron Age.</w:t>
      </w:r>
    </w:p>
    <w:p w14:paraId="187616BE" w14:textId="6345C05A" w:rsidR="00A74802" w:rsidRPr="00DC0C6B" w:rsidRDefault="00A74802" w:rsidP="005A3066">
      <w:pPr>
        <w:pStyle w:val="05TextNumberedParagraph"/>
      </w:pPr>
      <w:r w:rsidRPr="00DC0C6B">
        <w:t>Evidence for decoration and surface treatment is rare and includes possible burnishing, decoration in the form of rim top fingernail impressions</w:t>
      </w:r>
      <w:r w:rsidR="001B511F" w:rsidRPr="00DC0C6B">
        <w:t>.</w:t>
      </w:r>
    </w:p>
    <w:p w14:paraId="4E54207D" w14:textId="009FEBC0" w:rsidR="00D50F0A" w:rsidRPr="00DC0C6B" w:rsidRDefault="00D50F0A" w:rsidP="00D50F0A">
      <w:pPr>
        <w:pStyle w:val="05TextNumberedParagraph"/>
      </w:pPr>
      <w:r w:rsidRPr="00DC0C6B">
        <w:t xml:space="preserve">The fabric profile of the late prehistoric group is comparable with Early and Middle Iron Age groups seen at </w:t>
      </w:r>
      <w:proofErr w:type="spellStart"/>
      <w:r w:rsidRPr="00DC0C6B">
        <w:t>Cresswell</w:t>
      </w:r>
      <w:proofErr w:type="spellEnd"/>
      <w:r w:rsidRPr="00DC0C6B">
        <w:t xml:space="preserve"> Field and Yarnton, Oxfordshire</w:t>
      </w:r>
      <w:r w:rsidRPr="00DC0C6B">
        <w:rPr>
          <w:rStyle w:val="FootnoteReference"/>
        </w:rPr>
        <w:footnoteReference w:id="12"/>
      </w:r>
      <w:r w:rsidRPr="00DC0C6B">
        <w:t xml:space="preserve"> and Gravelly Guy, Stanton Harcourt.</w:t>
      </w:r>
      <w:r w:rsidRPr="00DC0C6B">
        <w:rPr>
          <w:rStyle w:val="FootnoteReference"/>
        </w:rPr>
        <w:footnoteReference w:id="13"/>
      </w:r>
      <w:r w:rsidRPr="00DC0C6B">
        <w:t xml:space="preserve"> Larger groups such as these comprise a mix of handmade shell-tempered and sandy fabrics, the latter seemingly more prominent over time. The single identified Early Iron Age vessel (V1) was residual from a Period 4 plough furrow. </w:t>
      </w:r>
      <w:proofErr w:type="gramStart"/>
      <w:r w:rsidRPr="00DC0C6B">
        <w:t>The majority of</w:t>
      </w:r>
      <w:proofErr w:type="gramEnd"/>
      <w:r w:rsidRPr="00DC0C6B">
        <w:t xml:space="preserve"> pottery from Period 2 deposits is consistent with late Early to Middle Iron Age traditions (</w:t>
      </w:r>
      <w:r w:rsidRPr="00DC0C6B">
        <w:rPr>
          <w:i/>
          <w:iCs/>
        </w:rPr>
        <w:t>c</w:t>
      </w:r>
      <w:r w:rsidRPr="00DC0C6B">
        <w:t xml:space="preserve">. 6th to 2nd century BC), this suggested by the combinations of forms and fabrics. The scarcity of angular vessel forms can also </w:t>
      </w:r>
      <w:proofErr w:type="gramStart"/>
      <w:r w:rsidRPr="00DC0C6B">
        <w:t>been</w:t>
      </w:r>
      <w:proofErr w:type="gramEnd"/>
      <w:r w:rsidRPr="00DC0C6B">
        <w:t xml:space="preserve"> seen in contemporary Middle Iron Age assemblages at other Oxfordshire sites such as Gravelly Guy</w:t>
      </w:r>
      <w:r w:rsidR="00980AFB" w:rsidRPr="00DC0C6B">
        <w:t>.</w:t>
      </w:r>
      <w:r w:rsidR="00980AFB" w:rsidRPr="00DC0C6B">
        <w:rPr>
          <w:rStyle w:val="FootnoteReference"/>
        </w:rPr>
        <w:footnoteReference w:id="14"/>
      </w:r>
      <w:r w:rsidRPr="00DC0C6B">
        <w:t xml:space="preserve"> The dominance of utilitarian forms within the Iron Age assemblage, such as slack-shouldered and ovoid/round bodied jars and bowls, is typical for the majority of rural settlement sites from the region and beyond, reflecting the primary use of pottery for cooking/food preparation and storage.</w:t>
      </w:r>
    </w:p>
    <w:p w14:paraId="78FBB32E" w14:textId="0C6F3C5F" w:rsidR="00D50F0A" w:rsidRPr="00DC0C6B" w:rsidRDefault="00D50F0A" w:rsidP="005A3066">
      <w:pPr>
        <w:pStyle w:val="05TextNumberedParagraph"/>
      </w:pPr>
    </w:p>
    <w:p w14:paraId="649EC285" w14:textId="067DFFFA" w:rsidR="009029FE" w:rsidRPr="00DC0C6B" w:rsidRDefault="009029FE" w:rsidP="009029FE">
      <w:pPr>
        <w:pStyle w:val="05TextNumberedParagraph"/>
      </w:pPr>
      <w:r w:rsidRPr="00DC0C6B">
        <w:t xml:space="preserve">Illustration catalogue (Fig. </w:t>
      </w:r>
      <w:r w:rsidR="005445F0" w:rsidRPr="00DC0C6B">
        <w:t>8</w:t>
      </w:r>
      <w:r w:rsidRPr="00DC0C6B">
        <w:t>)</w:t>
      </w:r>
    </w:p>
    <w:p w14:paraId="3913342B" w14:textId="77777777" w:rsidR="00E4777E" w:rsidRPr="00DC0C6B" w:rsidRDefault="00E4777E" w:rsidP="00E4777E">
      <w:pPr>
        <w:pStyle w:val="05TextNumberedParagraph"/>
        <w:ind w:left="794" w:hanging="794"/>
      </w:pPr>
      <w:r w:rsidRPr="00DC0C6B">
        <w:lastRenderedPageBreak/>
        <w:t>1.</w:t>
      </w:r>
      <w:r w:rsidRPr="00DC0C6B">
        <w:tab/>
        <w:t>Tall-necked jar with flaring rim. Form V1R1. Fabric Q2. Period 3 furrow 4205 (fill 4206).</w:t>
      </w:r>
    </w:p>
    <w:p w14:paraId="30C519F5" w14:textId="2101B668" w:rsidR="00E4777E" w:rsidRPr="00DC0C6B" w:rsidRDefault="00E4777E" w:rsidP="00E4777E">
      <w:pPr>
        <w:pStyle w:val="05TextNumberedParagraph"/>
        <w:ind w:left="794" w:hanging="794"/>
      </w:pPr>
      <w:r w:rsidRPr="00DC0C6B">
        <w:t>2.</w:t>
      </w:r>
      <w:r w:rsidRPr="00DC0C6B">
        <w:tab/>
        <w:t xml:space="preserve">Round bodied jar with simple upright rim. Form V2R3. Fabric QVE3. Period 2 ditch </w:t>
      </w:r>
      <w:r w:rsidR="00DD75FB" w:rsidRPr="00DC0C6B">
        <w:t xml:space="preserve">enclosure 1 ditch </w:t>
      </w:r>
      <w:r w:rsidRPr="00DC0C6B">
        <w:t>10111 (fill 10117).</w:t>
      </w:r>
    </w:p>
    <w:p w14:paraId="148198A9" w14:textId="0E596F6E" w:rsidR="00E4777E" w:rsidRPr="00DC0C6B" w:rsidRDefault="00E4777E" w:rsidP="00E4777E">
      <w:pPr>
        <w:pStyle w:val="05TextNumberedParagraph"/>
        <w:ind w:left="794" w:hanging="794"/>
      </w:pPr>
      <w:r w:rsidRPr="00DC0C6B">
        <w:t>3.</w:t>
      </w:r>
      <w:r w:rsidRPr="00DC0C6B">
        <w:tab/>
        <w:t xml:space="preserve">Slack shouldered jar with flat-topped upright rim. Form V3R2. Fabric Q3. Period 2 </w:t>
      </w:r>
      <w:r w:rsidR="00DD75FB" w:rsidRPr="00DC0C6B">
        <w:t xml:space="preserve">enclosure 1 </w:t>
      </w:r>
      <w:r w:rsidRPr="00DC0C6B">
        <w:t>ditch 10111 (fill 10117).</w:t>
      </w:r>
    </w:p>
    <w:p w14:paraId="4ACA37E7" w14:textId="1F726377" w:rsidR="00E4777E" w:rsidRPr="00DC0C6B" w:rsidRDefault="00E4777E" w:rsidP="00E4777E">
      <w:pPr>
        <w:pStyle w:val="05TextNumberedParagraph"/>
        <w:ind w:left="794" w:hanging="794"/>
      </w:pPr>
      <w:r w:rsidRPr="00DC0C6B">
        <w:t>4.</w:t>
      </w:r>
      <w:r w:rsidRPr="00DC0C6B">
        <w:tab/>
        <w:t>Round bodied jar with flat-topped upright rim. Form V2R2. Fabric SH1. Period 2</w:t>
      </w:r>
      <w:r w:rsidR="00DD75FB" w:rsidRPr="00DC0C6B">
        <w:t xml:space="preserve"> enclosure 1</w:t>
      </w:r>
      <w:r w:rsidRPr="00DC0C6B">
        <w:t xml:space="preserve"> </w:t>
      </w:r>
      <w:r w:rsidR="00DD75FB" w:rsidRPr="00DC0C6B">
        <w:t xml:space="preserve">ditch 10320 (cut </w:t>
      </w:r>
      <w:r w:rsidRPr="00DC0C6B">
        <w:t>10229</w:t>
      </w:r>
      <w:r w:rsidR="00DD75FB" w:rsidRPr="00DC0C6B">
        <w:t xml:space="preserve">, </w:t>
      </w:r>
      <w:r w:rsidRPr="00DC0C6B">
        <w:t>fill 10231).</w:t>
      </w:r>
    </w:p>
    <w:p w14:paraId="4ACF6EB6" w14:textId="0E73D384" w:rsidR="00E4777E" w:rsidRPr="00DC0C6B" w:rsidRDefault="00E4777E" w:rsidP="00E4777E">
      <w:pPr>
        <w:pStyle w:val="05TextNumberedParagraph"/>
        <w:ind w:left="794" w:hanging="794"/>
      </w:pPr>
      <w:r w:rsidRPr="00DC0C6B">
        <w:t>5.</w:t>
      </w:r>
      <w:r w:rsidRPr="00DC0C6B">
        <w:tab/>
        <w:t xml:space="preserve">Slack shouldered jar with simple upright rim. Form V3R3. Fabric SH2. Period 2 </w:t>
      </w:r>
      <w:r w:rsidR="00DD75FB" w:rsidRPr="00DC0C6B">
        <w:t>enclosure 1 ditch</w:t>
      </w:r>
      <w:r w:rsidRPr="00DC0C6B">
        <w:t xml:space="preserve"> </w:t>
      </w:r>
      <w:r w:rsidR="00DD75FB" w:rsidRPr="00DC0C6B">
        <w:t xml:space="preserve">10320 (cut </w:t>
      </w:r>
      <w:r w:rsidRPr="00DC0C6B">
        <w:t>10229</w:t>
      </w:r>
      <w:r w:rsidR="00DD75FB" w:rsidRPr="00DC0C6B">
        <w:t xml:space="preserve">, </w:t>
      </w:r>
      <w:r w:rsidRPr="00DC0C6B">
        <w:t>fill 10232).</w:t>
      </w:r>
    </w:p>
    <w:p w14:paraId="60528B19" w14:textId="7CD02C0F" w:rsidR="00E4777E" w:rsidRPr="00DC0C6B" w:rsidRDefault="00C13F9F" w:rsidP="00E4777E">
      <w:pPr>
        <w:pStyle w:val="05TextNumberedParagraph"/>
        <w:ind w:left="794" w:hanging="794"/>
      </w:pPr>
      <w:r>
        <w:t>6</w:t>
      </w:r>
      <w:r w:rsidR="00E4777E" w:rsidRPr="00DC0C6B">
        <w:t>.</w:t>
      </w:r>
      <w:r w:rsidR="00E4777E" w:rsidRPr="00DC0C6B">
        <w:tab/>
        <w:t xml:space="preserve">Slack shouldered jar with simple upright rim. Form V3R3. Fabric Q3. Period 2 </w:t>
      </w:r>
      <w:r w:rsidR="00DD75FB" w:rsidRPr="00DC0C6B">
        <w:t xml:space="preserve">enclosure 1 </w:t>
      </w:r>
      <w:r w:rsidR="00E4777E" w:rsidRPr="00DC0C6B">
        <w:t xml:space="preserve">ditch </w:t>
      </w:r>
      <w:r w:rsidR="00DD75FB" w:rsidRPr="00DC0C6B">
        <w:t xml:space="preserve">10320 (cut </w:t>
      </w:r>
      <w:r w:rsidR="00E4777E" w:rsidRPr="00DC0C6B">
        <w:t>10220</w:t>
      </w:r>
      <w:r w:rsidR="00DD75FB" w:rsidRPr="00DC0C6B">
        <w:t xml:space="preserve">, </w:t>
      </w:r>
      <w:r w:rsidR="00E4777E" w:rsidRPr="00DC0C6B">
        <w:t>fill 10222).</w:t>
      </w:r>
    </w:p>
    <w:p w14:paraId="2E2F9F28" w14:textId="1D641D88" w:rsidR="00E4777E" w:rsidRDefault="00C13F9F" w:rsidP="00E4777E">
      <w:pPr>
        <w:pStyle w:val="05TextNumberedParagraph"/>
        <w:ind w:left="794" w:hanging="794"/>
      </w:pPr>
      <w:r>
        <w:t>7</w:t>
      </w:r>
      <w:r w:rsidR="00E4777E" w:rsidRPr="00DC0C6B">
        <w:t>.</w:t>
      </w:r>
      <w:r w:rsidR="00E4777E" w:rsidRPr="00DC0C6B">
        <w:tab/>
        <w:t xml:space="preserve">Round bodied bowl with simple upright rim. Form V5R3. Fabric QSH3. Period 2 </w:t>
      </w:r>
      <w:r w:rsidR="00DD75FB" w:rsidRPr="00DC0C6B">
        <w:t xml:space="preserve">enclosure 1 </w:t>
      </w:r>
      <w:r w:rsidR="00E4777E" w:rsidRPr="00DC0C6B">
        <w:t xml:space="preserve">ditch </w:t>
      </w:r>
      <w:r w:rsidR="00DD75FB" w:rsidRPr="00DC0C6B">
        <w:t xml:space="preserve">10270 (cut </w:t>
      </w:r>
      <w:r w:rsidR="00E4777E" w:rsidRPr="00DC0C6B">
        <w:t>10223</w:t>
      </w:r>
      <w:r w:rsidR="00DD75FB" w:rsidRPr="00DC0C6B">
        <w:t xml:space="preserve">, </w:t>
      </w:r>
      <w:r w:rsidR="00E4777E" w:rsidRPr="00DC0C6B">
        <w:t>fill 10225).</w:t>
      </w:r>
    </w:p>
    <w:p w14:paraId="24CDB4D0" w14:textId="77777777" w:rsidR="008F5FFA" w:rsidRPr="00DC0C6B" w:rsidRDefault="008F5FFA" w:rsidP="00E4777E">
      <w:pPr>
        <w:pStyle w:val="05TextNumberedParagraph"/>
        <w:ind w:left="794" w:hanging="794"/>
      </w:pPr>
    </w:p>
    <w:p w14:paraId="69E93904" w14:textId="2EBD140A" w:rsidR="00617847" w:rsidRPr="00CE4B3C" w:rsidRDefault="00617847" w:rsidP="00CE4B3C">
      <w:pPr>
        <w:pStyle w:val="02heading2"/>
      </w:pPr>
      <w:r w:rsidRPr="00CE4B3C">
        <w:t xml:space="preserve">Medieval pottery by Alejandra </w:t>
      </w:r>
      <w:r w:rsidR="00CE4B3C" w:rsidRPr="00CE4B3C">
        <w:t>Gutiérrez</w:t>
      </w:r>
    </w:p>
    <w:p w14:paraId="2F02B607" w14:textId="1314B67A" w:rsidR="00617847" w:rsidRDefault="00617847" w:rsidP="00947F1A">
      <w:pPr>
        <w:pStyle w:val="05TextNumberedParagraph"/>
        <w:ind w:firstLine="0"/>
      </w:pPr>
      <w:r>
        <w:t>A small assemblage of 26 sherds (weighing 222g) of medieval pottery was recovered</w:t>
      </w:r>
      <w:r w:rsidR="008F5FFA">
        <w:t xml:space="preserve"> from medieval plough furrows, </w:t>
      </w:r>
      <w:proofErr w:type="gramStart"/>
      <w:r w:rsidR="008F5FFA">
        <w:t>subsoil</w:t>
      </w:r>
      <w:proofErr w:type="gramEnd"/>
      <w:r w:rsidR="008F5FFA">
        <w:t xml:space="preserve"> and as intrusive finds from Middle Iron Age features</w:t>
      </w:r>
      <w:r>
        <w:t xml:space="preserve">. </w:t>
      </w:r>
      <w:proofErr w:type="gramStart"/>
      <w:r>
        <w:t>All of</w:t>
      </w:r>
      <w:proofErr w:type="gramEnd"/>
      <w:r>
        <w:t xml:space="preserve"> the medieval pottery recovered are domestic wares. The vast majority are handmade limestone-tempered, which date to between the 12th and </w:t>
      </w:r>
      <w:proofErr w:type="spellStart"/>
      <w:r>
        <w:t>mid 13th</w:t>
      </w:r>
      <w:proofErr w:type="spellEnd"/>
      <w:r>
        <w:t xml:space="preserve"> century, with </w:t>
      </w:r>
      <w:r w:rsidRPr="00947F1A">
        <w:rPr>
          <w:i/>
          <w:iCs/>
        </w:rPr>
        <w:t>c</w:t>
      </w:r>
      <w:r>
        <w:t xml:space="preserve">. 1250 being the moment when these wares start </w:t>
      </w:r>
      <w:proofErr w:type="gramStart"/>
      <w:r>
        <w:t>being made</w:t>
      </w:r>
      <w:proofErr w:type="gramEnd"/>
      <w:r>
        <w:t xml:space="preserve"> on the wheel. Two fragments of Kennet Valley ware </w:t>
      </w:r>
      <w:proofErr w:type="gramStart"/>
      <w:r>
        <w:t>were also recorded</w:t>
      </w:r>
      <w:proofErr w:type="gramEnd"/>
      <w:r>
        <w:t xml:space="preserve"> and date to between the late 12th and </w:t>
      </w:r>
      <w:proofErr w:type="spellStart"/>
      <w:r>
        <w:t>mid 14th</w:t>
      </w:r>
      <w:proofErr w:type="spellEnd"/>
      <w:r>
        <w:t xml:space="preserve"> century. Although the assemblage is very small, the lack of any medieval lead-glazed wares, traditionally dated to the 13th century, would help to date the group in around the 12th century or early 13th century. Both the date and quantities make this small assemblage of pottery from Eynsham interesting. Minety-type material was a minor regional import in the county, which makes this assemblage from Eynsham </w:t>
      </w:r>
      <w:proofErr w:type="gramStart"/>
      <w:r>
        <w:t>all the more</w:t>
      </w:r>
      <w:proofErr w:type="gramEnd"/>
      <w:r>
        <w:t xml:space="preserve"> striking, as this type of ware is almost the only medieval pottery recovered here. </w:t>
      </w:r>
    </w:p>
    <w:p w14:paraId="13F04DF3" w14:textId="77777777" w:rsidR="008F5FFA" w:rsidRDefault="008F5FFA" w:rsidP="00947F1A">
      <w:pPr>
        <w:pStyle w:val="05TextNumberedParagraph"/>
      </w:pPr>
    </w:p>
    <w:p w14:paraId="024065D4" w14:textId="7F4735D5" w:rsidR="00F4631B" w:rsidRPr="00DC0C6B" w:rsidRDefault="00270DA7" w:rsidP="000022A1">
      <w:pPr>
        <w:pStyle w:val="02heading2"/>
      </w:pPr>
      <w:r w:rsidRPr="00DC0C6B">
        <w:t>Fired clay</w:t>
      </w:r>
      <w:r w:rsidR="00967902" w:rsidRPr="00DC0C6B">
        <w:t xml:space="preserve"> by Pete Banks</w:t>
      </w:r>
    </w:p>
    <w:p w14:paraId="2C69690B" w14:textId="713DB8CF" w:rsidR="008D1001" w:rsidRDefault="00FF678F" w:rsidP="00967902">
      <w:pPr>
        <w:pStyle w:val="05TextNumberedParagraph"/>
        <w:ind w:firstLine="0"/>
      </w:pPr>
      <w:r w:rsidRPr="00DC0C6B">
        <w:t xml:space="preserve">The fired clay assemblage comprises 131 fragments </w:t>
      </w:r>
      <w:r w:rsidR="000022A1" w:rsidRPr="00DC0C6B">
        <w:t>(</w:t>
      </w:r>
      <w:r w:rsidRPr="00DC0C6B">
        <w:t>24</w:t>
      </w:r>
      <w:r w:rsidR="00F11CE1" w:rsidRPr="00DC0C6B">
        <w:t>40</w:t>
      </w:r>
      <w:r w:rsidR="000022A1" w:rsidRPr="00DC0C6B">
        <w:t xml:space="preserve"> </w:t>
      </w:r>
      <w:r w:rsidRPr="00DC0C6B">
        <w:t>g</w:t>
      </w:r>
      <w:r w:rsidR="000022A1" w:rsidRPr="00DC0C6B">
        <w:t>)</w:t>
      </w:r>
      <w:r w:rsidRPr="00DC0C6B">
        <w:t xml:space="preserve">. It included a near complete triangular object, perforated though its angles, which </w:t>
      </w:r>
      <w:proofErr w:type="gramStart"/>
      <w:r w:rsidRPr="00DC0C6B">
        <w:t>was recovered</w:t>
      </w:r>
      <w:proofErr w:type="gramEnd"/>
      <w:r w:rsidRPr="00DC0C6B">
        <w:t xml:space="preserve"> from Period 2 posthole </w:t>
      </w:r>
      <w:r w:rsidRPr="00DC0C6B">
        <w:lastRenderedPageBreak/>
        <w:t>10327</w:t>
      </w:r>
      <w:r w:rsidR="000022A1" w:rsidRPr="00DC0C6B">
        <w:t xml:space="preserve"> (roundhouse B)</w:t>
      </w:r>
      <w:r w:rsidRPr="00DC0C6B">
        <w:t xml:space="preserve">. These objects are usually interpreted as </w:t>
      </w:r>
      <w:proofErr w:type="spellStart"/>
      <w:r w:rsidRPr="00DC0C6B">
        <w:t>loomweights</w:t>
      </w:r>
      <w:proofErr w:type="spellEnd"/>
      <w:r w:rsidRPr="00DC0C6B">
        <w:t xml:space="preserve"> for use with vertical warp-weight looms and </w:t>
      </w:r>
      <w:proofErr w:type="gramStart"/>
      <w:r w:rsidRPr="00DC0C6B">
        <w:t>most commonly associated</w:t>
      </w:r>
      <w:proofErr w:type="gramEnd"/>
      <w:r w:rsidRPr="00DC0C6B">
        <w:t xml:space="preserve"> with Iron Age activity. Fragments of a probable second object of similar form </w:t>
      </w:r>
      <w:proofErr w:type="gramStart"/>
      <w:r w:rsidRPr="00DC0C6B">
        <w:t>were also recovered</w:t>
      </w:r>
      <w:proofErr w:type="gramEnd"/>
      <w:r w:rsidRPr="00DC0C6B">
        <w:t xml:space="preserve"> from posthole 10336</w:t>
      </w:r>
      <w:r w:rsidR="000022A1" w:rsidRPr="00DC0C6B">
        <w:t xml:space="preserve"> (roundhouse A)</w:t>
      </w:r>
      <w:r w:rsidRPr="00DC0C6B">
        <w:t xml:space="preserve">. Four fragments of fired clay exhibit round-sectioned, probable wattle, impressions and </w:t>
      </w:r>
      <w:r w:rsidR="009D77CD" w:rsidRPr="00DC0C6B">
        <w:t>may</w:t>
      </w:r>
      <w:r w:rsidRPr="00DC0C6B">
        <w:t xml:space="preserve"> represent fragments of daub. </w:t>
      </w:r>
    </w:p>
    <w:p w14:paraId="67E7D4DC" w14:textId="77777777" w:rsidR="008F5FFA" w:rsidRPr="00DC0C6B" w:rsidRDefault="008F5FFA" w:rsidP="00967902">
      <w:pPr>
        <w:pStyle w:val="05TextNumberedParagraph"/>
        <w:ind w:firstLine="0"/>
      </w:pPr>
    </w:p>
    <w:p w14:paraId="200755F9" w14:textId="2D3E44BF" w:rsidR="001D5F95" w:rsidRPr="00DC0C6B" w:rsidRDefault="001D5F95" w:rsidP="009D75E1">
      <w:pPr>
        <w:pStyle w:val="02heading2"/>
      </w:pPr>
      <w:r w:rsidRPr="00DC0C6B">
        <w:t>Worked bone</w:t>
      </w:r>
      <w:r w:rsidR="00967902" w:rsidRPr="00DC0C6B">
        <w:t xml:space="preserve"> by Claire Collier-Jones</w:t>
      </w:r>
    </w:p>
    <w:p w14:paraId="54F5330E" w14:textId="78612F87" w:rsidR="008D1001" w:rsidRDefault="001D5F95" w:rsidP="00967902">
      <w:pPr>
        <w:pStyle w:val="05TextNumberedParagraph"/>
        <w:ind w:firstLine="0"/>
      </w:pPr>
      <w:r w:rsidRPr="00DC0C6B">
        <w:t>One item of worked bone</w:t>
      </w:r>
      <w:r w:rsidR="009D75E1" w:rsidRPr="00DC0C6B">
        <w:t xml:space="preserve"> (</w:t>
      </w:r>
      <w:r w:rsidRPr="00DC0C6B">
        <w:t>1</w:t>
      </w:r>
      <w:r w:rsidR="00F11CE1" w:rsidRPr="00DC0C6B">
        <w:t xml:space="preserve"> </w:t>
      </w:r>
      <w:r w:rsidRPr="00DC0C6B">
        <w:t>g</w:t>
      </w:r>
      <w:r w:rsidR="009D75E1" w:rsidRPr="00DC0C6B">
        <w:t>)</w:t>
      </w:r>
      <w:r w:rsidRPr="00DC0C6B">
        <w:t xml:space="preserve"> </w:t>
      </w:r>
      <w:proofErr w:type="gramStart"/>
      <w:r w:rsidRPr="00DC0C6B">
        <w:t>was recovered</w:t>
      </w:r>
      <w:proofErr w:type="gramEnd"/>
      <w:r w:rsidRPr="00DC0C6B">
        <w:t xml:space="preserve"> from Period 1 cremation burial 10649. It is fragmentary and missing sections of the point but has </w:t>
      </w:r>
      <w:proofErr w:type="gramStart"/>
      <w:r w:rsidRPr="00DC0C6B">
        <w:t>been identified</w:t>
      </w:r>
      <w:proofErr w:type="gramEnd"/>
      <w:r w:rsidRPr="00DC0C6B">
        <w:t xml:space="preserve"> as a calcined first phalanx from a large bird, p</w:t>
      </w:r>
      <w:r w:rsidR="0058256C" w:rsidRPr="00DC0C6B">
        <w:t>robably</w:t>
      </w:r>
      <w:r w:rsidRPr="00DC0C6B">
        <w:t xml:space="preserve"> a </w:t>
      </w:r>
      <w:r w:rsidR="00475B76" w:rsidRPr="00DC0C6B">
        <w:t>g</w:t>
      </w:r>
      <w:r w:rsidR="0058256C" w:rsidRPr="00DC0C6B">
        <w:t>olden</w:t>
      </w:r>
      <w:r w:rsidRPr="00DC0C6B">
        <w:t xml:space="preserve"> </w:t>
      </w:r>
      <w:r w:rsidR="00475B76" w:rsidRPr="00DC0C6B">
        <w:t>e</w:t>
      </w:r>
      <w:r w:rsidRPr="00DC0C6B">
        <w:t>agle</w:t>
      </w:r>
      <w:r w:rsidR="009233B5" w:rsidRPr="00DC0C6B">
        <w:t xml:space="preserve"> (Fig. 3)</w:t>
      </w:r>
      <w:r w:rsidRPr="00DC0C6B">
        <w:t xml:space="preserve">. The object has a slightly expanded, rounded head which has </w:t>
      </w:r>
      <w:proofErr w:type="gramStart"/>
      <w:r w:rsidRPr="00DC0C6B">
        <w:t>been perforated</w:t>
      </w:r>
      <w:proofErr w:type="gramEnd"/>
      <w:r w:rsidRPr="00DC0C6B">
        <w:t xml:space="preserve"> and may have been utilised as a pin. Bone points and pins are common across Britain and are known from Bronze Age cremations.</w:t>
      </w:r>
      <w:r w:rsidR="009D75E1" w:rsidRPr="00DC0C6B">
        <w:rPr>
          <w:rStyle w:val="FootnoteReference"/>
        </w:rPr>
        <w:footnoteReference w:id="15"/>
      </w:r>
      <w:r w:rsidRPr="00DC0C6B">
        <w:t xml:space="preserve"> The incorporation of this pin as a pyre good suggests personal significance and possible use for fastening clothing or styling hair.</w:t>
      </w:r>
      <w:r w:rsidR="009D75E1" w:rsidRPr="00DC0C6B">
        <w:rPr>
          <w:rStyle w:val="FootnoteReference"/>
        </w:rPr>
        <w:footnoteReference w:id="16"/>
      </w:r>
      <w:r w:rsidR="009D75E1" w:rsidRPr="00DC0C6B">
        <w:t xml:space="preserve"> A similar burnt bone pin from a cremation burial at Raunds, Northamptonshire was interpreted as a hairpin due to its similarity with another recovered from beside the head in an inhumation burial at the same site.</w:t>
      </w:r>
      <w:r w:rsidR="009D75E1" w:rsidRPr="00DC0C6B">
        <w:rPr>
          <w:rStyle w:val="FootnoteReference"/>
        </w:rPr>
        <w:footnoteReference w:id="17"/>
      </w:r>
      <w:r w:rsidR="009D75E1" w:rsidRPr="00DC0C6B">
        <w:t xml:space="preserve"> Other possible functions for the object include being worn as an amulet or talisman. A set of over 60 perforated bone points, recovered from a Bronze Age ‘shaman’ grave at Upton Lovell, Wiltshire, </w:t>
      </w:r>
      <w:proofErr w:type="gramStart"/>
      <w:r w:rsidR="009D75E1" w:rsidRPr="00DC0C6B">
        <w:t>are thought</w:t>
      </w:r>
      <w:proofErr w:type="gramEnd"/>
      <w:r w:rsidR="009D75E1" w:rsidRPr="00DC0C6B">
        <w:t xml:space="preserve"> to have been secured to a special garment.</w:t>
      </w:r>
      <w:r w:rsidR="009D75E1" w:rsidRPr="00DC0C6B">
        <w:rPr>
          <w:rStyle w:val="FootnoteReference"/>
        </w:rPr>
        <w:footnoteReference w:id="18"/>
      </w:r>
      <w:r w:rsidR="009D75E1" w:rsidRPr="00DC0C6B">
        <w:t xml:space="preserve"> </w:t>
      </w:r>
    </w:p>
    <w:p w14:paraId="43693751" w14:textId="77777777" w:rsidR="008F5FFA" w:rsidRPr="00DC0C6B" w:rsidRDefault="008F5FFA" w:rsidP="00967902">
      <w:pPr>
        <w:pStyle w:val="05TextNumberedParagraph"/>
        <w:ind w:firstLine="0"/>
      </w:pPr>
    </w:p>
    <w:p w14:paraId="756BC0E5" w14:textId="340E6A9C" w:rsidR="009D77CD" w:rsidRPr="00DC0C6B" w:rsidRDefault="009D77CD" w:rsidP="009D75E1">
      <w:pPr>
        <w:pStyle w:val="02heading2"/>
      </w:pPr>
      <w:r w:rsidRPr="00DC0C6B">
        <w:t>Worked stone</w:t>
      </w:r>
      <w:r w:rsidR="00967902" w:rsidRPr="00DC0C6B">
        <w:t xml:space="preserve"> by Pete Banks</w:t>
      </w:r>
    </w:p>
    <w:p w14:paraId="7D2B1E33" w14:textId="3098BAD2" w:rsidR="009D77CD" w:rsidRPr="00DC0C6B" w:rsidRDefault="009D77CD" w:rsidP="00967902">
      <w:pPr>
        <w:pStyle w:val="05TextNumberedParagraph"/>
        <w:ind w:firstLine="0"/>
      </w:pPr>
      <w:r w:rsidRPr="00DC0C6B">
        <w:t>A sub-circular fragment (21</w:t>
      </w:r>
      <w:r w:rsidR="009D75E1" w:rsidRPr="00DC0C6B">
        <w:t xml:space="preserve"> </w:t>
      </w:r>
      <w:r w:rsidRPr="00DC0C6B">
        <w:t xml:space="preserve">g) of limestone </w:t>
      </w:r>
      <w:proofErr w:type="gramStart"/>
      <w:r w:rsidRPr="00DC0C6B">
        <w:t>was recovered</w:t>
      </w:r>
      <w:proofErr w:type="gramEnd"/>
      <w:r w:rsidRPr="00DC0C6B">
        <w:t xml:space="preserve"> from Period 2 enclosure 1 ditch</w:t>
      </w:r>
      <w:r w:rsidR="00CA0A28" w:rsidRPr="00DC0C6B">
        <w:t xml:space="preserve"> 10320</w:t>
      </w:r>
      <w:r w:rsidR="009D75E1" w:rsidRPr="00DC0C6B">
        <w:t xml:space="preserve">. </w:t>
      </w:r>
      <w:r w:rsidRPr="00DC0C6B">
        <w:t>It has two central perforations, each approximately 9</w:t>
      </w:r>
      <w:r w:rsidR="009D75E1" w:rsidRPr="00DC0C6B">
        <w:t xml:space="preserve"> </w:t>
      </w:r>
      <w:r w:rsidRPr="00DC0C6B">
        <w:t xml:space="preserve">mm </w:t>
      </w:r>
      <w:r w:rsidR="009D75E1" w:rsidRPr="00DC0C6B">
        <w:t xml:space="preserve">in </w:t>
      </w:r>
      <w:r w:rsidRPr="00DC0C6B">
        <w:t>diam</w:t>
      </w:r>
      <w:r w:rsidR="009D75E1" w:rsidRPr="00DC0C6B">
        <w:t>eter</w:t>
      </w:r>
      <w:r w:rsidRPr="00DC0C6B">
        <w:t xml:space="preserve">, which </w:t>
      </w:r>
      <w:proofErr w:type="gramStart"/>
      <w:r w:rsidRPr="00DC0C6B">
        <w:t>were presumably used</w:t>
      </w:r>
      <w:proofErr w:type="gramEnd"/>
      <w:r w:rsidRPr="00DC0C6B">
        <w:t xml:space="preserve"> for suspension. </w:t>
      </w:r>
      <w:proofErr w:type="spellStart"/>
      <w:r w:rsidRPr="00DC0C6B">
        <w:t>Comparanda</w:t>
      </w:r>
      <w:proofErr w:type="spellEnd"/>
      <w:r w:rsidRPr="00DC0C6B">
        <w:t xml:space="preserve"> for the object could not </w:t>
      </w:r>
      <w:proofErr w:type="gramStart"/>
      <w:r w:rsidRPr="00DC0C6B">
        <w:t>be found</w:t>
      </w:r>
      <w:proofErr w:type="gramEnd"/>
      <w:r w:rsidRPr="00DC0C6B">
        <w:t xml:space="preserve"> and the function of the object remains uncertain, however, it may have been used as a small weight, possibly related to the manufacture of textiles. </w:t>
      </w:r>
      <w:r w:rsidR="009D75E1" w:rsidRPr="00DC0C6B">
        <w:t xml:space="preserve">Bone artefacts with a similar double perforation </w:t>
      </w:r>
      <w:r w:rsidR="009D75E1" w:rsidRPr="00DC0C6B">
        <w:lastRenderedPageBreak/>
        <w:t xml:space="preserve">recovered from Colchester, Essex, </w:t>
      </w:r>
      <w:proofErr w:type="gramStart"/>
      <w:r w:rsidR="009D75E1" w:rsidRPr="00DC0C6B">
        <w:t>are interpreted</w:t>
      </w:r>
      <w:proofErr w:type="gramEnd"/>
      <w:r w:rsidR="009D75E1" w:rsidRPr="00DC0C6B">
        <w:t xml:space="preserve"> as weaving tablets used to guide the warp threads on a loom.</w:t>
      </w:r>
      <w:r w:rsidR="009D75E1" w:rsidRPr="00DC0C6B">
        <w:rPr>
          <w:rStyle w:val="FootnoteReference"/>
        </w:rPr>
        <w:footnoteReference w:id="19"/>
      </w:r>
      <w:r w:rsidR="009D75E1" w:rsidRPr="00DC0C6B">
        <w:t xml:space="preserve"> Given the presence of other ceramic objects associated with textile manufacturing recovered from the site a similar association is considered possible for this artefact.</w:t>
      </w:r>
    </w:p>
    <w:p w14:paraId="397569E2" w14:textId="0A9A606B" w:rsidR="00F4631B" w:rsidRPr="00DC0C6B" w:rsidRDefault="00967902" w:rsidP="00665CCE">
      <w:pPr>
        <w:pStyle w:val="01Heading1"/>
      </w:pPr>
      <w:bookmarkStart w:id="70" w:name="_Toc130544710"/>
      <w:r w:rsidRPr="00DC0C6B">
        <w:t xml:space="preserve">Summary of </w:t>
      </w:r>
      <w:r w:rsidR="005B5AB5" w:rsidRPr="00DC0C6B">
        <w:t>biological evidence</w:t>
      </w:r>
      <w:bookmarkEnd w:id="70"/>
    </w:p>
    <w:p w14:paraId="10C257FC" w14:textId="4F692149" w:rsidR="00C97018" w:rsidRPr="00DC0C6B" w:rsidRDefault="002250DB" w:rsidP="00665CCE">
      <w:pPr>
        <w:pStyle w:val="02heading2"/>
      </w:pPr>
      <w:r w:rsidRPr="00DC0C6B">
        <w:t>Human bone</w:t>
      </w:r>
      <w:r w:rsidR="00967902" w:rsidRPr="00DC0C6B">
        <w:t xml:space="preserve"> by Sharon Clough</w:t>
      </w:r>
    </w:p>
    <w:p w14:paraId="74AFA887" w14:textId="73A3C7CE" w:rsidR="002250DB" w:rsidRDefault="002250DB" w:rsidP="00967902">
      <w:pPr>
        <w:pStyle w:val="05TextNumberedParagraph"/>
        <w:ind w:firstLine="0"/>
      </w:pPr>
      <w:r w:rsidRPr="00DC0C6B">
        <w:t>A single cremation burial</w:t>
      </w:r>
      <w:r w:rsidR="00F71653">
        <w:t xml:space="preserve"> </w:t>
      </w:r>
      <w:proofErr w:type="gramStart"/>
      <w:r w:rsidRPr="00DC0C6B">
        <w:t>was recovered</w:t>
      </w:r>
      <w:proofErr w:type="gramEnd"/>
      <w:r w:rsidRPr="00DC0C6B">
        <w:t xml:space="preserve"> from the development site. </w:t>
      </w:r>
      <w:r w:rsidR="00940941">
        <w:t>B</w:t>
      </w:r>
      <w:r w:rsidR="00C13F9F" w:rsidRPr="00C13F9F">
        <w:t>ased on the dimensions of the long bone and thin nature of the cranium it is likely to be a child rather than infant or adolescent</w:t>
      </w:r>
      <w:r w:rsidR="00940941">
        <w:t xml:space="preserve">; </w:t>
      </w:r>
      <w:r w:rsidR="00940941" w:rsidRPr="00C13F9F">
        <w:t>key indicators of age in child burials (teeth) were</w:t>
      </w:r>
      <w:r w:rsidR="00940941">
        <w:t>, however,</w:t>
      </w:r>
      <w:r w:rsidR="00940941" w:rsidRPr="00C13F9F">
        <w:t xml:space="preserve"> absent</w:t>
      </w:r>
      <w:r w:rsidR="00C13F9F" w:rsidRPr="00C13F9F">
        <w:t xml:space="preserve">. </w:t>
      </w:r>
      <w:r w:rsidR="00940941" w:rsidRPr="00940941">
        <w:t xml:space="preserve">The total weight of the cremated bone from burial 10649 </w:t>
      </w:r>
      <w:r w:rsidR="00940941">
        <w:t>(</w:t>
      </w:r>
      <w:r w:rsidR="00940941" w:rsidRPr="00940941">
        <w:t>68.3g</w:t>
      </w:r>
      <w:r w:rsidR="00940941">
        <w:t>) was</w:t>
      </w:r>
      <w:r w:rsidR="00940941" w:rsidRPr="00940941">
        <w:t xml:space="preserve"> very short of the </w:t>
      </w:r>
      <w:r w:rsidR="00940941">
        <w:t>suggested average quantity of a child (</w:t>
      </w:r>
      <w:r w:rsidR="00940941" w:rsidRPr="00940941">
        <w:t>500g</w:t>
      </w:r>
      <w:r w:rsidR="00F71653">
        <w:t>)</w:t>
      </w:r>
      <w:r w:rsidR="00F71653">
        <w:rPr>
          <w:rStyle w:val="FootnoteReference"/>
        </w:rPr>
        <w:footnoteReference w:id="20"/>
      </w:r>
      <w:r w:rsidR="00940941" w:rsidRPr="00940941">
        <w:t xml:space="preserve">and indicates that it is very likely that the feature has been vertically truncated removing some of the originally deposited amount. However, the entire cremated individual </w:t>
      </w:r>
      <w:proofErr w:type="gramStart"/>
      <w:r w:rsidR="00940941" w:rsidRPr="00940941">
        <w:t>is rarely deposited</w:t>
      </w:r>
      <w:proofErr w:type="gramEnd"/>
      <w:r w:rsidR="00940941" w:rsidRPr="00940941">
        <w:t xml:space="preserve"> in the ground</w:t>
      </w:r>
      <w:r w:rsidR="00F71653">
        <w:t>,</w:t>
      </w:r>
      <w:r w:rsidR="00940941" w:rsidRPr="00940941">
        <w:t xml:space="preserve"> </w:t>
      </w:r>
      <w:r w:rsidR="00F71653">
        <w:rPr>
          <w:rStyle w:val="FootnoteReference"/>
        </w:rPr>
        <w:footnoteReference w:id="21"/>
      </w:r>
      <w:r w:rsidR="00940941" w:rsidRPr="00940941">
        <w:t xml:space="preserve"> in this instance though it is likely to have been more than the quantity recovered. </w:t>
      </w:r>
      <w:r w:rsidR="00665CCE" w:rsidRPr="00DC0C6B">
        <w:t>A total of 11.8</w:t>
      </w:r>
      <w:r w:rsidR="007525FB" w:rsidRPr="00DC0C6B">
        <w:t xml:space="preserve"> </w:t>
      </w:r>
      <w:r w:rsidR="00665CCE" w:rsidRPr="00DC0C6B">
        <w:t xml:space="preserve">g of the bone could </w:t>
      </w:r>
      <w:proofErr w:type="gramStart"/>
      <w:r w:rsidR="00665CCE" w:rsidRPr="00DC0C6B">
        <w:t>be confidently identified</w:t>
      </w:r>
      <w:proofErr w:type="gramEnd"/>
      <w:r w:rsidR="00665CCE" w:rsidRPr="00DC0C6B">
        <w:t xml:space="preserve"> to skeletal element and cranial fragments (5.7 g) were found in almost equal quantity to the lower limb (6.1 g). The axial skeleton and upper limb had no elements identified and small bones, for example, from the hands (distal phalanges), and tooth roots were also absent. There were no repeated elements or different age/size parts to suggest more than one individual.</w:t>
      </w:r>
    </w:p>
    <w:p w14:paraId="32B23BF1" w14:textId="77777777" w:rsidR="008F5FFA" w:rsidRPr="00DC0C6B" w:rsidRDefault="008F5FFA" w:rsidP="00967902">
      <w:pPr>
        <w:pStyle w:val="05TextNumberedParagraph"/>
        <w:ind w:firstLine="0"/>
      </w:pPr>
    </w:p>
    <w:p w14:paraId="0631A623" w14:textId="5F559141" w:rsidR="005B5AB5" w:rsidRPr="00DC0C6B" w:rsidRDefault="005B5AB5" w:rsidP="00665CCE">
      <w:pPr>
        <w:pStyle w:val="02heading2"/>
      </w:pPr>
      <w:r w:rsidRPr="00DC0C6B">
        <w:t>Animal bone</w:t>
      </w:r>
      <w:r w:rsidR="00967902" w:rsidRPr="00DC0C6B">
        <w:t xml:space="preserve"> by Matilda Holmes</w:t>
      </w:r>
    </w:p>
    <w:p w14:paraId="39BF4F07" w14:textId="4E581010" w:rsidR="005B5AB5" w:rsidRPr="00DC0C6B" w:rsidRDefault="00F71653" w:rsidP="00967902">
      <w:pPr>
        <w:pStyle w:val="05TextNumberedParagraph"/>
        <w:ind w:firstLine="0"/>
      </w:pPr>
      <w:r w:rsidRPr="00F71653">
        <w:t xml:space="preserve">The animal bone assemblage amounts to 471 hand-collected fragments (1744g). This comprises a total of 352 refitted fragments of animal bone and teeth, of which 77 could </w:t>
      </w:r>
      <w:proofErr w:type="gramStart"/>
      <w:r w:rsidRPr="00F71653">
        <w:t>be identified</w:t>
      </w:r>
      <w:proofErr w:type="gramEnd"/>
      <w:r w:rsidRPr="00F71653">
        <w:t xml:space="preserve"> to taxon. </w:t>
      </w:r>
      <w:r w:rsidR="00165EB3" w:rsidRPr="00DC0C6B">
        <w:t xml:space="preserve">The majority </w:t>
      </w:r>
      <w:r w:rsidR="00472541" w:rsidRPr="00DC0C6B">
        <w:t xml:space="preserve">was </w:t>
      </w:r>
      <w:r w:rsidR="00165EB3" w:rsidRPr="00DC0C6B">
        <w:t>from Middle Iron Age Period 2</w:t>
      </w:r>
      <w:r w:rsidR="00472541" w:rsidRPr="00DC0C6B">
        <w:t xml:space="preserve"> features</w:t>
      </w:r>
      <w:r w:rsidR="00165EB3" w:rsidRPr="00DC0C6B">
        <w:t xml:space="preserve">, </w:t>
      </w:r>
      <w:r w:rsidR="00472541" w:rsidRPr="00DC0C6B">
        <w:t>al</w:t>
      </w:r>
      <w:r w:rsidR="00165EB3" w:rsidRPr="00DC0C6B">
        <w:t xml:space="preserve">though the assemblage was too small to provide detailed or reliable analysis of the diet, </w:t>
      </w:r>
      <w:proofErr w:type="gramStart"/>
      <w:r w:rsidR="00165EB3" w:rsidRPr="00DC0C6B">
        <w:t>economy</w:t>
      </w:r>
      <w:proofErr w:type="gramEnd"/>
      <w:r w:rsidR="00165EB3" w:rsidRPr="00DC0C6B">
        <w:t xml:space="preserve"> or status of the inhabitants. However, all parts of the animal carcasses </w:t>
      </w:r>
      <w:proofErr w:type="gramStart"/>
      <w:r w:rsidR="00165EB3" w:rsidRPr="00DC0C6B">
        <w:t>were represented</w:t>
      </w:r>
      <w:proofErr w:type="gramEnd"/>
      <w:r w:rsidR="00165EB3" w:rsidRPr="00DC0C6B">
        <w:t>, indicat</w:t>
      </w:r>
      <w:r w:rsidR="007B7768" w:rsidRPr="00DC0C6B">
        <w:t>ing that</w:t>
      </w:r>
      <w:r w:rsidR="00165EB3" w:rsidRPr="00DC0C6B">
        <w:t xml:space="preserve"> the animals were processed nearby</w:t>
      </w:r>
      <w:r w:rsidR="00472541" w:rsidRPr="00DC0C6B">
        <w:t>, and butchery marks were observed on cattle and sheep/ goat bones reflecting carcass reduction in advance of consumption</w:t>
      </w:r>
      <w:r w:rsidR="00165EB3" w:rsidRPr="00DC0C6B">
        <w:t>.</w:t>
      </w:r>
      <w:r w:rsidR="00472541" w:rsidRPr="00DC0C6B">
        <w:t xml:space="preserve"> Sheep/ goat remains were </w:t>
      </w:r>
      <w:r w:rsidR="00472541" w:rsidRPr="00DC0C6B">
        <w:lastRenderedPageBreak/>
        <w:t>the most common species recovered from Iron Age features, followed by cattle, with occasional finds of pig and bird.</w:t>
      </w:r>
    </w:p>
    <w:p w14:paraId="0F7AD38C" w14:textId="6D3519ED" w:rsidR="00F71653" w:rsidRDefault="00F71653" w:rsidP="00F71653">
      <w:pPr>
        <w:pStyle w:val="05TextNumberedParagraph"/>
      </w:pPr>
      <w:r w:rsidRPr="00F71653">
        <w:t xml:space="preserve">The most significant finding is a calcined first phalanx from the leg of an eagle sized bird recovered from the Early Bronze Age cremation burial (10649). The bone </w:t>
      </w:r>
      <w:proofErr w:type="gramStart"/>
      <w:r w:rsidRPr="00F71653">
        <w:t>was identified</w:t>
      </w:r>
      <w:proofErr w:type="gramEnd"/>
      <w:r w:rsidRPr="00F71653">
        <w:t xml:space="preserve"> as possible golden eagle using the bird reference collection held at the Natural History Museum at Tring, Hertfordshire. The bone fragment had </w:t>
      </w:r>
      <w:proofErr w:type="gramStart"/>
      <w:r w:rsidRPr="00F71653">
        <w:t>been shaped</w:t>
      </w:r>
      <w:proofErr w:type="gramEnd"/>
      <w:r w:rsidRPr="00F71653">
        <w:t xml:space="preserve"> and pierced at one end and may have been utilised as a pin. </w:t>
      </w:r>
    </w:p>
    <w:p w14:paraId="2A7E7CCA" w14:textId="77777777" w:rsidR="008F5FFA" w:rsidRDefault="008F5FFA" w:rsidP="00947F1A">
      <w:pPr>
        <w:pStyle w:val="05TextNumberedParagraph"/>
        <w:rPr>
          <w:i/>
        </w:rPr>
      </w:pPr>
    </w:p>
    <w:p w14:paraId="7C371F87" w14:textId="040002DF" w:rsidR="00967902" w:rsidRPr="00DC0C6B" w:rsidRDefault="00967902" w:rsidP="00665CCE">
      <w:pPr>
        <w:pStyle w:val="02heading2"/>
      </w:pPr>
      <w:r w:rsidRPr="00DC0C6B">
        <w:t xml:space="preserve">Palaeoenvironmental </w:t>
      </w:r>
      <w:r w:rsidR="00907B3B" w:rsidRPr="00DC0C6B">
        <w:t>r</w:t>
      </w:r>
      <w:r w:rsidRPr="00DC0C6B">
        <w:t>emains by Sarah F. Wyles and Charlotte L. Molloy</w:t>
      </w:r>
    </w:p>
    <w:p w14:paraId="462DC7C7" w14:textId="29308F1D" w:rsidR="004561AE" w:rsidRDefault="00492172" w:rsidP="00665CCE">
      <w:pPr>
        <w:pStyle w:val="05TextNumberedParagraph"/>
        <w:ind w:firstLine="0"/>
      </w:pPr>
      <w:r w:rsidRPr="00DC0C6B">
        <w:t xml:space="preserve">Generally, the charred plant remains </w:t>
      </w:r>
      <w:proofErr w:type="gramStart"/>
      <w:r w:rsidRPr="00DC0C6B">
        <w:t>were limited</w:t>
      </w:r>
      <w:proofErr w:type="gramEnd"/>
      <w:r w:rsidRPr="00DC0C6B">
        <w:t xml:space="preserve"> within the sampled fills and are likely to reflect dumped or dispersed domestic hearth material. </w:t>
      </w:r>
      <w:r w:rsidR="004561AE" w:rsidRPr="00DC0C6B">
        <w:t>The range of weed seeds and molluscs indicate an open, grassland environment, with indications of field margins and arable environments in the vicinity. There is also a small indication of the possible exploitation of local hedgerows/scrub/woodland edge environments as a wild food resource during this period. There is no evidence for crop</w:t>
      </w:r>
      <w:r w:rsidR="00934942">
        <w:t>-</w:t>
      </w:r>
      <w:r w:rsidR="004561AE" w:rsidRPr="00DC0C6B">
        <w:t xml:space="preserve">processing activity, therefore it is likely that this was only </w:t>
      </w:r>
      <w:proofErr w:type="gramStart"/>
      <w:r w:rsidR="004561AE" w:rsidRPr="00DC0C6B">
        <w:t>being conducted</w:t>
      </w:r>
      <w:proofErr w:type="gramEnd"/>
      <w:r w:rsidR="004561AE" w:rsidRPr="00DC0C6B">
        <w:t xml:space="preserve"> on a small scale at the site during the </w:t>
      </w:r>
      <w:r w:rsidR="00472541" w:rsidRPr="00DC0C6B">
        <w:t xml:space="preserve">Early to </w:t>
      </w:r>
      <w:r w:rsidR="004561AE" w:rsidRPr="00DC0C6B">
        <w:t>Middle Iron Age.</w:t>
      </w:r>
    </w:p>
    <w:p w14:paraId="662C2D40" w14:textId="77777777" w:rsidR="008F5FFA" w:rsidRPr="00DC0C6B" w:rsidRDefault="008F5FFA" w:rsidP="00665CCE">
      <w:pPr>
        <w:pStyle w:val="05TextNumberedParagraph"/>
        <w:ind w:firstLine="0"/>
      </w:pPr>
    </w:p>
    <w:p w14:paraId="0E2F91BA" w14:textId="1B82AA63" w:rsidR="00967902" w:rsidRPr="00DC0C6B" w:rsidRDefault="00967902" w:rsidP="00665CCE">
      <w:pPr>
        <w:pStyle w:val="02heading2"/>
      </w:pPr>
      <w:r w:rsidRPr="00DC0C6B">
        <w:t>Charcoal by Shelia Boardman</w:t>
      </w:r>
    </w:p>
    <w:p w14:paraId="3A3947FE" w14:textId="4EFD9F11" w:rsidR="00665CCE" w:rsidRDefault="00665CCE" w:rsidP="007525FB">
      <w:pPr>
        <w:pStyle w:val="05TextNumberedParagraph"/>
        <w:ind w:firstLine="0"/>
      </w:pPr>
      <w:r w:rsidRPr="00DC0C6B">
        <w:t xml:space="preserve">The samples from the development site came from features associated with the Early Bronze Age and Middle Iron Age. </w:t>
      </w:r>
      <w:proofErr w:type="gramStart"/>
      <w:r w:rsidR="006922ED" w:rsidRPr="00DC0C6B">
        <w:t>The majority of</w:t>
      </w:r>
      <w:proofErr w:type="gramEnd"/>
      <w:r w:rsidR="006922ED" w:rsidRPr="00DC0C6B">
        <w:t xml:space="preserve"> the samples</w:t>
      </w:r>
      <w:r w:rsidRPr="00DC0C6B">
        <w:t xml:space="preserve"> were dominated by oak</w:t>
      </w:r>
      <w:r w:rsidR="006922ED" w:rsidRPr="00DC0C6B">
        <w:t xml:space="preserve"> (</w:t>
      </w:r>
      <w:r w:rsidR="006922ED" w:rsidRPr="00DC0C6B">
        <w:rPr>
          <w:i/>
          <w:iCs/>
        </w:rPr>
        <w:t>Quercus</w:t>
      </w:r>
      <w:r w:rsidR="006922ED" w:rsidRPr="00DC0C6B">
        <w:t xml:space="preserve"> spp.)</w:t>
      </w:r>
      <w:r w:rsidRPr="00DC0C6B">
        <w:t xml:space="preserve"> timber remains, largely from sapwood. Most of the other taxa, including hazel</w:t>
      </w:r>
      <w:r w:rsidR="006922ED" w:rsidRPr="00DC0C6B">
        <w:t xml:space="preserve"> (</w:t>
      </w:r>
      <w:r w:rsidR="006922ED" w:rsidRPr="00DC0C6B">
        <w:rPr>
          <w:i/>
          <w:iCs/>
        </w:rPr>
        <w:t>Corylus avellana</w:t>
      </w:r>
      <w:r w:rsidR="006922ED" w:rsidRPr="00DC0C6B">
        <w:t xml:space="preserve"> L.)</w:t>
      </w:r>
      <w:r w:rsidRPr="00DC0C6B">
        <w:t>, ash</w:t>
      </w:r>
      <w:r w:rsidR="006922ED" w:rsidRPr="00DC0C6B">
        <w:t xml:space="preserve"> (</w:t>
      </w:r>
      <w:r w:rsidR="006922ED" w:rsidRPr="00DC0C6B">
        <w:rPr>
          <w:i/>
          <w:iCs/>
        </w:rPr>
        <w:t>Fraxinus excelsior</w:t>
      </w:r>
      <w:r w:rsidR="006922ED" w:rsidRPr="00DC0C6B">
        <w:t xml:space="preserve"> L.)</w:t>
      </w:r>
      <w:r w:rsidRPr="00DC0C6B">
        <w:t xml:space="preserve">, field maple </w:t>
      </w:r>
      <w:r w:rsidR="006922ED" w:rsidRPr="00DC0C6B">
        <w:t>(</w:t>
      </w:r>
      <w:r w:rsidR="006922ED" w:rsidRPr="00DC0C6B">
        <w:rPr>
          <w:i/>
          <w:iCs/>
        </w:rPr>
        <w:t xml:space="preserve">Acer </w:t>
      </w:r>
      <w:proofErr w:type="spellStart"/>
      <w:r w:rsidR="006922ED" w:rsidRPr="00DC0C6B">
        <w:rPr>
          <w:i/>
          <w:iCs/>
        </w:rPr>
        <w:t>campestre</w:t>
      </w:r>
      <w:proofErr w:type="spellEnd"/>
      <w:r w:rsidR="006922ED" w:rsidRPr="00DC0C6B">
        <w:t xml:space="preserve"> L.) </w:t>
      </w:r>
      <w:r w:rsidRPr="00DC0C6B">
        <w:t>and beech</w:t>
      </w:r>
      <w:r w:rsidR="006922ED" w:rsidRPr="00DC0C6B">
        <w:t xml:space="preserve"> (</w:t>
      </w:r>
      <w:r w:rsidR="006922ED" w:rsidRPr="00DC0C6B">
        <w:rPr>
          <w:i/>
          <w:iCs/>
        </w:rPr>
        <w:t>Fagus sylvatica</w:t>
      </w:r>
      <w:r w:rsidR="006922ED" w:rsidRPr="00DC0C6B">
        <w:t xml:space="preserve"> L.)</w:t>
      </w:r>
      <w:r w:rsidRPr="00DC0C6B">
        <w:t>, also point to mixed deciduous woodland. Hawthorn group (</w:t>
      </w:r>
      <w:proofErr w:type="spellStart"/>
      <w:r w:rsidRPr="00DC0C6B">
        <w:t>Pomoideae</w:t>
      </w:r>
      <w:proofErr w:type="spellEnd"/>
      <w:r w:rsidRPr="00DC0C6B">
        <w:t>) wood includes medium to large woodland/woodland edge trees, including hawthorn (</w:t>
      </w:r>
      <w:proofErr w:type="spellStart"/>
      <w:r w:rsidRPr="00DC0C6B">
        <w:rPr>
          <w:i/>
          <w:iCs/>
        </w:rPr>
        <w:t>Cratagus</w:t>
      </w:r>
      <w:proofErr w:type="spellEnd"/>
      <w:r w:rsidRPr="00DC0C6B">
        <w:rPr>
          <w:i/>
          <w:iCs/>
        </w:rPr>
        <w:t xml:space="preserve"> </w:t>
      </w:r>
      <w:proofErr w:type="spellStart"/>
      <w:r w:rsidRPr="00DC0C6B">
        <w:rPr>
          <w:i/>
          <w:iCs/>
        </w:rPr>
        <w:t>monogyna</w:t>
      </w:r>
      <w:proofErr w:type="spellEnd"/>
      <w:r w:rsidRPr="00DC0C6B">
        <w:t>), crab apple (</w:t>
      </w:r>
      <w:r w:rsidRPr="00DC0C6B">
        <w:rPr>
          <w:i/>
          <w:iCs/>
        </w:rPr>
        <w:t>Malus sylvestris</w:t>
      </w:r>
      <w:r w:rsidRPr="00DC0C6B">
        <w:t>), wild service (</w:t>
      </w:r>
      <w:r w:rsidRPr="00DC0C6B">
        <w:rPr>
          <w:i/>
          <w:iCs/>
        </w:rPr>
        <w:t xml:space="preserve">Sorbus </w:t>
      </w:r>
      <w:proofErr w:type="spellStart"/>
      <w:r w:rsidRPr="00DC0C6B">
        <w:rPr>
          <w:i/>
          <w:iCs/>
        </w:rPr>
        <w:t>torminalis</w:t>
      </w:r>
      <w:proofErr w:type="spellEnd"/>
      <w:r w:rsidRPr="00DC0C6B">
        <w:t>) and whitebeam (</w:t>
      </w:r>
      <w:r w:rsidRPr="00DC0C6B">
        <w:rPr>
          <w:i/>
          <w:iCs/>
        </w:rPr>
        <w:t>Sorbus aria</w:t>
      </w:r>
      <w:r w:rsidRPr="00DC0C6B">
        <w:t xml:space="preserve">), and smaller, spiny forms of hawthorn. Overall, the hedgerow/scrub component of the charcoal assemblage </w:t>
      </w:r>
      <w:r w:rsidR="006922ED" w:rsidRPr="00DC0C6B">
        <w:t>from the excavation area</w:t>
      </w:r>
      <w:r w:rsidRPr="00DC0C6B">
        <w:t xml:space="preserve"> was small in comparison to timber remains from woodland trees.</w:t>
      </w:r>
      <w:r w:rsidR="00726222" w:rsidRPr="00DC0C6B">
        <w:t xml:space="preserve"> Willow and alder grow on damp, low lying and wet ground and poplar primarily on alluvial soils were absent from the assemblage.</w:t>
      </w:r>
    </w:p>
    <w:p w14:paraId="72CC28B6" w14:textId="77777777" w:rsidR="008F5FFA" w:rsidRPr="00DC0C6B" w:rsidRDefault="008F5FFA" w:rsidP="007525FB">
      <w:pPr>
        <w:pStyle w:val="05TextNumberedParagraph"/>
        <w:ind w:firstLine="0"/>
      </w:pPr>
    </w:p>
    <w:p w14:paraId="3FD5A81F" w14:textId="255B24E5" w:rsidR="005E0A19" w:rsidRPr="00DC0C6B" w:rsidRDefault="005E0A19" w:rsidP="00A43BC6">
      <w:pPr>
        <w:pStyle w:val="02heading2"/>
      </w:pPr>
      <w:r w:rsidRPr="00DC0C6B">
        <w:t xml:space="preserve">Radiocarbon dating by </w:t>
      </w:r>
      <w:r w:rsidR="004A19CF" w:rsidRPr="00DC0C6B">
        <w:t>the Scottish Universities Environmental Research Centre (</w:t>
      </w:r>
      <w:r w:rsidRPr="00DC0C6B">
        <w:t>SUERC</w:t>
      </w:r>
      <w:r w:rsidR="004A19CF" w:rsidRPr="00DC0C6B">
        <w:t>)</w:t>
      </w:r>
      <w:r w:rsidRPr="00DC0C6B">
        <w:t>, summarised by Emma Aitken</w:t>
      </w:r>
    </w:p>
    <w:p w14:paraId="3B95644A" w14:textId="283B8167" w:rsidR="00A43BC6" w:rsidRPr="00DC0C6B" w:rsidRDefault="00A43BC6" w:rsidP="00A43BC6">
      <w:pPr>
        <w:pStyle w:val="05TextNumberedParagraph"/>
        <w:ind w:firstLine="0"/>
      </w:pPr>
      <w:r w:rsidRPr="00DC0C6B">
        <w:lastRenderedPageBreak/>
        <w:t xml:space="preserve">Radiocarbon dating was undertaken </w:t>
      </w:r>
      <w:proofErr w:type="gramStart"/>
      <w:r w:rsidRPr="00DC0C6B">
        <w:t>in order to</w:t>
      </w:r>
      <w:proofErr w:type="gramEnd"/>
      <w:r w:rsidRPr="00DC0C6B">
        <w:t xml:space="preserve"> confirm the date of cremation burial 10649, enclosure 1, enclosure 4 and pit 1039</w:t>
      </w:r>
      <w:r w:rsidR="00CA0A28" w:rsidRPr="00DC0C6B">
        <w:t>1</w:t>
      </w:r>
      <w:r w:rsidRPr="00DC0C6B">
        <w:t xml:space="preserve">. The four samples </w:t>
      </w:r>
      <w:proofErr w:type="gramStart"/>
      <w:r w:rsidRPr="00DC0C6B">
        <w:t>were analysed</w:t>
      </w:r>
      <w:proofErr w:type="gramEnd"/>
      <w:r w:rsidRPr="00DC0C6B">
        <w:t xml:space="preserve"> during January and February 2023 </w:t>
      </w:r>
      <w:r w:rsidR="004A19CF" w:rsidRPr="00DC0C6B">
        <w:t xml:space="preserve">at the </w:t>
      </w:r>
      <w:r w:rsidRPr="00DC0C6B">
        <w:t>SUERC</w:t>
      </w:r>
      <w:r w:rsidR="004A19CF" w:rsidRPr="00DC0C6B">
        <w:t xml:space="preserve"> Radiocarbon Laboratory</w:t>
      </w:r>
      <w:r w:rsidRPr="00DC0C6B">
        <w:t>.</w:t>
      </w:r>
      <w:r w:rsidRPr="00DC0C6B">
        <w:rPr>
          <w:rStyle w:val="FootnoteReference"/>
        </w:rPr>
        <w:footnoteReference w:id="22"/>
      </w:r>
      <w:r w:rsidRPr="00DC0C6B">
        <w:t xml:space="preserve"> The methodology employed is outlined in Dunbar </w:t>
      </w:r>
      <w:r w:rsidRPr="00DC0C6B">
        <w:rPr>
          <w:i/>
          <w:iCs/>
        </w:rPr>
        <w:t>et al.</w:t>
      </w:r>
      <w:r w:rsidRPr="00DC0C6B">
        <w:t xml:space="preserve"> </w:t>
      </w:r>
      <w:r w:rsidRPr="00DC0C6B">
        <w:rPr>
          <w:rStyle w:val="FootnoteReference"/>
        </w:rPr>
        <w:footnoteReference w:id="23"/>
      </w:r>
    </w:p>
    <w:p w14:paraId="749E2A71" w14:textId="77777777" w:rsidR="007525FB" w:rsidRPr="00DC0C6B" w:rsidRDefault="00A43BC6" w:rsidP="00A43BC6">
      <w:pPr>
        <w:pStyle w:val="05TextNumberedParagraph"/>
      </w:pPr>
      <w:r w:rsidRPr="00DC0C6B">
        <w:t xml:space="preserve">The uncalibrated dates are conventional radiocarbon ages. The radiocarbon ages </w:t>
      </w:r>
      <w:proofErr w:type="gramStart"/>
      <w:r w:rsidRPr="00DC0C6B">
        <w:t>were calibrated</w:t>
      </w:r>
      <w:proofErr w:type="gramEnd"/>
      <w:r w:rsidRPr="00DC0C6B">
        <w:t xml:space="preserve"> using the University of Oxford Radiocarbon Accelerator Unit calibration programme OxCal v4.4.2</w:t>
      </w:r>
      <w:r w:rsidRPr="00DC0C6B">
        <w:rPr>
          <w:rStyle w:val="FootnoteReference"/>
        </w:rPr>
        <w:footnoteReference w:id="24"/>
      </w:r>
      <w:r w:rsidRPr="00DC0C6B">
        <w:t xml:space="preserve"> using the IntCal20 curve.</w:t>
      </w:r>
      <w:r w:rsidRPr="00DC0C6B">
        <w:rPr>
          <w:rStyle w:val="FootnoteReference"/>
        </w:rPr>
        <w:footnoteReference w:id="25"/>
      </w:r>
      <w:r w:rsidRPr="00DC0C6B">
        <w:t xml:space="preserve"> </w:t>
      </w:r>
    </w:p>
    <w:p w14:paraId="0FD850DA" w14:textId="77777777" w:rsidR="007525FB" w:rsidRPr="00DC0C6B" w:rsidRDefault="007525FB" w:rsidP="007525FB">
      <w:pPr>
        <w:pStyle w:val="05TextNumberedParagraph"/>
        <w:ind w:firstLine="0"/>
      </w:pPr>
    </w:p>
    <w:p w14:paraId="0AE40981" w14:textId="307AF05F" w:rsidR="007525FB" w:rsidRDefault="007525FB" w:rsidP="007525FB">
      <w:pPr>
        <w:pStyle w:val="05TextNumberedParagraph"/>
        <w:ind w:firstLine="0"/>
      </w:pPr>
      <w:r w:rsidRPr="00DC0C6B">
        <w:t xml:space="preserve">Insert Table 1 </w:t>
      </w:r>
      <w:commentRangeStart w:id="71"/>
      <w:r w:rsidRPr="00DC0C6B">
        <w:t>here</w:t>
      </w:r>
      <w:commentRangeEnd w:id="71"/>
      <w:r w:rsidRPr="00DC0C6B">
        <w:rPr>
          <w:rStyle w:val="CommentReference"/>
          <w:rFonts w:ascii="Arial" w:eastAsia="Times New Roman" w:hAnsi="Arial" w:cs="Times New Roman"/>
        </w:rPr>
        <w:commentReference w:id="71"/>
      </w:r>
    </w:p>
    <w:p w14:paraId="041EBBCB" w14:textId="77777777" w:rsidR="00D26155" w:rsidRDefault="00D26155" w:rsidP="007525FB">
      <w:pPr>
        <w:pStyle w:val="05TextNumberedParagraph"/>
        <w:ind w:firstLine="0"/>
      </w:pPr>
    </w:p>
    <w:p w14:paraId="2278CCC8" w14:textId="1B51E0B7" w:rsidR="00F3410C" w:rsidRPr="00DC0C6B" w:rsidRDefault="00536192" w:rsidP="009233B5">
      <w:pPr>
        <w:pStyle w:val="01Heading1"/>
      </w:pPr>
      <w:bookmarkStart w:id="72" w:name="_Toc130544711"/>
      <w:r w:rsidRPr="00DC0C6B">
        <w:t>Discussion</w:t>
      </w:r>
      <w:bookmarkEnd w:id="72"/>
    </w:p>
    <w:p w14:paraId="275B26BE" w14:textId="77777777" w:rsidR="00EE5939" w:rsidRPr="00DC0C6B" w:rsidRDefault="00EE5939" w:rsidP="00EE5939">
      <w:pPr>
        <w:pStyle w:val="02heading2"/>
      </w:pPr>
      <w:r w:rsidRPr="00DC0C6B">
        <w:t xml:space="preserve">Early Bronze Age </w:t>
      </w:r>
    </w:p>
    <w:p w14:paraId="677887C3" w14:textId="210CD5BF" w:rsidR="00260120" w:rsidRPr="00DC0C6B" w:rsidRDefault="00795602" w:rsidP="00EE5939">
      <w:pPr>
        <w:pStyle w:val="05TextNumberedParagraph"/>
        <w:ind w:firstLine="0"/>
      </w:pPr>
      <w:r w:rsidRPr="00DC0C6B">
        <w:t>The earliest firm evidence for human activity comprised the cremation burial of a child</w:t>
      </w:r>
      <w:r w:rsidR="000A1A2F" w:rsidRPr="00DC0C6B">
        <w:t xml:space="preserve"> (10649)</w:t>
      </w:r>
      <w:r w:rsidRPr="00DC0C6B">
        <w:t xml:space="preserve"> </w:t>
      </w:r>
      <w:r w:rsidR="00907B3B" w:rsidRPr="00DC0C6B">
        <w:t xml:space="preserve">situated </w:t>
      </w:r>
      <w:r w:rsidRPr="00DC0C6B">
        <w:t xml:space="preserve">towards the base of a </w:t>
      </w:r>
      <w:r w:rsidR="000A1A2F" w:rsidRPr="00DC0C6B">
        <w:t xml:space="preserve">gentle, </w:t>
      </w:r>
      <w:r w:rsidRPr="00DC0C6B">
        <w:t>south-east facing slope</w:t>
      </w:r>
      <w:r w:rsidR="00907B3B" w:rsidRPr="00DC0C6B">
        <w:t xml:space="preserve"> in the southern half of the excavation area</w:t>
      </w:r>
      <w:r w:rsidR="00DA66CD" w:rsidRPr="00DC0C6B">
        <w:t>.</w:t>
      </w:r>
      <w:r w:rsidRPr="00DC0C6B">
        <w:t xml:space="preserve"> </w:t>
      </w:r>
      <w:r w:rsidR="00B428A5" w:rsidRPr="00DC0C6B">
        <w:t xml:space="preserve">No evidence for a mound or enclosing ditch </w:t>
      </w:r>
      <w:proofErr w:type="gramStart"/>
      <w:r w:rsidR="00B428A5" w:rsidRPr="00DC0C6B">
        <w:t>were identified</w:t>
      </w:r>
      <w:proofErr w:type="gramEnd"/>
      <w:r w:rsidR="007A2120" w:rsidRPr="00DC0C6B">
        <w:t xml:space="preserve"> and it appeared to be an isolated burial.</w:t>
      </w:r>
      <w:r w:rsidR="00B428A5" w:rsidRPr="00DC0C6B">
        <w:t xml:space="preserve"> </w:t>
      </w:r>
      <w:r w:rsidR="00260120" w:rsidRPr="00DC0C6B">
        <w:t>In the Thames Valley</w:t>
      </w:r>
      <w:r w:rsidR="003520DE" w:rsidRPr="00DC0C6B">
        <w:t xml:space="preserve"> human</w:t>
      </w:r>
      <w:r w:rsidR="00260120" w:rsidRPr="00DC0C6B">
        <w:t xml:space="preserve"> burials of this period </w:t>
      </w:r>
      <w:r w:rsidR="003520DE" w:rsidRPr="00DC0C6B">
        <w:t xml:space="preserve">have often </w:t>
      </w:r>
      <w:proofErr w:type="gramStart"/>
      <w:r w:rsidR="003520DE" w:rsidRPr="00DC0C6B">
        <w:t>been found</w:t>
      </w:r>
      <w:proofErr w:type="gramEnd"/>
      <w:r w:rsidR="00260120" w:rsidRPr="00DC0C6B">
        <w:t xml:space="preserve"> in open settings, close to earlier monuments and round barrows</w:t>
      </w:r>
      <w:r w:rsidR="00474146" w:rsidRPr="00DC0C6B">
        <w:t>,</w:t>
      </w:r>
      <w:r w:rsidR="00A81B98" w:rsidRPr="00DC0C6B">
        <w:rPr>
          <w:rStyle w:val="FootnoteReference"/>
        </w:rPr>
        <w:footnoteReference w:id="26"/>
      </w:r>
      <w:r w:rsidR="00260120" w:rsidRPr="00DC0C6B">
        <w:t xml:space="preserve"> </w:t>
      </w:r>
      <w:r w:rsidR="00474146" w:rsidRPr="00DC0C6B">
        <w:t xml:space="preserve">such as </w:t>
      </w:r>
      <w:r w:rsidR="00950856" w:rsidRPr="00DC0C6B">
        <w:t xml:space="preserve">cremated human bone found in </w:t>
      </w:r>
      <w:r w:rsidR="00474146" w:rsidRPr="00DC0C6B">
        <w:t>an Early Bronze Age pit a</w:t>
      </w:r>
      <w:r w:rsidR="003520DE" w:rsidRPr="00DC0C6B">
        <w:t>t Yarnton site 4b</w:t>
      </w:r>
      <w:r w:rsidR="00474146" w:rsidRPr="00DC0C6B">
        <w:t>, which</w:t>
      </w:r>
      <w:r w:rsidR="003520DE" w:rsidRPr="00DC0C6B">
        <w:t xml:space="preserve"> had been p</w:t>
      </w:r>
      <w:r w:rsidR="00E014A8" w:rsidRPr="00DC0C6B">
        <w:t>l</w:t>
      </w:r>
      <w:r w:rsidR="003520DE" w:rsidRPr="00DC0C6B">
        <w:t>aced close to a Neolithic enclosure</w:t>
      </w:r>
      <w:r w:rsidR="00474146" w:rsidRPr="00DC0C6B">
        <w:rPr>
          <w:rStyle w:val="FootnoteReference"/>
        </w:rPr>
        <w:footnoteReference w:id="27"/>
      </w:r>
      <w:r w:rsidR="003520DE" w:rsidRPr="00DC0C6B">
        <w:t xml:space="preserve">. No monuments are known to lie in the immediate vicinity of the development </w:t>
      </w:r>
      <w:proofErr w:type="gramStart"/>
      <w:r w:rsidR="003520DE" w:rsidRPr="00DC0C6B">
        <w:t>area</w:t>
      </w:r>
      <w:proofErr w:type="gramEnd"/>
      <w:r w:rsidR="003520DE" w:rsidRPr="00DC0C6B">
        <w:t xml:space="preserve"> but it is possible that cremation burial 10649 was associated with the wider </w:t>
      </w:r>
      <w:r w:rsidR="00FF5C82" w:rsidRPr="00DC0C6B">
        <w:lastRenderedPageBreak/>
        <w:t xml:space="preserve">Neolithic and Bronze Age </w:t>
      </w:r>
      <w:r w:rsidR="003520DE" w:rsidRPr="00DC0C6B">
        <w:t xml:space="preserve">monumental landscape identified at New </w:t>
      </w:r>
      <w:proofErr w:type="spellStart"/>
      <w:r w:rsidR="003520DE" w:rsidRPr="00DC0C6B">
        <w:t>Wintles</w:t>
      </w:r>
      <w:proofErr w:type="spellEnd"/>
      <w:r w:rsidR="003520DE" w:rsidRPr="00DC0C6B">
        <w:t xml:space="preserve"> Farm</w:t>
      </w:r>
      <w:r w:rsidR="00A81B98" w:rsidRPr="00DC0C6B">
        <w:t xml:space="preserve"> </w:t>
      </w:r>
      <w:r w:rsidR="003520DE" w:rsidRPr="00DC0C6B">
        <w:t>to the north-east</w:t>
      </w:r>
      <w:r w:rsidR="00A81B98" w:rsidRPr="00DC0C6B">
        <w:rPr>
          <w:rStyle w:val="FootnoteReference"/>
        </w:rPr>
        <w:footnoteReference w:id="28"/>
      </w:r>
      <w:r w:rsidR="003520DE" w:rsidRPr="00DC0C6B">
        <w:t xml:space="preserve"> and </w:t>
      </w:r>
      <w:proofErr w:type="spellStart"/>
      <w:r w:rsidR="003520DE" w:rsidRPr="00DC0C6B">
        <w:t>Foxley</w:t>
      </w:r>
      <w:proofErr w:type="spellEnd"/>
      <w:r w:rsidR="003520DE" w:rsidRPr="00DC0C6B">
        <w:t xml:space="preserve"> Farm</w:t>
      </w:r>
      <w:r w:rsidR="008543FB" w:rsidRPr="00DC0C6B">
        <w:t xml:space="preserve"> and Southfield Barn</w:t>
      </w:r>
      <w:r w:rsidR="00A81B98" w:rsidRPr="00DC0C6B">
        <w:t xml:space="preserve"> </w:t>
      </w:r>
      <w:r w:rsidR="003520DE" w:rsidRPr="00DC0C6B">
        <w:t>to the south</w:t>
      </w:r>
      <w:r w:rsidR="00A81B98" w:rsidRPr="00DC0C6B">
        <w:t>.</w:t>
      </w:r>
      <w:r w:rsidR="000F5B79" w:rsidRPr="00DC0C6B">
        <w:t xml:space="preserve"> </w:t>
      </w:r>
      <w:r w:rsidR="000F5B79" w:rsidRPr="00DC0C6B">
        <w:rPr>
          <w:rStyle w:val="FootnoteReference"/>
        </w:rPr>
        <w:footnoteReference w:id="29"/>
      </w:r>
      <w:r w:rsidR="003520DE" w:rsidRPr="00DC0C6B">
        <w:t xml:space="preserve"> </w:t>
      </w:r>
    </w:p>
    <w:p w14:paraId="21B02692" w14:textId="0470C147" w:rsidR="00536192" w:rsidRPr="00DC0C6B" w:rsidRDefault="001568E6" w:rsidP="00536192">
      <w:pPr>
        <w:pStyle w:val="05TextNumberedParagraph"/>
      </w:pPr>
      <w:r w:rsidRPr="00DC0C6B">
        <w:t xml:space="preserve">The </w:t>
      </w:r>
      <w:proofErr w:type="spellStart"/>
      <w:r w:rsidRPr="00DC0C6B">
        <w:t>grave</w:t>
      </w:r>
      <w:proofErr w:type="spellEnd"/>
      <w:r w:rsidRPr="00DC0C6B">
        <w:t xml:space="preserve"> </w:t>
      </w:r>
      <w:r w:rsidR="006A7668" w:rsidRPr="00DC0C6B">
        <w:t xml:space="preserve">pit </w:t>
      </w:r>
      <w:r w:rsidR="00907B3B" w:rsidRPr="00DC0C6B">
        <w:t xml:space="preserve">contained </w:t>
      </w:r>
      <w:r w:rsidRPr="00DC0C6B">
        <w:t>a small quantity of cremated bone (68.3</w:t>
      </w:r>
      <w:r w:rsidR="00950856" w:rsidRPr="00DC0C6B">
        <w:t xml:space="preserve"> </w:t>
      </w:r>
      <w:r w:rsidRPr="00DC0C6B">
        <w:t>g)</w:t>
      </w:r>
      <w:r w:rsidR="005C5A9B" w:rsidRPr="00DC0C6B">
        <w:t xml:space="preserve"> </w:t>
      </w:r>
      <w:r w:rsidR="006A7668" w:rsidRPr="00DC0C6B">
        <w:t>with</w:t>
      </w:r>
      <w:r w:rsidR="00907B3B" w:rsidRPr="00DC0C6B">
        <w:t xml:space="preserve"> only </w:t>
      </w:r>
      <w:r w:rsidR="006A7668" w:rsidRPr="00DC0C6B">
        <w:t xml:space="preserve">certain </w:t>
      </w:r>
      <w:r w:rsidR="00907B3B" w:rsidRPr="00DC0C6B">
        <w:t>parts of the body represented, suggesting that</w:t>
      </w:r>
      <w:r w:rsidR="000A1A2F" w:rsidRPr="00DC0C6B">
        <w:t xml:space="preserve"> </w:t>
      </w:r>
      <w:r w:rsidR="006A7668" w:rsidRPr="00DC0C6B">
        <w:t>it</w:t>
      </w:r>
      <w:r w:rsidR="005C5A9B" w:rsidRPr="00DC0C6B">
        <w:t xml:space="preserve"> </w:t>
      </w:r>
      <w:r w:rsidR="006A7668" w:rsidRPr="00DC0C6B">
        <w:t>was</w:t>
      </w:r>
      <w:r w:rsidRPr="00DC0C6B">
        <w:t xml:space="preserve"> a token deposit</w:t>
      </w:r>
      <w:r w:rsidR="00907B3B" w:rsidRPr="00DC0C6B">
        <w:t>.</w:t>
      </w:r>
      <w:r w:rsidRPr="00DC0C6B">
        <w:t xml:space="preserve"> </w:t>
      </w:r>
      <w:r w:rsidR="006A7668" w:rsidRPr="00DC0C6B">
        <w:t>This is a</w:t>
      </w:r>
      <w:r w:rsidRPr="00DC0C6B">
        <w:t xml:space="preserve"> feature of </w:t>
      </w:r>
      <w:r w:rsidR="00514173" w:rsidRPr="00DC0C6B">
        <w:t>prehistoric</w:t>
      </w:r>
      <w:r w:rsidR="00B37219" w:rsidRPr="00DC0C6B">
        <w:t xml:space="preserve"> cremation</w:t>
      </w:r>
      <w:r w:rsidRPr="00DC0C6B">
        <w:t xml:space="preserve"> burial</w:t>
      </w:r>
      <w:r w:rsidR="00B37219" w:rsidRPr="00DC0C6B">
        <w:t>s</w:t>
      </w:r>
      <w:r w:rsidRPr="00DC0C6B">
        <w:t xml:space="preserve"> where </w:t>
      </w:r>
      <w:r w:rsidR="00071452" w:rsidRPr="00DC0C6B">
        <w:t>the internment of the entire</w:t>
      </w:r>
      <w:r w:rsidRPr="00DC0C6B">
        <w:t xml:space="preserve"> </w:t>
      </w:r>
      <w:r w:rsidR="00071452" w:rsidRPr="00DC0C6B">
        <w:t>body appears not to have been necessary</w:t>
      </w:r>
      <w:r w:rsidR="000F5B79" w:rsidRPr="00DC0C6B">
        <w:t>.</w:t>
      </w:r>
      <w:r w:rsidR="000F5B79" w:rsidRPr="00DC0C6B">
        <w:rPr>
          <w:rStyle w:val="FootnoteReference"/>
        </w:rPr>
        <w:footnoteReference w:id="30"/>
      </w:r>
      <w:r w:rsidRPr="00DC0C6B">
        <w:t xml:space="preserve"> </w:t>
      </w:r>
      <w:r w:rsidR="009908B6" w:rsidRPr="00DC0C6B">
        <w:t xml:space="preserve">It has </w:t>
      </w:r>
      <w:proofErr w:type="gramStart"/>
      <w:r w:rsidR="009908B6" w:rsidRPr="00DC0C6B">
        <w:t>been suggested</w:t>
      </w:r>
      <w:proofErr w:type="gramEnd"/>
      <w:r w:rsidR="009908B6" w:rsidRPr="00DC0C6B">
        <w:t xml:space="preserve"> that the treatment of the body after death could have taken many forms, with deposition of part of the body being just one aspect of post-mortem </w:t>
      </w:r>
      <w:r w:rsidR="00E14ABA" w:rsidRPr="00DC0C6B">
        <w:t xml:space="preserve">social </w:t>
      </w:r>
      <w:r w:rsidR="009908B6" w:rsidRPr="00DC0C6B">
        <w:t>practices</w:t>
      </w:r>
      <w:r w:rsidR="000F5B79" w:rsidRPr="00DC0C6B">
        <w:t>.</w:t>
      </w:r>
      <w:r w:rsidR="000F5B79" w:rsidRPr="00DC0C6B">
        <w:rPr>
          <w:rStyle w:val="FootnoteReference"/>
        </w:rPr>
        <w:footnoteReference w:id="31"/>
      </w:r>
      <w:r w:rsidR="00E14ABA" w:rsidRPr="00DC0C6B">
        <w:t xml:space="preserve"> </w:t>
      </w:r>
    </w:p>
    <w:p w14:paraId="0DE65DE5" w14:textId="62687B36" w:rsidR="004C18ED" w:rsidRPr="00DC0C6B" w:rsidRDefault="00E41AC2" w:rsidP="00536192">
      <w:pPr>
        <w:pStyle w:val="05TextNumberedParagraph"/>
      </w:pPr>
      <w:r w:rsidRPr="00DC0C6B">
        <w:t xml:space="preserve">The grave </w:t>
      </w:r>
      <w:r w:rsidR="00DA66CD" w:rsidRPr="00DC0C6B">
        <w:t>produced</w:t>
      </w:r>
      <w:r w:rsidRPr="00DC0C6B">
        <w:t xml:space="preserve"> a </w:t>
      </w:r>
      <w:r w:rsidR="0034395B" w:rsidRPr="00DC0C6B">
        <w:t>perforated</w:t>
      </w:r>
      <w:r w:rsidR="00DA66CD" w:rsidRPr="00DC0C6B">
        <w:t xml:space="preserve"> </w:t>
      </w:r>
      <w:r w:rsidRPr="00DC0C6B">
        <w:t xml:space="preserve">bone pin </w:t>
      </w:r>
      <w:r w:rsidR="0034395B" w:rsidRPr="00DC0C6B">
        <w:t xml:space="preserve">that had </w:t>
      </w:r>
      <w:proofErr w:type="gramStart"/>
      <w:r w:rsidR="0034395B" w:rsidRPr="00DC0C6B">
        <w:t xml:space="preserve">been </w:t>
      </w:r>
      <w:r w:rsidRPr="00DC0C6B">
        <w:t>made</w:t>
      </w:r>
      <w:proofErr w:type="gramEnd"/>
      <w:r w:rsidRPr="00DC0C6B">
        <w:t xml:space="preserve"> from the first phalanx of </w:t>
      </w:r>
      <w:r w:rsidR="00E014A8" w:rsidRPr="00DC0C6B">
        <w:t xml:space="preserve">a </w:t>
      </w:r>
      <w:r w:rsidR="00950856" w:rsidRPr="00DC0C6B">
        <w:t>possible golden eagle</w:t>
      </w:r>
      <w:r w:rsidRPr="00DC0C6B">
        <w:t>. The pin was calcined, indicating that it had been on the pyre with the individual</w:t>
      </w:r>
      <w:r w:rsidR="00826C88" w:rsidRPr="00DC0C6B">
        <w:t xml:space="preserve"> and</w:t>
      </w:r>
      <w:r w:rsidRPr="00DC0C6B">
        <w:t xml:space="preserve"> </w:t>
      </w:r>
      <w:r w:rsidR="00826C88" w:rsidRPr="00DC0C6B">
        <w:t>probably</w:t>
      </w:r>
      <w:r w:rsidRPr="00DC0C6B">
        <w:t xml:space="preserve"> represent</w:t>
      </w:r>
      <w:r w:rsidR="00826C88" w:rsidRPr="00DC0C6B">
        <w:t>s</w:t>
      </w:r>
      <w:r w:rsidRPr="00DC0C6B">
        <w:t xml:space="preserve"> a personal object, such as a fastener for clothing or </w:t>
      </w:r>
      <w:r w:rsidR="00826C88" w:rsidRPr="00DC0C6B">
        <w:t xml:space="preserve">a </w:t>
      </w:r>
      <w:r w:rsidRPr="00DC0C6B">
        <w:t>hairpin.</w:t>
      </w:r>
      <w:r w:rsidR="00F26D0E" w:rsidRPr="00DC0C6B">
        <w:t xml:space="preserve"> Bone </w:t>
      </w:r>
      <w:r w:rsidR="004C18ED" w:rsidRPr="00DC0C6B">
        <w:t xml:space="preserve">objects such as </w:t>
      </w:r>
      <w:r w:rsidR="00F26D0E" w:rsidRPr="00DC0C6B">
        <w:t>pins</w:t>
      </w:r>
      <w:r w:rsidR="004C18ED" w:rsidRPr="00DC0C6B">
        <w:t>, points and awls</w:t>
      </w:r>
      <w:r w:rsidR="00F26D0E" w:rsidRPr="00DC0C6B">
        <w:t xml:space="preserve"> are common objects found </w:t>
      </w:r>
      <w:r w:rsidR="00343E7E" w:rsidRPr="00DC0C6B">
        <w:t xml:space="preserve">in prehistoric contexts </w:t>
      </w:r>
      <w:r w:rsidR="00F26D0E" w:rsidRPr="00DC0C6B">
        <w:t>across Britain and are</w:t>
      </w:r>
      <w:r w:rsidR="004C18ED" w:rsidRPr="00DC0C6B">
        <w:t xml:space="preserve"> </w:t>
      </w:r>
      <w:r w:rsidR="00F26D0E" w:rsidRPr="00DC0C6B">
        <w:t xml:space="preserve">known from </w:t>
      </w:r>
      <w:r w:rsidR="00B02099" w:rsidRPr="00DC0C6B">
        <w:t xml:space="preserve">both Neolithic and </w:t>
      </w:r>
      <w:r w:rsidR="00F26D0E" w:rsidRPr="00DC0C6B">
        <w:t>Bronze Age</w:t>
      </w:r>
      <w:r w:rsidR="0034395B" w:rsidRPr="00DC0C6B">
        <w:t xml:space="preserve"> </w:t>
      </w:r>
      <w:r w:rsidR="004C18ED" w:rsidRPr="00DC0C6B">
        <w:t xml:space="preserve">funerary contexts, particularly as grave goods in </w:t>
      </w:r>
      <w:r w:rsidR="0034395B" w:rsidRPr="00DC0C6B">
        <w:t>inhumation burials</w:t>
      </w:r>
      <w:r w:rsidR="000F5B79" w:rsidRPr="00DC0C6B">
        <w:t>.</w:t>
      </w:r>
      <w:r w:rsidR="000F5B79" w:rsidRPr="00DC0C6B">
        <w:rPr>
          <w:rStyle w:val="FootnoteReference"/>
        </w:rPr>
        <w:footnoteReference w:id="32"/>
      </w:r>
      <w:r w:rsidR="004C18ED" w:rsidRPr="00DC0C6B">
        <w:t xml:space="preserve"> </w:t>
      </w:r>
      <w:r w:rsidR="0034395B" w:rsidRPr="00DC0C6B">
        <w:t>The possible use of perforated pins as amulets or talisman is also suggested by an assemblage of 60 found in a Bronze Age grave at Upton Lovell, Wiltshire, where it was thought that they had been attached to a special garment</w:t>
      </w:r>
      <w:r w:rsidR="000F5B79" w:rsidRPr="00DC0C6B">
        <w:t>.</w:t>
      </w:r>
      <w:r w:rsidR="000F5B79" w:rsidRPr="00DC0C6B">
        <w:rPr>
          <w:rStyle w:val="FootnoteReference"/>
        </w:rPr>
        <w:footnoteReference w:id="33"/>
      </w:r>
      <w:r w:rsidR="0034395B" w:rsidRPr="00DC0C6B">
        <w:t xml:space="preserve"> </w:t>
      </w:r>
    </w:p>
    <w:p w14:paraId="7235D58A" w14:textId="6E5C6B14" w:rsidR="00343E7E" w:rsidRDefault="0034395B" w:rsidP="00950856">
      <w:pPr>
        <w:pStyle w:val="05TextNumberedParagraph"/>
      </w:pPr>
      <w:r w:rsidRPr="00DC0C6B">
        <w:t>The use of a</w:t>
      </w:r>
      <w:r w:rsidR="00343E7E" w:rsidRPr="00DC0C6B">
        <w:t xml:space="preserve"> </w:t>
      </w:r>
      <w:r w:rsidR="00950856" w:rsidRPr="00DC0C6B">
        <w:t>golden eagle</w:t>
      </w:r>
      <w:r w:rsidRPr="00DC0C6B">
        <w:t xml:space="preserve"> bone also makes this a significant object</w:t>
      </w:r>
      <w:r w:rsidR="00CF204C" w:rsidRPr="00DC0C6B">
        <w:t>,</w:t>
      </w:r>
      <w:r w:rsidRPr="00DC0C6B">
        <w:t xml:space="preserve"> as</w:t>
      </w:r>
      <w:r w:rsidR="00C52A0D" w:rsidRPr="00DC0C6B">
        <w:t xml:space="preserve"> </w:t>
      </w:r>
      <w:r w:rsidR="00F72364" w:rsidRPr="00DC0C6B">
        <w:t xml:space="preserve">eagle bones in general (white-tailed and golden species) </w:t>
      </w:r>
      <w:r w:rsidR="00CF204C" w:rsidRPr="00DC0C6B">
        <w:t>occurred in low numbers</w:t>
      </w:r>
      <w:r w:rsidR="00F72364" w:rsidRPr="00DC0C6B">
        <w:t xml:space="preserve"> up to the Roman period</w:t>
      </w:r>
      <w:r w:rsidR="000F5B79" w:rsidRPr="00DC0C6B">
        <w:t>.</w:t>
      </w:r>
      <w:r w:rsidR="000F5B79" w:rsidRPr="00DC0C6B">
        <w:rPr>
          <w:rStyle w:val="FootnoteReference"/>
        </w:rPr>
        <w:footnoteReference w:id="34"/>
      </w:r>
      <w:r w:rsidR="00D03C05" w:rsidRPr="00DC0C6B">
        <w:t xml:space="preserve"> </w:t>
      </w:r>
      <w:r w:rsidR="00343E7E" w:rsidRPr="00DC0C6B">
        <w:t xml:space="preserve">Only </w:t>
      </w:r>
      <w:r w:rsidR="00950856" w:rsidRPr="00DC0C6B">
        <w:t>one</w:t>
      </w:r>
      <w:r w:rsidR="00343E7E" w:rsidRPr="00DC0C6B">
        <w:t xml:space="preserve"> example of </w:t>
      </w:r>
      <w:r w:rsidR="00950856" w:rsidRPr="00DC0C6B">
        <w:t xml:space="preserve">golden </w:t>
      </w:r>
      <w:r w:rsidR="00675CD0" w:rsidRPr="00DC0C6B">
        <w:t>e</w:t>
      </w:r>
      <w:r w:rsidR="00343E7E" w:rsidRPr="00DC0C6B">
        <w:t>agle bone ha</w:t>
      </w:r>
      <w:r w:rsidR="00950856" w:rsidRPr="00DC0C6B">
        <w:t>s</w:t>
      </w:r>
      <w:r w:rsidR="00343E7E" w:rsidRPr="00DC0C6B">
        <w:t xml:space="preserve"> been found in</w:t>
      </w:r>
      <w:r w:rsidR="00950856" w:rsidRPr="00DC0C6B">
        <w:t xml:space="preserve"> a</w:t>
      </w:r>
      <w:r w:rsidR="00343E7E" w:rsidRPr="00DC0C6B">
        <w:t xml:space="preserve"> Bronze Age context </w:t>
      </w:r>
      <w:r w:rsidR="00950856" w:rsidRPr="00DC0C6B">
        <w:t>in</w:t>
      </w:r>
      <w:r w:rsidR="00343E7E" w:rsidRPr="00DC0C6B">
        <w:t xml:space="preserve"> Britain;</w:t>
      </w:r>
      <w:r w:rsidR="00F72364" w:rsidRPr="00DC0C6B">
        <w:t xml:space="preserve"> comprising three phalanges in </w:t>
      </w:r>
      <w:r w:rsidR="00950856" w:rsidRPr="00DC0C6B">
        <w:t xml:space="preserve">a cremation burial of a child from a site in Skilmafilly, </w:t>
      </w:r>
      <w:proofErr w:type="spellStart"/>
      <w:r w:rsidR="00950856" w:rsidRPr="00DC0C6B">
        <w:t>Aberdenshire</w:t>
      </w:r>
      <w:proofErr w:type="spellEnd"/>
      <w:r w:rsidR="00950856" w:rsidRPr="00DC0C6B">
        <w:t>.</w:t>
      </w:r>
      <w:r w:rsidR="00950856" w:rsidRPr="00DC0C6B">
        <w:rPr>
          <w:rStyle w:val="FootnoteReference"/>
        </w:rPr>
        <w:footnoteReference w:id="35"/>
      </w:r>
      <w:r w:rsidR="00950856" w:rsidRPr="00DC0C6B">
        <w:t xml:space="preserve"> </w:t>
      </w:r>
      <w:r w:rsidR="00F72364" w:rsidRPr="00DC0C6B">
        <w:t xml:space="preserve">The other eagle bones from this period comprised white-tailed eagle phalanges </w:t>
      </w:r>
      <w:r w:rsidR="00F72364" w:rsidRPr="00DC0C6B">
        <w:lastRenderedPageBreak/>
        <w:t xml:space="preserve">from </w:t>
      </w:r>
      <w:r w:rsidR="00561947">
        <w:t xml:space="preserve">the </w:t>
      </w:r>
      <w:bookmarkStart w:id="74" w:name="_Hlk132700646"/>
      <w:r w:rsidR="00561947">
        <w:t xml:space="preserve">Isbister Chambered Cairn (known locally as Tomb of the Eagles) at South </w:t>
      </w:r>
      <w:proofErr w:type="spellStart"/>
      <w:r w:rsidR="00561947">
        <w:t>Ronaldsay</w:t>
      </w:r>
      <w:proofErr w:type="spellEnd"/>
      <w:r w:rsidR="00561947">
        <w:t xml:space="preserve">, </w:t>
      </w:r>
      <w:r w:rsidR="00F72364" w:rsidRPr="00DC0C6B">
        <w:t xml:space="preserve">Orkney </w:t>
      </w:r>
      <w:bookmarkEnd w:id="74"/>
      <w:r w:rsidR="00F72364" w:rsidRPr="00DC0C6B">
        <w:t xml:space="preserve">and from a pit at </w:t>
      </w:r>
      <w:proofErr w:type="spellStart"/>
      <w:r w:rsidR="00F72364" w:rsidRPr="00DC0C6B">
        <w:t>Potterne</w:t>
      </w:r>
      <w:proofErr w:type="spellEnd"/>
      <w:r w:rsidR="00F72364" w:rsidRPr="00DC0C6B">
        <w:t>, Wiltshire.</w:t>
      </w:r>
      <w:r w:rsidR="00F72364" w:rsidRPr="00DC0C6B">
        <w:rPr>
          <w:rStyle w:val="FootnoteReference"/>
        </w:rPr>
        <w:footnoteReference w:id="36"/>
      </w:r>
      <w:r w:rsidR="00F72364" w:rsidRPr="00DC0C6B">
        <w:t xml:space="preserve"> </w:t>
      </w:r>
      <w:r w:rsidR="006E33AC" w:rsidRPr="00DC0C6B">
        <w:t xml:space="preserve">The phalanx from </w:t>
      </w:r>
      <w:proofErr w:type="spellStart"/>
      <w:r w:rsidR="006E33AC" w:rsidRPr="00DC0C6B">
        <w:t>Potterne</w:t>
      </w:r>
      <w:proofErr w:type="spellEnd"/>
      <w:r w:rsidR="006E33AC" w:rsidRPr="00DC0C6B">
        <w:t xml:space="preserve"> had also been perforated, leading to the suggestion that it had been worn.</w:t>
      </w:r>
      <w:r w:rsidR="006E33AC" w:rsidRPr="00DC0C6B">
        <w:rPr>
          <w:rStyle w:val="FootnoteReference"/>
        </w:rPr>
        <w:footnoteReference w:id="37"/>
      </w:r>
      <w:r w:rsidR="006E33AC" w:rsidRPr="00DC0C6B">
        <w:t xml:space="preserve"> The use of eagle phalanges </w:t>
      </w:r>
      <w:r w:rsidR="00343E7E" w:rsidRPr="00DC0C6B">
        <w:t>has led Holmes to suggest that they had some form of symbolic quality or were a mark of status</w:t>
      </w:r>
      <w:r w:rsidR="000F5B79" w:rsidRPr="00DC0C6B">
        <w:t>.</w:t>
      </w:r>
      <w:r w:rsidR="000F5B79" w:rsidRPr="00DC0C6B">
        <w:rPr>
          <w:rStyle w:val="FootnoteReference"/>
        </w:rPr>
        <w:footnoteReference w:id="38"/>
      </w:r>
      <w:r w:rsidR="00343E7E" w:rsidRPr="00DC0C6B">
        <w:t xml:space="preserve"> </w:t>
      </w:r>
    </w:p>
    <w:p w14:paraId="6A84D9F8" w14:textId="77777777" w:rsidR="008F5FFA" w:rsidRPr="00DC0C6B" w:rsidRDefault="008F5FFA" w:rsidP="00950856">
      <w:pPr>
        <w:pStyle w:val="05TextNumberedParagraph"/>
      </w:pPr>
    </w:p>
    <w:p w14:paraId="7DC47A1D" w14:textId="38A800A3" w:rsidR="00536192" w:rsidRPr="00DC0C6B" w:rsidRDefault="007C7B7E" w:rsidP="00EE5939">
      <w:pPr>
        <w:pStyle w:val="02heading2"/>
      </w:pPr>
      <w:bookmarkStart w:id="75" w:name="_Toc130544713"/>
      <w:r w:rsidRPr="00DC0C6B">
        <w:t>Middle Iron Age</w:t>
      </w:r>
      <w:bookmarkEnd w:id="75"/>
    </w:p>
    <w:p w14:paraId="41998F5C" w14:textId="3789CE04" w:rsidR="001653E6" w:rsidRPr="00DC0C6B" w:rsidRDefault="00F76255" w:rsidP="009F39CA">
      <w:pPr>
        <w:pStyle w:val="05TextNumberedParagraph"/>
        <w:ind w:firstLine="0"/>
      </w:pPr>
      <w:r w:rsidRPr="00DC0C6B">
        <w:t xml:space="preserve">The </w:t>
      </w:r>
      <w:r w:rsidR="00E014A8" w:rsidRPr="00DC0C6B">
        <w:t xml:space="preserve">Middle Iron Age </w:t>
      </w:r>
      <w:r w:rsidR="009F39CA" w:rsidRPr="00DC0C6B">
        <w:t>settlement covered most of the excavation area but appeared</w:t>
      </w:r>
      <w:r w:rsidR="001E06CD" w:rsidRPr="00DC0C6B">
        <w:t xml:space="preserve"> to decrease </w:t>
      </w:r>
      <w:r w:rsidR="00F44A9B" w:rsidRPr="00DC0C6B">
        <w:t xml:space="preserve">in density </w:t>
      </w:r>
      <w:r w:rsidR="001E06CD" w:rsidRPr="00DC0C6B">
        <w:t>towards the east and west</w:t>
      </w:r>
      <w:r w:rsidR="00C74B99" w:rsidRPr="00DC0C6B">
        <w:t xml:space="preserve"> boundaries of the site </w:t>
      </w:r>
      <w:r w:rsidR="009F39CA" w:rsidRPr="00DC0C6B">
        <w:t>and n</w:t>
      </w:r>
      <w:r w:rsidR="00F44A9B" w:rsidRPr="00DC0C6B">
        <w:t xml:space="preserve">o Iron Age features </w:t>
      </w:r>
      <w:proofErr w:type="gramStart"/>
      <w:r w:rsidR="00F44A9B" w:rsidRPr="00DC0C6B">
        <w:t>were identified</w:t>
      </w:r>
      <w:proofErr w:type="gramEnd"/>
      <w:r w:rsidR="00F44A9B" w:rsidRPr="00DC0C6B">
        <w:t xml:space="preserve"> in the surrounding trial-trenches</w:t>
      </w:r>
      <w:r w:rsidR="009F39CA" w:rsidRPr="00DC0C6B">
        <w:t xml:space="preserve"> </w:t>
      </w:r>
      <w:r w:rsidR="00F44A9B" w:rsidRPr="00DC0C6B">
        <w:t>(Fig. 2</w:t>
      </w:r>
      <w:r w:rsidR="009F39CA" w:rsidRPr="00DC0C6B">
        <w:t>).</w:t>
      </w:r>
      <w:r w:rsidR="009F39CA" w:rsidRPr="00DC0C6B">
        <w:rPr>
          <w:rStyle w:val="FootnoteReference"/>
        </w:rPr>
        <w:footnoteReference w:id="39"/>
      </w:r>
      <w:r w:rsidR="004933A5" w:rsidRPr="00DC0C6B">
        <w:t xml:space="preserve"> </w:t>
      </w:r>
    </w:p>
    <w:p w14:paraId="22389599" w14:textId="08AE91FF" w:rsidR="009D3AC5" w:rsidRPr="00DC0C6B" w:rsidRDefault="00400E60" w:rsidP="00EE5939">
      <w:pPr>
        <w:pStyle w:val="05TextNumberedParagraph"/>
        <w:ind w:firstLine="0"/>
        <w:rPr>
          <w:i/>
          <w:iCs/>
        </w:rPr>
      </w:pPr>
      <w:r w:rsidRPr="00DC0C6B">
        <w:rPr>
          <w:i/>
          <w:iCs/>
        </w:rPr>
        <w:t>Settlement layout</w:t>
      </w:r>
      <w:r w:rsidR="00EE5939" w:rsidRPr="00DC0C6B">
        <w:rPr>
          <w:i/>
          <w:iCs/>
        </w:rPr>
        <w:t xml:space="preserve"> </w:t>
      </w:r>
      <w:r w:rsidR="007E40F6" w:rsidRPr="00DC0C6B">
        <w:t xml:space="preserve">The </w:t>
      </w:r>
      <w:r w:rsidR="00D808DC" w:rsidRPr="00DC0C6B">
        <w:t>Middle Iron Age settlement</w:t>
      </w:r>
      <w:r w:rsidR="00814A69" w:rsidRPr="00DC0C6B">
        <w:t xml:space="preserve"> was unenclosed</w:t>
      </w:r>
      <w:r w:rsidR="00D808DC" w:rsidRPr="00DC0C6B">
        <w:t>;</w:t>
      </w:r>
      <w:r w:rsidR="00B602B3" w:rsidRPr="00DC0C6B">
        <w:t xml:space="preserve"> with</w:t>
      </w:r>
      <w:r w:rsidR="00D808DC" w:rsidRPr="00DC0C6B">
        <w:t xml:space="preserve"> </w:t>
      </w:r>
      <w:r w:rsidR="001E06CD" w:rsidRPr="00DC0C6B">
        <w:t>no</w:t>
      </w:r>
      <w:r w:rsidR="00D808DC" w:rsidRPr="00DC0C6B">
        <w:t xml:space="preserve"> </w:t>
      </w:r>
      <w:r w:rsidR="00DF26B4" w:rsidRPr="00DC0C6B">
        <w:t>evidence</w:t>
      </w:r>
      <w:r w:rsidR="001E06CD" w:rsidRPr="00DC0C6B">
        <w:t xml:space="preserve"> of</w:t>
      </w:r>
      <w:r w:rsidR="00DF26B4" w:rsidRPr="00DC0C6B">
        <w:t xml:space="preserve"> </w:t>
      </w:r>
      <w:r w:rsidR="00D808DC" w:rsidRPr="00DC0C6B">
        <w:t>a main</w:t>
      </w:r>
      <w:r w:rsidR="007E40F6" w:rsidRPr="00DC0C6B">
        <w:t xml:space="preserve"> boundary within the excavation area </w:t>
      </w:r>
      <w:r w:rsidR="001E06CD" w:rsidRPr="00DC0C6B">
        <w:t>or</w:t>
      </w:r>
      <w:r w:rsidR="007E40F6" w:rsidRPr="00DC0C6B">
        <w:t xml:space="preserve"> adjacent trial</w:t>
      </w:r>
      <w:r w:rsidR="009D3AC5" w:rsidRPr="00DC0C6B">
        <w:t>-</w:t>
      </w:r>
      <w:r w:rsidR="007E40F6" w:rsidRPr="00DC0C6B">
        <w:t xml:space="preserve">trenches. </w:t>
      </w:r>
      <w:r w:rsidR="00D808DC" w:rsidRPr="00DC0C6B">
        <w:t>Open settlements are a</w:t>
      </w:r>
      <w:r w:rsidR="00EE090C" w:rsidRPr="00DC0C6B">
        <w:t>n enduring</w:t>
      </w:r>
      <w:r w:rsidR="00D808DC" w:rsidRPr="00DC0C6B">
        <w:t xml:space="preserve"> feature</w:t>
      </w:r>
      <w:r w:rsidR="0026601A" w:rsidRPr="00DC0C6B">
        <w:t xml:space="preserve"> of settlement</w:t>
      </w:r>
      <w:r w:rsidR="00D808DC" w:rsidRPr="00DC0C6B">
        <w:t xml:space="preserve"> </w:t>
      </w:r>
      <w:r w:rsidR="0026601A" w:rsidRPr="00DC0C6B">
        <w:t xml:space="preserve">in the Thames Valley </w:t>
      </w:r>
      <w:r w:rsidR="00EE090C" w:rsidRPr="00DC0C6B">
        <w:t>from the</w:t>
      </w:r>
      <w:r w:rsidR="00D808DC" w:rsidRPr="00DC0C6B">
        <w:t xml:space="preserve"> Bronze Age</w:t>
      </w:r>
      <w:r w:rsidR="00B602B3" w:rsidRPr="00DC0C6B">
        <w:t xml:space="preserve">, with </w:t>
      </w:r>
      <w:r w:rsidR="0026601A" w:rsidRPr="00DC0C6B">
        <w:t xml:space="preserve">the earliest </w:t>
      </w:r>
      <w:r w:rsidR="00B602B3" w:rsidRPr="00DC0C6B">
        <w:t xml:space="preserve">examples sometimes being dispersed over wide areas, such as at </w:t>
      </w:r>
      <w:proofErr w:type="spellStart"/>
      <w:r w:rsidR="00B602B3" w:rsidRPr="00DC0C6B">
        <w:t>Latton</w:t>
      </w:r>
      <w:proofErr w:type="spellEnd"/>
      <w:r w:rsidR="00B602B3" w:rsidRPr="00DC0C6B">
        <w:t xml:space="preserve"> Lands </w:t>
      </w:r>
      <w:r w:rsidR="0026601A" w:rsidRPr="00DC0C6B">
        <w:t>where clusters of roundhouses and 4-post structures were spread across an area of approximately 14ha</w:t>
      </w:r>
      <w:r w:rsidR="008C0131" w:rsidRPr="00DC0C6B">
        <w:t>.</w:t>
      </w:r>
      <w:r w:rsidR="008C0131" w:rsidRPr="00DC0C6B">
        <w:rPr>
          <w:rStyle w:val="FootnoteReference"/>
        </w:rPr>
        <w:footnoteReference w:id="40"/>
      </w:r>
      <w:r w:rsidR="0026601A" w:rsidRPr="00DC0C6B">
        <w:t xml:space="preserve"> </w:t>
      </w:r>
      <w:r w:rsidR="00B602B3" w:rsidRPr="00DC0C6B">
        <w:t>B</w:t>
      </w:r>
      <w:r w:rsidR="00D808DC" w:rsidRPr="00DC0C6B">
        <w:t>y the Middle Iron</w:t>
      </w:r>
      <w:r w:rsidR="0026601A" w:rsidRPr="00DC0C6B">
        <w:t xml:space="preserve"> Age,</w:t>
      </w:r>
      <w:r w:rsidR="00B602B3" w:rsidRPr="00DC0C6B">
        <w:t xml:space="preserve"> </w:t>
      </w:r>
      <w:r w:rsidR="0026601A" w:rsidRPr="00DC0C6B">
        <w:t>settlement</w:t>
      </w:r>
      <w:r w:rsidR="00D808DC" w:rsidRPr="00DC0C6B">
        <w:t xml:space="preserve"> </w:t>
      </w:r>
      <w:r w:rsidR="00814A69" w:rsidRPr="00DC0C6B">
        <w:t xml:space="preserve">tended to </w:t>
      </w:r>
      <w:r w:rsidR="00B602B3" w:rsidRPr="00DC0C6B">
        <w:t xml:space="preserve">become more concentrated and </w:t>
      </w:r>
      <w:r w:rsidR="009F39CA" w:rsidRPr="00DC0C6B">
        <w:t>were</w:t>
      </w:r>
      <w:r w:rsidR="00B602B3" w:rsidRPr="00DC0C6B">
        <w:t xml:space="preserve"> </w:t>
      </w:r>
      <w:r w:rsidR="00EE090C" w:rsidRPr="00DC0C6B">
        <w:t xml:space="preserve">often </w:t>
      </w:r>
      <w:r w:rsidR="00B602B3" w:rsidRPr="00DC0C6B">
        <w:t>accompanied by more visible boundaries</w:t>
      </w:r>
      <w:r w:rsidR="00EE090C" w:rsidRPr="00DC0C6B">
        <w:t>,</w:t>
      </w:r>
      <w:r w:rsidR="00E014A8" w:rsidRPr="00DC0C6B">
        <w:t xml:space="preserve"> such as</w:t>
      </w:r>
      <w:r w:rsidR="00EE090C" w:rsidRPr="00DC0C6B">
        <w:t xml:space="preserve"> roundhouse gullies</w:t>
      </w:r>
      <w:r w:rsidR="00B602B3" w:rsidRPr="00DC0C6B">
        <w:t xml:space="preserve"> and enclosures.</w:t>
      </w:r>
      <w:r w:rsidR="00DF26B4" w:rsidRPr="00DC0C6B">
        <w:t xml:space="preserve"> </w:t>
      </w:r>
      <w:r w:rsidR="00814A69" w:rsidRPr="00DC0C6B">
        <w:t>Numerous examples of Middle Iron Age settlements have been identified in the Upper Thames valley, such as at Gravelly Guy, Stanton Harcourt</w:t>
      </w:r>
      <w:r w:rsidR="008C0131" w:rsidRPr="00DC0C6B">
        <w:t>,</w:t>
      </w:r>
      <w:r w:rsidR="008C0131" w:rsidRPr="00DC0C6B">
        <w:rPr>
          <w:rStyle w:val="FootnoteReference"/>
        </w:rPr>
        <w:footnoteReference w:id="41"/>
      </w:r>
      <w:r w:rsidR="00814A69" w:rsidRPr="00DC0C6B">
        <w:t xml:space="preserve"> Gill Mill</w:t>
      </w:r>
      <w:r w:rsidR="008C0131" w:rsidRPr="00DC0C6B">
        <w:t>,</w:t>
      </w:r>
      <w:r w:rsidR="008C0131" w:rsidRPr="00DC0C6B">
        <w:rPr>
          <w:rStyle w:val="FootnoteReference"/>
        </w:rPr>
        <w:footnoteReference w:id="42"/>
      </w:r>
      <w:r w:rsidR="00814A69" w:rsidRPr="00DC0C6B">
        <w:t xml:space="preserve"> </w:t>
      </w:r>
      <w:proofErr w:type="spellStart"/>
      <w:r w:rsidR="00814A69" w:rsidRPr="00DC0C6B">
        <w:t>Farmo</w:t>
      </w:r>
      <w:r w:rsidRPr="00DC0C6B">
        <w:t>o</w:t>
      </w:r>
      <w:r w:rsidR="00814A69" w:rsidRPr="00DC0C6B">
        <w:t>r</w:t>
      </w:r>
      <w:proofErr w:type="spellEnd"/>
      <w:r w:rsidR="008C0131" w:rsidRPr="00DC0C6B">
        <w:rPr>
          <w:rStyle w:val="FootnoteReference"/>
        </w:rPr>
        <w:footnoteReference w:id="43"/>
      </w:r>
      <w:r w:rsidR="00814A69" w:rsidRPr="00DC0C6B">
        <w:t xml:space="preserve"> and </w:t>
      </w:r>
      <w:proofErr w:type="spellStart"/>
      <w:r w:rsidR="006A4412" w:rsidRPr="00DC0C6B">
        <w:t>Cassington</w:t>
      </w:r>
      <w:proofErr w:type="spellEnd"/>
      <w:r w:rsidR="006A4412" w:rsidRPr="00DC0C6B">
        <w:t xml:space="preserve"> and </w:t>
      </w:r>
      <w:r w:rsidR="00814A69" w:rsidRPr="00DC0C6B">
        <w:t>Yarnton</w:t>
      </w:r>
      <w:r w:rsidR="008C0131" w:rsidRPr="00DC0C6B">
        <w:t>.</w:t>
      </w:r>
      <w:r w:rsidR="008C0131" w:rsidRPr="00DC0C6B">
        <w:rPr>
          <w:rStyle w:val="FootnoteReference"/>
        </w:rPr>
        <w:footnoteReference w:id="44"/>
      </w:r>
      <w:r w:rsidR="00814A69" w:rsidRPr="00DC0C6B">
        <w:t xml:space="preserve"> These have taken a variety of forms but the layout of the western settlement focus at Yarnton </w:t>
      </w:r>
      <w:r w:rsidR="001257A7" w:rsidRPr="00DC0C6B">
        <w:t xml:space="preserve">and the Area 3 settlement at Gill Mill </w:t>
      </w:r>
      <w:r w:rsidR="00814A69" w:rsidRPr="00DC0C6B">
        <w:t>appear very similar in form to the one within the development area</w:t>
      </w:r>
      <w:r w:rsidRPr="00DC0C6B">
        <w:t>, comprising loose cluster</w:t>
      </w:r>
      <w:r w:rsidR="001257A7" w:rsidRPr="00DC0C6B">
        <w:t>s</w:t>
      </w:r>
      <w:r w:rsidRPr="00DC0C6B">
        <w:t xml:space="preserve"> of roundhouses</w:t>
      </w:r>
      <w:r w:rsidR="001257A7" w:rsidRPr="00DC0C6B">
        <w:t xml:space="preserve">, </w:t>
      </w:r>
      <w:r w:rsidR="009F39CA" w:rsidRPr="00DC0C6B">
        <w:t>as</w:t>
      </w:r>
      <w:r w:rsidR="001257A7" w:rsidRPr="00DC0C6B">
        <w:t xml:space="preserve"> well as enclosures</w:t>
      </w:r>
      <w:r w:rsidRPr="00DC0C6B">
        <w:t xml:space="preserve"> </w:t>
      </w:r>
      <w:r w:rsidR="001257A7" w:rsidRPr="00DC0C6B">
        <w:t>at Yarnton</w:t>
      </w:r>
      <w:r w:rsidR="008C0131" w:rsidRPr="00DC0C6B">
        <w:t>.</w:t>
      </w:r>
      <w:r w:rsidR="008C0131" w:rsidRPr="00DC0C6B">
        <w:rPr>
          <w:rStyle w:val="FootnoteReference"/>
        </w:rPr>
        <w:footnoteReference w:id="45"/>
      </w:r>
      <w:r w:rsidR="001257A7" w:rsidRPr="00DC0C6B">
        <w:t xml:space="preserve"> </w:t>
      </w:r>
    </w:p>
    <w:p w14:paraId="429C86B7" w14:textId="6DEEC964" w:rsidR="00EE090C" w:rsidRDefault="00106092" w:rsidP="00C64036">
      <w:pPr>
        <w:pStyle w:val="05TextNumberedParagraph"/>
      </w:pPr>
      <w:r w:rsidRPr="00DC0C6B">
        <w:lastRenderedPageBreak/>
        <w:t xml:space="preserve">Some evidence of internal organisation </w:t>
      </w:r>
      <w:proofErr w:type="gramStart"/>
      <w:r w:rsidRPr="00DC0C6B">
        <w:t>was suggested</w:t>
      </w:r>
      <w:proofErr w:type="gramEnd"/>
      <w:r w:rsidRPr="00DC0C6B">
        <w:t xml:space="preserve"> by the distribution of features associated with </w:t>
      </w:r>
      <w:r w:rsidR="000D0BBB" w:rsidRPr="00DC0C6B">
        <w:t xml:space="preserve">Eynsham </w:t>
      </w:r>
      <w:r w:rsidR="0026601A" w:rsidRPr="00DC0C6B">
        <w:t>A40 settlement</w:t>
      </w:r>
      <w:r w:rsidRPr="00DC0C6B">
        <w:t>, such as the clustering of pits (pit group 4) to the west of roundhouses A and B and the post-alignments (groups 2 and 3) situated in the south-east corner of the site. However, n</w:t>
      </w:r>
      <w:r w:rsidR="00EE090C" w:rsidRPr="00DC0C6B">
        <w:t xml:space="preserve">o </w:t>
      </w:r>
      <w:r w:rsidR="009915DC" w:rsidRPr="00DC0C6B">
        <w:t>clearly defined</w:t>
      </w:r>
      <w:r w:rsidRPr="00DC0C6B">
        <w:t xml:space="preserve"> </w:t>
      </w:r>
      <w:r w:rsidR="009915DC" w:rsidRPr="00DC0C6B">
        <w:t xml:space="preserve">ditched </w:t>
      </w:r>
      <w:r w:rsidR="00EE090C" w:rsidRPr="00DC0C6B">
        <w:t xml:space="preserve">boundaries </w:t>
      </w:r>
      <w:proofErr w:type="gramStart"/>
      <w:r w:rsidR="00EE090C" w:rsidRPr="00DC0C6B">
        <w:t xml:space="preserve">were </w:t>
      </w:r>
      <w:r w:rsidR="009915DC" w:rsidRPr="00DC0C6B">
        <w:t>identified</w:t>
      </w:r>
      <w:proofErr w:type="gramEnd"/>
      <w:r w:rsidR="0026601A" w:rsidRPr="00DC0C6B">
        <w:t>,</w:t>
      </w:r>
      <w:r w:rsidR="009915DC" w:rsidRPr="00DC0C6B">
        <w:t xml:space="preserve"> </w:t>
      </w:r>
      <w:r w:rsidR="00EE090C" w:rsidRPr="00DC0C6B">
        <w:t>other than short ditch lengths</w:t>
      </w:r>
      <w:r w:rsidR="0026601A" w:rsidRPr="00DC0C6B">
        <w:t>.</w:t>
      </w:r>
      <w:r w:rsidR="009915DC" w:rsidRPr="00DC0C6B">
        <w:t xml:space="preserve"> </w:t>
      </w:r>
      <w:r w:rsidRPr="00DC0C6B">
        <w:t>T</w:t>
      </w:r>
      <w:r w:rsidR="009915DC" w:rsidRPr="00DC0C6B">
        <w:t xml:space="preserve">his is </w:t>
      </w:r>
      <w:r w:rsidRPr="00DC0C6B">
        <w:t>consistent</w:t>
      </w:r>
      <w:r w:rsidR="009915DC" w:rsidRPr="00DC0C6B">
        <w:t xml:space="preserve"> with settlement at Yarnton</w:t>
      </w:r>
      <w:r w:rsidR="008C0131" w:rsidRPr="00DC0C6B">
        <w:rPr>
          <w:rStyle w:val="FootnoteReference"/>
        </w:rPr>
        <w:footnoteReference w:id="46"/>
      </w:r>
      <w:r w:rsidR="009915DC" w:rsidRPr="00DC0C6B">
        <w:t xml:space="preserve"> and </w:t>
      </w:r>
      <w:r w:rsidRPr="00DC0C6B">
        <w:t xml:space="preserve">to a lesser extent </w:t>
      </w:r>
      <w:r w:rsidR="009915DC" w:rsidRPr="00DC0C6B">
        <w:t>Gravelly Guy</w:t>
      </w:r>
      <w:r w:rsidR="008C0131" w:rsidRPr="00DC0C6B">
        <w:t>,</w:t>
      </w:r>
      <w:r w:rsidR="008C0131" w:rsidRPr="00DC0C6B">
        <w:rPr>
          <w:rStyle w:val="FootnoteReference"/>
        </w:rPr>
        <w:footnoteReference w:id="47"/>
      </w:r>
      <w:r w:rsidR="009915DC" w:rsidRPr="00DC0C6B">
        <w:t xml:space="preserve"> </w:t>
      </w:r>
      <w:r w:rsidR="005B2B98" w:rsidRPr="00DC0C6B">
        <w:t xml:space="preserve">where </w:t>
      </w:r>
      <w:r w:rsidR="00EB46DD" w:rsidRPr="00DC0C6B">
        <w:t xml:space="preserve">few physical internal boundaries </w:t>
      </w:r>
      <w:proofErr w:type="gramStart"/>
      <w:r w:rsidR="00EB46DD" w:rsidRPr="00DC0C6B">
        <w:t>were identified</w:t>
      </w:r>
      <w:proofErr w:type="gramEnd"/>
      <w:r w:rsidR="0026601A" w:rsidRPr="00DC0C6B">
        <w:t xml:space="preserve"> but spatial organisation was evident</w:t>
      </w:r>
      <w:r w:rsidR="009915DC" w:rsidRPr="00DC0C6B">
        <w:t>.</w:t>
      </w:r>
      <w:r w:rsidR="00EE090C" w:rsidRPr="00DC0C6B">
        <w:t xml:space="preserve"> It is possible that boundary features such as hedges or banks were utilised</w:t>
      </w:r>
      <w:r w:rsidR="00EB46DD" w:rsidRPr="00DC0C6B">
        <w:t xml:space="preserve"> </w:t>
      </w:r>
      <w:r w:rsidR="000D0BBB" w:rsidRPr="00DC0C6B">
        <w:t>at</w:t>
      </w:r>
      <w:r w:rsidR="00EB46DD" w:rsidRPr="00DC0C6B">
        <w:t xml:space="preserve"> the </w:t>
      </w:r>
      <w:r w:rsidR="00C74B99" w:rsidRPr="00DC0C6B">
        <w:t xml:space="preserve">Eynsham </w:t>
      </w:r>
      <w:r w:rsidR="009F39CA" w:rsidRPr="00DC0C6B">
        <w:t>A40</w:t>
      </w:r>
      <w:r w:rsidR="00C74B99" w:rsidRPr="00DC0C6B">
        <w:t xml:space="preserve"> </w:t>
      </w:r>
      <w:r w:rsidR="009F39CA" w:rsidRPr="00DC0C6B">
        <w:t>settlement</w:t>
      </w:r>
      <w:r w:rsidR="00EE090C" w:rsidRPr="00DC0C6B">
        <w:t xml:space="preserve">, which have left no trace in the archaeological record. </w:t>
      </w:r>
    </w:p>
    <w:p w14:paraId="7CB0EFD9" w14:textId="77777777" w:rsidR="008F5FFA" w:rsidRPr="00DC0C6B" w:rsidRDefault="008F5FFA" w:rsidP="00C64036">
      <w:pPr>
        <w:pStyle w:val="05TextNumberedParagraph"/>
      </w:pPr>
    </w:p>
    <w:p w14:paraId="633ABFAF" w14:textId="62FF7AD2" w:rsidR="0097568F" w:rsidRPr="00DC0C6B" w:rsidRDefault="0095317F" w:rsidP="00EE5939">
      <w:pPr>
        <w:pStyle w:val="05TextNumberedParagraph"/>
        <w:ind w:firstLine="0"/>
        <w:rPr>
          <w:i/>
          <w:iCs/>
        </w:rPr>
      </w:pPr>
      <w:r w:rsidRPr="00DC0C6B">
        <w:rPr>
          <w:i/>
          <w:iCs/>
        </w:rPr>
        <w:t>Buildings/structures</w:t>
      </w:r>
      <w:r w:rsidR="008F5FFA">
        <w:rPr>
          <w:i/>
          <w:iCs/>
        </w:rPr>
        <w:tab/>
      </w:r>
      <w:r w:rsidR="008F5FFA">
        <w:rPr>
          <w:i/>
          <w:iCs/>
        </w:rPr>
        <w:tab/>
      </w:r>
      <w:r w:rsidR="00EE5939" w:rsidRPr="00DC0C6B">
        <w:rPr>
          <w:i/>
          <w:iCs/>
        </w:rPr>
        <w:t xml:space="preserve"> </w:t>
      </w:r>
      <w:proofErr w:type="gramStart"/>
      <w:r w:rsidRPr="00DC0C6B">
        <w:t>The</w:t>
      </w:r>
      <w:proofErr w:type="gramEnd"/>
      <w:r w:rsidRPr="00DC0C6B">
        <w:t xml:space="preserve"> truncated remains of curved drainage ditches marked the</w:t>
      </w:r>
      <w:r w:rsidRPr="00DC0C6B">
        <w:rPr>
          <w:i/>
          <w:iCs/>
        </w:rPr>
        <w:t xml:space="preserve"> </w:t>
      </w:r>
      <w:r w:rsidR="00EC5027" w:rsidRPr="00DC0C6B">
        <w:t xml:space="preserve">location of </w:t>
      </w:r>
      <w:r w:rsidR="00215487" w:rsidRPr="00DC0C6B">
        <w:t>at least six roundhouses</w:t>
      </w:r>
      <w:r w:rsidR="007A08B5" w:rsidRPr="00DC0C6B">
        <w:t xml:space="preserve"> </w:t>
      </w:r>
      <w:r w:rsidRPr="00DC0C6B">
        <w:t>within the excavation area</w:t>
      </w:r>
      <w:r w:rsidR="00EC5027" w:rsidRPr="00DC0C6B">
        <w:t xml:space="preserve">. The more complete examples, roundhouses A and B, </w:t>
      </w:r>
      <w:proofErr w:type="gramStart"/>
      <w:r w:rsidR="0065266D" w:rsidRPr="00DC0C6B">
        <w:t xml:space="preserve">were </w:t>
      </w:r>
      <w:r w:rsidRPr="00DC0C6B">
        <w:t>found</w:t>
      </w:r>
      <w:proofErr w:type="gramEnd"/>
      <w:r w:rsidRPr="00DC0C6B">
        <w:t xml:space="preserve"> to be </w:t>
      </w:r>
      <w:r w:rsidR="00EC5027" w:rsidRPr="00DC0C6B">
        <w:t>similar in size</w:t>
      </w:r>
      <w:r w:rsidRPr="00DC0C6B">
        <w:t xml:space="preserve"> (12 m)</w:t>
      </w:r>
      <w:r w:rsidR="007A08B5" w:rsidRPr="00DC0C6B">
        <w:t xml:space="preserve"> to contemporary examples identified across </w:t>
      </w:r>
      <w:r w:rsidR="00EC5027" w:rsidRPr="00DC0C6B">
        <w:t xml:space="preserve">southern </w:t>
      </w:r>
      <w:r w:rsidR="007A08B5" w:rsidRPr="00DC0C6B">
        <w:t xml:space="preserve">England, including </w:t>
      </w:r>
      <w:r w:rsidR="00400E60" w:rsidRPr="00DC0C6B">
        <w:t>the Middle Iron Age settlement at Yarnton</w:t>
      </w:r>
      <w:r w:rsidR="008C0131" w:rsidRPr="00DC0C6B">
        <w:t>.</w:t>
      </w:r>
      <w:r w:rsidR="008C0131" w:rsidRPr="00DC0C6B">
        <w:rPr>
          <w:rStyle w:val="FootnoteReference"/>
        </w:rPr>
        <w:footnoteReference w:id="48"/>
      </w:r>
      <w:r w:rsidR="00400E60" w:rsidRPr="00DC0C6B">
        <w:t xml:space="preserve"> </w:t>
      </w:r>
      <w:r w:rsidRPr="00DC0C6B">
        <w:t>The f</w:t>
      </w:r>
      <w:r w:rsidR="007A08B5" w:rsidRPr="00DC0C6B">
        <w:t xml:space="preserve">ew potential structural remains </w:t>
      </w:r>
      <w:r w:rsidRPr="00DC0C6B">
        <w:t xml:space="preserve">associated with these roundhouses comprised </w:t>
      </w:r>
      <w:r w:rsidR="0097568F" w:rsidRPr="00DC0C6B">
        <w:t xml:space="preserve">pits and </w:t>
      </w:r>
      <w:r w:rsidR="007A08B5" w:rsidRPr="00DC0C6B">
        <w:t>postholes</w:t>
      </w:r>
      <w:r w:rsidR="00850434" w:rsidRPr="00DC0C6B">
        <w:t xml:space="preserve"> </w:t>
      </w:r>
      <w:r w:rsidR="0026601A" w:rsidRPr="00DC0C6B">
        <w:t xml:space="preserve">that could represent wall or roof supports. </w:t>
      </w:r>
      <w:r w:rsidR="007A08B5" w:rsidRPr="00DC0C6B">
        <w:t>No clear evidence of entrances was identified</w:t>
      </w:r>
      <w:r w:rsidR="00251550" w:rsidRPr="00DC0C6B">
        <w:t xml:space="preserve"> in the circuits of </w:t>
      </w:r>
      <w:r w:rsidRPr="00DC0C6B">
        <w:t xml:space="preserve">the </w:t>
      </w:r>
      <w:r w:rsidR="00251550" w:rsidRPr="00DC0C6B">
        <w:t xml:space="preserve">roundhouse </w:t>
      </w:r>
      <w:r w:rsidR="0026601A" w:rsidRPr="00DC0C6B">
        <w:t>ditches</w:t>
      </w:r>
      <w:r w:rsidR="00251550" w:rsidRPr="00DC0C6B">
        <w:t xml:space="preserve">; </w:t>
      </w:r>
      <w:r w:rsidR="0097568F" w:rsidRPr="00DC0C6B">
        <w:t>the predominant orientation in the Upper T</w:t>
      </w:r>
      <w:r w:rsidR="000D0BBB" w:rsidRPr="00DC0C6B">
        <w:t>h</w:t>
      </w:r>
      <w:r w:rsidR="0097568F" w:rsidRPr="00DC0C6B">
        <w:t xml:space="preserve">ames </w:t>
      </w:r>
      <w:r w:rsidR="000D0BBB" w:rsidRPr="00DC0C6B">
        <w:t>V</w:t>
      </w:r>
      <w:r w:rsidR="0097568F" w:rsidRPr="00DC0C6B">
        <w:t xml:space="preserve">alley and across southern Britain </w:t>
      </w:r>
      <w:r w:rsidR="00251550" w:rsidRPr="00DC0C6B">
        <w:t>being</w:t>
      </w:r>
      <w:r w:rsidR="007A08B5" w:rsidRPr="00DC0C6B">
        <w:t xml:space="preserve"> </w:t>
      </w:r>
      <w:r w:rsidR="0097568F" w:rsidRPr="00DC0C6B">
        <w:t>north-</w:t>
      </w:r>
      <w:r w:rsidR="007A08B5" w:rsidRPr="00DC0C6B">
        <w:t xml:space="preserve">east and </w:t>
      </w:r>
      <w:r w:rsidR="0097568F" w:rsidRPr="00DC0C6B">
        <w:t>south</w:t>
      </w:r>
      <w:r w:rsidR="007A08B5" w:rsidRPr="00DC0C6B">
        <w:t xml:space="preserve"> facing</w:t>
      </w:r>
      <w:r w:rsidR="008C0131" w:rsidRPr="00DC0C6B">
        <w:t>.</w:t>
      </w:r>
      <w:r w:rsidR="008C0131" w:rsidRPr="00DC0C6B">
        <w:rPr>
          <w:rStyle w:val="FootnoteReference"/>
        </w:rPr>
        <w:footnoteReference w:id="49"/>
      </w:r>
      <w:r w:rsidR="007A08B5" w:rsidRPr="00DC0C6B">
        <w:t xml:space="preserve"> </w:t>
      </w:r>
      <w:r w:rsidR="00B24998" w:rsidRPr="00DC0C6B">
        <w:t>It is surmised that east or south-east facing entrances were positioned to maximise sunlight in the building and to provide shelter from the prevailing wind</w:t>
      </w:r>
      <w:r w:rsidR="008C0131" w:rsidRPr="00DC0C6B">
        <w:t>.</w:t>
      </w:r>
      <w:r w:rsidR="008C0131" w:rsidRPr="00DC0C6B">
        <w:rPr>
          <w:rStyle w:val="FootnoteReference"/>
        </w:rPr>
        <w:footnoteReference w:id="50"/>
      </w:r>
      <w:r w:rsidR="00B24998" w:rsidRPr="00DC0C6B">
        <w:t xml:space="preserve"> Alternative theories, however, centre on the potentially symbolic orientation of roundhouse entrances, with Oswald suggesting a link to sun-worship</w:t>
      </w:r>
      <w:r w:rsidR="00E014A8" w:rsidRPr="00DC0C6B">
        <w:t>,</w:t>
      </w:r>
      <w:r w:rsidR="008C0131" w:rsidRPr="00DC0C6B">
        <w:rPr>
          <w:rStyle w:val="FootnoteReference"/>
        </w:rPr>
        <w:footnoteReference w:id="51"/>
      </w:r>
      <w:r w:rsidR="00E014A8" w:rsidRPr="00DC0C6B">
        <w:t xml:space="preserve"> but i</w:t>
      </w:r>
      <w:r w:rsidR="0026601A" w:rsidRPr="00DC0C6B">
        <w:t xml:space="preserve">t is feasible that the positioning of roundhouse entrances encompassed both spiritual and practical considerations. </w:t>
      </w:r>
    </w:p>
    <w:p w14:paraId="11B8FF84" w14:textId="5F6110B6" w:rsidR="008240D3" w:rsidRPr="00DC0C6B" w:rsidRDefault="006C2119" w:rsidP="000D0BBB">
      <w:pPr>
        <w:pStyle w:val="05TextNumberedParagraph"/>
      </w:pPr>
      <w:r w:rsidRPr="00DC0C6B">
        <w:t>The location of a</w:t>
      </w:r>
      <w:r w:rsidR="008240D3" w:rsidRPr="00DC0C6B">
        <w:t xml:space="preserve"> further possible roundhouse </w:t>
      </w:r>
      <w:proofErr w:type="gramStart"/>
      <w:r w:rsidR="008240D3" w:rsidRPr="00DC0C6B">
        <w:t>was suggested</w:t>
      </w:r>
      <w:proofErr w:type="gramEnd"/>
      <w:r w:rsidR="008240D3" w:rsidRPr="00DC0C6B">
        <w:t xml:space="preserve"> by a semi-circular arrangement of postholes</w:t>
      </w:r>
      <w:r w:rsidRPr="00DC0C6B">
        <w:t xml:space="preserve"> (</w:t>
      </w:r>
      <w:r w:rsidR="00E014A8" w:rsidRPr="00DC0C6B">
        <w:t>semi-circular structure 1</w:t>
      </w:r>
      <w:r w:rsidRPr="00DC0C6B">
        <w:t>)</w:t>
      </w:r>
      <w:r w:rsidR="008240D3" w:rsidRPr="00DC0C6B">
        <w:t xml:space="preserve"> situated immediately to the north-west of the main group of roundhouses. No evidence for an enclosing ditch was identified</w:t>
      </w:r>
      <w:r w:rsidR="00E014A8" w:rsidRPr="00DC0C6B">
        <w:t xml:space="preserve"> but at least one post-ring building at Yarnton wasn’t defined by a ditch (Bell et al. 2011, 156–157).</w:t>
      </w:r>
      <w:r w:rsidR="00E014A8" w:rsidRPr="00DC0C6B">
        <w:rPr>
          <w:rStyle w:val="FootnoteReference"/>
        </w:rPr>
        <w:footnoteReference w:id="52"/>
      </w:r>
      <w:r w:rsidR="0095317F" w:rsidRPr="00DC0C6B">
        <w:t xml:space="preserve"> </w:t>
      </w:r>
      <w:r w:rsidR="00E014A8" w:rsidRPr="00DC0C6B">
        <w:t>I</w:t>
      </w:r>
      <w:r w:rsidR="0095317F" w:rsidRPr="00DC0C6B">
        <w:t>t</w:t>
      </w:r>
      <w:r w:rsidR="00E014A8" w:rsidRPr="00DC0C6B">
        <w:t xml:space="preserve"> is </w:t>
      </w:r>
      <w:r w:rsidR="00E014A8" w:rsidRPr="00DC0C6B">
        <w:lastRenderedPageBreak/>
        <w:t>also possible that it</w:t>
      </w:r>
      <w:r w:rsidR="0095317F" w:rsidRPr="00DC0C6B">
        <w:t xml:space="preserve"> could </w:t>
      </w:r>
      <w:r w:rsidR="00663E33" w:rsidRPr="00DC0C6B">
        <w:t>represent a semi-circular workshop o</w:t>
      </w:r>
      <w:r w:rsidR="0095317F" w:rsidRPr="00DC0C6B">
        <w:t>r</w:t>
      </w:r>
      <w:r w:rsidR="00663E33" w:rsidRPr="00DC0C6B">
        <w:t xml:space="preserve"> windbreak, similar to examples identified at </w:t>
      </w:r>
      <w:proofErr w:type="spellStart"/>
      <w:r w:rsidR="00663E33" w:rsidRPr="00DC0C6B">
        <w:t>Farmoor</w:t>
      </w:r>
      <w:proofErr w:type="spellEnd"/>
      <w:r w:rsidR="008C0131" w:rsidRPr="00DC0C6B">
        <w:rPr>
          <w:rStyle w:val="FootnoteReference"/>
        </w:rPr>
        <w:footnoteReference w:id="53"/>
      </w:r>
      <w:r w:rsidR="00663E33" w:rsidRPr="00DC0C6B">
        <w:t xml:space="preserve"> and Ya</w:t>
      </w:r>
      <w:r w:rsidRPr="00DC0C6B">
        <w:t>r</w:t>
      </w:r>
      <w:r w:rsidR="00663E33" w:rsidRPr="00DC0C6B">
        <w:t>nton</w:t>
      </w:r>
      <w:r w:rsidR="008C0131" w:rsidRPr="00DC0C6B">
        <w:t>.</w:t>
      </w:r>
      <w:r w:rsidR="008C0131" w:rsidRPr="00DC0C6B">
        <w:rPr>
          <w:rStyle w:val="FootnoteReference"/>
        </w:rPr>
        <w:footnoteReference w:id="54"/>
      </w:r>
      <w:r w:rsidR="00663E33" w:rsidRPr="00DC0C6B">
        <w:t xml:space="preserve"> </w:t>
      </w:r>
      <w:r w:rsidRPr="00DC0C6B">
        <w:t xml:space="preserve">An Early Iron Age </w:t>
      </w:r>
      <w:r w:rsidR="0095317F" w:rsidRPr="00DC0C6B">
        <w:t>semi-circular post-ring</w:t>
      </w:r>
      <w:r w:rsidRPr="00DC0C6B">
        <w:t xml:space="preserve"> found at </w:t>
      </w:r>
      <w:proofErr w:type="spellStart"/>
      <w:r w:rsidRPr="00DC0C6B">
        <w:t>Hartshill</w:t>
      </w:r>
      <w:proofErr w:type="spellEnd"/>
      <w:r w:rsidRPr="00DC0C6B">
        <w:t xml:space="preserve"> </w:t>
      </w:r>
      <w:proofErr w:type="spellStart"/>
      <w:r w:rsidRPr="00DC0C6B">
        <w:t>Copse</w:t>
      </w:r>
      <w:proofErr w:type="spellEnd"/>
      <w:r w:rsidRPr="00DC0C6B">
        <w:t xml:space="preserve"> </w:t>
      </w:r>
      <w:r w:rsidR="008C0131" w:rsidRPr="00DC0C6B">
        <w:rPr>
          <w:rStyle w:val="FootnoteReference"/>
        </w:rPr>
        <w:footnoteReference w:id="55"/>
      </w:r>
      <w:r w:rsidRPr="00DC0C6B">
        <w:t xml:space="preserve"> was appended to a roundhouse and probably acted as an enclosure. </w:t>
      </w:r>
    </w:p>
    <w:p w14:paraId="12CA1E2F" w14:textId="4852A6D8" w:rsidR="00133277" w:rsidRDefault="00133277" w:rsidP="00133277">
      <w:pPr>
        <w:pStyle w:val="05TextNumberedParagraph"/>
      </w:pPr>
      <w:r w:rsidRPr="00DC0C6B">
        <w:t xml:space="preserve">Other types of structure comprised two </w:t>
      </w:r>
      <w:r w:rsidR="0095317F" w:rsidRPr="00DC0C6B">
        <w:t>broadly rectangular</w:t>
      </w:r>
      <w:r w:rsidRPr="00DC0C6B">
        <w:t xml:space="preserve"> arrangements of postholes. Rectangular structures are uncommon on Middle Iron Age sites in the Upper Thames valley and like post-built structures 1 and 2, usually contain very little domestic material. Lambrick has suggested that they could represent workshops or animal pens</w:t>
      </w:r>
      <w:r w:rsidR="007729D4" w:rsidRPr="00DC0C6B">
        <w:t>.</w:t>
      </w:r>
      <w:r w:rsidRPr="00DC0C6B">
        <w:t xml:space="preserve"> </w:t>
      </w:r>
    </w:p>
    <w:p w14:paraId="25D7766D" w14:textId="77777777" w:rsidR="008F5FFA" w:rsidRPr="00DC0C6B" w:rsidRDefault="008F5FFA" w:rsidP="00133277">
      <w:pPr>
        <w:pStyle w:val="05TextNumberedParagraph"/>
      </w:pPr>
    </w:p>
    <w:p w14:paraId="26874501" w14:textId="4112091E" w:rsidR="00E10BEE" w:rsidRPr="00DC0C6B" w:rsidRDefault="00E10BEE" w:rsidP="00EE5939">
      <w:pPr>
        <w:pStyle w:val="05TextNumberedParagraph"/>
        <w:ind w:firstLine="0"/>
        <w:rPr>
          <w:i/>
          <w:iCs/>
        </w:rPr>
      </w:pPr>
      <w:r w:rsidRPr="00DC0C6B">
        <w:rPr>
          <w:i/>
          <w:iCs/>
        </w:rPr>
        <w:t>Enclosures</w:t>
      </w:r>
      <w:r w:rsidR="00EE5939" w:rsidRPr="00DC0C6B">
        <w:rPr>
          <w:i/>
          <w:iCs/>
        </w:rPr>
        <w:t xml:space="preserve"> </w:t>
      </w:r>
      <w:r w:rsidR="008F5FFA">
        <w:rPr>
          <w:i/>
          <w:iCs/>
        </w:rPr>
        <w:tab/>
      </w:r>
      <w:r w:rsidR="008F5FFA">
        <w:rPr>
          <w:i/>
          <w:iCs/>
        </w:rPr>
        <w:tab/>
      </w:r>
      <w:r w:rsidR="00133277" w:rsidRPr="00DC0C6B">
        <w:t>Three small</w:t>
      </w:r>
      <w:r w:rsidR="007729D4" w:rsidRPr="00DC0C6B">
        <w:t>, possibly</w:t>
      </w:r>
      <w:r w:rsidR="00133277" w:rsidRPr="00DC0C6B">
        <w:t xml:space="preserve"> rectangular</w:t>
      </w:r>
      <w:r w:rsidR="002635EA" w:rsidRPr="00DC0C6B">
        <w:t>,</w:t>
      </w:r>
      <w:r w:rsidR="00133277" w:rsidRPr="00DC0C6B">
        <w:t xml:space="preserve"> enclosures (1–3) and a circular enclosure (4) were associated with the A40 </w:t>
      </w:r>
      <w:r w:rsidR="007729D4" w:rsidRPr="00DC0C6B">
        <w:t xml:space="preserve">Eynsham </w:t>
      </w:r>
      <w:r w:rsidR="00C74B99" w:rsidRPr="00DC0C6B">
        <w:t>settlement</w:t>
      </w:r>
      <w:r w:rsidR="00133277" w:rsidRPr="00DC0C6B">
        <w:t xml:space="preserve">. Enclosures 1 and 3 </w:t>
      </w:r>
      <w:proofErr w:type="gramStart"/>
      <w:r w:rsidR="00133277" w:rsidRPr="00DC0C6B">
        <w:t xml:space="preserve">were not </w:t>
      </w:r>
      <w:r w:rsidR="00C92013" w:rsidRPr="00DC0C6B">
        <w:t xml:space="preserve">entirely </w:t>
      </w:r>
      <w:r w:rsidR="00133277" w:rsidRPr="00DC0C6B">
        <w:t>enclosed</w:t>
      </w:r>
      <w:proofErr w:type="gramEnd"/>
      <w:r w:rsidR="00133277" w:rsidRPr="00DC0C6B">
        <w:t xml:space="preserve"> by ditched boundaries on all sides</w:t>
      </w:r>
      <w:r w:rsidR="00C92013" w:rsidRPr="00DC0C6B">
        <w:t xml:space="preserve"> but</w:t>
      </w:r>
      <w:r w:rsidR="00133277" w:rsidRPr="00DC0C6B">
        <w:t xml:space="preserve"> it has been tentatively suggested that enclosure 1 might have been partially </w:t>
      </w:r>
      <w:r w:rsidR="00701CF8" w:rsidRPr="00DC0C6B">
        <w:t>defined</w:t>
      </w:r>
      <w:r w:rsidR="00133277" w:rsidRPr="00DC0C6B">
        <w:t xml:space="preserve"> by a </w:t>
      </w:r>
      <w:proofErr w:type="spellStart"/>
      <w:r w:rsidR="00133277" w:rsidRPr="00DC0C6B">
        <w:t>fenceline</w:t>
      </w:r>
      <w:proofErr w:type="spellEnd"/>
      <w:r w:rsidR="00C92013" w:rsidRPr="00DC0C6B">
        <w:t xml:space="preserve"> on two sides</w:t>
      </w:r>
      <w:r w:rsidR="00133277" w:rsidRPr="00DC0C6B">
        <w:t>. Similar enclosures</w:t>
      </w:r>
      <w:r w:rsidR="00C92013" w:rsidRPr="00DC0C6B">
        <w:t>, often only two sided,</w:t>
      </w:r>
      <w:r w:rsidR="00133277" w:rsidRPr="00DC0C6B">
        <w:t xml:space="preserve"> were associated with Middle Iron Age settlement at Heathrow Terminal 5</w:t>
      </w:r>
      <w:r w:rsidR="008C0131" w:rsidRPr="00DC0C6B">
        <w:t>.</w:t>
      </w:r>
      <w:r w:rsidR="008C0131" w:rsidRPr="00DC0C6B">
        <w:rPr>
          <w:rStyle w:val="FootnoteReference"/>
        </w:rPr>
        <w:footnoteReference w:id="56"/>
      </w:r>
      <w:r w:rsidR="008C0131" w:rsidRPr="00DC0C6B">
        <w:t xml:space="preserve"> </w:t>
      </w:r>
      <w:r w:rsidR="00C92013" w:rsidRPr="00DC0C6B">
        <w:t>There</w:t>
      </w:r>
      <w:r w:rsidR="00133277" w:rsidRPr="00DC0C6B">
        <w:t xml:space="preserve"> it </w:t>
      </w:r>
      <w:proofErr w:type="gramStart"/>
      <w:r w:rsidR="00133277" w:rsidRPr="00DC0C6B">
        <w:t>was suggested</w:t>
      </w:r>
      <w:proofErr w:type="gramEnd"/>
      <w:r w:rsidR="00133277" w:rsidRPr="00DC0C6B">
        <w:t xml:space="preserve"> that they represented stock enclosures</w:t>
      </w:r>
      <w:r w:rsidR="00C92013" w:rsidRPr="00DC0C6B">
        <w:t xml:space="preserve"> with the open sides being enclosed by wattle panels once the animals ha</w:t>
      </w:r>
      <w:r w:rsidR="00C74B99" w:rsidRPr="00DC0C6B">
        <w:t>d</w:t>
      </w:r>
      <w:r w:rsidR="00C92013" w:rsidRPr="00DC0C6B">
        <w:t xml:space="preserve"> been funnelled in</w:t>
      </w:r>
      <w:r w:rsidR="008C0131" w:rsidRPr="00DC0C6B">
        <w:t xml:space="preserve">. </w:t>
      </w:r>
      <w:r w:rsidR="00701CF8" w:rsidRPr="00DC0C6B">
        <w:t xml:space="preserve">Those within the excavation area could have had a similar function although </w:t>
      </w:r>
      <w:r w:rsidR="00C92013" w:rsidRPr="00DC0C6B">
        <w:t>the shallow depth of some of the ditches suggest</w:t>
      </w:r>
      <w:r w:rsidR="00BB57A1" w:rsidRPr="00DC0C6B">
        <w:t>ed</w:t>
      </w:r>
      <w:r w:rsidR="00C92013" w:rsidRPr="00DC0C6B">
        <w:t xml:space="preserve"> that they would have been reinforced</w:t>
      </w:r>
      <w:r w:rsidR="00C74B99" w:rsidRPr="00DC0C6B">
        <w:t xml:space="preserve"> </w:t>
      </w:r>
      <w:proofErr w:type="gramStart"/>
      <w:r w:rsidR="00C74B99" w:rsidRPr="00DC0C6B">
        <w:t>in order for</w:t>
      </w:r>
      <w:proofErr w:type="gramEnd"/>
      <w:r w:rsidR="00C74B99" w:rsidRPr="00DC0C6B">
        <w:t xml:space="preserve"> them to be </w:t>
      </w:r>
      <w:r w:rsidR="002771A4" w:rsidRPr="00DC0C6B">
        <w:t>live</w:t>
      </w:r>
      <w:r w:rsidR="00C74B99" w:rsidRPr="00DC0C6B">
        <w:t>stock-proof, possibly</w:t>
      </w:r>
      <w:r w:rsidR="00C92013" w:rsidRPr="00DC0C6B">
        <w:t xml:space="preserve"> by hedgerows</w:t>
      </w:r>
      <w:r w:rsidR="00C74B99" w:rsidRPr="00DC0C6B">
        <w:t>.</w:t>
      </w:r>
      <w:r w:rsidR="00C92013" w:rsidRPr="00DC0C6B">
        <w:t xml:space="preserve"> </w:t>
      </w:r>
    </w:p>
    <w:p w14:paraId="4146ADE7" w14:textId="5A386212" w:rsidR="00215487" w:rsidRDefault="00EC5027" w:rsidP="007A08B5">
      <w:pPr>
        <w:pStyle w:val="05TextNumberedParagraph"/>
      </w:pPr>
      <w:r w:rsidRPr="00DC0C6B">
        <w:t>E</w:t>
      </w:r>
      <w:r w:rsidR="00215487" w:rsidRPr="00DC0C6B">
        <w:t xml:space="preserve">nclosure 4 </w:t>
      </w:r>
      <w:r w:rsidRPr="00DC0C6B">
        <w:t xml:space="preserve">was similar in shape and size to the roundhouses but </w:t>
      </w:r>
      <w:proofErr w:type="gramStart"/>
      <w:r w:rsidRPr="00DC0C6B">
        <w:t>was defined</w:t>
      </w:r>
      <w:proofErr w:type="gramEnd"/>
      <w:r w:rsidRPr="00DC0C6B">
        <w:t xml:space="preserve"> by more substantial ditches that had been </w:t>
      </w:r>
      <w:r w:rsidR="002771A4" w:rsidRPr="00DC0C6B">
        <w:t>maintained</w:t>
      </w:r>
      <w:r w:rsidRPr="00DC0C6B">
        <w:t xml:space="preserve">. </w:t>
      </w:r>
      <w:r w:rsidR="00C92013" w:rsidRPr="00DC0C6B">
        <w:t xml:space="preserve">A larger assemblage of pottery and animal bone </w:t>
      </w:r>
      <w:proofErr w:type="gramStart"/>
      <w:r w:rsidR="00C92013" w:rsidRPr="00DC0C6B">
        <w:t>was also recovered</w:t>
      </w:r>
      <w:proofErr w:type="gramEnd"/>
      <w:r w:rsidR="00C92013" w:rsidRPr="00DC0C6B">
        <w:t xml:space="preserve"> from enclosure 4 in contrast to the roundhouse ditches. </w:t>
      </w:r>
      <w:r w:rsidR="008240D3" w:rsidRPr="00DC0C6B">
        <w:t>A similar enclosure found at Yarnton enclosed a building defined by a post-ring</w:t>
      </w:r>
      <w:r w:rsidR="008C0131" w:rsidRPr="00DC0C6B">
        <w:rPr>
          <w:rStyle w:val="FootnoteReference"/>
        </w:rPr>
        <w:footnoteReference w:id="57"/>
      </w:r>
      <w:r w:rsidR="00C74B99" w:rsidRPr="00DC0C6B">
        <w:t xml:space="preserve"> and th</w:t>
      </w:r>
      <w:r w:rsidR="002771A4" w:rsidRPr="00DC0C6B">
        <w:t>e</w:t>
      </w:r>
      <w:r w:rsidR="008240D3" w:rsidRPr="00DC0C6B">
        <w:t xml:space="preserve"> random scatter of postholes and small pits in the interior</w:t>
      </w:r>
      <w:r w:rsidR="00C74B99" w:rsidRPr="00DC0C6B">
        <w:t xml:space="preserve"> of enclosure 4 could relate to structural remains</w:t>
      </w:r>
      <w:r w:rsidR="008240D3" w:rsidRPr="00DC0C6B">
        <w:t xml:space="preserve">. Its </w:t>
      </w:r>
      <w:proofErr w:type="gramStart"/>
      <w:r w:rsidR="008240D3" w:rsidRPr="00DC0C6B">
        <w:t>close proximity</w:t>
      </w:r>
      <w:proofErr w:type="gramEnd"/>
      <w:r w:rsidR="008240D3" w:rsidRPr="00DC0C6B">
        <w:t xml:space="preserve"> to roundhouse B, however, </w:t>
      </w:r>
      <w:r w:rsidR="00B47E8F" w:rsidRPr="00DC0C6B">
        <w:t>also raises the possibility</w:t>
      </w:r>
      <w:r w:rsidR="008240D3" w:rsidRPr="00DC0C6B">
        <w:t xml:space="preserve"> that it </w:t>
      </w:r>
      <w:r w:rsidR="00B47E8F" w:rsidRPr="00DC0C6B">
        <w:t>formed</w:t>
      </w:r>
      <w:r w:rsidR="008240D3" w:rsidRPr="00DC0C6B">
        <w:t xml:space="preserve"> an annexe, with its north-west entrance opening onto the adjacent building. </w:t>
      </w:r>
      <w:r w:rsidR="00AB73E3" w:rsidRPr="00DC0C6B">
        <w:t>Similar</w:t>
      </w:r>
      <w:r w:rsidR="008240D3" w:rsidRPr="00DC0C6B">
        <w:t xml:space="preserve"> arrangements </w:t>
      </w:r>
      <w:proofErr w:type="gramStart"/>
      <w:r w:rsidR="008240D3" w:rsidRPr="00DC0C6B">
        <w:t>were recorded</w:t>
      </w:r>
      <w:proofErr w:type="gramEnd"/>
      <w:r w:rsidR="008240D3" w:rsidRPr="00DC0C6B">
        <w:t xml:space="preserve"> at </w:t>
      </w:r>
      <w:proofErr w:type="spellStart"/>
      <w:r w:rsidR="008240D3" w:rsidRPr="00DC0C6B">
        <w:t>Farmoor</w:t>
      </w:r>
      <w:proofErr w:type="spellEnd"/>
      <w:r w:rsidR="008240D3" w:rsidRPr="00DC0C6B">
        <w:t xml:space="preserve"> and </w:t>
      </w:r>
      <w:r w:rsidR="00AB73E3" w:rsidRPr="00DC0C6B">
        <w:t xml:space="preserve">were interpreted as possible yards or </w:t>
      </w:r>
      <w:r w:rsidR="002771A4" w:rsidRPr="00DC0C6B">
        <w:t>live</w:t>
      </w:r>
      <w:r w:rsidR="00AB73E3" w:rsidRPr="00DC0C6B">
        <w:t>stock pens</w:t>
      </w:r>
      <w:r w:rsidR="008C0131" w:rsidRPr="00DC0C6B">
        <w:t>.</w:t>
      </w:r>
      <w:r w:rsidR="008C0131" w:rsidRPr="00DC0C6B">
        <w:rPr>
          <w:rStyle w:val="FootnoteReference"/>
        </w:rPr>
        <w:footnoteReference w:id="58"/>
      </w:r>
      <w:r w:rsidR="00AB73E3" w:rsidRPr="00DC0C6B">
        <w:t xml:space="preserve"> </w:t>
      </w:r>
    </w:p>
    <w:p w14:paraId="03181150" w14:textId="77777777" w:rsidR="008F5FFA" w:rsidRPr="00DC0C6B" w:rsidRDefault="008F5FFA" w:rsidP="007A08B5">
      <w:pPr>
        <w:pStyle w:val="05TextNumberedParagraph"/>
      </w:pPr>
    </w:p>
    <w:p w14:paraId="775D72DE" w14:textId="4017306B" w:rsidR="00A54C29" w:rsidRDefault="001E06CD" w:rsidP="00EE5939">
      <w:pPr>
        <w:pStyle w:val="05TextNumberedParagraph"/>
        <w:ind w:firstLine="0"/>
      </w:pPr>
      <w:r w:rsidRPr="00DC0C6B">
        <w:rPr>
          <w:i/>
          <w:iCs/>
        </w:rPr>
        <w:lastRenderedPageBreak/>
        <w:t>Ritual activity</w:t>
      </w:r>
      <w:r w:rsidR="008F5FFA">
        <w:rPr>
          <w:i/>
          <w:iCs/>
        </w:rPr>
        <w:tab/>
      </w:r>
      <w:r w:rsidR="008F5FFA">
        <w:rPr>
          <w:i/>
          <w:iCs/>
        </w:rPr>
        <w:tab/>
      </w:r>
      <w:r w:rsidRPr="00DC0C6B">
        <w:t xml:space="preserve">No </w:t>
      </w:r>
      <w:r w:rsidR="007A08B5" w:rsidRPr="00DC0C6B">
        <w:t>formal</w:t>
      </w:r>
      <w:r w:rsidRPr="00DC0C6B">
        <w:t xml:space="preserve"> burials or disarticulated human bone </w:t>
      </w:r>
      <w:proofErr w:type="gramStart"/>
      <w:r w:rsidRPr="00DC0C6B">
        <w:t>was identified</w:t>
      </w:r>
      <w:proofErr w:type="gramEnd"/>
      <w:r w:rsidRPr="00DC0C6B">
        <w:t xml:space="preserve"> on the site</w:t>
      </w:r>
      <w:r w:rsidR="0024672F" w:rsidRPr="00DC0C6B">
        <w:t>.</w:t>
      </w:r>
      <w:r w:rsidRPr="00DC0C6B">
        <w:t xml:space="preserve"> </w:t>
      </w:r>
      <w:r w:rsidR="00957FF1" w:rsidRPr="00DC0C6B">
        <w:t>A</w:t>
      </w:r>
      <w:r w:rsidR="00304412" w:rsidRPr="00DC0C6B">
        <w:t xml:space="preserve">rtefacts </w:t>
      </w:r>
      <w:r w:rsidR="00871866" w:rsidRPr="00DC0C6B">
        <w:t xml:space="preserve">were also </w:t>
      </w:r>
      <w:r w:rsidR="00957FF1" w:rsidRPr="00DC0C6B">
        <w:t>sparse</w:t>
      </w:r>
      <w:r w:rsidR="00871866" w:rsidRPr="00DC0C6B">
        <w:t xml:space="preserve">, </w:t>
      </w:r>
      <w:r w:rsidR="00A54C29" w:rsidRPr="00DC0C6B">
        <w:t xml:space="preserve">so the </w:t>
      </w:r>
      <w:r w:rsidR="0024672F" w:rsidRPr="00DC0C6B">
        <w:t>occurrence</w:t>
      </w:r>
      <w:r w:rsidR="00A54C29" w:rsidRPr="00DC0C6B">
        <w:t xml:space="preserve"> of</w:t>
      </w:r>
      <w:r w:rsidR="00304412" w:rsidRPr="00DC0C6B">
        <w:t xml:space="preserve"> </w:t>
      </w:r>
      <w:r w:rsidR="00A54C29" w:rsidRPr="00DC0C6B">
        <w:t xml:space="preserve">a complete and a partial </w:t>
      </w:r>
      <w:proofErr w:type="spellStart"/>
      <w:r w:rsidR="00304412" w:rsidRPr="00DC0C6B">
        <w:t>loomweight</w:t>
      </w:r>
      <w:proofErr w:type="spellEnd"/>
      <w:r w:rsidR="00304412" w:rsidRPr="00DC0C6B">
        <w:t xml:space="preserve"> in </w:t>
      </w:r>
      <w:r w:rsidR="00A54C29" w:rsidRPr="00DC0C6B">
        <w:t xml:space="preserve">two </w:t>
      </w:r>
      <w:r w:rsidR="00304412" w:rsidRPr="00DC0C6B">
        <w:t>postholes associated with roundhouses A and B</w:t>
      </w:r>
      <w:r w:rsidR="00A54C29" w:rsidRPr="00DC0C6B">
        <w:t xml:space="preserve"> appear</w:t>
      </w:r>
      <w:r w:rsidR="00ED5BAD" w:rsidRPr="00DC0C6B">
        <w:t>s</w:t>
      </w:r>
      <w:r w:rsidR="00A54C29" w:rsidRPr="00DC0C6B">
        <w:t xml:space="preserve"> to be significant</w:t>
      </w:r>
      <w:r w:rsidR="0024672F" w:rsidRPr="00DC0C6B">
        <w:t>, particularly as the</w:t>
      </w:r>
      <w:r w:rsidR="00957FF1" w:rsidRPr="00DC0C6B">
        <w:t>re</w:t>
      </w:r>
      <w:r w:rsidR="0024672F" w:rsidRPr="00DC0C6B">
        <w:t xml:space="preserve"> were no other </w:t>
      </w:r>
      <w:r w:rsidR="00957FF1" w:rsidRPr="00DC0C6B">
        <w:t>occurrences</w:t>
      </w:r>
      <w:r w:rsidR="0024672F" w:rsidRPr="00DC0C6B">
        <w:t xml:space="preserve"> of this type of object from the settlement</w:t>
      </w:r>
      <w:r w:rsidR="00A54C29" w:rsidRPr="00DC0C6B">
        <w:t>.</w:t>
      </w:r>
      <w:r w:rsidR="00304412" w:rsidRPr="00DC0C6B">
        <w:t xml:space="preserve"> </w:t>
      </w:r>
      <w:r w:rsidR="0024672F" w:rsidRPr="00DC0C6B">
        <w:t>A</w:t>
      </w:r>
      <w:r w:rsidR="00A54C29" w:rsidRPr="00DC0C6B">
        <w:t>ssemblages of artefacts</w:t>
      </w:r>
      <w:r w:rsidR="0024672F" w:rsidRPr="00DC0C6B">
        <w:t xml:space="preserve"> that don’t appear to follow a normal deposition pattern of domestic rubbish </w:t>
      </w:r>
      <w:r w:rsidR="00A54C29" w:rsidRPr="00DC0C6B">
        <w:t>are a common find on Iron Age sites</w:t>
      </w:r>
      <w:r w:rsidR="0024672F" w:rsidRPr="00DC0C6B">
        <w:t xml:space="preserve"> and are termed ‘unusual’ or ‘special’</w:t>
      </w:r>
      <w:r w:rsidR="008C0131" w:rsidRPr="00DC0C6B">
        <w:t>.</w:t>
      </w:r>
      <w:r w:rsidR="008C0131" w:rsidRPr="00DC0C6B">
        <w:rPr>
          <w:rStyle w:val="FootnoteReference"/>
        </w:rPr>
        <w:footnoteReference w:id="59"/>
      </w:r>
      <w:r w:rsidR="0024672F" w:rsidRPr="00DC0C6B">
        <w:t xml:space="preserve"> </w:t>
      </w:r>
      <w:r w:rsidR="00957FF1" w:rsidRPr="00DC0C6B">
        <w:t>Where ‘unusual’ deposits</w:t>
      </w:r>
      <w:r w:rsidR="0024672F" w:rsidRPr="00DC0C6B">
        <w:t xml:space="preserve"> </w:t>
      </w:r>
      <w:r w:rsidR="00957FF1" w:rsidRPr="00DC0C6B">
        <w:t xml:space="preserve">have been found </w:t>
      </w:r>
      <w:r w:rsidR="00270066" w:rsidRPr="00DC0C6B">
        <w:t>associated with buildings</w:t>
      </w:r>
      <w:r w:rsidR="00957FF1" w:rsidRPr="00DC0C6B">
        <w:t>, they</w:t>
      </w:r>
      <w:r w:rsidR="0024672F" w:rsidRPr="00DC0C6B">
        <w:t xml:space="preserve"> have been</w:t>
      </w:r>
      <w:r w:rsidR="00270066" w:rsidRPr="00DC0C6B">
        <w:t xml:space="preserve"> </w:t>
      </w:r>
      <w:r w:rsidR="00ED5BAD" w:rsidRPr="00DC0C6B">
        <w:t>interpreted</w:t>
      </w:r>
      <w:r w:rsidR="00270066" w:rsidRPr="00DC0C6B">
        <w:t xml:space="preserve"> as possible closure or foundation deposits, </w:t>
      </w:r>
      <w:r w:rsidR="00957FF1" w:rsidRPr="00DC0C6B">
        <w:t xml:space="preserve">potentially </w:t>
      </w:r>
      <w:r w:rsidR="00270066" w:rsidRPr="00DC0C6B">
        <w:t>mark</w:t>
      </w:r>
      <w:r w:rsidR="00957FF1" w:rsidRPr="00DC0C6B">
        <w:t>ing</w:t>
      </w:r>
      <w:r w:rsidR="00270066" w:rsidRPr="00DC0C6B">
        <w:t xml:space="preserve"> specific events in the life of a building</w:t>
      </w:r>
      <w:r w:rsidR="008C0131" w:rsidRPr="00DC0C6B">
        <w:t>.</w:t>
      </w:r>
      <w:r w:rsidR="008C0131" w:rsidRPr="00DC0C6B">
        <w:rPr>
          <w:rStyle w:val="FootnoteReference"/>
        </w:rPr>
        <w:footnoteReference w:id="60"/>
      </w:r>
      <w:r w:rsidR="00ED5BAD" w:rsidRPr="00DC0C6B">
        <w:t xml:space="preserve"> </w:t>
      </w:r>
      <w:r w:rsidR="00270066" w:rsidRPr="00DC0C6B">
        <w:t xml:space="preserve">At </w:t>
      </w:r>
      <w:proofErr w:type="spellStart"/>
      <w:r w:rsidR="00270066" w:rsidRPr="00DC0C6B">
        <w:t>Mingies</w:t>
      </w:r>
      <w:proofErr w:type="spellEnd"/>
      <w:r w:rsidR="00270066" w:rsidRPr="00DC0C6B">
        <w:t xml:space="preserve"> Ditch </w:t>
      </w:r>
      <w:r w:rsidR="00A54C29" w:rsidRPr="00DC0C6B">
        <w:t>two saddle querns and their rubbers</w:t>
      </w:r>
      <w:r w:rsidR="00270066" w:rsidRPr="00DC0C6B">
        <w:t xml:space="preserve"> had been</w:t>
      </w:r>
      <w:r w:rsidR="00A54C29" w:rsidRPr="00DC0C6B">
        <w:t xml:space="preserve"> deposited in a pit inside a building</w:t>
      </w:r>
      <w:r w:rsidR="008C0131" w:rsidRPr="00DC0C6B">
        <w:t>,</w:t>
      </w:r>
      <w:r w:rsidR="008C0131" w:rsidRPr="00DC0C6B">
        <w:rPr>
          <w:rStyle w:val="FootnoteReference"/>
        </w:rPr>
        <w:footnoteReference w:id="61"/>
      </w:r>
      <w:r w:rsidR="00A54C29" w:rsidRPr="00DC0C6B">
        <w:t xml:space="preserve"> </w:t>
      </w:r>
      <w:r w:rsidR="00270066" w:rsidRPr="00DC0C6B">
        <w:t xml:space="preserve">whereas </w:t>
      </w:r>
      <w:proofErr w:type="spellStart"/>
      <w:r w:rsidR="00270066" w:rsidRPr="00DC0C6B">
        <w:t>loomweights</w:t>
      </w:r>
      <w:proofErr w:type="spellEnd"/>
      <w:r w:rsidR="00270066" w:rsidRPr="00DC0C6B">
        <w:t xml:space="preserve"> and circular clay slabs were found in a pit associated with an Early Iron Age building at Gravelly Guy</w:t>
      </w:r>
      <w:r w:rsidR="008C0131" w:rsidRPr="00DC0C6B">
        <w:t>.</w:t>
      </w:r>
      <w:r w:rsidR="008C0131" w:rsidRPr="00DC0C6B">
        <w:rPr>
          <w:rStyle w:val="FootnoteReference"/>
        </w:rPr>
        <w:footnoteReference w:id="62"/>
      </w:r>
      <w:r w:rsidR="00270066" w:rsidRPr="00DC0C6B">
        <w:t xml:space="preserve"> </w:t>
      </w:r>
    </w:p>
    <w:p w14:paraId="6862DD1E" w14:textId="77777777" w:rsidR="008F5FFA" w:rsidRPr="00DC0C6B" w:rsidRDefault="008F5FFA" w:rsidP="00EE5939">
      <w:pPr>
        <w:pStyle w:val="05TextNumberedParagraph"/>
        <w:ind w:firstLine="0"/>
        <w:rPr>
          <w:i/>
          <w:iCs/>
        </w:rPr>
      </w:pPr>
    </w:p>
    <w:p w14:paraId="4879450C" w14:textId="19026606" w:rsidR="00BD6952" w:rsidRPr="00DC0C6B" w:rsidRDefault="00BA64B8" w:rsidP="00EE5939">
      <w:pPr>
        <w:pStyle w:val="05TextNumberedParagraph"/>
        <w:ind w:firstLine="0"/>
        <w:rPr>
          <w:i/>
          <w:iCs/>
        </w:rPr>
      </w:pPr>
      <w:r w:rsidRPr="00DC0C6B">
        <w:rPr>
          <w:i/>
          <w:iCs/>
        </w:rPr>
        <w:t>Economic basis</w:t>
      </w:r>
      <w:r w:rsidR="00CF257D" w:rsidRPr="00DC0C6B">
        <w:rPr>
          <w:i/>
          <w:iCs/>
        </w:rPr>
        <w:t xml:space="preserve"> and local e</w:t>
      </w:r>
      <w:r w:rsidR="001E06CD" w:rsidRPr="00DC0C6B">
        <w:rPr>
          <w:i/>
          <w:iCs/>
        </w:rPr>
        <w:t>nvironment</w:t>
      </w:r>
      <w:r w:rsidR="00EE5939" w:rsidRPr="00DC0C6B">
        <w:rPr>
          <w:i/>
          <w:iCs/>
        </w:rPr>
        <w:t xml:space="preserve"> </w:t>
      </w:r>
      <w:r w:rsidR="00561947">
        <w:rPr>
          <w:i/>
          <w:iCs/>
        </w:rPr>
        <w:tab/>
      </w:r>
      <w:r w:rsidR="00561947">
        <w:rPr>
          <w:i/>
          <w:iCs/>
        </w:rPr>
        <w:tab/>
      </w:r>
      <w:r w:rsidR="00B61721" w:rsidRPr="00DC0C6B">
        <w:t xml:space="preserve">Information on arable cultivation and landscape character </w:t>
      </w:r>
      <w:proofErr w:type="gramStart"/>
      <w:r w:rsidR="00B61721" w:rsidRPr="00DC0C6B">
        <w:t>was limited</w:t>
      </w:r>
      <w:proofErr w:type="gramEnd"/>
      <w:r w:rsidR="00B61721" w:rsidRPr="00DC0C6B">
        <w:t xml:space="preserve"> due to a sparse assemblage of palaeoenvironmental remains</w:t>
      </w:r>
      <w:r w:rsidR="007C771C" w:rsidRPr="00DC0C6B">
        <w:t>, including cereal grains, weed seeds and molluscs</w:t>
      </w:r>
      <w:r w:rsidR="00B61721" w:rsidRPr="00DC0C6B">
        <w:t xml:space="preserve">. </w:t>
      </w:r>
    </w:p>
    <w:p w14:paraId="29AFD7FF" w14:textId="54A95794" w:rsidR="00536192" w:rsidRPr="00DC0C6B" w:rsidRDefault="00D35535" w:rsidP="00536192">
      <w:pPr>
        <w:pStyle w:val="05TextNumberedParagraph"/>
      </w:pPr>
      <w:r w:rsidRPr="00DC0C6B">
        <w:t>Charred plant remains</w:t>
      </w:r>
      <w:r w:rsidR="00B61721" w:rsidRPr="00DC0C6B">
        <w:t xml:space="preserve"> </w:t>
      </w:r>
      <w:r w:rsidRPr="00DC0C6B">
        <w:t xml:space="preserve">indicative of dumped or dispersed domestic hearth material </w:t>
      </w:r>
      <w:proofErr w:type="gramStart"/>
      <w:r w:rsidRPr="00DC0C6B">
        <w:t>was recovered</w:t>
      </w:r>
      <w:proofErr w:type="gramEnd"/>
      <w:r w:rsidRPr="00DC0C6B">
        <w:t xml:space="preserve"> from the settlement</w:t>
      </w:r>
      <w:r w:rsidR="00B61721" w:rsidRPr="00DC0C6B">
        <w:t xml:space="preserve"> and</w:t>
      </w:r>
      <w:r w:rsidR="00F244F2" w:rsidRPr="00DC0C6B">
        <w:t xml:space="preserve"> contained evidence for</w:t>
      </w:r>
      <w:r w:rsidRPr="00DC0C6B">
        <w:t xml:space="preserve"> the exploitation of barley (</w:t>
      </w:r>
      <w:r w:rsidRPr="00DC0C6B">
        <w:rPr>
          <w:i/>
          <w:iCs/>
        </w:rPr>
        <w:t>Hordeum vulgare</w:t>
      </w:r>
      <w:r w:rsidRPr="00DC0C6B">
        <w:t>) and hulled wheat (emmer or spelt (</w:t>
      </w:r>
      <w:r w:rsidRPr="00947F1A">
        <w:rPr>
          <w:i/>
          <w:iCs/>
        </w:rPr>
        <w:t xml:space="preserve">Triticum </w:t>
      </w:r>
      <w:proofErr w:type="spellStart"/>
      <w:r w:rsidRPr="00947F1A">
        <w:rPr>
          <w:i/>
          <w:iCs/>
        </w:rPr>
        <w:t>dicoccum</w:t>
      </w:r>
      <w:proofErr w:type="spellEnd"/>
      <w:r w:rsidRPr="00947F1A">
        <w:rPr>
          <w:i/>
          <w:iCs/>
        </w:rPr>
        <w:t>/</w:t>
      </w:r>
      <w:proofErr w:type="spellStart"/>
      <w:r w:rsidRPr="00947F1A">
        <w:rPr>
          <w:i/>
          <w:iCs/>
        </w:rPr>
        <w:t>spelta</w:t>
      </w:r>
      <w:proofErr w:type="spellEnd"/>
      <w:r w:rsidRPr="00DC0C6B">
        <w:t xml:space="preserve">)). </w:t>
      </w:r>
      <w:r w:rsidR="00F244F2" w:rsidRPr="00DC0C6B">
        <w:t xml:space="preserve">Both spelt and hulled </w:t>
      </w:r>
      <w:r w:rsidR="00F244F2" w:rsidRPr="00DC0C6B">
        <w:rPr>
          <w:i/>
          <w:iCs/>
        </w:rPr>
        <w:t>Hordeum vulgare</w:t>
      </w:r>
      <w:r w:rsidR="00F244F2" w:rsidRPr="00DC0C6B">
        <w:t xml:space="preserve"> were the major crop exploited during the Middle Iron Age </w:t>
      </w:r>
      <w:r w:rsidR="00712BF5" w:rsidRPr="00DC0C6B">
        <w:t xml:space="preserve">at </w:t>
      </w:r>
      <w:r w:rsidR="00F244F2" w:rsidRPr="00DC0C6B">
        <w:t>Yarnton</w:t>
      </w:r>
      <w:r w:rsidR="008C0131" w:rsidRPr="00DC0C6B">
        <w:rPr>
          <w:rStyle w:val="FootnoteReference"/>
        </w:rPr>
        <w:footnoteReference w:id="63"/>
      </w:r>
      <w:r w:rsidR="00F244F2" w:rsidRPr="00DC0C6B">
        <w:t xml:space="preserve"> and Gravelly Guy</w:t>
      </w:r>
      <w:r w:rsidR="005B3E36" w:rsidRPr="00DC0C6B">
        <w:t>.</w:t>
      </w:r>
      <w:r w:rsidR="005B3E36" w:rsidRPr="00DC0C6B">
        <w:rPr>
          <w:rStyle w:val="FootnoteReference"/>
        </w:rPr>
        <w:footnoteReference w:id="64"/>
      </w:r>
      <w:r w:rsidR="00F244F2" w:rsidRPr="00DC0C6B">
        <w:t xml:space="preserve"> </w:t>
      </w:r>
      <w:r w:rsidR="00BD6952" w:rsidRPr="00DC0C6B">
        <w:t xml:space="preserve">The exploitation of wild food sources was tentatively implied by the presence of hazelnut shell fragments and a </w:t>
      </w:r>
      <w:proofErr w:type="spellStart"/>
      <w:r w:rsidR="00BD6952" w:rsidRPr="00DC0C6B">
        <w:t>sloe</w:t>
      </w:r>
      <w:proofErr w:type="spellEnd"/>
      <w:r w:rsidR="00BD6952" w:rsidRPr="00DC0C6B">
        <w:t xml:space="preserve"> stone fragment</w:t>
      </w:r>
      <w:r w:rsidR="005B3E36" w:rsidRPr="00DC0C6B">
        <w:t>.</w:t>
      </w:r>
      <w:r w:rsidR="005B3E36" w:rsidRPr="00DC0C6B">
        <w:rPr>
          <w:rStyle w:val="FootnoteReference"/>
        </w:rPr>
        <w:footnoteReference w:id="65"/>
      </w:r>
      <w:r w:rsidR="00BD6952" w:rsidRPr="00DC0C6B">
        <w:t xml:space="preserve"> </w:t>
      </w:r>
      <w:r w:rsidR="007C771C" w:rsidRPr="00DC0C6B">
        <w:t xml:space="preserve">There was no clear evidence </w:t>
      </w:r>
      <w:r w:rsidR="00F244F2" w:rsidRPr="00DC0C6B">
        <w:t>that</w:t>
      </w:r>
      <w:r w:rsidR="007C771C" w:rsidRPr="00DC0C6B">
        <w:t xml:space="preserve"> crop</w:t>
      </w:r>
      <w:r w:rsidR="003A2152">
        <w:t xml:space="preserve"> </w:t>
      </w:r>
      <w:r w:rsidR="007C771C" w:rsidRPr="00DC0C6B">
        <w:t>processing</w:t>
      </w:r>
      <w:r w:rsidR="00B61721" w:rsidRPr="00DC0C6B">
        <w:t xml:space="preserve"> </w:t>
      </w:r>
      <w:r w:rsidR="00F244F2" w:rsidRPr="00DC0C6B">
        <w:t xml:space="preserve">was undertaken within the settlement in the development area, </w:t>
      </w:r>
      <w:r w:rsidR="007C771C" w:rsidRPr="00DC0C6B">
        <w:t xml:space="preserve">and it is likely that any related activities were </w:t>
      </w:r>
      <w:r w:rsidR="00F244F2" w:rsidRPr="00DC0C6B">
        <w:t>carried out</w:t>
      </w:r>
      <w:r w:rsidR="007C771C" w:rsidRPr="00DC0C6B">
        <w:t xml:space="preserve"> on a small-scale </w:t>
      </w:r>
      <w:r w:rsidR="00F244F2" w:rsidRPr="00DC0C6B">
        <w:t>basis and/</w:t>
      </w:r>
      <w:r w:rsidR="007C771C" w:rsidRPr="00DC0C6B">
        <w:t>or away from the main domestic areas.</w:t>
      </w:r>
      <w:r w:rsidR="00B61721" w:rsidRPr="00DC0C6B">
        <w:t xml:space="preserve"> </w:t>
      </w:r>
      <w:r w:rsidR="00BD6952" w:rsidRPr="00DC0C6B">
        <w:t xml:space="preserve">Four-post structures, often interpreted as </w:t>
      </w:r>
      <w:r w:rsidR="003664DC" w:rsidRPr="00DC0C6B">
        <w:t xml:space="preserve">raised </w:t>
      </w:r>
      <w:r w:rsidR="00BD6952" w:rsidRPr="00DC0C6B">
        <w:t>granaries</w:t>
      </w:r>
      <w:r w:rsidR="005B3E36" w:rsidRPr="00DC0C6B">
        <w:t>,</w:t>
      </w:r>
      <w:r w:rsidR="005B3E36" w:rsidRPr="00DC0C6B">
        <w:rPr>
          <w:rStyle w:val="FootnoteReference"/>
        </w:rPr>
        <w:footnoteReference w:id="66"/>
      </w:r>
      <w:r w:rsidR="003664DC" w:rsidRPr="00DC0C6B">
        <w:t xml:space="preserve"> </w:t>
      </w:r>
      <w:r w:rsidR="00BD6952" w:rsidRPr="00DC0C6B">
        <w:t>and grain storage</w:t>
      </w:r>
      <w:r w:rsidR="00B43C77" w:rsidRPr="00DC0C6B">
        <w:t xml:space="preserve"> pits</w:t>
      </w:r>
      <w:r w:rsidR="00BD6952" w:rsidRPr="00DC0C6B">
        <w:t xml:space="preserve"> were noticeable absen</w:t>
      </w:r>
      <w:r w:rsidR="00B43C77" w:rsidRPr="00DC0C6B">
        <w:t>t</w:t>
      </w:r>
      <w:r w:rsidR="00BD6952" w:rsidRPr="00DC0C6B">
        <w:t xml:space="preserve"> from the settlement, whereas numerous </w:t>
      </w:r>
      <w:r w:rsidR="0033595A" w:rsidRPr="00DC0C6B">
        <w:t xml:space="preserve">storage </w:t>
      </w:r>
      <w:r w:rsidR="00BD6952" w:rsidRPr="00DC0C6B">
        <w:t xml:space="preserve">pits </w:t>
      </w:r>
      <w:r w:rsidR="008543FB" w:rsidRPr="00DC0C6B">
        <w:t xml:space="preserve">have been found in associated with </w:t>
      </w:r>
      <w:r w:rsidR="007729D4" w:rsidRPr="00DC0C6B">
        <w:t>I</w:t>
      </w:r>
      <w:r w:rsidR="008543FB" w:rsidRPr="00DC0C6B">
        <w:t xml:space="preserve">ron Age settlement </w:t>
      </w:r>
      <w:r w:rsidR="007729D4" w:rsidRPr="00DC0C6B">
        <w:t xml:space="preserve">in </w:t>
      </w:r>
      <w:r w:rsidR="008543FB" w:rsidRPr="00DC0C6B">
        <w:t xml:space="preserve">the area of </w:t>
      </w:r>
      <w:proofErr w:type="spellStart"/>
      <w:r w:rsidR="008543FB" w:rsidRPr="00DC0C6B">
        <w:t>Foxley</w:t>
      </w:r>
      <w:proofErr w:type="spellEnd"/>
      <w:r w:rsidR="008543FB" w:rsidRPr="00DC0C6B">
        <w:t xml:space="preserve"> Farm and Southfield Barn, </w:t>
      </w:r>
      <w:r w:rsidR="008543FB" w:rsidRPr="00DC0C6B">
        <w:lastRenderedPageBreak/>
        <w:t>approximately 1.4km to the south,</w:t>
      </w:r>
      <w:r w:rsidR="007729D4" w:rsidRPr="00DC0C6B">
        <w:rPr>
          <w:rStyle w:val="FootnoteReference"/>
        </w:rPr>
        <w:footnoteReference w:id="67"/>
      </w:r>
      <w:r w:rsidR="008543FB" w:rsidRPr="00DC0C6B">
        <w:t xml:space="preserve"> and at </w:t>
      </w:r>
      <w:r w:rsidR="00BD6952" w:rsidRPr="00DC0C6B">
        <w:t>the contemporary</w:t>
      </w:r>
      <w:r w:rsidR="00D31A3D" w:rsidRPr="00DC0C6B">
        <w:t xml:space="preserve"> but much larger</w:t>
      </w:r>
      <w:r w:rsidR="00BD6952" w:rsidRPr="00DC0C6B">
        <w:t xml:space="preserve"> settlements at Yarnton</w:t>
      </w:r>
      <w:r w:rsidR="005B3E36" w:rsidRPr="00DC0C6B">
        <w:rPr>
          <w:rStyle w:val="FootnoteReference"/>
        </w:rPr>
        <w:footnoteReference w:id="68"/>
      </w:r>
      <w:r w:rsidR="00BD6952" w:rsidRPr="00DC0C6B">
        <w:t xml:space="preserve"> and Gravelly Guy</w:t>
      </w:r>
      <w:r w:rsidR="005B3E36" w:rsidRPr="00DC0C6B">
        <w:t>.</w:t>
      </w:r>
      <w:r w:rsidR="005B3E36" w:rsidRPr="00DC0C6B">
        <w:rPr>
          <w:rStyle w:val="FootnoteReference"/>
        </w:rPr>
        <w:footnoteReference w:id="69"/>
      </w:r>
      <w:r w:rsidR="0070557D" w:rsidRPr="00DC0C6B">
        <w:t xml:space="preserve"> </w:t>
      </w:r>
      <w:r w:rsidR="0033595A" w:rsidRPr="00DC0C6B">
        <w:t xml:space="preserve">Four-post structures are generally underrepresented </w:t>
      </w:r>
      <w:r w:rsidR="0027363C" w:rsidRPr="00DC0C6B">
        <w:t xml:space="preserve">on Middle Iron Age settlement sites </w:t>
      </w:r>
      <w:r w:rsidR="0033595A" w:rsidRPr="00DC0C6B">
        <w:t>in the Thames Valley</w:t>
      </w:r>
      <w:r w:rsidR="005B3E36" w:rsidRPr="00DC0C6B">
        <w:rPr>
          <w:rStyle w:val="FootnoteReference"/>
        </w:rPr>
        <w:footnoteReference w:id="70"/>
      </w:r>
      <w:r w:rsidR="0033595A" w:rsidRPr="00DC0C6B">
        <w:t xml:space="preserve"> but were still found in small numbers at </w:t>
      </w:r>
      <w:r w:rsidR="00457BC2" w:rsidRPr="00DC0C6B">
        <w:t>Gravelly Guy</w:t>
      </w:r>
      <w:r w:rsidR="005B3E36" w:rsidRPr="00DC0C6B">
        <w:t>.</w:t>
      </w:r>
      <w:r w:rsidR="005B3E36" w:rsidRPr="00DC0C6B">
        <w:rPr>
          <w:rStyle w:val="FootnoteReference"/>
        </w:rPr>
        <w:footnoteReference w:id="71"/>
      </w:r>
      <w:r w:rsidR="00457BC2" w:rsidRPr="00DC0C6B">
        <w:t xml:space="preserve"> </w:t>
      </w:r>
      <w:r w:rsidR="006B3619" w:rsidRPr="00DC0C6B">
        <w:t>A</w:t>
      </w:r>
      <w:r w:rsidR="00457BC2" w:rsidRPr="00DC0C6B">
        <w:t>n</w:t>
      </w:r>
      <w:r w:rsidR="006B3619" w:rsidRPr="00DC0C6B">
        <w:t xml:space="preserve"> absence of these settlement features was noted at Heathrow Terminal 5 where it was suggested that intensive storage facilities </w:t>
      </w:r>
      <w:r w:rsidR="007725CF" w:rsidRPr="00DC0C6B">
        <w:t xml:space="preserve">may not have been required on </w:t>
      </w:r>
      <w:r w:rsidR="007C38D5" w:rsidRPr="00DC0C6B">
        <w:t xml:space="preserve">smaller </w:t>
      </w:r>
      <w:r w:rsidR="007725CF" w:rsidRPr="00DC0C6B">
        <w:t xml:space="preserve">settlements where the </w:t>
      </w:r>
      <w:r w:rsidR="007C38D5" w:rsidRPr="00DC0C6B">
        <w:t>population</w:t>
      </w:r>
      <w:r w:rsidR="007725CF" w:rsidRPr="00DC0C6B">
        <w:t xml:space="preserve"> was </w:t>
      </w:r>
      <w:r w:rsidR="007C38D5" w:rsidRPr="00DC0C6B">
        <w:t>low</w:t>
      </w:r>
      <w:r w:rsidR="005B3E36" w:rsidRPr="00DC0C6B">
        <w:t>.</w:t>
      </w:r>
      <w:r w:rsidR="005B3E36" w:rsidRPr="00DC0C6B">
        <w:rPr>
          <w:rStyle w:val="FootnoteReference"/>
        </w:rPr>
        <w:footnoteReference w:id="72"/>
      </w:r>
      <w:r w:rsidR="007725CF" w:rsidRPr="00DC0C6B">
        <w:t xml:space="preserve"> </w:t>
      </w:r>
    </w:p>
    <w:p w14:paraId="50BE5EB5" w14:textId="38A5E844" w:rsidR="00140988" w:rsidRPr="00DC0C6B" w:rsidRDefault="00140988" w:rsidP="00140988">
      <w:pPr>
        <w:pStyle w:val="05TextNumberedParagraph"/>
      </w:pPr>
      <w:r w:rsidRPr="00DC0C6B">
        <w:t>The small assemblage of fragmented animal bone and teeth provided only limited information on economy and diet of the site’s occupants but a dominance of sheep/goat over cattle was evident</w:t>
      </w:r>
      <w:r w:rsidR="005B3E36" w:rsidRPr="00DC0C6B">
        <w:t>.</w:t>
      </w:r>
      <w:r w:rsidR="005B3E36" w:rsidRPr="00DC0C6B">
        <w:rPr>
          <w:rStyle w:val="FootnoteReference"/>
        </w:rPr>
        <w:footnoteReference w:id="73"/>
      </w:r>
      <w:r w:rsidRPr="00DC0C6B">
        <w:t xml:space="preserve"> This was also the trend at Yarnton</w:t>
      </w:r>
      <w:r w:rsidR="005B3E36" w:rsidRPr="00DC0C6B">
        <w:rPr>
          <w:rStyle w:val="FootnoteReference"/>
        </w:rPr>
        <w:footnoteReference w:id="74"/>
      </w:r>
      <w:r w:rsidRPr="00DC0C6B">
        <w:t xml:space="preserve"> and Gravelly Guy</w:t>
      </w:r>
      <w:r w:rsidR="005B3E36" w:rsidRPr="00DC0C6B">
        <w:rPr>
          <w:rStyle w:val="FootnoteReference"/>
        </w:rPr>
        <w:footnoteReference w:id="75"/>
      </w:r>
      <w:r w:rsidRPr="00DC0C6B">
        <w:t xml:space="preserve"> and has </w:t>
      </w:r>
      <w:proofErr w:type="gramStart"/>
      <w:r w:rsidRPr="00DC0C6B">
        <w:t>been suggested</w:t>
      </w:r>
      <w:proofErr w:type="gramEnd"/>
      <w:r w:rsidRPr="00DC0C6B">
        <w:t xml:space="preserve"> that the </w:t>
      </w:r>
      <w:r w:rsidR="0092727D" w:rsidRPr="00DC0C6B">
        <w:t>location</w:t>
      </w:r>
      <w:r w:rsidRPr="00DC0C6B">
        <w:t xml:space="preserve"> of these settlements on the well-drained, gravel terrace was better suited to sheep/goat. </w:t>
      </w:r>
    </w:p>
    <w:p w14:paraId="0192344A" w14:textId="1C9907A0" w:rsidR="00D35535" w:rsidRDefault="0010450D" w:rsidP="00536192">
      <w:pPr>
        <w:pStyle w:val="05TextNumberedParagraph"/>
      </w:pPr>
      <w:r w:rsidRPr="00DC0C6B">
        <w:t xml:space="preserve">The </w:t>
      </w:r>
      <w:r w:rsidR="001371B8" w:rsidRPr="00DC0C6B">
        <w:t xml:space="preserve">wood charcoal from the settlement </w:t>
      </w:r>
      <w:proofErr w:type="gramStart"/>
      <w:r w:rsidR="001371B8" w:rsidRPr="00DC0C6B">
        <w:t>was dominated</w:t>
      </w:r>
      <w:proofErr w:type="gramEnd"/>
      <w:r w:rsidR="001371B8" w:rsidRPr="00DC0C6B">
        <w:t xml:space="preserve"> by species characteristic of mixed deciduous woodland, such as </w:t>
      </w:r>
      <w:r w:rsidRPr="00DC0C6B">
        <w:t>oak (</w:t>
      </w:r>
      <w:r w:rsidRPr="00DC0C6B">
        <w:rPr>
          <w:i/>
          <w:iCs/>
        </w:rPr>
        <w:t>Quercus</w:t>
      </w:r>
      <w:r w:rsidRPr="00DC0C6B">
        <w:t>)</w:t>
      </w:r>
      <w:r w:rsidR="002771A4" w:rsidRPr="00DC0C6B">
        <w:t xml:space="preserve"> and</w:t>
      </w:r>
      <w:r w:rsidRPr="00DC0C6B">
        <w:t xml:space="preserve"> hazel (</w:t>
      </w:r>
      <w:r w:rsidR="003207CE" w:rsidRPr="00DC0C6B">
        <w:rPr>
          <w:i/>
          <w:iCs/>
        </w:rPr>
        <w:t>Corylus avellana</w:t>
      </w:r>
      <w:r w:rsidR="003207CE" w:rsidRPr="00DC0C6B">
        <w:t xml:space="preserve"> L.</w:t>
      </w:r>
      <w:r w:rsidRPr="00DC0C6B">
        <w:t>)</w:t>
      </w:r>
      <w:r w:rsidR="001371B8" w:rsidRPr="00DC0C6B">
        <w:t>, as well as woodland edges, such as crab apple (</w:t>
      </w:r>
      <w:r w:rsidR="001371B8" w:rsidRPr="00DC0C6B">
        <w:rPr>
          <w:i/>
          <w:iCs/>
        </w:rPr>
        <w:t>Malus sylvestris</w:t>
      </w:r>
      <w:r w:rsidR="001371B8" w:rsidRPr="00DC0C6B">
        <w:t>) and hawthorn (</w:t>
      </w:r>
      <w:proofErr w:type="spellStart"/>
      <w:r w:rsidR="001371B8" w:rsidRPr="00DC0C6B">
        <w:rPr>
          <w:i/>
          <w:iCs/>
        </w:rPr>
        <w:t>Cratagus</w:t>
      </w:r>
      <w:proofErr w:type="spellEnd"/>
      <w:r w:rsidR="001371B8" w:rsidRPr="00DC0C6B">
        <w:rPr>
          <w:i/>
          <w:iCs/>
        </w:rPr>
        <w:t xml:space="preserve"> </w:t>
      </w:r>
      <w:proofErr w:type="spellStart"/>
      <w:r w:rsidR="001371B8" w:rsidRPr="00DC0C6B">
        <w:rPr>
          <w:i/>
          <w:iCs/>
        </w:rPr>
        <w:t>monogyna</w:t>
      </w:r>
      <w:proofErr w:type="spellEnd"/>
      <w:r w:rsidR="001371B8" w:rsidRPr="00DC0C6B">
        <w:t>).</w:t>
      </w:r>
      <w:r w:rsidRPr="00DC0C6B">
        <w:t xml:space="preserve"> These species are found on </w:t>
      </w:r>
      <w:r w:rsidR="001371B8" w:rsidRPr="00DC0C6B">
        <w:t xml:space="preserve">the </w:t>
      </w:r>
      <w:r w:rsidRPr="00DC0C6B">
        <w:t>clay vales</w:t>
      </w:r>
      <w:r w:rsidR="001371B8" w:rsidRPr="00DC0C6B">
        <w:t xml:space="preserve"> </w:t>
      </w:r>
      <w:r w:rsidR="00835189" w:rsidRPr="00DC0C6B">
        <w:t>characteristic</w:t>
      </w:r>
      <w:r w:rsidR="001371B8" w:rsidRPr="00DC0C6B">
        <w:t xml:space="preserve"> of this area </w:t>
      </w:r>
      <w:r w:rsidR="007A08B5" w:rsidRPr="00DC0C6B">
        <w:t xml:space="preserve">of </w:t>
      </w:r>
      <w:proofErr w:type="gramStart"/>
      <w:r w:rsidR="007A08B5" w:rsidRPr="00DC0C6B">
        <w:t>Oxfordshire</w:t>
      </w:r>
      <w:proofErr w:type="gramEnd"/>
      <w:r w:rsidR="007A08B5" w:rsidRPr="00DC0C6B">
        <w:t xml:space="preserve"> </w:t>
      </w:r>
      <w:r w:rsidR="001371B8" w:rsidRPr="00DC0C6B">
        <w:t xml:space="preserve">and it is likely that the wood came from local sources. </w:t>
      </w:r>
      <w:r w:rsidR="002771A4" w:rsidRPr="00DC0C6B">
        <w:t>Wood</w:t>
      </w:r>
      <w:r w:rsidR="00144563" w:rsidRPr="00DC0C6B">
        <w:t xml:space="preserve"> charcoal</w:t>
      </w:r>
      <w:r w:rsidR="002771A4" w:rsidRPr="00DC0C6B">
        <w:t xml:space="preserve">, weed seeds and certain species of mollusc also </w:t>
      </w:r>
      <w:r w:rsidR="00144563" w:rsidRPr="00DC0C6B">
        <w:t>impl</w:t>
      </w:r>
      <w:r w:rsidR="002771A4" w:rsidRPr="00DC0C6B">
        <w:t>y</w:t>
      </w:r>
      <w:r w:rsidR="00144563" w:rsidRPr="00DC0C6B">
        <w:t xml:space="preserve"> </w:t>
      </w:r>
      <w:r w:rsidR="002771A4" w:rsidRPr="00DC0C6B">
        <w:t>a</w:t>
      </w:r>
      <w:r w:rsidR="00144563" w:rsidRPr="00DC0C6B">
        <w:t xml:space="preserve"> well-established open landscape </w:t>
      </w:r>
      <w:r w:rsidR="002771A4" w:rsidRPr="00DC0C6B">
        <w:t xml:space="preserve">in the vicinity of the settlement, </w:t>
      </w:r>
      <w:r w:rsidR="00144563" w:rsidRPr="00DC0C6B">
        <w:t>with hedgerows and pockets of scrub</w:t>
      </w:r>
      <w:r w:rsidR="002771A4" w:rsidRPr="00DC0C6B">
        <w:t xml:space="preserve">. </w:t>
      </w:r>
      <w:r w:rsidR="00144563" w:rsidRPr="00DC0C6B">
        <w:t xml:space="preserve">Species typical of damp areas, such as willow, </w:t>
      </w:r>
      <w:proofErr w:type="gramStart"/>
      <w:r w:rsidR="00144563" w:rsidRPr="00DC0C6B">
        <w:t>alder</w:t>
      </w:r>
      <w:proofErr w:type="gramEnd"/>
      <w:r w:rsidR="00144563" w:rsidRPr="00DC0C6B">
        <w:t xml:space="preserve"> and poplar, were absent from the site assemblage, suggesting that the floodplain of the Chill Brook (Fig. 1) was not a favoured </w:t>
      </w:r>
      <w:r w:rsidR="007729D4" w:rsidRPr="00DC0C6B">
        <w:t>source of</w:t>
      </w:r>
      <w:r w:rsidR="00144563" w:rsidRPr="00DC0C6B">
        <w:t xml:space="preserve"> wood. </w:t>
      </w:r>
    </w:p>
    <w:p w14:paraId="35C642CB" w14:textId="77777777" w:rsidR="008F5FFA" w:rsidRPr="00DC0C6B" w:rsidRDefault="008F5FFA" w:rsidP="00536192">
      <w:pPr>
        <w:pStyle w:val="05TextNumberedParagraph"/>
      </w:pPr>
    </w:p>
    <w:p w14:paraId="795A0534" w14:textId="1E4AE849" w:rsidR="0066452F" w:rsidRDefault="0066452F" w:rsidP="00FF606D">
      <w:pPr>
        <w:pStyle w:val="05TextNumberedParagraph"/>
        <w:ind w:firstLine="0"/>
      </w:pPr>
      <w:r w:rsidRPr="00DC0C6B">
        <w:rPr>
          <w:i/>
          <w:iCs/>
        </w:rPr>
        <w:t>Chronology of the settlement</w:t>
      </w:r>
      <w:r w:rsidR="00EE5939" w:rsidRPr="00DC0C6B">
        <w:rPr>
          <w:i/>
          <w:iCs/>
        </w:rPr>
        <w:t xml:space="preserve"> </w:t>
      </w:r>
      <w:r w:rsidR="00561947">
        <w:rPr>
          <w:i/>
          <w:iCs/>
        </w:rPr>
        <w:tab/>
      </w:r>
      <w:r w:rsidR="00561947">
        <w:rPr>
          <w:i/>
          <w:iCs/>
        </w:rPr>
        <w:tab/>
      </w:r>
      <w:r w:rsidR="004747A2" w:rsidRPr="00DC0C6B">
        <w:t xml:space="preserve">Very few stratigraphic </w:t>
      </w:r>
      <w:r w:rsidR="00D90A53" w:rsidRPr="00DC0C6B">
        <w:t>relationships</w:t>
      </w:r>
      <w:r w:rsidR="004747A2" w:rsidRPr="00DC0C6B">
        <w:t xml:space="preserve"> were present </w:t>
      </w:r>
      <w:r w:rsidR="00D90A53" w:rsidRPr="00DC0C6B">
        <w:t>within the</w:t>
      </w:r>
      <w:r w:rsidR="00664278" w:rsidRPr="00DC0C6B">
        <w:t xml:space="preserve"> A40 </w:t>
      </w:r>
      <w:r w:rsidR="007729D4" w:rsidRPr="00DC0C6B">
        <w:t>Eynsham</w:t>
      </w:r>
      <w:r w:rsidR="00664278" w:rsidRPr="00DC0C6B">
        <w:t xml:space="preserve"> </w:t>
      </w:r>
      <w:proofErr w:type="gramStart"/>
      <w:r w:rsidR="00D90A53" w:rsidRPr="00DC0C6B">
        <w:t>settlement</w:t>
      </w:r>
      <w:proofErr w:type="gramEnd"/>
      <w:r w:rsidR="00FF606D" w:rsidRPr="00DC0C6B">
        <w:t xml:space="preserve"> but the trajectories of several roundhouse ditches suggests</w:t>
      </w:r>
      <w:r w:rsidR="00664278" w:rsidRPr="00DC0C6B">
        <w:t xml:space="preserve"> that not all of the buildings were in use concurrently</w:t>
      </w:r>
      <w:r w:rsidR="00DF51A6" w:rsidRPr="00DC0C6B">
        <w:t xml:space="preserve">. </w:t>
      </w:r>
      <w:r w:rsidR="00D90A53" w:rsidRPr="00DC0C6B">
        <w:t xml:space="preserve">The general character of the pottery assemblage implies a </w:t>
      </w:r>
      <w:r w:rsidR="00293C1F" w:rsidRPr="00DC0C6B">
        <w:t xml:space="preserve">transitional, </w:t>
      </w:r>
      <w:r w:rsidR="00D90A53" w:rsidRPr="00DC0C6B">
        <w:t>later Early Iron Age to Middle Iron Age date</w:t>
      </w:r>
      <w:r w:rsidR="00EC3F0E" w:rsidRPr="00DC0C6B">
        <w:t xml:space="preserve"> (6th to 2nd </w:t>
      </w:r>
      <w:r w:rsidR="00EC3F0E" w:rsidRPr="00DC0C6B">
        <w:lastRenderedPageBreak/>
        <w:t>century BC</w:t>
      </w:r>
      <w:r w:rsidR="005B3E36" w:rsidRPr="00DC0C6B">
        <w:t>),</w:t>
      </w:r>
      <w:r w:rsidR="005B3E36" w:rsidRPr="00DC0C6B">
        <w:rPr>
          <w:rStyle w:val="FootnoteReference"/>
        </w:rPr>
        <w:footnoteReference w:id="76"/>
      </w:r>
      <w:r w:rsidR="00D90A53" w:rsidRPr="00DC0C6B">
        <w:t xml:space="preserve"> </w:t>
      </w:r>
      <w:r w:rsidR="00FF606D" w:rsidRPr="00DC0C6B">
        <w:t>with</w:t>
      </w:r>
      <w:r w:rsidR="003E53B4" w:rsidRPr="00DC0C6B">
        <w:t xml:space="preserve"> </w:t>
      </w:r>
      <w:r w:rsidR="00FF606D" w:rsidRPr="00DC0C6B">
        <w:t>t</w:t>
      </w:r>
      <w:r w:rsidR="00924850" w:rsidRPr="00DC0C6B">
        <w:t xml:space="preserve">he scarcity of </w:t>
      </w:r>
      <w:r w:rsidR="007F1F22" w:rsidRPr="00DC0C6B">
        <w:t xml:space="preserve">Early Iron Age </w:t>
      </w:r>
      <w:r w:rsidR="00924850" w:rsidRPr="00DC0C6B">
        <w:t xml:space="preserve">angular vessels </w:t>
      </w:r>
      <w:r w:rsidR="007F1F22" w:rsidRPr="00DC0C6B">
        <w:t>suggest</w:t>
      </w:r>
      <w:r w:rsidR="00FF606D" w:rsidRPr="00DC0C6B">
        <w:t>ing</w:t>
      </w:r>
      <w:r w:rsidR="00924850" w:rsidRPr="00DC0C6B">
        <w:t xml:space="preserve"> </w:t>
      </w:r>
      <w:r w:rsidR="007F1F22" w:rsidRPr="00DC0C6B">
        <w:t>that the settlement did not have Early Iron Age origins</w:t>
      </w:r>
      <w:r w:rsidR="00FF606D" w:rsidRPr="00DC0C6B">
        <w:t xml:space="preserve">. </w:t>
      </w:r>
      <w:r w:rsidR="00EA1CF4" w:rsidRPr="00DC0C6B">
        <w:t xml:space="preserve">Three radiocarbon </w:t>
      </w:r>
      <w:r w:rsidR="003A5F12" w:rsidRPr="00DC0C6B">
        <w:t xml:space="preserve">samples </w:t>
      </w:r>
      <w:proofErr w:type="gramStart"/>
      <w:r w:rsidR="003A5F12" w:rsidRPr="00DC0C6B">
        <w:t xml:space="preserve">were </w:t>
      </w:r>
      <w:r w:rsidR="00FF606D" w:rsidRPr="00DC0C6B">
        <w:t>taken</w:t>
      </w:r>
      <w:proofErr w:type="gramEnd"/>
      <w:r w:rsidR="001F7629" w:rsidRPr="00DC0C6B">
        <w:t xml:space="preserve"> </w:t>
      </w:r>
      <w:r w:rsidR="003A5F12" w:rsidRPr="00DC0C6B">
        <w:t>to help refine the chronology of the settlement</w:t>
      </w:r>
      <w:r w:rsidR="001F7629" w:rsidRPr="00DC0C6B">
        <w:t>.</w:t>
      </w:r>
      <w:r w:rsidR="003A5F12" w:rsidRPr="00DC0C6B">
        <w:t xml:space="preserve"> </w:t>
      </w:r>
      <w:r w:rsidR="001F7629" w:rsidRPr="00DC0C6B">
        <w:t>T</w:t>
      </w:r>
      <w:r w:rsidR="003A5F12" w:rsidRPr="00DC0C6B">
        <w:t xml:space="preserve">wo of these produced a </w:t>
      </w:r>
      <w:r w:rsidR="001F7629" w:rsidRPr="00DC0C6B">
        <w:t xml:space="preserve">Middle Iron Age </w:t>
      </w:r>
      <w:r w:rsidR="003A5F12" w:rsidRPr="00DC0C6B">
        <w:t>date range of 398–197 cal</w:t>
      </w:r>
      <w:r w:rsidR="003A2152">
        <w:t>.</w:t>
      </w:r>
      <w:r w:rsidR="003A5F12" w:rsidRPr="00DC0C6B">
        <w:t xml:space="preserve"> BC at 95.4</w:t>
      </w:r>
      <w:r w:rsidR="005B3E36" w:rsidRPr="00DC0C6B">
        <w:t xml:space="preserve"> per</w:t>
      </w:r>
      <w:r w:rsidR="00FF606D" w:rsidRPr="00DC0C6B">
        <w:t xml:space="preserve"> </w:t>
      </w:r>
      <w:r w:rsidR="005B3E36" w:rsidRPr="00DC0C6B">
        <w:t>cent</w:t>
      </w:r>
      <w:r w:rsidR="003A5F12" w:rsidRPr="00DC0C6B">
        <w:t xml:space="preserve"> probability (SUERC-108727 and </w:t>
      </w:r>
      <w:r w:rsidR="003A2152">
        <w:t>SUERC</w:t>
      </w:r>
      <w:r w:rsidR="003A5F12" w:rsidRPr="00DC0C6B">
        <w:t>-108729)</w:t>
      </w:r>
      <w:r w:rsidR="001F7629" w:rsidRPr="00DC0C6B">
        <w:t>.</w:t>
      </w:r>
      <w:r w:rsidR="005B3E36" w:rsidRPr="00DC0C6B">
        <w:rPr>
          <w:rStyle w:val="FootnoteReference"/>
        </w:rPr>
        <w:footnoteReference w:id="77"/>
      </w:r>
      <w:r w:rsidR="001F7629" w:rsidRPr="00DC0C6B">
        <w:t xml:space="preserve"> </w:t>
      </w:r>
      <w:r w:rsidR="001B3617" w:rsidRPr="00DC0C6B">
        <w:t>Sherds of round bodied, slack-shouldered and globular jars in sandy fabrics</w:t>
      </w:r>
      <w:r w:rsidR="00473914" w:rsidRPr="00DC0C6B">
        <w:t>,</w:t>
      </w:r>
      <w:r w:rsidR="00262195" w:rsidRPr="00DC0C6B">
        <w:t xml:space="preserve"> </w:t>
      </w:r>
      <w:r w:rsidR="00473914" w:rsidRPr="00DC0C6B">
        <w:t xml:space="preserve">as well as undiagnostic shell-tempered pottery </w:t>
      </w:r>
      <w:proofErr w:type="gramStart"/>
      <w:r w:rsidR="00473914" w:rsidRPr="00DC0C6B">
        <w:t>were</w:t>
      </w:r>
      <w:r w:rsidR="001B3617" w:rsidRPr="00DC0C6B">
        <w:t xml:space="preserve"> recovered</w:t>
      </w:r>
      <w:proofErr w:type="gramEnd"/>
      <w:r w:rsidR="001B3617" w:rsidRPr="00DC0C6B">
        <w:t xml:space="preserve"> from the same contexts as the</w:t>
      </w:r>
      <w:r w:rsidR="006F1333" w:rsidRPr="00DC0C6B">
        <w:t>se</w:t>
      </w:r>
      <w:r w:rsidR="001B3617" w:rsidRPr="00DC0C6B">
        <w:t xml:space="preserve"> Middle Iron Age radiocarbon dates</w:t>
      </w:r>
      <w:r w:rsidR="00473914" w:rsidRPr="00DC0C6B">
        <w:t xml:space="preserve">. </w:t>
      </w:r>
      <w:r w:rsidR="00561947" w:rsidRPr="00561947">
        <w:t>The third sample (SUERC-108728) produced a slightly extended date range of 359–60 cal. BC (at 95.4% probability), suggesting that the settlement could have continued into the early part of the Late Iron Age, but at 63.3% probability, the date mostly likely range was more firmly in the Middle Iron Age (351–163 cal. BC).</w:t>
      </w:r>
    </w:p>
    <w:p w14:paraId="3ABDF97C" w14:textId="77777777" w:rsidR="008F5FFA" w:rsidRPr="00DC0C6B" w:rsidRDefault="008F5FFA" w:rsidP="00FF606D">
      <w:pPr>
        <w:pStyle w:val="05TextNumberedParagraph"/>
        <w:ind w:firstLine="0"/>
        <w:rPr>
          <w:i/>
          <w:iCs/>
        </w:rPr>
      </w:pPr>
    </w:p>
    <w:p w14:paraId="039CF0B6" w14:textId="6DBDBF2B" w:rsidR="001D2A8B" w:rsidRPr="00DC0C6B" w:rsidRDefault="001D2A8B" w:rsidP="00EE5939">
      <w:pPr>
        <w:pStyle w:val="02heading2"/>
      </w:pPr>
      <w:r w:rsidRPr="00DC0C6B">
        <w:t>Medieval and post-medieval</w:t>
      </w:r>
    </w:p>
    <w:p w14:paraId="235BD98C" w14:textId="4FDC7E45" w:rsidR="001D2A8B" w:rsidRPr="00DC0C6B" w:rsidRDefault="00457BC2" w:rsidP="00EE5939">
      <w:pPr>
        <w:pStyle w:val="05TextNumberedParagraph"/>
        <w:ind w:firstLine="0"/>
      </w:pPr>
      <w:r w:rsidRPr="00DC0C6B">
        <w:t xml:space="preserve">No evidence of </w:t>
      </w:r>
      <w:r w:rsidR="00850B37" w:rsidRPr="00DC0C6B">
        <w:t xml:space="preserve">Late Iron Age or Roman </w:t>
      </w:r>
      <w:r w:rsidRPr="00DC0C6B">
        <w:t xml:space="preserve">land-use </w:t>
      </w:r>
      <w:proofErr w:type="gramStart"/>
      <w:r w:rsidRPr="00DC0C6B">
        <w:t>was identified</w:t>
      </w:r>
      <w:proofErr w:type="gramEnd"/>
      <w:r w:rsidRPr="00DC0C6B">
        <w:t xml:space="preserve"> within the excavation area; the pottery from these periods found during the trial-trench evaluation and excavation were deemed to be intrusive</w:t>
      </w:r>
      <w:r w:rsidR="0074084C" w:rsidRPr="00DC0C6B">
        <w:t xml:space="preserve"> and </w:t>
      </w:r>
      <w:r w:rsidR="00850B37" w:rsidRPr="00DC0C6B">
        <w:t>presumably</w:t>
      </w:r>
      <w:r w:rsidR="0074084C" w:rsidRPr="00DC0C6B">
        <w:t xml:space="preserve"> introduced to the site through medieval and post-medieval manuring</w:t>
      </w:r>
      <w:r w:rsidRPr="00DC0C6B">
        <w:t xml:space="preserve">. </w:t>
      </w:r>
    </w:p>
    <w:p w14:paraId="2E38EC7A" w14:textId="3D466344" w:rsidR="00F514B8" w:rsidRDefault="00457BC2" w:rsidP="00EE5939">
      <w:pPr>
        <w:pStyle w:val="05TextNumberedParagraph"/>
      </w:pPr>
      <w:r w:rsidRPr="00DC0C6B">
        <w:t xml:space="preserve">During the medieval period the development </w:t>
      </w:r>
      <w:r w:rsidR="00B66260" w:rsidRPr="00DC0C6B">
        <w:t>site</w:t>
      </w:r>
      <w:r w:rsidRPr="00DC0C6B">
        <w:t xml:space="preserve"> became the focus of agricultural land-use, in the form of ridge-and-furrow cultivation.</w:t>
      </w:r>
      <w:r w:rsidR="0074084C" w:rsidRPr="00DC0C6B">
        <w:t xml:space="preserve"> </w:t>
      </w:r>
      <w:r w:rsidR="00B66260" w:rsidRPr="00DC0C6B">
        <w:t>A</w:t>
      </w:r>
      <w:r w:rsidR="0074084C" w:rsidRPr="00DC0C6B">
        <w:t xml:space="preserve"> predominant </w:t>
      </w:r>
      <w:r w:rsidR="00B66260" w:rsidRPr="00DC0C6B">
        <w:t xml:space="preserve">north-east/south-west </w:t>
      </w:r>
      <w:r w:rsidR="0074084C" w:rsidRPr="00DC0C6B">
        <w:t xml:space="preserve">alignment </w:t>
      </w:r>
      <w:r w:rsidR="00B66260" w:rsidRPr="00DC0C6B">
        <w:t xml:space="preserve">of plough furrows existed across the development site, </w:t>
      </w:r>
      <w:r w:rsidR="0074084C" w:rsidRPr="00DC0C6B">
        <w:t xml:space="preserve">which differed from the layout of </w:t>
      </w:r>
      <w:r w:rsidR="00F514B8" w:rsidRPr="00DC0C6B">
        <w:t xml:space="preserve">the </w:t>
      </w:r>
      <w:r w:rsidR="0074084C" w:rsidRPr="00DC0C6B">
        <w:t xml:space="preserve">Middle Iron Age </w:t>
      </w:r>
      <w:r w:rsidR="00F514B8" w:rsidRPr="00DC0C6B">
        <w:t>ditched enclosures</w:t>
      </w:r>
      <w:r w:rsidR="0074084C" w:rsidRPr="00DC0C6B">
        <w:t>.</w:t>
      </w:r>
      <w:r w:rsidR="00EE5939" w:rsidRPr="00DC0C6B">
        <w:t xml:space="preserve"> </w:t>
      </w:r>
      <w:r w:rsidR="006F1333" w:rsidRPr="00DC0C6B">
        <w:t>Agricultural</w:t>
      </w:r>
      <w:r w:rsidR="00F514B8" w:rsidRPr="00DC0C6B">
        <w:t xml:space="preserve"> use of the development site continued into the post-medieval period and </w:t>
      </w:r>
      <w:r w:rsidR="007237F4" w:rsidRPr="00DC0C6B">
        <w:t xml:space="preserve">by the </w:t>
      </w:r>
      <w:r w:rsidR="00F514B8" w:rsidRPr="00DC0C6B">
        <w:t xml:space="preserve">late 19th century it </w:t>
      </w:r>
      <w:r w:rsidR="007237F4" w:rsidRPr="00DC0C6B">
        <w:t xml:space="preserve">had </w:t>
      </w:r>
      <w:proofErr w:type="gramStart"/>
      <w:r w:rsidR="007237F4" w:rsidRPr="00DC0C6B">
        <w:t>been</w:t>
      </w:r>
      <w:r w:rsidR="00F514B8" w:rsidRPr="00DC0C6B">
        <w:t xml:space="preserve"> divided</w:t>
      </w:r>
      <w:proofErr w:type="gramEnd"/>
      <w:r w:rsidR="00F514B8" w:rsidRPr="00DC0C6B">
        <w:t xml:space="preserve"> into four fields. </w:t>
      </w:r>
    </w:p>
    <w:p w14:paraId="505AFB9F" w14:textId="77777777" w:rsidR="008F5FFA" w:rsidRPr="00DC0C6B" w:rsidRDefault="008F5FFA" w:rsidP="00EE5939">
      <w:pPr>
        <w:pStyle w:val="05TextNumberedParagraph"/>
      </w:pPr>
    </w:p>
    <w:p w14:paraId="6D00FAF5" w14:textId="58E50631" w:rsidR="003C4B82" w:rsidRPr="00DC0C6B" w:rsidRDefault="003C4B82" w:rsidP="00EE5939">
      <w:pPr>
        <w:pStyle w:val="02heading2"/>
      </w:pPr>
      <w:r w:rsidRPr="00DC0C6B">
        <w:t>Summary</w:t>
      </w:r>
    </w:p>
    <w:p w14:paraId="652B5992" w14:textId="492A76BD" w:rsidR="00850B37" w:rsidRDefault="00B751E4" w:rsidP="00EE5939">
      <w:pPr>
        <w:pStyle w:val="05TextNumberedParagraph"/>
        <w:ind w:firstLine="0"/>
      </w:pPr>
      <w:r w:rsidRPr="00DC0C6B">
        <w:t xml:space="preserve">Archaeological excavation within the </w:t>
      </w:r>
      <w:r w:rsidR="000D0BBB" w:rsidRPr="00DC0C6B">
        <w:t xml:space="preserve">Eynsham </w:t>
      </w:r>
      <w:r w:rsidRPr="00DC0C6B">
        <w:t xml:space="preserve">A40 </w:t>
      </w:r>
      <w:r w:rsidR="000D0BBB" w:rsidRPr="00DC0C6B">
        <w:t>park and ride</w:t>
      </w:r>
      <w:r w:rsidRPr="00DC0C6B">
        <w:t xml:space="preserve"> development site identified a small, unenclosed Middle Iron Age settlement</w:t>
      </w:r>
      <w:r w:rsidR="00DD5FF5" w:rsidRPr="00DC0C6B">
        <w:t xml:space="preserve"> that shared characteristics with contemporary </w:t>
      </w:r>
      <w:r w:rsidR="008C269A" w:rsidRPr="00DC0C6B">
        <w:t>sites</w:t>
      </w:r>
      <w:r w:rsidR="00DD5FF5" w:rsidRPr="00DC0C6B">
        <w:t xml:space="preserve"> identified along </w:t>
      </w:r>
      <w:r w:rsidR="008C269A" w:rsidRPr="00DC0C6B">
        <w:t>the</w:t>
      </w:r>
      <w:r w:rsidR="00DD5FF5" w:rsidRPr="00DC0C6B">
        <w:t xml:space="preserve"> Upper Thames Valley. </w:t>
      </w:r>
      <w:r w:rsidR="00A75112" w:rsidRPr="00DC0C6B">
        <w:t>Only small assemblages of</w:t>
      </w:r>
      <w:r w:rsidR="008C269A" w:rsidRPr="00DC0C6B">
        <w:t xml:space="preserve"> artefact</w:t>
      </w:r>
      <w:r w:rsidR="00A75112" w:rsidRPr="00DC0C6B">
        <w:t>s</w:t>
      </w:r>
      <w:r w:rsidR="008C269A" w:rsidRPr="00DC0C6B">
        <w:t xml:space="preserve"> and biological </w:t>
      </w:r>
      <w:r w:rsidR="00A75112" w:rsidRPr="00DC0C6B">
        <w:t xml:space="preserve">remains </w:t>
      </w:r>
      <w:r w:rsidR="008C269A" w:rsidRPr="00DC0C6B">
        <w:t xml:space="preserve">(animal bone and charred plant remains) </w:t>
      </w:r>
      <w:proofErr w:type="gramStart"/>
      <w:r w:rsidR="00A75112" w:rsidRPr="00DC0C6B">
        <w:t>were recovered</w:t>
      </w:r>
      <w:proofErr w:type="gramEnd"/>
      <w:r w:rsidR="00A75112" w:rsidRPr="00DC0C6B">
        <w:t xml:space="preserve"> </w:t>
      </w:r>
      <w:r w:rsidR="008C269A" w:rsidRPr="00DC0C6B">
        <w:t xml:space="preserve">from the excavation area and whilst this can be partly explained by poor preservation it also suggests that occupation of the site </w:t>
      </w:r>
      <w:r w:rsidR="00B674C5" w:rsidRPr="00DC0C6B">
        <w:t>may</w:t>
      </w:r>
      <w:r w:rsidR="008C269A" w:rsidRPr="00DC0C6B">
        <w:t xml:space="preserve"> not </w:t>
      </w:r>
      <w:r w:rsidR="006F4F75" w:rsidRPr="00DC0C6B">
        <w:t xml:space="preserve">been </w:t>
      </w:r>
      <w:r w:rsidR="008C269A" w:rsidRPr="00DC0C6B">
        <w:t xml:space="preserve">intensive or long-lived. This has also </w:t>
      </w:r>
      <w:proofErr w:type="gramStart"/>
      <w:r w:rsidR="008C269A" w:rsidRPr="00DC0C6B">
        <w:t xml:space="preserve">been </w:t>
      </w:r>
      <w:r w:rsidR="00B674C5" w:rsidRPr="00DC0C6B">
        <w:t>implied</w:t>
      </w:r>
      <w:proofErr w:type="gramEnd"/>
      <w:r w:rsidR="008C269A" w:rsidRPr="00DC0C6B">
        <w:t xml:space="preserve"> by </w:t>
      </w:r>
      <w:r w:rsidR="008C269A" w:rsidRPr="00DC0C6B">
        <w:lastRenderedPageBreak/>
        <w:t xml:space="preserve">the lack of features relating to </w:t>
      </w:r>
      <w:r w:rsidR="00B674C5" w:rsidRPr="00DC0C6B">
        <w:t xml:space="preserve">long-term </w:t>
      </w:r>
      <w:r w:rsidR="008C269A" w:rsidRPr="00DC0C6B">
        <w:t xml:space="preserve">grain storage. </w:t>
      </w:r>
      <w:r w:rsidR="00056D5A" w:rsidRPr="00DC0C6B">
        <w:t xml:space="preserve">The evidence </w:t>
      </w:r>
      <w:r w:rsidR="00B674C5" w:rsidRPr="00DC0C6B">
        <w:t>from the excavation for the Middle Iron Age suggests that this was the final form of a settlement that had evolved</w:t>
      </w:r>
      <w:r w:rsidR="00A832B9" w:rsidRPr="00DC0C6B">
        <w:t xml:space="preserve"> gradual</w:t>
      </w:r>
      <w:r w:rsidR="00B674C5" w:rsidRPr="00DC0C6B">
        <w:t xml:space="preserve">ly and </w:t>
      </w:r>
      <w:proofErr w:type="gramStart"/>
      <w:r w:rsidR="00B674C5" w:rsidRPr="00DC0C6B">
        <w:t>was probably</w:t>
      </w:r>
      <w:r w:rsidR="00365071" w:rsidRPr="00DC0C6B">
        <w:t xml:space="preserve"> occup</w:t>
      </w:r>
      <w:r w:rsidR="00B674C5" w:rsidRPr="00DC0C6B">
        <w:t>ied</w:t>
      </w:r>
      <w:proofErr w:type="gramEnd"/>
      <w:r w:rsidR="00365071" w:rsidRPr="00DC0C6B">
        <w:t xml:space="preserve"> by a </w:t>
      </w:r>
      <w:r w:rsidRPr="00DC0C6B">
        <w:t>small family unit</w:t>
      </w:r>
      <w:r w:rsidR="003F2ADF" w:rsidRPr="00DC0C6B">
        <w:t>.</w:t>
      </w:r>
    </w:p>
    <w:p w14:paraId="7D19FFEE" w14:textId="77777777" w:rsidR="008F5FFA" w:rsidRPr="00DC0C6B" w:rsidRDefault="008F5FFA" w:rsidP="00EE5939">
      <w:pPr>
        <w:pStyle w:val="05TextNumberedParagraph"/>
        <w:ind w:firstLine="0"/>
      </w:pPr>
    </w:p>
    <w:p w14:paraId="59FE2375" w14:textId="174882CF" w:rsidR="005F15A2" w:rsidRPr="00DC0C6B" w:rsidRDefault="005E0A19" w:rsidP="00F57D70">
      <w:pPr>
        <w:pStyle w:val="01Heading1"/>
      </w:pPr>
      <w:r w:rsidRPr="00DC0C6B">
        <w:t>Acknowl</w:t>
      </w:r>
      <w:r w:rsidR="0035185C" w:rsidRPr="00DC0C6B">
        <w:t>e</w:t>
      </w:r>
      <w:r w:rsidRPr="00DC0C6B">
        <w:t>dgments</w:t>
      </w:r>
    </w:p>
    <w:p w14:paraId="3318D917" w14:textId="3BC861D8" w:rsidR="00BB3D5A" w:rsidRDefault="00595FD5" w:rsidP="0035185C">
      <w:pPr>
        <w:pStyle w:val="05TextNumberedParagraph"/>
        <w:ind w:firstLine="0"/>
      </w:pPr>
      <w:r w:rsidRPr="00DC0C6B">
        <w:t>Th</w:t>
      </w:r>
      <w:r w:rsidR="0035185C" w:rsidRPr="00DC0C6B">
        <w:t xml:space="preserve">e programme of archaeological fieldwork and post-excavation analysis </w:t>
      </w:r>
      <w:proofErr w:type="gramStart"/>
      <w:r w:rsidR="0035185C" w:rsidRPr="00DC0C6B">
        <w:t>was undertaken</w:t>
      </w:r>
      <w:proofErr w:type="gramEnd"/>
      <w:r w:rsidR="0035185C" w:rsidRPr="00DC0C6B">
        <w:t xml:space="preserve"> at the request of </w:t>
      </w:r>
      <w:r w:rsidRPr="00DC0C6B">
        <w:t>Balfour Beatty, acting on behalf of Oxfordshire County Council.</w:t>
      </w:r>
      <w:r w:rsidR="0035185C" w:rsidRPr="00DC0C6B">
        <w:t xml:space="preserve"> The author would like to thank Gihan Peiris </w:t>
      </w:r>
      <w:r w:rsidR="0022734D" w:rsidRPr="00DC0C6B">
        <w:t xml:space="preserve">(Balfour Beatty) </w:t>
      </w:r>
      <w:r w:rsidR="0035185C" w:rsidRPr="00DC0C6B">
        <w:t xml:space="preserve">for his assistance during the post-excavation stage of works. In </w:t>
      </w:r>
      <w:r w:rsidR="00C50A9C" w:rsidRPr="00DC0C6B">
        <w:t>addition</w:t>
      </w:r>
      <w:r w:rsidR="0035185C" w:rsidRPr="00DC0C6B">
        <w:t xml:space="preserve">, we wish to thank Richard Oram (Lead </w:t>
      </w:r>
      <w:r w:rsidR="00C50A9C" w:rsidRPr="00DC0C6B">
        <w:t>Archaeologist</w:t>
      </w:r>
      <w:r w:rsidR="0035185C" w:rsidRPr="00DC0C6B">
        <w:t xml:space="preserve"> at Oxford</w:t>
      </w:r>
      <w:r w:rsidR="00C50A9C" w:rsidRPr="00DC0C6B">
        <w:t>shire</w:t>
      </w:r>
      <w:r w:rsidR="0035185C" w:rsidRPr="00DC0C6B">
        <w:t xml:space="preserve"> County Council) for his assistance in monitoring the fieldwork stage of the project and for commenting on the initial evaluation and excavation reports. The f</w:t>
      </w:r>
      <w:r w:rsidR="006B09B7" w:rsidRPr="00DC0C6B">
        <w:t xml:space="preserve">ieldwork </w:t>
      </w:r>
      <w:proofErr w:type="gramStart"/>
      <w:r w:rsidR="006B09B7" w:rsidRPr="00DC0C6B">
        <w:t xml:space="preserve">was </w:t>
      </w:r>
      <w:r w:rsidR="0035185C" w:rsidRPr="00DC0C6B">
        <w:t>managed</w:t>
      </w:r>
      <w:proofErr w:type="gramEnd"/>
      <w:r w:rsidR="0035185C" w:rsidRPr="00DC0C6B">
        <w:t xml:space="preserve"> for Cotswold Archaeology by Adrian Scruby and directed in the field by </w:t>
      </w:r>
      <w:r w:rsidR="004A3B27" w:rsidRPr="00DC0C6B">
        <w:t>Anna Wolf</w:t>
      </w:r>
      <w:r w:rsidR="0035185C" w:rsidRPr="00DC0C6B">
        <w:t>.</w:t>
      </w:r>
      <w:r w:rsidR="006B09B7" w:rsidRPr="00DC0C6B">
        <w:t xml:space="preserve"> </w:t>
      </w:r>
      <w:proofErr w:type="gramStart"/>
      <w:r w:rsidR="0035185C" w:rsidRPr="00DC0C6B">
        <w:t>The post-excavation and publication stage of the project were managed by Jo Barker</w:t>
      </w:r>
      <w:proofErr w:type="gramEnd"/>
      <w:r w:rsidR="0035185C" w:rsidRPr="00DC0C6B">
        <w:t xml:space="preserve">. </w:t>
      </w:r>
      <w:r w:rsidR="006B09B7" w:rsidRPr="00DC0C6B">
        <w:t>Th</w:t>
      </w:r>
      <w:r w:rsidR="00B950DC" w:rsidRPr="00DC0C6B">
        <w:t>is</w:t>
      </w:r>
      <w:r w:rsidR="006B09B7" w:rsidRPr="00DC0C6B">
        <w:t xml:space="preserve"> </w:t>
      </w:r>
      <w:r w:rsidR="0035185C" w:rsidRPr="00DC0C6B">
        <w:t xml:space="preserve">publication report has </w:t>
      </w:r>
      <w:proofErr w:type="gramStart"/>
      <w:r w:rsidR="0035185C" w:rsidRPr="00DC0C6B">
        <w:t>been edited</w:t>
      </w:r>
      <w:proofErr w:type="gramEnd"/>
      <w:r w:rsidR="0035185C" w:rsidRPr="00DC0C6B">
        <w:t xml:space="preserve"> from the full excavation report by Jo Barker</w:t>
      </w:r>
      <w:r w:rsidR="00CA2380" w:rsidRPr="00DC0C6B">
        <w:t xml:space="preserve">. </w:t>
      </w:r>
      <w:r w:rsidR="006B09B7" w:rsidRPr="00DC0C6B">
        <w:t xml:space="preserve">The </w:t>
      </w:r>
      <w:r w:rsidR="00B950DC" w:rsidRPr="00DC0C6B">
        <w:t xml:space="preserve">report </w:t>
      </w:r>
      <w:r w:rsidR="006B09B7" w:rsidRPr="00DC0C6B">
        <w:t xml:space="preserve">illustrations were prepared by </w:t>
      </w:r>
      <w:r w:rsidR="00CE05D2" w:rsidRPr="00DC0C6B">
        <w:t>Ryan Wilson</w:t>
      </w:r>
      <w:r w:rsidR="0035185C" w:rsidRPr="00DC0C6B">
        <w:t xml:space="preserve"> and</w:t>
      </w:r>
      <w:r w:rsidR="006B09B7" w:rsidRPr="00DC0C6B">
        <w:t xml:space="preserve"> </w:t>
      </w:r>
      <w:r w:rsidR="0035185C" w:rsidRPr="00DC0C6B">
        <w:t>t</w:t>
      </w:r>
      <w:r w:rsidR="008B0B58" w:rsidRPr="00DC0C6B">
        <w:t xml:space="preserve">he artefact illustrations were prepared by Helena Munoz-Mojado and Krissy Moore. </w:t>
      </w:r>
      <w:r w:rsidR="006B09B7" w:rsidRPr="00DC0C6B">
        <w:t xml:space="preserve">The </w:t>
      </w:r>
      <w:r w:rsidR="00B950DC" w:rsidRPr="00DC0C6B">
        <w:t xml:space="preserve">project </w:t>
      </w:r>
      <w:r w:rsidR="006B09B7" w:rsidRPr="00DC0C6B">
        <w:t xml:space="preserve">archive </w:t>
      </w:r>
      <w:r w:rsidR="0035185C" w:rsidRPr="00DC0C6B">
        <w:t xml:space="preserve">will </w:t>
      </w:r>
      <w:proofErr w:type="gramStart"/>
      <w:r w:rsidR="0035185C" w:rsidRPr="00DC0C6B">
        <w:t>be deposited</w:t>
      </w:r>
      <w:proofErr w:type="gramEnd"/>
      <w:r w:rsidR="0035185C" w:rsidRPr="00DC0C6B">
        <w:t xml:space="preserve"> with the Oxford Museums Service </w:t>
      </w:r>
      <w:r w:rsidR="00BB3D5A" w:rsidRPr="00DC0C6B">
        <w:t>(accession number: OXCMS:2022.24)</w:t>
      </w:r>
      <w:r w:rsidR="0035185C" w:rsidRPr="00DC0C6B">
        <w:t>. A</w:t>
      </w:r>
      <w:r w:rsidR="00BB3D5A" w:rsidRPr="00DC0C6B">
        <w:t xml:space="preserve"> digital archive will </w:t>
      </w:r>
      <w:proofErr w:type="gramStart"/>
      <w:r w:rsidR="00BB3D5A" w:rsidRPr="00DC0C6B">
        <w:t>be deposited</w:t>
      </w:r>
      <w:proofErr w:type="gramEnd"/>
      <w:r w:rsidR="00BB3D5A" w:rsidRPr="00DC0C6B">
        <w:t xml:space="preserve"> with the Archaeology Data Service (ADS).</w:t>
      </w:r>
      <w:r w:rsidR="00BB3D5A" w:rsidRPr="009601DC">
        <w:t xml:space="preserve"> </w:t>
      </w:r>
    </w:p>
    <w:p w14:paraId="115E78C2" w14:textId="77777777" w:rsidR="00561947" w:rsidRDefault="00561947" w:rsidP="0035185C">
      <w:pPr>
        <w:pStyle w:val="05TextNumberedParagraph"/>
        <w:ind w:firstLine="0"/>
      </w:pPr>
    </w:p>
    <w:p w14:paraId="0CE6E9D6" w14:textId="2D79F4A4" w:rsidR="00561947" w:rsidRDefault="00561947" w:rsidP="0035185C">
      <w:pPr>
        <w:pStyle w:val="05TextNumberedParagraph"/>
        <w:ind w:firstLine="0"/>
      </w:pPr>
      <w:r w:rsidRPr="00561947">
        <w:t>Identification of the p</w:t>
      </w:r>
      <w:r>
        <w:t>robable</w:t>
      </w:r>
      <w:r w:rsidRPr="00561947">
        <w:t xml:space="preserve"> golden eagle bone </w:t>
      </w:r>
      <w:proofErr w:type="gramStart"/>
      <w:r w:rsidRPr="00561947">
        <w:t>was carried</w:t>
      </w:r>
      <w:proofErr w:type="gramEnd"/>
      <w:r w:rsidRPr="00561947">
        <w:t xml:space="preserve"> out by Matilda Holmes and Andy Clarke, and we would like to thank the staff at the Natural History Museum at Tring for their assistance.</w:t>
      </w:r>
    </w:p>
    <w:p w14:paraId="571FEE2B" w14:textId="27E7225D" w:rsidR="00EF0D16" w:rsidRPr="006D5944" w:rsidRDefault="00EF0D16" w:rsidP="007029DF">
      <w:pPr>
        <w:tabs>
          <w:tab w:val="clear" w:pos="794"/>
        </w:tabs>
        <w:ind w:left="0" w:firstLine="0"/>
        <w:jc w:val="left"/>
      </w:pPr>
      <w:bookmarkStart w:id="78" w:name="_Toc468867815"/>
    </w:p>
    <w:bookmarkEnd w:id="78"/>
    <w:p w14:paraId="12F72DE8" w14:textId="77777777" w:rsidR="00EA00AB" w:rsidRDefault="00EA00AB" w:rsidP="00A33E64">
      <w:pPr>
        <w:pStyle w:val="14Appendixparagraphtext"/>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51"/>
    <w:bookmarkEnd w:id="52"/>
    <w:bookmarkEnd w:id="60"/>
    <w:sectPr w:rsidR="00EA00AB" w:rsidSect="00F8034A">
      <w:headerReference w:type="even" r:id="rId12"/>
      <w:headerReference w:type="default" r:id="rId13"/>
      <w:headerReference w:type="first" r:id="rId14"/>
      <w:pgSz w:w="11906" w:h="16838" w:code="9"/>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3" w:author="Joanne Barker" w:date="2023-04-06T10:22:00Z" w:initials="JB">
    <w:p w14:paraId="26584D29" w14:textId="682473BD" w:rsidR="009233B5" w:rsidRDefault="009233B5" w:rsidP="00D17F40">
      <w:pPr>
        <w:pStyle w:val="CommentText"/>
        <w:jc w:val="left"/>
      </w:pPr>
      <w:r>
        <w:rPr>
          <w:rStyle w:val="CommentReference"/>
        </w:rPr>
        <w:annotationRef/>
      </w:r>
      <w:r>
        <w:t>Insert Figure 1 near here</w:t>
      </w:r>
    </w:p>
  </w:comment>
  <w:comment w:id="54" w:author="Joanne Barker" w:date="2023-04-06T07:22:00Z" w:initials="JB">
    <w:p w14:paraId="5B6CA943" w14:textId="7172CE78" w:rsidR="00E56447" w:rsidRDefault="00E56447" w:rsidP="00B41393">
      <w:pPr>
        <w:pStyle w:val="CommentText"/>
        <w:jc w:val="left"/>
      </w:pPr>
      <w:r>
        <w:rPr>
          <w:rStyle w:val="CommentReference"/>
        </w:rPr>
        <w:annotationRef/>
      </w:r>
      <w:r>
        <w:t>Insert Figure 2 near here</w:t>
      </w:r>
    </w:p>
  </w:comment>
  <w:comment w:id="62" w:author="Joanne Barker" w:date="2023-03-27T15:50:00Z" w:initials="JB">
    <w:p w14:paraId="3B65EC56" w14:textId="77777777" w:rsidR="00E56447" w:rsidRDefault="00D026BB" w:rsidP="0098633A">
      <w:pPr>
        <w:pStyle w:val="CommentText"/>
        <w:jc w:val="left"/>
      </w:pPr>
      <w:r>
        <w:rPr>
          <w:rStyle w:val="CommentReference"/>
        </w:rPr>
        <w:annotationRef/>
      </w:r>
      <w:r w:rsidR="00E56447">
        <w:t>Insert Figure 3 near here</w:t>
      </w:r>
    </w:p>
  </w:comment>
  <w:comment w:id="65" w:author="Joanne Barker" w:date="2023-04-06T07:33:00Z" w:initials="JB">
    <w:p w14:paraId="75C5D3FE" w14:textId="77777777" w:rsidR="00E44D61" w:rsidRDefault="00717C52" w:rsidP="00F236A9">
      <w:pPr>
        <w:pStyle w:val="CommentText"/>
        <w:jc w:val="left"/>
      </w:pPr>
      <w:r>
        <w:rPr>
          <w:rStyle w:val="CommentReference"/>
        </w:rPr>
        <w:annotationRef/>
      </w:r>
      <w:r w:rsidR="00E44D61">
        <w:t>Insert Figures 4 and 5 near here</w:t>
      </w:r>
    </w:p>
  </w:comment>
  <w:comment w:id="66" w:author="Joanne Barker" w:date="2023-04-06T08:19:00Z" w:initials="JB">
    <w:p w14:paraId="7F31EF4B" w14:textId="6A39B2D5" w:rsidR="005445F0" w:rsidRDefault="005445F0" w:rsidP="00AD2A82">
      <w:pPr>
        <w:pStyle w:val="CommentText"/>
        <w:jc w:val="left"/>
      </w:pPr>
      <w:r>
        <w:rPr>
          <w:rStyle w:val="CommentReference"/>
        </w:rPr>
        <w:annotationRef/>
      </w:r>
      <w:r>
        <w:t>Insert Figure 6 near here</w:t>
      </w:r>
    </w:p>
  </w:comment>
  <w:comment w:id="67" w:author="Joanne Barker" w:date="2023-04-06T08:20:00Z" w:initials="JB">
    <w:p w14:paraId="709592EB" w14:textId="5BF960EC" w:rsidR="005445F0" w:rsidRDefault="005445F0" w:rsidP="00E95FD0">
      <w:pPr>
        <w:pStyle w:val="CommentText"/>
        <w:jc w:val="left"/>
      </w:pPr>
      <w:r>
        <w:rPr>
          <w:rStyle w:val="CommentReference"/>
        </w:rPr>
        <w:annotationRef/>
      </w:r>
      <w:r>
        <w:t>Insert Figure 7 near here</w:t>
      </w:r>
    </w:p>
  </w:comment>
  <w:comment w:id="71" w:author="Joanne Barker" w:date="2023-03-27T10:43:00Z" w:initials="JB">
    <w:p w14:paraId="0145D4C4" w14:textId="25EC8C1C" w:rsidR="007525FB" w:rsidRDefault="007525FB" w:rsidP="004E2D06">
      <w:pPr>
        <w:pStyle w:val="CommentText"/>
        <w:jc w:val="left"/>
      </w:pPr>
      <w:r>
        <w:rPr>
          <w:rStyle w:val="CommentReference"/>
        </w:rPr>
        <w:annotationRef/>
      </w:r>
      <w:r>
        <w:t>Insert Table 1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584D29" w15:done="0"/>
  <w15:commentEx w15:paraId="5B6CA943" w15:done="0"/>
  <w15:commentEx w15:paraId="3B65EC56" w15:done="0"/>
  <w15:commentEx w15:paraId="75C5D3FE" w15:done="0"/>
  <w15:commentEx w15:paraId="7F31EF4B" w15:done="0"/>
  <w15:commentEx w15:paraId="709592EB" w15:done="0"/>
  <w15:commentEx w15:paraId="0145D4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91BEF" w16cex:dateUtc="2023-04-06T09:22:00Z"/>
  <w16cex:commentExtensible w16cex:durableId="27D8F19D" w16cex:dateUtc="2023-04-06T06:22:00Z"/>
  <w16cex:commentExtensible w16cex:durableId="27CC39E1" w16cex:dateUtc="2023-03-27T14:50:00Z"/>
  <w16cex:commentExtensible w16cex:durableId="27D8F442" w16cex:dateUtc="2023-04-06T06:33:00Z"/>
  <w16cex:commentExtensible w16cex:durableId="27D8FF01" w16cex:dateUtc="2023-04-06T07:19:00Z"/>
  <w16cex:commentExtensible w16cex:durableId="27D8FF4B" w16cex:dateUtc="2023-04-06T07:20:00Z"/>
  <w16cex:commentExtensible w16cex:durableId="27CBF1E5" w16cex:dateUtc="2023-03-27T09: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584D29" w16cid:durableId="27D91BEF"/>
  <w16cid:commentId w16cid:paraId="5B6CA943" w16cid:durableId="27D8F19D"/>
  <w16cid:commentId w16cid:paraId="3B65EC56" w16cid:durableId="27CC39E1"/>
  <w16cid:commentId w16cid:paraId="75C5D3FE" w16cid:durableId="27D8F442"/>
  <w16cid:commentId w16cid:paraId="7F31EF4B" w16cid:durableId="27D8FF01"/>
  <w16cid:commentId w16cid:paraId="709592EB" w16cid:durableId="27D8FF4B"/>
  <w16cid:commentId w16cid:paraId="0145D4C4" w16cid:durableId="27CBF1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84C33" w14:textId="77777777" w:rsidR="001A592E" w:rsidRDefault="001A592E">
      <w:r>
        <w:separator/>
      </w:r>
    </w:p>
  </w:endnote>
  <w:endnote w:type="continuationSeparator" w:id="0">
    <w:p w14:paraId="6EB4BF61" w14:textId="77777777" w:rsidR="001A592E" w:rsidRDefault="001A5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TC Franklin Gothic Std Boo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70015" w14:textId="77777777" w:rsidR="001A592E" w:rsidRDefault="001A592E">
      <w:r>
        <w:separator/>
      </w:r>
    </w:p>
  </w:footnote>
  <w:footnote w:type="continuationSeparator" w:id="0">
    <w:p w14:paraId="3D21D5F5" w14:textId="77777777" w:rsidR="001A592E" w:rsidRDefault="001A592E">
      <w:r>
        <w:continuationSeparator/>
      </w:r>
    </w:p>
  </w:footnote>
  <w:footnote w:id="1">
    <w:p w14:paraId="51B33519" w14:textId="7F91B961" w:rsidR="00D02574" w:rsidRPr="00DA0982" w:rsidRDefault="00D02574">
      <w:pPr>
        <w:pStyle w:val="FootnoteText"/>
        <w:rPr>
          <w:rFonts w:ascii="Times New Roman" w:hAnsi="Times New Roman"/>
          <w:lang w:val="en-US"/>
        </w:rPr>
      </w:pPr>
      <w:r w:rsidRPr="00DA0982">
        <w:rPr>
          <w:rStyle w:val="FootnoteReference"/>
          <w:rFonts w:ascii="Times New Roman" w:hAnsi="Times New Roman"/>
        </w:rPr>
        <w:footnoteRef/>
      </w:r>
      <w:r w:rsidRPr="00DA0982">
        <w:rPr>
          <w:rFonts w:ascii="Times New Roman" w:hAnsi="Times New Roman"/>
        </w:rPr>
        <w:t xml:space="preserve"> British Geological Survey </w:t>
      </w:r>
      <w:r w:rsidR="00000E0A" w:rsidRPr="00DA0982">
        <w:rPr>
          <w:rFonts w:ascii="Times New Roman" w:hAnsi="Times New Roman"/>
        </w:rPr>
        <w:t>V</w:t>
      </w:r>
      <w:r w:rsidRPr="00DA0982">
        <w:rPr>
          <w:rFonts w:ascii="Times New Roman" w:hAnsi="Times New Roman"/>
        </w:rPr>
        <w:t>iewer</w:t>
      </w:r>
      <w:r w:rsidR="00F6784C" w:rsidRPr="00DA0982">
        <w:rPr>
          <w:rFonts w:ascii="Times New Roman" w:hAnsi="Times New Roman"/>
        </w:rPr>
        <w:t xml:space="preserve"> -</w:t>
      </w:r>
      <w:r w:rsidRPr="00DA0982">
        <w:rPr>
          <w:rFonts w:ascii="Times New Roman" w:hAnsi="Times New Roman"/>
        </w:rPr>
        <w:t xml:space="preserve"> </w:t>
      </w:r>
      <w:hyperlink r:id="rId1" w:history="1">
        <w:r w:rsidR="00000E0A" w:rsidRPr="00DA0982">
          <w:rPr>
            <w:rStyle w:val="Hyperlink"/>
            <w:rFonts w:ascii="Times New Roman" w:hAnsi="Times New Roman"/>
          </w:rPr>
          <w:t>https://www.bgs.ac.uk/map-viewers/bgs-geology-viewer</w:t>
        </w:r>
      </w:hyperlink>
      <w:r w:rsidR="00000E0A" w:rsidRPr="00DA0982">
        <w:rPr>
          <w:rFonts w:ascii="Times New Roman" w:hAnsi="Times New Roman"/>
        </w:rPr>
        <w:t xml:space="preserve"> (202</w:t>
      </w:r>
      <w:r w:rsidR="00A85ECD">
        <w:rPr>
          <w:rFonts w:ascii="Times New Roman" w:hAnsi="Times New Roman"/>
        </w:rPr>
        <w:t>3</w:t>
      </w:r>
      <w:r w:rsidR="00000E0A" w:rsidRPr="00DA0982">
        <w:rPr>
          <w:rFonts w:ascii="Times New Roman" w:hAnsi="Times New Roman"/>
        </w:rPr>
        <w:t>)</w:t>
      </w:r>
    </w:p>
  </w:footnote>
  <w:footnote w:id="2">
    <w:p w14:paraId="7322C66F" w14:textId="3E7EA747" w:rsidR="00722328" w:rsidRPr="00722328" w:rsidRDefault="00722328">
      <w:pPr>
        <w:pStyle w:val="FootnoteText"/>
        <w:rPr>
          <w:lang w:val="en-US"/>
        </w:rPr>
      </w:pPr>
      <w:r w:rsidRPr="00DA0982">
        <w:rPr>
          <w:rStyle w:val="FootnoteReference"/>
          <w:rFonts w:ascii="Times New Roman" w:hAnsi="Times New Roman"/>
        </w:rPr>
        <w:footnoteRef/>
      </w:r>
      <w:r w:rsidRPr="00DA0982">
        <w:rPr>
          <w:rFonts w:ascii="Times New Roman" w:hAnsi="Times New Roman"/>
        </w:rPr>
        <w:t xml:space="preserve"> </w:t>
      </w:r>
      <w:r w:rsidR="00D02574" w:rsidRPr="00DA0982">
        <w:rPr>
          <w:rFonts w:ascii="Times New Roman" w:hAnsi="Times New Roman"/>
        </w:rPr>
        <w:t>Ibid.</w:t>
      </w:r>
    </w:p>
  </w:footnote>
  <w:footnote w:id="3">
    <w:p w14:paraId="31DA01DB" w14:textId="371F8EB3" w:rsidR="00D02574" w:rsidRPr="00DA0982" w:rsidRDefault="00D02574" w:rsidP="007F3393">
      <w:pPr>
        <w:pStyle w:val="FootnoteText"/>
        <w:ind w:left="0" w:firstLine="0"/>
        <w:rPr>
          <w:rFonts w:ascii="Times New Roman" w:hAnsi="Times New Roman"/>
          <w:lang w:val="en-US"/>
        </w:rPr>
      </w:pPr>
      <w:r w:rsidRPr="00DA0982">
        <w:rPr>
          <w:rStyle w:val="FootnoteReference"/>
          <w:rFonts w:ascii="Times New Roman" w:hAnsi="Times New Roman"/>
        </w:rPr>
        <w:footnoteRef/>
      </w:r>
      <w:r w:rsidRPr="00DA0982">
        <w:rPr>
          <w:rFonts w:ascii="Times New Roman" w:hAnsi="Times New Roman"/>
        </w:rPr>
        <w:t xml:space="preserve"> </w:t>
      </w:r>
      <w:r w:rsidR="00000E0A" w:rsidRPr="00DA0982">
        <w:rPr>
          <w:rFonts w:ascii="Times New Roman" w:hAnsi="Times New Roman"/>
        </w:rPr>
        <w:t xml:space="preserve">D. </w:t>
      </w:r>
      <w:r w:rsidRPr="00DA0982">
        <w:rPr>
          <w:rFonts w:ascii="Times New Roman" w:hAnsi="Times New Roman"/>
        </w:rPr>
        <w:t xml:space="preserve">Benson and </w:t>
      </w:r>
      <w:r w:rsidR="00000E0A" w:rsidRPr="00DA0982">
        <w:rPr>
          <w:rFonts w:ascii="Times New Roman" w:hAnsi="Times New Roman"/>
        </w:rPr>
        <w:t xml:space="preserve">D. </w:t>
      </w:r>
      <w:r w:rsidRPr="00DA0982">
        <w:rPr>
          <w:rFonts w:ascii="Times New Roman" w:hAnsi="Times New Roman"/>
        </w:rPr>
        <w:t>Miles</w:t>
      </w:r>
      <w:r w:rsidR="00000E0A" w:rsidRPr="00DA0982">
        <w:rPr>
          <w:rFonts w:ascii="Times New Roman" w:hAnsi="Times New Roman"/>
        </w:rPr>
        <w:t>,</w:t>
      </w:r>
      <w:r w:rsidRPr="00DA0982">
        <w:rPr>
          <w:rFonts w:ascii="Times New Roman" w:hAnsi="Times New Roman"/>
        </w:rPr>
        <w:t xml:space="preserve"> </w:t>
      </w:r>
      <w:r w:rsidRPr="00DA0982">
        <w:rPr>
          <w:rFonts w:ascii="Times New Roman" w:hAnsi="Times New Roman"/>
          <w:i/>
          <w:iCs/>
        </w:rPr>
        <w:t>The Upper Thames Valley: An archaeological survey of the river gravels Oxford Archaeology Unit Survey</w:t>
      </w:r>
      <w:r w:rsidR="00812BAD">
        <w:rPr>
          <w:rFonts w:ascii="Times New Roman" w:hAnsi="Times New Roman"/>
          <w:i/>
          <w:iCs/>
        </w:rPr>
        <w:t>,</w:t>
      </w:r>
      <w:r w:rsidRPr="00DA0982">
        <w:rPr>
          <w:rFonts w:ascii="Times New Roman" w:hAnsi="Times New Roman"/>
          <w:i/>
          <w:iCs/>
        </w:rPr>
        <w:t xml:space="preserve"> no. 2</w:t>
      </w:r>
      <w:r w:rsidR="00000E0A" w:rsidRPr="00DA0982">
        <w:rPr>
          <w:rFonts w:ascii="Times New Roman" w:hAnsi="Times New Roman"/>
        </w:rPr>
        <w:t xml:space="preserve"> (1974)</w:t>
      </w:r>
      <w:r w:rsidR="00C17294" w:rsidRPr="00DA0982">
        <w:rPr>
          <w:rFonts w:ascii="Times New Roman" w:hAnsi="Times New Roman"/>
        </w:rPr>
        <w:t>.</w:t>
      </w:r>
    </w:p>
  </w:footnote>
  <w:footnote w:id="4">
    <w:p w14:paraId="798C630F" w14:textId="7D02D926" w:rsidR="0075699B" w:rsidRPr="00DA0982" w:rsidRDefault="0075699B" w:rsidP="007F3393">
      <w:pPr>
        <w:pStyle w:val="FootnoteText"/>
        <w:ind w:left="0" w:firstLine="0"/>
        <w:rPr>
          <w:rFonts w:ascii="Times New Roman" w:hAnsi="Times New Roman"/>
          <w:lang w:val="en-US"/>
        </w:rPr>
      </w:pPr>
      <w:r w:rsidRPr="00DA0982">
        <w:rPr>
          <w:rStyle w:val="FootnoteReference"/>
          <w:rFonts w:ascii="Times New Roman" w:hAnsi="Times New Roman"/>
        </w:rPr>
        <w:footnoteRef/>
      </w:r>
      <w:r w:rsidRPr="00DA0982">
        <w:rPr>
          <w:rFonts w:ascii="Times New Roman" w:hAnsi="Times New Roman"/>
        </w:rPr>
        <w:t xml:space="preserve"> </w:t>
      </w:r>
      <w:r w:rsidR="00546B6C" w:rsidRPr="00DA0982">
        <w:rPr>
          <w:rFonts w:ascii="Times New Roman" w:hAnsi="Times New Roman"/>
        </w:rPr>
        <w:t xml:space="preserve">See, for example, </w:t>
      </w:r>
      <w:r w:rsidR="00C17294" w:rsidRPr="00DA0982">
        <w:rPr>
          <w:rFonts w:ascii="Times New Roman" w:hAnsi="Times New Roman"/>
        </w:rPr>
        <w:t xml:space="preserve">E.T. </w:t>
      </w:r>
      <w:r w:rsidR="00D02574" w:rsidRPr="00DA0982">
        <w:rPr>
          <w:rFonts w:ascii="Times New Roman" w:hAnsi="Times New Roman"/>
          <w:lang w:val="en-US"/>
        </w:rPr>
        <w:t xml:space="preserve">Leeds, ‘Beakers of the Upper Thames district’, </w:t>
      </w:r>
      <w:r w:rsidR="00D02574" w:rsidRPr="00DA0982">
        <w:rPr>
          <w:rFonts w:ascii="Times New Roman" w:hAnsi="Times New Roman"/>
          <w:i/>
          <w:iCs/>
          <w:lang w:val="en-US"/>
        </w:rPr>
        <w:t>Oxoniensia</w:t>
      </w:r>
      <w:r w:rsidR="00812BAD">
        <w:rPr>
          <w:rFonts w:ascii="Times New Roman" w:hAnsi="Times New Roman"/>
          <w:i/>
          <w:iCs/>
          <w:lang w:val="en-US"/>
        </w:rPr>
        <w:t>,</w:t>
      </w:r>
      <w:r w:rsidR="00D02574" w:rsidRPr="00DA0982">
        <w:rPr>
          <w:rFonts w:ascii="Times New Roman" w:hAnsi="Times New Roman"/>
          <w:lang w:val="en-US"/>
        </w:rPr>
        <w:t xml:space="preserve"> 3, </w:t>
      </w:r>
      <w:r w:rsidR="00C17294" w:rsidRPr="00DA0982">
        <w:rPr>
          <w:rFonts w:ascii="Times New Roman" w:hAnsi="Times New Roman"/>
          <w:lang w:val="en-US"/>
        </w:rPr>
        <w:t xml:space="preserve">(1938), pp. </w:t>
      </w:r>
      <w:r w:rsidR="00D02574" w:rsidRPr="00DA0982">
        <w:rPr>
          <w:rFonts w:ascii="Times New Roman" w:hAnsi="Times New Roman"/>
          <w:lang w:val="en-US"/>
        </w:rPr>
        <w:t xml:space="preserve">7–30; </w:t>
      </w:r>
      <w:r w:rsidR="00C17294" w:rsidRPr="00DA0982">
        <w:rPr>
          <w:rFonts w:ascii="Times New Roman" w:hAnsi="Times New Roman"/>
          <w:lang w:val="en-US"/>
        </w:rPr>
        <w:t xml:space="preserve">J.S.P. </w:t>
      </w:r>
      <w:r w:rsidR="00D02574" w:rsidRPr="00DA0982">
        <w:rPr>
          <w:rFonts w:ascii="Times New Roman" w:hAnsi="Times New Roman"/>
          <w:lang w:val="en-US"/>
        </w:rPr>
        <w:t xml:space="preserve">Bradford and </w:t>
      </w:r>
      <w:r w:rsidR="00C17294" w:rsidRPr="00DA0982">
        <w:rPr>
          <w:rFonts w:ascii="Times New Roman" w:hAnsi="Times New Roman"/>
          <w:lang w:val="en-US"/>
        </w:rPr>
        <w:t xml:space="preserve">J.M. </w:t>
      </w:r>
      <w:r w:rsidR="00D02574" w:rsidRPr="00DA0982">
        <w:rPr>
          <w:rFonts w:ascii="Times New Roman" w:hAnsi="Times New Roman"/>
          <w:lang w:val="en-US"/>
        </w:rPr>
        <w:t xml:space="preserve">Morris, ‘Archaeological notes’, </w:t>
      </w:r>
      <w:r w:rsidR="00D02574" w:rsidRPr="00DA0982">
        <w:rPr>
          <w:rFonts w:ascii="Times New Roman" w:hAnsi="Times New Roman"/>
          <w:i/>
          <w:iCs/>
          <w:lang w:val="en-US"/>
        </w:rPr>
        <w:t>Oxoniensia</w:t>
      </w:r>
      <w:r w:rsidR="00812BAD">
        <w:rPr>
          <w:rFonts w:ascii="Times New Roman" w:hAnsi="Times New Roman"/>
          <w:i/>
          <w:iCs/>
          <w:lang w:val="en-US"/>
        </w:rPr>
        <w:t>,</w:t>
      </w:r>
      <w:r w:rsidR="00D02574" w:rsidRPr="00DA0982">
        <w:rPr>
          <w:rFonts w:ascii="Times New Roman" w:hAnsi="Times New Roman"/>
          <w:lang w:val="en-US"/>
        </w:rPr>
        <w:t xml:space="preserve"> 6, </w:t>
      </w:r>
      <w:r w:rsidR="00C17294" w:rsidRPr="00DA0982">
        <w:rPr>
          <w:rFonts w:ascii="Times New Roman" w:hAnsi="Times New Roman"/>
          <w:lang w:val="en-US"/>
        </w:rPr>
        <w:t xml:space="preserve">(1941), pp. </w:t>
      </w:r>
      <w:r w:rsidR="00D02574" w:rsidRPr="00DA0982">
        <w:rPr>
          <w:rFonts w:ascii="Times New Roman" w:hAnsi="Times New Roman"/>
          <w:lang w:val="en-US"/>
        </w:rPr>
        <w:t xml:space="preserve">85–87; </w:t>
      </w:r>
      <w:r w:rsidR="00C17294" w:rsidRPr="00DA0982">
        <w:rPr>
          <w:rFonts w:ascii="Times New Roman" w:hAnsi="Times New Roman"/>
          <w:lang w:val="en-US"/>
        </w:rPr>
        <w:t xml:space="preserve">R. </w:t>
      </w:r>
      <w:r w:rsidR="00D02574" w:rsidRPr="00DA0982">
        <w:rPr>
          <w:rFonts w:ascii="Times New Roman" w:hAnsi="Times New Roman"/>
          <w:lang w:val="en-US"/>
        </w:rPr>
        <w:t xml:space="preserve">Kenward, ‘A Neolithic burial enclosure at New </w:t>
      </w:r>
      <w:proofErr w:type="spellStart"/>
      <w:r w:rsidR="00D02574" w:rsidRPr="00DA0982">
        <w:rPr>
          <w:rFonts w:ascii="Times New Roman" w:hAnsi="Times New Roman"/>
          <w:lang w:val="en-US"/>
        </w:rPr>
        <w:t>Wintles</w:t>
      </w:r>
      <w:proofErr w:type="spellEnd"/>
      <w:r w:rsidR="00D02574" w:rsidRPr="00DA0982">
        <w:rPr>
          <w:rFonts w:ascii="Times New Roman" w:hAnsi="Times New Roman"/>
          <w:lang w:val="en-US"/>
        </w:rPr>
        <w:t xml:space="preserve"> Farm, Eynsham’, in </w:t>
      </w:r>
      <w:r w:rsidR="00C17294" w:rsidRPr="00DA0982">
        <w:rPr>
          <w:rFonts w:ascii="Times New Roman" w:hAnsi="Times New Roman"/>
          <w:lang w:val="en-US"/>
        </w:rPr>
        <w:t xml:space="preserve">H.J. Case, and A.W.R. Whittle, </w:t>
      </w:r>
      <w:r w:rsidR="00C17294" w:rsidRPr="00DA0982">
        <w:rPr>
          <w:rFonts w:ascii="Times New Roman" w:hAnsi="Times New Roman"/>
          <w:i/>
          <w:iCs/>
          <w:lang w:val="en-US"/>
        </w:rPr>
        <w:t>Settlement patterns in the Oxford region: Excavations at the Abingdon causewayed enclosure and other sites Oxford</w:t>
      </w:r>
      <w:r w:rsidR="00C17294" w:rsidRPr="00DA0982">
        <w:rPr>
          <w:rFonts w:ascii="Times New Roman" w:hAnsi="Times New Roman"/>
          <w:lang w:val="en-US"/>
        </w:rPr>
        <w:t>, CBA Research Report</w:t>
      </w:r>
      <w:r w:rsidR="00812BAD">
        <w:rPr>
          <w:rFonts w:ascii="Times New Roman" w:hAnsi="Times New Roman"/>
          <w:lang w:val="en-US"/>
        </w:rPr>
        <w:t>,</w:t>
      </w:r>
      <w:r w:rsidR="00C17294" w:rsidRPr="00DA0982">
        <w:rPr>
          <w:rFonts w:ascii="Times New Roman" w:hAnsi="Times New Roman"/>
          <w:lang w:val="en-US"/>
        </w:rPr>
        <w:t xml:space="preserve"> 44</w:t>
      </w:r>
      <w:r w:rsidR="00D02574" w:rsidRPr="00DA0982">
        <w:rPr>
          <w:rFonts w:ascii="Times New Roman" w:hAnsi="Times New Roman"/>
          <w:lang w:val="en-US"/>
        </w:rPr>
        <w:t xml:space="preserve"> </w:t>
      </w:r>
      <w:r w:rsidR="00C17294" w:rsidRPr="00DA0982">
        <w:rPr>
          <w:rFonts w:ascii="Times New Roman" w:hAnsi="Times New Roman"/>
          <w:lang w:val="en-US"/>
        </w:rPr>
        <w:t>(</w:t>
      </w:r>
      <w:r w:rsidR="00D02574" w:rsidRPr="00DA0982">
        <w:rPr>
          <w:rFonts w:ascii="Times New Roman" w:hAnsi="Times New Roman"/>
          <w:lang w:val="en-US"/>
        </w:rPr>
        <w:t>1982</w:t>
      </w:r>
      <w:r w:rsidR="00C17294" w:rsidRPr="00DA0982">
        <w:rPr>
          <w:rFonts w:ascii="Times New Roman" w:hAnsi="Times New Roman"/>
          <w:lang w:val="en-US"/>
        </w:rPr>
        <w:t>)</w:t>
      </w:r>
      <w:r w:rsidR="00D02574" w:rsidRPr="00DA0982">
        <w:rPr>
          <w:rFonts w:ascii="Times New Roman" w:hAnsi="Times New Roman"/>
          <w:lang w:val="en-US"/>
        </w:rPr>
        <w:t xml:space="preserve">, </w:t>
      </w:r>
      <w:r w:rsidR="00C17294" w:rsidRPr="00DA0982">
        <w:rPr>
          <w:rFonts w:ascii="Times New Roman" w:hAnsi="Times New Roman"/>
          <w:lang w:val="en-US"/>
        </w:rPr>
        <w:t xml:space="preserve">pp. </w:t>
      </w:r>
      <w:r w:rsidR="00D02574" w:rsidRPr="00DA0982">
        <w:rPr>
          <w:rFonts w:ascii="Times New Roman" w:hAnsi="Times New Roman"/>
          <w:lang w:val="en-US"/>
        </w:rPr>
        <w:t xml:space="preserve">51–55; </w:t>
      </w:r>
      <w:r w:rsidR="00BE551B" w:rsidRPr="00DA0982">
        <w:rPr>
          <w:rFonts w:ascii="Times New Roman" w:hAnsi="Times New Roman"/>
          <w:lang w:val="en-US"/>
        </w:rPr>
        <w:t>‘</w:t>
      </w:r>
      <w:r w:rsidR="00D02574" w:rsidRPr="00DA0982">
        <w:rPr>
          <w:rFonts w:ascii="Times New Roman" w:hAnsi="Times New Roman"/>
          <w:lang w:val="en-US"/>
        </w:rPr>
        <w:t>Oxfordshire Cotswold Garden Village, Eynsham, Oxfordshire: Geophysical survey</w:t>
      </w:r>
      <w:r w:rsidR="00BE551B" w:rsidRPr="00DA0982">
        <w:rPr>
          <w:rFonts w:ascii="Times New Roman" w:hAnsi="Times New Roman"/>
          <w:lang w:val="en-US"/>
        </w:rPr>
        <w:t>’, unpublished West Yorkshire Archaeological Services</w:t>
      </w:r>
      <w:r w:rsidR="00D02574" w:rsidRPr="00DA0982">
        <w:rPr>
          <w:rFonts w:ascii="Times New Roman" w:hAnsi="Times New Roman"/>
          <w:lang w:val="en-US"/>
        </w:rPr>
        <w:t xml:space="preserve"> report</w:t>
      </w:r>
      <w:r w:rsidR="00BE551B" w:rsidRPr="00DA0982">
        <w:rPr>
          <w:rFonts w:ascii="Times New Roman" w:hAnsi="Times New Roman"/>
          <w:lang w:val="en-US"/>
        </w:rPr>
        <w:t>,</w:t>
      </w:r>
      <w:r w:rsidR="00D02574" w:rsidRPr="00DA0982">
        <w:rPr>
          <w:rFonts w:ascii="Times New Roman" w:hAnsi="Times New Roman"/>
          <w:lang w:val="en-US"/>
        </w:rPr>
        <w:t xml:space="preserve"> no. 3262</w:t>
      </w:r>
      <w:r w:rsidR="00C17294" w:rsidRPr="00DA0982">
        <w:rPr>
          <w:rFonts w:ascii="Times New Roman" w:hAnsi="Times New Roman"/>
          <w:lang w:val="en-US"/>
        </w:rPr>
        <w:t xml:space="preserve"> (2019)</w:t>
      </w:r>
      <w:r w:rsidR="00B1739F" w:rsidRPr="00DA0982">
        <w:rPr>
          <w:rFonts w:ascii="Times New Roman" w:hAnsi="Times New Roman"/>
          <w:lang w:val="en-US"/>
        </w:rPr>
        <w:t>;</w:t>
      </w:r>
      <w:r w:rsidR="00B1739F" w:rsidRPr="00DA0982">
        <w:rPr>
          <w:rFonts w:ascii="Times New Roman" w:hAnsi="Times New Roman"/>
        </w:rPr>
        <w:t xml:space="preserve"> S.C. </w:t>
      </w:r>
      <w:r w:rsidR="00B1739F" w:rsidRPr="00DA0982">
        <w:rPr>
          <w:rFonts w:ascii="Times New Roman" w:hAnsi="Times New Roman"/>
          <w:lang w:val="en-US"/>
        </w:rPr>
        <w:t xml:space="preserve">Hawkes and M. Gray, ‘Preliminary note on the Early Anglo-Saxon settlement at New </w:t>
      </w:r>
      <w:proofErr w:type="spellStart"/>
      <w:r w:rsidR="00B1739F" w:rsidRPr="00DA0982">
        <w:rPr>
          <w:rFonts w:ascii="Times New Roman" w:hAnsi="Times New Roman"/>
          <w:lang w:val="en-US"/>
        </w:rPr>
        <w:t>Wintles</w:t>
      </w:r>
      <w:proofErr w:type="spellEnd"/>
      <w:r w:rsidR="00B1739F" w:rsidRPr="00DA0982">
        <w:rPr>
          <w:rFonts w:ascii="Times New Roman" w:hAnsi="Times New Roman"/>
          <w:lang w:val="en-US"/>
        </w:rPr>
        <w:t xml:space="preserve"> Farm, Eynsham’, </w:t>
      </w:r>
      <w:r w:rsidR="00B1739F" w:rsidRPr="00DA0982">
        <w:rPr>
          <w:rFonts w:ascii="Times New Roman" w:hAnsi="Times New Roman"/>
          <w:i/>
          <w:iCs/>
          <w:lang w:val="en-US"/>
        </w:rPr>
        <w:t>Oxoniensia</w:t>
      </w:r>
      <w:r w:rsidR="00812BAD">
        <w:rPr>
          <w:rFonts w:ascii="Times New Roman" w:hAnsi="Times New Roman"/>
          <w:i/>
          <w:iCs/>
          <w:lang w:val="en-US"/>
        </w:rPr>
        <w:t>,</w:t>
      </w:r>
      <w:r w:rsidR="00B1739F" w:rsidRPr="00DA0982">
        <w:rPr>
          <w:rFonts w:ascii="Times New Roman" w:hAnsi="Times New Roman"/>
          <w:lang w:val="en-US"/>
        </w:rPr>
        <w:t xml:space="preserve"> 34, (1969), pp.1–4</w:t>
      </w:r>
    </w:p>
  </w:footnote>
  <w:footnote w:id="5">
    <w:p w14:paraId="64B91B69" w14:textId="36EF1B13" w:rsidR="006F7F9C" w:rsidRPr="00DA0982" w:rsidRDefault="006F7F9C" w:rsidP="007F3393">
      <w:pPr>
        <w:pStyle w:val="FootnoteText"/>
        <w:ind w:left="0" w:firstLine="0"/>
        <w:rPr>
          <w:rFonts w:ascii="Times New Roman" w:hAnsi="Times New Roman"/>
          <w:lang w:val="en-US"/>
        </w:rPr>
      </w:pPr>
      <w:r w:rsidRPr="00DA0982">
        <w:rPr>
          <w:rStyle w:val="FootnoteReference"/>
          <w:rFonts w:ascii="Times New Roman" w:hAnsi="Times New Roman"/>
        </w:rPr>
        <w:footnoteRef/>
      </w:r>
      <w:r w:rsidRPr="00DA0982">
        <w:rPr>
          <w:rFonts w:ascii="Times New Roman" w:hAnsi="Times New Roman"/>
        </w:rPr>
        <w:t xml:space="preserve"> </w:t>
      </w:r>
      <w:r w:rsidR="00BE551B" w:rsidRPr="00DA0982">
        <w:rPr>
          <w:rFonts w:ascii="Times New Roman" w:hAnsi="Times New Roman"/>
        </w:rPr>
        <w:t>‘</w:t>
      </w:r>
      <w:r w:rsidR="00E6293A" w:rsidRPr="00DA0982">
        <w:rPr>
          <w:rFonts w:ascii="Times New Roman" w:hAnsi="Times New Roman"/>
        </w:rPr>
        <w:t>A40 Park &amp; Ride, Eynsham, Oxfordshire: Historic environment desk-based assessment</w:t>
      </w:r>
      <w:r w:rsidR="00BE551B" w:rsidRPr="00DA0982">
        <w:rPr>
          <w:rFonts w:ascii="Times New Roman" w:hAnsi="Times New Roman"/>
        </w:rPr>
        <w:t>’, unpublished AECOM report (2018)</w:t>
      </w:r>
    </w:p>
  </w:footnote>
  <w:footnote w:id="6">
    <w:p w14:paraId="40A59754" w14:textId="7CB537E8" w:rsidR="006F7F9C" w:rsidRPr="00DA0982" w:rsidRDefault="006F7F9C" w:rsidP="007F3393">
      <w:pPr>
        <w:pStyle w:val="FootnoteText"/>
        <w:ind w:left="0" w:firstLine="0"/>
        <w:rPr>
          <w:rFonts w:ascii="Times New Roman" w:hAnsi="Times New Roman"/>
          <w:lang w:val="en-US"/>
        </w:rPr>
      </w:pPr>
      <w:r w:rsidRPr="00DA0982">
        <w:rPr>
          <w:rStyle w:val="FootnoteReference"/>
          <w:rFonts w:ascii="Times New Roman" w:hAnsi="Times New Roman"/>
        </w:rPr>
        <w:footnoteRef/>
      </w:r>
      <w:r w:rsidRPr="00DA0982">
        <w:rPr>
          <w:rFonts w:ascii="Times New Roman" w:hAnsi="Times New Roman"/>
        </w:rPr>
        <w:t xml:space="preserve"> </w:t>
      </w:r>
      <w:r w:rsidR="00BE551B" w:rsidRPr="00DA0982">
        <w:rPr>
          <w:rFonts w:ascii="Times New Roman" w:hAnsi="Times New Roman"/>
        </w:rPr>
        <w:t>‘</w:t>
      </w:r>
      <w:r w:rsidR="00E6293A" w:rsidRPr="00DA0982">
        <w:rPr>
          <w:rFonts w:ascii="Times New Roman" w:hAnsi="Times New Roman"/>
        </w:rPr>
        <w:t>Geophysical survey report</w:t>
      </w:r>
      <w:r w:rsidR="00E90BFB" w:rsidRPr="00DA0982">
        <w:rPr>
          <w:rFonts w:ascii="Times New Roman" w:hAnsi="Times New Roman"/>
        </w:rPr>
        <w:t>:</w:t>
      </w:r>
      <w:r w:rsidR="00E6293A" w:rsidRPr="00DA0982">
        <w:rPr>
          <w:rFonts w:ascii="Times New Roman" w:hAnsi="Times New Roman"/>
        </w:rPr>
        <w:t xml:space="preserve"> Eynsham, Oxfordshire</w:t>
      </w:r>
      <w:r w:rsidR="00BE551B" w:rsidRPr="00DA0982">
        <w:rPr>
          <w:rFonts w:ascii="Times New Roman" w:hAnsi="Times New Roman"/>
        </w:rPr>
        <w:t>’, unpublished</w:t>
      </w:r>
      <w:r w:rsidR="00E6293A" w:rsidRPr="00DA0982">
        <w:rPr>
          <w:rFonts w:ascii="Times New Roman" w:hAnsi="Times New Roman"/>
        </w:rPr>
        <w:t xml:space="preserve"> </w:t>
      </w:r>
      <w:r w:rsidR="00BE551B" w:rsidRPr="00DA0982">
        <w:rPr>
          <w:rFonts w:ascii="Times New Roman" w:hAnsi="Times New Roman"/>
        </w:rPr>
        <w:t>SUMO Geophysics Ltd</w:t>
      </w:r>
      <w:r w:rsidR="00E6293A" w:rsidRPr="00DA0982">
        <w:rPr>
          <w:rFonts w:ascii="Times New Roman" w:hAnsi="Times New Roman"/>
        </w:rPr>
        <w:t xml:space="preserve"> report</w:t>
      </w:r>
      <w:r w:rsidR="00BE551B" w:rsidRPr="00DA0982">
        <w:rPr>
          <w:rFonts w:ascii="Times New Roman" w:hAnsi="Times New Roman"/>
        </w:rPr>
        <w:t>,</w:t>
      </w:r>
      <w:r w:rsidR="00E6293A" w:rsidRPr="00DA0982">
        <w:rPr>
          <w:rFonts w:ascii="Times New Roman" w:hAnsi="Times New Roman"/>
        </w:rPr>
        <w:t xml:space="preserve"> no. 12530</w:t>
      </w:r>
      <w:r w:rsidR="00BE551B" w:rsidRPr="00DA0982">
        <w:rPr>
          <w:rFonts w:ascii="Times New Roman" w:hAnsi="Times New Roman"/>
        </w:rPr>
        <w:t xml:space="preserve"> (2018)</w:t>
      </w:r>
    </w:p>
  </w:footnote>
  <w:footnote w:id="7">
    <w:p w14:paraId="56DE8728" w14:textId="55A64ACB" w:rsidR="006F7F9C" w:rsidRPr="00C17294" w:rsidRDefault="006F7F9C" w:rsidP="007F3393">
      <w:pPr>
        <w:pStyle w:val="FootnoteText"/>
        <w:ind w:left="0" w:firstLine="0"/>
        <w:rPr>
          <w:rFonts w:ascii="Times New Roman" w:hAnsi="Times New Roman"/>
          <w:lang w:val="en-US"/>
        </w:rPr>
      </w:pPr>
      <w:r w:rsidRPr="00DA0982">
        <w:rPr>
          <w:rStyle w:val="FootnoteReference"/>
          <w:rFonts w:ascii="Times New Roman" w:hAnsi="Times New Roman"/>
        </w:rPr>
        <w:footnoteRef/>
      </w:r>
      <w:r w:rsidRPr="00DA0982">
        <w:rPr>
          <w:rFonts w:ascii="Times New Roman" w:hAnsi="Times New Roman"/>
        </w:rPr>
        <w:t xml:space="preserve"> </w:t>
      </w:r>
      <w:r w:rsidR="00BE551B" w:rsidRPr="00DA0982">
        <w:rPr>
          <w:rFonts w:ascii="Times New Roman" w:hAnsi="Times New Roman"/>
        </w:rPr>
        <w:t>‘</w:t>
      </w:r>
      <w:r w:rsidR="00E6293A" w:rsidRPr="00DA0982">
        <w:rPr>
          <w:rFonts w:ascii="Times New Roman" w:hAnsi="Times New Roman"/>
        </w:rPr>
        <w:t>A40 Park &amp; Ride, Eynsham, Oxfordshire: Archaeological evaluation report</w:t>
      </w:r>
      <w:r w:rsidR="00BE551B" w:rsidRPr="00DA0982">
        <w:rPr>
          <w:rFonts w:ascii="Times New Roman" w:hAnsi="Times New Roman"/>
        </w:rPr>
        <w:t>’, unpublished</w:t>
      </w:r>
      <w:r w:rsidR="00E6293A" w:rsidRPr="00DA0982">
        <w:rPr>
          <w:rFonts w:ascii="Times New Roman" w:hAnsi="Times New Roman"/>
        </w:rPr>
        <w:t xml:space="preserve"> O</w:t>
      </w:r>
      <w:r w:rsidR="00BE551B" w:rsidRPr="00DA0982">
        <w:rPr>
          <w:rFonts w:ascii="Times New Roman" w:hAnsi="Times New Roman"/>
        </w:rPr>
        <w:t xml:space="preserve">xford </w:t>
      </w:r>
      <w:r w:rsidR="00E6293A" w:rsidRPr="00DA0982">
        <w:rPr>
          <w:rFonts w:ascii="Times New Roman" w:hAnsi="Times New Roman"/>
        </w:rPr>
        <w:t>A</w:t>
      </w:r>
      <w:r w:rsidR="00BE551B" w:rsidRPr="00DA0982">
        <w:rPr>
          <w:rFonts w:ascii="Times New Roman" w:hAnsi="Times New Roman"/>
        </w:rPr>
        <w:t>rchaeology</w:t>
      </w:r>
      <w:r w:rsidR="00E6293A" w:rsidRPr="00DA0982">
        <w:rPr>
          <w:rFonts w:ascii="Times New Roman" w:hAnsi="Times New Roman"/>
        </w:rPr>
        <w:t xml:space="preserve"> report</w:t>
      </w:r>
      <w:r w:rsidR="00BE551B" w:rsidRPr="00DA0982">
        <w:rPr>
          <w:rFonts w:ascii="Times New Roman" w:hAnsi="Times New Roman"/>
        </w:rPr>
        <w:t>,</w:t>
      </w:r>
      <w:r w:rsidR="00E6293A" w:rsidRPr="00DA0982">
        <w:rPr>
          <w:rFonts w:ascii="Times New Roman" w:hAnsi="Times New Roman"/>
        </w:rPr>
        <w:t xml:space="preserve"> no. 7227</w:t>
      </w:r>
      <w:r w:rsidR="00BE551B" w:rsidRPr="00DA0982">
        <w:rPr>
          <w:rFonts w:ascii="Times New Roman" w:hAnsi="Times New Roman"/>
        </w:rPr>
        <w:t xml:space="preserve"> (2019)</w:t>
      </w:r>
      <w:r w:rsidR="00E6293A" w:rsidRPr="00DA0982">
        <w:rPr>
          <w:rFonts w:ascii="Times New Roman" w:hAnsi="Times New Roman"/>
        </w:rPr>
        <w:t xml:space="preserve">; </w:t>
      </w:r>
      <w:r w:rsidR="00BE551B" w:rsidRPr="00DA0982">
        <w:rPr>
          <w:rFonts w:ascii="Times New Roman" w:hAnsi="Times New Roman"/>
        </w:rPr>
        <w:t>‘</w:t>
      </w:r>
      <w:r w:rsidR="00E6293A" w:rsidRPr="00DA0982">
        <w:rPr>
          <w:rFonts w:ascii="Times New Roman" w:hAnsi="Times New Roman"/>
        </w:rPr>
        <w:t>A40 Science Transit Phase 2 – Park &amp; Ride, Eynsham, Oxfordshire: Archaeological evaluation and excavation fieldwork summary</w:t>
      </w:r>
      <w:r w:rsidR="00BE551B" w:rsidRPr="00DA0982">
        <w:rPr>
          <w:rFonts w:ascii="Times New Roman" w:hAnsi="Times New Roman"/>
        </w:rPr>
        <w:t>’ unpublished Cotswold Archaeology</w:t>
      </w:r>
      <w:r w:rsidR="00E6293A" w:rsidRPr="00DA0982">
        <w:rPr>
          <w:rFonts w:ascii="Times New Roman" w:hAnsi="Times New Roman"/>
        </w:rPr>
        <w:t xml:space="preserve"> </w:t>
      </w:r>
      <w:r w:rsidR="00BE551B" w:rsidRPr="00DA0982">
        <w:rPr>
          <w:rFonts w:ascii="Times New Roman" w:hAnsi="Times New Roman"/>
        </w:rPr>
        <w:t>report (2022).</w:t>
      </w:r>
    </w:p>
  </w:footnote>
  <w:footnote w:id="8">
    <w:p w14:paraId="26BEBC65" w14:textId="36D93B9C" w:rsidR="00676719" w:rsidRPr="00BA486D" w:rsidRDefault="00676719" w:rsidP="007F3393">
      <w:pPr>
        <w:pStyle w:val="FootnoteText"/>
        <w:ind w:left="0" w:firstLine="0"/>
        <w:rPr>
          <w:rFonts w:ascii="Times New Roman" w:hAnsi="Times New Roman"/>
          <w:lang w:val="en-US"/>
        </w:rPr>
      </w:pPr>
      <w:r w:rsidRPr="00792922">
        <w:rPr>
          <w:rStyle w:val="FootnoteReference"/>
          <w:rFonts w:ascii="Times New Roman" w:hAnsi="Times New Roman"/>
        </w:rPr>
        <w:footnoteRef/>
      </w:r>
      <w:r w:rsidRPr="00792922">
        <w:rPr>
          <w:rFonts w:ascii="Times New Roman" w:hAnsi="Times New Roman"/>
        </w:rPr>
        <w:t xml:space="preserve"> </w:t>
      </w:r>
      <w:r w:rsidR="00BE551B">
        <w:rPr>
          <w:rFonts w:ascii="Times New Roman" w:hAnsi="Times New Roman"/>
        </w:rPr>
        <w:t>‘</w:t>
      </w:r>
      <w:r w:rsidR="00792922" w:rsidRPr="00792922">
        <w:rPr>
          <w:rFonts w:ascii="Times New Roman" w:hAnsi="Times New Roman"/>
        </w:rPr>
        <w:t>A40 Science Transit Phase 2 – Park and ride, Eynsham, Oxfordshire: Archaeological excavation</w:t>
      </w:r>
      <w:r w:rsidR="00BE551B">
        <w:rPr>
          <w:rFonts w:ascii="Times New Roman" w:hAnsi="Times New Roman"/>
        </w:rPr>
        <w:t>’</w:t>
      </w:r>
      <w:r w:rsidR="00792922" w:rsidRPr="00792922">
        <w:rPr>
          <w:rFonts w:ascii="Times New Roman" w:hAnsi="Times New Roman"/>
        </w:rPr>
        <w:t xml:space="preserve">, </w:t>
      </w:r>
      <w:r w:rsidR="00BA486D" w:rsidRPr="00792922">
        <w:rPr>
          <w:rFonts w:ascii="Times New Roman" w:hAnsi="Times New Roman"/>
        </w:rPr>
        <w:t>unpublished</w:t>
      </w:r>
      <w:r w:rsidR="00792922" w:rsidRPr="00792922">
        <w:rPr>
          <w:rFonts w:ascii="Times New Roman" w:hAnsi="Times New Roman"/>
        </w:rPr>
        <w:t xml:space="preserve"> </w:t>
      </w:r>
      <w:r w:rsidR="00792922" w:rsidRPr="00BA486D">
        <w:rPr>
          <w:rFonts w:ascii="Times New Roman" w:hAnsi="Times New Roman"/>
        </w:rPr>
        <w:t xml:space="preserve">Cotswold Archaeology report, </w:t>
      </w:r>
      <w:r w:rsidR="00812BAD">
        <w:rPr>
          <w:rFonts w:ascii="Times New Roman" w:hAnsi="Times New Roman"/>
        </w:rPr>
        <w:t xml:space="preserve">no. </w:t>
      </w:r>
      <w:r w:rsidR="00792922" w:rsidRPr="00BA486D">
        <w:rPr>
          <w:rFonts w:ascii="Times New Roman" w:hAnsi="Times New Roman"/>
        </w:rPr>
        <w:t>MK0756_1</w:t>
      </w:r>
      <w:r w:rsidR="00F6784C">
        <w:rPr>
          <w:rFonts w:ascii="Times New Roman" w:hAnsi="Times New Roman"/>
        </w:rPr>
        <w:t xml:space="preserve"> -</w:t>
      </w:r>
      <w:r w:rsidR="00792922" w:rsidRPr="00BA486D">
        <w:rPr>
          <w:rFonts w:ascii="Times New Roman" w:hAnsi="Times New Roman"/>
        </w:rPr>
        <w:t xml:space="preserve"> https://reports.cotswoldarchaeology.co.uk (2023).</w:t>
      </w:r>
    </w:p>
  </w:footnote>
  <w:footnote w:id="9">
    <w:p w14:paraId="3711138F" w14:textId="4CA9733B" w:rsidR="00BA486D" w:rsidRPr="00BA486D" w:rsidRDefault="00BA486D" w:rsidP="007F3393">
      <w:pPr>
        <w:pStyle w:val="FootnoteText"/>
        <w:ind w:left="0" w:firstLine="0"/>
        <w:rPr>
          <w:lang w:val="en-US"/>
        </w:rPr>
      </w:pPr>
      <w:r w:rsidRPr="00BA486D">
        <w:rPr>
          <w:rStyle w:val="FootnoteReference"/>
          <w:rFonts w:ascii="Times New Roman" w:hAnsi="Times New Roman"/>
        </w:rPr>
        <w:footnoteRef/>
      </w:r>
      <w:r w:rsidRPr="00BA486D">
        <w:rPr>
          <w:rFonts w:ascii="Times New Roman" w:hAnsi="Times New Roman"/>
        </w:rPr>
        <w:t xml:space="preserve"> </w:t>
      </w:r>
      <w:r w:rsidR="008B0A48">
        <w:rPr>
          <w:rFonts w:ascii="Times New Roman" w:hAnsi="Times New Roman"/>
        </w:rPr>
        <w:t xml:space="preserve">S. </w:t>
      </w:r>
      <w:r w:rsidRPr="00BA486D">
        <w:rPr>
          <w:rFonts w:ascii="Times New Roman" w:hAnsi="Times New Roman"/>
          <w:lang w:val="en-US"/>
        </w:rPr>
        <w:t>Clough, ‘Human bone’</w:t>
      </w:r>
      <w:r w:rsidR="00BE551B">
        <w:rPr>
          <w:rFonts w:ascii="Times New Roman" w:hAnsi="Times New Roman"/>
          <w:lang w:val="en-US"/>
        </w:rPr>
        <w:t>,</w:t>
      </w:r>
      <w:r w:rsidRPr="00BA486D">
        <w:rPr>
          <w:rFonts w:ascii="Times New Roman" w:hAnsi="Times New Roman"/>
          <w:lang w:val="en-US"/>
        </w:rPr>
        <w:t xml:space="preserve"> in </w:t>
      </w:r>
      <w:r w:rsidR="008B0A48">
        <w:rPr>
          <w:rFonts w:ascii="Times New Roman" w:hAnsi="Times New Roman"/>
          <w:lang w:val="en-US"/>
        </w:rPr>
        <w:t>‘</w:t>
      </w:r>
      <w:r w:rsidRPr="00BA486D">
        <w:rPr>
          <w:rFonts w:ascii="Times New Roman" w:hAnsi="Times New Roman"/>
          <w:lang w:val="en-US"/>
        </w:rPr>
        <w:t>A40 Science Transit Phase 2 – Park and ride, Eynsham</w:t>
      </w:r>
      <w:r w:rsidR="00F6784C">
        <w:rPr>
          <w:rFonts w:ascii="Times New Roman" w:hAnsi="Times New Roman"/>
          <w:lang w:val="en-US"/>
        </w:rPr>
        <w:t xml:space="preserve"> </w:t>
      </w:r>
      <w:r w:rsidR="008B0A48">
        <w:rPr>
          <w:rFonts w:ascii="Times New Roman" w:hAnsi="Times New Roman"/>
          <w:lang w:val="en-US"/>
        </w:rPr>
        <w:t>(2023), pp. 114–18</w:t>
      </w:r>
      <w:r w:rsidR="00E90BFB">
        <w:rPr>
          <w:rFonts w:ascii="Times New Roman" w:hAnsi="Times New Roman"/>
          <w:lang w:val="en-US"/>
        </w:rPr>
        <w:t>.</w:t>
      </w:r>
    </w:p>
  </w:footnote>
  <w:footnote w:id="10">
    <w:p w14:paraId="0D81E593" w14:textId="4BFAB9DD" w:rsidR="00183B29" w:rsidRPr="00183B29" w:rsidRDefault="00183B29" w:rsidP="007F3393">
      <w:pPr>
        <w:pStyle w:val="FootnoteText"/>
        <w:ind w:left="0" w:firstLine="0"/>
        <w:rPr>
          <w:rFonts w:ascii="Times New Roman" w:hAnsi="Times New Roman"/>
          <w:lang w:val="en-US"/>
        </w:rPr>
      </w:pPr>
      <w:r w:rsidRPr="00183B29">
        <w:rPr>
          <w:rStyle w:val="FootnoteReference"/>
          <w:rFonts w:ascii="Times New Roman" w:hAnsi="Times New Roman"/>
        </w:rPr>
        <w:footnoteRef/>
      </w:r>
      <w:r w:rsidRPr="00183B29">
        <w:rPr>
          <w:rFonts w:ascii="Times New Roman" w:hAnsi="Times New Roman"/>
        </w:rPr>
        <w:t xml:space="preserve"> </w:t>
      </w:r>
      <w:r w:rsidR="008B0A48">
        <w:rPr>
          <w:rFonts w:ascii="Times New Roman" w:hAnsi="Times New Roman"/>
        </w:rPr>
        <w:t xml:space="preserve">L. </w:t>
      </w:r>
      <w:r w:rsidRPr="00183B29">
        <w:rPr>
          <w:rFonts w:ascii="Times New Roman" w:hAnsi="Times New Roman"/>
          <w:lang w:val="en-US"/>
        </w:rPr>
        <w:t xml:space="preserve">Pearson, ‘Late prehistoric and Roman pottery’, in </w:t>
      </w:r>
      <w:r w:rsidR="008B0A48">
        <w:rPr>
          <w:rFonts w:ascii="Times New Roman" w:hAnsi="Times New Roman"/>
          <w:lang w:val="en-US"/>
        </w:rPr>
        <w:t>‘</w:t>
      </w:r>
      <w:r w:rsidRPr="00183B29">
        <w:rPr>
          <w:rFonts w:ascii="Times New Roman" w:hAnsi="Times New Roman"/>
          <w:lang w:val="en-US"/>
        </w:rPr>
        <w:t>A40 Science Transit Phase 2 – Park and ride, Eynsham</w:t>
      </w:r>
      <w:r w:rsidR="00F6784C">
        <w:rPr>
          <w:rFonts w:ascii="Times New Roman" w:hAnsi="Times New Roman"/>
          <w:lang w:val="en-US"/>
        </w:rPr>
        <w:t>’</w:t>
      </w:r>
      <w:r w:rsidRPr="00183B29">
        <w:rPr>
          <w:rFonts w:ascii="Times New Roman" w:hAnsi="Times New Roman"/>
          <w:lang w:val="en-US"/>
        </w:rPr>
        <w:t xml:space="preserve"> </w:t>
      </w:r>
      <w:r w:rsidR="008B0A48">
        <w:rPr>
          <w:rFonts w:ascii="Times New Roman" w:hAnsi="Times New Roman"/>
          <w:lang w:val="en-US"/>
        </w:rPr>
        <w:t>(2023)</w:t>
      </w:r>
      <w:r w:rsidR="00F6784C">
        <w:rPr>
          <w:rFonts w:ascii="Times New Roman" w:hAnsi="Times New Roman"/>
          <w:lang w:val="en-US"/>
        </w:rPr>
        <w:t>, pp. 86–98</w:t>
      </w:r>
      <w:r w:rsidR="00E90BFB">
        <w:rPr>
          <w:rFonts w:ascii="Times New Roman" w:hAnsi="Times New Roman"/>
          <w:lang w:val="en-US"/>
        </w:rPr>
        <w:t>.</w:t>
      </w:r>
    </w:p>
  </w:footnote>
  <w:footnote w:id="11">
    <w:p w14:paraId="5C1C2EFD" w14:textId="6CB936B6" w:rsidR="00183B29" w:rsidRPr="008B0A48" w:rsidRDefault="00183B29" w:rsidP="007F3393">
      <w:pPr>
        <w:pStyle w:val="FootnoteText"/>
        <w:ind w:left="0" w:firstLine="0"/>
        <w:rPr>
          <w:rFonts w:ascii="Times New Roman" w:hAnsi="Times New Roman"/>
          <w:lang w:val="en-US"/>
        </w:rPr>
      </w:pPr>
      <w:r w:rsidRPr="008B0A48">
        <w:rPr>
          <w:rStyle w:val="FootnoteReference"/>
          <w:rFonts w:ascii="Times New Roman" w:hAnsi="Times New Roman"/>
        </w:rPr>
        <w:footnoteRef/>
      </w:r>
      <w:r w:rsidRPr="008B0A48">
        <w:rPr>
          <w:rFonts w:ascii="Times New Roman" w:hAnsi="Times New Roman"/>
        </w:rPr>
        <w:t xml:space="preserve"> </w:t>
      </w:r>
      <w:r w:rsidR="008B0A48" w:rsidRPr="008B0A48">
        <w:rPr>
          <w:rFonts w:ascii="Times New Roman" w:hAnsi="Times New Roman"/>
        </w:rPr>
        <w:t xml:space="preserve">S. F. </w:t>
      </w:r>
      <w:r w:rsidRPr="008B0A48">
        <w:rPr>
          <w:rFonts w:ascii="Times New Roman" w:hAnsi="Times New Roman"/>
        </w:rPr>
        <w:t xml:space="preserve">Wyles, and </w:t>
      </w:r>
      <w:r w:rsidR="008B0A48" w:rsidRPr="008B0A48">
        <w:rPr>
          <w:rFonts w:ascii="Times New Roman" w:hAnsi="Times New Roman"/>
        </w:rPr>
        <w:t xml:space="preserve">C.L. </w:t>
      </w:r>
      <w:r w:rsidRPr="008B0A48">
        <w:rPr>
          <w:rFonts w:ascii="Times New Roman" w:hAnsi="Times New Roman"/>
        </w:rPr>
        <w:t xml:space="preserve">Molloy, ‘Palaeoenvironmental remains’, in </w:t>
      </w:r>
      <w:r w:rsidR="008B0A48" w:rsidRPr="008B0A48">
        <w:rPr>
          <w:rFonts w:ascii="Times New Roman" w:hAnsi="Times New Roman"/>
        </w:rPr>
        <w:t>‘</w:t>
      </w:r>
      <w:r w:rsidRPr="008B0A48">
        <w:rPr>
          <w:rFonts w:ascii="Times New Roman" w:hAnsi="Times New Roman"/>
        </w:rPr>
        <w:t>A40 Science Transit Phase 2 – Park and ride, Eynsham</w:t>
      </w:r>
      <w:r w:rsidR="00F6784C">
        <w:rPr>
          <w:rFonts w:ascii="Times New Roman" w:hAnsi="Times New Roman"/>
        </w:rPr>
        <w:t xml:space="preserve"> </w:t>
      </w:r>
      <w:r w:rsidR="008B0A48" w:rsidRPr="008B0A48">
        <w:rPr>
          <w:rFonts w:ascii="Times New Roman" w:hAnsi="Times New Roman"/>
        </w:rPr>
        <w:t>(2023)</w:t>
      </w:r>
      <w:r w:rsidR="00F6784C">
        <w:rPr>
          <w:rFonts w:ascii="Times New Roman" w:hAnsi="Times New Roman"/>
        </w:rPr>
        <w:t>, pp. 126–30</w:t>
      </w:r>
      <w:r w:rsidR="00E90BFB">
        <w:rPr>
          <w:rFonts w:ascii="Times New Roman" w:hAnsi="Times New Roman"/>
        </w:rPr>
        <w:t>.</w:t>
      </w:r>
    </w:p>
  </w:footnote>
  <w:footnote w:id="12">
    <w:p w14:paraId="1305091E" w14:textId="13D0AB34" w:rsidR="00D50F0A" w:rsidRPr="00234886" w:rsidRDefault="00D50F0A" w:rsidP="007F3393">
      <w:pPr>
        <w:pStyle w:val="FootnoteText"/>
        <w:ind w:left="0" w:firstLine="0"/>
        <w:rPr>
          <w:rFonts w:ascii="Times New Roman" w:hAnsi="Times New Roman"/>
          <w:lang w:val="en-US"/>
        </w:rPr>
      </w:pPr>
      <w:r w:rsidRPr="00234886">
        <w:rPr>
          <w:rStyle w:val="FootnoteReference"/>
          <w:rFonts w:ascii="Times New Roman" w:hAnsi="Times New Roman"/>
        </w:rPr>
        <w:footnoteRef/>
      </w:r>
      <w:r w:rsidRPr="00234886">
        <w:rPr>
          <w:rFonts w:ascii="Times New Roman" w:hAnsi="Times New Roman"/>
        </w:rPr>
        <w:t xml:space="preserve"> P. Booth, ‘The Iron Age and Roman pottery’, in G. Hey, P. Booth, J. and Timby, </w:t>
      </w:r>
      <w:r w:rsidRPr="00234886">
        <w:rPr>
          <w:rFonts w:ascii="Times New Roman" w:hAnsi="Times New Roman"/>
          <w:i/>
          <w:iCs/>
        </w:rPr>
        <w:t xml:space="preserve">Yarnton: Iron Age and Romano-British Settlement and Landscape, </w:t>
      </w:r>
      <w:r w:rsidRPr="00234886">
        <w:rPr>
          <w:rFonts w:ascii="Times New Roman" w:hAnsi="Times New Roman"/>
        </w:rPr>
        <w:t>Thames Valley Landscape Monograph, 35 (2011), pp. 345–417, table 14.8)</w:t>
      </w:r>
    </w:p>
  </w:footnote>
  <w:footnote w:id="13">
    <w:p w14:paraId="3BCA5078" w14:textId="2D3F2F4E" w:rsidR="00D50F0A" w:rsidRPr="00D50F0A" w:rsidRDefault="00D50F0A" w:rsidP="007F3393">
      <w:pPr>
        <w:pStyle w:val="FootnoteText"/>
        <w:ind w:left="0" w:firstLine="0"/>
        <w:rPr>
          <w:lang w:val="en-US"/>
        </w:rPr>
      </w:pPr>
      <w:r w:rsidRPr="00234886">
        <w:rPr>
          <w:rStyle w:val="FootnoteReference"/>
          <w:rFonts w:ascii="Times New Roman" w:hAnsi="Times New Roman"/>
        </w:rPr>
        <w:footnoteRef/>
      </w:r>
      <w:r w:rsidRPr="00234886">
        <w:rPr>
          <w:rFonts w:ascii="Times New Roman" w:hAnsi="Times New Roman"/>
        </w:rPr>
        <w:t xml:space="preserve"> D. Duncan</w:t>
      </w:r>
      <w:r w:rsidR="00736EB9">
        <w:rPr>
          <w:rFonts w:ascii="Times New Roman" w:hAnsi="Times New Roman"/>
        </w:rPr>
        <w:t xml:space="preserve"> et al.</w:t>
      </w:r>
      <w:r w:rsidRPr="00234886">
        <w:rPr>
          <w:rFonts w:ascii="Times New Roman" w:hAnsi="Times New Roman"/>
        </w:rPr>
        <w:t xml:space="preserve">, ‘Later Prehistoric and Roman Pottery: Final Bronze Age to Middle Iron Age pottery’, in G. Lambrick and T.G. Allen, </w:t>
      </w:r>
      <w:r w:rsidRPr="00234886">
        <w:rPr>
          <w:rFonts w:ascii="Times New Roman" w:hAnsi="Times New Roman"/>
          <w:i/>
          <w:iCs/>
        </w:rPr>
        <w:t>Gravelly Guy, Stanton Harcourt, Oxfordshire: the development of a prehistoric and Romano-British community,</w:t>
      </w:r>
      <w:r w:rsidRPr="00234886">
        <w:rPr>
          <w:rFonts w:ascii="Times New Roman" w:hAnsi="Times New Roman"/>
        </w:rPr>
        <w:t xml:space="preserve"> Thames Valley Landscape Monograph, 21 (2004), pp. 259–303, table 7.4.</w:t>
      </w:r>
    </w:p>
  </w:footnote>
  <w:footnote w:id="14">
    <w:p w14:paraId="53197B2C" w14:textId="06D73CE9" w:rsidR="00980AFB" w:rsidRPr="00980AFB" w:rsidRDefault="00980AFB" w:rsidP="007F3393">
      <w:pPr>
        <w:pStyle w:val="FootnoteText"/>
        <w:ind w:left="0" w:firstLine="0"/>
        <w:rPr>
          <w:lang w:val="en-US"/>
        </w:rPr>
      </w:pPr>
      <w:r>
        <w:rPr>
          <w:rStyle w:val="FootnoteReference"/>
        </w:rPr>
        <w:footnoteRef/>
      </w:r>
      <w:r>
        <w:t xml:space="preserve"> </w:t>
      </w:r>
      <w:r w:rsidR="00F6784C">
        <w:rPr>
          <w:rFonts w:ascii="Times New Roman" w:hAnsi="Times New Roman"/>
        </w:rPr>
        <w:t xml:space="preserve">Ibid. </w:t>
      </w:r>
      <w:r w:rsidRPr="00980AFB">
        <w:rPr>
          <w:rFonts w:ascii="Times New Roman" w:hAnsi="Times New Roman"/>
        </w:rPr>
        <w:t>pp. 259–303, table 7.10.</w:t>
      </w:r>
    </w:p>
  </w:footnote>
  <w:footnote w:id="15">
    <w:p w14:paraId="168D27CD" w14:textId="722363AA" w:rsidR="009D75E1" w:rsidRPr="00907B3B" w:rsidRDefault="009D75E1" w:rsidP="007F3393">
      <w:pPr>
        <w:pStyle w:val="FootnoteText"/>
        <w:ind w:left="0" w:firstLine="0"/>
        <w:rPr>
          <w:rFonts w:ascii="Times New Roman" w:hAnsi="Times New Roman"/>
          <w:lang w:val="en-US"/>
        </w:rPr>
      </w:pPr>
      <w:r w:rsidRPr="00907B3B">
        <w:rPr>
          <w:rStyle w:val="FootnoteReference"/>
          <w:rFonts w:ascii="Times New Roman" w:hAnsi="Times New Roman"/>
        </w:rPr>
        <w:footnoteRef/>
      </w:r>
      <w:r w:rsidRPr="00907B3B">
        <w:rPr>
          <w:rFonts w:ascii="Times New Roman" w:hAnsi="Times New Roman"/>
        </w:rPr>
        <w:t xml:space="preserve"> </w:t>
      </w:r>
      <w:r w:rsidR="00797812">
        <w:rPr>
          <w:rFonts w:ascii="Times New Roman" w:hAnsi="Times New Roman"/>
        </w:rPr>
        <w:t xml:space="preserve">A. </w:t>
      </w:r>
      <w:r w:rsidR="007525FB" w:rsidRPr="00907B3B">
        <w:rPr>
          <w:rFonts w:ascii="Times New Roman" w:hAnsi="Times New Roman"/>
        </w:rPr>
        <w:t xml:space="preserve">Woodward and </w:t>
      </w:r>
      <w:r w:rsidR="00797812">
        <w:rPr>
          <w:rFonts w:ascii="Times New Roman" w:hAnsi="Times New Roman"/>
        </w:rPr>
        <w:t xml:space="preserve">J. </w:t>
      </w:r>
      <w:r w:rsidR="007525FB" w:rsidRPr="00907B3B">
        <w:rPr>
          <w:rFonts w:ascii="Times New Roman" w:hAnsi="Times New Roman"/>
        </w:rPr>
        <w:t xml:space="preserve">Hunter, </w:t>
      </w:r>
      <w:r w:rsidR="007525FB" w:rsidRPr="00797812">
        <w:rPr>
          <w:rFonts w:ascii="Times New Roman" w:hAnsi="Times New Roman"/>
          <w:i/>
          <w:iCs/>
        </w:rPr>
        <w:t>Ritual in Early Bronze Age Grave Goods: An Examination of Ritual and Dress Equipment from Chalcolithic and Early Bronze Age Graves in England</w:t>
      </w:r>
      <w:r w:rsidR="00797812">
        <w:rPr>
          <w:rFonts w:ascii="Times New Roman" w:hAnsi="Times New Roman"/>
        </w:rPr>
        <w:t xml:space="preserve"> (2015)</w:t>
      </w:r>
      <w:r w:rsidRPr="00907B3B">
        <w:rPr>
          <w:rFonts w:ascii="Times New Roman" w:hAnsi="Times New Roman"/>
        </w:rPr>
        <w:t>, 97–109.</w:t>
      </w:r>
    </w:p>
  </w:footnote>
  <w:footnote w:id="16">
    <w:p w14:paraId="4D5129DA" w14:textId="1CF461AA" w:rsidR="009D75E1" w:rsidRPr="00907B3B" w:rsidRDefault="009D75E1" w:rsidP="007F3393">
      <w:pPr>
        <w:pStyle w:val="FootnoteText"/>
        <w:ind w:left="0" w:firstLine="0"/>
        <w:rPr>
          <w:rFonts w:ascii="Times New Roman" w:hAnsi="Times New Roman"/>
          <w:lang w:val="en-US"/>
        </w:rPr>
      </w:pPr>
      <w:r w:rsidRPr="00907B3B">
        <w:rPr>
          <w:rStyle w:val="FootnoteReference"/>
          <w:rFonts w:ascii="Times New Roman" w:hAnsi="Times New Roman"/>
        </w:rPr>
        <w:footnoteRef/>
      </w:r>
      <w:r w:rsidRPr="00907B3B">
        <w:rPr>
          <w:rFonts w:ascii="Times New Roman" w:hAnsi="Times New Roman"/>
        </w:rPr>
        <w:t xml:space="preserve"> </w:t>
      </w:r>
      <w:r w:rsidR="00797812">
        <w:rPr>
          <w:rFonts w:ascii="Times New Roman" w:hAnsi="Times New Roman"/>
        </w:rPr>
        <w:t xml:space="preserve">F. </w:t>
      </w:r>
      <w:r w:rsidR="007525FB" w:rsidRPr="00907B3B">
        <w:rPr>
          <w:rFonts w:ascii="Times New Roman" w:hAnsi="Times New Roman"/>
        </w:rPr>
        <w:t xml:space="preserve">Healy and </w:t>
      </w:r>
      <w:r w:rsidR="00797812">
        <w:rPr>
          <w:rFonts w:ascii="Times New Roman" w:hAnsi="Times New Roman"/>
        </w:rPr>
        <w:t xml:space="preserve">J. </w:t>
      </w:r>
      <w:r w:rsidR="007525FB" w:rsidRPr="00907B3B">
        <w:rPr>
          <w:rFonts w:ascii="Times New Roman" w:hAnsi="Times New Roman"/>
        </w:rPr>
        <w:t>Harding, 2011 The Raunds Area Project: A Neolithic and Bronze Age landscape in Northamptonshire, Volume 2 supplementary studies</w:t>
      </w:r>
      <w:r w:rsidR="00F6784C">
        <w:rPr>
          <w:rFonts w:ascii="Times New Roman" w:hAnsi="Times New Roman"/>
        </w:rPr>
        <w:t xml:space="preserve"> - </w:t>
      </w:r>
      <w:r w:rsidR="007525FB" w:rsidRPr="00907B3B">
        <w:rPr>
          <w:rFonts w:ascii="Times New Roman" w:hAnsi="Times New Roman"/>
        </w:rPr>
        <w:t xml:space="preserve">https://archaeologydataservice.ac.uk/archiveDS/archiveDownload?t=arch-1416-1/dissemination/pdf/9781848021754.pdf </w:t>
      </w:r>
      <w:r w:rsidR="00797812">
        <w:rPr>
          <w:rFonts w:ascii="Times New Roman" w:hAnsi="Times New Roman"/>
        </w:rPr>
        <w:t xml:space="preserve">(2011), pp. </w:t>
      </w:r>
      <w:r w:rsidRPr="00907B3B">
        <w:rPr>
          <w:rFonts w:ascii="Times New Roman" w:hAnsi="Times New Roman"/>
        </w:rPr>
        <w:t>402–3.</w:t>
      </w:r>
    </w:p>
  </w:footnote>
  <w:footnote w:id="17">
    <w:p w14:paraId="04BF5332" w14:textId="436851F6" w:rsidR="009D75E1" w:rsidRPr="00907B3B" w:rsidRDefault="009D75E1" w:rsidP="007F3393">
      <w:pPr>
        <w:pStyle w:val="FootnoteText"/>
        <w:ind w:left="0" w:firstLine="0"/>
        <w:rPr>
          <w:rFonts w:ascii="Times New Roman" w:hAnsi="Times New Roman"/>
          <w:lang w:val="en-US"/>
        </w:rPr>
      </w:pPr>
      <w:r w:rsidRPr="00907B3B">
        <w:rPr>
          <w:rStyle w:val="FootnoteReference"/>
          <w:rFonts w:ascii="Times New Roman" w:hAnsi="Times New Roman"/>
        </w:rPr>
        <w:footnoteRef/>
      </w:r>
      <w:r w:rsidRPr="00907B3B">
        <w:rPr>
          <w:rFonts w:ascii="Times New Roman" w:hAnsi="Times New Roman"/>
        </w:rPr>
        <w:t xml:space="preserve"> </w:t>
      </w:r>
      <w:r w:rsidR="00797812">
        <w:rPr>
          <w:rFonts w:ascii="Times New Roman" w:hAnsi="Times New Roman"/>
        </w:rPr>
        <w:t xml:space="preserve">J. </w:t>
      </w:r>
      <w:r w:rsidR="007525FB" w:rsidRPr="00907B3B">
        <w:rPr>
          <w:rFonts w:ascii="Times New Roman" w:hAnsi="Times New Roman"/>
        </w:rPr>
        <w:t xml:space="preserve">Harding and </w:t>
      </w:r>
      <w:r w:rsidR="00797812">
        <w:rPr>
          <w:rFonts w:ascii="Times New Roman" w:hAnsi="Times New Roman"/>
        </w:rPr>
        <w:t xml:space="preserve">F. </w:t>
      </w:r>
      <w:r w:rsidR="007525FB" w:rsidRPr="00907B3B">
        <w:rPr>
          <w:rFonts w:ascii="Times New Roman" w:hAnsi="Times New Roman"/>
        </w:rPr>
        <w:t xml:space="preserve">Healy, </w:t>
      </w:r>
      <w:r w:rsidR="007525FB" w:rsidRPr="00797812">
        <w:rPr>
          <w:rFonts w:ascii="Times New Roman" w:hAnsi="Times New Roman"/>
          <w:i/>
          <w:iCs/>
        </w:rPr>
        <w:t>The Raunds Area Project: A Neolithic and Bronze Age Landscape in Northamptonshire</w:t>
      </w:r>
      <w:r w:rsidR="00797812">
        <w:rPr>
          <w:rFonts w:ascii="Times New Roman" w:hAnsi="Times New Roman"/>
        </w:rPr>
        <w:t xml:space="preserve"> (2007), pp. </w:t>
      </w:r>
      <w:r w:rsidRPr="00907B3B">
        <w:rPr>
          <w:rFonts w:ascii="Times New Roman" w:hAnsi="Times New Roman"/>
        </w:rPr>
        <w:t>245–6.</w:t>
      </w:r>
    </w:p>
  </w:footnote>
  <w:footnote w:id="18">
    <w:p w14:paraId="795F0B7A" w14:textId="458E91C4" w:rsidR="009D75E1" w:rsidRPr="00907B3B" w:rsidRDefault="009D75E1" w:rsidP="007F3393">
      <w:pPr>
        <w:pStyle w:val="FootnoteText"/>
        <w:ind w:left="0" w:firstLine="0"/>
        <w:rPr>
          <w:rFonts w:ascii="Times New Roman" w:hAnsi="Times New Roman"/>
          <w:lang w:val="en-US"/>
        </w:rPr>
      </w:pPr>
      <w:r w:rsidRPr="00907B3B">
        <w:rPr>
          <w:rStyle w:val="FootnoteReference"/>
          <w:rFonts w:ascii="Times New Roman" w:hAnsi="Times New Roman"/>
        </w:rPr>
        <w:footnoteRef/>
      </w:r>
      <w:r w:rsidRPr="00907B3B">
        <w:rPr>
          <w:rFonts w:ascii="Times New Roman" w:hAnsi="Times New Roman"/>
        </w:rPr>
        <w:t xml:space="preserve"> </w:t>
      </w:r>
      <w:r w:rsidR="007525FB" w:rsidRPr="00907B3B">
        <w:rPr>
          <w:rFonts w:ascii="Times New Roman" w:hAnsi="Times New Roman"/>
        </w:rPr>
        <w:t xml:space="preserve">Woodward and Hunter, </w:t>
      </w:r>
      <w:r w:rsidR="007525FB" w:rsidRPr="001C4067">
        <w:rPr>
          <w:rFonts w:ascii="Times New Roman" w:hAnsi="Times New Roman"/>
          <w:i/>
          <w:iCs/>
        </w:rPr>
        <w:t>Ritual in Early Bronze Age Grave Goods</w:t>
      </w:r>
      <w:r w:rsidR="001C4067" w:rsidRPr="001C4067">
        <w:rPr>
          <w:rFonts w:ascii="Times New Roman" w:hAnsi="Times New Roman"/>
          <w:i/>
          <w:iCs/>
        </w:rPr>
        <w:t>,</w:t>
      </w:r>
      <w:r w:rsidR="007525FB" w:rsidRPr="00907B3B">
        <w:rPr>
          <w:rFonts w:ascii="Times New Roman" w:hAnsi="Times New Roman"/>
        </w:rPr>
        <w:t xml:space="preserve"> </w:t>
      </w:r>
      <w:r w:rsidRPr="00907B3B">
        <w:rPr>
          <w:rFonts w:ascii="Times New Roman" w:hAnsi="Times New Roman"/>
        </w:rPr>
        <w:t>97–109.</w:t>
      </w:r>
    </w:p>
  </w:footnote>
  <w:footnote w:id="19">
    <w:p w14:paraId="70B09464" w14:textId="1F3466F3" w:rsidR="009D75E1" w:rsidRPr="009D75E1" w:rsidRDefault="009D75E1" w:rsidP="007F3393">
      <w:pPr>
        <w:pStyle w:val="FootnoteText"/>
        <w:ind w:left="0" w:firstLine="0"/>
        <w:rPr>
          <w:lang w:val="en-US"/>
        </w:rPr>
      </w:pPr>
      <w:r w:rsidRPr="00907B3B">
        <w:rPr>
          <w:rStyle w:val="FootnoteReference"/>
          <w:rFonts w:ascii="Times New Roman" w:hAnsi="Times New Roman"/>
        </w:rPr>
        <w:footnoteRef/>
      </w:r>
      <w:r w:rsidRPr="00907B3B">
        <w:rPr>
          <w:rFonts w:ascii="Times New Roman" w:hAnsi="Times New Roman"/>
        </w:rPr>
        <w:t xml:space="preserve"> </w:t>
      </w:r>
      <w:r w:rsidR="00797812">
        <w:rPr>
          <w:rFonts w:ascii="Times New Roman" w:hAnsi="Times New Roman"/>
        </w:rPr>
        <w:t xml:space="preserve">N. </w:t>
      </w:r>
      <w:r w:rsidR="007525FB" w:rsidRPr="00907B3B">
        <w:rPr>
          <w:rFonts w:ascii="Times New Roman" w:hAnsi="Times New Roman"/>
        </w:rPr>
        <w:t xml:space="preserve">Crummy, </w:t>
      </w:r>
      <w:r w:rsidR="007525FB" w:rsidRPr="00797812">
        <w:rPr>
          <w:rFonts w:ascii="Times New Roman" w:hAnsi="Times New Roman"/>
          <w:i/>
          <w:iCs/>
        </w:rPr>
        <w:t>The Roman small finds from excavations in Colchester 1971–9</w:t>
      </w:r>
      <w:r w:rsidR="00797812">
        <w:rPr>
          <w:rFonts w:ascii="Times New Roman" w:hAnsi="Times New Roman"/>
        </w:rPr>
        <w:t xml:space="preserve">, </w:t>
      </w:r>
      <w:r w:rsidR="007525FB" w:rsidRPr="00907B3B">
        <w:rPr>
          <w:rFonts w:ascii="Times New Roman" w:hAnsi="Times New Roman"/>
        </w:rPr>
        <w:t>Colchester Archaeological Report</w:t>
      </w:r>
      <w:r w:rsidR="00797812">
        <w:rPr>
          <w:rFonts w:ascii="Times New Roman" w:hAnsi="Times New Roman"/>
        </w:rPr>
        <w:t>,</w:t>
      </w:r>
      <w:r w:rsidR="007525FB" w:rsidRPr="00907B3B">
        <w:rPr>
          <w:rFonts w:ascii="Times New Roman" w:hAnsi="Times New Roman"/>
        </w:rPr>
        <w:t xml:space="preserve"> 2</w:t>
      </w:r>
      <w:r w:rsidR="00797812">
        <w:rPr>
          <w:rFonts w:ascii="Times New Roman" w:hAnsi="Times New Roman"/>
        </w:rPr>
        <w:t xml:space="preserve"> (1983), </w:t>
      </w:r>
      <w:r w:rsidRPr="00907B3B">
        <w:rPr>
          <w:rFonts w:ascii="Times New Roman" w:hAnsi="Times New Roman"/>
        </w:rPr>
        <w:t>68–9.</w:t>
      </w:r>
    </w:p>
  </w:footnote>
  <w:footnote w:id="20">
    <w:p w14:paraId="2C348134" w14:textId="619C70E6" w:rsidR="00F71653" w:rsidRPr="00947F1A" w:rsidRDefault="00F71653" w:rsidP="00947F1A">
      <w:pPr>
        <w:pStyle w:val="FootnoteText"/>
        <w:ind w:left="0" w:firstLine="0"/>
        <w:rPr>
          <w:rFonts w:ascii="Times New Roman" w:hAnsi="Times New Roman"/>
          <w:lang w:val="en-US"/>
        </w:rPr>
      </w:pPr>
      <w:r w:rsidRPr="00947F1A">
        <w:rPr>
          <w:rStyle w:val="FootnoteReference"/>
          <w:rFonts w:ascii="Times New Roman" w:hAnsi="Times New Roman"/>
        </w:rPr>
        <w:footnoteRef/>
      </w:r>
      <w:r w:rsidRPr="00947F1A">
        <w:rPr>
          <w:rFonts w:ascii="Times New Roman" w:hAnsi="Times New Roman"/>
        </w:rPr>
        <w:t xml:space="preserve"> M. Trotter and B.B. Hixon </w:t>
      </w:r>
      <w:r>
        <w:rPr>
          <w:rFonts w:ascii="Times New Roman" w:hAnsi="Times New Roman"/>
        </w:rPr>
        <w:t>‘</w:t>
      </w:r>
      <w:r w:rsidRPr="00947F1A">
        <w:rPr>
          <w:rFonts w:ascii="Times New Roman" w:hAnsi="Times New Roman"/>
        </w:rPr>
        <w:t xml:space="preserve">Sequential changes in weight, density, and percentage ash weight of human skeletons from an early age </w:t>
      </w:r>
      <w:proofErr w:type="spellStart"/>
      <w:r w:rsidRPr="00947F1A">
        <w:rPr>
          <w:rFonts w:ascii="Times New Roman" w:hAnsi="Times New Roman"/>
        </w:rPr>
        <w:t>fetal</w:t>
      </w:r>
      <w:proofErr w:type="spellEnd"/>
      <w:r w:rsidRPr="00947F1A">
        <w:rPr>
          <w:rFonts w:ascii="Times New Roman" w:hAnsi="Times New Roman"/>
        </w:rPr>
        <w:t xml:space="preserve"> period through old age’, </w:t>
      </w:r>
      <w:r w:rsidRPr="00947F1A">
        <w:rPr>
          <w:rFonts w:ascii="Times New Roman" w:hAnsi="Times New Roman"/>
          <w:i/>
          <w:iCs/>
        </w:rPr>
        <w:t>The Anatomical Record</w:t>
      </w:r>
      <w:r w:rsidRPr="00947F1A">
        <w:rPr>
          <w:rFonts w:ascii="Times New Roman" w:hAnsi="Times New Roman"/>
        </w:rPr>
        <w:t xml:space="preserve"> 179: 1 (1974), pp. 1–18</w:t>
      </w:r>
    </w:p>
  </w:footnote>
  <w:footnote w:id="21">
    <w:p w14:paraId="79322E95" w14:textId="216ACE9C" w:rsidR="00F71653" w:rsidRPr="00947F1A" w:rsidRDefault="00F71653" w:rsidP="00947F1A">
      <w:pPr>
        <w:pStyle w:val="FootnoteText"/>
        <w:ind w:left="0" w:firstLine="0"/>
        <w:rPr>
          <w:rFonts w:ascii="Times New Roman" w:hAnsi="Times New Roman"/>
          <w:lang w:val="en-US"/>
        </w:rPr>
      </w:pPr>
      <w:r w:rsidRPr="00947F1A">
        <w:rPr>
          <w:rStyle w:val="FootnoteReference"/>
          <w:rFonts w:ascii="Times New Roman" w:hAnsi="Times New Roman"/>
        </w:rPr>
        <w:footnoteRef/>
      </w:r>
      <w:r w:rsidRPr="00947F1A">
        <w:rPr>
          <w:rFonts w:ascii="Times New Roman" w:hAnsi="Times New Roman"/>
        </w:rPr>
        <w:t xml:space="preserve"> J. McKinley, ‘The analysis of cremated bone’, in M. Cox and S. Mays (eds) </w:t>
      </w:r>
      <w:r w:rsidRPr="00947F1A">
        <w:rPr>
          <w:rFonts w:ascii="Times New Roman" w:hAnsi="Times New Roman"/>
          <w:i/>
          <w:iCs/>
        </w:rPr>
        <w:t>Human Osteology in Archaeology and Forensic Science</w:t>
      </w:r>
      <w:r w:rsidRPr="00947F1A">
        <w:rPr>
          <w:rFonts w:ascii="Times New Roman" w:hAnsi="Times New Roman"/>
        </w:rPr>
        <w:t xml:space="preserve"> (2000), pp. 403–421</w:t>
      </w:r>
    </w:p>
  </w:footnote>
  <w:footnote w:id="22">
    <w:p w14:paraId="553A68ED" w14:textId="1F447F6D" w:rsidR="00A43BC6" w:rsidRPr="00D140CD" w:rsidRDefault="00A43BC6" w:rsidP="007F3393">
      <w:pPr>
        <w:pStyle w:val="FootnoteText"/>
        <w:ind w:left="0" w:firstLine="0"/>
        <w:rPr>
          <w:rFonts w:ascii="Times New Roman" w:hAnsi="Times New Roman"/>
          <w:lang w:val="en-US"/>
        </w:rPr>
      </w:pPr>
      <w:r w:rsidRPr="00907B3B">
        <w:rPr>
          <w:rStyle w:val="FootnoteReference"/>
          <w:rFonts w:ascii="Times New Roman" w:hAnsi="Times New Roman"/>
        </w:rPr>
        <w:footnoteRef/>
      </w:r>
      <w:r w:rsidRPr="00907B3B">
        <w:rPr>
          <w:rFonts w:ascii="Times New Roman" w:hAnsi="Times New Roman"/>
        </w:rPr>
        <w:t xml:space="preserve"> </w:t>
      </w:r>
      <w:r w:rsidRPr="00D140CD">
        <w:rPr>
          <w:rFonts w:ascii="Times New Roman" w:hAnsi="Times New Roman"/>
        </w:rPr>
        <w:t>Rankine Avenue, Scottish Enterprise Technology Park, East Kilbride, Glasgow, G75 0QF, Scotland</w:t>
      </w:r>
    </w:p>
  </w:footnote>
  <w:footnote w:id="23">
    <w:p w14:paraId="477DEBCA" w14:textId="71519E1D" w:rsidR="00A43BC6" w:rsidRPr="00D140CD" w:rsidRDefault="00A43BC6" w:rsidP="007F3393">
      <w:pPr>
        <w:pStyle w:val="FootnoteText"/>
        <w:ind w:left="0" w:firstLine="0"/>
        <w:rPr>
          <w:rFonts w:ascii="Times New Roman" w:hAnsi="Times New Roman"/>
          <w:lang w:val="en-US"/>
        </w:rPr>
      </w:pPr>
      <w:r w:rsidRPr="00D140CD">
        <w:rPr>
          <w:rStyle w:val="FootnoteReference"/>
          <w:rFonts w:ascii="Times New Roman" w:hAnsi="Times New Roman"/>
        </w:rPr>
        <w:footnoteRef/>
      </w:r>
      <w:r w:rsidRPr="00D140CD">
        <w:rPr>
          <w:rFonts w:ascii="Times New Roman" w:hAnsi="Times New Roman"/>
        </w:rPr>
        <w:t xml:space="preserve"> </w:t>
      </w:r>
      <w:r w:rsidR="00ED03BC" w:rsidRPr="00D140CD">
        <w:rPr>
          <w:rFonts w:ascii="Times New Roman" w:hAnsi="Times New Roman"/>
        </w:rPr>
        <w:t xml:space="preserve">E. </w:t>
      </w:r>
      <w:r w:rsidRPr="00D140CD">
        <w:rPr>
          <w:rFonts w:ascii="Times New Roman" w:hAnsi="Times New Roman"/>
        </w:rPr>
        <w:t>Dunbar</w:t>
      </w:r>
      <w:r w:rsidR="00736EB9">
        <w:rPr>
          <w:rFonts w:ascii="Times New Roman" w:hAnsi="Times New Roman"/>
        </w:rPr>
        <w:t xml:space="preserve"> et al.</w:t>
      </w:r>
      <w:r w:rsidRPr="00D140CD">
        <w:rPr>
          <w:rFonts w:ascii="Times New Roman" w:hAnsi="Times New Roman"/>
        </w:rPr>
        <w:t xml:space="preserve">, ‘AMS 14C dating at the Scottish Universities Environmental Research Centre (SUERC)’, </w:t>
      </w:r>
      <w:r w:rsidRPr="00D140CD">
        <w:rPr>
          <w:rFonts w:ascii="Times New Roman" w:hAnsi="Times New Roman"/>
          <w:i/>
          <w:iCs/>
        </w:rPr>
        <w:t>Radiocarbon</w:t>
      </w:r>
      <w:r w:rsidR="00ED03BC" w:rsidRPr="00D140CD">
        <w:rPr>
          <w:rFonts w:ascii="Times New Roman" w:hAnsi="Times New Roman"/>
        </w:rPr>
        <w:t>,</w:t>
      </w:r>
      <w:r w:rsidRPr="00D140CD">
        <w:rPr>
          <w:rFonts w:ascii="Times New Roman" w:hAnsi="Times New Roman"/>
        </w:rPr>
        <w:t xml:space="preserve"> 58 (1)</w:t>
      </w:r>
      <w:r w:rsidR="00ED03BC" w:rsidRPr="00D140CD">
        <w:rPr>
          <w:rFonts w:ascii="Times New Roman" w:hAnsi="Times New Roman"/>
        </w:rPr>
        <w:t xml:space="preserve"> (2016), pp.</w:t>
      </w:r>
      <w:r w:rsidRPr="00D140CD">
        <w:rPr>
          <w:rFonts w:ascii="Times New Roman" w:hAnsi="Times New Roman"/>
        </w:rPr>
        <w:t xml:space="preserve"> 9–23</w:t>
      </w:r>
      <w:r w:rsidR="00ED03BC" w:rsidRPr="00D140CD">
        <w:rPr>
          <w:rFonts w:ascii="Times New Roman" w:hAnsi="Times New Roman"/>
        </w:rPr>
        <w:t>.</w:t>
      </w:r>
    </w:p>
  </w:footnote>
  <w:footnote w:id="24">
    <w:p w14:paraId="6D722DB9" w14:textId="57CD47F2" w:rsidR="00A43BC6" w:rsidRPr="00907B3B" w:rsidRDefault="00A43BC6" w:rsidP="007F3393">
      <w:pPr>
        <w:pStyle w:val="FootnoteText"/>
        <w:ind w:left="0" w:firstLine="0"/>
        <w:rPr>
          <w:rFonts w:ascii="Times New Roman" w:hAnsi="Times New Roman"/>
          <w:lang w:val="en-US"/>
        </w:rPr>
      </w:pPr>
      <w:r w:rsidRPr="00D140CD">
        <w:rPr>
          <w:rStyle w:val="FootnoteReference"/>
          <w:rFonts w:ascii="Times New Roman" w:hAnsi="Times New Roman"/>
        </w:rPr>
        <w:footnoteRef/>
      </w:r>
      <w:r w:rsidRPr="00D140CD">
        <w:rPr>
          <w:rFonts w:ascii="Times New Roman" w:hAnsi="Times New Roman"/>
        </w:rPr>
        <w:t xml:space="preserve"> </w:t>
      </w:r>
      <w:r w:rsidR="00ED03BC" w:rsidRPr="00D140CD">
        <w:rPr>
          <w:rFonts w:ascii="Times New Roman" w:hAnsi="Times New Roman"/>
        </w:rPr>
        <w:t>C.</w:t>
      </w:r>
      <w:r w:rsidR="00ED03BC">
        <w:t xml:space="preserve"> </w:t>
      </w:r>
      <w:proofErr w:type="spellStart"/>
      <w:r w:rsidRPr="00907B3B">
        <w:rPr>
          <w:rFonts w:ascii="Times New Roman" w:hAnsi="Times New Roman"/>
        </w:rPr>
        <w:t>Bronk</w:t>
      </w:r>
      <w:proofErr w:type="spellEnd"/>
      <w:r w:rsidRPr="00907B3B">
        <w:rPr>
          <w:rFonts w:ascii="Times New Roman" w:hAnsi="Times New Roman"/>
        </w:rPr>
        <w:t xml:space="preserve"> Ramsey, </w:t>
      </w:r>
      <w:r w:rsidR="00825A4A">
        <w:rPr>
          <w:rFonts w:ascii="Times New Roman" w:hAnsi="Times New Roman"/>
        </w:rPr>
        <w:t>‘</w:t>
      </w:r>
      <w:r w:rsidRPr="00907B3B">
        <w:rPr>
          <w:rFonts w:ascii="Times New Roman" w:hAnsi="Times New Roman"/>
        </w:rPr>
        <w:t>Bayesian analysis of radiocarbon dates’,</w:t>
      </w:r>
      <w:r w:rsidRPr="00825A4A">
        <w:rPr>
          <w:rFonts w:ascii="Times New Roman" w:hAnsi="Times New Roman"/>
          <w:i/>
          <w:iCs/>
        </w:rPr>
        <w:t xml:space="preserve"> Radiocarbon</w:t>
      </w:r>
      <w:r w:rsidR="00825A4A">
        <w:rPr>
          <w:rFonts w:ascii="Times New Roman" w:hAnsi="Times New Roman"/>
        </w:rPr>
        <w:t>,</w:t>
      </w:r>
      <w:r w:rsidRPr="00825A4A">
        <w:rPr>
          <w:rFonts w:ascii="Times New Roman" w:hAnsi="Times New Roman"/>
        </w:rPr>
        <w:t xml:space="preserve"> </w:t>
      </w:r>
      <w:r w:rsidRPr="00907B3B">
        <w:rPr>
          <w:rFonts w:ascii="Times New Roman" w:hAnsi="Times New Roman"/>
        </w:rPr>
        <w:t xml:space="preserve">51 (1) </w:t>
      </w:r>
      <w:r w:rsidR="00ED03BC">
        <w:rPr>
          <w:rFonts w:ascii="Times New Roman" w:hAnsi="Times New Roman"/>
        </w:rPr>
        <w:t xml:space="preserve">(2009), pp. </w:t>
      </w:r>
      <w:r w:rsidRPr="00907B3B">
        <w:rPr>
          <w:rFonts w:ascii="Times New Roman" w:hAnsi="Times New Roman"/>
        </w:rPr>
        <w:t xml:space="preserve">337–360; </w:t>
      </w:r>
      <w:r w:rsidR="00825A4A">
        <w:rPr>
          <w:rFonts w:ascii="Times New Roman" w:hAnsi="Times New Roman"/>
        </w:rPr>
        <w:t xml:space="preserve">C. </w:t>
      </w:r>
      <w:proofErr w:type="spellStart"/>
      <w:r w:rsidRPr="00907B3B">
        <w:rPr>
          <w:rFonts w:ascii="Times New Roman" w:hAnsi="Times New Roman"/>
        </w:rPr>
        <w:t>Bronk</w:t>
      </w:r>
      <w:proofErr w:type="spellEnd"/>
      <w:r w:rsidRPr="00907B3B">
        <w:rPr>
          <w:rFonts w:ascii="Times New Roman" w:hAnsi="Times New Roman"/>
        </w:rPr>
        <w:t xml:space="preserve"> Ramsey, University of Oxford Radiocarbon Accelerator Unit calibration programme OxCal v4.4.2</w:t>
      </w:r>
      <w:r w:rsidR="00825A4A">
        <w:rPr>
          <w:rFonts w:ascii="Times New Roman" w:hAnsi="Times New Roman"/>
        </w:rPr>
        <w:t>:</w:t>
      </w:r>
      <w:r w:rsidRPr="00907B3B">
        <w:rPr>
          <w:rFonts w:ascii="Times New Roman" w:hAnsi="Times New Roman"/>
        </w:rPr>
        <w:t xml:space="preserve"> </w:t>
      </w:r>
      <w:hyperlink r:id="rId2" w:history="1">
        <w:r w:rsidR="00825A4A" w:rsidRPr="00763DB0">
          <w:rPr>
            <w:rStyle w:val="Hyperlink"/>
            <w:rFonts w:ascii="Times New Roman" w:hAnsi="Times New Roman"/>
          </w:rPr>
          <w:t>https://c14.arch.ox.ac.uk/oxcal.html</w:t>
        </w:r>
      </w:hyperlink>
      <w:r w:rsidR="00825A4A">
        <w:rPr>
          <w:rFonts w:ascii="Times New Roman" w:hAnsi="Times New Roman"/>
        </w:rPr>
        <w:t xml:space="preserve"> (2020).</w:t>
      </w:r>
    </w:p>
  </w:footnote>
  <w:footnote w:id="25">
    <w:p w14:paraId="2A4B532C" w14:textId="7E825F83" w:rsidR="00A43BC6" w:rsidRPr="00A43BC6" w:rsidRDefault="00A43BC6" w:rsidP="007F3393">
      <w:pPr>
        <w:pStyle w:val="FootnoteText"/>
        <w:ind w:left="0" w:firstLine="0"/>
        <w:rPr>
          <w:lang w:val="en-US"/>
        </w:rPr>
      </w:pPr>
      <w:r w:rsidRPr="00907B3B">
        <w:rPr>
          <w:rStyle w:val="FootnoteReference"/>
          <w:rFonts w:ascii="Times New Roman" w:hAnsi="Times New Roman"/>
        </w:rPr>
        <w:footnoteRef/>
      </w:r>
      <w:r w:rsidRPr="00907B3B">
        <w:rPr>
          <w:rFonts w:ascii="Times New Roman" w:hAnsi="Times New Roman"/>
        </w:rPr>
        <w:t xml:space="preserve"> </w:t>
      </w:r>
      <w:r w:rsidR="00825A4A">
        <w:rPr>
          <w:rFonts w:ascii="Times New Roman" w:hAnsi="Times New Roman"/>
        </w:rPr>
        <w:t xml:space="preserve">P. </w:t>
      </w:r>
      <w:r w:rsidRPr="00907B3B">
        <w:rPr>
          <w:rFonts w:ascii="Times New Roman" w:hAnsi="Times New Roman"/>
        </w:rPr>
        <w:t>Reimer</w:t>
      </w:r>
      <w:r w:rsidR="00736EB9">
        <w:rPr>
          <w:rFonts w:ascii="Times New Roman" w:hAnsi="Times New Roman"/>
        </w:rPr>
        <w:t xml:space="preserve"> et al.</w:t>
      </w:r>
      <w:r w:rsidRPr="00907B3B">
        <w:rPr>
          <w:rFonts w:ascii="Times New Roman" w:hAnsi="Times New Roman"/>
        </w:rPr>
        <w:t xml:space="preserve">, ‘The IntCal20 Northern Hemisphere radiocarbon ago calibration curve (0–55 cal, </w:t>
      </w:r>
      <w:proofErr w:type="spellStart"/>
      <w:r w:rsidRPr="00907B3B">
        <w:rPr>
          <w:rFonts w:ascii="Times New Roman" w:hAnsi="Times New Roman"/>
        </w:rPr>
        <w:t>kBP</w:t>
      </w:r>
      <w:proofErr w:type="spellEnd"/>
      <w:r w:rsidRPr="00907B3B">
        <w:rPr>
          <w:rFonts w:ascii="Times New Roman" w:hAnsi="Times New Roman"/>
        </w:rPr>
        <w:t xml:space="preserve">)’, </w:t>
      </w:r>
      <w:r w:rsidRPr="00825A4A">
        <w:rPr>
          <w:rFonts w:ascii="Times New Roman" w:hAnsi="Times New Roman"/>
          <w:i/>
          <w:iCs/>
        </w:rPr>
        <w:t>Radiocarbon</w:t>
      </w:r>
      <w:r w:rsidR="00825A4A">
        <w:rPr>
          <w:rFonts w:ascii="Times New Roman" w:hAnsi="Times New Roman"/>
          <w:i/>
          <w:iCs/>
        </w:rPr>
        <w:t>,</w:t>
      </w:r>
      <w:r w:rsidRPr="00907B3B">
        <w:rPr>
          <w:rFonts w:ascii="Times New Roman" w:hAnsi="Times New Roman"/>
        </w:rPr>
        <w:t xml:space="preserve"> 62 (4) </w:t>
      </w:r>
      <w:r w:rsidR="00825A4A">
        <w:rPr>
          <w:rFonts w:ascii="Times New Roman" w:hAnsi="Times New Roman"/>
        </w:rPr>
        <w:t xml:space="preserve">(2020), pp. </w:t>
      </w:r>
      <w:r w:rsidRPr="00907B3B">
        <w:rPr>
          <w:rFonts w:ascii="Times New Roman" w:hAnsi="Times New Roman"/>
        </w:rPr>
        <w:t>725–57</w:t>
      </w:r>
      <w:r w:rsidR="00825A4A">
        <w:rPr>
          <w:rFonts w:ascii="Times New Roman" w:hAnsi="Times New Roman"/>
        </w:rPr>
        <w:t>.</w:t>
      </w:r>
    </w:p>
  </w:footnote>
  <w:footnote w:id="26">
    <w:p w14:paraId="39528DDE" w14:textId="4212F68D" w:rsidR="00A81B98" w:rsidRPr="007F3393" w:rsidRDefault="00A81B98"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C9342B" w:rsidRPr="007F3393">
        <w:rPr>
          <w:rFonts w:ascii="Times New Roman" w:hAnsi="Times New Roman"/>
        </w:rPr>
        <w:t xml:space="preserve">P. </w:t>
      </w:r>
      <w:r w:rsidR="00474146" w:rsidRPr="007F3393">
        <w:rPr>
          <w:rFonts w:ascii="Times New Roman" w:hAnsi="Times New Roman"/>
        </w:rPr>
        <w:t xml:space="preserve">Garwood, ‘Chapter 15: Making the dead’, in </w:t>
      </w:r>
      <w:r w:rsidR="00C9342B" w:rsidRPr="007F3393">
        <w:rPr>
          <w:rFonts w:ascii="Times New Roman" w:hAnsi="Times New Roman"/>
        </w:rPr>
        <w:t xml:space="preserve">G. </w:t>
      </w:r>
      <w:r w:rsidR="00474146" w:rsidRPr="007F3393">
        <w:rPr>
          <w:rFonts w:ascii="Times New Roman" w:hAnsi="Times New Roman"/>
        </w:rPr>
        <w:t xml:space="preserve">Hey, </w:t>
      </w:r>
      <w:r w:rsidR="00C9342B" w:rsidRPr="007F3393">
        <w:rPr>
          <w:rFonts w:ascii="Times New Roman" w:hAnsi="Times New Roman"/>
        </w:rPr>
        <w:t xml:space="preserve">P. </w:t>
      </w:r>
      <w:r w:rsidR="00474146" w:rsidRPr="007F3393">
        <w:rPr>
          <w:rFonts w:ascii="Times New Roman" w:hAnsi="Times New Roman"/>
        </w:rPr>
        <w:t xml:space="preserve">Garwood, </w:t>
      </w:r>
      <w:r w:rsidR="00C9342B" w:rsidRPr="007F3393">
        <w:rPr>
          <w:rFonts w:ascii="Times New Roman" w:hAnsi="Times New Roman"/>
        </w:rPr>
        <w:t xml:space="preserve">M. </w:t>
      </w:r>
      <w:r w:rsidR="00474146" w:rsidRPr="007F3393">
        <w:rPr>
          <w:rFonts w:ascii="Times New Roman" w:hAnsi="Times New Roman"/>
        </w:rPr>
        <w:t xml:space="preserve">Robinson, </w:t>
      </w:r>
      <w:r w:rsidR="00C9342B" w:rsidRPr="007F3393">
        <w:rPr>
          <w:rFonts w:ascii="Times New Roman" w:hAnsi="Times New Roman"/>
        </w:rPr>
        <w:t xml:space="preserve">A. </w:t>
      </w:r>
      <w:r w:rsidR="00474146" w:rsidRPr="007F3393">
        <w:rPr>
          <w:rFonts w:ascii="Times New Roman" w:hAnsi="Times New Roman"/>
        </w:rPr>
        <w:t xml:space="preserve">Barclay and </w:t>
      </w:r>
      <w:r w:rsidR="00C9342B" w:rsidRPr="007F3393">
        <w:rPr>
          <w:rFonts w:ascii="Times New Roman" w:hAnsi="Times New Roman"/>
        </w:rPr>
        <w:t xml:space="preserve">P. </w:t>
      </w:r>
      <w:r w:rsidR="00474146" w:rsidRPr="007F3393">
        <w:rPr>
          <w:rFonts w:ascii="Times New Roman" w:hAnsi="Times New Roman"/>
        </w:rPr>
        <w:t xml:space="preserve">Bradley, </w:t>
      </w:r>
      <w:r w:rsidR="00474146" w:rsidRPr="007F3393">
        <w:rPr>
          <w:rFonts w:ascii="Times New Roman" w:hAnsi="Times New Roman"/>
          <w:i/>
          <w:iCs/>
        </w:rPr>
        <w:t>The archaeology of the gravel terraces of the Upper and Middle Thames: Early prehistory to 1500 BC, Part 2 — Mesolithic to Early Bronze Age</w:t>
      </w:r>
      <w:r w:rsidR="00C9342B" w:rsidRPr="007F3393">
        <w:rPr>
          <w:rFonts w:ascii="Times New Roman" w:hAnsi="Times New Roman"/>
        </w:rPr>
        <w:t xml:space="preserve">, </w:t>
      </w:r>
      <w:r w:rsidR="00474146" w:rsidRPr="007F3393">
        <w:rPr>
          <w:rFonts w:ascii="Times New Roman" w:hAnsi="Times New Roman"/>
        </w:rPr>
        <w:t>Thames Valley Landscapes Monograph</w:t>
      </w:r>
      <w:r w:rsidR="00A17801" w:rsidRPr="007F3393">
        <w:rPr>
          <w:rFonts w:ascii="Times New Roman" w:hAnsi="Times New Roman"/>
        </w:rPr>
        <w:t>,</w:t>
      </w:r>
      <w:r w:rsidR="00474146" w:rsidRPr="007F3393">
        <w:rPr>
          <w:rFonts w:ascii="Times New Roman" w:hAnsi="Times New Roman"/>
        </w:rPr>
        <w:t xml:space="preserve"> 32 </w:t>
      </w:r>
      <w:r w:rsidR="00C9342B" w:rsidRPr="007F3393">
        <w:rPr>
          <w:rFonts w:ascii="Times New Roman" w:hAnsi="Times New Roman"/>
        </w:rPr>
        <w:t xml:space="preserve">(2011), pp. </w:t>
      </w:r>
      <w:r w:rsidR="00474146" w:rsidRPr="007F3393">
        <w:rPr>
          <w:rFonts w:ascii="Times New Roman" w:hAnsi="Times New Roman"/>
        </w:rPr>
        <w:t>383–432</w:t>
      </w:r>
      <w:r w:rsidR="00C9342B" w:rsidRPr="007F3393">
        <w:rPr>
          <w:rFonts w:ascii="Times New Roman" w:hAnsi="Times New Roman"/>
        </w:rPr>
        <w:t>.</w:t>
      </w:r>
    </w:p>
  </w:footnote>
  <w:footnote w:id="27">
    <w:p w14:paraId="0D38DEF4" w14:textId="6FE7DE7C" w:rsidR="00474146" w:rsidRPr="007F3393" w:rsidRDefault="00474146"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A17801" w:rsidRPr="007F3393">
        <w:rPr>
          <w:rFonts w:ascii="Times New Roman" w:hAnsi="Times New Roman"/>
        </w:rPr>
        <w:t xml:space="preserve">G. </w:t>
      </w:r>
      <w:r w:rsidRPr="007F3393">
        <w:rPr>
          <w:rFonts w:ascii="Times New Roman" w:hAnsi="Times New Roman"/>
          <w:lang w:val="en-US"/>
        </w:rPr>
        <w:t xml:space="preserve">Hey, ‘Chapter 3: Neolithic and Bronze Age society at Yarnton’, in </w:t>
      </w:r>
      <w:r w:rsidR="00A17801" w:rsidRPr="007F3393">
        <w:rPr>
          <w:rFonts w:ascii="Times New Roman" w:hAnsi="Times New Roman"/>
          <w:lang w:val="en-US"/>
        </w:rPr>
        <w:t xml:space="preserve">G. </w:t>
      </w:r>
      <w:r w:rsidRPr="007F3393">
        <w:rPr>
          <w:rFonts w:ascii="Times New Roman" w:hAnsi="Times New Roman"/>
          <w:lang w:val="en-US"/>
        </w:rPr>
        <w:t>Hey</w:t>
      </w:r>
      <w:r w:rsidR="00D140CD" w:rsidRPr="007F3393">
        <w:rPr>
          <w:rFonts w:ascii="Times New Roman" w:hAnsi="Times New Roman"/>
          <w:lang w:val="en-US"/>
        </w:rPr>
        <w:t xml:space="preserve"> et al.</w:t>
      </w:r>
      <w:r w:rsidRPr="007F3393">
        <w:rPr>
          <w:rFonts w:ascii="Times New Roman" w:hAnsi="Times New Roman"/>
          <w:lang w:val="en-US"/>
        </w:rPr>
        <w:t xml:space="preserve">, </w:t>
      </w:r>
      <w:r w:rsidRPr="007F3393">
        <w:rPr>
          <w:rFonts w:ascii="Times New Roman" w:hAnsi="Times New Roman"/>
          <w:i/>
          <w:iCs/>
          <w:lang w:val="en-US"/>
        </w:rPr>
        <w:t>Yarnton</w:t>
      </w:r>
      <w:r w:rsidR="00A17801" w:rsidRPr="007F3393">
        <w:rPr>
          <w:rFonts w:ascii="Times New Roman" w:hAnsi="Times New Roman"/>
          <w:lang w:val="en-US"/>
        </w:rPr>
        <w:t xml:space="preserve">, pp. </w:t>
      </w:r>
      <w:r w:rsidRPr="007F3393">
        <w:rPr>
          <w:rFonts w:ascii="Times New Roman" w:hAnsi="Times New Roman"/>
          <w:lang w:val="en-US"/>
        </w:rPr>
        <w:t>51–92</w:t>
      </w:r>
      <w:r w:rsidR="00A17801" w:rsidRPr="007F3393">
        <w:rPr>
          <w:rFonts w:ascii="Times New Roman" w:hAnsi="Times New Roman"/>
          <w:lang w:val="en-US"/>
        </w:rPr>
        <w:t>.</w:t>
      </w:r>
    </w:p>
  </w:footnote>
  <w:footnote w:id="28">
    <w:p w14:paraId="2355E45E" w14:textId="0A48754A" w:rsidR="00A81B98" w:rsidRPr="007F3393" w:rsidRDefault="00A81B98"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A17801" w:rsidRPr="007F3393">
        <w:rPr>
          <w:rFonts w:ascii="Times New Roman" w:hAnsi="Times New Roman"/>
        </w:rPr>
        <w:t xml:space="preserve">N.B. </w:t>
      </w:r>
      <w:r w:rsidR="00FE1C2E" w:rsidRPr="007F3393">
        <w:rPr>
          <w:rFonts w:ascii="Times New Roman" w:hAnsi="Times New Roman"/>
        </w:rPr>
        <w:t xml:space="preserve">Clayton, ‘New </w:t>
      </w:r>
      <w:proofErr w:type="spellStart"/>
      <w:r w:rsidR="00FE1C2E" w:rsidRPr="007F3393">
        <w:rPr>
          <w:rFonts w:ascii="Times New Roman" w:hAnsi="Times New Roman"/>
        </w:rPr>
        <w:t>Wintles</w:t>
      </w:r>
      <w:proofErr w:type="spellEnd"/>
      <w:r w:rsidR="00FE1C2E" w:rsidRPr="007F3393">
        <w:rPr>
          <w:rFonts w:ascii="Times New Roman" w:hAnsi="Times New Roman"/>
        </w:rPr>
        <w:t>, Eynsham, Oxon’</w:t>
      </w:r>
      <w:r w:rsidR="00A17801" w:rsidRPr="007F3393">
        <w:rPr>
          <w:rFonts w:ascii="Times New Roman" w:hAnsi="Times New Roman"/>
        </w:rPr>
        <w:t>(1973), pp.</w:t>
      </w:r>
      <w:r w:rsidR="00FE1C2E" w:rsidRPr="007F3393">
        <w:rPr>
          <w:rFonts w:ascii="Times New Roman" w:hAnsi="Times New Roman"/>
        </w:rPr>
        <w:t xml:space="preserve"> 382–84</w:t>
      </w:r>
      <w:r w:rsidRPr="007F3393">
        <w:rPr>
          <w:rFonts w:ascii="Times New Roman" w:hAnsi="Times New Roman"/>
        </w:rPr>
        <w:t xml:space="preserve">; </w:t>
      </w:r>
      <w:r w:rsidR="00FE1C2E" w:rsidRPr="007F3393">
        <w:rPr>
          <w:rFonts w:ascii="Times New Roman" w:hAnsi="Times New Roman"/>
        </w:rPr>
        <w:t>Kenward</w:t>
      </w:r>
      <w:r w:rsidR="00A17801" w:rsidRPr="007F3393">
        <w:rPr>
          <w:rFonts w:ascii="Times New Roman" w:hAnsi="Times New Roman"/>
        </w:rPr>
        <w:t>,</w:t>
      </w:r>
      <w:r w:rsidR="00FE1C2E" w:rsidRPr="007F3393">
        <w:rPr>
          <w:rFonts w:ascii="Times New Roman" w:hAnsi="Times New Roman"/>
        </w:rPr>
        <w:t xml:space="preserve"> ‘A Neolithic burial enclosure at New </w:t>
      </w:r>
      <w:proofErr w:type="spellStart"/>
      <w:r w:rsidR="00FE1C2E" w:rsidRPr="007F3393">
        <w:rPr>
          <w:rFonts w:ascii="Times New Roman" w:hAnsi="Times New Roman"/>
        </w:rPr>
        <w:t>Wintles</w:t>
      </w:r>
      <w:proofErr w:type="spellEnd"/>
      <w:r w:rsidR="00FE1C2E" w:rsidRPr="007F3393">
        <w:rPr>
          <w:rFonts w:ascii="Times New Roman" w:hAnsi="Times New Roman"/>
        </w:rPr>
        <w:t xml:space="preserve"> Farm, Eynsham’, in </w:t>
      </w:r>
      <w:r w:rsidR="00074339" w:rsidRPr="007F3393">
        <w:rPr>
          <w:rFonts w:ascii="Times New Roman" w:hAnsi="Times New Roman"/>
        </w:rPr>
        <w:t xml:space="preserve">Case and Whittle, </w:t>
      </w:r>
      <w:r w:rsidR="00074339" w:rsidRPr="007F3393">
        <w:rPr>
          <w:rFonts w:ascii="Times New Roman" w:hAnsi="Times New Roman"/>
          <w:i/>
          <w:iCs/>
        </w:rPr>
        <w:t>Settlement patterns in the Oxford region</w:t>
      </w:r>
      <w:r w:rsidR="0010220D" w:rsidRPr="007F3393">
        <w:rPr>
          <w:rFonts w:ascii="Times New Roman" w:hAnsi="Times New Roman"/>
          <w:i/>
          <w:iCs/>
        </w:rPr>
        <w:t xml:space="preserve"> </w:t>
      </w:r>
      <w:r w:rsidR="00A17801" w:rsidRPr="007F3393">
        <w:rPr>
          <w:rFonts w:ascii="Times New Roman" w:hAnsi="Times New Roman"/>
        </w:rPr>
        <w:t>(1982), pp.</w:t>
      </w:r>
      <w:r w:rsidR="00FE1C2E" w:rsidRPr="007F3393">
        <w:rPr>
          <w:rFonts w:ascii="Times New Roman" w:hAnsi="Times New Roman"/>
        </w:rPr>
        <w:t xml:space="preserve"> 51–5</w:t>
      </w:r>
      <w:r w:rsidRPr="007F3393">
        <w:rPr>
          <w:rFonts w:ascii="Times New Roman" w:hAnsi="Times New Roman"/>
        </w:rPr>
        <w:t xml:space="preserve">; </w:t>
      </w:r>
      <w:r w:rsidR="00A17801" w:rsidRPr="007F3393">
        <w:rPr>
          <w:rFonts w:ascii="Times New Roman" w:hAnsi="Times New Roman"/>
        </w:rPr>
        <w:t>Oxford Archaeology, Digital archive from an archaeological evaluation at Eynsham Cotswold Garden Village, Oxfordshire, September 2019 to January 2020</w:t>
      </w:r>
      <w:r w:rsidR="00D140CD" w:rsidRPr="007F3393">
        <w:rPr>
          <w:rFonts w:ascii="Times New Roman" w:hAnsi="Times New Roman"/>
        </w:rPr>
        <w:t xml:space="preserve"> -</w:t>
      </w:r>
      <w:r w:rsidR="00A17801" w:rsidRPr="007F3393">
        <w:rPr>
          <w:rFonts w:ascii="Times New Roman" w:hAnsi="Times New Roman"/>
        </w:rPr>
        <w:t xml:space="preserve"> </w:t>
      </w:r>
      <w:hyperlink r:id="rId3" w:history="1">
        <w:r w:rsidR="00A17801" w:rsidRPr="007F3393">
          <w:rPr>
            <w:rStyle w:val="Hyperlink"/>
            <w:rFonts w:ascii="Times New Roman" w:hAnsi="Times New Roman"/>
          </w:rPr>
          <w:t>https://archaeologydataservice.ac.uk/archives/view/1005064/index.cfm</w:t>
        </w:r>
      </w:hyperlink>
      <w:r w:rsidR="00A17801" w:rsidRPr="007F3393">
        <w:rPr>
          <w:rFonts w:ascii="Times New Roman" w:hAnsi="Times New Roman"/>
        </w:rPr>
        <w:t xml:space="preserve"> (2023).</w:t>
      </w:r>
    </w:p>
  </w:footnote>
  <w:footnote w:id="29">
    <w:p w14:paraId="66AF7DF9" w14:textId="5B9B3425" w:rsidR="000F5B79" w:rsidRPr="007F3393" w:rsidRDefault="000F5B79"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074339" w:rsidRPr="007F3393">
        <w:rPr>
          <w:rFonts w:ascii="Times New Roman" w:hAnsi="Times New Roman"/>
        </w:rPr>
        <w:t xml:space="preserve">Benson and Miles, </w:t>
      </w:r>
      <w:r w:rsidR="00074339" w:rsidRPr="007F3393">
        <w:rPr>
          <w:rFonts w:ascii="Times New Roman" w:hAnsi="Times New Roman"/>
          <w:i/>
          <w:iCs/>
        </w:rPr>
        <w:t xml:space="preserve">The Upper Thames Valley: An archaeological </w:t>
      </w:r>
      <w:r w:rsidR="00A5540C" w:rsidRPr="007F3393">
        <w:rPr>
          <w:rFonts w:ascii="Times New Roman" w:hAnsi="Times New Roman"/>
          <w:i/>
          <w:iCs/>
        </w:rPr>
        <w:t>survey</w:t>
      </w:r>
      <w:r w:rsidR="00074339" w:rsidRPr="007F3393">
        <w:rPr>
          <w:rFonts w:ascii="Times New Roman" w:hAnsi="Times New Roman"/>
          <w:i/>
          <w:iCs/>
        </w:rPr>
        <w:t xml:space="preserve"> of the river gravels</w:t>
      </w:r>
      <w:r w:rsidR="0010220D" w:rsidRPr="007F3393">
        <w:rPr>
          <w:rFonts w:ascii="Times New Roman" w:hAnsi="Times New Roman"/>
        </w:rPr>
        <w:t xml:space="preserve"> </w:t>
      </w:r>
      <w:r w:rsidR="00A17801" w:rsidRPr="007F3393">
        <w:rPr>
          <w:rFonts w:ascii="Times New Roman" w:hAnsi="Times New Roman"/>
        </w:rPr>
        <w:t xml:space="preserve">(1974), pp. </w:t>
      </w:r>
      <w:r w:rsidRPr="007F3393">
        <w:rPr>
          <w:rFonts w:ascii="Times New Roman" w:hAnsi="Times New Roman"/>
        </w:rPr>
        <w:t xml:space="preserve">42–45, map 20; </w:t>
      </w:r>
      <w:r w:rsidR="00074339" w:rsidRPr="007F3393">
        <w:rPr>
          <w:rFonts w:ascii="Times New Roman" w:hAnsi="Times New Roman"/>
        </w:rPr>
        <w:t>Bradford and</w:t>
      </w:r>
      <w:r w:rsidR="00A17801" w:rsidRPr="007F3393">
        <w:rPr>
          <w:rFonts w:ascii="Times New Roman" w:hAnsi="Times New Roman"/>
        </w:rPr>
        <w:t xml:space="preserve"> </w:t>
      </w:r>
      <w:r w:rsidR="00074339" w:rsidRPr="007F3393">
        <w:rPr>
          <w:rFonts w:ascii="Times New Roman" w:hAnsi="Times New Roman"/>
        </w:rPr>
        <w:t>Morris, ‘Archaeological notes’</w:t>
      </w:r>
      <w:r w:rsidR="00A17801" w:rsidRPr="007F3393">
        <w:rPr>
          <w:rFonts w:ascii="Times New Roman" w:hAnsi="Times New Roman"/>
        </w:rPr>
        <w:t xml:space="preserve">, pp. </w:t>
      </w:r>
      <w:r w:rsidR="00074339" w:rsidRPr="007F3393">
        <w:rPr>
          <w:rFonts w:ascii="Times New Roman" w:hAnsi="Times New Roman"/>
        </w:rPr>
        <w:t>8</w:t>
      </w:r>
      <w:r w:rsidR="009609D8" w:rsidRPr="007F3393">
        <w:rPr>
          <w:rFonts w:ascii="Times New Roman" w:hAnsi="Times New Roman"/>
        </w:rPr>
        <w:t>4</w:t>
      </w:r>
      <w:r w:rsidR="00074339" w:rsidRPr="007F3393">
        <w:rPr>
          <w:rFonts w:ascii="Times New Roman" w:hAnsi="Times New Roman"/>
        </w:rPr>
        <w:t>–</w:t>
      </w:r>
      <w:r w:rsidR="009609D8" w:rsidRPr="007F3393">
        <w:rPr>
          <w:rFonts w:ascii="Times New Roman" w:hAnsi="Times New Roman"/>
        </w:rPr>
        <w:t>94</w:t>
      </w:r>
      <w:r w:rsidRPr="007F3393">
        <w:rPr>
          <w:rFonts w:ascii="Times New Roman" w:hAnsi="Times New Roman"/>
        </w:rPr>
        <w:t xml:space="preserve">.   </w:t>
      </w:r>
    </w:p>
  </w:footnote>
  <w:footnote w:id="30">
    <w:p w14:paraId="09C34157" w14:textId="18C845AB" w:rsidR="000F5B79" w:rsidRPr="007F3393" w:rsidRDefault="000F5B79"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A17801" w:rsidRPr="007F3393">
        <w:rPr>
          <w:rFonts w:ascii="Times New Roman" w:hAnsi="Times New Roman"/>
        </w:rPr>
        <w:t xml:space="preserve">K. </w:t>
      </w:r>
      <w:proofErr w:type="spellStart"/>
      <w:r w:rsidR="00074339" w:rsidRPr="007F3393">
        <w:rPr>
          <w:rFonts w:ascii="Times New Roman" w:hAnsi="Times New Roman"/>
        </w:rPr>
        <w:t>Rebay</w:t>
      </w:r>
      <w:proofErr w:type="spellEnd"/>
      <w:r w:rsidR="00074339" w:rsidRPr="007F3393">
        <w:rPr>
          <w:rFonts w:ascii="Times New Roman" w:hAnsi="Times New Roman"/>
        </w:rPr>
        <w:t xml:space="preserve">-Salisbury ‘Cremations: Fragmented bodies in the Bronze and iron Ages’, in </w:t>
      </w:r>
      <w:r w:rsidR="00A17801" w:rsidRPr="007F3393">
        <w:rPr>
          <w:rFonts w:ascii="Times New Roman" w:hAnsi="Times New Roman"/>
        </w:rPr>
        <w:t xml:space="preserve">K. </w:t>
      </w:r>
      <w:proofErr w:type="spellStart"/>
      <w:r w:rsidR="00074339" w:rsidRPr="007F3393">
        <w:rPr>
          <w:rFonts w:ascii="Times New Roman" w:hAnsi="Times New Roman"/>
        </w:rPr>
        <w:t>Rebay</w:t>
      </w:r>
      <w:proofErr w:type="spellEnd"/>
      <w:r w:rsidR="00074339" w:rsidRPr="007F3393">
        <w:rPr>
          <w:rFonts w:ascii="Times New Roman" w:hAnsi="Times New Roman"/>
        </w:rPr>
        <w:t xml:space="preserve">-Salisbury, </w:t>
      </w:r>
      <w:r w:rsidR="00A17801" w:rsidRPr="007F3393">
        <w:rPr>
          <w:rFonts w:ascii="Times New Roman" w:hAnsi="Times New Roman"/>
        </w:rPr>
        <w:t xml:space="preserve">M.L.S. </w:t>
      </w:r>
      <w:r w:rsidR="00074339" w:rsidRPr="007F3393">
        <w:rPr>
          <w:rFonts w:ascii="Times New Roman" w:hAnsi="Times New Roman"/>
        </w:rPr>
        <w:t xml:space="preserve">Sorensen and </w:t>
      </w:r>
      <w:r w:rsidR="00A17801" w:rsidRPr="007F3393">
        <w:rPr>
          <w:rFonts w:ascii="Times New Roman" w:hAnsi="Times New Roman"/>
        </w:rPr>
        <w:t xml:space="preserve">J. </w:t>
      </w:r>
      <w:r w:rsidR="00074339" w:rsidRPr="007F3393">
        <w:rPr>
          <w:rFonts w:ascii="Times New Roman" w:hAnsi="Times New Roman"/>
        </w:rPr>
        <w:t xml:space="preserve">Hughes, </w:t>
      </w:r>
      <w:r w:rsidR="00074339" w:rsidRPr="007F3393">
        <w:rPr>
          <w:rFonts w:ascii="Times New Roman" w:hAnsi="Times New Roman"/>
          <w:i/>
          <w:iCs/>
        </w:rPr>
        <w:t>Body parts and bodies whole; Changing relations and meanings</w:t>
      </w:r>
      <w:r w:rsidR="00074339" w:rsidRPr="007F3393">
        <w:rPr>
          <w:rFonts w:ascii="Times New Roman" w:hAnsi="Times New Roman"/>
        </w:rPr>
        <w:t xml:space="preserve"> </w:t>
      </w:r>
      <w:r w:rsidR="00A17801" w:rsidRPr="007F3393">
        <w:rPr>
          <w:rFonts w:ascii="Times New Roman" w:hAnsi="Times New Roman"/>
        </w:rPr>
        <w:t>(2010)</w:t>
      </w:r>
      <w:r w:rsidR="00074339" w:rsidRPr="007F3393">
        <w:rPr>
          <w:rFonts w:ascii="Times New Roman" w:hAnsi="Times New Roman"/>
        </w:rPr>
        <w:t xml:space="preserve">, </w:t>
      </w:r>
      <w:r w:rsidR="00A17801" w:rsidRPr="007F3393">
        <w:rPr>
          <w:rFonts w:ascii="Times New Roman" w:hAnsi="Times New Roman"/>
        </w:rPr>
        <w:t xml:space="preserve">pp. </w:t>
      </w:r>
      <w:r w:rsidR="00074339" w:rsidRPr="007F3393">
        <w:rPr>
          <w:rFonts w:ascii="Times New Roman" w:hAnsi="Times New Roman"/>
        </w:rPr>
        <w:t>64–7</w:t>
      </w:r>
      <w:r w:rsidR="00A17801" w:rsidRPr="007F3393">
        <w:rPr>
          <w:rFonts w:ascii="Times New Roman" w:hAnsi="Times New Roman"/>
        </w:rPr>
        <w:t xml:space="preserve">, </w:t>
      </w:r>
      <w:r w:rsidR="00074339" w:rsidRPr="007F3393">
        <w:rPr>
          <w:rFonts w:ascii="Times New Roman" w:hAnsi="Times New Roman"/>
        </w:rPr>
        <w:t>1</w:t>
      </w:r>
      <w:r w:rsidRPr="007F3393">
        <w:rPr>
          <w:rFonts w:ascii="Times New Roman" w:hAnsi="Times New Roman"/>
        </w:rPr>
        <w:t>64–5.</w:t>
      </w:r>
    </w:p>
  </w:footnote>
  <w:footnote w:id="31">
    <w:p w14:paraId="2E10FB06" w14:textId="7DD336FE" w:rsidR="000F5B79" w:rsidRPr="00CA6837" w:rsidRDefault="000F5B79"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ED4A82" w:rsidRPr="007F3393">
        <w:rPr>
          <w:rFonts w:ascii="Times New Roman" w:hAnsi="Times New Roman"/>
        </w:rPr>
        <w:t xml:space="preserve">P. </w:t>
      </w:r>
      <w:r w:rsidR="00074339" w:rsidRPr="007F3393">
        <w:rPr>
          <w:rFonts w:ascii="Times New Roman" w:hAnsi="Times New Roman"/>
        </w:rPr>
        <w:t xml:space="preserve">Garwood, ‘Chapter 15: Making the dead’, in </w:t>
      </w:r>
      <w:r w:rsidR="00ED4A82" w:rsidRPr="007F3393">
        <w:rPr>
          <w:rFonts w:ascii="Times New Roman" w:hAnsi="Times New Roman"/>
        </w:rPr>
        <w:t xml:space="preserve">G. </w:t>
      </w:r>
      <w:r w:rsidR="00074339" w:rsidRPr="007F3393">
        <w:rPr>
          <w:rFonts w:ascii="Times New Roman" w:hAnsi="Times New Roman"/>
        </w:rPr>
        <w:t>Hey</w:t>
      </w:r>
      <w:r w:rsidR="008B2D86" w:rsidRPr="007F3393">
        <w:rPr>
          <w:rFonts w:ascii="Times New Roman" w:hAnsi="Times New Roman"/>
        </w:rPr>
        <w:t xml:space="preserve"> et al.</w:t>
      </w:r>
      <w:r w:rsidR="00074339" w:rsidRPr="007F3393">
        <w:rPr>
          <w:rFonts w:ascii="Times New Roman" w:hAnsi="Times New Roman"/>
        </w:rPr>
        <w:t xml:space="preserve">, </w:t>
      </w:r>
      <w:r w:rsidR="00074339" w:rsidRPr="007F3393">
        <w:rPr>
          <w:rFonts w:ascii="Times New Roman" w:hAnsi="Times New Roman"/>
          <w:i/>
          <w:iCs/>
        </w:rPr>
        <w:t>The archaeology of the gravel terraces of the Upper and Middle Thames</w:t>
      </w:r>
      <w:r w:rsidR="00A36DDC" w:rsidRPr="007F3393">
        <w:rPr>
          <w:rFonts w:ascii="Times New Roman" w:hAnsi="Times New Roman"/>
        </w:rPr>
        <w:t>,</w:t>
      </w:r>
      <w:r w:rsidR="00074339" w:rsidRPr="007F3393">
        <w:rPr>
          <w:rFonts w:ascii="Times New Roman" w:hAnsi="Times New Roman"/>
        </w:rPr>
        <w:t xml:space="preserve"> </w:t>
      </w:r>
      <w:r w:rsidR="00A36DDC" w:rsidRPr="007F3393">
        <w:rPr>
          <w:rFonts w:ascii="Times New Roman" w:hAnsi="Times New Roman"/>
        </w:rPr>
        <w:t xml:space="preserve">pp. </w:t>
      </w:r>
      <w:r w:rsidR="00074339" w:rsidRPr="007F3393">
        <w:rPr>
          <w:rFonts w:ascii="Times New Roman" w:hAnsi="Times New Roman"/>
        </w:rPr>
        <w:t>383–432</w:t>
      </w:r>
      <w:r w:rsidRPr="007F3393">
        <w:rPr>
          <w:rFonts w:ascii="Times New Roman" w:hAnsi="Times New Roman"/>
        </w:rPr>
        <w:t>.</w:t>
      </w:r>
      <w:r w:rsidRPr="00CA6837">
        <w:rPr>
          <w:rFonts w:ascii="Times New Roman" w:hAnsi="Times New Roman"/>
        </w:rPr>
        <w:t xml:space="preserve">  </w:t>
      </w:r>
    </w:p>
  </w:footnote>
  <w:footnote w:id="32">
    <w:p w14:paraId="7AB22FEA" w14:textId="562563EC" w:rsidR="000F5B79" w:rsidRPr="00CA6837" w:rsidRDefault="000F5B79" w:rsidP="007F3393">
      <w:pPr>
        <w:pStyle w:val="FootnoteText"/>
        <w:ind w:left="0" w:firstLine="0"/>
        <w:rPr>
          <w:rFonts w:ascii="Times New Roman" w:hAnsi="Times New Roman"/>
          <w:lang w:val="en-US"/>
        </w:rPr>
      </w:pPr>
      <w:r w:rsidRPr="00CA6837">
        <w:rPr>
          <w:rStyle w:val="FootnoteReference"/>
          <w:rFonts w:ascii="Times New Roman" w:hAnsi="Times New Roman"/>
        </w:rPr>
        <w:footnoteRef/>
      </w:r>
      <w:r w:rsidRPr="00CA6837">
        <w:rPr>
          <w:rFonts w:ascii="Times New Roman" w:hAnsi="Times New Roman"/>
        </w:rPr>
        <w:t xml:space="preserve"> </w:t>
      </w:r>
      <w:r w:rsidR="00A36DDC" w:rsidRPr="00CA6837">
        <w:rPr>
          <w:rFonts w:ascii="Times New Roman" w:hAnsi="Times New Roman"/>
        </w:rPr>
        <w:t xml:space="preserve">A. </w:t>
      </w:r>
      <w:r w:rsidR="00977386" w:rsidRPr="00CA6837">
        <w:rPr>
          <w:rFonts w:ascii="Times New Roman" w:hAnsi="Times New Roman"/>
        </w:rPr>
        <w:t xml:space="preserve">Cooper, </w:t>
      </w:r>
      <w:r w:rsidR="00A36DDC" w:rsidRPr="00CA6837">
        <w:rPr>
          <w:rFonts w:ascii="Times New Roman" w:hAnsi="Times New Roman"/>
        </w:rPr>
        <w:t xml:space="preserve">D. </w:t>
      </w:r>
      <w:proofErr w:type="spellStart"/>
      <w:r w:rsidR="00977386" w:rsidRPr="00CA6837">
        <w:rPr>
          <w:rFonts w:ascii="Times New Roman" w:hAnsi="Times New Roman"/>
        </w:rPr>
        <w:t>Garrow</w:t>
      </w:r>
      <w:proofErr w:type="spellEnd"/>
      <w:r w:rsidR="00977386" w:rsidRPr="00CA6837">
        <w:rPr>
          <w:rFonts w:ascii="Times New Roman" w:hAnsi="Times New Roman"/>
        </w:rPr>
        <w:t xml:space="preserve">, </w:t>
      </w:r>
      <w:r w:rsidR="00A36DDC" w:rsidRPr="00CA6837">
        <w:rPr>
          <w:rFonts w:ascii="Times New Roman" w:hAnsi="Times New Roman"/>
        </w:rPr>
        <w:t>C.</w:t>
      </w:r>
      <w:r w:rsidR="00977386" w:rsidRPr="00CA6837">
        <w:rPr>
          <w:rFonts w:ascii="Times New Roman" w:hAnsi="Times New Roman"/>
        </w:rPr>
        <w:t xml:space="preserve"> Gibson, </w:t>
      </w:r>
      <w:r w:rsidR="00A36DDC" w:rsidRPr="00CA6837">
        <w:rPr>
          <w:rFonts w:ascii="Times New Roman" w:hAnsi="Times New Roman"/>
        </w:rPr>
        <w:t xml:space="preserve">M. </w:t>
      </w:r>
      <w:r w:rsidR="00977386" w:rsidRPr="00CA6837">
        <w:rPr>
          <w:rFonts w:ascii="Times New Roman" w:hAnsi="Times New Roman"/>
        </w:rPr>
        <w:t xml:space="preserve">Giles and </w:t>
      </w:r>
      <w:r w:rsidR="00A36DDC" w:rsidRPr="00CA6837">
        <w:rPr>
          <w:rFonts w:ascii="Times New Roman" w:hAnsi="Times New Roman"/>
        </w:rPr>
        <w:t xml:space="preserve">N. </w:t>
      </w:r>
      <w:r w:rsidR="00977386" w:rsidRPr="00CA6837">
        <w:rPr>
          <w:rFonts w:ascii="Times New Roman" w:hAnsi="Times New Roman"/>
        </w:rPr>
        <w:t xml:space="preserve">Wilkin, </w:t>
      </w:r>
      <w:r w:rsidR="00977386" w:rsidRPr="00CA6837">
        <w:rPr>
          <w:rFonts w:ascii="Times New Roman" w:hAnsi="Times New Roman"/>
          <w:i/>
          <w:iCs/>
        </w:rPr>
        <w:t>Grave goods: Objects and death in later prehistoric Britain</w:t>
      </w:r>
      <w:r w:rsidR="00977386" w:rsidRPr="00CA6837">
        <w:rPr>
          <w:rFonts w:ascii="Times New Roman" w:hAnsi="Times New Roman"/>
        </w:rPr>
        <w:t xml:space="preserve"> </w:t>
      </w:r>
      <w:r w:rsidR="00A36DDC" w:rsidRPr="00CA6837">
        <w:rPr>
          <w:rFonts w:ascii="Times New Roman" w:hAnsi="Times New Roman"/>
        </w:rPr>
        <w:t>(2022)</w:t>
      </w:r>
      <w:r w:rsidR="00977386" w:rsidRPr="00CA6837">
        <w:rPr>
          <w:rFonts w:ascii="Times New Roman" w:hAnsi="Times New Roman"/>
        </w:rPr>
        <w:t xml:space="preserve">, </w:t>
      </w:r>
      <w:r w:rsidR="00A36DDC" w:rsidRPr="00CA6837">
        <w:rPr>
          <w:rFonts w:ascii="Times New Roman" w:hAnsi="Times New Roman"/>
        </w:rPr>
        <w:t xml:space="preserve">pp. </w:t>
      </w:r>
      <w:r w:rsidRPr="00CA6837">
        <w:rPr>
          <w:rFonts w:ascii="Times New Roman" w:hAnsi="Times New Roman"/>
        </w:rPr>
        <w:t>120–1</w:t>
      </w:r>
      <w:r w:rsidR="00A36DDC" w:rsidRPr="00CA6837">
        <w:rPr>
          <w:rFonts w:ascii="Times New Roman" w:hAnsi="Times New Roman"/>
        </w:rPr>
        <w:t>.</w:t>
      </w:r>
    </w:p>
  </w:footnote>
  <w:footnote w:id="33">
    <w:p w14:paraId="1AC494E1" w14:textId="4563232B" w:rsidR="000F5B79" w:rsidRPr="00CA6837" w:rsidRDefault="000F5B79" w:rsidP="007F3393">
      <w:pPr>
        <w:pStyle w:val="FootnoteText"/>
        <w:ind w:left="0" w:firstLine="0"/>
        <w:rPr>
          <w:rFonts w:ascii="Times New Roman" w:hAnsi="Times New Roman"/>
          <w:lang w:val="en-US"/>
        </w:rPr>
      </w:pPr>
      <w:r w:rsidRPr="00CA6837">
        <w:rPr>
          <w:rStyle w:val="FootnoteReference"/>
          <w:rFonts w:ascii="Times New Roman" w:hAnsi="Times New Roman"/>
        </w:rPr>
        <w:footnoteRef/>
      </w:r>
      <w:r w:rsidRPr="00CA6837">
        <w:rPr>
          <w:rFonts w:ascii="Times New Roman" w:hAnsi="Times New Roman"/>
        </w:rPr>
        <w:t xml:space="preserve"> </w:t>
      </w:r>
      <w:r w:rsidR="00A36DDC" w:rsidRPr="00CA6837">
        <w:rPr>
          <w:rFonts w:ascii="Times New Roman" w:hAnsi="Times New Roman"/>
        </w:rPr>
        <w:t xml:space="preserve">C. </w:t>
      </w:r>
      <w:r w:rsidRPr="00CA6837">
        <w:rPr>
          <w:rFonts w:ascii="Times New Roman" w:hAnsi="Times New Roman"/>
        </w:rPr>
        <w:t>Collier</w:t>
      </w:r>
      <w:r w:rsidR="00A36DDC" w:rsidRPr="00CA6837">
        <w:rPr>
          <w:rFonts w:ascii="Times New Roman" w:hAnsi="Times New Roman"/>
        </w:rPr>
        <w:t>-Jones</w:t>
      </w:r>
      <w:r w:rsidR="00074339" w:rsidRPr="00CA6837">
        <w:rPr>
          <w:rFonts w:ascii="Times New Roman" w:hAnsi="Times New Roman"/>
        </w:rPr>
        <w:t>, ‘</w:t>
      </w:r>
      <w:r w:rsidR="00A36DDC" w:rsidRPr="00CA6837">
        <w:rPr>
          <w:rFonts w:ascii="Times New Roman" w:hAnsi="Times New Roman"/>
        </w:rPr>
        <w:t>W</w:t>
      </w:r>
      <w:r w:rsidR="00074339" w:rsidRPr="00CA6837">
        <w:rPr>
          <w:rFonts w:ascii="Times New Roman" w:hAnsi="Times New Roman"/>
        </w:rPr>
        <w:t xml:space="preserve">orked bone’ in </w:t>
      </w:r>
      <w:r w:rsidR="00A36DDC" w:rsidRPr="00CA6837">
        <w:rPr>
          <w:rFonts w:ascii="Times New Roman" w:hAnsi="Times New Roman"/>
        </w:rPr>
        <w:t>‘</w:t>
      </w:r>
      <w:r w:rsidR="00074339" w:rsidRPr="00CA6837">
        <w:rPr>
          <w:rFonts w:ascii="Times New Roman" w:hAnsi="Times New Roman"/>
        </w:rPr>
        <w:t>A40 Science Transit Phase 2 – Park and Ride, Eynsham</w:t>
      </w:r>
      <w:r w:rsidR="008B2D86">
        <w:rPr>
          <w:rFonts w:ascii="Times New Roman" w:hAnsi="Times New Roman"/>
        </w:rPr>
        <w:t xml:space="preserve"> (2023), 110–11</w:t>
      </w:r>
      <w:r w:rsidRPr="00CA6837">
        <w:rPr>
          <w:rFonts w:ascii="Times New Roman" w:hAnsi="Times New Roman"/>
        </w:rPr>
        <w:t>.</w:t>
      </w:r>
    </w:p>
  </w:footnote>
  <w:footnote w:id="34">
    <w:p w14:paraId="0F85889A" w14:textId="25202486" w:rsidR="000F5B79" w:rsidRPr="00CA6837" w:rsidRDefault="000F5B79" w:rsidP="007F3393">
      <w:pPr>
        <w:pStyle w:val="FootnoteText"/>
        <w:ind w:left="0" w:firstLine="0"/>
        <w:rPr>
          <w:rFonts w:ascii="Times New Roman" w:hAnsi="Times New Roman"/>
          <w:lang w:val="en-US"/>
        </w:rPr>
      </w:pPr>
      <w:r w:rsidRPr="00CA6837">
        <w:rPr>
          <w:rStyle w:val="FootnoteReference"/>
          <w:rFonts w:ascii="Times New Roman" w:hAnsi="Times New Roman"/>
        </w:rPr>
        <w:footnoteRef/>
      </w:r>
      <w:r w:rsidRPr="00CA6837">
        <w:rPr>
          <w:rFonts w:ascii="Times New Roman" w:hAnsi="Times New Roman"/>
        </w:rPr>
        <w:t xml:space="preserve"> </w:t>
      </w:r>
      <w:bookmarkStart w:id="73" w:name="_Hlk130820632"/>
      <w:r w:rsidR="00A36DDC" w:rsidRPr="00CA6837">
        <w:rPr>
          <w:rFonts w:ascii="Times New Roman" w:hAnsi="Times New Roman"/>
        </w:rPr>
        <w:t xml:space="preserve">M. </w:t>
      </w:r>
      <w:r w:rsidR="00074339" w:rsidRPr="00CA6837">
        <w:rPr>
          <w:rFonts w:ascii="Times New Roman" w:hAnsi="Times New Roman"/>
        </w:rPr>
        <w:t xml:space="preserve">Holmes, ‘King of the Birds! The changing role of white-tailed (Haliaeetus albicilla) and golden-eagles (Aquila </w:t>
      </w:r>
      <w:proofErr w:type="spellStart"/>
      <w:r w:rsidR="00074339" w:rsidRPr="00CA6837">
        <w:rPr>
          <w:rFonts w:ascii="Times New Roman" w:hAnsi="Times New Roman"/>
        </w:rPr>
        <w:t>chrysaetos</w:t>
      </w:r>
      <w:proofErr w:type="spellEnd"/>
      <w:r w:rsidR="00074339" w:rsidRPr="00CA6837">
        <w:rPr>
          <w:rFonts w:ascii="Times New Roman" w:hAnsi="Times New Roman"/>
        </w:rPr>
        <w:t xml:space="preserve">) in Britain’s past’, </w:t>
      </w:r>
      <w:proofErr w:type="spellStart"/>
      <w:r w:rsidR="00074339" w:rsidRPr="00CA6837">
        <w:rPr>
          <w:rFonts w:ascii="Times New Roman" w:hAnsi="Times New Roman"/>
          <w:i/>
          <w:iCs/>
        </w:rPr>
        <w:t>Archaeofauna</w:t>
      </w:r>
      <w:proofErr w:type="spellEnd"/>
      <w:r w:rsidR="00A36DDC" w:rsidRPr="00CA6837">
        <w:rPr>
          <w:rFonts w:ascii="Times New Roman" w:hAnsi="Times New Roman"/>
          <w:i/>
          <w:iCs/>
        </w:rPr>
        <w:t>,</w:t>
      </w:r>
      <w:r w:rsidR="00074339" w:rsidRPr="00CA6837">
        <w:rPr>
          <w:rFonts w:ascii="Times New Roman" w:hAnsi="Times New Roman"/>
        </w:rPr>
        <w:t xml:space="preserve"> 27</w:t>
      </w:r>
      <w:r w:rsidR="00A36DDC" w:rsidRPr="00CA6837">
        <w:rPr>
          <w:rFonts w:ascii="Times New Roman" w:hAnsi="Times New Roman"/>
        </w:rPr>
        <w:t xml:space="preserve"> (2018), pp. </w:t>
      </w:r>
      <w:r w:rsidR="00074339" w:rsidRPr="00CA6837">
        <w:rPr>
          <w:rFonts w:ascii="Times New Roman" w:hAnsi="Times New Roman"/>
        </w:rPr>
        <w:t>173–94</w:t>
      </w:r>
      <w:bookmarkEnd w:id="73"/>
      <w:r w:rsidR="00A36DDC" w:rsidRPr="00CA6837">
        <w:rPr>
          <w:rFonts w:ascii="Times New Roman" w:hAnsi="Times New Roman"/>
        </w:rPr>
        <w:t>.</w:t>
      </w:r>
    </w:p>
  </w:footnote>
  <w:footnote w:id="35">
    <w:p w14:paraId="6AD42C29" w14:textId="531752D4" w:rsidR="00950856" w:rsidRPr="00CA6837" w:rsidRDefault="00950856" w:rsidP="007F3393">
      <w:pPr>
        <w:pStyle w:val="FootnoteText"/>
        <w:ind w:left="0" w:firstLine="0"/>
        <w:rPr>
          <w:rFonts w:ascii="Times New Roman" w:hAnsi="Times New Roman"/>
          <w:lang w:val="en-US"/>
        </w:rPr>
      </w:pPr>
      <w:r w:rsidRPr="00CA6837">
        <w:rPr>
          <w:rStyle w:val="FootnoteReference"/>
          <w:rFonts w:ascii="Times New Roman" w:hAnsi="Times New Roman"/>
        </w:rPr>
        <w:footnoteRef/>
      </w:r>
      <w:r w:rsidRPr="00CA6837">
        <w:rPr>
          <w:rFonts w:ascii="Times New Roman" w:hAnsi="Times New Roman"/>
        </w:rPr>
        <w:t xml:space="preserve"> C.</w:t>
      </w:r>
      <w:r w:rsidR="008B2D86">
        <w:rPr>
          <w:rFonts w:ascii="Times New Roman" w:hAnsi="Times New Roman"/>
        </w:rPr>
        <w:t xml:space="preserve"> Smith,</w:t>
      </w:r>
      <w:r w:rsidRPr="00CA6837">
        <w:rPr>
          <w:rFonts w:ascii="Times New Roman" w:hAnsi="Times New Roman"/>
        </w:rPr>
        <w:t xml:space="preserve"> ‘Bird bone’, in M. Johnson and K. Cameron, </w:t>
      </w:r>
      <w:r w:rsidRPr="00CA6837">
        <w:rPr>
          <w:rFonts w:ascii="Times New Roman" w:hAnsi="Times New Roman"/>
          <w:i/>
          <w:iCs/>
        </w:rPr>
        <w:t>An Early Bronze Age unenclosed cremation cemetery and Mesolithic pit at Skilmafilly, near Maud, Aberdeenshire</w:t>
      </w:r>
      <w:r w:rsidRPr="00CA6837">
        <w:rPr>
          <w:rFonts w:ascii="Times New Roman" w:hAnsi="Times New Roman"/>
        </w:rPr>
        <w:t>, Scottish Archaeological Internet Report, 53 (2012).</w:t>
      </w:r>
    </w:p>
  </w:footnote>
  <w:footnote w:id="36">
    <w:p w14:paraId="62766D75" w14:textId="242064B0" w:rsidR="00F72364" w:rsidRPr="00CA6837" w:rsidRDefault="00F72364" w:rsidP="007F3393">
      <w:pPr>
        <w:pStyle w:val="FootnoteText"/>
        <w:ind w:left="0" w:firstLine="0"/>
        <w:rPr>
          <w:rFonts w:ascii="Times New Roman" w:hAnsi="Times New Roman"/>
          <w:lang w:val="en-US"/>
        </w:rPr>
      </w:pPr>
      <w:r w:rsidRPr="00CA6837">
        <w:rPr>
          <w:rStyle w:val="FootnoteReference"/>
          <w:rFonts w:ascii="Times New Roman" w:hAnsi="Times New Roman"/>
        </w:rPr>
        <w:footnoteRef/>
      </w:r>
      <w:r w:rsidRPr="00CA6837">
        <w:rPr>
          <w:rFonts w:ascii="Times New Roman" w:hAnsi="Times New Roman"/>
        </w:rPr>
        <w:t xml:space="preserve"> Holmes, ‘King of the Birds! pp. 178–9</w:t>
      </w:r>
      <w:r w:rsidR="008B2D86">
        <w:rPr>
          <w:rFonts w:ascii="Times New Roman" w:hAnsi="Times New Roman"/>
        </w:rPr>
        <w:t>4</w:t>
      </w:r>
      <w:r w:rsidRPr="00CA6837">
        <w:rPr>
          <w:rFonts w:ascii="Times New Roman" w:hAnsi="Times New Roman"/>
        </w:rPr>
        <w:t>, table 1.</w:t>
      </w:r>
    </w:p>
  </w:footnote>
  <w:footnote w:id="37">
    <w:p w14:paraId="0CA79918" w14:textId="3BA3765C" w:rsidR="006E33AC" w:rsidRPr="000F5B79" w:rsidRDefault="006E33AC" w:rsidP="007F3393">
      <w:pPr>
        <w:pStyle w:val="FootnoteText"/>
        <w:ind w:left="0" w:firstLine="0"/>
        <w:rPr>
          <w:lang w:val="en-US"/>
        </w:rPr>
      </w:pPr>
      <w:r w:rsidRPr="00CA6837">
        <w:rPr>
          <w:rStyle w:val="FootnoteReference"/>
          <w:rFonts w:ascii="Times New Roman" w:hAnsi="Times New Roman"/>
        </w:rPr>
        <w:footnoteRef/>
      </w:r>
      <w:r w:rsidRPr="00CA6837">
        <w:rPr>
          <w:rFonts w:ascii="Times New Roman" w:hAnsi="Times New Roman"/>
        </w:rPr>
        <w:t xml:space="preserve"> A. Locker, ‘Animal bone’, in A.J. Lawson, </w:t>
      </w:r>
      <w:proofErr w:type="spellStart"/>
      <w:r w:rsidRPr="00CA6837">
        <w:rPr>
          <w:rFonts w:ascii="Times New Roman" w:hAnsi="Times New Roman"/>
          <w:i/>
          <w:iCs/>
        </w:rPr>
        <w:t>Potterne</w:t>
      </w:r>
      <w:proofErr w:type="spellEnd"/>
      <w:r w:rsidRPr="00CA6837">
        <w:rPr>
          <w:rFonts w:ascii="Times New Roman" w:hAnsi="Times New Roman"/>
          <w:i/>
          <w:iCs/>
        </w:rPr>
        <w:t xml:space="preserve"> 1982–5: Animal husbandry in later prehistoric Wiltshire</w:t>
      </w:r>
      <w:r w:rsidRPr="00CA6837">
        <w:rPr>
          <w:rFonts w:ascii="Times New Roman" w:hAnsi="Times New Roman"/>
        </w:rPr>
        <w:t>, Wessex Archaeology Report, No. 17 (2000), pp. 101–18.</w:t>
      </w:r>
    </w:p>
  </w:footnote>
  <w:footnote w:id="38">
    <w:p w14:paraId="016E8441" w14:textId="11BEA57C" w:rsidR="000F5B79" w:rsidRPr="00912866" w:rsidRDefault="000F5B79" w:rsidP="007F3393">
      <w:pPr>
        <w:pStyle w:val="FootnoteText"/>
        <w:ind w:left="0" w:firstLine="0"/>
        <w:rPr>
          <w:rFonts w:ascii="Times New Roman" w:hAnsi="Times New Roman"/>
          <w:lang w:val="en-US"/>
        </w:rPr>
      </w:pPr>
      <w:r w:rsidRPr="00912866">
        <w:rPr>
          <w:rStyle w:val="FootnoteReference"/>
          <w:rFonts w:ascii="Times New Roman" w:hAnsi="Times New Roman"/>
        </w:rPr>
        <w:footnoteRef/>
      </w:r>
      <w:r w:rsidRPr="00912866">
        <w:rPr>
          <w:rFonts w:ascii="Times New Roman" w:hAnsi="Times New Roman"/>
        </w:rPr>
        <w:t xml:space="preserve"> </w:t>
      </w:r>
      <w:r w:rsidR="00CA6837" w:rsidRPr="00CA6837">
        <w:rPr>
          <w:rFonts w:ascii="Times New Roman" w:hAnsi="Times New Roman"/>
        </w:rPr>
        <w:t>Holmes, ‘King of the Birds! p</w:t>
      </w:r>
      <w:r w:rsidR="00CA6837">
        <w:rPr>
          <w:rFonts w:ascii="Times New Roman" w:hAnsi="Times New Roman"/>
        </w:rPr>
        <w:t xml:space="preserve">. </w:t>
      </w:r>
      <w:r w:rsidRPr="00912866">
        <w:rPr>
          <w:rFonts w:ascii="Times New Roman" w:hAnsi="Times New Roman"/>
        </w:rPr>
        <w:t>181.</w:t>
      </w:r>
    </w:p>
  </w:footnote>
  <w:footnote w:id="39">
    <w:p w14:paraId="4AC1F0E5" w14:textId="7F718F4F" w:rsidR="009F39CA" w:rsidRPr="00B65A57" w:rsidRDefault="009F39CA" w:rsidP="007F3393">
      <w:pPr>
        <w:pStyle w:val="FootnoteText"/>
        <w:ind w:left="0" w:firstLine="0"/>
        <w:rPr>
          <w:rFonts w:ascii="Times New Roman" w:hAnsi="Times New Roman"/>
          <w:lang w:val="en-US"/>
        </w:rPr>
      </w:pPr>
      <w:r w:rsidRPr="00B65A57">
        <w:rPr>
          <w:rStyle w:val="FootnoteReference"/>
          <w:rFonts w:ascii="Times New Roman" w:hAnsi="Times New Roman"/>
        </w:rPr>
        <w:footnoteRef/>
      </w:r>
      <w:r>
        <w:t xml:space="preserve"> </w:t>
      </w:r>
      <w:r w:rsidR="00B65A57" w:rsidRPr="00B65A57">
        <w:rPr>
          <w:rFonts w:ascii="Times New Roman" w:hAnsi="Times New Roman"/>
        </w:rPr>
        <w:t>‘</w:t>
      </w:r>
      <w:r w:rsidRPr="00B65A57">
        <w:rPr>
          <w:rFonts w:ascii="Times New Roman" w:hAnsi="Times New Roman"/>
        </w:rPr>
        <w:t>A40 Park &amp; Ride, Eynsham, Oxfordshire: Archaeological evaluation</w:t>
      </w:r>
      <w:r w:rsidR="00B65A57" w:rsidRPr="00B65A57">
        <w:rPr>
          <w:rFonts w:ascii="Times New Roman" w:hAnsi="Times New Roman"/>
        </w:rPr>
        <w:t>’</w:t>
      </w:r>
      <w:r w:rsidR="008B2D86" w:rsidRPr="00B65A57">
        <w:rPr>
          <w:rFonts w:ascii="Times New Roman" w:hAnsi="Times New Roman"/>
        </w:rPr>
        <w:t xml:space="preserve"> </w:t>
      </w:r>
      <w:r w:rsidR="008B2D86">
        <w:rPr>
          <w:rFonts w:ascii="Times New Roman" w:hAnsi="Times New Roman"/>
        </w:rPr>
        <w:t>(</w:t>
      </w:r>
      <w:r w:rsidR="00B65A57" w:rsidRPr="00B65A57">
        <w:rPr>
          <w:rFonts w:ascii="Times New Roman" w:hAnsi="Times New Roman"/>
        </w:rPr>
        <w:t>2019).</w:t>
      </w:r>
    </w:p>
  </w:footnote>
  <w:footnote w:id="40">
    <w:p w14:paraId="237FBC5A" w14:textId="486AA6E3"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B65A57" w:rsidRPr="007F3393">
        <w:rPr>
          <w:rFonts w:ascii="Times New Roman" w:hAnsi="Times New Roman"/>
        </w:rPr>
        <w:t xml:space="preserve">G. </w:t>
      </w:r>
      <w:r w:rsidR="00074339" w:rsidRPr="007F3393">
        <w:rPr>
          <w:rFonts w:ascii="Times New Roman" w:hAnsi="Times New Roman"/>
        </w:rPr>
        <w:t xml:space="preserve">Lambrick and </w:t>
      </w:r>
      <w:r w:rsidR="00B65A57" w:rsidRPr="007F3393">
        <w:rPr>
          <w:rFonts w:ascii="Times New Roman" w:hAnsi="Times New Roman"/>
        </w:rPr>
        <w:t xml:space="preserve">M. </w:t>
      </w:r>
      <w:r w:rsidR="00074339" w:rsidRPr="007F3393">
        <w:rPr>
          <w:rFonts w:ascii="Times New Roman" w:hAnsi="Times New Roman"/>
        </w:rPr>
        <w:t xml:space="preserve">Robinson, </w:t>
      </w:r>
      <w:r w:rsidR="00074339" w:rsidRPr="007F3393">
        <w:rPr>
          <w:rFonts w:ascii="Times New Roman" w:hAnsi="Times New Roman"/>
          <w:i/>
          <w:iCs/>
        </w:rPr>
        <w:t>The Thames through time: The archaeology of the gravel terraces of the Upper and Middle Thames</w:t>
      </w:r>
      <w:r w:rsidR="00B65A57" w:rsidRPr="007F3393">
        <w:rPr>
          <w:rFonts w:ascii="Times New Roman" w:hAnsi="Times New Roman"/>
        </w:rPr>
        <w:t xml:space="preserve">, </w:t>
      </w:r>
      <w:r w:rsidR="00074339" w:rsidRPr="007F3393">
        <w:rPr>
          <w:rFonts w:ascii="Times New Roman" w:hAnsi="Times New Roman"/>
        </w:rPr>
        <w:t>Thames Valley Landscapes Monograph</w:t>
      </w:r>
      <w:r w:rsidR="00B65A57" w:rsidRPr="007F3393">
        <w:rPr>
          <w:rFonts w:ascii="Times New Roman" w:hAnsi="Times New Roman"/>
        </w:rPr>
        <w:t>,</w:t>
      </w:r>
      <w:r w:rsidR="00074339" w:rsidRPr="007F3393">
        <w:rPr>
          <w:rFonts w:ascii="Times New Roman" w:hAnsi="Times New Roman"/>
        </w:rPr>
        <w:t xml:space="preserve"> 29</w:t>
      </w:r>
      <w:r w:rsidRPr="007F3393">
        <w:rPr>
          <w:rFonts w:ascii="Times New Roman" w:hAnsi="Times New Roman"/>
        </w:rPr>
        <w:t xml:space="preserve">, </w:t>
      </w:r>
      <w:r w:rsidR="00B65A57" w:rsidRPr="007F3393">
        <w:rPr>
          <w:rFonts w:ascii="Times New Roman" w:hAnsi="Times New Roman"/>
        </w:rPr>
        <w:t xml:space="preserve">(2009), p. </w:t>
      </w:r>
      <w:r w:rsidRPr="007F3393">
        <w:rPr>
          <w:rFonts w:ascii="Times New Roman" w:hAnsi="Times New Roman"/>
        </w:rPr>
        <w:t>96, fig. 4.4.</w:t>
      </w:r>
    </w:p>
  </w:footnote>
  <w:footnote w:id="41">
    <w:p w14:paraId="0EA0E6D7" w14:textId="276621A8"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B65A57" w:rsidRPr="007F3393">
        <w:rPr>
          <w:rFonts w:ascii="Times New Roman" w:hAnsi="Times New Roman"/>
        </w:rPr>
        <w:t>G</w:t>
      </w:r>
      <w:r w:rsidR="00E74BD3" w:rsidRPr="007F3393">
        <w:rPr>
          <w:rFonts w:ascii="Times New Roman" w:hAnsi="Times New Roman"/>
        </w:rPr>
        <w:t xml:space="preserve">. </w:t>
      </w:r>
      <w:r w:rsidR="00074339" w:rsidRPr="007F3393">
        <w:rPr>
          <w:rFonts w:ascii="Times New Roman" w:hAnsi="Times New Roman"/>
        </w:rPr>
        <w:t>Lambrick</w:t>
      </w:r>
      <w:r w:rsidR="00B65A57" w:rsidRPr="007F3393">
        <w:rPr>
          <w:rFonts w:ascii="Times New Roman" w:hAnsi="Times New Roman"/>
        </w:rPr>
        <w:t xml:space="preserve"> </w:t>
      </w:r>
      <w:r w:rsidR="00074339" w:rsidRPr="007F3393">
        <w:rPr>
          <w:rFonts w:ascii="Times New Roman" w:hAnsi="Times New Roman"/>
        </w:rPr>
        <w:t xml:space="preserve">and </w:t>
      </w:r>
      <w:r w:rsidR="00B65A57" w:rsidRPr="007F3393">
        <w:rPr>
          <w:rFonts w:ascii="Times New Roman" w:hAnsi="Times New Roman"/>
        </w:rPr>
        <w:t xml:space="preserve">T. </w:t>
      </w:r>
      <w:r w:rsidR="00074339" w:rsidRPr="007F3393">
        <w:rPr>
          <w:rFonts w:ascii="Times New Roman" w:hAnsi="Times New Roman"/>
        </w:rPr>
        <w:t>Allen</w:t>
      </w:r>
      <w:r w:rsidR="00B65A57" w:rsidRPr="007F3393">
        <w:rPr>
          <w:rFonts w:ascii="Times New Roman" w:hAnsi="Times New Roman"/>
        </w:rPr>
        <w:t>,</w:t>
      </w:r>
      <w:r w:rsidR="00074339" w:rsidRPr="007F3393">
        <w:rPr>
          <w:rFonts w:ascii="Times New Roman" w:hAnsi="Times New Roman"/>
        </w:rPr>
        <w:t xml:space="preserve"> </w:t>
      </w:r>
      <w:r w:rsidR="00074339" w:rsidRPr="007F3393">
        <w:rPr>
          <w:rFonts w:ascii="Times New Roman" w:hAnsi="Times New Roman"/>
          <w:i/>
          <w:iCs/>
        </w:rPr>
        <w:t>Gravelly Guy, Stanton Harcourt, Oxfordshire: The development of a prehistoric and Romano-British community</w:t>
      </w:r>
      <w:r w:rsidR="00B65A57" w:rsidRPr="007F3393">
        <w:rPr>
          <w:rFonts w:ascii="Times New Roman" w:hAnsi="Times New Roman"/>
        </w:rPr>
        <w:t>,</w:t>
      </w:r>
      <w:r w:rsidR="00074339" w:rsidRPr="007F3393">
        <w:rPr>
          <w:rFonts w:ascii="Times New Roman" w:hAnsi="Times New Roman"/>
        </w:rPr>
        <w:t xml:space="preserve"> Thames Valley Landscapes Monograph</w:t>
      </w:r>
      <w:r w:rsidR="00812BAD">
        <w:rPr>
          <w:rFonts w:ascii="Times New Roman" w:hAnsi="Times New Roman"/>
        </w:rPr>
        <w:t>,</w:t>
      </w:r>
      <w:r w:rsidR="00074339" w:rsidRPr="007F3393">
        <w:rPr>
          <w:rFonts w:ascii="Times New Roman" w:hAnsi="Times New Roman"/>
        </w:rPr>
        <w:t xml:space="preserve"> 21</w:t>
      </w:r>
      <w:r w:rsidR="00B65A57" w:rsidRPr="007F3393">
        <w:rPr>
          <w:rFonts w:ascii="Times New Roman" w:hAnsi="Times New Roman"/>
        </w:rPr>
        <w:t xml:space="preserve"> (2004).</w:t>
      </w:r>
    </w:p>
  </w:footnote>
  <w:footnote w:id="42">
    <w:p w14:paraId="60D1F51F" w14:textId="507E7C51"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B65A57" w:rsidRPr="007F3393">
        <w:rPr>
          <w:rFonts w:ascii="Times New Roman" w:hAnsi="Times New Roman"/>
        </w:rPr>
        <w:t xml:space="preserve">P. </w:t>
      </w:r>
      <w:r w:rsidR="00074339" w:rsidRPr="007F3393">
        <w:rPr>
          <w:rFonts w:ascii="Times New Roman" w:hAnsi="Times New Roman"/>
        </w:rPr>
        <w:t xml:space="preserve">Booth and </w:t>
      </w:r>
      <w:r w:rsidR="00B65A57" w:rsidRPr="007F3393">
        <w:rPr>
          <w:rFonts w:ascii="Times New Roman" w:hAnsi="Times New Roman"/>
        </w:rPr>
        <w:t xml:space="preserve">A. </w:t>
      </w:r>
      <w:r w:rsidR="00074339" w:rsidRPr="007F3393">
        <w:rPr>
          <w:rFonts w:ascii="Times New Roman" w:hAnsi="Times New Roman"/>
        </w:rPr>
        <w:t>Simmonds</w:t>
      </w:r>
      <w:r w:rsidR="00B65A57" w:rsidRPr="007F3393">
        <w:rPr>
          <w:rFonts w:ascii="Times New Roman" w:hAnsi="Times New Roman"/>
        </w:rPr>
        <w:t>,</w:t>
      </w:r>
      <w:r w:rsidR="00074339" w:rsidRPr="007F3393">
        <w:rPr>
          <w:rFonts w:ascii="Times New Roman" w:hAnsi="Times New Roman"/>
        </w:rPr>
        <w:t xml:space="preserve"> </w:t>
      </w:r>
      <w:r w:rsidR="00074339" w:rsidRPr="007F3393">
        <w:rPr>
          <w:rFonts w:ascii="Times New Roman" w:hAnsi="Times New Roman"/>
          <w:i/>
          <w:iCs/>
        </w:rPr>
        <w:t>Gill Mill: Later prehistoric landscape and a Roman nucleated settlement in the Lower Windrush Valley near Witney, Oxfordshire</w:t>
      </w:r>
      <w:r w:rsidR="00B65A57" w:rsidRPr="007F3393">
        <w:rPr>
          <w:rFonts w:ascii="Times New Roman" w:hAnsi="Times New Roman"/>
        </w:rPr>
        <w:t>,</w:t>
      </w:r>
      <w:r w:rsidR="00074339" w:rsidRPr="007F3393">
        <w:rPr>
          <w:rFonts w:ascii="Times New Roman" w:hAnsi="Times New Roman"/>
        </w:rPr>
        <w:t xml:space="preserve"> Thames Valley Landscapes Monograph</w:t>
      </w:r>
      <w:r w:rsidR="00B65A57" w:rsidRPr="007F3393">
        <w:rPr>
          <w:rFonts w:ascii="Times New Roman" w:hAnsi="Times New Roman"/>
        </w:rPr>
        <w:t>,</w:t>
      </w:r>
      <w:r w:rsidR="00074339" w:rsidRPr="007F3393">
        <w:rPr>
          <w:rFonts w:ascii="Times New Roman" w:hAnsi="Times New Roman"/>
        </w:rPr>
        <w:t xml:space="preserve"> 42</w:t>
      </w:r>
      <w:r w:rsidR="00B65A57" w:rsidRPr="007F3393">
        <w:rPr>
          <w:rFonts w:ascii="Times New Roman" w:hAnsi="Times New Roman"/>
        </w:rPr>
        <w:t xml:space="preserve"> (2018).</w:t>
      </w:r>
    </w:p>
  </w:footnote>
  <w:footnote w:id="43">
    <w:p w14:paraId="6957A949" w14:textId="63C82F1C"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B65A57" w:rsidRPr="007F3393">
        <w:rPr>
          <w:rFonts w:ascii="Times New Roman" w:hAnsi="Times New Roman"/>
        </w:rPr>
        <w:t xml:space="preserve">G. </w:t>
      </w:r>
      <w:r w:rsidR="00074339" w:rsidRPr="007F3393">
        <w:rPr>
          <w:rFonts w:ascii="Times New Roman" w:hAnsi="Times New Roman"/>
        </w:rPr>
        <w:t xml:space="preserve">Lambrick and </w:t>
      </w:r>
      <w:r w:rsidR="00B65A57" w:rsidRPr="007F3393">
        <w:rPr>
          <w:rFonts w:ascii="Times New Roman" w:hAnsi="Times New Roman"/>
        </w:rPr>
        <w:t xml:space="preserve">M. </w:t>
      </w:r>
      <w:r w:rsidR="00074339" w:rsidRPr="007F3393">
        <w:rPr>
          <w:rFonts w:ascii="Times New Roman" w:hAnsi="Times New Roman"/>
        </w:rPr>
        <w:t xml:space="preserve">Robinson, </w:t>
      </w:r>
      <w:r w:rsidR="00074339" w:rsidRPr="007F3393">
        <w:rPr>
          <w:rFonts w:ascii="Times New Roman" w:hAnsi="Times New Roman"/>
          <w:i/>
          <w:iCs/>
        </w:rPr>
        <w:t xml:space="preserve">Iron Age and Roman riverside settlements at </w:t>
      </w:r>
      <w:proofErr w:type="spellStart"/>
      <w:r w:rsidR="00074339" w:rsidRPr="007F3393">
        <w:rPr>
          <w:rFonts w:ascii="Times New Roman" w:hAnsi="Times New Roman"/>
          <w:i/>
          <w:iCs/>
        </w:rPr>
        <w:t>Farmoor</w:t>
      </w:r>
      <w:proofErr w:type="spellEnd"/>
      <w:r w:rsidR="00074339" w:rsidRPr="007F3393">
        <w:rPr>
          <w:rFonts w:ascii="Times New Roman" w:hAnsi="Times New Roman"/>
          <w:i/>
          <w:iCs/>
        </w:rPr>
        <w:t>, Oxfordshire</w:t>
      </w:r>
      <w:r w:rsidR="00B65A57" w:rsidRPr="007F3393">
        <w:rPr>
          <w:rFonts w:ascii="Times New Roman" w:hAnsi="Times New Roman"/>
        </w:rPr>
        <w:t>,</w:t>
      </w:r>
      <w:r w:rsidR="00074339" w:rsidRPr="007F3393">
        <w:rPr>
          <w:rFonts w:ascii="Times New Roman" w:hAnsi="Times New Roman"/>
        </w:rPr>
        <w:t xml:space="preserve"> CBA Research Report</w:t>
      </w:r>
      <w:r w:rsidR="00B65A57" w:rsidRPr="007F3393">
        <w:rPr>
          <w:rFonts w:ascii="Times New Roman" w:hAnsi="Times New Roman"/>
        </w:rPr>
        <w:t>,</w:t>
      </w:r>
      <w:r w:rsidR="00074339" w:rsidRPr="007F3393">
        <w:rPr>
          <w:rFonts w:ascii="Times New Roman" w:hAnsi="Times New Roman"/>
        </w:rPr>
        <w:t xml:space="preserve"> 32</w:t>
      </w:r>
      <w:r w:rsidR="00B65A57" w:rsidRPr="007F3393">
        <w:rPr>
          <w:rFonts w:ascii="Times New Roman" w:hAnsi="Times New Roman"/>
        </w:rPr>
        <w:t xml:space="preserve"> (1979).</w:t>
      </w:r>
    </w:p>
  </w:footnote>
  <w:footnote w:id="44">
    <w:p w14:paraId="2C55917E" w14:textId="234E3B84"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B65A57" w:rsidRPr="007F3393">
        <w:rPr>
          <w:rFonts w:ascii="Times New Roman" w:hAnsi="Times New Roman"/>
        </w:rPr>
        <w:t xml:space="preserve">G. </w:t>
      </w:r>
      <w:r w:rsidR="00074339" w:rsidRPr="007F3393">
        <w:rPr>
          <w:rFonts w:ascii="Times New Roman" w:hAnsi="Times New Roman"/>
        </w:rPr>
        <w:t>Hey</w:t>
      </w:r>
      <w:r w:rsidR="00736EB9">
        <w:rPr>
          <w:rFonts w:ascii="Times New Roman" w:hAnsi="Times New Roman"/>
        </w:rPr>
        <w:t xml:space="preserve"> et al.</w:t>
      </w:r>
      <w:r w:rsidR="00074339" w:rsidRPr="007F3393">
        <w:rPr>
          <w:rFonts w:ascii="Times New Roman" w:hAnsi="Times New Roman"/>
        </w:rPr>
        <w:t xml:space="preserve">, </w:t>
      </w:r>
      <w:r w:rsidR="00074339" w:rsidRPr="007F3393">
        <w:rPr>
          <w:rFonts w:ascii="Times New Roman" w:hAnsi="Times New Roman"/>
          <w:i/>
          <w:iCs/>
        </w:rPr>
        <w:t>The archaeology of the gravel terraces of the Upper and Middle Thames: Early prehistory to 1500 BC, Part 2 — Mesolithic to Early Bronze Age</w:t>
      </w:r>
      <w:r w:rsidR="00B65A57" w:rsidRPr="007F3393">
        <w:rPr>
          <w:rFonts w:ascii="Times New Roman" w:hAnsi="Times New Roman"/>
          <w:i/>
          <w:iCs/>
        </w:rPr>
        <w:t>,</w:t>
      </w:r>
      <w:r w:rsidR="00074339" w:rsidRPr="007F3393">
        <w:rPr>
          <w:rFonts w:ascii="Times New Roman" w:hAnsi="Times New Roman"/>
        </w:rPr>
        <w:t xml:space="preserve"> Thames Valley Landscapes Monograph</w:t>
      </w:r>
      <w:r w:rsidR="00B65A57" w:rsidRPr="007F3393">
        <w:rPr>
          <w:rFonts w:ascii="Times New Roman" w:hAnsi="Times New Roman"/>
        </w:rPr>
        <w:t>,</w:t>
      </w:r>
      <w:r w:rsidR="00074339" w:rsidRPr="007F3393">
        <w:rPr>
          <w:rFonts w:ascii="Times New Roman" w:hAnsi="Times New Roman"/>
        </w:rPr>
        <w:t xml:space="preserve"> 32</w:t>
      </w:r>
      <w:r w:rsidR="00B65A57" w:rsidRPr="007F3393">
        <w:rPr>
          <w:rFonts w:ascii="Times New Roman" w:hAnsi="Times New Roman"/>
        </w:rPr>
        <w:t xml:space="preserve"> (2011).</w:t>
      </w:r>
    </w:p>
  </w:footnote>
  <w:footnote w:id="45">
    <w:p w14:paraId="762E93B9" w14:textId="3491FBC8"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B65A57" w:rsidRPr="007F3393">
        <w:rPr>
          <w:rFonts w:ascii="Times New Roman" w:hAnsi="Times New Roman"/>
        </w:rPr>
        <w:t xml:space="preserve">M. </w:t>
      </w:r>
      <w:r w:rsidR="00074339" w:rsidRPr="007F3393">
        <w:rPr>
          <w:rFonts w:ascii="Times New Roman" w:hAnsi="Times New Roman"/>
        </w:rPr>
        <w:t xml:space="preserve">Robinson and </w:t>
      </w:r>
      <w:r w:rsidR="00B65A57" w:rsidRPr="007F3393">
        <w:rPr>
          <w:rFonts w:ascii="Times New Roman" w:hAnsi="Times New Roman"/>
        </w:rPr>
        <w:t xml:space="preserve">G. </w:t>
      </w:r>
      <w:r w:rsidR="00074339" w:rsidRPr="007F3393">
        <w:rPr>
          <w:rFonts w:ascii="Times New Roman" w:hAnsi="Times New Roman"/>
        </w:rPr>
        <w:t xml:space="preserve">Hey, ‘Chapter 2: Settlement and landscape’, in </w:t>
      </w:r>
      <w:r w:rsidR="00B65A57" w:rsidRPr="007F3393">
        <w:rPr>
          <w:rFonts w:ascii="Times New Roman" w:hAnsi="Times New Roman"/>
        </w:rPr>
        <w:t xml:space="preserve">G. </w:t>
      </w:r>
      <w:r w:rsidR="00074339" w:rsidRPr="007F3393">
        <w:rPr>
          <w:rFonts w:ascii="Times New Roman" w:hAnsi="Times New Roman"/>
        </w:rPr>
        <w:t>Hey</w:t>
      </w:r>
      <w:r w:rsidR="008B2D86" w:rsidRPr="007F3393">
        <w:rPr>
          <w:rFonts w:ascii="Times New Roman" w:hAnsi="Times New Roman"/>
        </w:rPr>
        <w:t xml:space="preserve"> et al.</w:t>
      </w:r>
      <w:r w:rsidR="00074339" w:rsidRPr="007F3393">
        <w:rPr>
          <w:rFonts w:ascii="Times New Roman" w:hAnsi="Times New Roman"/>
        </w:rPr>
        <w:t xml:space="preserve">, </w:t>
      </w:r>
      <w:r w:rsidR="00074339" w:rsidRPr="007F3393">
        <w:rPr>
          <w:rFonts w:ascii="Times New Roman" w:hAnsi="Times New Roman"/>
          <w:i/>
          <w:iCs/>
        </w:rPr>
        <w:t>The archaeology of the gravel terraces of the Upper and Middle Thames</w:t>
      </w:r>
      <w:r w:rsidR="009609D8" w:rsidRPr="007F3393">
        <w:rPr>
          <w:rFonts w:ascii="Times New Roman" w:hAnsi="Times New Roman"/>
          <w:i/>
          <w:iCs/>
        </w:rPr>
        <w:t>,</w:t>
      </w:r>
      <w:r w:rsidR="00074339" w:rsidRPr="007F3393">
        <w:rPr>
          <w:rFonts w:ascii="Times New Roman" w:hAnsi="Times New Roman"/>
        </w:rPr>
        <w:t xml:space="preserve"> </w:t>
      </w:r>
      <w:r w:rsidR="00B65A57" w:rsidRPr="007F3393">
        <w:rPr>
          <w:rFonts w:ascii="Times New Roman" w:hAnsi="Times New Roman"/>
        </w:rPr>
        <w:t xml:space="preserve">pp. </w:t>
      </w:r>
      <w:r w:rsidR="00074339" w:rsidRPr="007F3393">
        <w:rPr>
          <w:rFonts w:ascii="Times New Roman" w:hAnsi="Times New Roman"/>
        </w:rPr>
        <w:t>21–46</w:t>
      </w:r>
      <w:r w:rsidRPr="007F3393">
        <w:rPr>
          <w:rFonts w:ascii="Times New Roman" w:hAnsi="Times New Roman"/>
        </w:rPr>
        <w:t xml:space="preserve">; </w:t>
      </w:r>
      <w:r w:rsidR="00074339" w:rsidRPr="007F3393">
        <w:rPr>
          <w:rFonts w:ascii="Times New Roman" w:hAnsi="Times New Roman"/>
        </w:rPr>
        <w:t>Booth and</w:t>
      </w:r>
      <w:r w:rsidR="00B65A57" w:rsidRPr="007F3393">
        <w:rPr>
          <w:rFonts w:ascii="Times New Roman" w:hAnsi="Times New Roman"/>
        </w:rPr>
        <w:t xml:space="preserve"> </w:t>
      </w:r>
      <w:r w:rsidR="00074339" w:rsidRPr="007F3393">
        <w:rPr>
          <w:rFonts w:ascii="Times New Roman" w:hAnsi="Times New Roman"/>
        </w:rPr>
        <w:t xml:space="preserve">Simmonds, </w:t>
      </w:r>
      <w:r w:rsidR="00074339" w:rsidRPr="007F3393">
        <w:rPr>
          <w:rFonts w:ascii="Times New Roman" w:hAnsi="Times New Roman"/>
          <w:i/>
          <w:iCs/>
        </w:rPr>
        <w:t>Gill Mill</w:t>
      </w:r>
      <w:r w:rsidRPr="007F3393">
        <w:rPr>
          <w:rFonts w:ascii="Times New Roman" w:hAnsi="Times New Roman"/>
        </w:rPr>
        <w:t xml:space="preserve">, </w:t>
      </w:r>
      <w:r w:rsidR="00B65A57" w:rsidRPr="007F3393">
        <w:rPr>
          <w:rFonts w:ascii="Times New Roman" w:hAnsi="Times New Roman"/>
        </w:rPr>
        <w:t xml:space="preserve">pp. </w:t>
      </w:r>
      <w:r w:rsidRPr="007F3393">
        <w:rPr>
          <w:rFonts w:ascii="Times New Roman" w:hAnsi="Times New Roman"/>
        </w:rPr>
        <w:t>17–50.</w:t>
      </w:r>
    </w:p>
  </w:footnote>
  <w:footnote w:id="46">
    <w:p w14:paraId="3F74EEE7" w14:textId="14305ADD"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E74BD3" w:rsidRPr="007F3393">
        <w:rPr>
          <w:rFonts w:ascii="Times New Roman" w:hAnsi="Times New Roman"/>
        </w:rPr>
        <w:t xml:space="preserve">D. </w:t>
      </w:r>
      <w:r w:rsidR="00074339" w:rsidRPr="007F3393">
        <w:rPr>
          <w:rFonts w:ascii="Times New Roman" w:hAnsi="Times New Roman"/>
        </w:rPr>
        <w:t>Stansbie</w:t>
      </w:r>
      <w:r w:rsidR="00736EB9">
        <w:rPr>
          <w:rFonts w:ascii="Times New Roman" w:hAnsi="Times New Roman"/>
        </w:rPr>
        <w:t xml:space="preserve"> et al.</w:t>
      </w:r>
      <w:r w:rsidR="00074339" w:rsidRPr="007F3393">
        <w:rPr>
          <w:rFonts w:ascii="Times New Roman" w:hAnsi="Times New Roman"/>
        </w:rPr>
        <w:t xml:space="preserve">, ‘Chapter 3: Iron Age and Roman society at Yarnton’, in </w:t>
      </w:r>
      <w:r w:rsidR="00E74BD3" w:rsidRPr="007F3393">
        <w:rPr>
          <w:rFonts w:ascii="Times New Roman" w:hAnsi="Times New Roman"/>
        </w:rPr>
        <w:t>G. Hey</w:t>
      </w:r>
      <w:r w:rsidR="006A5A79" w:rsidRPr="007F3393">
        <w:rPr>
          <w:rFonts w:ascii="Times New Roman" w:hAnsi="Times New Roman"/>
        </w:rPr>
        <w:t xml:space="preserve"> et al.</w:t>
      </w:r>
      <w:r w:rsidR="00E74BD3" w:rsidRPr="007F3393">
        <w:rPr>
          <w:rFonts w:ascii="Times New Roman" w:hAnsi="Times New Roman"/>
        </w:rPr>
        <w:t xml:space="preserve">, </w:t>
      </w:r>
      <w:r w:rsidR="00E74BD3" w:rsidRPr="007F3393">
        <w:rPr>
          <w:rFonts w:ascii="Times New Roman" w:hAnsi="Times New Roman"/>
          <w:i/>
          <w:iCs/>
        </w:rPr>
        <w:t>Yarnton</w:t>
      </w:r>
      <w:r w:rsidR="006A5A79" w:rsidRPr="007F3393">
        <w:rPr>
          <w:rFonts w:ascii="Times New Roman" w:hAnsi="Times New Roman"/>
          <w:i/>
          <w:iCs/>
        </w:rPr>
        <w:t xml:space="preserve"> </w:t>
      </w:r>
      <w:r w:rsidR="00E74BD3" w:rsidRPr="007F3393">
        <w:rPr>
          <w:rFonts w:ascii="Times New Roman" w:hAnsi="Times New Roman"/>
        </w:rPr>
        <w:t xml:space="preserve">(2011), pp. </w:t>
      </w:r>
      <w:r w:rsidR="00074339" w:rsidRPr="007F3393">
        <w:rPr>
          <w:rFonts w:ascii="Times New Roman" w:hAnsi="Times New Roman"/>
        </w:rPr>
        <w:t>47–69</w:t>
      </w:r>
      <w:r w:rsidR="00E74BD3" w:rsidRPr="007F3393">
        <w:rPr>
          <w:rFonts w:ascii="Times New Roman" w:hAnsi="Times New Roman"/>
        </w:rPr>
        <w:t>.</w:t>
      </w:r>
    </w:p>
  </w:footnote>
  <w:footnote w:id="47">
    <w:p w14:paraId="61D9F62A" w14:textId="3BD9E423" w:rsidR="008C0131" w:rsidRPr="00451B27"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E74BD3" w:rsidRPr="007F3393">
        <w:rPr>
          <w:rFonts w:ascii="Times New Roman" w:hAnsi="Times New Roman"/>
        </w:rPr>
        <w:t xml:space="preserve">G. </w:t>
      </w:r>
      <w:r w:rsidR="00B72006" w:rsidRPr="007F3393">
        <w:rPr>
          <w:rFonts w:ascii="Times New Roman" w:hAnsi="Times New Roman"/>
        </w:rPr>
        <w:t xml:space="preserve">Lambrick and </w:t>
      </w:r>
      <w:r w:rsidR="00E74BD3" w:rsidRPr="007F3393">
        <w:rPr>
          <w:rFonts w:ascii="Times New Roman" w:hAnsi="Times New Roman"/>
        </w:rPr>
        <w:t xml:space="preserve">A. </w:t>
      </w:r>
      <w:r w:rsidR="00B72006" w:rsidRPr="007F3393">
        <w:rPr>
          <w:rFonts w:ascii="Times New Roman" w:hAnsi="Times New Roman"/>
        </w:rPr>
        <w:t>Barclay, ‘Chapter 3: Early and Middle Iron Age occupation’, in Lambrick</w:t>
      </w:r>
      <w:r w:rsidR="00E74BD3" w:rsidRPr="007F3393">
        <w:rPr>
          <w:rFonts w:ascii="Times New Roman" w:hAnsi="Times New Roman"/>
        </w:rPr>
        <w:t xml:space="preserve"> </w:t>
      </w:r>
      <w:r w:rsidR="00B72006" w:rsidRPr="007F3393">
        <w:rPr>
          <w:rFonts w:ascii="Times New Roman" w:hAnsi="Times New Roman"/>
        </w:rPr>
        <w:t xml:space="preserve">and Allen, </w:t>
      </w:r>
      <w:r w:rsidR="00B72006" w:rsidRPr="007F3393">
        <w:rPr>
          <w:rFonts w:ascii="Times New Roman" w:hAnsi="Times New Roman"/>
          <w:i/>
          <w:iCs/>
        </w:rPr>
        <w:t>Gravelly Guy</w:t>
      </w:r>
      <w:r w:rsidR="00E74BD3" w:rsidRPr="007F3393">
        <w:rPr>
          <w:rFonts w:ascii="Times New Roman" w:hAnsi="Times New Roman"/>
        </w:rPr>
        <w:t>, pp.</w:t>
      </w:r>
      <w:r w:rsidR="00B72006" w:rsidRPr="007F3393">
        <w:rPr>
          <w:rFonts w:ascii="Times New Roman" w:hAnsi="Times New Roman"/>
        </w:rPr>
        <w:t xml:space="preserve"> 103–159</w:t>
      </w:r>
      <w:r w:rsidR="00E74BD3" w:rsidRPr="007F3393">
        <w:rPr>
          <w:rFonts w:ascii="Times New Roman" w:hAnsi="Times New Roman"/>
        </w:rPr>
        <w:t>.</w:t>
      </w:r>
    </w:p>
  </w:footnote>
  <w:footnote w:id="48">
    <w:p w14:paraId="4C8C6488" w14:textId="71E7BD24"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E74BD3" w:rsidRPr="007F3393">
        <w:rPr>
          <w:rFonts w:ascii="Times New Roman" w:hAnsi="Times New Roman"/>
        </w:rPr>
        <w:t xml:space="preserve">C. </w:t>
      </w:r>
      <w:r w:rsidR="00B72006" w:rsidRPr="007F3393">
        <w:rPr>
          <w:rFonts w:ascii="Times New Roman" w:hAnsi="Times New Roman"/>
        </w:rPr>
        <w:t xml:space="preserve">Bell and </w:t>
      </w:r>
      <w:r w:rsidR="00E74BD3" w:rsidRPr="007F3393">
        <w:rPr>
          <w:rFonts w:ascii="Times New Roman" w:hAnsi="Times New Roman"/>
        </w:rPr>
        <w:t xml:space="preserve">D. </w:t>
      </w:r>
      <w:r w:rsidR="00B72006" w:rsidRPr="007F3393">
        <w:rPr>
          <w:rFonts w:ascii="Times New Roman" w:hAnsi="Times New Roman"/>
        </w:rPr>
        <w:t xml:space="preserve">Stansbie, ‘Chapter 6: The Middle Iron Age’, in </w:t>
      </w:r>
      <w:bookmarkStart w:id="76" w:name="_Hlk130996471"/>
      <w:r w:rsidR="00E74BD3" w:rsidRPr="007F3393">
        <w:rPr>
          <w:rFonts w:ascii="Times New Roman" w:hAnsi="Times New Roman"/>
        </w:rPr>
        <w:t xml:space="preserve">G. </w:t>
      </w:r>
      <w:r w:rsidR="00B72006" w:rsidRPr="007F3393">
        <w:rPr>
          <w:rFonts w:ascii="Times New Roman" w:hAnsi="Times New Roman"/>
        </w:rPr>
        <w:t>Hey</w:t>
      </w:r>
      <w:r w:rsidR="00C868F1" w:rsidRPr="007F3393">
        <w:rPr>
          <w:rFonts w:ascii="Times New Roman" w:hAnsi="Times New Roman"/>
        </w:rPr>
        <w:t xml:space="preserve"> et al.,</w:t>
      </w:r>
      <w:r w:rsidR="00414034" w:rsidRPr="007F3393">
        <w:rPr>
          <w:rFonts w:ascii="Times New Roman" w:hAnsi="Times New Roman"/>
        </w:rPr>
        <w:t xml:space="preserve"> </w:t>
      </w:r>
      <w:r w:rsidR="00414034" w:rsidRPr="007F3393">
        <w:rPr>
          <w:rFonts w:ascii="Times New Roman" w:hAnsi="Times New Roman"/>
          <w:i/>
          <w:iCs/>
        </w:rPr>
        <w:t>Yarnton</w:t>
      </w:r>
      <w:r w:rsidR="006A5A79" w:rsidRPr="007F3393">
        <w:rPr>
          <w:rFonts w:ascii="Times New Roman" w:hAnsi="Times New Roman"/>
          <w:i/>
          <w:iCs/>
        </w:rPr>
        <w:t xml:space="preserve"> </w:t>
      </w:r>
      <w:r w:rsidR="00E74BD3" w:rsidRPr="007F3393">
        <w:rPr>
          <w:rFonts w:ascii="Times New Roman" w:hAnsi="Times New Roman"/>
        </w:rPr>
        <w:t xml:space="preserve">(2011), </w:t>
      </w:r>
      <w:bookmarkEnd w:id="76"/>
      <w:r w:rsidR="00E74BD3" w:rsidRPr="007F3393">
        <w:rPr>
          <w:rFonts w:ascii="Times New Roman" w:hAnsi="Times New Roman"/>
        </w:rPr>
        <w:t>pp.</w:t>
      </w:r>
      <w:r w:rsidR="00B72006" w:rsidRPr="007F3393">
        <w:rPr>
          <w:rFonts w:ascii="Times New Roman" w:hAnsi="Times New Roman"/>
        </w:rPr>
        <w:t xml:space="preserve"> 141–188</w:t>
      </w:r>
      <w:r w:rsidRPr="007F3393">
        <w:rPr>
          <w:rFonts w:ascii="Times New Roman" w:hAnsi="Times New Roman"/>
        </w:rPr>
        <w:t>.</w:t>
      </w:r>
    </w:p>
  </w:footnote>
  <w:footnote w:id="49">
    <w:p w14:paraId="150C4A7D" w14:textId="09006B50"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B72006" w:rsidRPr="007F3393">
        <w:rPr>
          <w:rFonts w:ascii="Times New Roman" w:hAnsi="Times New Roman"/>
        </w:rPr>
        <w:t xml:space="preserve">Lambrick and Robinson, </w:t>
      </w:r>
      <w:r w:rsidR="00B72006" w:rsidRPr="007F3393">
        <w:rPr>
          <w:rFonts w:ascii="Times New Roman" w:hAnsi="Times New Roman"/>
          <w:i/>
          <w:iCs/>
        </w:rPr>
        <w:t>The Thames through time</w:t>
      </w:r>
      <w:r w:rsidRPr="007F3393">
        <w:rPr>
          <w:rFonts w:ascii="Times New Roman" w:hAnsi="Times New Roman"/>
        </w:rPr>
        <w:t xml:space="preserve">, </w:t>
      </w:r>
      <w:r w:rsidR="00E74BD3" w:rsidRPr="007F3393">
        <w:rPr>
          <w:rFonts w:ascii="Times New Roman" w:hAnsi="Times New Roman"/>
        </w:rPr>
        <w:t xml:space="preserve">pp. </w:t>
      </w:r>
      <w:r w:rsidRPr="007F3393">
        <w:rPr>
          <w:rFonts w:ascii="Times New Roman" w:hAnsi="Times New Roman"/>
        </w:rPr>
        <w:t>142–3.</w:t>
      </w:r>
    </w:p>
  </w:footnote>
  <w:footnote w:id="50">
    <w:p w14:paraId="576C4609" w14:textId="3305980E" w:rsidR="008C0131" w:rsidRPr="007F3393" w:rsidRDefault="008C0131" w:rsidP="007F3393">
      <w:pPr>
        <w:pStyle w:val="FootnoteText"/>
        <w:ind w:left="0" w:firstLine="0"/>
        <w:rPr>
          <w:rFonts w:ascii="Times New Roman" w:hAnsi="Times New Roman"/>
        </w:rPr>
      </w:pPr>
      <w:r w:rsidRPr="007F3393">
        <w:rPr>
          <w:rStyle w:val="FootnoteReference"/>
          <w:rFonts w:ascii="Times New Roman" w:hAnsi="Times New Roman"/>
        </w:rPr>
        <w:footnoteRef/>
      </w:r>
      <w:r w:rsidRPr="007F3393">
        <w:rPr>
          <w:rFonts w:ascii="Times New Roman" w:hAnsi="Times New Roman"/>
        </w:rPr>
        <w:t xml:space="preserve"> </w:t>
      </w:r>
      <w:r w:rsidR="00E74BD3" w:rsidRPr="007F3393">
        <w:rPr>
          <w:rFonts w:ascii="Times New Roman" w:hAnsi="Times New Roman"/>
        </w:rPr>
        <w:t xml:space="preserve">R. </w:t>
      </w:r>
      <w:r w:rsidR="00B72006" w:rsidRPr="007F3393">
        <w:rPr>
          <w:rFonts w:ascii="Times New Roman" w:hAnsi="Times New Roman"/>
        </w:rPr>
        <w:t xml:space="preserve">Pope, ‘Ritual and the roundhouse: A critique of recent ideas on the use of domestic space in later British prehistory’, in </w:t>
      </w:r>
      <w:r w:rsidR="00E74BD3" w:rsidRPr="007F3393">
        <w:rPr>
          <w:rFonts w:ascii="Times New Roman" w:hAnsi="Times New Roman"/>
        </w:rPr>
        <w:t xml:space="preserve">CC. </w:t>
      </w:r>
      <w:proofErr w:type="spellStart"/>
      <w:r w:rsidR="00B72006" w:rsidRPr="007F3393">
        <w:rPr>
          <w:rFonts w:ascii="Times New Roman" w:hAnsi="Times New Roman"/>
        </w:rPr>
        <w:t>Haselgrove</w:t>
      </w:r>
      <w:proofErr w:type="spellEnd"/>
      <w:r w:rsidR="00B72006" w:rsidRPr="007F3393">
        <w:rPr>
          <w:rFonts w:ascii="Times New Roman" w:hAnsi="Times New Roman"/>
        </w:rPr>
        <w:t xml:space="preserve"> and </w:t>
      </w:r>
      <w:r w:rsidR="00E74BD3" w:rsidRPr="007F3393">
        <w:rPr>
          <w:rFonts w:ascii="Times New Roman" w:hAnsi="Times New Roman"/>
        </w:rPr>
        <w:t xml:space="preserve">R.E. </w:t>
      </w:r>
      <w:r w:rsidR="00B72006" w:rsidRPr="007F3393">
        <w:rPr>
          <w:rFonts w:ascii="Times New Roman" w:hAnsi="Times New Roman"/>
        </w:rPr>
        <w:t xml:space="preserve">Pope, </w:t>
      </w:r>
      <w:r w:rsidR="00B72006" w:rsidRPr="007F3393">
        <w:rPr>
          <w:rFonts w:ascii="Times New Roman" w:hAnsi="Times New Roman"/>
          <w:i/>
          <w:iCs/>
        </w:rPr>
        <w:t>Earlier Iron Age in Britain and the near Continent</w:t>
      </w:r>
      <w:r w:rsidR="00E74BD3" w:rsidRPr="007F3393">
        <w:rPr>
          <w:rFonts w:ascii="Times New Roman" w:hAnsi="Times New Roman"/>
        </w:rPr>
        <w:t xml:space="preserve">, (2007), pp. </w:t>
      </w:r>
      <w:r w:rsidR="00B72006" w:rsidRPr="007F3393">
        <w:rPr>
          <w:rFonts w:ascii="Times New Roman" w:hAnsi="Times New Roman"/>
        </w:rPr>
        <w:t>204–28</w:t>
      </w:r>
    </w:p>
  </w:footnote>
  <w:footnote w:id="51">
    <w:p w14:paraId="6095878E" w14:textId="775C0BB4"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ibid. </w:t>
      </w:r>
      <w:r w:rsidR="00E74BD3" w:rsidRPr="007F3393">
        <w:rPr>
          <w:rFonts w:ascii="Times New Roman" w:hAnsi="Times New Roman"/>
        </w:rPr>
        <w:t xml:space="preserve">p. </w:t>
      </w:r>
      <w:r w:rsidRPr="007F3393">
        <w:rPr>
          <w:rFonts w:ascii="Times New Roman" w:hAnsi="Times New Roman"/>
        </w:rPr>
        <w:t>205.</w:t>
      </w:r>
      <w:r w:rsidR="00E74BD3" w:rsidRPr="007F3393">
        <w:rPr>
          <w:rFonts w:ascii="Times New Roman" w:hAnsi="Times New Roman"/>
        </w:rPr>
        <w:t xml:space="preserve"> </w:t>
      </w:r>
    </w:p>
  </w:footnote>
  <w:footnote w:id="52">
    <w:p w14:paraId="29CAF19B" w14:textId="2D0D9034" w:rsidR="00E014A8" w:rsidRPr="00E014A8" w:rsidRDefault="00E014A8" w:rsidP="00E014A8">
      <w:pPr>
        <w:pStyle w:val="FootnoteText"/>
        <w:rPr>
          <w:rFonts w:ascii="Times New Roman" w:hAnsi="Times New Roman"/>
        </w:rPr>
      </w:pPr>
      <w:r w:rsidRPr="00E014A8">
        <w:rPr>
          <w:rStyle w:val="FootnoteReference"/>
          <w:rFonts w:ascii="Times New Roman" w:hAnsi="Times New Roman"/>
        </w:rPr>
        <w:footnoteRef/>
      </w:r>
      <w:r w:rsidRPr="00E014A8">
        <w:rPr>
          <w:rFonts w:ascii="Times New Roman" w:hAnsi="Times New Roman"/>
        </w:rPr>
        <w:t xml:space="preserve"> </w:t>
      </w:r>
      <w:r>
        <w:rPr>
          <w:rFonts w:ascii="Times New Roman" w:hAnsi="Times New Roman"/>
        </w:rPr>
        <w:t xml:space="preserve">C. </w:t>
      </w:r>
      <w:r w:rsidRPr="00E014A8">
        <w:rPr>
          <w:rFonts w:ascii="Times New Roman" w:hAnsi="Times New Roman"/>
        </w:rPr>
        <w:t xml:space="preserve">Bell and </w:t>
      </w:r>
      <w:r>
        <w:rPr>
          <w:rFonts w:ascii="Times New Roman" w:hAnsi="Times New Roman"/>
        </w:rPr>
        <w:t xml:space="preserve">D. </w:t>
      </w:r>
      <w:r w:rsidRPr="00E014A8">
        <w:rPr>
          <w:rFonts w:ascii="Times New Roman" w:hAnsi="Times New Roman"/>
        </w:rPr>
        <w:t>Stansbie</w:t>
      </w:r>
      <w:r>
        <w:rPr>
          <w:rFonts w:ascii="Times New Roman" w:hAnsi="Times New Roman"/>
        </w:rPr>
        <w:t>,</w:t>
      </w:r>
      <w:r w:rsidRPr="00E014A8">
        <w:rPr>
          <w:rFonts w:ascii="Times New Roman" w:hAnsi="Times New Roman"/>
        </w:rPr>
        <w:t xml:space="preserve"> ‘Chapter 6: The Middle Iron Age’, in G. Hey et al., </w:t>
      </w:r>
      <w:r w:rsidRPr="00E014A8">
        <w:rPr>
          <w:rFonts w:ascii="Times New Roman" w:hAnsi="Times New Roman"/>
          <w:i/>
          <w:iCs/>
        </w:rPr>
        <w:t>Yarnton</w:t>
      </w:r>
      <w:r w:rsidRPr="00E014A8">
        <w:rPr>
          <w:rFonts w:ascii="Times New Roman" w:hAnsi="Times New Roman"/>
        </w:rPr>
        <w:t xml:space="preserve"> (2011), pp. 141–188.</w:t>
      </w:r>
    </w:p>
  </w:footnote>
  <w:footnote w:id="53">
    <w:p w14:paraId="40F4B1F2" w14:textId="70217EE7"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r w:rsidR="00B72006" w:rsidRPr="007F3393">
        <w:rPr>
          <w:rFonts w:ascii="Times New Roman" w:hAnsi="Times New Roman"/>
        </w:rPr>
        <w:t xml:space="preserve">Lambrick and Robinson, </w:t>
      </w:r>
      <w:r w:rsidR="00B72006" w:rsidRPr="007F3393">
        <w:rPr>
          <w:rFonts w:ascii="Times New Roman" w:hAnsi="Times New Roman"/>
          <w:i/>
          <w:iCs/>
        </w:rPr>
        <w:t xml:space="preserve">Iron Age and Roman riverside settlements at </w:t>
      </w:r>
      <w:proofErr w:type="spellStart"/>
      <w:r w:rsidR="00B72006" w:rsidRPr="007F3393">
        <w:rPr>
          <w:rFonts w:ascii="Times New Roman" w:hAnsi="Times New Roman"/>
          <w:i/>
          <w:iCs/>
        </w:rPr>
        <w:t>Farmoor</w:t>
      </w:r>
      <w:proofErr w:type="spellEnd"/>
      <w:r w:rsidRPr="007F3393">
        <w:rPr>
          <w:rFonts w:ascii="Times New Roman" w:hAnsi="Times New Roman"/>
        </w:rPr>
        <w:t xml:space="preserve">, </w:t>
      </w:r>
      <w:r w:rsidR="00414034" w:rsidRPr="007F3393">
        <w:rPr>
          <w:rFonts w:ascii="Times New Roman" w:hAnsi="Times New Roman"/>
        </w:rPr>
        <w:t xml:space="preserve">pp. </w:t>
      </w:r>
      <w:r w:rsidRPr="007F3393">
        <w:rPr>
          <w:rFonts w:ascii="Times New Roman" w:hAnsi="Times New Roman"/>
        </w:rPr>
        <w:t>66–8, fig. 35</w:t>
      </w:r>
      <w:r w:rsidR="00414034" w:rsidRPr="007F3393">
        <w:rPr>
          <w:rFonts w:ascii="Times New Roman" w:hAnsi="Times New Roman"/>
        </w:rPr>
        <w:t>.</w:t>
      </w:r>
    </w:p>
  </w:footnote>
  <w:footnote w:id="54">
    <w:p w14:paraId="26DBC820" w14:textId="09B6DACA" w:rsidR="008C0131" w:rsidRPr="007F3393"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Pr="007F3393">
        <w:rPr>
          <w:rFonts w:ascii="Times New Roman" w:hAnsi="Times New Roman"/>
        </w:rPr>
        <w:t xml:space="preserve"> </w:t>
      </w:r>
      <w:bookmarkStart w:id="77" w:name="_Hlk130994542"/>
      <w:r w:rsidR="00414034" w:rsidRPr="007F3393">
        <w:rPr>
          <w:rFonts w:ascii="Times New Roman" w:hAnsi="Times New Roman"/>
        </w:rPr>
        <w:t>Bell and Stansbie, ‘Chapter 6: The Middle Iron Age’, in G. Hey</w:t>
      </w:r>
      <w:r w:rsidR="0036413E" w:rsidRPr="007F3393">
        <w:rPr>
          <w:rFonts w:ascii="Times New Roman" w:hAnsi="Times New Roman"/>
        </w:rPr>
        <w:t xml:space="preserve"> et al.</w:t>
      </w:r>
      <w:r w:rsidR="00414034" w:rsidRPr="007F3393">
        <w:rPr>
          <w:rFonts w:ascii="Times New Roman" w:hAnsi="Times New Roman"/>
        </w:rPr>
        <w:t xml:space="preserve">, </w:t>
      </w:r>
      <w:r w:rsidR="00414034" w:rsidRPr="007F3393">
        <w:rPr>
          <w:rFonts w:ascii="Times New Roman" w:hAnsi="Times New Roman"/>
          <w:i/>
          <w:iCs/>
        </w:rPr>
        <w:t>Yarnton</w:t>
      </w:r>
      <w:r w:rsidR="00414034" w:rsidRPr="007F3393">
        <w:rPr>
          <w:rFonts w:ascii="Times New Roman" w:hAnsi="Times New Roman"/>
        </w:rPr>
        <w:t xml:space="preserve">, p. </w:t>
      </w:r>
      <w:r w:rsidRPr="007F3393">
        <w:rPr>
          <w:rFonts w:ascii="Times New Roman" w:hAnsi="Times New Roman"/>
        </w:rPr>
        <w:t>144, fig. 107.</w:t>
      </w:r>
      <w:bookmarkEnd w:id="77"/>
    </w:p>
  </w:footnote>
  <w:footnote w:id="55">
    <w:p w14:paraId="12439837" w14:textId="7C891C0A" w:rsidR="008C0131" w:rsidRPr="005C63B7" w:rsidRDefault="008C0131" w:rsidP="007F3393">
      <w:pPr>
        <w:pStyle w:val="FootnoteText"/>
        <w:ind w:left="0" w:firstLine="0"/>
        <w:rPr>
          <w:rFonts w:ascii="Times New Roman" w:hAnsi="Times New Roman"/>
          <w:lang w:val="en-US"/>
        </w:rPr>
      </w:pPr>
      <w:r w:rsidRPr="007F3393">
        <w:rPr>
          <w:rStyle w:val="FootnoteReference"/>
          <w:rFonts w:ascii="Times New Roman" w:hAnsi="Times New Roman"/>
        </w:rPr>
        <w:footnoteRef/>
      </w:r>
      <w:r w:rsidR="0036413E" w:rsidRPr="007F3393">
        <w:rPr>
          <w:rFonts w:ascii="Times New Roman" w:hAnsi="Times New Roman"/>
        </w:rPr>
        <w:t xml:space="preserve"> </w:t>
      </w:r>
      <w:r w:rsidR="00B72006" w:rsidRPr="007F3393">
        <w:rPr>
          <w:rFonts w:ascii="Times New Roman" w:hAnsi="Times New Roman"/>
        </w:rPr>
        <w:t xml:space="preserve">Lambrick and Robinson, </w:t>
      </w:r>
      <w:r w:rsidR="00B72006" w:rsidRPr="007F3393">
        <w:rPr>
          <w:rFonts w:ascii="Times New Roman" w:hAnsi="Times New Roman"/>
          <w:i/>
          <w:iCs/>
        </w:rPr>
        <w:t>The Thames through time</w:t>
      </w:r>
      <w:r w:rsidRPr="007F3393">
        <w:rPr>
          <w:rFonts w:ascii="Times New Roman" w:hAnsi="Times New Roman"/>
        </w:rPr>
        <w:t xml:space="preserve">, </w:t>
      </w:r>
      <w:r w:rsidR="005C63B7" w:rsidRPr="007F3393">
        <w:rPr>
          <w:rFonts w:ascii="Times New Roman" w:hAnsi="Times New Roman"/>
        </w:rPr>
        <w:t xml:space="preserve">p. </w:t>
      </w:r>
      <w:r w:rsidRPr="007F3393">
        <w:rPr>
          <w:rFonts w:ascii="Times New Roman" w:hAnsi="Times New Roman"/>
        </w:rPr>
        <w:t>150, fig. 5.9</w:t>
      </w:r>
      <w:r w:rsidR="005C63B7" w:rsidRPr="007F3393">
        <w:rPr>
          <w:rFonts w:ascii="Times New Roman" w:hAnsi="Times New Roman"/>
        </w:rPr>
        <w:t>.</w:t>
      </w:r>
    </w:p>
  </w:footnote>
  <w:footnote w:id="56">
    <w:p w14:paraId="2ADE2746" w14:textId="3B57E087" w:rsidR="008C0131" w:rsidRPr="005C63B7" w:rsidRDefault="008C0131" w:rsidP="009609D8">
      <w:pPr>
        <w:pStyle w:val="FootnoteText"/>
        <w:ind w:left="0" w:firstLine="0"/>
        <w:rPr>
          <w:rFonts w:ascii="Times New Roman" w:hAnsi="Times New Roman"/>
          <w:lang w:val="en-US"/>
        </w:rPr>
      </w:pPr>
      <w:r w:rsidRPr="005C63B7">
        <w:rPr>
          <w:rStyle w:val="FootnoteReference"/>
          <w:rFonts w:ascii="Times New Roman" w:hAnsi="Times New Roman"/>
        </w:rPr>
        <w:footnoteRef/>
      </w:r>
      <w:r w:rsidRPr="005C63B7">
        <w:rPr>
          <w:rFonts w:ascii="Times New Roman" w:hAnsi="Times New Roman"/>
        </w:rPr>
        <w:t xml:space="preserve"> </w:t>
      </w:r>
      <w:r w:rsidR="005C63B7" w:rsidRPr="005C63B7">
        <w:rPr>
          <w:rFonts w:ascii="Times New Roman" w:hAnsi="Times New Roman"/>
        </w:rPr>
        <w:t xml:space="preserve">L. </w:t>
      </w:r>
      <w:r w:rsidR="00B72006" w:rsidRPr="005C63B7">
        <w:rPr>
          <w:rFonts w:ascii="Times New Roman" w:hAnsi="Times New Roman"/>
        </w:rPr>
        <w:t xml:space="preserve">Brown and </w:t>
      </w:r>
      <w:r w:rsidR="005C63B7" w:rsidRPr="005C63B7">
        <w:rPr>
          <w:rFonts w:ascii="Times New Roman" w:hAnsi="Times New Roman"/>
        </w:rPr>
        <w:t xml:space="preserve">A. </w:t>
      </w:r>
      <w:r w:rsidR="00B72006" w:rsidRPr="005C63B7">
        <w:rPr>
          <w:rFonts w:ascii="Times New Roman" w:hAnsi="Times New Roman"/>
        </w:rPr>
        <w:t xml:space="preserve">Smith, ‘Chapter 4: The development of the agricultural landscape from the Middle Iron Age to the end of the Roman period (c. 400 BC–4th century AD)’, in </w:t>
      </w:r>
      <w:r w:rsidR="005C63B7" w:rsidRPr="005C63B7">
        <w:rPr>
          <w:rFonts w:ascii="Times New Roman" w:hAnsi="Times New Roman"/>
        </w:rPr>
        <w:t>J. Lewis</w:t>
      </w:r>
      <w:r w:rsidR="00736EB9">
        <w:rPr>
          <w:rFonts w:ascii="Times New Roman" w:hAnsi="Times New Roman"/>
        </w:rPr>
        <w:t xml:space="preserve"> et al.</w:t>
      </w:r>
      <w:r w:rsidR="005C63B7" w:rsidRPr="005C63B7">
        <w:rPr>
          <w:rFonts w:ascii="Times New Roman" w:hAnsi="Times New Roman"/>
        </w:rPr>
        <w:t xml:space="preserve">, </w:t>
      </w:r>
      <w:r w:rsidR="005C63B7" w:rsidRPr="005C63B7">
        <w:rPr>
          <w:rFonts w:ascii="Times New Roman" w:hAnsi="Times New Roman"/>
          <w:i/>
          <w:iCs/>
        </w:rPr>
        <w:t>Landscape evolution in the Middle Thames Valley: Heathrow Terminal 5 excavations volume 2</w:t>
      </w:r>
      <w:r w:rsidR="005C63B7" w:rsidRPr="005C63B7">
        <w:rPr>
          <w:rFonts w:ascii="Times New Roman" w:hAnsi="Times New Roman"/>
        </w:rPr>
        <w:t>, Framework Archaeology Monograph, 3 (2010)</w:t>
      </w:r>
      <w:r w:rsidR="00B72006" w:rsidRPr="005C63B7">
        <w:rPr>
          <w:rFonts w:ascii="Times New Roman" w:hAnsi="Times New Roman"/>
        </w:rPr>
        <w:t xml:space="preserve">, </w:t>
      </w:r>
      <w:r w:rsidR="005C63B7" w:rsidRPr="005C63B7">
        <w:rPr>
          <w:rFonts w:ascii="Times New Roman" w:hAnsi="Times New Roman"/>
        </w:rPr>
        <w:t xml:space="preserve">pp. </w:t>
      </w:r>
      <w:r w:rsidR="00B72006" w:rsidRPr="005C63B7">
        <w:rPr>
          <w:rFonts w:ascii="Times New Roman" w:hAnsi="Times New Roman"/>
        </w:rPr>
        <w:t>213–312</w:t>
      </w:r>
      <w:r w:rsidRPr="005C63B7">
        <w:rPr>
          <w:rFonts w:ascii="Times New Roman" w:hAnsi="Times New Roman"/>
        </w:rPr>
        <w:t>.</w:t>
      </w:r>
    </w:p>
  </w:footnote>
  <w:footnote w:id="57">
    <w:p w14:paraId="647EB93A" w14:textId="0945F346" w:rsidR="008C0131" w:rsidRPr="008C0131" w:rsidRDefault="008C0131" w:rsidP="009609D8">
      <w:pPr>
        <w:pStyle w:val="FootnoteText"/>
        <w:ind w:left="0" w:firstLine="0"/>
        <w:rPr>
          <w:lang w:val="en-US"/>
        </w:rPr>
      </w:pPr>
      <w:r w:rsidRPr="005C63B7">
        <w:rPr>
          <w:rStyle w:val="FootnoteReference"/>
          <w:rFonts w:ascii="Times New Roman" w:hAnsi="Times New Roman"/>
        </w:rPr>
        <w:footnoteRef/>
      </w:r>
      <w:r w:rsidRPr="005C63B7">
        <w:rPr>
          <w:rFonts w:ascii="Times New Roman" w:hAnsi="Times New Roman"/>
        </w:rPr>
        <w:t xml:space="preserve"> </w:t>
      </w:r>
      <w:r w:rsidR="005C63B7" w:rsidRPr="005C63B7">
        <w:rPr>
          <w:rFonts w:ascii="Times New Roman" w:hAnsi="Times New Roman"/>
        </w:rPr>
        <w:t>Bell and Stansbie, ‘Chapter 6: The Middle Iron Age’, in G. Hey</w:t>
      </w:r>
      <w:r w:rsidR="001D00B3">
        <w:rPr>
          <w:rFonts w:ascii="Times New Roman" w:hAnsi="Times New Roman"/>
        </w:rPr>
        <w:t xml:space="preserve"> et al.</w:t>
      </w:r>
      <w:r w:rsidR="005C63B7" w:rsidRPr="005C63B7">
        <w:rPr>
          <w:rFonts w:ascii="Times New Roman" w:hAnsi="Times New Roman"/>
        </w:rPr>
        <w:t xml:space="preserve">, </w:t>
      </w:r>
      <w:r w:rsidR="005C63B7" w:rsidRPr="006A5A79">
        <w:rPr>
          <w:rFonts w:ascii="Times New Roman" w:hAnsi="Times New Roman"/>
          <w:i/>
          <w:iCs/>
        </w:rPr>
        <w:t>Yarnton</w:t>
      </w:r>
      <w:r w:rsidR="005C63B7" w:rsidRPr="005C63B7">
        <w:rPr>
          <w:rFonts w:ascii="Times New Roman" w:hAnsi="Times New Roman"/>
        </w:rPr>
        <w:t>, p. 148.</w:t>
      </w:r>
    </w:p>
  </w:footnote>
  <w:footnote w:id="58">
    <w:p w14:paraId="48E691AC" w14:textId="4F5309CC" w:rsidR="008C0131" w:rsidRPr="003E25B4" w:rsidRDefault="008C0131" w:rsidP="009609D8">
      <w:pPr>
        <w:pStyle w:val="FootnoteText"/>
        <w:ind w:left="0" w:firstLine="0"/>
        <w:rPr>
          <w:rFonts w:ascii="Times New Roman" w:hAnsi="Times New Roman"/>
          <w:lang w:val="en-US"/>
        </w:rPr>
      </w:pPr>
      <w:r>
        <w:rPr>
          <w:rStyle w:val="FootnoteReference"/>
        </w:rPr>
        <w:footnoteRef/>
      </w:r>
      <w:r>
        <w:t xml:space="preserve"> </w:t>
      </w:r>
      <w:r w:rsidR="005C63B7" w:rsidRPr="003E25B4">
        <w:rPr>
          <w:rFonts w:ascii="Times New Roman" w:hAnsi="Times New Roman"/>
        </w:rPr>
        <w:t>L</w:t>
      </w:r>
      <w:r w:rsidR="00B72006" w:rsidRPr="003E25B4">
        <w:rPr>
          <w:rFonts w:ascii="Times New Roman" w:hAnsi="Times New Roman"/>
        </w:rPr>
        <w:t xml:space="preserve">ambrick and Robinson, </w:t>
      </w:r>
      <w:r w:rsidR="00B72006" w:rsidRPr="003E25B4">
        <w:rPr>
          <w:rFonts w:ascii="Times New Roman" w:hAnsi="Times New Roman"/>
          <w:i/>
          <w:iCs/>
        </w:rPr>
        <w:t xml:space="preserve">Iron Age and Roman riverside settlements at </w:t>
      </w:r>
      <w:proofErr w:type="spellStart"/>
      <w:r w:rsidR="00B72006" w:rsidRPr="003E25B4">
        <w:rPr>
          <w:rFonts w:ascii="Times New Roman" w:hAnsi="Times New Roman"/>
          <w:i/>
          <w:iCs/>
        </w:rPr>
        <w:t>Farmoor</w:t>
      </w:r>
      <w:proofErr w:type="spellEnd"/>
      <w:r w:rsidRPr="003E25B4">
        <w:rPr>
          <w:rFonts w:ascii="Times New Roman" w:hAnsi="Times New Roman"/>
        </w:rPr>
        <w:t xml:space="preserve">, </w:t>
      </w:r>
      <w:r w:rsidR="005C63B7" w:rsidRPr="003E25B4">
        <w:rPr>
          <w:rFonts w:ascii="Times New Roman" w:hAnsi="Times New Roman"/>
        </w:rPr>
        <w:t xml:space="preserve">pp. </w:t>
      </w:r>
      <w:r w:rsidRPr="003E25B4">
        <w:rPr>
          <w:rFonts w:ascii="Times New Roman" w:hAnsi="Times New Roman"/>
        </w:rPr>
        <w:t>69–70.</w:t>
      </w:r>
    </w:p>
  </w:footnote>
  <w:footnote w:id="59">
    <w:p w14:paraId="5FE03728" w14:textId="326D8A6F" w:rsidR="008C0131" w:rsidRPr="003E25B4" w:rsidRDefault="008C0131" w:rsidP="009609D8">
      <w:pPr>
        <w:pStyle w:val="FootnoteText"/>
        <w:ind w:left="0" w:firstLine="0"/>
        <w:rPr>
          <w:rFonts w:ascii="Times New Roman" w:hAnsi="Times New Roman"/>
          <w:lang w:val="en-US"/>
        </w:rPr>
      </w:pPr>
      <w:r w:rsidRPr="003E25B4">
        <w:rPr>
          <w:rStyle w:val="FootnoteReference"/>
          <w:rFonts w:ascii="Times New Roman" w:hAnsi="Times New Roman"/>
        </w:rPr>
        <w:footnoteRef/>
      </w:r>
      <w:r w:rsidRPr="003E25B4">
        <w:rPr>
          <w:rFonts w:ascii="Times New Roman" w:hAnsi="Times New Roman"/>
        </w:rPr>
        <w:t xml:space="preserve"> </w:t>
      </w:r>
      <w:r w:rsidR="00B72006" w:rsidRPr="003E25B4">
        <w:rPr>
          <w:rFonts w:ascii="Times New Roman" w:hAnsi="Times New Roman"/>
        </w:rPr>
        <w:t xml:space="preserve">Smith, </w:t>
      </w:r>
      <w:r w:rsidR="005C63B7" w:rsidRPr="003E25B4">
        <w:rPr>
          <w:rFonts w:ascii="Times New Roman" w:hAnsi="Times New Roman"/>
        </w:rPr>
        <w:t>‘</w:t>
      </w:r>
      <w:r w:rsidR="00B72006" w:rsidRPr="003E25B4">
        <w:rPr>
          <w:rFonts w:ascii="Times New Roman" w:hAnsi="Times New Roman"/>
        </w:rPr>
        <w:t>Bird bone</w:t>
      </w:r>
      <w:r w:rsidR="005C63B7" w:rsidRPr="003E25B4">
        <w:rPr>
          <w:rFonts w:ascii="Times New Roman" w:hAnsi="Times New Roman"/>
        </w:rPr>
        <w:t>’</w:t>
      </w:r>
      <w:r w:rsidR="00B72006" w:rsidRPr="003E25B4">
        <w:rPr>
          <w:rFonts w:ascii="Times New Roman" w:hAnsi="Times New Roman"/>
        </w:rPr>
        <w:t>, in</w:t>
      </w:r>
      <w:r w:rsidR="005C63B7" w:rsidRPr="003E25B4">
        <w:rPr>
          <w:rFonts w:ascii="Times New Roman" w:hAnsi="Times New Roman"/>
        </w:rPr>
        <w:t xml:space="preserve"> </w:t>
      </w:r>
      <w:r w:rsidR="00B72006" w:rsidRPr="003E25B4">
        <w:rPr>
          <w:rFonts w:ascii="Times New Roman" w:hAnsi="Times New Roman"/>
        </w:rPr>
        <w:t>Johnson</w:t>
      </w:r>
      <w:r w:rsidR="005C63B7" w:rsidRPr="003E25B4">
        <w:rPr>
          <w:rFonts w:ascii="Times New Roman" w:hAnsi="Times New Roman"/>
        </w:rPr>
        <w:t xml:space="preserve"> </w:t>
      </w:r>
      <w:r w:rsidR="00B72006" w:rsidRPr="003E25B4">
        <w:rPr>
          <w:rFonts w:ascii="Times New Roman" w:hAnsi="Times New Roman"/>
        </w:rPr>
        <w:t>and</w:t>
      </w:r>
      <w:r w:rsidR="001D00B3">
        <w:rPr>
          <w:rFonts w:ascii="Times New Roman" w:hAnsi="Times New Roman"/>
        </w:rPr>
        <w:t xml:space="preserve"> </w:t>
      </w:r>
      <w:r w:rsidR="00B72006" w:rsidRPr="003E25B4">
        <w:rPr>
          <w:rFonts w:ascii="Times New Roman" w:hAnsi="Times New Roman"/>
        </w:rPr>
        <w:t>Cameron</w:t>
      </w:r>
      <w:r w:rsidR="005C63B7" w:rsidRPr="003E25B4">
        <w:rPr>
          <w:rFonts w:ascii="Times New Roman" w:hAnsi="Times New Roman"/>
        </w:rPr>
        <w:t>,</w:t>
      </w:r>
      <w:r w:rsidR="00B72006" w:rsidRPr="003E25B4">
        <w:rPr>
          <w:rFonts w:ascii="Times New Roman" w:hAnsi="Times New Roman"/>
        </w:rPr>
        <w:t xml:space="preserve"> </w:t>
      </w:r>
      <w:r w:rsidR="00B72006" w:rsidRPr="003E25B4">
        <w:rPr>
          <w:rFonts w:ascii="Times New Roman" w:hAnsi="Times New Roman"/>
          <w:i/>
          <w:iCs/>
        </w:rPr>
        <w:t>An Early Bronze Age unenclosed cremation cemetery and Mesolithic pit at Skilmafilly</w:t>
      </w:r>
      <w:r w:rsidRPr="003E25B4">
        <w:rPr>
          <w:rFonts w:ascii="Times New Roman" w:hAnsi="Times New Roman"/>
        </w:rPr>
        <w:t xml:space="preserve">, </w:t>
      </w:r>
      <w:r w:rsidR="005C63B7" w:rsidRPr="003E25B4">
        <w:rPr>
          <w:rFonts w:ascii="Times New Roman" w:hAnsi="Times New Roman"/>
        </w:rPr>
        <w:t xml:space="preserve">pp. </w:t>
      </w:r>
      <w:r w:rsidRPr="003E25B4">
        <w:rPr>
          <w:rFonts w:ascii="Times New Roman" w:hAnsi="Times New Roman"/>
        </w:rPr>
        <w:t>129–30.</w:t>
      </w:r>
    </w:p>
  </w:footnote>
  <w:footnote w:id="60">
    <w:p w14:paraId="24C3ACD7" w14:textId="40AD3318" w:rsidR="008C0131" w:rsidRPr="003E25B4" w:rsidRDefault="008C0131" w:rsidP="009609D8">
      <w:pPr>
        <w:pStyle w:val="FootnoteText"/>
        <w:ind w:left="0" w:firstLine="0"/>
        <w:rPr>
          <w:rFonts w:ascii="Times New Roman" w:hAnsi="Times New Roman"/>
          <w:lang w:val="en-US"/>
        </w:rPr>
      </w:pPr>
      <w:r w:rsidRPr="003E25B4">
        <w:rPr>
          <w:rStyle w:val="FootnoteReference"/>
          <w:rFonts w:ascii="Times New Roman" w:hAnsi="Times New Roman"/>
        </w:rPr>
        <w:footnoteRef/>
      </w:r>
      <w:r w:rsidRPr="003E25B4">
        <w:rPr>
          <w:rFonts w:ascii="Times New Roman" w:hAnsi="Times New Roman"/>
        </w:rPr>
        <w:t xml:space="preserve"> </w:t>
      </w:r>
      <w:r w:rsidR="00B72006" w:rsidRPr="003E25B4">
        <w:rPr>
          <w:rFonts w:ascii="Times New Roman" w:hAnsi="Times New Roman"/>
        </w:rPr>
        <w:t>ibid.</w:t>
      </w:r>
      <w:r w:rsidRPr="003E25B4">
        <w:rPr>
          <w:rFonts w:ascii="Times New Roman" w:hAnsi="Times New Roman"/>
        </w:rPr>
        <w:t xml:space="preserve">, </w:t>
      </w:r>
      <w:r w:rsidR="005C63B7" w:rsidRPr="003E25B4">
        <w:rPr>
          <w:rFonts w:ascii="Times New Roman" w:hAnsi="Times New Roman"/>
        </w:rPr>
        <w:t xml:space="preserve">pp. </w:t>
      </w:r>
      <w:r w:rsidRPr="003E25B4">
        <w:rPr>
          <w:rFonts w:ascii="Times New Roman" w:hAnsi="Times New Roman"/>
        </w:rPr>
        <w:t>187–8.</w:t>
      </w:r>
    </w:p>
  </w:footnote>
  <w:footnote w:id="61">
    <w:p w14:paraId="25982E88" w14:textId="63CC6F7D" w:rsidR="008C0131" w:rsidRPr="003E25B4" w:rsidRDefault="008C0131" w:rsidP="009609D8">
      <w:pPr>
        <w:pStyle w:val="FootnoteText"/>
        <w:ind w:left="0" w:firstLine="0"/>
        <w:rPr>
          <w:rFonts w:ascii="Times New Roman" w:hAnsi="Times New Roman"/>
          <w:lang w:val="en-US"/>
        </w:rPr>
      </w:pPr>
      <w:r w:rsidRPr="003E25B4">
        <w:rPr>
          <w:rStyle w:val="FootnoteReference"/>
          <w:rFonts w:ascii="Times New Roman" w:hAnsi="Times New Roman"/>
        </w:rPr>
        <w:footnoteRef/>
      </w:r>
      <w:r w:rsidRPr="003E25B4">
        <w:rPr>
          <w:rFonts w:ascii="Times New Roman" w:hAnsi="Times New Roman"/>
        </w:rPr>
        <w:t xml:space="preserve"> </w:t>
      </w:r>
      <w:r w:rsidR="00B72006" w:rsidRPr="003E25B4">
        <w:rPr>
          <w:rFonts w:ascii="Times New Roman" w:hAnsi="Times New Roman"/>
        </w:rPr>
        <w:t xml:space="preserve">Lambrick and Robinson, </w:t>
      </w:r>
      <w:r w:rsidR="00B72006" w:rsidRPr="003E25B4">
        <w:rPr>
          <w:rFonts w:ascii="Times New Roman" w:hAnsi="Times New Roman"/>
          <w:i/>
          <w:iCs/>
        </w:rPr>
        <w:t>The Thames through time</w:t>
      </w:r>
      <w:r w:rsidRPr="003E25B4">
        <w:rPr>
          <w:rFonts w:ascii="Times New Roman" w:hAnsi="Times New Roman"/>
        </w:rPr>
        <w:t xml:space="preserve">, </w:t>
      </w:r>
      <w:r w:rsidR="003E25B4" w:rsidRPr="003E25B4">
        <w:rPr>
          <w:rFonts w:ascii="Times New Roman" w:hAnsi="Times New Roman"/>
        </w:rPr>
        <w:t xml:space="preserve">p. </w:t>
      </w:r>
      <w:r w:rsidRPr="003E25B4">
        <w:rPr>
          <w:rFonts w:ascii="Times New Roman" w:hAnsi="Times New Roman"/>
        </w:rPr>
        <w:t>149</w:t>
      </w:r>
      <w:r w:rsidR="003E25B4" w:rsidRPr="003E25B4">
        <w:rPr>
          <w:rFonts w:ascii="Times New Roman" w:hAnsi="Times New Roman"/>
        </w:rPr>
        <w:t>.</w:t>
      </w:r>
    </w:p>
  </w:footnote>
  <w:footnote w:id="62">
    <w:p w14:paraId="71C13276" w14:textId="2EEDC699" w:rsidR="008C0131" w:rsidRPr="003E25B4" w:rsidRDefault="008C0131" w:rsidP="009609D8">
      <w:pPr>
        <w:pStyle w:val="FootnoteText"/>
        <w:ind w:left="0" w:firstLine="0"/>
        <w:rPr>
          <w:rFonts w:ascii="Times New Roman" w:hAnsi="Times New Roman"/>
          <w:lang w:val="en-US"/>
        </w:rPr>
      </w:pPr>
      <w:r w:rsidRPr="003E25B4">
        <w:rPr>
          <w:rStyle w:val="FootnoteReference"/>
          <w:rFonts w:ascii="Times New Roman" w:hAnsi="Times New Roman"/>
        </w:rPr>
        <w:footnoteRef/>
      </w:r>
      <w:r w:rsidRPr="003E25B4">
        <w:rPr>
          <w:rFonts w:ascii="Times New Roman" w:hAnsi="Times New Roman"/>
        </w:rPr>
        <w:t xml:space="preserve"> </w:t>
      </w:r>
      <w:r w:rsidR="00B72006" w:rsidRPr="003E25B4">
        <w:rPr>
          <w:rFonts w:ascii="Times New Roman" w:hAnsi="Times New Roman"/>
        </w:rPr>
        <w:t>ibid.</w:t>
      </w:r>
      <w:r w:rsidRPr="003E25B4">
        <w:rPr>
          <w:rFonts w:ascii="Times New Roman" w:hAnsi="Times New Roman"/>
        </w:rPr>
        <w:t xml:space="preserve"> </w:t>
      </w:r>
      <w:r w:rsidR="003E25B4" w:rsidRPr="003E25B4">
        <w:rPr>
          <w:rFonts w:ascii="Times New Roman" w:hAnsi="Times New Roman"/>
        </w:rPr>
        <w:t xml:space="preserve">p. </w:t>
      </w:r>
      <w:r w:rsidRPr="003E25B4">
        <w:rPr>
          <w:rFonts w:ascii="Times New Roman" w:hAnsi="Times New Roman"/>
        </w:rPr>
        <w:t>143, plate 3.2.</w:t>
      </w:r>
    </w:p>
  </w:footnote>
  <w:footnote w:id="63">
    <w:p w14:paraId="35F06885" w14:textId="7258AD76" w:rsidR="008C0131" w:rsidRPr="003E25B4" w:rsidRDefault="008C0131" w:rsidP="007F3393">
      <w:pPr>
        <w:pStyle w:val="FootnoteText"/>
        <w:ind w:left="0" w:firstLine="0"/>
        <w:rPr>
          <w:rFonts w:ascii="Times New Roman" w:hAnsi="Times New Roman"/>
          <w:lang w:val="en-US"/>
        </w:rPr>
      </w:pPr>
      <w:r w:rsidRPr="003E25B4">
        <w:rPr>
          <w:rStyle w:val="FootnoteReference"/>
          <w:rFonts w:ascii="Times New Roman" w:hAnsi="Times New Roman"/>
        </w:rPr>
        <w:footnoteRef/>
      </w:r>
      <w:r w:rsidRPr="003E25B4">
        <w:rPr>
          <w:rFonts w:ascii="Times New Roman" w:hAnsi="Times New Roman"/>
        </w:rPr>
        <w:t xml:space="preserve"> </w:t>
      </w:r>
      <w:r w:rsidR="003E25B4" w:rsidRPr="003E25B4">
        <w:rPr>
          <w:rFonts w:ascii="Times New Roman" w:hAnsi="Times New Roman"/>
        </w:rPr>
        <w:t xml:space="preserve">M. </w:t>
      </w:r>
      <w:r w:rsidR="00B72006" w:rsidRPr="003E25B4">
        <w:rPr>
          <w:rFonts w:ascii="Times New Roman" w:hAnsi="Times New Roman"/>
        </w:rPr>
        <w:t xml:space="preserve">Robinson and </w:t>
      </w:r>
      <w:r w:rsidR="003E25B4" w:rsidRPr="003E25B4">
        <w:rPr>
          <w:rFonts w:ascii="Times New Roman" w:hAnsi="Times New Roman"/>
        </w:rPr>
        <w:t xml:space="preserve">G. </w:t>
      </w:r>
      <w:r w:rsidR="00B72006" w:rsidRPr="003E25B4">
        <w:rPr>
          <w:rFonts w:ascii="Times New Roman" w:hAnsi="Times New Roman"/>
        </w:rPr>
        <w:t xml:space="preserve">Hey, ‘Chapter 2: Settlement and landscape’, in </w:t>
      </w:r>
      <w:r w:rsidR="001D00B3">
        <w:rPr>
          <w:rFonts w:ascii="Times New Roman" w:hAnsi="Times New Roman"/>
        </w:rPr>
        <w:t xml:space="preserve">G. </w:t>
      </w:r>
      <w:r w:rsidR="00B72006" w:rsidRPr="003E25B4">
        <w:rPr>
          <w:rFonts w:ascii="Times New Roman" w:hAnsi="Times New Roman"/>
        </w:rPr>
        <w:t xml:space="preserve">Hey </w:t>
      </w:r>
      <w:r w:rsidR="001D00B3">
        <w:rPr>
          <w:rFonts w:ascii="Times New Roman" w:hAnsi="Times New Roman"/>
        </w:rPr>
        <w:t xml:space="preserve">et al., </w:t>
      </w:r>
      <w:r w:rsidR="00B72006" w:rsidRPr="003E25B4">
        <w:rPr>
          <w:rFonts w:ascii="Times New Roman" w:hAnsi="Times New Roman"/>
          <w:i/>
          <w:iCs/>
        </w:rPr>
        <w:t>The archaeology of the gravel terraces of the Upper and Middle Thames</w:t>
      </w:r>
      <w:r w:rsidR="00B72006" w:rsidRPr="003E25B4">
        <w:rPr>
          <w:rFonts w:ascii="Times New Roman" w:hAnsi="Times New Roman"/>
        </w:rPr>
        <w:t xml:space="preserve">, </w:t>
      </w:r>
      <w:r w:rsidR="003E25B4" w:rsidRPr="003E25B4">
        <w:rPr>
          <w:rFonts w:ascii="Times New Roman" w:hAnsi="Times New Roman"/>
        </w:rPr>
        <w:t xml:space="preserve">pp. </w:t>
      </w:r>
      <w:r w:rsidR="00B72006" w:rsidRPr="003E25B4">
        <w:rPr>
          <w:rFonts w:ascii="Times New Roman" w:hAnsi="Times New Roman"/>
        </w:rPr>
        <w:t>21–46</w:t>
      </w:r>
      <w:r w:rsidR="00DA0982">
        <w:rPr>
          <w:rFonts w:ascii="Times New Roman" w:hAnsi="Times New Roman"/>
        </w:rPr>
        <w:t>.</w:t>
      </w:r>
    </w:p>
  </w:footnote>
  <w:footnote w:id="64">
    <w:p w14:paraId="603E1B54" w14:textId="4601C897" w:rsidR="005B3E36" w:rsidRPr="005B3E36" w:rsidRDefault="005B3E36" w:rsidP="007F3393">
      <w:pPr>
        <w:pStyle w:val="FootnoteText"/>
        <w:ind w:left="0" w:firstLine="0"/>
        <w:rPr>
          <w:lang w:val="en-US"/>
        </w:rPr>
      </w:pPr>
      <w:r w:rsidRPr="003E25B4">
        <w:rPr>
          <w:rStyle w:val="FootnoteReference"/>
          <w:rFonts w:ascii="Times New Roman" w:hAnsi="Times New Roman"/>
        </w:rPr>
        <w:footnoteRef/>
      </w:r>
      <w:r w:rsidRPr="003E25B4">
        <w:rPr>
          <w:rFonts w:ascii="Times New Roman" w:hAnsi="Times New Roman"/>
        </w:rPr>
        <w:t xml:space="preserve"> </w:t>
      </w:r>
      <w:r w:rsidR="003E25B4" w:rsidRPr="003E25B4">
        <w:rPr>
          <w:rFonts w:ascii="Times New Roman" w:hAnsi="Times New Roman"/>
        </w:rPr>
        <w:t xml:space="preserve">L. </w:t>
      </w:r>
      <w:r w:rsidR="00B72006" w:rsidRPr="003E25B4">
        <w:rPr>
          <w:rFonts w:ascii="Times New Roman" w:hAnsi="Times New Roman"/>
        </w:rPr>
        <w:t xml:space="preserve">Moffett, ‘Chapter 10: Charred plant remains’, in Lambrick and Allen, </w:t>
      </w:r>
      <w:r w:rsidR="00B72006" w:rsidRPr="003E25B4">
        <w:rPr>
          <w:rFonts w:ascii="Times New Roman" w:hAnsi="Times New Roman"/>
          <w:i/>
          <w:iCs/>
        </w:rPr>
        <w:t>Gravelly Guy</w:t>
      </w:r>
      <w:r w:rsidR="00B72006" w:rsidRPr="003E25B4">
        <w:rPr>
          <w:rFonts w:ascii="Times New Roman" w:hAnsi="Times New Roman"/>
        </w:rPr>
        <w:t xml:space="preserve">, </w:t>
      </w:r>
      <w:r w:rsidR="003E25B4" w:rsidRPr="003E25B4">
        <w:rPr>
          <w:rFonts w:ascii="Times New Roman" w:hAnsi="Times New Roman"/>
        </w:rPr>
        <w:t xml:space="preserve">pp. </w:t>
      </w:r>
      <w:r w:rsidR="00B72006" w:rsidRPr="003E25B4">
        <w:rPr>
          <w:rFonts w:ascii="Times New Roman" w:hAnsi="Times New Roman"/>
        </w:rPr>
        <w:t>421–456</w:t>
      </w:r>
      <w:r w:rsidRPr="003E25B4">
        <w:rPr>
          <w:rFonts w:ascii="Times New Roman" w:hAnsi="Times New Roman"/>
        </w:rPr>
        <w:t>.</w:t>
      </w:r>
    </w:p>
  </w:footnote>
  <w:footnote w:id="65">
    <w:p w14:paraId="618CAE5D" w14:textId="00C58D05" w:rsidR="005B3E36" w:rsidRPr="00FE3980" w:rsidRDefault="005B3E36" w:rsidP="007F3393">
      <w:pPr>
        <w:pStyle w:val="FootnoteText"/>
        <w:ind w:left="0" w:firstLine="0"/>
        <w:rPr>
          <w:rFonts w:ascii="Times New Roman" w:hAnsi="Times New Roman"/>
          <w:lang w:val="en-US"/>
        </w:rPr>
      </w:pPr>
      <w:r w:rsidRPr="00FE3980">
        <w:rPr>
          <w:rStyle w:val="FootnoteReference"/>
          <w:rFonts w:ascii="Times New Roman" w:hAnsi="Times New Roman"/>
        </w:rPr>
        <w:footnoteRef/>
      </w:r>
      <w:r w:rsidRPr="00FE3980">
        <w:rPr>
          <w:rFonts w:ascii="Times New Roman" w:hAnsi="Times New Roman"/>
        </w:rPr>
        <w:t xml:space="preserve"> Wyles and Molloy</w:t>
      </w:r>
      <w:r w:rsidR="00131C17" w:rsidRPr="00FE3980">
        <w:rPr>
          <w:rFonts w:ascii="Times New Roman" w:hAnsi="Times New Roman"/>
        </w:rPr>
        <w:t>,</w:t>
      </w:r>
      <w:r w:rsidR="00B72006" w:rsidRPr="00FE3980">
        <w:rPr>
          <w:rFonts w:ascii="Times New Roman" w:hAnsi="Times New Roman"/>
        </w:rPr>
        <w:t xml:space="preserve"> ‘Palaeoenvironmental remains’</w:t>
      </w:r>
      <w:r w:rsidR="001D00B3">
        <w:rPr>
          <w:rFonts w:ascii="Times New Roman" w:hAnsi="Times New Roman"/>
        </w:rPr>
        <w:t>, pp. 126–30.</w:t>
      </w:r>
    </w:p>
  </w:footnote>
  <w:footnote w:id="66">
    <w:p w14:paraId="5514DF09" w14:textId="10E35CA2" w:rsidR="005B3E36" w:rsidRPr="00FE3980" w:rsidRDefault="005B3E36" w:rsidP="007F3393">
      <w:pPr>
        <w:pStyle w:val="FootnoteText"/>
        <w:ind w:left="0" w:firstLine="0"/>
        <w:rPr>
          <w:rFonts w:ascii="Times New Roman" w:hAnsi="Times New Roman"/>
          <w:lang w:val="en-US"/>
        </w:rPr>
      </w:pPr>
      <w:r w:rsidRPr="00FE3980">
        <w:rPr>
          <w:rStyle w:val="FootnoteReference"/>
          <w:rFonts w:ascii="Times New Roman" w:hAnsi="Times New Roman"/>
        </w:rPr>
        <w:footnoteRef/>
      </w:r>
      <w:r w:rsidRPr="00FE3980">
        <w:rPr>
          <w:rFonts w:ascii="Times New Roman" w:hAnsi="Times New Roman"/>
        </w:rPr>
        <w:t xml:space="preserve"> </w:t>
      </w:r>
      <w:r w:rsidR="00FE3980" w:rsidRPr="00FE3980">
        <w:rPr>
          <w:rFonts w:ascii="Times New Roman" w:hAnsi="Times New Roman"/>
        </w:rPr>
        <w:t xml:space="preserve">L. </w:t>
      </w:r>
      <w:r w:rsidR="00B72006" w:rsidRPr="00FE3980">
        <w:rPr>
          <w:rFonts w:ascii="Times New Roman" w:hAnsi="Times New Roman"/>
        </w:rPr>
        <w:t xml:space="preserve">Lodwick, 2017 ‘Chapter 2: Arable farming, plant foods and resources’, in </w:t>
      </w:r>
      <w:r w:rsidR="00FE3980" w:rsidRPr="00FE3980">
        <w:rPr>
          <w:rFonts w:ascii="Times New Roman" w:hAnsi="Times New Roman"/>
        </w:rPr>
        <w:t xml:space="preserve">M. </w:t>
      </w:r>
      <w:r w:rsidR="00B72006" w:rsidRPr="00FE3980">
        <w:rPr>
          <w:rFonts w:ascii="Times New Roman" w:hAnsi="Times New Roman"/>
        </w:rPr>
        <w:t>Allen</w:t>
      </w:r>
      <w:r w:rsidR="00736EB9">
        <w:rPr>
          <w:rFonts w:ascii="Times New Roman" w:hAnsi="Times New Roman"/>
        </w:rPr>
        <w:t xml:space="preserve"> et al. </w:t>
      </w:r>
      <w:proofErr w:type="gramStart"/>
      <w:r w:rsidR="00B72006" w:rsidRPr="00FE3980">
        <w:rPr>
          <w:rFonts w:ascii="Times New Roman" w:hAnsi="Times New Roman"/>
          <w:i/>
          <w:iCs/>
        </w:rPr>
        <w:t>New</w:t>
      </w:r>
      <w:proofErr w:type="gramEnd"/>
      <w:r w:rsidR="00B72006" w:rsidRPr="00FE3980">
        <w:rPr>
          <w:rFonts w:ascii="Times New Roman" w:hAnsi="Times New Roman"/>
          <w:i/>
          <w:iCs/>
        </w:rPr>
        <w:t xml:space="preserve"> visions of the countryside of Roman Britain: The rural economy of Roman Britain</w:t>
      </w:r>
      <w:r w:rsidR="00FE3980" w:rsidRPr="00FE3980">
        <w:rPr>
          <w:rFonts w:ascii="Times New Roman" w:hAnsi="Times New Roman"/>
        </w:rPr>
        <w:t xml:space="preserve">, </w:t>
      </w:r>
      <w:r w:rsidR="00B72006" w:rsidRPr="00FE3980">
        <w:rPr>
          <w:rFonts w:ascii="Times New Roman" w:hAnsi="Times New Roman"/>
        </w:rPr>
        <w:t>Britannia Monograph Series</w:t>
      </w:r>
      <w:r w:rsidR="00FE3980" w:rsidRPr="00FE3980">
        <w:rPr>
          <w:rFonts w:ascii="Times New Roman" w:hAnsi="Times New Roman"/>
        </w:rPr>
        <w:t>,</w:t>
      </w:r>
      <w:r w:rsidR="00B72006" w:rsidRPr="00FE3980">
        <w:rPr>
          <w:rFonts w:ascii="Times New Roman" w:hAnsi="Times New Roman"/>
        </w:rPr>
        <w:t xml:space="preserve"> 30</w:t>
      </w:r>
      <w:r w:rsidR="00FE3980" w:rsidRPr="00FE3980">
        <w:rPr>
          <w:rFonts w:ascii="Times New Roman" w:hAnsi="Times New Roman"/>
        </w:rPr>
        <w:t xml:space="preserve"> (2017)</w:t>
      </w:r>
      <w:r w:rsidR="00B72006" w:rsidRPr="00FE3980">
        <w:rPr>
          <w:rFonts w:ascii="Times New Roman" w:hAnsi="Times New Roman"/>
        </w:rPr>
        <w:t xml:space="preserve">, </w:t>
      </w:r>
      <w:r w:rsidR="00FE3980" w:rsidRPr="00FE3980">
        <w:rPr>
          <w:rFonts w:ascii="Times New Roman" w:hAnsi="Times New Roman"/>
        </w:rPr>
        <w:t xml:space="preserve">pp. </w:t>
      </w:r>
      <w:r w:rsidR="00B72006" w:rsidRPr="00FE3980">
        <w:rPr>
          <w:rFonts w:ascii="Times New Roman" w:hAnsi="Times New Roman"/>
        </w:rPr>
        <w:t>11–84</w:t>
      </w:r>
      <w:r w:rsidR="00FE3980" w:rsidRPr="00FE3980">
        <w:rPr>
          <w:rFonts w:ascii="Times New Roman" w:hAnsi="Times New Roman"/>
        </w:rPr>
        <w:t>.</w:t>
      </w:r>
    </w:p>
  </w:footnote>
  <w:footnote w:id="67">
    <w:p w14:paraId="3AF3A8FA" w14:textId="5323A7E8" w:rsidR="007729D4" w:rsidRPr="00FE3980" w:rsidRDefault="007729D4" w:rsidP="007F3393">
      <w:pPr>
        <w:pStyle w:val="FootnoteText"/>
        <w:ind w:left="0" w:firstLine="0"/>
        <w:rPr>
          <w:rFonts w:ascii="Times New Roman" w:hAnsi="Times New Roman"/>
          <w:lang w:val="en-US"/>
        </w:rPr>
      </w:pPr>
      <w:r w:rsidRPr="00FE3980">
        <w:rPr>
          <w:rStyle w:val="FootnoteReference"/>
          <w:rFonts w:ascii="Times New Roman" w:hAnsi="Times New Roman"/>
        </w:rPr>
        <w:footnoteRef/>
      </w:r>
      <w:r w:rsidRPr="00FE3980">
        <w:rPr>
          <w:rFonts w:ascii="Times New Roman" w:hAnsi="Times New Roman"/>
        </w:rPr>
        <w:t xml:space="preserve"> Bradford and Morris, ‘Archaeological notes’, </w:t>
      </w:r>
      <w:r w:rsidR="00FE3980" w:rsidRPr="00FE3980">
        <w:rPr>
          <w:rFonts w:ascii="Times New Roman" w:hAnsi="Times New Roman"/>
        </w:rPr>
        <w:t xml:space="preserve">pp. </w:t>
      </w:r>
      <w:r w:rsidRPr="00FE3980">
        <w:rPr>
          <w:rFonts w:ascii="Times New Roman" w:hAnsi="Times New Roman"/>
        </w:rPr>
        <w:t>85–7</w:t>
      </w:r>
      <w:r w:rsidR="00FE3980" w:rsidRPr="00FE3980">
        <w:rPr>
          <w:rFonts w:ascii="Times New Roman" w:hAnsi="Times New Roman"/>
        </w:rPr>
        <w:t>.</w:t>
      </w:r>
    </w:p>
  </w:footnote>
  <w:footnote w:id="68">
    <w:p w14:paraId="460C90CA" w14:textId="4F6291DB" w:rsidR="005B3E36" w:rsidRPr="00FE3980" w:rsidRDefault="005B3E36" w:rsidP="007F3393">
      <w:pPr>
        <w:pStyle w:val="FootnoteText"/>
        <w:ind w:left="0" w:firstLine="0"/>
        <w:rPr>
          <w:rFonts w:ascii="Times New Roman" w:hAnsi="Times New Roman"/>
          <w:lang w:val="en-US"/>
        </w:rPr>
      </w:pPr>
      <w:r w:rsidRPr="00FE3980">
        <w:rPr>
          <w:rStyle w:val="FootnoteReference"/>
          <w:rFonts w:ascii="Times New Roman" w:hAnsi="Times New Roman"/>
        </w:rPr>
        <w:footnoteRef/>
      </w:r>
      <w:r w:rsidRPr="00FE3980">
        <w:rPr>
          <w:rFonts w:ascii="Times New Roman" w:hAnsi="Times New Roman"/>
        </w:rPr>
        <w:t xml:space="preserve"> </w:t>
      </w:r>
      <w:r w:rsidR="00B72006" w:rsidRPr="00FE3980">
        <w:rPr>
          <w:rFonts w:ascii="Times New Roman" w:hAnsi="Times New Roman"/>
        </w:rPr>
        <w:t xml:space="preserve">Bell and Stansbie, ‘Chapter 6: The Middle Iron Age’, in </w:t>
      </w:r>
      <w:r w:rsidR="00FE3980" w:rsidRPr="00FE3980">
        <w:rPr>
          <w:rFonts w:ascii="Times New Roman" w:hAnsi="Times New Roman"/>
        </w:rPr>
        <w:t>G. Hey</w:t>
      </w:r>
      <w:r w:rsidR="001D00B3">
        <w:rPr>
          <w:rFonts w:ascii="Times New Roman" w:hAnsi="Times New Roman"/>
        </w:rPr>
        <w:t xml:space="preserve"> et al.</w:t>
      </w:r>
      <w:r w:rsidR="00FE3980" w:rsidRPr="00FE3980">
        <w:rPr>
          <w:rFonts w:ascii="Times New Roman" w:hAnsi="Times New Roman"/>
        </w:rPr>
        <w:t xml:space="preserve">, </w:t>
      </w:r>
      <w:r w:rsidR="00FE3980" w:rsidRPr="00FE3980">
        <w:rPr>
          <w:rFonts w:ascii="Times New Roman" w:hAnsi="Times New Roman"/>
          <w:i/>
          <w:iCs/>
        </w:rPr>
        <w:t>Yarnton</w:t>
      </w:r>
      <w:r w:rsidR="00FE3980" w:rsidRPr="00FE3980">
        <w:rPr>
          <w:rFonts w:ascii="Times New Roman" w:hAnsi="Times New Roman"/>
        </w:rPr>
        <w:t>,</w:t>
      </w:r>
      <w:r w:rsidR="00B72006" w:rsidRPr="00FE3980">
        <w:rPr>
          <w:rFonts w:ascii="Times New Roman" w:hAnsi="Times New Roman"/>
        </w:rPr>
        <w:t xml:space="preserve"> </w:t>
      </w:r>
      <w:r w:rsidR="00FE3980" w:rsidRPr="00FE3980">
        <w:rPr>
          <w:rFonts w:ascii="Times New Roman" w:hAnsi="Times New Roman"/>
        </w:rPr>
        <w:t xml:space="preserve">pp. </w:t>
      </w:r>
      <w:r w:rsidR="00B72006" w:rsidRPr="00FE3980">
        <w:rPr>
          <w:rFonts w:ascii="Times New Roman" w:hAnsi="Times New Roman"/>
        </w:rPr>
        <w:t>141–188</w:t>
      </w:r>
      <w:r w:rsidR="00FE3980" w:rsidRPr="00FE3980">
        <w:rPr>
          <w:rFonts w:ascii="Times New Roman" w:hAnsi="Times New Roman"/>
        </w:rPr>
        <w:t>.</w:t>
      </w:r>
    </w:p>
  </w:footnote>
  <w:footnote w:id="69">
    <w:p w14:paraId="135B7BE0" w14:textId="7B55F410" w:rsidR="005B3E36" w:rsidRPr="00FE3980" w:rsidRDefault="005B3E36" w:rsidP="007F3393">
      <w:pPr>
        <w:pStyle w:val="FootnoteText"/>
        <w:ind w:left="0" w:firstLine="0"/>
        <w:rPr>
          <w:rFonts w:ascii="Times New Roman" w:hAnsi="Times New Roman"/>
          <w:lang w:val="en-US"/>
        </w:rPr>
      </w:pPr>
      <w:r w:rsidRPr="00FE3980">
        <w:rPr>
          <w:rStyle w:val="FootnoteReference"/>
          <w:rFonts w:ascii="Times New Roman" w:hAnsi="Times New Roman"/>
        </w:rPr>
        <w:footnoteRef/>
      </w:r>
      <w:r w:rsidRPr="00FE3980">
        <w:rPr>
          <w:rFonts w:ascii="Times New Roman" w:hAnsi="Times New Roman"/>
        </w:rPr>
        <w:t xml:space="preserve"> </w:t>
      </w:r>
      <w:r w:rsidR="00B72006" w:rsidRPr="00FE3980">
        <w:rPr>
          <w:rFonts w:ascii="Times New Roman" w:hAnsi="Times New Roman"/>
        </w:rPr>
        <w:t xml:space="preserve">Lambrick and Barclay, ‘Chapter 3: Early and Middle Iron Age occupation’, in </w:t>
      </w:r>
      <w:r w:rsidR="003A332D" w:rsidRPr="00FE3980">
        <w:rPr>
          <w:rFonts w:ascii="Times New Roman" w:hAnsi="Times New Roman"/>
        </w:rPr>
        <w:t xml:space="preserve">Lambrick and Allen, </w:t>
      </w:r>
      <w:r w:rsidR="003A332D" w:rsidRPr="00FE3980">
        <w:rPr>
          <w:rFonts w:ascii="Times New Roman" w:hAnsi="Times New Roman"/>
          <w:i/>
          <w:iCs/>
        </w:rPr>
        <w:t>Gravelly Guy</w:t>
      </w:r>
      <w:r w:rsidR="00B72006" w:rsidRPr="00FE3980">
        <w:rPr>
          <w:rFonts w:ascii="Times New Roman" w:hAnsi="Times New Roman"/>
        </w:rPr>
        <w:t xml:space="preserve">, </w:t>
      </w:r>
      <w:r w:rsidR="00FE3980" w:rsidRPr="00FE3980">
        <w:rPr>
          <w:rFonts w:ascii="Times New Roman" w:hAnsi="Times New Roman"/>
        </w:rPr>
        <w:t xml:space="preserve">pp. </w:t>
      </w:r>
      <w:r w:rsidR="00B72006" w:rsidRPr="00FE3980">
        <w:rPr>
          <w:rFonts w:ascii="Times New Roman" w:hAnsi="Times New Roman"/>
        </w:rPr>
        <w:t>103–159</w:t>
      </w:r>
      <w:r w:rsidRPr="00FE3980">
        <w:rPr>
          <w:rFonts w:ascii="Times New Roman" w:hAnsi="Times New Roman"/>
        </w:rPr>
        <w:t>.</w:t>
      </w:r>
    </w:p>
  </w:footnote>
  <w:footnote w:id="70">
    <w:p w14:paraId="3532BA91" w14:textId="16515C27" w:rsidR="005B3E36" w:rsidRPr="00FE3980" w:rsidRDefault="005B3E36" w:rsidP="007F3393">
      <w:pPr>
        <w:pStyle w:val="FootnoteText"/>
        <w:ind w:left="0" w:firstLine="0"/>
        <w:rPr>
          <w:rFonts w:ascii="Times New Roman" w:hAnsi="Times New Roman"/>
          <w:lang w:val="en-US"/>
        </w:rPr>
      </w:pPr>
      <w:r w:rsidRPr="00FE3980">
        <w:rPr>
          <w:rStyle w:val="FootnoteReference"/>
          <w:rFonts w:ascii="Times New Roman" w:hAnsi="Times New Roman"/>
        </w:rPr>
        <w:footnoteRef/>
      </w:r>
      <w:r w:rsidRPr="00FE3980">
        <w:rPr>
          <w:rFonts w:ascii="Times New Roman" w:hAnsi="Times New Roman"/>
        </w:rPr>
        <w:t xml:space="preserve"> </w:t>
      </w:r>
      <w:r w:rsidR="003A332D" w:rsidRPr="00FE3980">
        <w:rPr>
          <w:rFonts w:ascii="Times New Roman" w:hAnsi="Times New Roman"/>
        </w:rPr>
        <w:t>Lambrick</w:t>
      </w:r>
      <w:r w:rsidR="00FE3980" w:rsidRPr="00FE3980">
        <w:rPr>
          <w:rFonts w:ascii="Times New Roman" w:hAnsi="Times New Roman"/>
        </w:rPr>
        <w:t xml:space="preserve"> </w:t>
      </w:r>
      <w:r w:rsidR="003A332D" w:rsidRPr="00FE3980">
        <w:rPr>
          <w:rFonts w:ascii="Times New Roman" w:hAnsi="Times New Roman"/>
        </w:rPr>
        <w:t xml:space="preserve">and Robinson, </w:t>
      </w:r>
      <w:r w:rsidR="003A332D" w:rsidRPr="00FE3980">
        <w:rPr>
          <w:rFonts w:ascii="Times New Roman" w:hAnsi="Times New Roman"/>
          <w:i/>
          <w:iCs/>
        </w:rPr>
        <w:t>The Thames through time</w:t>
      </w:r>
      <w:r w:rsidR="00FE3980" w:rsidRPr="00FE3980">
        <w:rPr>
          <w:rFonts w:ascii="Times New Roman" w:hAnsi="Times New Roman"/>
        </w:rPr>
        <w:t xml:space="preserve">, pp. </w:t>
      </w:r>
      <w:r w:rsidRPr="00FE3980">
        <w:rPr>
          <w:rFonts w:ascii="Times New Roman" w:hAnsi="Times New Roman"/>
        </w:rPr>
        <w:t>271–2</w:t>
      </w:r>
      <w:r w:rsidR="00FE3980" w:rsidRPr="00FE3980">
        <w:rPr>
          <w:rFonts w:ascii="Times New Roman" w:hAnsi="Times New Roman"/>
        </w:rPr>
        <w:t>.</w:t>
      </w:r>
    </w:p>
  </w:footnote>
  <w:footnote w:id="71">
    <w:p w14:paraId="23059C77" w14:textId="19ED520A" w:rsidR="005B3E36" w:rsidRPr="00FE3980" w:rsidRDefault="005B3E36" w:rsidP="007F3393">
      <w:pPr>
        <w:pStyle w:val="FootnoteText"/>
        <w:ind w:left="0" w:firstLine="0"/>
        <w:rPr>
          <w:rFonts w:ascii="Times New Roman" w:hAnsi="Times New Roman"/>
          <w:lang w:val="en-US"/>
        </w:rPr>
      </w:pPr>
      <w:r w:rsidRPr="00FE3980">
        <w:rPr>
          <w:rStyle w:val="FootnoteReference"/>
          <w:rFonts w:ascii="Times New Roman" w:hAnsi="Times New Roman"/>
        </w:rPr>
        <w:footnoteRef/>
      </w:r>
      <w:r w:rsidRPr="00FE3980">
        <w:rPr>
          <w:rFonts w:ascii="Times New Roman" w:hAnsi="Times New Roman"/>
        </w:rPr>
        <w:t xml:space="preserve"> </w:t>
      </w:r>
      <w:r w:rsidR="003A332D" w:rsidRPr="00FE3980">
        <w:rPr>
          <w:rFonts w:ascii="Times New Roman" w:hAnsi="Times New Roman"/>
        </w:rPr>
        <w:t xml:space="preserve">Lambrick and Barclay, ‘Chapter 3: Early and Middle Iron Age occupation’, in Lambrick and Allen, </w:t>
      </w:r>
      <w:r w:rsidR="003A332D" w:rsidRPr="00FE3980">
        <w:rPr>
          <w:rFonts w:ascii="Times New Roman" w:hAnsi="Times New Roman"/>
          <w:i/>
          <w:iCs/>
        </w:rPr>
        <w:t>Gravelly Guy</w:t>
      </w:r>
      <w:r w:rsidRPr="00FE3980">
        <w:rPr>
          <w:rFonts w:ascii="Times New Roman" w:hAnsi="Times New Roman"/>
        </w:rPr>
        <w:t xml:space="preserve">, </w:t>
      </w:r>
      <w:r w:rsidR="00FE3980" w:rsidRPr="00FE3980">
        <w:rPr>
          <w:rFonts w:ascii="Times New Roman" w:hAnsi="Times New Roman"/>
        </w:rPr>
        <w:t xml:space="preserve">pp. </w:t>
      </w:r>
      <w:r w:rsidRPr="00FE3980">
        <w:rPr>
          <w:rFonts w:ascii="Times New Roman" w:hAnsi="Times New Roman"/>
        </w:rPr>
        <w:t>144–6, fig. 3.16.</w:t>
      </w:r>
    </w:p>
  </w:footnote>
  <w:footnote w:id="72">
    <w:p w14:paraId="335B53A2" w14:textId="6F3CE1B9" w:rsidR="005B3E36" w:rsidRPr="009805AD" w:rsidRDefault="005B3E36" w:rsidP="007F3393">
      <w:pPr>
        <w:pStyle w:val="FootnoteText"/>
        <w:ind w:left="0" w:firstLine="0"/>
        <w:rPr>
          <w:rFonts w:ascii="Times New Roman" w:hAnsi="Times New Roman"/>
          <w:lang w:val="en-US"/>
        </w:rPr>
      </w:pPr>
      <w:r w:rsidRPr="00FE3980">
        <w:rPr>
          <w:rStyle w:val="FootnoteReference"/>
          <w:rFonts w:ascii="Times New Roman" w:hAnsi="Times New Roman"/>
        </w:rPr>
        <w:footnoteRef/>
      </w:r>
      <w:r w:rsidRPr="00FE3980">
        <w:rPr>
          <w:rFonts w:ascii="Times New Roman" w:hAnsi="Times New Roman"/>
        </w:rPr>
        <w:t xml:space="preserve"> </w:t>
      </w:r>
      <w:r w:rsidR="003A332D" w:rsidRPr="00FE3980">
        <w:rPr>
          <w:rFonts w:ascii="Times New Roman" w:hAnsi="Times New Roman"/>
        </w:rPr>
        <w:t>Brown</w:t>
      </w:r>
      <w:r w:rsidR="00FE3980" w:rsidRPr="00FE3980">
        <w:rPr>
          <w:rFonts w:ascii="Times New Roman" w:hAnsi="Times New Roman"/>
        </w:rPr>
        <w:t xml:space="preserve"> </w:t>
      </w:r>
      <w:r w:rsidR="003A332D" w:rsidRPr="00FE3980">
        <w:rPr>
          <w:rFonts w:ascii="Times New Roman" w:hAnsi="Times New Roman"/>
        </w:rPr>
        <w:t xml:space="preserve">and Smith, ‘Chapter 4: The development of the agricultural landscape from the Middle Iron Age to the end of the Roman period (c. 400 BC–4th century AD)’, in </w:t>
      </w:r>
      <w:r w:rsidR="00FE3980" w:rsidRPr="00FE3980">
        <w:rPr>
          <w:rFonts w:ascii="Times New Roman" w:hAnsi="Times New Roman"/>
        </w:rPr>
        <w:t xml:space="preserve">J. </w:t>
      </w:r>
      <w:r w:rsidR="003A332D" w:rsidRPr="00FE3980">
        <w:rPr>
          <w:rFonts w:ascii="Times New Roman" w:hAnsi="Times New Roman"/>
        </w:rPr>
        <w:t>Lewis</w:t>
      </w:r>
      <w:r w:rsidR="00DA3BAD">
        <w:rPr>
          <w:rFonts w:ascii="Times New Roman" w:hAnsi="Times New Roman"/>
        </w:rPr>
        <w:t xml:space="preserve"> et al.</w:t>
      </w:r>
      <w:r w:rsidR="003A332D" w:rsidRPr="00FE3980">
        <w:rPr>
          <w:rFonts w:ascii="Times New Roman" w:hAnsi="Times New Roman"/>
        </w:rPr>
        <w:t xml:space="preserve">, </w:t>
      </w:r>
      <w:r w:rsidR="003A332D" w:rsidRPr="00FE3980">
        <w:rPr>
          <w:rFonts w:ascii="Times New Roman" w:hAnsi="Times New Roman"/>
          <w:i/>
          <w:iCs/>
        </w:rPr>
        <w:t>Landscape evolution in the Middle Thames Valley</w:t>
      </w:r>
      <w:r w:rsidR="003A332D" w:rsidRPr="009805AD">
        <w:rPr>
          <w:rFonts w:ascii="Times New Roman" w:hAnsi="Times New Roman"/>
        </w:rPr>
        <w:t xml:space="preserve">, </w:t>
      </w:r>
      <w:r w:rsidR="00FE3980" w:rsidRPr="009805AD">
        <w:rPr>
          <w:rFonts w:ascii="Times New Roman" w:hAnsi="Times New Roman"/>
        </w:rPr>
        <w:t xml:space="preserve">pp. </w:t>
      </w:r>
      <w:r w:rsidR="003A332D" w:rsidRPr="009805AD">
        <w:rPr>
          <w:rFonts w:ascii="Times New Roman" w:hAnsi="Times New Roman"/>
        </w:rPr>
        <w:t>213–312</w:t>
      </w:r>
      <w:r w:rsidRPr="009805AD">
        <w:rPr>
          <w:rFonts w:ascii="Times New Roman" w:hAnsi="Times New Roman"/>
        </w:rPr>
        <w:t>.</w:t>
      </w:r>
    </w:p>
  </w:footnote>
  <w:footnote w:id="73">
    <w:p w14:paraId="404DDC92" w14:textId="7B50D372" w:rsidR="005B3E36" w:rsidRPr="009805AD" w:rsidRDefault="005B3E36" w:rsidP="007F3393">
      <w:pPr>
        <w:pStyle w:val="FootnoteText"/>
        <w:ind w:left="0" w:firstLine="0"/>
        <w:rPr>
          <w:rFonts w:ascii="Times New Roman" w:hAnsi="Times New Roman"/>
          <w:lang w:val="en-US"/>
        </w:rPr>
      </w:pPr>
      <w:r w:rsidRPr="009805AD">
        <w:rPr>
          <w:rStyle w:val="FootnoteReference"/>
          <w:rFonts w:ascii="Times New Roman" w:hAnsi="Times New Roman"/>
        </w:rPr>
        <w:footnoteRef/>
      </w:r>
      <w:r w:rsidRPr="009805AD">
        <w:rPr>
          <w:rFonts w:ascii="Times New Roman" w:hAnsi="Times New Roman"/>
        </w:rPr>
        <w:t xml:space="preserve"> Holmes,</w:t>
      </w:r>
      <w:r w:rsidR="003A332D" w:rsidRPr="009805AD">
        <w:rPr>
          <w:rFonts w:ascii="Times New Roman" w:hAnsi="Times New Roman"/>
        </w:rPr>
        <w:t xml:space="preserve"> ‘Animal bone’, </w:t>
      </w:r>
      <w:r w:rsidR="009609D8">
        <w:rPr>
          <w:rFonts w:ascii="Times New Roman" w:hAnsi="Times New Roman"/>
        </w:rPr>
        <w:t xml:space="preserve">pp. </w:t>
      </w:r>
      <w:r w:rsidR="00DA3BAD">
        <w:rPr>
          <w:rFonts w:ascii="Times New Roman" w:hAnsi="Times New Roman"/>
        </w:rPr>
        <w:t>120–5</w:t>
      </w:r>
      <w:r w:rsidR="003A332D" w:rsidRPr="009805AD">
        <w:rPr>
          <w:rFonts w:ascii="Times New Roman" w:hAnsi="Times New Roman"/>
        </w:rPr>
        <w:t>.</w:t>
      </w:r>
    </w:p>
  </w:footnote>
  <w:footnote w:id="74">
    <w:p w14:paraId="4E44A21F" w14:textId="693C46E8" w:rsidR="005B3E36" w:rsidRPr="009805AD" w:rsidRDefault="005B3E36" w:rsidP="007F3393">
      <w:pPr>
        <w:pStyle w:val="FootnoteText"/>
        <w:ind w:left="0" w:firstLine="0"/>
        <w:rPr>
          <w:rFonts w:ascii="Times New Roman" w:hAnsi="Times New Roman"/>
          <w:lang w:val="en-US"/>
        </w:rPr>
      </w:pPr>
      <w:r w:rsidRPr="009805AD">
        <w:rPr>
          <w:rStyle w:val="FootnoteReference"/>
          <w:rFonts w:ascii="Times New Roman" w:hAnsi="Times New Roman"/>
        </w:rPr>
        <w:footnoteRef/>
      </w:r>
      <w:r w:rsidRPr="009805AD">
        <w:rPr>
          <w:rFonts w:ascii="Times New Roman" w:hAnsi="Times New Roman"/>
        </w:rPr>
        <w:t xml:space="preserve"> </w:t>
      </w:r>
      <w:r w:rsidR="00FE3980" w:rsidRPr="009805AD">
        <w:rPr>
          <w:rFonts w:ascii="Times New Roman" w:hAnsi="Times New Roman"/>
        </w:rPr>
        <w:t xml:space="preserve">J. </w:t>
      </w:r>
      <w:proofErr w:type="spellStart"/>
      <w:r w:rsidR="003A332D" w:rsidRPr="009805AD">
        <w:rPr>
          <w:rFonts w:ascii="Times New Roman" w:hAnsi="Times New Roman"/>
        </w:rPr>
        <w:t>Mulville</w:t>
      </w:r>
      <w:proofErr w:type="spellEnd"/>
      <w:r w:rsidR="003A332D" w:rsidRPr="009805AD">
        <w:rPr>
          <w:rFonts w:ascii="Times New Roman" w:hAnsi="Times New Roman"/>
        </w:rPr>
        <w:t xml:space="preserve">, </w:t>
      </w:r>
      <w:r w:rsidR="00FE3980" w:rsidRPr="009805AD">
        <w:rPr>
          <w:rFonts w:ascii="Times New Roman" w:hAnsi="Times New Roman"/>
        </w:rPr>
        <w:t>K.</w:t>
      </w:r>
      <w:r w:rsidR="003A332D" w:rsidRPr="009805AD">
        <w:rPr>
          <w:rFonts w:ascii="Times New Roman" w:hAnsi="Times New Roman"/>
        </w:rPr>
        <w:t xml:space="preserve"> Ayres, </w:t>
      </w:r>
      <w:proofErr w:type="gramStart"/>
      <w:r w:rsidR="00FE3980" w:rsidRPr="009805AD">
        <w:rPr>
          <w:rFonts w:ascii="Times New Roman" w:hAnsi="Times New Roman"/>
        </w:rPr>
        <w:t>P.</w:t>
      </w:r>
      <w:proofErr w:type="gramEnd"/>
      <w:r w:rsidR="003A332D" w:rsidRPr="009805AD">
        <w:rPr>
          <w:rFonts w:ascii="Times New Roman" w:hAnsi="Times New Roman"/>
        </w:rPr>
        <w:t xml:space="preserve"> and Smith, ‘Chapter 17: Animal bone’, in </w:t>
      </w:r>
      <w:r w:rsidR="00FE3980" w:rsidRPr="009805AD">
        <w:rPr>
          <w:rFonts w:ascii="Times New Roman" w:hAnsi="Times New Roman"/>
        </w:rPr>
        <w:t xml:space="preserve">G. </w:t>
      </w:r>
      <w:r w:rsidR="003A332D" w:rsidRPr="009805AD">
        <w:rPr>
          <w:rFonts w:ascii="Times New Roman" w:hAnsi="Times New Roman"/>
        </w:rPr>
        <w:t>Hey</w:t>
      </w:r>
      <w:r w:rsidR="00E81209">
        <w:rPr>
          <w:rFonts w:ascii="Times New Roman" w:hAnsi="Times New Roman"/>
        </w:rPr>
        <w:t xml:space="preserve"> et al., </w:t>
      </w:r>
      <w:r w:rsidR="003A332D" w:rsidRPr="009805AD">
        <w:rPr>
          <w:rFonts w:ascii="Times New Roman" w:hAnsi="Times New Roman"/>
          <w:i/>
          <w:iCs/>
        </w:rPr>
        <w:t>The archaeology of the gravel terraces of the Upper and Middle Thames</w:t>
      </w:r>
      <w:r w:rsidR="003A332D" w:rsidRPr="009805AD">
        <w:rPr>
          <w:rFonts w:ascii="Times New Roman" w:hAnsi="Times New Roman"/>
        </w:rPr>
        <w:t xml:space="preserve">, </w:t>
      </w:r>
      <w:r w:rsidR="00FE3980" w:rsidRPr="009805AD">
        <w:rPr>
          <w:rFonts w:ascii="Times New Roman" w:hAnsi="Times New Roman"/>
        </w:rPr>
        <w:t xml:space="preserve">pp. </w:t>
      </w:r>
      <w:r w:rsidR="003A332D" w:rsidRPr="009805AD">
        <w:rPr>
          <w:rFonts w:ascii="Times New Roman" w:hAnsi="Times New Roman"/>
        </w:rPr>
        <w:t>487–521</w:t>
      </w:r>
      <w:r w:rsidR="00FE3980" w:rsidRPr="009805AD">
        <w:rPr>
          <w:rFonts w:ascii="Times New Roman" w:hAnsi="Times New Roman"/>
        </w:rPr>
        <w:t>.</w:t>
      </w:r>
    </w:p>
  </w:footnote>
  <w:footnote w:id="75">
    <w:p w14:paraId="7D4C112D" w14:textId="51F6F9E8" w:rsidR="005B3E36" w:rsidRPr="005B3E36" w:rsidRDefault="005B3E36" w:rsidP="007F3393">
      <w:pPr>
        <w:pStyle w:val="FootnoteText"/>
        <w:ind w:left="0" w:firstLine="0"/>
        <w:rPr>
          <w:lang w:val="en-US"/>
        </w:rPr>
      </w:pPr>
      <w:r w:rsidRPr="009805AD">
        <w:rPr>
          <w:rStyle w:val="FootnoteReference"/>
          <w:rFonts w:ascii="Times New Roman" w:hAnsi="Times New Roman"/>
        </w:rPr>
        <w:footnoteRef/>
      </w:r>
      <w:r w:rsidRPr="009805AD">
        <w:rPr>
          <w:rFonts w:ascii="Times New Roman" w:hAnsi="Times New Roman"/>
        </w:rPr>
        <w:t xml:space="preserve"> </w:t>
      </w:r>
      <w:r w:rsidR="00FE3980" w:rsidRPr="009805AD">
        <w:rPr>
          <w:rFonts w:ascii="Times New Roman" w:hAnsi="Times New Roman"/>
        </w:rPr>
        <w:t xml:space="preserve">J. </w:t>
      </w:r>
      <w:proofErr w:type="spellStart"/>
      <w:r w:rsidR="003A332D" w:rsidRPr="009805AD">
        <w:rPr>
          <w:rFonts w:ascii="Times New Roman" w:hAnsi="Times New Roman"/>
        </w:rPr>
        <w:t>Mulville</w:t>
      </w:r>
      <w:proofErr w:type="spellEnd"/>
      <w:r w:rsidR="003A332D" w:rsidRPr="009805AD">
        <w:rPr>
          <w:rFonts w:ascii="Times New Roman" w:hAnsi="Times New Roman"/>
        </w:rPr>
        <w:t xml:space="preserve"> and </w:t>
      </w:r>
      <w:r w:rsidR="00FE3980" w:rsidRPr="009805AD">
        <w:rPr>
          <w:rFonts w:ascii="Times New Roman" w:hAnsi="Times New Roman"/>
        </w:rPr>
        <w:t xml:space="preserve">B. </w:t>
      </w:r>
      <w:r w:rsidR="003A332D" w:rsidRPr="009805AD">
        <w:rPr>
          <w:rFonts w:ascii="Times New Roman" w:hAnsi="Times New Roman"/>
        </w:rPr>
        <w:t xml:space="preserve">Levitan, ‘The animal bone’, in Lambrick and Allen, </w:t>
      </w:r>
      <w:r w:rsidR="003A332D" w:rsidRPr="009805AD">
        <w:rPr>
          <w:rFonts w:ascii="Times New Roman" w:hAnsi="Times New Roman"/>
          <w:i/>
          <w:iCs/>
        </w:rPr>
        <w:t>Gravelly Guy</w:t>
      </w:r>
      <w:r w:rsidR="003A332D" w:rsidRPr="009805AD">
        <w:rPr>
          <w:rFonts w:ascii="Times New Roman" w:hAnsi="Times New Roman"/>
        </w:rPr>
        <w:t xml:space="preserve">, </w:t>
      </w:r>
      <w:r w:rsidR="009805AD" w:rsidRPr="009805AD">
        <w:rPr>
          <w:rFonts w:ascii="Times New Roman" w:hAnsi="Times New Roman"/>
        </w:rPr>
        <w:t xml:space="preserve">pp. </w:t>
      </w:r>
      <w:r w:rsidR="003A332D" w:rsidRPr="009805AD">
        <w:rPr>
          <w:rFonts w:ascii="Times New Roman" w:hAnsi="Times New Roman"/>
        </w:rPr>
        <w:t>463–477</w:t>
      </w:r>
      <w:r w:rsidR="009805AD">
        <w:t>.</w:t>
      </w:r>
    </w:p>
  </w:footnote>
  <w:footnote w:id="76">
    <w:p w14:paraId="674BC5A1" w14:textId="6458FA28" w:rsidR="005B3E36" w:rsidRPr="00664D8C" w:rsidRDefault="005B3E36" w:rsidP="007F3393">
      <w:pPr>
        <w:pStyle w:val="FootnoteText"/>
        <w:ind w:left="0" w:firstLine="0"/>
        <w:rPr>
          <w:rFonts w:ascii="Times New Roman" w:hAnsi="Times New Roman"/>
          <w:lang w:val="en-US"/>
        </w:rPr>
      </w:pPr>
      <w:r w:rsidRPr="00664D8C">
        <w:rPr>
          <w:rStyle w:val="FootnoteReference"/>
          <w:rFonts w:ascii="Times New Roman" w:hAnsi="Times New Roman"/>
        </w:rPr>
        <w:footnoteRef/>
      </w:r>
      <w:r w:rsidRPr="00664D8C">
        <w:rPr>
          <w:rFonts w:ascii="Times New Roman" w:hAnsi="Times New Roman"/>
        </w:rPr>
        <w:t xml:space="preserve"> Pearson</w:t>
      </w:r>
      <w:r w:rsidR="003A332D" w:rsidRPr="00664D8C">
        <w:rPr>
          <w:rFonts w:ascii="Times New Roman" w:hAnsi="Times New Roman"/>
        </w:rPr>
        <w:t>, ‘Late prehistoric and Roman potter</w:t>
      </w:r>
      <w:r w:rsidR="00664D8C" w:rsidRPr="00664D8C">
        <w:rPr>
          <w:rFonts w:ascii="Times New Roman" w:hAnsi="Times New Roman"/>
        </w:rPr>
        <w:t>y</w:t>
      </w:r>
      <w:r w:rsidR="003A332D" w:rsidRPr="00664D8C">
        <w:rPr>
          <w:rFonts w:ascii="Times New Roman" w:hAnsi="Times New Roman"/>
        </w:rPr>
        <w:t>’</w:t>
      </w:r>
      <w:r w:rsidR="00E81209">
        <w:rPr>
          <w:rFonts w:ascii="Times New Roman" w:hAnsi="Times New Roman"/>
        </w:rPr>
        <w:t>, pp. 86–98</w:t>
      </w:r>
      <w:r w:rsidR="003A332D" w:rsidRPr="00664D8C">
        <w:rPr>
          <w:rFonts w:ascii="Times New Roman" w:hAnsi="Times New Roman"/>
        </w:rPr>
        <w:t>.</w:t>
      </w:r>
    </w:p>
  </w:footnote>
  <w:footnote w:id="77">
    <w:p w14:paraId="7CF7A47C" w14:textId="66CCC528" w:rsidR="005B3E36" w:rsidRPr="00374301" w:rsidRDefault="005B3E36" w:rsidP="007F3393">
      <w:pPr>
        <w:pStyle w:val="FootnoteText"/>
        <w:ind w:left="0" w:firstLine="0"/>
        <w:rPr>
          <w:rFonts w:ascii="Times New Roman" w:hAnsi="Times New Roman"/>
          <w:lang w:val="en-US"/>
        </w:rPr>
      </w:pPr>
      <w:r w:rsidRPr="00664D8C">
        <w:rPr>
          <w:rStyle w:val="FootnoteReference"/>
          <w:rFonts w:ascii="Times New Roman" w:hAnsi="Times New Roman"/>
        </w:rPr>
        <w:footnoteRef/>
      </w:r>
      <w:r w:rsidRPr="00664D8C">
        <w:rPr>
          <w:rFonts w:ascii="Times New Roman" w:hAnsi="Times New Roman"/>
        </w:rPr>
        <w:t xml:space="preserve"> </w:t>
      </w:r>
      <w:r w:rsidR="00664D8C" w:rsidRPr="00664D8C">
        <w:rPr>
          <w:rFonts w:ascii="Times New Roman" w:hAnsi="Times New Roman"/>
        </w:rPr>
        <w:t xml:space="preserve">E. </w:t>
      </w:r>
      <w:r w:rsidRPr="00664D8C">
        <w:rPr>
          <w:rFonts w:ascii="Times New Roman" w:hAnsi="Times New Roman"/>
          <w:lang w:val="en-US"/>
        </w:rPr>
        <w:t>Aitken</w:t>
      </w:r>
      <w:r w:rsidR="003A332D" w:rsidRPr="00664D8C">
        <w:rPr>
          <w:rFonts w:ascii="Times New Roman" w:hAnsi="Times New Roman"/>
          <w:lang w:val="en-US"/>
        </w:rPr>
        <w:t xml:space="preserve">, ‘Radiocarbon dating’, </w:t>
      </w:r>
      <w:r w:rsidR="003A332D" w:rsidRPr="00664D8C">
        <w:rPr>
          <w:rFonts w:ascii="Times New Roman" w:hAnsi="Times New Roman"/>
        </w:rPr>
        <w:t xml:space="preserve">in </w:t>
      </w:r>
      <w:r w:rsidR="00664D8C" w:rsidRPr="00664D8C">
        <w:rPr>
          <w:rFonts w:ascii="Times New Roman" w:hAnsi="Times New Roman"/>
        </w:rPr>
        <w:t>‘</w:t>
      </w:r>
      <w:r w:rsidR="003A332D" w:rsidRPr="00664D8C">
        <w:rPr>
          <w:rFonts w:ascii="Times New Roman" w:hAnsi="Times New Roman"/>
        </w:rPr>
        <w:t>A40 Science Transit Phase 2 – Park and Ride, Eynsham</w:t>
      </w:r>
      <w:r w:rsidR="00E81209">
        <w:rPr>
          <w:rFonts w:ascii="Times New Roman" w:hAnsi="Times New Roman"/>
        </w:rPr>
        <w:t xml:space="preserve"> </w:t>
      </w:r>
      <w:r w:rsidR="00664D8C" w:rsidRPr="00664D8C">
        <w:rPr>
          <w:rFonts w:ascii="Times New Roman" w:hAnsi="Times New Roman"/>
        </w:rPr>
        <w:t>(2023)</w:t>
      </w:r>
      <w:r w:rsidR="00E81209">
        <w:rPr>
          <w:rFonts w:ascii="Times New Roman" w:hAnsi="Times New Roman"/>
        </w:rPr>
        <w:t>, 140–1</w:t>
      </w:r>
      <w:r w:rsidR="003A332D" w:rsidRPr="00664D8C">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9677D" w14:textId="77777777" w:rsidR="003F0CC1" w:rsidRDefault="003F0CC1">
    <w:pPr>
      <w:pStyle w:val="Header"/>
    </w:pPr>
    <w:r>
      <w:rPr>
        <w:noProof/>
      </w:rPr>
      <mc:AlternateContent>
        <mc:Choice Requires="wps">
          <w:drawing>
            <wp:anchor distT="0" distB="0" distL="114300" distR="114300" simplePos="0" relativeHeight="251750400" behindDoc="1" locked="0" layoutInCell="0" allowOverlap="1" wp14:anchorId="69D26454" wp14:editId="475FE6D2">
              <wp:simplePos x="0" y="0"/>
              <wp:positionH relativeFrom="margin">
                <wp:align>center</wp:align>
              </wp:positionH>
              <wp:positionV relativeFrom="margin">
                <wp:align>center</wp:align>
              </wp:positionV>
              <wp:extent cx="5772150" cy="2308860"/>
              <wp:effectExtent l="0" t="1562100" r="0" b="1263015"/>
              <wp:wrapNone/>
              <wp:docPr id="11" name="WordArt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7AA7427" w14:textId="77777777" w:rsidR="003F0CC1" w:rsidRDefault="003F0CC1" w:rsidP="007A1CB0">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9D26454" id="_x0000_t202" coordsize="21600,21600" o:spt="202" path="m,l,21600r21600,l21600,xe">
              <v:stroke joinstyle="miter"/>
              <v:path gradientshapeok="t" o:connecttype="rect"/>
            </v:shapetype>
            <v:shape id="WordArt 54" o:spid="_x0000_s1026" type="#_x0000_t202" style="position:absolute;left:0;text-align:left;margin-left:0;margin-top:0;width:454.5pt;height:181.8pt;rotation:-45;z-index:-2515660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" o:allowincell="f" filled="f" stroked="f">
              <v:stroke joinstyle="round"/>
              <o:lock v:ext="edit" shapetype="t"/>
              <v:textbox style="mso-fit-shape-to-text:t">
                <w:txbxContent>
                  <w:p w14:paraId="17AA7427" w14:textId="77777777" w:rsidR="003F0CC1" w:rsidRDefault="003F0CC1" w:rsidP="007A1CB0">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15755" w14:textId="7D61ED14" w:rsidR="003F0CC1" w:rsidRPr="00003C7A" w:rsidRDefault="003F0CC1" w:rsidP="00A07AEF">
    <w:pPr>
      <w:pStyle w:val="Header"/>
      <w:tabs>
        <w:tab w:val="clear" w:pos="794"/>
        <w:tab w:val="left" w:pos="851"/>
      </w:tabs>
      <w:ind w:left="851" w:right="805"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B74CE" w14:textId="77777777" w:rsidR="003F0CC1" w:rsidRDefault="003F0CC1">
    <w:pPr>
      <w:pStyle w:val="Header"/>
    </w:pPr>
    <w:r>
      <w:rPr>
        <w:noProof/>
      </w:rPr>
      <mc:AlternateContent>
        <mc:Choice Requires="wps">
          <w:drawing>
            <wp:anchor distT="0" distB="0" distL="114300" distR="114300" simplePos="0" relativeHeight="251748352" behindDoc="1" locked="0" layoutInCell="0" allowOverlap="1" wp14:anchorId="024694D5" wp14:editId="68C85B96">
              <wp:simplePos x="0" y="0"/>
              <wp:positionH relativeFrom="margin">
                <wp:align>center</wp:align>
              </wp:positionH>
              <wp:positionV relativeFrom="margin">
                <wp:align>center</wp:align>
              </wp:positionV>
              <wp:extent cx="5772150" cy="2308860"/>
              <wp:effectExtent l="0" t="1562100" r="0" b="1263015"/>
              <wp:wrapNone/>
              <wp:docPr id="6" name="WordArt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76C464" w14:textId="77777777" w:rsidR="003F0CC1" w:rsidRDefault="003F0CC1" w:rsidP="007A1CB0">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4694D5" id="_x0000_t202" coordsize="21600,21600" o:spt="202" path="m,l,21600r21600,l21600,xe">
              <v:stroke joinstyle="miter"/>
              <v:path gradientshapeok="t" o:connecttype="rect"/>
            </v:shapetype>
            <v:shape id="WordArt 53" o:spid="_x0000_s1027" type="#_x0000_t202" style="position:absolute;left:0;text-align:left;margin-left:0;margin-top:0;width:454.5pt;height:181.8pt;rotation:-45;z-index:-2515681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" o:allowincell="f" filled="f" stroked="f">
              <v:stroke joinstyle="round"/>
              <o:lock v:ext="edit" shapetype="t"/>
              <v:textbox style="mso-fit-shape-to-text:t">
                <w:txbxContent>
                  <w:p w14:paraId="6C76C464" w14:textId="77777777" w:rsidR="003F0CC1" w:rsidRDefault="003F0CC1" w:rsidP="007A1CB0">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77EC12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10A80"/>
    <w:multiLevelType w:val="hybridMultilevel"/>
    <w:tmpl w:val="C7D0FDE2"/>
    <w:lvl w:ilvl="0" w:tplc="950A1044">
      <w:start w:val="1"/>
      <w:numFmt w:val="bullet"/>
      <w:pStyle w:val="03BulletList"/>
      <w:lvlText w:val=""/>
      <w:lvlJc w:val="left"/>
      <w:pPr>
        <w:ind w:left="1571" w:hanging="360"/>
      </w:pPr>
      <w:rPr>
        <w:rFonts w:ascii="Symbol" w:hAnsi="Symbol" w:hint="default"/>
        <w:color w:val="4F81BD" w:themeColor="accent1"/>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5485641"/>
    <w:multiLevelType w:val="hybridMultilevel"/>
    <w:tmpl w:val="981E5CE4"/>
    <w:lvl w:ilvl="0" w:tplc="0AD28D12">
      <w:start w:val="1"/>
      <w:numFmt w:val="decimal"/>
      <w:pStyle w:val="Heading1"/>
      <w:lvlText w:val="%1."/>
      <w:lvlJc w:val="left"/>
      <w:pPr>
        <w:ind w:left="360" w:hanging="360"/>
      </w:pPr>
    </w:lvl>
    <w:lvl w:ilvl="1" w:tplc="08090019">
      <w:start w:val="1"/>
      <w:numFmt w:val="lowerLetter"/>
      <w:lvlText w:val="%2."/>
      <w:lvlJc w:val="left"/>
      <w:pPr>
        <w:ind w:left="2234" w:hanging="360"/>
      </w:pPr>
    </w:lvl>
    <w:lvl w:ilvl="2" w:tplc="0809001B" w:tentative="1">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abstractNum w:abstractNumId="3" w15:restartNumberingAfterBreak="0">
    <w:nsid w:val="0AB20007"/>
    <w:multiLevelType w:val="multilevel"/>
    <w:tmpl w:val="F17CE336"/>
    <w:lvl w:ilvl="0">
      <w:start w:val="6"/>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b w:val="0"/>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B805645"/>
    <w:multiLevelType w:val="multilevel"/>
    <w:tmpl w:val="7674DAE6"/>
    <w:lvl w:ilvl="0">
      <w:start w:val="1"/>
      <w:numFmt w:val="decimal"/>
      <w:lvlText w:val="%1"/>
      <w:lvlJc w:val="left"/>
      <w:pPr>
        <w:ind w:left="360" w:hanging="360"/>
      </w:pPr>
      <w:rPr>
        <w:rFonts w:hint="default"/>
      </w:rPr>
    </w:lvl>
    <w:lvl w:ilvl="1">
      <w:start w:val="1"/>
      <w:numFmt w:val="decimal"/>
      <w:pStyle w:val="DBAText"/>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FC7A14"/>
    <w:multiLevelType w:val="hybridMultilevel"/>
    <w:tmpl w:val="B01CC758"/>
    <w:lvl w:ilvl="0" w:tplc="09123376">
      <w:start w:val="1"/>
      <w:numFmt w:val="decimal"/>
      <w:lvlText w:val="4.%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435514"/>
    <w:multiLevelType w:val="hybridMultilevel"/>
    <w:tmpl w:val="50AC5E74"/>
    <w:lvl w:ilvl="0" w:tplc="91446B6E">
      <w:start w:val="1"/>
      <w:numFmt w:val="decimal"/>
      <w:lvlText w:val="%1."/>
      <w:lvlJc w:val="left"/>
      <w:pPr>
        <w:ind w:left="1152" w:hanging="79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ED0FE8"/>
    <w:multiLevelType w:val="multilevel"/>
    <w:tmpl w:val="E1E8089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bCs w:val="0"/>
        <w:i w:val="0"/>
        <w:iCs w:val="0"/>
        <w:caps w:val="0"/>
        <w:smallCaps w:val="0"/>
        <w:strike w:val="0"/>
        <w:dstrike w:val="0"/>
        <w:noProof w:val="0"/>
        <w:vanish w:val="0"/>
        <w:color w:val="4F81BD"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706B2F"/>
    <w:multiLevelType w:val="multilevel"/>
    <w:tmpl w:val="624C919C"/>
    <w:lvl w:ilvl="0">
      <w:start w:val="2"/>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i w:val="0"/>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F000013"/>
    <w:multiLevelType w:val="hybridMultilevel"/>
    <w:tmpl w:val="5ECC256E"/>
    <w:lvl w:ilvl="0" w:tplc="08090001">
      <w:start w:val="1"/>
      <w:numFmt w:val="bullet"/>
      <w:lvlText w:val=""/>
      <w:lvlJc w:val="left"/>
      <w:pPr>
        <w:tabs>
          <w:tab w:val="num" w:pos="907"/>
        </w:tabs>
        <w:ind w:left="907"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7C6510"/>
    <w:multiLevelType w:val="multilevel"/>
    <w:tmpl w:val="1C486956"/>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574150"/>
    <w:multiLevelType w:val="multilevel"/>
    <w:tmpl w:val="B9020482"/>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bCs w:val="0"/>
        <w:i w:val="0"/>
        <w:iCs w:val="0"/>
        <w:caps w:val="0"/>
        <w:smallCaps w:val="0"/>
        <w:strike w:val="0"/>
        <w:dstrike w:val="0"/>
        <w:noProof w:val="0"/>
        <w:vanish w:val="0"/>
        <w:color w:val="4F81BD"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3372296"/>
    <w:multiLevelType w:val="multilevel"/>
    <w:tmpl w:val="E6C4A628"/>
    <w:styleLink w:val="Style1"/>
    <w:lvl w:ilvl="0">
      <w:start w:val="3"/>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20"/>
        </w:tabs>
        <w:ind w:left="720" w:hanging="360"/>
      </w:pPr>
      <w:rPr>
        <w:rFonts w:hint="default"/>
        <w:i w:val="0"/>
      </w:rPr>
    </w:lvl>
    <w:lvl w:ilvl="2">
      <w:start w:val="1"/>
      <w:numFmt w:val="bullet"/>
      <w:lvlText w:val=""/>
      <w:lvlJc w:val="left"/>
      <w:pPr>
        <w:tabs>
          <w:tab w:val="num" w:pos="720"/>
        </w:tabs>
        <w:ind w:left="720" w:hanging="360"/>
      </w:pPr>
      <w:rPr>
        <w:rFonts w:ascii="Symbol" w:hAnsi="Symbol"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26D32C59"/>
    <w:multiLevelType w:val="singleLevel"/>
    <w:tmpl w:val="0C7AE4F0"/>
    <w:lvl w:ilvl="0">
      <w:start w:val="1"/>
      <w:numFmt w:val="decimal"/>
      <w:lvlText w:val="%1."/>
      <w:lvlJc w:val="left"/>
      <w:pPr>
        <w:tabs>
          <w:tab w:val="num" w:pos="360"/>
        </w:tabs>
        <w:ind w:left="360" w:hanging="360"/>
      </w:pPr>
    </w:lvl>
  </w:abstractNum>
  <w:abstractNum w:abstractNumId="14" w15:restartNumberingAfterBreak="0">
    <w:nsid w:val="2AA12281"/>
    <w:multiLevelType w:val="multilevel"/>
    <w:tmpl w:val="D1343F4E"/>
    <w:lvl w:ilvl="0">
      <w:start w:val="7"/>
      <w:numFmt w:val="decimal"/>
      <w:pStyle w:val="AGRCHAPTERHEADING"/>
      <w:lvlText w:val="Chapter %1."/>
      <w:lvlJc w:val="left"/>
      <w:pPr>
        <w:ind w:left="360" w:hanging="360"/>
      </w:pPr>
      <w:rPr>
        <w:rFonts w:hint="default"/>
      </w:rPr>
    </w:lvl>
    <w:lvl w:ilvl="1">
      <w:start w:val="1"/>
      <w:numFmt w:val="decimal"/>
      <w:pStyle w:val="ParagraphTextProof"/>
      <w:lvlText w:val="%1.%2."/>
      <w:lvlJc w:val="left"/>
      <w:pPr>
        <w:ind w:left="792" w:hanging="432"/>
      </w:pPr>
      <w:rPr>
        <w:rFonts w:hint="default"/>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B8302B2"/>
    <w:multiLevelType w:val="hybridMultilevel"/>
    <w:tmpl w:val="F9E8FD7E"/>
    <w:lvl w:ilvl="0" w:tplc="D73E0B26">
      <w:start w:val="2"/>
      <w:numFmt w:val="decimal"/>
      <w:pStyle w:val="DBAParaText"/>
      <w:lvlText w:val="1.1%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6D621E"/>
    <w:multiLevelType w:val="hybridMultilevel"/>
    <w:tmpl w:val="2C9247EC"/>
    <w:lvl w:ilvl="0" w:tplc="ADBA415E">
      <w:start w:val="1"/>
      <w:numFmt w:val="low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7" w15:restartNumberingAfterBreak="0">
    <w:nsid w:val="411A33CF"/>
    <w:multiLevelType w:val="hybridMultilevel"/>
    <w:tmpl w:val="BA24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4D0354"/>
    <w:multiLevelType w:val="hybridMultilevel"/>
    <w:tmpl w:val="9D4E560C"/>
    <w:lvl w:ilvl="0" w:tplc="970C213C">
      <w:start w:val="1"/>
      <w:numFmt w:val="decimal"/>
      <w:lvlText w:val="3.%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0E4F1D"/>
    <w:multiLevelType w:val="hybridMultilevel"/>
    <w:tmpl w:val="3DD8D6D0"/>
    <w:lvl w:ilvl="0" w:tplc="7F742606">
      <w:start w:val="1"/>
      <w:numFmt w:val="decimal"/>
      <w:lvlText w:val="%1."/>
      <w:lvlJc w:val="left"/>
      <w:pPr>
        <w:ind w:left="1155" w:hanging="79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7753BB"/>
    <w:multiLevelType w:val="singleLevel"/>
    <w:tmpl w:val="FABA7A76"/>
    <w:lvl w:ilvl="0">
      <w:start w:val="1"/>
      <w:numFmt w:val="bullet"/>
      <w:pStyle w:val="Level7"/>
      <w:lvlText w:val=""/>
      <w:lvlJc w:val="left"/>
      <w:pPr>
        <w:tabs>
          <w:tab w:val="num" w:pos="720"/>
        </w:tabs>
        <w:ind w:left="720" w:hanging="720"/>
      </w:pPr>
      <w:rPr>
        <w:rFonts w:ascii="Symbol" w:hAnsi="Symbol" w:hint="default"/>
      </w:rPr>
    </w:lvl>
  </w:abstractNum>
  <w:abstractNum w:abstractNumId="21" w15:restartNumberingAfterBreak="0">
    <w:nsid w:val="590F57FA"/>
    <w:multiLevelType w:val="hybridMultilevel"/>
    <w:tmpl w:val="92F40F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C47704"/>
    <w:multiLevelType w:val="hybridMultilevel"/>
    <w:tmpl w:val="6CA43CAC"/>
    <w:lvl w:ilvl="0" w:tplc="B04281D0">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513506"/>
    <w:multiLevelType w:val="multilevel"/>
    <w:tmpl w:val="0FEA061C"/>
    <w:lvl w:ilvl="0">
      <w:start w:val="1"/>
      <w:numFmt w:val="decimal"/>
      <w:pStyle w:val="Style2"/>
      <w:lvlText w:val="%1."/>
      <w:lvlJc w:val="left"/>
      <w:pPr>
        <w:tabs>
          <w:tab w:val="num" w:pos="720"/>
        </w:tabs>
        <w:ind w:left="576" w:hanging="576"/>
      </w:pPr>
      <w:rPr>
        <w:rFonts w:cs="Times New Roman" w:hint="default"/>
      </w:rPr>
    </w:lvl>
    <w:lvl w:ilvl="1">
      <w:start w:val="1"/>
      <w:numFmt w:val="decimal"/>
      <w:isLgl/>
      <w:lvlText w:val="%1.%2."/>
      <w:lvlJc w:val="left"/>
      <w:pPr>
        <w:tabs>
          <w:tab w:val="num" w:pos="1440"/>
        </w:tabs>
        <w:ind w:left="720" w:hanging="720"/>
      </w:pPr>
      <w:rPr>
        <w:rFonts w:cs="Times New Roman" w:hint="default"/>
      </w:rPr>
    </w:lvl>
    <w:lvl w:ilvl="2">
      <w:start w:val="1"/>
      <w:numFmt w:val="decimal"/>
      <w:pStyle w:val="ENVIRONMENTTEXT"/>
      <w:lvlText w:val="%1.%2.%3."/>
      <w:lvlJc w:val="left"/>
      <w:pPr>
        <w:tabs>
          <w:tab w:val="num" w:pos="2160"/>
        </w:tabs>
        <w:ind w:left="1224" w:hanging="1224"/>
      </w:pPr>
      <w:rPr>
        <w:rFonts w:cs="Times New Roman" w:hint="default"/>
      </w:rPr>
    </w:lvl>
    <w:lvl w:ilvl="3">
      <w:start w:val="1"/>
      <w:numFmt w:val="decimal"/>
      <w:lvlText w:val="%1.%2.%3.%4."/>
      <w:lvlJc w:val="left"/>
      <w:pPr>
        <w:tabs>
          <w:tab w:val="num" w:pos="2880"/>
        </w:tabs>
        <w:ind w:left="1728" w:hanging="648"/>
      </w:pPr>
      <w:rPr>
        <w:rFonts w:cs="Times New Roman" w:hint="default"/>
      </w:rPr>
    </w:lvl>
    <w:lvl w:ilvl="4">
      <w:start w:val="1"/>
      <w:numFmt w:val="decimal"/>
      <w:lvlText w:val="%1.%2.%3.%4.%5."/>
      <w:lvlJc w:val="left"/>
      <w:pPr>
        <w:tabs>
          <w:tab w:val="num" w:pos="3600"/>
        </w:tabs>
        <w:ind w:left="2232" w:hanging="792"/>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24" w15:restartNumberingAfterBreak="0">
    <w:nsid w:val="615421E2"/>
    <w:multiLevelType w:val="multilevel"/>
    <w:tmpl w:val="E90E7A72"/>
    <w:lvl w:ilvl="0">
      <w:start w:val="1"/>
      <w:numFmt w:val="decimal"/>
      <w:lvlText w:val="%1."/>
      <w:lvlJc w:val="left"/>
      <w:pPr>
        <w:ind w:left="360" w:hanging="360"/>
      </w:pPr>
      <w:rPr>
        <w:rFonts w:hint="default"/>
      </w:r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4F81BD"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DBAsub-heading1"/>
      <w:lvlText w:val="%1.%2.%3."/>
      <w:lvlJc w:val="left"/>
      <w:pPr>
        <w:ind w:left="1224" w:hanging="504"/>
      </w:pPr>
      <w:rPr>
        <w:rFonts w:hint="default"/>
      </w:rPr>
    </w:lvl>
    <w:lvl w:ilvl="3">
      <w:start w:val="1"/>
      <w:numFmt w:val="decimal"/>
      <w:pStyle w:val="DBASub-heading2"/>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41F48E3"/>
    <w:multiLevelType w:val="hybridMultilevel"/>
    <w:tmpl w:val="BA280400"/>
    <w:lvl w:ilvl="0" w:tplc="91446B6E">
      <w:start w:val="1"/>
      <w:numFmt w:val="decimal"/>
      <w:lvlText w:val="%1."/>
      <w:lvlJc w:val="left"/>
      <w:pPr>
        <w:ind w:left="1152" w:hanging="79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05DC6"/>
    <w:multiLevelType w:val="hybridMultilevel"/>
    <w:tmpl w:val="9ED49CD8"/>
    <w:lvl w:ilvl="0" w:tplc="FFFFFFFF">
      <w:start w:val="1"/>
      <w:numFmt w:val="bullet"/>
      <w:pStyle w:val="Bullets"/>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AE23E59"/>
    <w:multiLevelType w:val="multilevel"/>
    <w:tmpl w:val="DE2863AE"/>
    <w:lvl w:ilvl="0">
      <w:start w:val="1"/>
      <w:numFmt w:val="decimal"/>
      <w:lvlText w:val="%1."/>
      <w:lvlJc w:val="left"/>
      <w:pPr>
        <w:ind w:left="720" w:hanging="360"/>
      </w:pPr>
      <w:rPr>
        <w:rFonts w:cs="Times New Roman" w:hint="default"/>
      </w:rPr>
    </w:lvl>
    <w:lvl w:ilvl="1">
      <w:start w:val="1"/>
      <w:numFmt w:val="decimal"/>
      <w:isLgl/>
      <w:lvlText w:val="%1.%2"/>
      <w:lvlJc w:val="left"/>
      <w:pPr>
        <w:ind w:left="570" w:hanging="57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 w15:restartNumberingAfterBreak="0">
    <w:nsid w:val="750463BF"/>
    <w:multiLevelType w:val="multilevel"/>
    <w:tmpl w:val="B35668B0"/>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bCs w:val="0"/>
        <w:i w:val="0"/>
        <w:iCs w:val="0"/>
        <w:caps w:val="0"/>
        <w:smallCaps w:val="0"/>
        <w:strike w:val="0"/>
        <w:dstrike w:val="0"/>
        <w:noProof w:val="0"/>
        <w:vanish w:val="0"/>
        <w:color w:val="4F81BD"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7C92EF3"/>
    <w:multiLevelType w:val="hybridMultilevel"/>
    <w:tmpl w:val="C24A241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0" w15:restartNumberingAfterBreak="0">
    <w:nsid w:val="7C1F72B9"/>
    <w:multiLevelType w:val="hybridMultilevel"/>
    <w:tmpl w:val="351E274A"/>
    <w:lvl w:ilvl="0" w:tplc="51C442EE">
      <w:start w:val="1"/>
      <w:numFmt w:val="decimal"/>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num w:numId="1" w16cid:durableId="1727993820">
    <w:abstractNumId w:val="12"/>
  </w:num>
  <w:num w:numId="2" w16cid:durableId="896936394">
    <w:abstractNumId w:val="4"/>
  </w:num>
  <w:num w:numId="3" w16cid:durableId="1690596935">
    <w:abstractNumId w:val="0"/>
  </w:num>
  <w:num w:numId="4" w16cid:durableId="727648889">
    <w:abstractNumId w:val="26"/>
  </w:num>
  <w:num w:numId="5" w16cid:durableId="76633915">
    <w:abstractNumId w:val="20"/>
  </w:num>
  <w:num w:numId="6" w16cid:durableId="748425223">
    <w:abstractNumId w:val="23"/>
  </w:num>
  <w:num w:numId="7" w16cid:durableId="1222792660">
    <w:abstractNumId w:val="1"/>
  </w:num>
  <w:num w:numId="8" w16cid:durableId="77945257">
    <w:abstractNumId w:val="2"/>
  </w:num>
  <w:num w:numId="9" w16cid:durableId="1121462430">
    <w:abstractNumId w:val="13"/>
  </w:num>
  <w:num w:numId="10" w16cid:durableId="875460312">
    <w:abstractNumId w:val="18"/>
  </w:num>
  <w:num w:numId="11" w16cid:durableId="1396705470">
    <w:abstractNumId w:val="5"/>
  </w:num>
  <w:num w:numId="12" w16cid:durableId="1417089860">
    <w:abstractNumId w:val="8"/>
  </w:num>
  <w:num w:numId="13" w16cid:durableId="1347824497">
    <w:abstractNumId w:val="9"/>
  </w:num>
  <w:num w:numId="14" w16cid:durableId="14694609">
    <w:abstractNumId w:val="4"/>
  </w:num>
  <w:num w:numId="15" w16cid:durableId="1804693470">
    <w:abstractNumId w:val="4"/>
  </w:num>
  <w:num w:numId="16" w16cid:durableId="92165635">
    <w:abstractNumId w:val="4"/>
  </w:num>
  <w:num w:numId="17" w16cid:durableId="83763738">
    <w:abstractNumId w:val="4"/>
  </w:num>
  <w:num w:numId="18" w16cid:durableId="1831632710">
    <w:abstractNumId w:val="14"/>
  </w:num>
  <w:num w:numId="19" w16cid:durableId="366806673">
    <w:abstractNumId w:val="27"/>
  </w:num>
  <w:num w:numId="20" w16cid:durableId="1736659328">
    <w:abstractNumId w:val="29"/>
  </w:num>
  <w:num w:numId="21" w16cid:durableId="657464270">
    <w:abstractNumId w:val="15"/>
  </w:num>
  <w:num w:numId="22" w16cid:durableId="253125998">
    <w:abstractNumId w:val="2"/>
    <w:lvlOverride w:ilvl="0">
      <w:startOverride w:val="2"/>
    </w:lvlOverride>
  </w:num>
  <w:num w:numId="23" w16cid:durableId="1515533482">
    <w:abstractNumId w:val="24"/>
  </w:num>
  <w:num w:numId="24" w16cid:durableId="579608139">
    <w:abstractNumId w:val="22"/>
  </w:num>
  <w:num w:numId="25" w16cid:durableId="14645403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686454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8156722">
    <w:abstractNumId w:val="16"/>
  </w:num>
  <w:num w:numId="28" w16cid:durableId="9845076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38227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64471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29013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53587914">
    <w:abstractNumId w:val="10"/>
  </w:num>
  <w:num w:numId="33" w16cid:durableId="414130053">
    <w:abstractNumId w:val="3"/>
  </w:num>
  <w:num w:numId="34" w16cid:durableId="1642688976">
    <w:abstractNumId w:val="24"/>
  </w:num>
  <w:num w:numId="35" w16cid:durableId="1506046716">
    <w:abstractNumId w:val="24"/>
  </w:num>
  <w:num w:numId="36" w16cid:durableId="1995522245">
    <w:abstractNumId w:val="24"/>
  </w:num>
  <w:num w:numId="37" w16cid:durableId="258954637">
    <w:abstractNumId w:val="30"/>
  </w:num>
  <w:num w:numId="38" w16cid:durableId="1391802055">
    <w:abstractNumId w:val="24"/>
  </w:num>
  <w:num w:numId="39" w16cid:durableId="1137340187">
    <w:abstractNumId w:val="24"/>
  </w:num>
  <w:num w:numId="40" w16cid:durableId="621572453">
    <w:abstractNumId w:val="1"/>
  </w:num>
  <w:num w:numId="41" w16cid:durableId="1196582597">
    <w:abstractNumId w:val="28"/>
  </w:num>
  <w:num w:numId="42" w16cid:durableId="627592477">
    <w:abstractNumId w:val="11"/>
  </w:num>
  <w:num w:numId="43" w16cid:durableId="2044357142">
    <w:abstractNumId w:val="7"/>
  </w:num>
  <w:num w:numId="44" w16cid:durableId="1591238880">
    <w:abstractNumId w:val="19"/>
  </w:num>
  <w:num w:numId="45" w16cid:durableId="482309420">
    <w:abstractNumId w:val="21"/>
  </w:num>
  <w:num w:numId="46" w16cid:durableId="459879375">
    <w:abstractNumId w:val="25"/>
  </w:num>
  <w:num w:numId="47" w16cid:durableId="1585800325">
    <w:abstractNumId w:val="6"/>
  </w:num>
  <w:num w:numId="48" w16cid:durableId="1252619236">
    <w:abstractNumId w:val="17"/>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e Barker">
    <w15:presenceInfo w15:providerId="AD" w15:userId="S::Joanne.Barker@cotswoldarchaeology.co.uk::541f8940-1fb1-4b6f-b189-d40b3b487cc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saveSubsetFonts/>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94"/>
  <w:clickAndTypeStyle w:val="DBANumberedParagraph"/>
  <w:characterSpacingControl w:val="doNotCompress"/>
  <w:hdrShapeDefaults>
    <o:shapedefaults v:ext="edit" spidmax="2050" fillcolor="white">
      <v:fill color="white" type="fram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92E"/>
    <w:rsid w:val="00000E0A"/>
    <w:rsid w:val="000022A1"/>
    <w:rsid w:val="0000345E"/>
    <w:rsid w:val="0000346B"/>
    <w:rsid w:val="00003C7A"/>
    <w:rsid w:val="00003D71"/>
    <w:rsid w:val="00004518"/>
    <w:rsid w:val="00004B31"/>
    <w:rsid w:val="000068AB"/>
    <w:rsid w:val="00007231"/>
    <w:rsid w:val="000074F4"/>
    <w:rsid w:val="00007622"/>
    <w:rsid w:val="00010214"/>
    <w:rsid w:val="000103A5"/>
    <w:rsid w:val="00010A84"/>
    <w:rsid w:val="00011DA6"/>
    <w:rsid w:val="0001271F"/>
    <w:rsid w:val="00013AFA"/>
    <w:rsid w:val="00015E5C"/>
    <w:rsid w:val="000207DD"/>
    <w:rsid w:val="000208C4"/>
    <w:rsid w:val="00021397"/>
    <w:rsid w:val="0002177B"/>
    <w:rsid w:val="000217C7"/>
    <w:rsid w:val="00021D8A"/>
    <w:rsid w:val="00022376"/>
    <w:rsid w:val="000231C2"/>
    <w:rsid w:val="00024D8E"/>
    <w:rsid w:val="00025AC2"/>
    <w:rsid w:val="00026E52"/>
    <w:rsid w:val="00027121"/>
    <w:rsid w:val="00027B5E"/>
    <w:rsid w:val="0003056E"/>
    <w:rsid w:val="00031253"/>
    <w:rsid w:val="000312FE"/>
    <w:rsid w:val="0003141D"/>
    <w:rsid w:val="000326B8"/>
    <w:rsid w:val="00033C57"/>
    <w:rsid w:val="000341EA"/>
    <w:rsid w:val="00034EA8"/>
    <w:rsid w:val="000353F4"/>
    <w:rsid w:val="000367FF"/>
    <w:rsid w:val="000374BC"/>
    <w:rsid w:val="0003753C"/>
    <w:rsid w:val="00037A02"/>
    <w:rsid w:val="00040992"/>
    <w:rsid w:val="0004167C"/>
    <w:rsid w:val="00041921"/>
    <w:rsid w:val="0004229E"/>
    <w:rsid w:val="000441F3"/>
    <w:rsid w:val="000447E6"/>
    <w:rsid w:val="00044AC7"/>
    <w:rsid w:val="00044CBA"/>
    <w:rsid w:val="00044F1D"/>
    <w:rsid w:val="00045151"/>
    <w:rsid w:val="00045A1A"/>
    <w:rsid w:val="00045FA8"/>
    <w:rsid w:val="00046B82"/>
    <w:rsid w:val="0004794C"/>
    <w:rsid w:val="00047EC2"/>
    <w:rsid w:val="00050DC2"/>
    <w:rsid w:val="00050FCC"/>
    <w:rsid w:val="000514A4"/>
    <w:rsid w:val="00051FF5"/>
    <w:rsid w:val="000529E3"/>
    <w:rsid w:val="00052B56"/>
    <w:rsid w:val="00053583"/>
    <w:rsid w:val="00053F37"/>
    <w:rsid w:val="00054056"/>
    <w:rsid w:val="00054246"/>
    <w:rsid w:val="00054578"/>
    <w:rsid w:val="00054DDF"/>
    <w:rsid w:val="00055E53"/>
    <w:rsid w:val="00056D5A"/>
    <w:rsid w:val="0006059A"/>
    <w:rsid w:val="00060A5F"/>
    <w:rsid w:val="000624FA"/>
    <w:rsid w:val="00062AC9"/>
    <w:rsid w:val="00063822"/>
    <w:rsid w:val="00065362"/>
    <w:rsid w:val="00066178"/>
    <w:rsid w:val="00066B5F"/>
    <w:rsid w:val="00066F57"/>
    <w:rsid w:val="00070576"/>
    <w:rsid w:val="000707B7"/>
    <w:rsid w:val="00071452"/>
    <w:rsid w:val="000727C6"/>
    <w:rsid w:val="00072EC3"/>
    <w:rsid w:val="00073157"/>
    <w:rsid w:val="00073475"/>
    <w:rsid w:val="000741B7"/>
    <w:rsid w:val="00074339"/>
    <w:rsid w:val="00075641"/>
    <w:rsid w:val="00075DFF"/>
    <w:rsid w:val="000763AB"/>
    <w:rsid w:val="000801D1"/>
    <w:rsid w:val="00081C3C"/>
    <w:rsid w:val="00081FBD"/>
    <w:rsid w:val="00082144"/>
    <w:rsid w:val="0008320C"/>
    <w:rsid w:val="00083395"/>
    <w:rsid w:val="00084290"/>
    <w:rsid w:val="000845AC"/>
    <w:rsid w:val="00084A74"/>
    <w:rsid w:val="00084D3C"/>
    <w:rsid w:val="00084D49"/>
    <w:rsid w:val="00085B3A"/>
    <w:rsid w:val="00086BF6"/>
    <w:rsid w:val="00086E63"/>
    <w:rsid w:val="00086F95"/>
    <w:rsid w:val="00086FB4"/>
    <w:rsid w:val="00087651"/>
    <w:rsid w:val="00090AFD"/>
    <w:rsid w:val="000910F0"/>
    <w:rsid w:val="00091809"/>
    <w:rsid w:val="00091D7F"/>
    <w:rsid w:val="00093399"/>
    <w:rsid w:val="0009379B"/>
    <w:rsid w:val="00094154"/>
    <w:rsid w:val="0009425B"/>
    <w:rsid w:val="00095DD0"/>
    <w:rsid w:val="00096A9F"/>
    <w:rsid w:val="00096C00"/>
    <w:rsid w:val="000974A1"/>
    <w:rsid w:val="000A06BC"/>
    <w:rsid w:val="000A0FC4"/>
    <w:rsid w:val="000A1A2F"/>
    <w:rsid w:val="000A1EBE"/>
    <w:rsid w:val="000A298A"/>
    <w:rsid w:val="000A2F58"/>
    <w:rsid w:val="000A349A"/>
    <w:rsid w:val="000A365E"/>
    <w:rsid w:val="000A398A"/>
    <w:rsid w:val="000A4CDF"/>
    <w:rsid w:val="000A5DA5"/>
    <w:rsid w:val="000A6307"/>
    <w:rsid w:val="000A6977"/>
    <w:rsid w:val="000A7DA1"/>
    <w:rsid w:val="000B0512"/>
    <w:rsid w:val="000B09B5"/>
    <w:rsid w:val="000B0D1C"/>
    <w:rsid w:val="000B1460"/>
    <w:rsid w:val="000B21C8"/>
    <w:rsid w:val="000B223E"/>
    <w:rsid w:val="000B3009"/>
    <w:rsid w:val="000B402A"/>
    <w:rsid w:val="000B59D1"/>
    <w:rsid w:val="000B5B01"/>
    <w:rsid w:val="000B5F5D"/>
    <w:rsid w:val="000B686C"/>
    <w:rsid w:val="000B6987"/>
    <w:rsid w:val="000B6A75"/>
    <w:rsid w:val="000B7B54"/>
    <w:rsid w:val="000C0379"/>
    <w:rsid w:val="000C08E6"/>
    <w:rsid w:val="000C0C63"/>
    <w:rsid w:val="000C18B8"/>
    <w:rsid w:val="000C397A"/>
    <w:rsid w:val="000C5062"/>
    <w:rsid w:val="000C57F8"/>
    <w:rsid w:val="000C5BEA"/>
    <w:rsid w:val="000C603A"/>
    <w:rsid w:val="000C63EB"/>
    <w:rsid w:val="000D0BBB"/>
    <w:rsid w:val="000D24EF"/>
    <w:rsid w:val="000D2559"/>
    <w:rsid w:val="000D2844"/>
    <w:rsid w:val="000D29C1"/>
    <w:rsid w:val="000D3167"/>
    <w:rsid w:val="000D367C"/>
    <w:rsid w:val="000D4311"/>
    <w:rsid w:val="000D44D7"/>
    <w:rsid w:val="000D4C54"/>
    <w:rsid w:val="000D4D7E"/>
    <w:rsid w:val="000D5943"/>
    <w:rsid w:val="000D5F79"/>
    <w:rsid w:val="000D65D8"/>
    <w:rsid w:val="000D6C0A"/>
    <w:rsid w:val="000D701A"/>
    <w:rsid w:val="000D707F"/>
    <w:rsid w:val="000D740E"/>
    <w:rsid w:val="000E0241"/>
    <w:rsid w:val="000E0CE8"/>
    <w:rsid w:val="000E2ED6"/>
    <w:rsid w:val="000E3ECD"/>
    <w:rsid w:val="000E70DE"/>
    <w:rsid w:val="000E7B13"/>
    <w:rsid w:val="000F0052"/>
    <w:rsid w:val="000F04DE"/>
    <w:rsid w:val="000F19E1"/>
    <w:rsid w:val="000F2306"/>
    <w:rsid w:val="000F231B"/>
    <w:rsid w:val="000F2A7D"/>
    <w:rsid w:val="000F2ADA"/>
    <w:rsid w:val="000F37D6"/>
    <w:rsid w:val="000F38DA"/>
    <w:rsid w:val="000F4338"/>
    <w:rsid w:val="000F45DE"/>
    <w:rsid w:val="000F4A99"/>
    <w:rsid w:val="000F4F47"/>
    <w:rsid w:val="000F5519"/>
    <w:rsid w:val="000F5B79"/>
    <w:rsid w:val="000F64E0"/>
    <w:rsid w:val="000F73C2"/>
    <w:rsid w:val="000F77AA"/>
    <w:rsid w:val="00100470"/>
    <w:rsid w:val="00100753"/>
    <w:rsid w:val="00100BF2"/>
    <w:rsid w:val="0010220D"/>
    <w:rsid w:val="00103859"/>
    <w:rsid w:val="00103EA8"/>
    <w:rsid w:val="00103ECC"/>
    <w:rsid w:val="0010450D"/>
    <w:rsid w:val="00104DB4"/>
    <w:rsid w:val="00104E3E"/>
    <w:rsid w:val="0010585F"/>
    <w:rsid w:val="00106092"/>
    <w:rsid w:val="001072F0"/>
    <w:rsid w:val="0011060C"/>
    <w:rsid w:val="001108B8"/>
    <w:rsid w:val="00110F4F"/>
    <w:rsid w:val="00111F8D"/>
    <w:rsid w:val="00112466"/>
    <w:rsid w:val="001128E8"/>
    <w:rsid w:val="00112DBC"/>
    <w:rsid w:val="00113282"/>
    <w:rsid w:val="00113C61"/>
    <w:rsid w:val="00115ACF"/>
    <w:rsid w:val="0011662A"/>
    <w:rsid w:val="00117575"/>
    <w:rsid w:val="0012095E"/>
    <w:rsid w:val="0012495F"/>
    <w:rsid w:val="001257A7"/>
    <w:rsid w:val="00125A99"/>
    <w:rsid w:val="00126A3F"/>
    <w:rsid w:val="00127522"/>
    <w:rsid w:val="00130846"/>
    <w:rsid w:val="001314DB"/>
    <w:rsid w:val="00131C17"/>
    <w:rsid w:val="00131DA5"/>
    <w:rsid w:val="00133277"/>
    <w:rsid w:val="00133376"/>
    <w:rsid w:val="0013454D"/>
    <w:rsid w:val="00135D77"/>
    <w:rsid w:val="001362D5"/>
    <w:rsid w:val="001366CA"/>
    <w:rsid w:val="001371B8"/>
    <w:rsid w:val="00137D83"/>
    <w:rsid w:val="0014073A"/>
    <w:rsid w:val="00140988"/>
    <w:rsid w:val="0014195B"/>
    <w:rsid w:val="00141D1A"/>
    <w:rsid w:val="00141D4E"/>
    <w:rsid w:val="00142591"/>
    <w:rsid w:val="00143308"/>
    <w:rsid w:val="00144563"/>
    <w:rsid w:val="001451FE"/>
    <w:rsid w:val="001467A7"/>
    <w:rsid w:val="0014791C"/>
    <w:rsid w:val="00147CBA"/>
    <w:rsid w:val="0015083B"/>
    <w:rsid w:val="0015308F"/>
    <w:rsid w:val="001531D0"/>
    <w:rsid w:val="001532BF"/>
    <w:rsid w:val="00153C3F"/>
    <w:rsid w:val="00154BC3"/>
    <w:rsid w:val="00154C4D"/>
    <w:rsid w:val="00155AF1"/>
    <w:rsid w:val="00155DD5"/>
    <w:rsid w:val="00155E5B"/>
    <w:rsid w:val="00156219"/>
    <w:rsid w:val="001568E6"/>
    <w:rsid w:val="00156DA3"/>
    <w:rsid w:val="00160BA6"/>
    <w:rsid w:val="00161D2D"/>
    <w:rsid w:val="0016216F"/>
    <w:rsid w:val="00162FE0"/>
    <w:rsid w:val="001630C2"/>
    <w:rsid w:val="0016339E"/>
    <w:rsid w:val="001643F7"/>
    <w:rsid w:val="00164CF4"/>
    <w:rsid w:val="00164FB9"/>
    <w:rsid w:val="00164FBF"/>
    <w:rsid w:val="001653E6"/>
    <w:rsid w:val="00165EB3"/>
    <w:rsid w:val="001661E4"/>
    <w:rsid w:val="00166D54"/>
    <w:rsid w:val="001670BC"/>
    <w:rsid w:val="00167BC4"/>
    <w:rsid w:val="0017002C"/>
    <w:rsid w:val="001705A8"/>
    <w:rsid w:val="00171883"/>
    <w:rsid w:val="00172C54"/>
    <w:rsid w:val="00173FFA"/>
    <w:rsid w:val="00174778"/>
    <w:rsid w:val="00174AEA"/>
    <w:rsid w:val="00175480"/>
    <w:rsid w:val="00176A26"/>
    <w:rsid w:val="00176FB0"/>
    <w:rsid w:val="0018011C"/>
    <w:rsid w:val="00180B14"/>
    <w:rsid w:val="00181D0A"/>
    <w:rsid w:val="00181DA3"/>
    <w:rsid w:val="00181EA8"/>
    <w:rsid w:val="001820DF"/>
    <w:rsid w:val="0018275F"/>
    <w:rsid w:val="00183B29"/>
    <w:rsid w:val="00184457"/>
    <w:rsid w:val="0018538C"/>
    <w:rsid w:val="00185E17"/>
    <w:rsid w:val="001861AB"/>
    <w:rsid w:val="00186583"/>
    <w:rsid w:val="00186F7A"/>
    <w:rsid w:val="00190740"/>
    <w:rsid w:val="00190E94"/>
    <w:rsid w:val="00190F50"/>
    <w:rsid w:val="00192589"/>
    <w:rsid w:val="001932A1"/>
    <w:rsid w:val="00193B43"/>
    <w:rsid w:val="00193FA9"/>
    <w:rsid w:val="0019422B"/>
    <w:rsid w:val="001955D0"/>
    <w:rsid w:val="0019581D"/>
    <w:rsid w:val="00195B93"/>
    <w:rsid w:val="00196774"/>
    <w:rsid w:val="001A0A01"/>
    <w:rsid w:val="001A0FD1"/>
    <w:rsid w:val="001A14BD"/>
    <w:rsid w:val="001A15BE"/>
    <w:rsid w:val="001A1A38"/>
    <w:rsid w:val="001A1AFB"/>
    <w:rsid w:val="001A1C04"/>
    <w:rsid w:val="001A1D7D"/>
    <w:rsid w:val="001A1F8F"/>
    <w:rsid w:val="001A24E3"/>
    <w:rsid w:val="001A25BE"/>
    <w:rsid w:val="001A3FFB"/>
    <w:rsid w:val="001A4C3F"/>
    <w:rsid w:val="001A521C"/>
    <w:rsid w:val="001A592E"/>
    <w:rsid w:val="001A772D"/>
    <w:rsid w:val="001B0DB9"/>
    <w:rsid w:val="001B26AB"/>
    <w:rsid w:val="001B2959"/>
    <w:rsid w:val="001B2A28"/>
    <w:rsid w:val="001B2CB9"/>
    <w:rsid w:val="001B3617"/>
    <w:rsid w:val="001B3737"/>
    <w:rsid w:val="001B3D0D"/>
    <w:rsid w:val="001B40CD"/>
    <w:rsid w:val="001B4A8D"/>
    <w:rsid w:val="001B4E3A"/>
    <w:rsid w:val="001B511F"/>
    <w:rsid w:val="001B5A96"/>
    <w:rsid w:val="001C10CA"/>
    <w:rsid w:val="001C1D36"/>
    <w:rsid w:val="001C36F9"/>
    <w:rsid w:val="001C4067"/>
    <w:rsid w:val="001C6CFE"/>
    <w:rsid w:val="001C6D18"/>
    <w:rsid w:val="001D00B3"/>
    <w:rsid w:val="001D0374"/>
    <w:rsid w:val="001D1557"/>
    <w:rsid w:val="001D1BE8"/>
    <w:rsid w:val="001D2527"/>
    <w:rsid w:val="001D2A8B"/>
    <w:rsid w:val="001D317E"/>
    <w:rsid w:val="001D41F7"/>
    <w:rsid w:val="001D4226"/>
    <w:rsid w:val="001D4B35"/>
    <w:rsid w:val="001D51F4"/>
    <w:rsid w:val="001D5424"/>
    <w:rsid w:val="001D5C1E"/>
    <w:rsid w:val="001D5E47"/>
    <w:rsid w:val="001D5F95"/>
    <w:rsid w:val="001D6719"/>
    <w:rsid w:val="001E06CD"/>
    <w:rsid w:val="001E0F3A"/>
    <w:rsid w:val="001E177B"/>
    <w:rsid w:val="001E18A7"/>
    <w:rsid w:val="001E197C"/>
    <w:rsid w:val="001E2CB9"/>
    <w:rsid w:val="001E4D38"/>
    <w:rsid w:val="001E69BD"/>
    <w:rsid w:val="001E7010"/>
    <w:rsid w:val="001E74D2"/>
    <w:rsid w:val="001E75EF"/>
    <w:rsid w:val="001F0081"/>
    <w:rsid w:val="001F0254"/>
    <w:rsid w:val="001F0539"/>
    <w:rsid w:val="001F0E95"/>
    <w:rsid w:val="001F169B"/>
    <w:rsid w:val="001F31EA"/>
    <w:rsid w:val="001F36B9"/>
    <w:rsid w:val="001F4265"/>
    <w:rsid w:val="001F42DD"/>
    <w:rsid w:val="001F44F4"/>
    <w:rsid w:val="001F4D23"/>
    <w:rsid w:val="001F6245"/>
    <w:rsid w:val="001F66E9"/>
    <w:rsid w:val="001F6D5F"/>
    <w:rsid w:val="001F7629"/>
    <w:rsid w:val="001F770B"/>
    <w:rsid w:val="001F7CA8"/>
    <w:rsid w:val="002004DB"/>
    <w:rsid w:val="00200D65"/>
    <w:rsid w:val="00201617"/>
    <w:rsid w:val="002019AD"/>
    <w:rsid w:val="00201F72"/>
    <w:rsid w:val="00201FF8"/>
    <w:rsid w:val="0020268A"/>
    <w:rsid w:val="002029D9"/>
    <w:rsid w:val="00202F0B"/>
    <w:rsid w:val="002064D2"/>
    <w:rsid w:val="00206819"/>
    <w:rsid w:val="002103DE"/>
    <w:rsid w:val="0021087D"/>
    <w:rsid w:val="00211093"/>
    <w:rsid w:val="00211441"/>
    <w:rsid w:val="00212479"/>
    <w:rsid w:val="0021252F"/>
    <w:rsid w:val="00212FFF"/>
    <w:rsid w:val="00213312"/>
    <w:rsid w:val="00214455"/>
    <w:rsid w:val="0021476D"/>
    <w:rsid w:val="002150AD"/>
    <w:rsid w:val="00215487"/>
    <w:rsid w:val="00215F2C"/>
    <w:rsid w:val="00216885"/>
    <w:rsid w:val="002173CC"/>
    <w:rsid w:val="002206D9"/>
    <w:rsid w:val="00220853"/>
    <w:rsid w:val="0022088B"/>
    <w:rsid w:val="00221BFA"/>
    <w:rsid w:val="00222552"/>
    <w:rsid w:val="0022260A"/>
    <w:rsid w:val="00223657"/>
    <w:rsid w:val="00223CA2"/>
    <w:rsid w:val="002240EB"/>
    <w:rsid w:val="002250DB"/>
    <w:rsid w:val="00226510"/>
    <w:rsid w:val="00226A47"/>
    <w:rsid w:val="00227256"/>
    <w:rsid w:val="0022734D"/>
    <w:rsid w:val="002273B5"/>
    <w:rsid w:val="00227615"/>
    <w:rsid w:val="002301BD"/>
    <w:rsid w:val="002313B1"/>
    <w:rsid w:val="00232597"/>
    <w:rsid w:val="00232E9D"/>
    <w:rsid w:val="00234807"/>
    <w:rsid w:val="00234886"/>
    <w:rsid w:val="002348E3"/>
    <w:rsid w:val="002357E4"/>
    <w:rsid w:val="002363F1"/>
    <w:rsid w:val="00237544"/>
    <w:rsid w:val="00237BE4"/>
    <w:rsid w:val="00237D1A"/>
    <w:rsid w:val="00237D46"/>
    <w:rsid w:val="00241BAE"/>
    <w:rsid w:val="00241EF9"/>
    <w:rsid w:val="0024214F"/>
    <w:rsid w:val="00242A7D"/>
    <w:rsid w:val="00245707"/>
    <w:rsid w:val="002457F4"/>
    <w:rsid w:val="002465FC"/>
    <w:rsid w:val="0024672F"/>
    <w:rsid w:val="0024726D"/>
    <w:rsid w:val="002474A5"/>
    <w:rsid w:val="002505B6"/>
    <w:rsid w:val="002506E1"/>
    <w:rsid w:val="002507B6"/>
    <w:rsid w:val="00251550"/>
    <w:rsid w:val="002530DF"/>
    <w:rsid w:val="002535D6"/>
    <w:rsid w:val="0025382B"/>
    <w:rsid w:val="00253B1E"/>
    <w:rsid w:val="00253C92"/>
    <w:rsid w:val="002546EB"/>
    <w:rsid w:val="002554D9"/>
    <w:rsid w:val="00255AA6"/>
    <w:rsid w:val="00255E38"/>
    <w:rsid w:val="00256999"/>
    <w:rsid w:val="002578B3"/>
    <w:rsid w:val="00257E72"/>
    <w:rsid w:val="00260120"/>
    <w:rsid w:val="00260A3F"/>
    <w:rsid w:val="00261388"/>
    <w:rsid w:val="00261661"/>
    <w:rsid w:val="00262195"/>
    <w:rsid w:val="00262A4F"/>
    <w:rsid w:val="002635EA"/>
    <w:rsid w:val="0026581C"/>
    <w:rsid w:val="0026601A"/>
    <w:rsid w:val="00270066"/>
    <w:rsid w:val="0027030E"/>
    <w:rsid w:val="00270DA7"/>
    <w:rsid w:val="0027119D"/>
    <w:rsid w:val="00271CE9"/>
    <w:rsid w:val="00272184"/>
    <w:rsid w:val="00272397"/>
    <w:rsid w:val="00272542"/>
    <w:rsid w:val="0027363C"/>
    <w:rsid w:val="0027470A"/>
    <w:rsid w:val="00275805"/>
    <w:rsid w:val="0027692E"/>
    <w:rsid w:val="00276B6C"/>
    <w:rsid w:val="00276BAC"/>
    <w:rsid w:val="002771A4"/>
    <w:rsid w:val="00277EAA"/>
    <w:rsid w:val="002800FB"/>
    <w:rsid w:val="0028079E"/>
    <w:rsid w:val="0028080F"/>
    <w:rsid w:val="00282032"/>
    <w:rsid w:val="00283A11"/>
    <w:rsid w:val="00284C4F"/>
    <w:rsid w:val="00285D00"/>
    <w:rsid w:val="002861FF"/>
    <w:rsid w:val="00287224"/>
    <w:rsid w:val="00287371"/>
    <w:rsid w:val="0028794E"/>
    <w:rsid w:val="00290817"/>
    <w:rsid w:val="00290FB1"/>
    <w:rsid w:val="0029108A"/>
    <w:rsid w:val="0029141A"/>
    <w:rsid w:val="002917B3"/>
    <w:rsid w:val="00293374"/>
    <w:rsid w:val="002933D6"/>
    <w:rsid w:val="00293C1F"/>
    <w:rsid w:val="00294058"/>
    <w:rsid w:val="002947D8"/>
    <w:rsid w:val="00295509"/>
    <w:rsid w:val="00295B1A"/>
    <w:rsid w:val="00296D15"/>
    <w:rsid w:val="00296F4C"/>
    <w:rsid w:val="00297C17"/>
    <w:rsid w:val="002A0993"/>
    <w:rsid w:val="002A1583"/>
    <w:rsid w:val="002A1721"/>
    <w:rsid w:val="002A18AF"/>
    <w:rsid w:val="002A2F18"/>
    <w:rsid w:val="002A2F67"/>
    <w:rsid w:val="002A40B6"/>
    <w:rsid w:val="002A47BF"/>
    <w:rsid w:val="002A6494"/>
    <w:rsid w:val="002B1A2E"/>
    <w:rsid w:val="002B1A6B"/>
    <w:rsid w:val="002B2CE7"/>
    <w:rsid w:val="002B3233"/>
    <w:rsid w:val="002B34FB"/>
    <w:rsid w:val="002B3CAD"/>
    <w:rsid w:val="002B4790"/>
    <w:rsid w:val="002B671A"/>
    <w:rsid w:val="002B6FDF"/>
    <w:rsid w:val="002B7243"/>
    <w:rsid w:val="002B7589"/>
    <w:rsid w:val="002B7AE9"/>
    <w:rsid w:val="002C092A"/>
    <w:rsid w:val="002C1806"/>
    <w:rsid w:val="002C1824"/>
    <w:rsid w:val="002C438E"/>
    <w:rsid w:val="002C4B17"/>
    <w:rsid w:val="002D00BC"/>
    <w:rsid w:val="002D1283"/>
    <w:rsid w:val="002D1C21"/>
    <w:rsid w:val="002D24F8"/>
    <w:rsid w:val="002D2CD3"/>
    <w:rsid w:val="002D2FAE"/>
    <w:rsid w:val="002D386E"/>
    <w:rsid w:val="002D3E37"/>
    <w:rsid w:val="002D4AF4"/>
    <w:rsid w:val="002D4D0B"/>
    <w:rsid w:val="002D54B9"/>
    <w:rsid w:val="002D57FE"/>
    <w:rsid w:val="002D584A"/>
    <w:rsid w:val="002D74E2"/>
    <w:rsid w:val="002D7BB9"/>
    <w:rsid w:val="002E024B"/>
    <w:rsid w:val="002E0DB1"/>
    <w:rsid w:val="002E130C"/>
    <w:rsid w:val="002E2D2C"/>
    <w:rsid w:val="002E357B"/>
    <w:rsid w:val="002E3735"/>
    <w:rsid w:val="002E4838"/>
    <w:rsid w:val="002E4E54"/>
    <w:rsid w:val="002E516B"/>
    <w:rsid w:val="002E588E"/>
    <w:rsid w:val="002E6048"/>
    <w:rsid w:val="002E62BA"/>
    <w:rsid w:val="002E63C4"/>
    <w:rsid w:val="002E6F59"/>
    <w:rsid w:val="002E7514"/>
    <w:rsid w:val="002E768D"/>
    <w:rsid w:val="002F0C72"/>
    <w:rsid w:val="002F0CB9"/>
    <w:rsid w:val="002F10D0"/>
    <w:rsid w:val="002F1A7D"/>
    <w:rsid w:val="002F2323"/>
    <w:rsid w:val="002F31B9"/>
    <w:rsid w:val="002F489B"/>
    <w:rsid w:val="002F56AA"/>
    <w:rsid w:val="002F58FC"/>
    <w:rsid w:val="002F5FF8"/>
    <w:rsid w:val="002F60F4"/>
    <w:rsid w:val="002F6330"/>
    <w:rsid w:val="002F688C"/>
    <w:rsid w:val="002F68E6"/>
    <w:rsid w:val="003007FC"/>
    <w:rsid w:val="0030277D"/>
    <w:rsid w:val="00302C13"/>
    <w:rsid w:val="00303632"/>
    <w:rsid w:val="003037E3"/>
    <w:rsid w:val="00304412"/>
    <w:rsid w:val="00305076"/>
    <w:rsid w:val="003055FE"/>
    <w:rsid w:val="003064A4"/>
    <w:rsid w:val="00306BC9"/>
    <w:rsid w:val="00310D5A"/>
    <w:rsid w:val="003114F2"/>
    <w:rsid w:val="00311681"/>
    <w:rsid w:val="00311B19"/>
    <w:rsid w:val="00311CF8"/>
    <w:rsid w:val="00312BB5"/>
    <w:rsid w:val="00314B2C"/>
    <w:rsid w:val="00314D0C"/>
    <w:rsid w:val="00315632"/>
    <w:rsid w:val="00315AFA"/>
    <w:rsid w:val="00316103"/>
    <w:rsid w:val="0032021B"/>
    <w:rsid w:val="003207CE"/>
    <w:rsid w:val="0032223A"/>
    <w:rsid w:val="00322FC5"/>
    <w:rsid w:val="0032432D"/>
    <w:rsid w:val="003246D5"/>
    <w:rsid w:val="00325218"/>
    <w:rsid w:val="00330072"/>
    <w:rsid w:val="00331921"/>
    <w:rsid w:val="00333CC4"/>
    <w:rsid w:val="00333FC7"/>
    <w:rsid w:val="0033437A"/>
    <w:rsid w:val="003345DF"/>
    <w:rsid w:val="00334C89"/>
    <w:rsid w:val="0033595A"/>
    <w:rsid w:val="00336884"/>
    <w:rsid w:val="00337017"/>
    <w:rsid w:val="003371FA"/>
    <w:rsid w:val="003372F9"/>
    <w:rsid w:val="00337778"/>
    <w:rsid w:val="003405C2"/>
    <w:rsid w:val="003409A6"/>
    <w:rsid w:val="00340A3D"/>
    <w:rsid w:val="00340AA6"/>
    <w:rsid w:val="00341CA1"/>
    <w:rsid w:val="00342C20"/>
    <w:rsid w:val="00343232"/>
    <w:rsid w:val="0034395B"/>
    <w:rsid w:val="00343E7E"/>
    <w:rsid w:val="003446F7"/>
    <w:rsid w:val="003447F9"/>
    <w:rsid w:val="00344924"/>
    <w:rsid w:val="00345031"/>
    <w:rsid w:val="003454DF"/>
    <w:rsid w:val="00345E46"/>
    <w:rsid w:val="00347275"/>
    <w:rsid w:val="00347B51"/>
    <w:rsid w:val="00347C23"/>
    <w:rsid w:val="00350401"/>
    <w:rsid w:val="0035185C"/>
    <w:rsid w:val="003520DE"/>
    <w:rsid w:val="003538F3"/>
    <w:rsid w:val="0035394B"/>
    <w:rsid w:val="00354D96"/>
    <w:rsid w:val="003552AA"/>
    <w:rsid w:val="00355840"/>
    <w:rsid w:val="00356927"/>
    <w:rsid w:val="0035712F"/>
    <w:rsid w:val="003578E9"/>
    <w:rsid w:val="00357CF8"/>
    <w:rsid w:val="0036008D"/>
    <w:rsid w:val="00360B92"/>
    <w:rsid w:val="00361B3C"/>
    <w:rsid w:val="00361E0F"/>
    <w:rsid w:val="0036228C"/>
    <w:rsid w:val="00362F2F"/>
    <w:rsid w:val="0036413E"/>
    <w:rsid w:val="0036452B"/>
    <w:rsid w:val="00365071"/>
    <w:rsid w:val="0036619E"/>
    <w:rsid w:val="003664DC"/>
    <w:rsid w:val="003667B1"/>
    <w:rsid w:val="00366F7F"/>
    <w:rsid w:val="00367C36"/>
    <w:rsid w:val="00370CD2"/>
    <w:rsid w:val="00371BC0"/>
    <w:rsid w:val="00372B9D"/>
    <w:rsid w:val="00372ECC"/>
    <w:rsid w:val="00373500"/>
    <w:rsid w:val="00374301"/>
    <w:rsid w:val="003747FA"/>
    <w:rsid w:val="00374D66"/>
    <w:rsid w:val="003757B3"/>
    <w:rsid w:val="00375B14"/>
    <w:rsid w:val="00377D06"/>
    <w:rsid w:val="00380B9B"/>
    <w:rsid w:val="00380C42"/>
    <w:rsid w:val="00381093"/>
    <w:rsid w:val="003818D8"/>
    <w:rsid w:val="00381C66"/>
    <w:rsid w:val="003820A7"/>
    <w:rsid w:val="0038271A"/>
    <w:rsid w:val="00382DDD"/>
    <w:rsid w:val="00384FD6"/>
    <w:rsid w:val="00385E50"/>
    <w:rsid w:val="003876AE"/>
    <w:rsid w:val="00387704"/>
    <w:rsid w:val="00387DA3"/>
    <w:rsid w:val="00390893"/>
    <w:rsid w:val="003919F5"/>
    <w:rsid w:val="00393ED8"/>
    <w:rsid w:val="00394E78"/>
    <w:rsid w:val="003958ED"/>
    <w:rsid w:val="00396B4A"/>
    <w:rsid w:val="003974D1"/>
    <w:rsid w:val="00397909"/>
    <w:rsid w:val="00397D5B"/>
    <w:rsid w:val="003A0717"/>
    <w:rsid w:val="003A0C85"/>
    <w:rsid w:val="003A0D8B"/>
    <w:rsid w:val="003A0F7D"/>
    <w:rsid w:val="003A15A9"/>
    <w:rsid w:val="003A1BE9"/>
    <w:rsid w:val="003A1DD7"/>
    <w:rsid w:val="003A2152"/>
    <w:rsid w:val="003A271C"/>
    <w:rsid w:val="003A332D"/>
    <w:rsid w:val="003A4FAF"/>
    <w:rsid w:val="003A5063"/>
    <w:rsid w:val="003A51D6"/>
    <w:rsid w:val="003A5637"/>
    <w:rsid w:val="003A5C48"/>
    <w:rsid w:val="003A5F12"/>
    <w:rsid w:val="003A6479"/>
    <w:rsid w:val="003A6D45"/>
    <w:rsid w:val="003A7E9E"/>
    <w:rsid w:val="003B0049"/>
    <w:rsid w:val="003B0341"/>
    <w:rsid w:val="003B0814"/>
    <w:rsid w:val="003B0949"/>
    <w:rsid w:val="003B4C96"/>
    <w:rsid w:val="003B563F"/>
    <w:rsid w:val="003B57A5"/>
    <w:rsid w:val="003B70A8"/>
    <w:rsid w:val="003B7F90"/>
    <w:rsid w:val="003C01CD"/>
    <w:rsid w:val="003C0D06"/>
    <w:rsid w:val="003C1592"/>
    <w:rsid w:val="003C222C"/>
    <w:rsid w:val="003C31E8"/>
    <w:rsid w:val="003C3E86"/>
    <w:rsid w:val="003C3FFD"/>
    <w:rsid w:val="003C422F"/>
    <w:rsid w:val="003C4747"/>
    <w:rsid w:val="003C4B82"/>
    <w:rsid w:val="003C54F0"/>
    <w:rsid w:val="003C736B"/>
    <w:rsid w:val="003D23C5"/>
    <w:rsid w:val="003D421E"/>
    <w:rsid w:val="003D4A1D"/>
    <w:rsid w:val="003D5E60"/>
    <w:rsid w:val="003D715A"/>
    <w:rsid w:val="003D72C8"/>
    <w:rsid w:val="003D7CED"/>
    <w:rsid w:val="003E0099"/>
    <w:rsid w:val="003E0A0A"/>
    <w:rsid w:val="003E0D1A"/>
    <w:rsid w:val="003E0FE7"/>
    <w:rsid w:val="003E2183"/>
    <w:rsid w:val="003E22AD"/>
    <w:rsid w:val="003E25B4"/>
    <w:rsid w:val="003E2642"/>
    <w:rsid w:val="003E2688"/>
    <w:rsid w:val="003E319C"/>
    <w:rsid w:val="003E3DD5"/>
    <w:rsid w:val="003E4B0A"/>
    <w:rsid w:val="003E4C29"/>
    <w:rsid w:val="003E53B4"/>
    <w:rsid w:val="003E6AC4"/>
    <w:rsid w:val="003E7C28"/>
    <w:rsid w:val="003E7D2F"/>
    <w:rsid w:val="003F00C5"/>
    <w:rsid w:val="003F0CC1"/>
    <w:rsid w:val="003F1E62"/>
    <w:rsid w:val="003F2ADF"/>
    <w:rsid w:val="003F474C"/>
    <w:rsid w:val="003F4BB4"/>
    <w:rsid w:val="003F4E3E"/>
    <w:rsid w:val="003F7872"/>
    <w:rsid w:val="003F7E36"/>
    <w:rsid w:val="00400558"/>
    <w:rsid w:val="00400E60"/>
    <w:rsid w:val="00402FEB"/>
    <w:rsid w:val="004035B7"/>
    <w:rsid w:val="00403DBC"/>
    <w:rsid w:val="00403E7E"/>
    <w:rsid w:val="00403FE0"/>
    <w:rsid w:val="00404379"/>
    <w:rsid w:val="00405A07"/>
    <w:rsid w:val="00406E94"/>
    <w:rsid w:val="0040781B"/>
    <w:rsid w:val="0040785A"/>
    <w:rsid w:val="00407C48"/>
    <w:rsid w:val="00410CFE"/>
    <w:rsid w:val="004114E6"/>
    <w:rsid w:val="00411D27"/>
    <w:rsid w:val="00412332"/>
    <w:rsid w:val="00412584"/>
    <w:rsid w:val="00413645"/>
    <w:rsid w:val="004137A9"/>
    <w:rsid w:val="00413C82"/>
    <w:rsid w:val="00414034"/>
    <w:rsid w:val="0041439F"/>
    <w:rsid w:val="00414BD8"/>
    <w:rsid w:val="004168C2"/>
    <w:rsid w:val="00416947"/>
    <w:rsid w:val="004171D0"/>
    <w:rsid w:val="00417ABF"/>
    <w:rsid w:val="00417FF1"/>
    <w:rsid w:val="00420697"/>
    <w:rsid w:val="00421530"/>
    <w:rsid w:val="00422BEF"/>
    <w:rsid w:val="0042380B"/>
    <w:rsid w:val="00425013"/>
    <w:rsid w:val="004255BF"/>
    <w:rsid w:val="0042701A"/>
    <w:rsid w:val="0042738E"/>
    <w:rsid w:val="004275F1"/>
    <w:rsid w:val="00427988"/>
    <w:rsid w:val="00427DEC"/>
    <w:rsid w:val="004311A3"/>
    <w:rsid w:val="00431801"/>
    <w:rsid w:val="00431976"/>
    <w:rsid w:val="00431C06"/>
    <w:rsid w:val="0043309F"/>
    <w:rsid w:val="00433488"/>
    <w:rsid w:val="00435636"/>
    <w:rsid w:val="00436FEE"/>
    <w:rsid w:val="00437EAA"/>
    <w:rsid w:val="0044036B"/>
    <w:rsid w:val="00440E60"/>
    <w:rsid w:val="004422BE"/>
    <w:rsid w:val="00442895"/>
    <w:rsid w:val="00442CEC"/>
    <w:rsid w:val="00443193"/>
    <w:rsid w:val="004434E8"/>
    <w:rsid w:val="004456FC"/>
    <w:rsid w:val="0044674C"/>
    <w:rsid w:val="00446BA3"/>
    <w:rsid w:val="00446DA4"/>
    <w:rsid w:val="00450A26"/>
    <w:rsid w:val="00450E2D"/>
    <w:rsid w:val="004519BA"/>
    <w:rsid w:val="00451B27"/>
    <w:rsid w:val="00451B82"/>
    <w:rsid w:val="00451EFD"/>
    <w:rsid w:val="0045231D"/>
    <w:rsid w:val="00452F44"/>
    <w:rsid w:val="00453314"/>
    <w:rsid w:val="004558DA"/>
    <w:rsid w:val="004561AE"/>
    <w:rsid w:val="0045620C"/>
    <w:rsid w:val="004577AD"/>
    <w:rsid w:val="00457BC2"/>
    <w:rsid w:val="004601DD"/>
    <w:rsid w:val="00460B3A"/>
    <w:rsid w:val="00461E56"/>
    <w:rsid w:val="00462565"/>
    <w:rsid w:val="0046260F"/>
    <w:rsid w:val="00463D56"/>
    <w:rsid w:val="00463F54"/>
    <w:rsid w:val="004642C9"/>
    <w:rsid w:val="00464613"/>
    <w:rsid w:val="004667B6"/>
    <w:rsid w:val="0047003A"/>
    <w:rsid w:val="00471C83"/>
    <w:rsid w:val="00472541"/>
    <w:rsid w:val="00473914"/>
    <w:rsid w:val="00474146"/>
    <w:rsid w:val="00474454"/>
    <w:rsid w:val="0047445D"/>
    <w:rsid w:val="0047465C"/>
    <w:rsid w:val="004747A2"/>
    <w:rsid w:val="00475B76"/>
    <w:rsid w:val="00475FDD"/>
    <w:rsid w:val="00476840"/>
    <w:rsid w:val="00476BD7"/>
    <w:rsid w:val="00476D9D"/>
    <w:rsid w:val="00477218"/>
    <w:rsid w:val="00480177"/>
    <w:rsid w:val="00480C03"/>
    <w:rsid w:val="00480EF9"/>
    <w:rsid w:val="00481ADA"/>
    <w:rsid w:val="00481CAA"/>
    <w:rsid w:val="00481E80"/>
    <w:rsid w:val="00484F62"/>
    <w:rsid w:val="0048521C"/>
    <w:rsid w:val="00486E60"/>
    <w:rsid w:val="00487304"/>
    <w:rsid w:val="00487791"/>
    <w:rsid w:val="004902DB"/>
    <w:rsid w:val="00490DD4"/>
    <w:rsid w:val="00490E68"/>
    <w:rsid w:val="00491266"/>
    <w:rsid w:val="00492172"/>
    <w:rsid w:val="004933A5"/>
    <w:rsid w:val="00493764"/>
    <w:rsid w:val="00494678"/>
    <w:rsid w:val="00494A9D"/>
    <w:rsid w:val="00496290"/>
    <w:rsid w:val="00496452"/>
    <w:rsid w:val="0049697F"/>
    <w:rsid w:val="004A115D"/>
    <w:rsid w:val="004A19CF"/>
    <w:rsid w:val="004A22CC"/>
    <w:rsid w:val="004A26CB"/>
    <w:rsid w:val="004A311A"/>
    <w:rsid w:val="004A31A2"/>
    <w:rsid w:val="004A373E"/>
    <w:rsid w:val="004A3B27"/>
    <w:rsid w:val="004A622C"/>
    <w:rsid w:val="004A6290"/>
    <w:rsid w:val="004A638A"/>
    <w:rsid w:val="004A6706"/>
    <w:rsid w:val="004A755A"/>
    <w:rsid w:val="004B0A00"/>
    <w:rsid w:val="004B0E5A"/>
    <w:rsid w:val="004B1A2F"/>
    <w:rsid w:val="004B1CFA"/>
    <w:rsid w:val="004B22E6"/>
    <w:rsid w:val="004B2ADC"/>
    <w:rsid w:val="004B2FC3"/>
    <w:rsid w:val="004B3373"/>
    <w:rsid w:val="004B3463"/>
    <w:rsid w:val="004B3E31"/>
    <w:rsid w:val="004B476F"/>
    <w:rsid w:val="004B5C28"/>
    <w:rsid w:val="004B6E0D"/>
    <w:rsid w:val="004B6E17"/>
    <w:rsid w:val="004B72AE"/>
    <w:rsid w:val="004B7ADA"/>
    <w:rsid w:val="004B7DC8"/>
    <w:rsid w:val="004C088D"/>
    <w:rsid w:val="004C11DC"/>
    <w:rsid w:val="004C18ED"/>
    <w:rsid w:val="004C2A6F"/>
    <w:rsid w:val="004C2D6D"/>
    <w:rsid w:val="004C2FD4"/>
    <w:rsid w:val="004C4223"/>
    <w:rsid w:val="004C5BC4"/>
    <w:rsid w:val="004C5DD9"/>
    <w:rsid w:val="004C6AC1"/>
    <w:rsid w:val="004C6FAF"/>
    <w:rsid w:val="004C72F9"/>
    <w:rsid w:val="004C75D9"/>
    <w:rsid w:val="004C7E9E"/>
    <w:rsid w:val="004D0E5B"/>
    <w:rsid w:val="004D25A1"/>
    <w:rsid w:val="004D4294"/>
    <w:rsid w:val="004D4626"/>
    <w:rsid w:val="004D48A2"/>
    <w:rsid w:val="004D4E83"/>
    <w:rsid w:val="004D4F38"/>
    <w:rsid w:val="004D5336"/>
    <w:rsid w:val="004D5645"/>
    <w:rsid w:val="004D56F7"/>
    <w:rsid w:val="004D5E0F"/>
    <w:rsid w:val="004D6333"/>
    <w:rsid w:val="004D7208"/>
    <w:rsid w:val="004D7306"/>
    <w:rsid w:val="004D74CE"/>
    <w:rsid w:val="004D7872"/>
    <w:rsid w:val="004D7BF2"/>
    <w:rsid w:val="004E17E0"/>
    <w:rsid w:val="004E2FCA"/>
    <w:rsid w:val="004E3DBC"/>
    <w:rsid w:val="004E3EB5"/>
    <w:rsid w:val="004E5067"/>
    <w:rsid w:val="004E6C05"/>
    <w:rsid w:val="004E6E0D"/>
    <w:rsid w:val="004E7368"/>
    <w:rsid w:val="004E7370"/>
    <w:rsid w:val="004E7BDB"/>
    <w:rsid w:val="004F0879"/>
    <w:rsid w:val="004F158B"/>
    <w:rsid w:val="004F222D"/>
    <w:rsid w:val="004F32B3"/>
    <w:rsid w:val="004F3F12"/>
    <w:rsid w:val="004F5583"/>
    <w:rsid w:val="004F584A"/>
    <w:rsid w:val="004F5EE3"/>
    <w:rsid w:val="004F68DE"/>
    <w:rsid w:val="004F7FBC"/>
    <w:rsid w:val="00500AEB"/>
    <w:rsid w:val="00501CF7"/>
    <w:rsid w:val="00501DBB"/>
    <w:rsid w:val="00502F58"/>
    <w:rsid w:val="00503BE0"/>
    <w:rsid w:val="00504A2C"/>
    <w:rsid w:val="00504BC9"/>
    <w:rsid w:val="00504E02"/>
    <w:rsid w:val="005052DB"/>
    <w:rsid w:val="0050549D"/>
    <w:rsid w:val="0050639E"/>
    <w:rsid w:val="005102DF"/>
    <w:rsid w:val="00511FF8"/>
    <w:rsid w:val="0051206C"/>
    <w:rsid w:val="00512231"/>
    <w:rsid w:val="00512BBD"/>
    <w:rsid w:val="0051392F"/>
    <w:rsid w:val="00513DE9"/>
    <w:rsid w:val="00514173"/>
    <w:rsid w:val="005144EA"/>
    <w:rsid w:val="0051657D"/>
    <w:rsid w:val="00516AB5"/>
    <w:rsid w:val="0051725E"/>
    <w:rsid w:val="0051771B"/>
    <w:rsid w:val="00520BE9"/>
    <w:rsid w:val="00521EE3"/>
    <w:rsid w:val="00522014"/>
    <w:rsid w:val="00522F57"/>
    <w:rsid w:val="00523CAA"/>
    <w:rsid w:val="00525659"/>
    <w:rsid w:val="0052709C"/>
    <w:rsid w:val="00527355"/>
    <w:rsid w:val="00527686"/>
    <w:rsid w:val="00527D3A"/>
    <w:rsid w:val="00527D73"/>
    <w:rsid w:val="00530DAD"/>
    <w:rsid w:val="005316FC"/>
    <w:rsid w:val="00531F1F"/>
    <w:rsid w:val="00532304"/>
    <w:rsid w:val="0053251D"/>
    <w:rsid w:val="00532BDD"/>
    <w:rsid w:val="00532DC1"/>
    <w:rsid w:val="00533892"/>
    <w:rsid w:val="00533CEE"/>
    <w:rsid w:val="00534A54"/>
    <w:rsid w:val="0053586A"/>
    <w:rsid w:val="00536192"/>
    <w:rsid w:val="00536422"/>
    <w:rsid w:val="00537C16"/>
    <w:rsid w:val="005400BC"/>
    <w:rsid w:val="00540423"/>
    <w:rsid w:val="005409B0"/>
    <w:rsid w:val="00540C24"/>
    <w:rsid w:val="005416DA"/>
    <w:rsid w:val="0054235A"/>
    <w:rsid w:val="005439A8"/>
    <w:rsid w:val="005439E9"/>
    <w:rsid w:val="00544062"/>
    <w:rsid w:val="005445F0"/>
    <w:rsid w:val="005464FA"/>
    <w:rsid w:val="00546B6C"/>
    <w:rsid w:val="00546DA5"/>
    <w:rsid w:val="0054736E"/>
    <w:rsid w:val="0055043C"/>
    <w:rsid w:val="00550DD9"/>
    <w:rsid w:val="00552A1D"/>
    <w:rsid w:val="00552F1C"/>
    <w:rsid w:val="00553BA4"/>
    <w:rsid w:val="00553D50"/>
    <w:rsid w:val="00553F80"/>
    <w:rsid w:val="005549A9"/>
    <w:rsid w:val="00554CFA"/>
    <w:rsid w:val="005554CB"/>
    <w:rsid w:val="00555630"/>
    <w:rsid w:val="00556B2F"/>
    <w:rsid w:val="00556FE8"/>
    <w:rsid w:val="005570F9"/>
    <w:rsid w:val="005573DA"/>
    <w:rsid w:val="00557902"/>
    <w:rsid w:val="00557B97"/>
    <w:rsid w:val="00557D70"/>
    <w:rsid w:val="00560D91"/>
    <w:rsid w:val="00561397"/>
    <w:rsid w:val="00561947"/>
    <w:rsid w:val="00561BC5"/>
    <w:rsid w:val="00563338"/>
    <w:rsid w:val="00563763"/>
    <w:rsid w:val="00564662"/>
    <w:rsid w:val="0056503D"/>
    <w:rsid w:val="00565E38"/>
    <w:rsid w:val="00565F56"/>
    <w:rsid w:val="00566684"/>
    <w:rsid w:val="005667F9"/>
    <w:rsid w:val="005705AE"/>
    <w:rsid w:val="005706E0"/>
    <w:rsid w:val="00570C49"/>
    <w:rsid w:val="00571F79"/>
    <w:rsid w:val="005720A8"/>
    <w:rsid w:val="00572450"/>
    <w:rsid w:val="00573B35"/>
    <w:rsid w:val="00574D7D"/>
    <w:rsid w:val="0057565B"/>
    <w:rsid w:val="005758E1"/>
    <w:rsid w:val="00575C8C"/>
    <w:rsid w:val="00576AC9"/>
    <w:rsid w:val="00577670"/>
    <w:rsid w:val="00580EA2"/>
    <w:rsid w:val="005811C8"/>
    <w:rsid w:val="005811CE"/>
    <w:rsid w:val="00581B1F"/>
    <w:rsid w:val="00581CD6"/>
    <w:rsid w:val="0058256C"/>
    <w:rsid w:val="00582E76"/>
    <w:rsid w:val="00583A66"/>
    <w:rsid w:val="0058456C"/>
    <w:rsid w:val="00585980"/>
    <w:rsid w:val="005861C2"/>
    <w:rsid w:val="00586BBF"/>
    <w:rsid w:val="005870A5"/>
    <w:rsid w:val="00587620"/>
    <w:rsid w:val="00587896"/>
    <w:rsid w:val="00587F3F"/>
    <w:rsid w:val="005902BD"/>
    <w:rsid w:val="005904F0"/>
    <w:rsid w:val="005909AD"/>
    <w:rsid w:val="00590F43"/>
    <w:rsid w:val="00591415"/>
    <w:rsid w:val="0059160D"/>
    <w:rsid w:val="005920ED"/>
    <w:rsid w:val="00592F53"/>
    <w:rsid w:val="00593207"/>
    <w:rsid w:val="005938C0"/>
    <w:rsid w:val="00593C4A"/>
    <w:rsid w:val="00593FE5"/>
    <w:rsid w:val="005943C9"/>
    <w:rsid w:val="0059564F"/>
    <w:rsid w:val="00595FD5"/>
    <w:rsid w:val="00596124"/>
    <w:rsid w:val="00597515"/>
    <w:rsid w:val="005A10B0"/>
    <w:rsid w:val="005A1730"/>
    <w:rsid w:val="005A270F"/>
    <w:rsid w:val="005A2945"/>
    <w:rsid w:val="005A2A91"/>
    <w:rsid w:val="005A3066"/>
    <w:rsid w:val="005A3307"/>
    <w:rsid w:val="005A365F"/>
    <w:rsid w:val="005A54DB"/>
    <w:rsid w:val="005A55D6"/>
    <w:rsid w:val="005A6227"/>
    <w:rsid w:val="005A6637"/>
    <w:rsid w:val="005A6D83"/>
    <w:rsid w:val="005A72EA"/>
    <w:rsid w:val="005A79EA"/>
    <w:rsid w:val="005B04D6"/>
    <w:rsid w:val="005B0E52"/>
    <w:rsid w:val="005B1E88"/>
    <w:rsid w:val="005B1F99"/>
    <w:rsid w:val="005B20A5"/>
    <w:rsid w:val="005B2793"/>
    <w:rsid w:val="005B2B98"/>
    <w:rsid w:val="005B3070"/>
    <w:rsid w:val="005B357A"/>
    <w:rsid w:val="005B3759"/>
    <w:rsid w:val="005B3E36"/>
    <w:rsid w:val="005B49DB"/>
    <w:rsid w:val="005B5AB5"/>
    <w:rsid w:val="005B5B54"/>
    <w:rsid w:val="005B692F"/>
    <w:rsid w:val="005B778C"/>
    <w:rsid w:val="005C045C"/>
    <w:rsid w:val="005C13EF"/>
    <w:rsid w:val="005C2514"/>
    <w:rsid w:val="005C3321"/>
    <w:rsid w:val="005C3AA8"/>
    <w:rsid w:val="005C4174"/>
    <w:rsid w:val="005C5218"/>
    <w:rsid w:val="005C5A9B"/>
    <w:rsid w:val="005C63B7"/>
    <w:rsid w:val="005C68C9"/>
    <w:rsid w:val="005C715E"/>
    <w:rsid w:val="005D000B"/>
    <w:rsid w:val="005D043A"/>
    <w:rsid w:val="005D0975"/>
    <w:rsid w:val="005D1D45"/>
    <w:rsid w:val="005D23CF"/>
    <w:rsid w:val="005D2AB0"/>
    <w:rsid w:val="005D417F"/>
    <w:rsid w:val="005D41EE"/>
    <w:rsid w:val="005D42DA"/>
    <w:rsid w:val="005D6550"/>
    <w:rsid w:val="005D73C5"/>
    <w:rsid w:val="005E0A19"/>
    <w:rsid w:val="005E0EAD"/>
    <w:rsid w:val="005E1B9B"/>
    <w:rsid w:val="005E2544"/>
    <w:rsid w:val="005E2984"/>
    <w:rsid w:val="005E2D25"/>
    <w:rsid w:val="005E2D3A"/>
    <w:rsid w:val="005E2EC6"/>
    <w:rsid w:val="005E2FA0"/>
    <w:rsid w:val="005E3990"/>
    <w:rsid w:val="005E4BE4"/>
    <w:rsid w:val="005E5536"/>
    <w:rsid w:val="005E60B9"/>
    <w:rsid w:val="005E694D"/>
    <w:rsid w:val="005E6D4B"/>
    <w:rsid w:val="005F0132"/>
    <w:rsid w:val="005F0A3A"/>
    <w:rsid w:val="005F0B53"/>
    <w:rsid w:val="005F0C21"/>
    <w:rsid w:val="005F0EC7"/>
    <w:rsid w:val="005F10D0"/>
    <w:rsid w:val="005F15A2"/>
    <w:rsid w:val="005F17B9"/>
    <w:rsid w:val="005F18BE"/>
    <w:rsid w:val="005F1CAE"/>
    <w:rsid w:val="005F2AEF"/>
    <w:rsid w:val="005F2D5F"/>
    <w:rsid w:val="005F4D5D"/>
    <w:rsid w:val="005F6046"/>
    <w:rsid w:val="005F62CC"/>
    <w:rsid w:val="005F6E99"/>
    <w:rsid w:val="005F7369"/>
    <w:rsid w:val="00600050"/>
    <w:rsid w:val="006007A2"/>
    <w:rsid w:val="006011D2"/>
    <w:rsid w:val="006020ED"/>
    <w:rsid w:val="00602DC5"/>
    <w:rsid w:val="00603F47"/>
    <w:rsid w:val="00604172"/>
    <w:rsid w:val="006041FD"/>
    <w:rsid w:val="006044E5"/>
    <w:rsid w:val="00604788"/>
    <w:rsid w:val="00610622"/>
    <w:rsid w:val="0061086F"/>
    <w:rsid w:val="00610B6D"/>
    <w:rsid w:val="00610BA5"/>
    <w:rsid w:val="00610CF4"/>
    <w:rsid w:val="00611BE4"/>
    <w:rsid w:val="00612587"/>
    <w:rsid w:val="00612AB1"/>
    <w:rsid w:val="00612C64"/>
    <w:rsid w:val="00613529"/>
    <w:rsid w:val="006135B0"/>
    <w:rsid w:val="00614057"/>
    <w:rsid w:val="00616EC5"/>
    <w:rsid w:val="00617847"/>
    <w:rsid w:val="00620587"/>
    <w:rsid w:val="00621AD4"/>
    <w:rsid w:val="0062347C"/>
    <w:rsid w:val="00624463"/>
    <w:rsid w:val="00625776"/>
    <w:rsid w:val="006259E4"/>
    <w:rsid w:val="00627923"/>
    <w:rsid w:val="00630095"/>
    <w:rsid w:val="00630270"/>
    <w:rsid w:val="00630A51"/>
    <w:rsid w:val="00630C1D"/>
    <w:rsid w:val="00630D92"/>
    <w:rsid w:val="006312F8"/>
    <w:rsid w:val="00631F3F"/>
    <w:rsid w:val="00632840"/>
    <w:rsid w:val="00632DEB"/>
    <w:rsid w:val="00633321"/>
    <w:rsid w:val="0063429E"/>
    <w:rsid w:val="006342B8"/>
    <w:rsid w:val="00634487"/>
    <w:rsid w:val="00634C20"/>
    <w:rsid w:val="006352BE"/>
    <w:rsid w:val="006354A2"/>
    <w:rsid w:val="00635784"/>
    <w:rsid w:val="0063610C"/>
    <w:rsid w:val="00636A30"/>
    <w:rsid w:val="00636AE6"/>
    <w:rsid w:val="00636EAD"/>
    <w:rsid w:val="00637365"/>
    <w:rsid w:val="00637E74"/>
    <w:rsid w:val="00640DA5"/>
    <w:rsid w:val="00640E4A"/>
    <w:rsid w:val="00642432"/>
    <w:rsid w:val="006427D6"/>
    <w:rsid w:val="006428BF"/>
    <w:rsid w:val="00642BC7"/>
    <w:rsid w:val="00642C15"/>
    <w:rsid w:val="0064355D"/>
    <w:rsid w:val="006439C1"/>
    <w:rsid w:val="00645C73"/>
    <w:rsid w:val="00647346"/>
    <w:rsid w:val="00650358"/>
    <w:rsid w:val="006521A8"/>
    <w:rsid w:val="0065266D"/>
    <w:rsid w:val="006530BB"/>
    <w:rsid w:val="006536A5"/>
    <w:rsid w:val="00653AE3"/>
    <w:rsid w:val="0065446F"/>
    <w:rsid w:val="00654A35"/>
    <w:rsid w:val="00655BCC"/>
    <w:rsid w:val="00656F24"/>
    <w:rsid w:val="00660C8C"/>
    <w:rsid w:val="0066135D"/>
    <w:rsid w:val="0066183C"/>
    <w:rsid w:val="00661933"/>
    <w:rsid w:val="00661F61"/>
    <w:rsid w:val="00663B44"/>
    <w:rsid w:val="00663E33"/>
    <w:rsid w:val="00664278"/>
    <w:rsid w:val="0066452F"/>
    <w:rsid w:val="006649A3"/>
    <w:rsid w:val="006649D8"/>
    <w:rsid w:val="00664D8C"/>
    <w:rsid w:val="00665610"/>
    <w:rsid w:val="00665819"/>
    <w:rsid w:val="00665CCE"/>
    <w:rsid w:val="006674E2"/>
    <w:rsid w:val="00667940"/>
    <w:rsid w:val="006719C6"/>
    <w:rsid w:val="00671B44"/>
    <w:rsid w:val="006730DE"/>
    <w:rsid w:val="00673922"/>
    <w:rsid w:val="00673E36"/>
    <w:rsid w:val="00673F38"/>
    <w:rsid w:val="00674B69"/>
    <w:rsid w:val="00674CBC"/>
    <w:rsid w:val="00675CD0"/>
    <w:rsid w:val="006765E1"/>
    <w:rsid w:val="00676719"/>
    <w:rsid w:val="00676A23"/>
    <w:rsid w:val="00676DE9"/>
    <w:rsid w:val="00677EA9"/>
    <w:rsid w:val="0068058C"/>
    <w:rsid w:val="00681A7B"/>
    <w:rsid w:val="00681CE4"/>
    <w:rsid w:val="006823D5"/>
    <w:rsid w:val="00683960"/>
    <w:rsid w:val="006839D1"/>
    <w:rsid w:val="00684AD9"/>
    <w:rsid w:val="00684F0D"/>
    <w:rsid w:val="00686B26"/>
    <w:rsid w:val="00687211"/>
    <w:rsid w:val="00687CE1"/>
    <w:rsid w:val="00691F31"/>
    <w:rsid w:val="006922ED"/>
    <w:rsid w:val="00692675"/>
    <w:rsid w:val="00692828"/>
    <w:rsid w:val="00692F7C"/>
    <w:rsid w:val="00694334"/>
    <w:rsid w:val="00694775"/>
    <w:rsid w:val="00695123"/>
    <w:rsid w:val="006960EF"/>
    <w:rsid w:val="006A174F"/>
    <w:rsid w:val="006A18F9"/>
    <w:rsid w:val="006A1E5C"/>
    <w:rsid w:val="006A296B"/>
    <w:rsid w:val="006A2C49"/>
    <w:rsid w:val="006A31CB"/>
    <w:rsid w:val="006A3D53"/>
    <w:rsid w:val="006A4412"/>
    <w:rsid w:val="006A45AD"/>
    <w:rsid w:val="006A4858"/>
    <w:rsid w:val="006A53A7"/>
    <w:rsid w:val="006A5A79"/>
    <w:rsid w:val="006A6A33"/>
    <w:rsid w:val="006A7668"/>
    <w:rsid w:val="006B09B7"/>
    <w:rsid w:val="006B12F7"/>
    <w:rsid w:val="006B194E"/>
    <w:rsid w:val="006B1AA7"/>
    <w:rsid w:val="006B1CBC"/>
    <w:rsid w:val="006B34C5"/>
    <w:rsid w:val="006B3619"/>
    <w:rsid w:val="006B46B8"/>
    <w:rsid w:val="006B49D3"/>
    <w:rsid w:val="006B4A7C"/>
    <w:rsid w:val="006B50E7"/>
    <w:rsid w:val="006B5F67"/>
    <w:rsid w:val="006B62C6"/>
    <w:rsid w:val="006C0805"/>
    <w:rsid w:val="006C0D87"/>
    <w:rsid w:val="006C10B6"/>
    <w:rsid w:val="006C1601"/>
    <w:rsid w:val="006C1B5B"/>
    <w:rsid w:val="006C2119"/>
    <w:rsid w:val="006C2836"/>
    <w:rsid w:val="006C2DDB"/>
    <w:rsid w:val="006C3482"/>
    <w:rsid w:val="006C4822"/>
    <w:rsid w:val="006C4C52"/>
    <w:rsid w:val="006C515E"/>
    <w:rsid w:val="006C6ACA"/>
    <w:rsid w:val="006C6AE9"/>
    <w:rsid w:val="006C6EF9"/>
    <w:rsid w:val="006C6F78"/>
    <w:rsid w:val="006C6FB1"/>
    <w:rsid w:val="006D00D0"/>
    <w:rsid w:val="006D0723"/>
    <w:rsid w:val="006D0B01"/>
    <w:rsid w:val="006D0CDE"/>
    <w:rsid w:val="006D16BB"/>
    <w:rsid w:val="006D250A"/>
    <w:rsid w:val="006D2BFD"/>
    <w:rsid w:val="006D301B"/>
    <w:rsid w:val="006D3528"/>
    <w:rsid w:val="006D393A"/>
    <w:rsid w:val="006D3C3A"/>
    <w:rsid w:val="006D3F92"/>
    <w:rsid w:val="006D5944"/>
    <w:rsid w:val="006D6C8E"/>
    <w:rsid w:val="006D6CCB"/>
    <w:rsid w:val="006D7CA7"/>
    <w:rsid w:val="006E0454"/>
    <w:rsid w:val="006E080F"/>
    <w:rsid w:val="006E0969"/>
    <w:rsid w:val="006E0C93"/>
    <w:rsid w:val="006E12CC"/>
    <w:rsid w:val="006E1588"/>
    <w:rsid w:val="006E1935"/>
    <w:rsid w:val="006E273E"/>
    <w:rsid w:val="006E2ABF"/>
    <w:rsid w:val="006E33AC"/>
    <w:rsid w:val="006E377C"/>
    <w:rsid w:val="006E3C2F"/>
    <w:rsid w:val="006E43CD"/>
    <w:rsid w:val="006E76AD"/>
    <w:rsid w:val="006F01C0"/>
    <w:rsid w:val="006F04AB"/>
    <w:rsid w:val="006F081C"/>
    <w:rsid w:val="006F0FCF"/>
    <w:rsid w:val="006F1108"/>
    <w:rsid w:val="006F1148"/>
    <w:rsid w:val="006F1333"/>
    <w:rsid w:val="006F23F0"/>
    <w:rsid w:val="006F26AB"/>
    <w:rsid w:val="006F28A2"/>
    <w:rsid w:val="006F3F96"/>
    <w:rsid w:val="006F4F75"/>
    <w:rsid w:val="006F54AD"/>
    <w:rsid w:val="006F5F49"/>
    <w:rsid w:val="006F7E3B"/>
    <w:rsid w:val="006F7F9C"/>
    <w:rsid w:val="007002C5"/>
    <w:rsid w:val="00700E83"/>
    <w:rsid w:val="007013DA"/>
    <w:rsid w:val="00701703"/>
    <w:rsid w:val="00701CF8"/>
    <w:rsid w:val="007022FE"/>
    <w:rsid w:val="007029D3"/>
    <w:rsid w:val="007029DF"/>
    <w:rsid w:val="00703EC5"/>
    <w:rsid w:val="007041DF"/>
    <w:rsid w:val="007051D7"/>
    <w:rsid w:val="0070557D"/>
    <w:rsid w:val="00705AAF"/>
    <w:rsid w:val="00706528"/>
    <w:rsid w:val="00710393"/>
    <w:rsid w:val="007106F8"/>
    <w:rsid w:val="007112D8"/>
    <w:rsid w:val="007114C7"/>
    <w:rsid w:val="0071173E"/>
    <w:rsid w:val="00712BF5"/>
    <w:rsid w:val="0071311B"/>
    <w:rsid w:val="007132CC"/>
    <w:rsid w:val="0071438A"/>
    <w:rsid w:val="00714457"/>
    <w:rsid w:val="00714C1F"/>
    <w:rsid w:val="0071659B"/>
    <w:rsid w:val="00717513"/>
    <w:rsid w:val="00717C52"/>
    <w:rsid w:val="0072015E"/>
    <w:rsid w:val="00721444"/>
    <w:rsid w:val="00722328"/>
    <w:rsid w:val="007226DB"/>
    <w:rsid w:val="007237F4"/>
    <w:rsid w:val="007240C6"/>
    <w:rsid w:val="007244D2"/>
    <w:rsid w:val="00724998"/>
    <w:rsid w:val="007253A7"/>
    <w:rsid w:val="0072564C"/>
    <w:rsid w:val="00726222"/>
    <w:rsid w:val="00726732"/>
    <w:rsid w:val="00727211"/>
    <w:rsid w:val="0073057F"/>
    <w:rsid w:val="00730A19"/>
    <w:rsid w:val="00732142"/>
    <w:rsid w:val="00732466"/>
    <w:rsid w:val="00733495"/>
    <w:rsid w:val="00733AE9"/>
    <w:rsid w:val="00735815"/>
    <w:rsid w:val="007358A7"/>
    <w:rsid w:val="00735A6F"/>
    <w:rsid w:val="00736EB9"/>
    <w:rsid w:val="0074084C"/>
    <w:rsid w:val="00740992"/>
    <w:rsid w:val="0074147B"/>
    <w:rsid w:val="00741DD2"/>
    <w:rsid w:val="007433CA"/>
    <w:rsid w:val="00743C64"/>
    <w:rsid w:val="00743E9B"/>
    <w:rsid w:val="00743F3F"/>
    <w:rsid w:val="00744DA7"/>
    <w:rsid w:val="007450EE"/>
    <w:rsid w:val="00745341"/>
    <w:rsid w:val="00745E97"/>
    <w:rsid w:val="007460FD"/>
    <w:rsid w:val="00746266"/>
    <w:rsid w:val="007466A6"/>
    <w:rsid w:val="007469C1"/>
    <w:rsid w:val="00746BB2"/>
    <w:rsid w:val="00747178"/>
    <w:rsid w:val="00747396"/>
    <w:rsid w:val="0074783A"/>
    <w:rsid w:val="00747EC9"/>
    <w:rsid w:val="00747FF0"/>
    <w:rsid w:val="007507E9"/>
    <w:rsid w:val="00750A6A"/>
    <w:rsid w:val="00750EAC"/>
    <w:rsid w:val="0075129C"/>
    <w:rsid w:val="0075137D"/>
    <w:rsid w:val="007514A6"/>
    <w:rsid w:val="00751A96"/>
    <w:rsid w:val="00751BD2"/>
    <w:rsid w:val="00751D34"/>
    <w:rsid w:val="007523DB"/>
    <w:rsid w:val="007525FB"/>
    <w:rsid w:val="007529F9"/>
    <w:rsid w:val="007535FE"/>
    <w:rsid w:val="00753B26"/>
    <w:rsid w:val="00753F17"/>
    <w:rsid w:val="007548B3"/>
    <w:rsid w:val="00754CB0"/>
    <w:rsid w:val="007557CB"/>
    <w:rsid w:val="00755966"/>
    <w:rsid w:val="00756072"/>
    <w:rsid w:val="0075643D"/>
    <w:rsid w:val="00756552"/>
    <w:rsid w:val="00756747"/>
    <w:rsid w:val="0075699B"/>
    <w:rsid w:val="007569B2"/>
    <w:rsid w:val="007569CE"/>
    <w:rsid w:val="00756BAC"/>
    <w:rsid w:val="00756E78"/>
    <w:rsid w:val="00757C2E"/>
    <w:rsid w:val="00757CE4"/>
    <w:rsid w:val="0076046A"/>
    <w:rsid w:val="0076111A"/>
    <w:rsid w:val="007616E3"/>
    <w:rsid w:val="00761F95"/>
    <w:rsid w:val="007625AE"/>
    <w:rsid w:val="00762879"/>
    <w:rsid w:val="007628F3"/>
    <w:rsid w:val="007645D1"/>
    <w:rsid w:val="00764834"/>
    <w:rsid w:val="00764B63"/>
    <w:rsid w:val="007654CE"/>
    <w:rsid w:val="00765B3A"/>
    <w:rsid w:val="00765FED"/>
    <w:rsid w:val="00766181"/>
    <w:rsid w:val="00766CD8"/>
    <w:rsid w:val="00766D2B"/>
    <w:rsid w:val="00767F95"/>
    <w:rsid w:val="00770727"/>
    <w:rsid w:val="007709ED"/>
    <w:rsid w:val="00770E0B"/>
    <w:rsid w:val="007713F0"/>
    <w:rsid w:val="00772118"/>
    <w:rsid w:val="007723C1"/>
    <w:rsid w:val="007725CF"/>
    <w:rsid w:val="007729D4"/>
    <w:rsid w:val="00773B2A"/>
    <w:rsid w:val="00773DD7"/>
    <w:rsid w:val="00774338"/>
    <w:rsid w:val="00774598"/>
    <w:rsid w:val="0077530F"/>
    <w:rsid w:val="00775D39"/>
    <w:rsid w:val="00775E5A"/>
    <w:rsid w:val="00775F44"/>
    <w:rsid w:val="0077716E"/>
    <w:rsid w:val="00777495"/>
    <w:rsid w:val="0078005E"/>
    <w:rsid w:val="00780257"/>
    <w:rsid w:val="00780C81"/>
    <w:rsid w:val="007825C4"/>
    <w:rsid w:val="00784314"/>
    <w:rsid w:val="007854B3"/>
    <w:rsid w:val="00786616"/>
    <w:rsid w:val="0079102C"/>
    <w:rsid w:val="00792044"/>
    <w:rsid w:val="00792922"/>
    <w:rsid w:val="00792BB9"/>
    <w:rsid w:val="00792FFC"/>
    <w:rsid w:val="00793328"/>
    <w:rsid w:val="00793520"/>
    <w:rsid w:val="0079367D"/>
    <w:rsid w:val="00793E56"/>
    <w:rsid w:val="00793ED7"/>
    <w:rsid w:val="007943CA"/>
    <w:rsid w:val="00795328"/>
    <w:rsid w:val="007954E7"/>
    <w:rsid w:val="00795602"/>
    <w:rsid w:val="00795CAA"/>
    <w:rsid w:val="00795D46"/>
    <w:rsid w:val="007969D6"/>
    <w:rsid w:val="00796A79"/>
    <w:rsid w:val="00796CEB"/>
    <w:rsid w:val="00796FEF"/>
    <w:rsid w:val="00797812"/>
    <w:rsid w:val="00797868"/>
    <w:rsid w:val="007979E9"/>
    <w:rsid w:val="00797C1B"/>
    <w:rsid w:val="007A07C3"/>
    <w:rsid w:val="007A08B5"/>
    <w:rsid w:val="007A1CB0"/>
    <w:rsid w:val="007A1D6D"/>
    <w:rsid w:val="007A2120"/>
    <w:rsid w:val="007A43FE"/>
    <w:rsid w:val="007A5AA1"/>
    <w:rsid w:val="007A613C"/>
    <w:rsid w:val="007A61E6"/>
    <w:rsid w:val="007A7861"/>
    <w:rsid w:val="007B0CD2"/>
    <w:rsid w:val="007B1CB6"/>
    <w:rsid w:val="007B1DC6"/>
    <w:rsid w:val="007B21E5"/>
    <w:rsid w:val="007B259E"/>
    <w:rsid w:val="007B2747"/>
    <w:rsid w:val="007B2D41"/>
    <w:rsid w:val="007B31D5"/>
    <w:rsid w:val="007B4A9C"/>
    <w:rsid w:val="007B56E4"/>
    <w:rsid w:val="007B6D40"/>
    <w:rsid w:val="007B6EB7"/>
    <w:rsid w:val="007B700F"/>
    <w:rsid w:val="007B7467"/>
    <w:rsid w:val="007B7768"/>
    <w:rsid w:val="007C0D97"/>
    <w:rsid w:val="007C160E"/>
    <w:rsid w:val="007C208F"/>
    <w:rsid w:val="007C2155"/>
    <w:rsid w:val="007C2AAC"/>
    <w:rsid w:val="007C31E2"/>
    <w:rsid w:val="007C38D5"/>
    <w:rsid w:val="007C4909"/>
    <w:rsid w:val="007C4D32"/>
    <w:rsid w:val="007C771C"/>
    <w:rsid w:val="007C7B7E"/>
    <w:rsid w:val="007D0F1F"/>
    <w:rsid w:val="007D1169"/>
    <w:rsid w:val="007D131A"/>
    <w:rsid w:val="007D16F7"/>
    <w:rsid w:val="007D17A1"/>
    <w:rsid w:val="007D255C"/>
    <w:rsid w:val="007D2A2D"/>
    <w:rsid w:val="007D33B6"/>
    <w:rsid w:val="007D4529"/>
    <w:rsid w:val="007D53CF"/>
    <w:rsid w:val="007D5D29"/>
    <w:rsid w:val="007D65D5"/>
    <w:rsid w:val="007D6EAC"/>
    <w:rsid w:val="007D7257"/>
    <w:rsid w:val="007D7373"/>
    <w:rsid w:val="007E1D03"/>
    <w:rsid w:val="007E2C2C"/>
    <w:rsid w:val="007E30A8"/>
    <w:rsid w:val="007E3191"/>
    <w:rsid w:val="007E40F6"/>
    <w:rsid w:val="007E4F85"/>
    <w:rsid w:val="007F0048"/>
    <w:rsid w:val="007F00B6"/>
    <w:rsid w:val="007F0CAC"/>
    <w:rsid w:val="007F1EB6"/>
    <w:rsid w:val="007F1F22"/>
    <w:rsid w:val="007F2258"/>
    <w:rsid w:val="007F24C3"/>
    <w:rsid w:val="007F2685"/>
    <w:rsid w:val="007F2D76"/>
    <w:rsid w:val="007F3393"/>
    <w:rsid w:val="007F343E"/>
    <w:rsid w:val="007F367B"/>
    <w:rsid w:val="007F415E"/>
    <w:rsid w:val="007F440E"/>
    <w:rsid w:val="007F44BC"/>
    <w:rsid w:val="007F46AB"/>
    <w:rsid w:val="007F5F71"/>
    <w:rsid w:val="007F7A32"/>
    <w:rsid w:val="007F7B52"/>
    <w:rsid w:val="007F7C1E"/>
    <w:rsid w:val="00800276"/>
    <w:rsid w:val="008008B8"/>
    <w:rsid w:val="0080184F"/>
    <w:rsid w:val="00801BA3"/>
    <w:rsid w:val="00804808"/>
    <w:rsid w:val="00804CC3"/>
    <w:rsid w:val="00805293"/>
    <w:rsid w:val="00806B38"/>
    <w:rsid w:val="00806E29"/>
    <w:rsid w:val="00810BD1"/>
    <w:rsid w:val="008120A6"/>
    <w:rsid w:val="008125F7"/>
    <w:rsid w:val="00812BAD"/>
    <w:rsid w:val="008139F6"/>
    <w:rsid w:val="00813C18"/>
    <w:rsid w:val="00813E2A"/>
    <w:rsid w:val="00813F1D"/>
    <w:rsid w:val="00814A69"/>
    <w:rsid w:val="008150FC"/>
    <w:rsid w:val="00815E13"/>
    <w:rsid w:val="008169F0"/>
    <w:rsid w:val="00816F06"/>
    <w:rsid w:val="00816FE0"/>
    <w:rsid w:val="008171F7"/>
    <w:rsid w:val="00817D4F"/>
    <w:rsid w:val="00820916"/>
    <w:rsid w:val="0082188F"/>
    <w:rsid w:val="00821A92"/>
    <w:rsid w:val="00822673"/>
    <w:rsid w:val="00822C18"/>
    <w:rsid w:val="00822DF2"/>
    <w:rsid w:val="00823D0A"/>
    <w:rsid w:val="008240D3"/>
    <w:rsid w:val="008244C6"/>
    <w:rsid w:val="00825A4A"/>
    <w:rsid w:val="00825CAC"/>
    <w:rsid w:val="00825DDB"/>
    <w:rsid w:val="00825DF9"/>
    <w:rsid w:val="00826C88"/>
    <w:rsid w:val="008270A7"/>
    <w:rsid w:val="008274C7"/>
    <w:rsid w:val="00827800"/>
    <w:rsid w:val="0083173E"/>
    <w:rsid w:val="00831E79"/>
    <w:rsid w:val="008324E3"/>
    <w:rsid w:val="0083307A"/>
    <w:rsid w:val="00833558"/>
    <w:rsid w:val="00833670"/>
    <w:rsid w:val="00833CAF"/>
    <w:rsid w:val="00835189"/>
    <w:rsid w:val="0083530C"/>
    <w:rsid w:val="00836A4F"/>
    <w:rsid w:val="00837323"/>
    <w:rsid w:val="00837AB2"/>
    <w:rsid w:val="00837BA1"/>
    <w:rsid w:val="00841141"/>
    <w:rsid w:val="00841197"/>
    <w:rsid w:val="0084192B"/>
    <w:rsid w:val="00842237"/>
    <w:rsid w:val="00843520"/>
    <w:rsid w:val="00843734"/>
    <w:rsid w:val="00844618"/>
    <w:rsid w:val="0084461E"/>
    <w:rsid w:val="0084471F"/>
    <w:rsid w:val="0084500B"/>
    <w:rsid w:val="0084524C"/>
    <w:rsid w:val="008453F3"/>
    <w:rsid w:val="008456C8"/>
    <w:rsid w:val="00847CF8"/>
    <w:rsid w:val="00850434"/>
    <w:rsid w:val="00850567"/>
    <w:rsid w:val="0085096C"/>
    <w:rsid w:val="00850B37"/>
    <w:rsid w:val="00850C6E"/>
    <w:rsid w:val="00850F25"/>
    <w:rsid w:val="0085258E"/>
    <w:rsid w:val="00852C55"/>
    <w:rsid w:val="00853393"/>
    <w:rsid w:val="008543FB"/>
    <w:rsid w:val="00854787"/>
    <w:rsid w:val="00854E27"/>
    <w:rsid w:val="0085509A"/>
    <w:rsid w:val="0085528B"/>
    <w:rsid w:val="008553D5"/>
    <w:rsid w:val="00855642"/>
    <w:rsid w:val="00856F06"/>
    <w:rsid w:val="0085702B"/>
    <w:rsid w:val="00857892"/>
    <w:rsid w:val="008614F3"/>
    <w:rsid w:val="00861DD3"/>
    <w:rsid w:val="00864B27"/>
    <w:rsid w:val="008651AE"/>
    <w:rsid w:val="00865316"/>
    <w:rsid w:val="00865B8A"/>
    <w:rsid w:val="00865CE8"/>
    <w:rsid w:val="008661F8"/>
    <w:rsid w:val="00866DBF"/>
    <w:rsid w:val="00866F3D"/>
    <w:rsid w:val="00867EDC"/>
    <w:rsid w:val="008714BD"/>
    <w:rsid w:val="00871866"/>
    <w:rsid w:val="00872B9D"/>
    <w:rsid w:val="00874B70"/>
    <w:rsid w:val="00876344"/>
    <w:rsid w:val="0087749F"/>
    <w:rsid w:val="0087750D"/>
    <w:rsid w:val="008779FF"/>
    <w:rsid w:val="00877EA8"/>
    <w:rsid w:val="008821D5"/>
    <w:rsid w:val="008836CC"/>
    <w:rsid w:val="0088372D"/>
    <w:rsid w:val="008841DD"/>
    <w:rsid w:val="00884EE8"/>
    <w:rsid w:val="00885275"/>
    <w:rsid w:val="008856BA"/>
    <w:rsid w:val="00885794"/>
    <w:rsid w:val="00885900"/>
    <w:rsid w:val="00885A95"/>
    <w:rsid w:val="00887BBC"/>
    <w:rsid w:val="00887ED1"/>
    <w:rsid w:val="00891221"/>
    <w:rsid w:val="00891FF0"/>
    <w:rsid w:val="00892B84"/>
    <w:rsid w:val="00893940"/>
    <w:rsid w:val="00896AB9"/>
    <w:rsid w:val="00896CC2"/>
    <w:rsid w:val="008A1318"/>
    <w:rsid w:val="008A1CFC"/>
    <w:rsid w:val="008A29F6"/>
    <w:rsid w:val="008A389F"/>
    <w:rsid w:val="008A3C2A"/>
    <w:rsid w:val="008A3D46"/>
    <w:rsid w:val="008A79AE"/>
    <w:rsid w:val="008A7F7E"/>
    <w:rsid w:val="008A7FD1"/>
    <w:rsid w:val="008B01EA"/>
    <w:rsid w:val="008B05FC"/>
    <w:rsid w:val="008B0A48"/>
    <w:rsid w:val="008B0B58"/>
    <w:rsid w:val="008B2D86"/>
    <w:rsid w:val="008B2DC9"/>
    <w:rsid w:val="008B3CC8"/>
    <w:rsid w:val="008B4CB8"/>
    <w:rsid w:val="008B5956"/>
    <w:rsid w:val="008B62CA"/>
    <w:rsid w:val="008B6C3F"/>
    <w:rsid w:val="008B6DA7"/>
    <w:rsid w:val="008B7F90"/>
    <w:rsid w:val="008C00AC"/>
    <w:rsid w:val="008C0131"/>
    <w:rsid w:val="008C1DE3"/>
    <w:rsid w:val="008C269A"/>
    <w:rsid w:val="008C29A2"/>
    <w:rsid w:val="008C2D7C"/>
    <w:rsid w:val="008C478C"/>
    <w:rsid w:val="008C4E19"/>
    <w:rsid w:val="008C567F"/>
    <w:rsid w:val="008C584C"/>
    <w:rsid w:val="008C72E5"/>
    <w:rsid w:val="008C7673"/>
    <w:rsid w:val="008D1001"/>
    <w:rsid w:val="008D128A"/>
    <w:rsid w:val="008D1E62"/>
    <w:rsid w:val="008D318C"/>
    <w:rsid w:val="008D3CF8"/>
    <w:rsid w:val="008D46E8"/>
    <w:rsid w:val="008D662A"/>
    <w:rsid w:val="008D7052"/>
    <w:rsid w:val="008D7463"/>
    <w:rsid w:val="008D7947"/>
    <w:rsid w:val="008D7FBC"/>
    <w:rsid w:val="008E062E"/>
    <w:rsid w:val="008E06C5"/>
    <w:rsid w:val="008E0DEE"/>
    <w:rsid w:val="008E17E7"/>
    <w:rsid w:val="008E1894"/>
    <w:rsid w:val="008E2AA3"/>
    <w:rsid w:val="008E3BB4"/>
    <w:rsid w:val="008E46A4"/>
    <w:rsid w:val="008E5AB4"/>
    <w:rsid w:val="008E6253"/>
    <w:rsid w:val="008E7155"/>
    <w:rsid w:val="008E79F2"/>
    <w:rsid w:val="008F2439"/>
    <w:rsid w:val="008F29F9"/>
    <w:rsid w:val="008F2F53"/>
    <w:rsid w:val="008F431C"/>
    <w:rsid w:val="008F5637"/>
    <w:rsid w:val="008F57E6"/>
    <w:rsid w:val="008F5E76"/>
    <w:rsid w:val="008F5FFA"/>
    <w:rsid w:val="008F70B5"/>
    <w:rsid w:val="008F7EE0"/>
    <w:rsid w:val="0090079B"/>
    <w:rsid w:val="00900D31"/>
    <w:rsid w:val="009016A5"/>
    <w:rsid w:val="00901A71"/>
    <w:rsid w:val="00901FE3"/>
    <w:rsid w:val="009029FE"/>
    <w:rsid w:val="00903DC0"/>
    <w:rsid w:val="00906B86"/>
    <w:rsid w:val="00906F95"/>
    <w:rsid w:val="00907005"/>
    <w:rsid w:val="00907413"/>
    <w:rsid w:val="00907B3B"/>
    <w:rsid w:val="00911998"/>
    <w:rsid w:val="00911B53"/>
    <w:rsid w:val="00911CCF"/>
    <w:rsid w:val="009120C6"/>
    <w:rsid w:val="00912866"/>
    <w:rsid w:val="00912D95"/>
    <w:rsid w:val="00913DD5"/>
    <w:rsid w:val="00914B42"/>
    <w:rsid w:val="00915C47"/>
    <w:rsid w:val="00916057"/>
    <w:rsid w:val="00916606"/>
    <w:rsid w:val="00917EF4"/>
    <w:rsid w:val="009217FF"/>
    <w:rsid w:val="00922587"/>
    <w:rsid w:val="009233B5"/>
    <w:rsid w:val="009240BC"/>
    <w:rsid w:val="00924450"/>
    <w:rsid w:val="00924850"/>
    <w:rsid w:val="009260BE"/>
    <w:rsid w:val="009271D5"/>
    <w:rsid w:val="0092727D"/>
    <w:rsid w:val="0092760B"/>
    <w:rsid w:val="0093120D"/>
    <w:rsid w:val="009345F1"/>
    <w:rsid w:val="00934942"/>
    <w:rsid w:val="00934A81"/>
    <w:rsid w:val="0093504B"/>
    <w:rsid w:val="00935078"/>
    <w:rsid w:val="00935C7F"/>
    <w:rsid w:val="0093610D"/>
    <w:rsid w:val="009361FF"/>
    <w:rsid w:val="0093680F"/>
    <w:rsid w:val="00936C58"/>
    <w:rsid w:val="00936DF7"/>
    <w:rsid w:val="00937A11"/>
    <w:rsid w:val="00940154"/>
    <w:rsid w:val="00940941"/>
    <w:rsid w:val="0094110A"/>
    <w:rsid w:val="0094129E"/>
    <w:rsid w:val="0094149B"/>
    <w:rsid w:val="009416F8"/>
    <w:rsid w:val="00941E5F"/>
    <w:rsid w:val="00942450"/>
    <w:rsid w:val="009437C4"/>
    <w:rsid w:val="009438F6"/>
    <w:rsid w:val="00943C4C"/>
    <w:rsid w:val="009440B7"/>
    <w:rsid w:val="00945112"/>
    <w:rsid w:val="00945937"/>
    <w:rsid w:val="00945A1E"/>
    <w:rsid w:val="00945CD5"/>
    <w:rsid w:val="00945F37"/>
    <w:rsid w:val="009467E3"/>
    <w:rsid w:val="009474D8"/>
    <w:rsid w:val="00947ADC"/>
    <w:rsid w:val="00947F1A"/>
    <w:rsid w:val="00950129"/>
    <w:rsid w:val="00950856"/>
    <w:rsid w:val="009511B6"/>
    <w:rsid w:val="009519A8"/>
    <w:rsid w:val="00951F30"/>
    <w:rsid w:val="00951FB3"/>
    <w:rsid w:val="00952066"/>
    <w:rsid w:val="00952BFA"/>
    <w:rsid w:val="0095317F"/>
    <w:rsid w:val="00953284"/>
    <w:rsid w:val="00955175"/>
    <w:rsid w:val="00955218"/>
    <w:rsid w:val="00955A19"/>
    <w:rsid w:val="00957AC1"/>
    <w:rsid w:val="00957FF1"/>
    <w:rsid w:val="009601DC"/>
    <w:rsid w:val="009609D8"/>
    <w:rsid w:val="00960EA4"/>
    <w:rsid w:val="0096157E"/>
    <w:rsid w:val="00961638"/>
    <w:rsid w:val="00962B17"/>
    <w:rsid w:val="00964AE8"/>
    <w:rsid w:val="009665EA"/>
    <w:rsid w:val="00966A9C"/>
    <w:rsid w:val="0096749A"/>
    <w:rsid w:val="00967902"/>
    <w:rsid w:val="00967E40"/>
    <w:rsid w:val="009704BC"/>
    <w:rsid w:val="009706A4"/>
    <w:rsid w:val="0097130A"/>
    <w:rsid w:val="00971E69"/>
    <w:rsid w:val="0097263C"/>
    <w:rsid w:val="00972A6B"/>
    <w:rsid w:val="00972C73"/>
    <w:rsid w:val="0097326D"/>
    <w:rsid w:val="00974355"/>
    <w:rsid w:val="009745CB"/>
    <w:rsid w:val="00974913"/>
    <w:rsid w:val="00974B88"/>
    <w:rsid w:val="0097517F"/>
    <w:rsid w:val="009751FA"/>
    <w:rsid w:val="0097568F"/>
    <w:rsid w:val="00976212"/>
    <w:rsid w:val="009767E6"/>
    <w:rsid w:val="00976F39"/>
    <w:rsid w:val="009770CC"/>
    <w:rsid w:val="00977190"/>
    <w:rsid w:val="00977386"/>
    <w:rsid w:val="00977E7F"/>
    <w:rsid w:val="009805AD"/>
    <w:rsid w:val="00980AFB"/>
    <w:rsid w:val="00981E76"/>
    <w:rsid w:val="009828D7"/>
    <w:rsid w:val="00982D41"/>
    <w:rsid w:val="009847C5"/>
    <w:rsid w:val="00985518"/>
    <w:rsid w:val="00985FAF"/>
    <w:rsid w:val="0098632C"/>
    <w:rsid w:val="00987AB4"/>
    <w:rsid w:val="00987F4B"/>
    <w:rsid w:val="00990388"/>
    <w:rsid w:val="009904A1"/>
    <w:rsid w:val="009908B6"/>
    <w:rsid w:val="00990AF4"/>
    <w:rsid w:val="009913C3"/>
    <w:rsid w:val="009915DC"/>
    <w:rsid w:val="00992371"/>
    <w:rsid w:val="009946EF"/>
    <w:rsid w:val="009948C4"/>
    <w:rsid w:val="00994959"/>
    <w:rsid w:val="00994A2E"/>
    <w:rsid w:val="00995061"/>
    <w:rsid w:val="00995FA4"/>
    <w:rsid w:val="0099635B"/>
    <w:rsid w:val="009969B9"/>
    <w:rsid w:val="00997EB6"/>
    <w:rsid w:val="009A0778"/>
    <w:rsid w:val="009A09F1"/>
    <w:rsid w:val="009A116F"/>
    <w:rsid w:val="009A16FD"/>
    <w:rsid w:val="009A2283"/>
    <w:rsid w:val="009A2662"/>
    <w:rsid w:val="009A4541"/>
    <w:rsid w:val="009A49A9"/>
    <w:rsid w:val="009A5A85"/>
    <w:rsid w:val="009A5BAC"/>
    <w:rsid w:val="009A5FAC"/>
    <w:rsid w:val="009A6077"/>
    <w:rsid w:val="009A72B9"/>
    <w:rsid w:val="009A72C2"/>
    <w:rsid w:val="009A784B"/>
    <w:rsid w:val="009B0179"/>
    <w:rsid w:val="009B020D"/>
    <w:rsid w:val="009B0487"/>
    <w:rsid w:val="009B04F7"/>
    <w:rsid w:val="009B05D5"/>
    <w:rsid w:val="009B087C"/>
    <w:rsid w:val="009B0ACD"/>
    <w:rsid w:val="009B1E69"/>
    <w:rsid w:val="009B2218"/>
    <w:rsid w:val="009B3A02"/>
    <w:rsid w:val="009B4908"/>
    <w:rsid w:val="009B4933"/>
    <w:rsid w:val="009B4FC4"/>
    <w:rsid w:val="009B6635"/>
    <w:rsid w:val="009C0AD6"/>
    <w:rsid w:val="009C1309"/>
    <w:rsid w:val="009C1724"/>
    <w:rsid w:val="009C23E6"/>
    <w:rsid w:val="009C36CE"/>
    <w:rsid w:val="009C3904"/>
    <w:rsid w:val="009C3CC5"/>
    <w:rsid w:val="009C7D93"/>
    <w:rsid w:val="009D08A5"/>
    <w:rsid w:val="009D1985"/>
    <w:rsid w:val="009D1BCA"/>
    <w:rsid w:val="009D23CD"/>
    <w:rsid w:val="009D28B4"/>
    <w:rsid w:val="009D303F"/>
    <w:rsid w:val="009D3AC5"/>
    <w:rsid w:val="009D3D74"/>
    <w:rsid w:val="009D441F"/>
    <w:rsid w:val="009D532F"/>
    <w:rsid w:val="009D73CD"/>
    <w:rsid w:val="009D75E1"/>
    <w:rsid w:val="009D76FC"/>
    <w:rsid w:val="009D77CD"/>
    <w:rsid w:val="009D7C50"/>
    <w:rsid w:val="009E1D66"/>
    <w:rsid w:val="009E265E"/>
    <w:rsid w:val="009E2C67"/>
    <w:rsid w:val="009E3C16"/>
    <w:rsid w:val="009E4157"/>
    <w:rsid w:val="009E4F1F"/>
    <w:rsid w:val="009E5265"/>
    <w:rsid w:val="009E55F6"/>
    <w:rsid w:val="009E5629"/>
    <w:rsid w:val="009E5815"/>
    <w:rsid w:val="009E6630"/>
    <w:rsid w:val="009E7897"/>
    <w:rsid w:val="009F0327"/>
    <w:rsid w:val="009F1004"/>
    <w:rsid w:val="009F1554"/>
    <w:rsid w:val="009F21FA"/>
    <w:rsid w:val="009F2666"/>
    <w:rsid w:val="009F2C72"/>
    <w:rsid w:val="009F3072"/>
    <w:rsid w:val="009F39CA"/>
    <w:rsid w:val="009F3BE8"/>
    <w:rsid w:val="009F58FF"/>
    <w:rsid w:val="009F5A4B"/>
    <w:rsid w:val="009F626D"/>
    <w:rsid w:val="009F6A99"/>
    <w:rsid w:val="009F756F"/>
    <w:rsid w:val="009F771D"/>
    <w:rsid w:val="009F7782"/>
    <w:rsid w:val="009F7927"/>
    <w:rsid w:val="009F7EC8"/>
    <w:rsid w:val="00A00F46"/>
    <w:rsid w:val="00A00F79"/>
    <w:rsid w:val="00A0146E"/>
    <w:rsid w:val="00A0174F"/>
    <w:rsid w:val="00A01ACF"/>
    <w:rsid w:val="00A02CCB"/>
    <w:rsid w:val="00A03046"/>
    <w:rsid w:val="00A039F1"/>
    <w:rsid w:val="00A06890"/>
    <w:rsid w:val="00A0787C"/>
    <w:rsid w:val="00A0789B"/>
    <w:rsid w:val="00A07AEF"/>
    <w:rsid w:val="00A07EE6"/>
    <w:rsid w:val="00A111BA"/>
    <w:rsid w:val="00A12B63"/>
    <w:rsid w:val="00A12E48"/>
    <w:rsid w:val="00A13762"/>
    <w:rsid w:val="00A14DBC"/>
    <w:rsid w:val="00A15E93"/>
    <w:rsid w:val="00A16ECB"/>
    <w:rsid w:val="00A171AA"/>
    <w:rsid w:val="00A17244"/>
    <w:rsid w:val="00A17801"/>
    <w:rsid w:val="00A1793E"/>
    <w:rsid w:val="00A17941"/>
    <w:rsid w:val="00A17A67"/>
    <w:rsid w:val="00A20B39"/>
    <w:rsid w:val="00A20BE6"/>
    <w:rsid w:val="00A217CC"/>
    <w:rsid w:val="00A231E4"/>
    <w:rsid w:val="00A23226"/>
    <w:rsid w:val="00A24BBF"/>
    <w:rsid w:val="00A25119"/>
    <w:rsid w:val="00A2631A"/>
    <w:rsid w:val="00A26696"/>
    <w:rsid w:val="00A2690C"/>
    <w:rsid w:val="00A26B85"/>
    <w:rsid w:val="00A278EE"/>
    <w:rsid w:val="00A3081B"/>
    <w:rsid w:val="00A31C4D"/>
    <w:rsid w:val="00A32337"/>
    <w:rsid w:val="00A33CF9"/>
    <w:rsid w:val="00A33DE2"/>
    <w:rsid w:val="00A33E64"/>
    <w:rsid w:val="00A34E27"/>
    <w:rsid w:val="00A34E6F"/>
    <w:rsid w:val="00A357C9"/>
    <w:rsid w:val="00A35CDC"/>
    <w:rsid w:val="00A36DDC"/>
    <w:rsid w:val="00A37BF4"/>
    <w:rsid w:val="00A401B5"/>
    <w:rsid w:val="00A409F7"/>
    <w:rsid w:val="00A4165C"/>
    <w:rsid w:val="00A42604"/>
    <w:rsid w:val="00A43255"/>
    <w:rsid w:val="00A432A2"/>
    <w:rsid w:val="00A433A8"/>
    <w:rsid w:val="00A435F8"/>
    <w:rsid w:val="00A43BC6"/>
    <w:rsid w:val="00A45F7B"/>
    <w:rsid w:val="00A46B6C"/>
    <w:rsid w:val="00A46D03"/>
    <w:rsid w:val="00A47D52"/>
    <w:rsid w:val="00A507B6"/>
    <w:rsid w:val="00A509AA"/>
    <w:rsid w:val="00A509C3"/>
    <w:rsid w:val="00A516EA"/>
    <w:rsid w:val="00A519CB"/>
    <w:rsid w:val="00A524C8"/>
    <w:rsid w:val="00A528EA"/>
    <w:rsid w:val="00A54C29"/>
    <w:rsid w:val="00A5540C"/>
    <w:rsid w:val="00A554C0"/>
    <w:rsid w:val="00A56670"/>
    <w:rsid w:val="00A567DA"/>
    <w:rsid w:val="00A56883"/>
    <w:rsid w:val="00A56E86"/>
    <w:rsid w:val="00A5747B"/>
    <w:rsid w:val="00A577C0"/>
    <w:rsid w:val="00A579D1"/>
    <w:rsid w:val="00A57E21"/>
    <w:rsid w:val="00A6093B"/>
    <w:rsid w:val="00A61178"/>
    <w:rsid w:val="00A62041"/>
    <w:rsid w:val="00A63AC7"/>
    <w:rsid w:val="00A654DC"/>
    <w:rsid w:val="00A6563B"/>
    <w:rsid w:val="00A66232"/>
    <w:rsid w:val="00A6632A"/>
    <w:rsid w:val="00A66651"/>
    <w:rsid w:val="00A6774D"/>
    <w:rsid w:val="00A67B2B"/>
    <w:rsid w:val="00A71EDD"/>
    <w:rsid w:val="00A71F99"/>
    <w:rsid w:val="00A7204F"/>
    <w:rsid w:val="00A7271F"/>
    <w:rsid w:val="00A72884"/>
    <w:rsid w:val="00A736FC"/>
    <w:rsid w:val="00A73917"/>
    <w:rsid w:val="00A73A2E"/>
    <w:rsid w:val="00A74802"/>
    <w:rsid w:val="00A75112"/>
    <w:rsid w:val="00A76596"/>
    <w:rsid w:val="00A76953"/>
    <w:rsid w:val="00A76CBC"/>
    <w:rsid w:val="00A7779E"/>
    <w:rsid w:val="00A77D93"/>
    <w:rsid w:val="00A80021"/>
    <w:rsid w:val="00A80A1F"/>
    <w:rsid w:val="00A81B98"/>
    <w:rsid w:val="00A82889"/>
    <w:rsid w:val="00A832B9"/>
    <w:rsid w:val="00A84D3B"/>
    <w:rsid w:val="00A85741"/>
    <w:rsid w:val="00A85ECD"/>
    <w:rsid w:val="00A8741C"/>
    <w:rsid w:val="00A87801"/>
    <w:rsid w:val="00A9013C"/>
    <w:rsid w:val="00A90EAB"/>
    <w:rsid w:val="00A91D0F"/>
    <w:rsid w:val="00A9249D"/>
    <w:rsid w:val="00A931BB"/>
    <w:rsid w:val="00A93EC6"/>
    <w:rsid w:val="00A942D2"/>
    <w:rsid w:val="00A951F6"/>
    <w:rsid w:val="00A95207"/>
    <w:rsid w:val="00A95AA7"/>
    <w:rsid w:val="00A95E0C"/>
    <w:rsid w:val="00A95FF9"/>
    <w:rsid w:val="00A962C2"/>
    <w:rsid w:val="00A96698"/>
    <w:rsid w:val="00A96E56"/>
    <w:rsid w:val="00A97671"/>
    <w:rsid w:val="00A97C56"/>
    <w:rsid w:val="00AA0E42"/>
    <w:rsid w:val="00AA25B9"/>
    <w:rsid w:val="00AA2709"/>
    <w:rsid w:val="00AA272E"/>
    <w:rsid w:val="00AA3CBB"/>
    <w:rsid w:val="00AA49C8"/>
    <w:rsid w:val="00AA5327"/>
    <w:rsid w:val="00AA53D5"/>
    <w:rsid w:val="00AA59F8"/>
    <w:rsid w:val="00AA6187"/>
    <w:rsid w:val="00AA6363"/>
    <w:rsid w:val="00AA640C"/>
    <w:rsid w:val="00AA6663"/>
    <w:rsid w:val="00AA6BDD"/>
    <w:rsid w:val="00AA6F77"/>
    <w:rsid w:val="00AA709A"/>
    <w:rsid w:val="00AA721E"/>
    <w:rsid w:val="00AA76A3"/>
    <w:rsid w:val="00AA7BB4"/>
    <w:rsid w:val="00AA7D74"/>
    <w:rsid w:val="00AB25B5"/>
    <w:rsid w:val="00AB2953"/>
    <w:rsid w:val="00AB32C2"/>
    <w:rsid w:val="00AB3D8A"/>
    <w:rsid w:val="00AB3FEF"/>
    <w:rsid w:val="00AB405E"/>
    <w:rsid w:val="00AB488E"/>
    <w:rsid w:val="00AB4CB6"/>
    <w:rsid w:val="00AB50AA"/>
    <w:rsid w:val="00AB5774"/>
    <w:rsid w:val="00AB59C6"/>
    <w:rsid w:val="00AB5A85"/>
    <w:rsid w:val="00AB6101"/>
    <w:rsid w:val="00AB73E3"/>
    <w:rsid w:val="00AB7E3C"/>
    <w:rsid w:val="00AC1041"/>
    <w:rsid w:val="00AC123E"/>
    <w:rsid w:val="00AC13D5"/>
    <w:rsid w:val="00AC2A8A"/>
    <w:rsid w:val="00AC2B28"/>
    <w:rsid w:val="00AC2CF7"/>
    <w:rsid w:val="00AC3AC3"/>
    <w:rsid w:val="00AC4FEF"/>
    <w:rsid w:val="00AC51ED"/>
    <w:rsid w:val="00AC5A5A"/>
    <w:rsid w:val="00AC66AA"/>
    <w:rsid w:val="00AC67C4"/>
    <w:rsid w:val="00AC6B60"/>
    <w:rsid w:val="00AC7BDE"/>
    <w:rsid w:val="00AD039A"/>
    <w:rsid w:val="00AD0B7C"/>
    <w:rsid w:val="00AD1082"/>
    <w:rsid w:val="00AD1F8A"/>
    <w:rsid w:val="00AD24D2"/>
    <w:rsid w:val="00AD2A07"/>
    <w:rsid w:val="00AD2BF8"/>
    <w:rsid w:val="00AD2F39"/>
    <w:rsid w:val="00AD4C64"/>
    <w:rsid w:val="00AD6C22"/>
    <w:rsid w:val="00AD6C5B"/>
    <w:rsid w:val="00AE00F4"/>
    <w:rsid w:val="00AE0C9E"/>
    <w:rsid w:val="00AE268C"/>
    <w:rsid w:val="00AE29F8"/>
    <w:rsid w:val="00AE2A26"/>
    <w:rsid w:val="00AE2D6C"/>
    <w:rsid w:val="00AE4984"/>
    <w:rsid w:val="00AE75DC"/>
    <w:rsid w:val="00AE7A50"/>
    <w:rsid w:val="00AF024F"/>
    <w:rsid w:val="00AF0E25"/>
    <w:rsid w:val="00AF121F"/>
    <w:rsid w:val="00AF165F"/>
    <w:rsid w:val="00AF16B4"/>
    <w:rsid w:val="00AF1F2B"/>
    <w:rsid w:val="00AF2096"/>
    <w:rsid w:val="00AF2682"/>
    <w:rsid w:val="00AF362D"/>
    <w:rsid w:val="00AF3FC4"/>
    <w:rsid w:val="00AF50F7"/>
    <w:rsid w:val="00AF5DD8"/>
    <w:rsid w:val="00AF73F7"/>
    <w:rsid w:val="00AF7B89"/>
    <w:rsid w:val="00AF7DBC"/>
    <w:rsid w:val="00AF7DC5"/>
    <w:rsid w:val="00B00152"/>
    <w:rsid w:val="00B01608"/>
    <w:rsid w:val="00B01869"/>
    <w:rsid w:val="00B01F04"/>
    <w:rsid w:val="00B02099"/>
    <w:rsid w:val="00B020E1"/>
    <w:rsid w:val="00B02354"/>
    <w:rsid w:val="00B027C5"/>
    <w:rsid w:val="00B033A1"/>
    <w:rsid w:val="00B03736"/>
    <w:rsid w:val="00B03D9F"/>
    <w:rsid w:val="00B03F3D"/>
    <w:rsid w:val="00B0464E"/>
    <w:rsid w:val="00B04740"/>
    <w:rsid w:val="00B048F7"/>
    <w:rsid w:val="00B04A67"/>
    <w:rsid w:val="00B04A9E"/>
    <w:rsid w:val="00B04C96"/>
    <w:rsid w:val="00B064C6"/>
    <w:rsid w:val="00B066EA"/>
    <w:rsid w:val="00B07688"/>
    <w:rsid w:val="00B10026"/>
    <w:rsid w:val="00B1022B"/>
    <w:rsid w:val="00B107D5"/>
    <w:rsid w:val="00B11DAB"/>
    <w:rsid w:val="00B11ED8"/>
    <w:rsid w:val="00B14597"/>
    <w:rsid w:val="00B147B2"/>
    <w:rsid w:val="00B16373"/>
    <w:rsid w:val="00B16548"/>
    <w:rsid w:val="00B1739F"/>
    <w:rsid w:val="00B2027E"/>
    <w:rsid w:val="00B20365"/>
    <w:rsid w:val="00B2124A"/>
    <w:rsid w:val="00B21A32"/>
    <w:rsid w:val="00B22490"/>
    <w:rsid w:val="00B23AAC"/>
    <w:rsid w:val="00B23B78"/>
    <w:rsid w:val="00B24998"/>
    <w:rsid w:val="00B24F86"/>
    <w:rsid w:val="00B253C9"/>
    <w:rsid w:val="00B25682"/>
    <w:rsid w:val="00B263D6"/>
    <w:rsid w:val="00B2663F"/>
    <w:rsid w:val="00B272F8"/>
    <w:rsid w:val="00B27BFB"/>
    <w:rsid w:val="00B27C7C"/>
    <w:rsid w:val="00B27F83"/>
    <w:rsid w:val="00B306EB"/>
    <w:rsid w:val="00B309A3"/>
    <w:rsid w:val="00B30B9D"/>
    <w:rsid w:val="00B30E14"/>
    <w:rsid w:val="00B3176D"/>
    <w:rsid w:val="00B31E73"/>
    <w:rsid w:val="00B32D5A"/>
    <w:rsid w:val="00B339B7"/>
    <w:rsid w:val="00B34E00"/>
    <w:rsid w:val="00B357DE"/>
    <w:rsid w:val="00B3595E"/>
    <w:rsid w:val="00B35B6E"/>
    <w:rsid w:val="00B36794"/>
    <w:rsid w:val="00B371A4"/>
    <w:rsid w:val="00B37219"/>
    <w:rsid w:val="00B37FCD"/>
    <w:rsid w:val="00B4055C"/>
    <w:rsid w:val="00B40FF4"/>
    <w:rsid w:val="00B41148"/>
    <w:rsid w:val="00B41731"/>
    <w:rsid w:val="00B4222E"/>
    <w:rsid w:val="00B428A5"/>
    <w:rsid w:val="00B4369D"/>
    <w:rsid w:val="00B43807"/>
    <w:rsid w:val="00B43C77"/>
    <w:rsid w:val="00B44A40"/>
    <w:rsid w:val="00B4623A"/>
    <w:rsid w:val="00B46295"/>
    <w:rsid w:val="00B47DE1"/>
    <w:rsid w:val="00B47E8F"/>
    <w:rsid w:val="00B47EBC"/>
    <w:rsid w:val="00B47F51"/>
    <w:rsid w:val="00B51043"/>
    <w:rsid w:val="00B52C85"/>
    <w:rsid w:val="00B5436E"/>
    <w:rsid w:val="00B5704A"/>
    <w:rsid w:val="00B57172"/>
    <w:rsid w:val="00B57AFD"/>
    <w:rsid w:val="00B601B8"/>
    <w:rsid w:val="00B602B3"/>
    <w:rsid w:val="00B60AA7"/>
    <w:rsid w:val="00B60D0A"/>
    <w:rsid w:val="00B60DEC"/>
    <w:rsid w:val="00B61721"/>
    <w:rsid w:val="00B622B8"/>
    <w:rsid w:val="00B626AE"/>
    <w:rsid w:val="00B65196"/>
    <w:rsid w:val="00B659CE"/>
    <w:rsid w:val="00B65A57"/>
    <w:rsid w:val="00B65D72"/>
    <w:rsid w:val="00B66260"/>
    <w:rsid w:val="00B67490"/>
    <w:rsid w:val="00B674C5"/>
    <w:rsid w:val="00B71F82"/>
    <w:rsid w:val="00B72006"/>
    <w:rsid w:val="00B72B7E"/>
    <w:rsid w:val="00B741BB"/>
    <w:rsid w:val="00B751E4"/>
    <w:rsid w:val="00B7558E"/>
    <w:rsid w:val="00B77C79"/>
    <w:rsid w:val="00B80534"/>
    <w:rsid w:val="00B80598"/>
    <w:rsid w:val="00B8180C"/>
    <w:rsid w:val="00B81E02"/>
    <w:rsid w:val="00B822C0"/>
    <w:rsid w:val="00B82462"/>
    <w:rsid w:val="00B82684"/>
    <w:rsid w:val="00B832FB"/>
    <w:rsid w:val="00B834B0"/>
    <w:rsid w:val="00B8459B"/>
    <w:rsid w:val="00B8593F"/>
    <w:rsid w:val="00B85A62"/>
    <w:rsid w:val="00B862C9"/>
    <w:rsid w:val="00B86F4A"/>
    <w:rsid w:val="00B872C8"/>
    <w:rsid w:val="00B90166"/>
    <w:rsid w:val="00B908BB"/>
    <w:rsid w:val="00B9113B"/>
    <w:rsid w:val="00B9181A"/>
    <w:rsid w:val="00B91AB9"/>
    <w:rsid w:val="00B926E8"/>
    <w:rsid w:val="00B92973"/>
    <w:rsid w:val="00B9442D"/>
    <w:rsid w:val="00B944CA"/>
    <w:rsid w:val="00B950DC"/>
    <w:rsid w:val="00B9545E"/>
    <w:rsid w:val="00B95B04"/>
    <w:rsid w:val="00BA0123"/>
    <w:rsid w:val="00BA0351"/>
    <w:rsid w:val="00BA045B"/>
    <w:rsid w:val="00BA1C42"/>
    <w:rsid w:val="00BA24EE"/>
    <w:rsid w:val="00BA2C06"/>
    <w:rsid w:val="00BA314D"/>
    <w:rsid w:val="00BA3703"/>
    <w:rsid w:val="00BA3896"/>
    <w:rsid w:val="00BA3A7E"/>
    <w:rsid w:val="00BA3BF0"/>
    <w:rsid w:val="00BA416B"/>
    <w:rsid w:val="00BA486D"/>
    <w:rsid w:val="00BA517E"/>
    <w:rsid w:val="00BA5B85"/>
    <w:rsid w:val="00BA5DA2"/>
    <w:rsid w:val="00BA64B8"/>
    <w:rsid w:val="00BA6938"/>
    <w:rsid w:val="00BA6B2A"/>
    <w:rsid w:val="00BB083D"/>
    <w:rsid w:val="00BB0E39"/>
    <w:rsid w:val="00BB0F43"/>
    <w:rsid w:val="00BB102E"/>
    <w:rsid w:val="00BB2495"/>
    <w:rsid w:val="00BB2A52"/>
    <w:rsid w:val="00BB3D03"/>
    <w:rsid w:val="00BB3D1F"/>
    <w:rsid w:val="00BB3D5A"/>
    <w:rsid w:val="00BB3E35"/>
    <w:rsid w:val="00BB3E7B"/>
    <w:rsid w:val="00BB4FB2"/>
    <w:rsid w:val="00BB57A1"/>
    <w:rsid w:val="00BB6B63"/>
    <w:rsid w:val="00BC01EE"/>
    <w:rsid w:val="00BC0C2D"/>
    <w:rsid w:val="00BC0DC8"/>
    <w:rsid w:val="00BC0F2B"/>
    <w:rsid w:val="00BC1056"/>
    <w:rsid w:val="00BC17F6"/>
    <w:rsid w:val="00BC3864"/>
    <w:rsid w:val="00BC3ED9"/>
    <w:rsid w:val="00BC4721"/>
    <w:rsid w:val="00BC5F7A"/>
    <w:rsid w:val="00BC6237"/>
    <w:rsid w:val="00BC625F"/>
    <w:rsid w:val="00BC62FD"/>
    <w:rsid w:val="00BD1293"/>
    <w:rsid w:val="00BD1C5C"/>
    <w:rsid w:val="00BD1FFD"/>
    <w:rsid w:val="00BD2014"/>
    <w:rsid w:val="00BD2378"/>
    <w:rsid w:val="00BD2590"/>
    <w:rsid w:val="00BD2D55"/>
    <w:rsid w:val="00BD3480"/>
    <w:rsid w:val="00BD4537"/>
    <w:rsid w:val="00BD4640"/>
    <w:rsid w:val="00BD49A1"/>
    <w:rsid w:val="00BD52A7"/>
    <w:rsid w:val="00BD5789"/>
    <w:rsid w:val="00BD57C7"/>
    <w:rsid w:val="00BD5880"/>
    <w:rsid w:val="00BD6518"/>
    <w:rsid w:val="00BD6952"/>
    <w:rsid w:val="00BD737F"/>
    <w:rsid w:val="00BE0713"/>
    <w:rsid w:val="00BE07CD"/>
    <w:rsid w:val="00BE0EB5"/>
    <w:rsid w:val="00BE176F"/>
    <w:rsid w:val="00BE37BC"/>
    <w:rsid w:val="00BE3968"/>
    <w:rsid w:val="00BE44F6"/>
    <w:rsid w:val="00BE46F0"/>
    <w:rsid w:val="00BE5038"/>
    <w:rsid w:val="00BE551B"/>
    <w:rsid w:val="00BE5DFB"/>
    <w:rsid w:val="00BE6D75"/>
    <w:rsid w:val="00BF1015"/>
    <w:rsid w:val="00BF1E04"/>
    <w:rsid w:val="00BF2D16"/>
    <w:rsid w:val="00BF32CA"/>
    <w:rsid w:val="00BF3497"/>
    <w:rsid w:val="00BF3915"/>
    <w:rsid w:val="00BF65FA"/>
    <w:rsid w:val="00BF7629"/>
    <w:rsid w:val="00BF7D88"/>
    <w:rsid w:val="00C005CA"/>
    <w:rsid w:val="00C01C82"/>
    <w:rsid w:val="00C0241C"/>
    <w:rsid w:val="00C02578"/>
    <w:rsid w:val="00C029DE"/>
    <w:rsid w:val="00C02BF8"/>
    <w:rsid w:val="00C03A16"/>
    <w:rsid w:val="00C03BE7"/>
    <w:rsid w:val="00C0424E"/>
    <w:rsid w:val="00C04B24"/>
    <w:rsid w:val="00C0575F"/>
    <w:rsid w:val="00C059DE"/>
    <w:rsid w:val="00C066F8"/>
    <w:rsid w:val="00C105DF"/>
    <w:rsid w:val="00C11071"/>
    <w:rsid w:val="00C127C5"/>
    <w:rsid w:val="00C13224"/>
    <w:rsid w:val="00C13EA8"/>
    <w:rsid w:val="00C13F9F"/>
    <w:rsid w:val="00C1530B"/>
    <w:rsid w:val="00C16AD2"/>
    <w:rsid w:val="00C17286"/>
    <w:rsid w:val="00C17294"/>
    <w:rsid w:val="00C21362"/>
    <w:rsid w:val="00C2199F"/>
    <w:rsid w:val="00C22012"/>
    <w:rsid w:val="00C22519"/>
    <w:rsid w:val="00C2346C"/>
    <w:rsid w:val="00C2489C"/>
    <w:rsid w:val="00C25F14"/>
    <w:rsid w:val="00C264D0"/>
    <w:rsid w:val="00C26A46"/>
    <w:rsid w:val="00C27B15"/>
    <w:rsid w:val="00C30111"/>
    <w:rsid w:val="00C3090E"/>
    <w:rsid w:val="00C3102F"/>
    <w:rsid w:val="00C319BF"/>
    <w:rsid w:val="00C31E1B"/>
    <w:rsid w:val="00C325D8"/>
    <w:rsid w:val="00C325DC"/>
    <w:rsid w:val="00C32672"/>
    <w:rsid w:val="00C32C09"/>
    <w:rsid w:val="00C3304F"/>
    <w:rsid w:val="00C3376B"/>
    <w:rsid w:val="00C33EB5"/>
    <w:rsid w:val="00C34620"/>
    <w:rsid w:val="00C34D2E"/>
    <w:rsid w:val="00C355F8"/>
    <w:rsid w:val="00C36BC4"/>
    <w:rsid w:val="00C37E3E"/>
    <w:rsid w:val="00C400A6"/>
    <w:rsid w:val="00C41E7F"/>
    <w:rsid w:val="00C4239F"/>
    <w:rsid w:val="00C42919"/>
    <w:rsid w:val="00C4385D"/>
    <w:rsid w:val="00C44913"/>
    <w:rsid w:val="00C44ACB"/>
    <w:rsid w:val="00C44E37"/>
    <w:rsid w:val="00C46F93"/>
    <w:rsid w:val="00C47390"/>
    <w:rsid w:val="00C47C16"/>
    <w:rsid w:val="00C47EA0"/>
    <w:rsid w:val="00C47FEB"/>
    <w:rsid w:val="00C500D7"/>
    <w:rsid w:val="00C5084F"/>
    <w:rsid w:val="00C50A9C"/>
    <w:rsid w:val="00C50B0D"/>
    <w:rsid w:val="00C51675"/>
    <w:rsid w:val="00C51A12"/>
    <w:rsid w:val="00C5254B"/>
    <w:rsid w:val="00C5284F"/>
    <w:rsid w:val="00C52A0D"/>
    <w:rsid w:val="00C53357"/>
    <w:rsid w:val="00C53614"/>
    <w:rsid w:val="00C53634"/>
    <w:rsid w:val="00C543F0"/>
    <w:rsid w:val="00C5470A"/>
    <w:rsid w:val="00C55563"/>
    <w:rsid w:val="00C55F4C"/>
    <w:rsid w:val="00C56004"/>
    <w:rsid w:val="00C5635B"/>
    <w:rsid w:val="00C56ADC"/>
    <w:rsid w:val="00C56C2D"/>
    <w:rsid w:val="00C56C52"/>
    <w:rsid w:val="00C57DE8"/>
    <w:rsid w:val="00C604A4"/>
    <w:rsid w:val="00C6084D"/>
    <w:rsid w:val="00C61554"/>
    <w:rsid w:val="00C6165F"/>
    <w:rsid w:val="00C616A3"/>
    <w:rsid w:val="00C62E59"/>
    <w:rsid w:val="00C63030"/>
    <w:rsid w:val="00C64036"/>
    <w:rsid w:val="00C651B3"/>
    <w:rsid w:val="00C65A00"/>
    <w:rsid w:val="00C66275"/>
    <w:rsid w:val="00C663BB"/>
    <w:rsid w:val="00C66516"/>
    <w:rsid w:val="00C70059"/>
    <w:rsid w:val="00C700E6"/>
    <w:rsid w:val="00C702E6"/>
    <w:rsid w:val="00C709E1"/>
    <w:rsid w:val="00C70D36"/>
    <w:rsid w:val="00C716FD"/>
    <w:rsid w:val="00C71886"/>
    <w:rsid w:val="00C719BB"/>
    <w:rsid w:val="00C71F1F"/>
    <w:rsid w:val="00C723EE"/>
    <w:rsid w:val="00C73582"/>
    <w:rsid w:val="00C73766"/>
    <w:rsid w:val="00C73937"/>
    <w:rsid w:val="00C73A78"/>
    <w:rsid w:val="00C74664"/>
    <w:rsid w:val="00C74B43"/>
    <w:rsid w:val="00C74B99"/>
    <w:rsid w:val="00C75704"/>
    <w:rsid w:val="00C75CD3"/>
    <w:rsid w:val="00C77E2B"/>
    <w:rsid w:val="00C81E93"/>
    <w:rsid w:val="00C82A27"/>
    <w:rsid w:val="00C84120"/>
    <w:rsid w:val="00C84777"/>
    <w:rsid w:val="00C84FC3"/>
    <w:rsid w:val="00C868F1"/>
    <w:rsid w:val="00C8763A"/>
    <w:rsid w:val="00C91C34"/>
    <w:rsid w:val="00C92013"/>
    <w:rsid w:val="00C925C3"/>
    <w:rsid w:val="00C9342B"/>
    <w:rsid w:val="00C948E2"/>
    <w:rsid w:val="00C95C22"/>
    <w:rsid w:val="00C97018"/>
    <w:rsid w:val="00C97344"/>
    <w:rsid w:val="00C97560"/>
    <w:rsid w:val="00C97924"/>
    <w:rsid w:val="00CA048B"/>
    <w:rsid w:val="00CA0A28"/>
    <w:rsid w:val="00CA0B6F"/>
    <w:rsid w:val="00CA111B"/>
    <w:rsid w:val="00CA181C"/>
    <w:rsid w:val="00CA19C6"/>
    <w:rsid w:val="00CA1E42"/>
    <w:rsid w:val="00CA2067"/>
    <w:rsid w:val="00CA2380"/>
    <w:rsid w:val="00CA255F"/>
    <w:rsid w:val="00CA2671"/>
    <w:rsid w:val="00CA445D"/>
    <w:rsid w:val="00CA4E37"/>
    <w:rsid w:val="00CA5435"/>
    <w:rsid w:val="00CA6837"/>
    <w:rsid w:val="00CA6B80"/>
    <w:rsid w:val="00CA6DA6"/>
    <w:rsid w:val="00CA7597"/>
    <w:rsid w:val="00CB07FC"/>
    <w:rsid w:val="00CB0839"/>
    <w:rsid w:val="00CB128C"/>
    <w:rsid w:val="00CB19E2"/>
    <w:rsid w:val="00CB2873"/>
    <w:rsid w:val="00CB3214"/>
    <w:rsid w:val="00CB432E"/>
    <w:rsid w:val="00CB448B"/>
    <w:rsid w:val="00CB5E56"/>
    <w:rsid w:val="00CB68A0"/>
    <w:rsid w:val="00CB68BC"/>
    <w:rsid w:val="00CB6BD8"/>
    <w:rsid w:val="00CB7E15"/>
    <w:rsid w:val="00CB7FAA"/>
    <w:rsid w:val="00CC0913"/>
    <w:rsid w:val="00CC1623"/>
    <w:rsid w:val="00CC1D0F"/>
    <w:rsid w:val="00CC3405"/>
    <w:rsid w:val="00CC3DC7"/>
    <w:rsid w:val="00CC4C76"/>
    <w:rsid w:val="00CC6303"/>
    <w:rsid w:val="00CC644F"/>
    <w:rsid w:val="00CC6560"/>
    <w:rsid w:val="00CC6793"/>
    <w:rsid w:val="00CC6A0C"/>
    <w:rsid w:val="00CC7D5E"/>
    <w:rsid w:val="00CD0FC9"/>
    <w:rsid w:val="00CD1659"/>
    <w:rsid w:val="00CD1804"/>
    <w:rsid w:val="00CD2371"/>
    <w:rsid w:val="00CD2F24"/>
    <w:rsid w:val="00CD3795"/>
    <w:rsid w:val="00CD39F1"/>
    <w:rsid w:val="00CD419C"/>
    <w:rsid w:val="00CD42F0"/>
    <w:rsid w:val="00CD44BC"/>
    <w:rsid w:val="00CD4B60"/>
    <w:rsid w:val="00CD5BC8"/>
    <w:rsid w:val="00CD71D5"/>
    <w:rsid w:val="00CD7245"/>
    <w:rsid w:val="00CD73A2"/>
    <w:rsid w:val="00CD7CF4"/>
    <w:rsid w:val="00CE05D2"/>
    <w:rsid w:val="00CE0A52"/>
    <w:rsid w:val="00CE23E4"/>
    <w:rsid w:val="00CE3973"/>
    <w:rsid w:val="00CE4505"/>
    <w:rsid w:val="00CE4B3C"/>
    <w:rsid w:val="00CE58E5"/>
    <w:rsid w:val="00CE63FD"/>
    <w:rsid w:val="00CE751B"/>
    <w:rsid w:val="00CE7AA3"/>
    <w:rsid w:val="00CF02D3"/>
    <w:rsid w:val="00CF0451"/>
    <w:rsid w:val="00CF079C"/>
    <w:rsid w:val="00CF0835"/>
    <w:rsid w:val="00CF204C"/>
    <w:rsid w:val="00CF2117"/>
    <w:rsid w:val="00CF2238"/>
    <w:rsid w:val="00CF257D"/>
    <w:rsid w:val="00CF3ABC"/>
    <w:rsid w:val="00CF3BEA"/>
    <w:rsid w:val="00CF3F8E"/>
    <w:rsid w:val="00CF5DB8"/>
    <w:rsid w:val="00CF68FF"/>
    <w:rsid w:val="00CF6EAD"/>
    <w:rsid w:val="00CF7CB2"/>
    <w:rsid w:val="00D00472"/>
    <w:rsid w:val="00D004A4"/>
    <w:rsid w:val="00D0056E"/>
    <w:rsid w:val="00D00DA6"/>
    <w:rsid w:val="00D00F3A"/>
    <w:rsid w:val="00D01987"/>
    <w:rsid w:val="00D01E98"/>
    <w:rsid w:val="00D02329"/>
    <w:rsid w:val="00D02574"/>
    <w:rsid w:val="00D026BB"/>
    <w:rsid w:val="00D030EE"/>
    <w:rsid w:val="00D03464"/>
    <w:rsid w:val="00D034D5"/>
    <w:rsid w:val="00D03C05"/>
    <w:rsid w:val="00D05D63"/>
    <w:rsid w:val="00D06F83"/>
    <w:rsid w:val="00D07436"/>
    <w:rsid w:val="00D108FC"/>
    <w:rsid w:val="00D10D60"/>
    <w:rsid w:val="00D11E03"/>
    <w:rsid w:val="00D13257"/>
    <w:rsid w:val="00D13997"/>
    <w:rsid w:val="00D140CD"/>
    <w:rsid w:val="00D151DF"/>
    <w:rsid w:val="00D15B40"/>
    <w:rsid w:val="00D15F55"/>
    <w:rsid w:val="00D16151"/>
    <w:rsid w:val="00D174C8"/>
    <w:rsid w:val="00D17E10"/>
    <w:rsid w:val="00D207F7"/>
    <w:rsid w:val="00D20B20"/>
    <w:rsid w:val="00D211FC"/>
    <w:rsid w:val="00D21D04"/>
    <w:rsid w:val="00D22275"/>
    <w:rsid w:val="00D23BAF"/>
    <w:rsid w:val="00D23D73"/>
    <w:rsid w:val="00D24076"/>
    <w:rsid w:val="00D246D2"/>
    <w:rsid w:val="00D24B6D"/>
    <w:rsid w:val="00D26155"/>
    <w:rsid w:val="00D26400"/>
    <w:rsid w:val="00D268C6"/>
    <w:rsid w:val="00D27F2C"/>
    <w:rsid w:val="00D3014E"/>
    <w:rsid w:val="00D31A3D"/>
    <w:rsid w:val="00D32F04"/>
    <w:rsid w:val="00D32F56"/>
    <w:rsid w:val="00D3414F"/>
    <w:rsid w:val="00D3439A"/>
    <w:rsid w:val="00D344FB"/>
    <w:rsid w:val="00D35535"/>
    <w:rsid w:val="00D35CA1"/>
    <w:rsid w:val="00D35E06"/>
    <w:rsid w:val="00D3629E"/>
    <w:rsid w:val="00D3660E"/>
    <w:rsid w:val="00D4165E"/>
    <w:rsid w:val="00D42643"/>
    <w:rsid w:val="00D42981"/>
    <w:rsid w:val="00D42A2F"/>
    <w:rsid w:val="00D42AB8"/>
    <w:rsid w:val="00D45B9E"/>
    <w:rsid w:val="00D45C2C"/>
    <w:rsid w:val="00D468D6"/>
    <w:rsid w:val="00D46A39"/>
    <w:rsid w:val="00D5095C"/>
    <w:rsid w:val="00D50AB2"/>
    <w:rsid w:val="00D50F0A"/>
    <w:rsid w:val="00D5117C"/>
    <w:rsid w:val="00D51D2E"/>
    <w:rsid w:val="00D527BA"/>
    <w:rsid w:val="00D536B4"/>
    <w:rsid w:val="00D545C2"/>
    <w:rsid w:val="00D5676D"/>
    <w:rsid w:val="00D56C20"/>
    <w:rsid w:val="00D56D41"/>
    <w:rsid w:val="00D5701E"/>
    <w:rsid w:val="00D57A8C"/>
    <w:rsid w:val="00D60517"/>
    <w:rsid w:val="00D62B97"/>
    <w:rsid w:val="00D6408B"/>
    <w:rsid w:val="00D64297"/>
    <w:rsid w:val="00D64ED1"/>
    <w:rsid w:val="00D6666F"/>
    <w:rsid w:val="00D66F2E"/>
    <w:rsid w:val="00D70902"/>
    <w:rsid w:val="00D7140A"/>
    <w:rsid w:val="00D71ED6"/>
    <w:rsid w:val="00D72B01"/>
    <w:rsid w:val="00D7362F"/>
    <w:rsid w:val="00D736BD"/>
    <w:rsid w:val="00D738A9"/>
    <w:rsid w:val="00D73DD7"/>
    <w:rsid w:val="00D74306"/>
    <w:rsid w:val="00D74B0E"/>
    <w:rsid w:val="00D75C63"/>
    <w:rsid w:val="00D75EF4"/>
    <w:rsid w:val="00D76973"/>
    <w:rsid w:val="00D76D51"/>
    <w:rsid w:val="00D77ED8"/>
    <w:rsid w:val="00D807A4"/>
    <w:rsid w:val="00D808DC"/>
    <w:rsid w:val="00D81C7D"/>
    <w:rsid w:val="00D8219A"/>
    <w:rsid w:val="00D836C3"/>
    <w:rsid w:val="00D83918"/>
    <w:rsid w:val="00D84784"/>
    <w:rsid w:val="00D84AE4"/>
    <w:rsid w:val="00D8556D"/>
    <w:rsid w:val="00D85F01"/>
    <w:rsid w:val="00D86719"/>
    <w:rsid w:val="00D87039"/>
    <w:rsid w:val="00D87129"/>
    <w:rsid w:val="00D87885"/>
    <w:rsid w:val="00D87A09"/>
    <w:rsid w:val="00D90190"/>
    <w:rsid w:val="00D909D3"/>
    <w:rsid w:val="00D90A53"/>
    <w:rsid w:val="00D90E1A"/>
    <w:rsid w:val="00D90E35"/>
    <w:rsid w:val="00D90FD7"/>
    <w:rsid w:val="00D9237F"/>
    <w:rsid w:val="00D935E4"/>
    <w:rsid w:val="00D9364B"/>
    <w:rsid w:val="00D946DB"/>
    <w:rsid w:val="00D9584B"/>
    <w:rsid w:val="00D9651B"/>
    <w:rsid w:val="00D9671A"/>
    <w:rsid w:val="00D96A78"/>
    <w:rsid w:val="00D96CDD"/>
    <w:rsid w:val="00D97A03"/>
    <w:rsid w:val="00D97EBC"/>
    <w:rsid w:val="00DA0165"/>
    <w:rsid w:val="00DA0982"/>
    <w:rsid w:val="00DA0BB1"/>
    <w:rsid w:val="00DA0D9C"/>
    <w:rsid w:val="00DA10BA"/>
    <w:rsid w:val="00DA12AC"/>
    <w:rsid w:val="00DA13CA"/>
    <w:rsid w:val="00DA161D"/>
    <w:rsid w:val="00DA16D3"/>
    <w:rsid w:val="00DA172B"/>
    <w:rsid w:val="00DA2F0C"/>
    <w:rsid w:val="00DA3BAD"/>
    <w:rsid w:val="00DA3CB8"/>
    <w:rsid w:val="00DA4836"/>
    <w:rsid w:val="00DA4BDB"/>
    <w:rsid w:val="00DA66CD"/>
    <w:rsid w:val="00DA73E1"/>
    <w:rsid w:val="00DB0D04"/>
    <w:rsid w:val="00DB1849"/>
    <w:rsid w:val="00DB25F2"/>
    <w:rsid w:val="00DB285E"/>
    <w:rsid w:val="00DB2D1A"/>
    <w:rsid w:val="00DB4D1D"/>
    <w:rsid w:val="00DB53C8"/>
    <w:rsid w:val="00DB556E"/>
    <w:rsid w:val="00DB612E"/>
    <w:rsid w:val="00DB687D"/>
    <w:rsid w:val="00DB761A"/>
    <w:rsid w:val="00DC0094"/>
    <w:rsid w:val="00DC0C6B"/>
    <w:rsid w:val="00DC14BC"/>
    <w:rsid w:val="00DC1997"/>
    <w:rsid w:val="00DC386C"/>
    <w:rsid w:val="00DC40B2"/>
    <w:rsid w:val="00DC42D3"/>
    <w:rsid w:val="00DC4561"/>
    <w:rsid w:val="00DC4A07"/>
    <w:rsid w:val="00DC5BE3"/>
    <w:rsid w:val="00DC79BC"/>
    <w:rsid w:val="00DD3607"/>
    <w:rsid w:val="00DD51BF"/>
    <w:rsid w:val="00DD5462"/>
    <w:rsid w:val="00DD5F61"/>
    <w:rsid w:val="00DD5FF5"/>
    <w:rsid w:val="00DD75FB"/>
    <w:rsid w:val="00DD760F"/>
    <w:rsid w:val="00DD7694"/>
    <w:rsid w:val="00DD7BF5"/>
    <w:rsid w:val="00DE022A"/>
    <w:rsid w:val="00DE0725"/>
    <w:rsid w:val="00DE0C28"/>
    <w:rsid w:val="00DE316C"/>
    <w:rsid w:val="00DE31CA"/>
    <w:rsid w:val="00DE3521"/>
    <w:rsid w:val="00DE3E37"/>
    <w:rsid w:val="00DE4707"/>
    <w:rsid w:val="00DE59F1"/>
    <w:rsid w:val="00DE6798"/>
    <w:rsid w:val="00DE6C01"/>
    <w:rsid w:val="00DE7722"/>
    <w:rsid w:val="00DF14EE"/>
    <w:rsid w:val="00DF199D"/>
    <w:rsid w:val="00DF1D1A"/>
    <w:rsid w:val="00DF1D33"/>
    <w:rsid w:val="00DF26B4"/>
    <w:rsid w:val="00DF42DE"/>
    <w:rsid w:val="00DF51A6"/>
    <w:rsid w:val="00DF67AE"/>
    <w:rsid w:val="00DF6E85"/>
    <w:rsid w:val="00DF7575"/>
    <w:rsid w:val="00E01459"/>
    <w:rsid w:val="00E014A8"/>
    <w:rsid w:val="00E015A6"/>
    <w:rsid w:val="00E058B6"/>
    <w:rsid w:val="00E05C39"/>
    <w:rsid w:val="00E06AEF"/>
    <w:rsid w:val="00E074BD"/>
    <w:rsid w:val="00E0772D"/>
    <w:rsid w:val="00E079C4"/>
    <w:rsid w:val="00E07D9D"/>
    <w:rsid w:val="00E1030D"/>
    <w:rsid w:val="00E1036E"/>
    <w:rsid w:val="00E10536"/>
    <w:rsid w:val="00E10BEE"/>
    <w:rsid w:val="00E11898"/>
    <w:rsid w:val="00E12FB6"/>
    <w:rsid w:val="00E13D56"/>
    <w:rsid w:val="00E13F29"/>
    <w:rsid w:val="00E13F83"/>
    <w:rsid w:val="00E146C8"/>
    <w:rsid w:val="00E14AA8"/>
    <w:rsid w:val="00E14ABA"/>
    <w:rsid w:val="00E164A1"/>
    <w:rsid w:val="00E1681E"/>
    <w:rsid w:val="00E16EED"/>
    <w:rsid w:val="00E17D01"/>
    <w:rsid w:val="00E20F0D"/>
    <w:rsid w:val="00E2181D"/>
    <w:rsid w:val="00E21CFB"/>
    <w:rsid w:val="00E24AB6"/>
    <w:rsid w:val="00E24E2A"/>
    <w:rsid w:val="00E253B3"/>
    <w:rsid w:val="00E25703"/>
    <w:rsid w:val="00E25A6F"/>
    <w:rsid w:val="00E25AF5"/>
    <w:rsid w:val="00E25B8A"/>
    <w:rsid w:val="00E25FDF"/>
    <w:rsid w:val="00E2709C"/>
    <w:rsid w:val="00E27824"/>
    <w:rsid w:val="00E27844"/>
    <w:rsid w:val="00E300A5"/>
    <w:rsid w:val="00E319FD"/>
    <w:rsid w:val="00E31D2B"/>
    <w:rsid w:val="00E31EAC"/>
    <w:rsid w:val="00E32744"/>
    <w:rsid w:val="00E33299"/>
    <w:rsid w:val="00E336C4"/>
    <w:rsid w:val="00E33A2C"/>
    <w:rsid w:val="00E33B17"/>
    <w:rsid w:val="00E3425A"/>
    <w:rsid w:val="00E34AA7"/>
    <w:rsid w:val="00E35A38"/>
    <w:rsid w:val="00E35EE5"/>
    <w:rsid w:val="00E36041"/>
    <w:rsid w:val="00E4010A"/>
    <w:rsid w:val="00E40D4C"/>
    <w:rsid w:val="00E411C8"/>
    <w:rsid w:val="00E413BB"/>
    <w:rsid w:val="00E41AC2"/>
    <w:rsid w:val="00E42418"/>
    <w:rsid w:val="00E42D2A"/>
    <w:rsid w:val="00E4323A"/>
    <w:rsid w:val="00E44D61"/>
    <w:rsid w:val="00E452D8"/>
    <w:rsid w:val="00E453E6"/>
    <w:rsid w:val="00E454E9"/>
    <w:rsid w:val="00E4588F"/>
    <w:rsid w:val="00E45C9E"/>
    <w:rsid w:val="00E466DB"/>
    <w:rsid w:val="00E46C35"/>
    <w:rsid w:val="00E4777E"/>
    <w:rsid w:val="00E5159B"/>
    <w:rsid w:val="00E54E9E"/>
    <w:rsid w:val="00E54F53"/>
    <w:rsid w:val="00E56447"/>
    <w:rsid w:val="00E56609"/>
    <w:rsid w:val="00E56A8B"/>
    <w:rsid w:val="00E6023F"/>
    <w:rsid w:val="00E60F26"/>
    <w:rsid w:val="00E616DA"/>
    <w:rsid w:val="00E6293A"/>
    <w:rsid w:val="00E62B1A"/>
    <w:rsid w:val="00E62ED3"/>
    <w:rsid w:val="00E6305D"/>
    <w:rsid w:val="00E6351B"/>
    <w:rsid w:val="00E65C2D"/>
    <w:rsid w:val="00E65E1F"/>
    <w:rsid w:val="00E66023"/>
    <w:rsid w:val="00E668F8"/>
    <w:rsid w:val="00E70B20"/>
    <w:rsid w:val="00E72457"/>
    <w:rsid w:val="00E72BDA"/>
    <w:rsid w:val="00E7312D"/>
    <w:rsid w:val="00E73EA1"/>
    <w:rsid w:val="00E74BD3"/>
    <w:rsid w:val="00E7553F"/>
    <w:rsid w:val="00E756A6"/>
    <w:rsid w:val="00E76010"/>
    <w:rsid w:val="00E777E2"/>
    <w:rsid w:val="00E77863"/>
    <w:rsid w:val="00E80FD4"/>
    <w:rsid w:val="00E81209"/>
    <w:rsid w:val="00E81879"/>
    <w:rsid w:val="00E821E8"/>
    <w:rsid w:val="00E8284C"/>
    <w:rsid w:val="00E837D3"/>
    <w:rsid w:val="00E83C5D"/>
    <w:rsid w:val="00E840B2"/>
    <w:rsid w:val="00E848B8"/>
    <w:rsid w:val="00E84C45"/>
    <w:rsid w:val="00E85448"/>
    <w:rsid w:val="00E856EB"/>
    <w:rsid w:val="00E86C6E"/>
    <w:rsid w:val="00E872A7"/>
    <w:rsid w:val="00E90429"/>
    <w:rsid w:val="00E90BFB"/>
    <w:rsid w:val="00E91117"/>
    <w:rsid w:val="00E91279"/>
    <w:rsid w:val="00E912F9"/>
    <w:rsid w:val="00E91CA2"/>
    <w:rsid w:val="00E920D9"/>
    <w:rsid w:val="00E926A6"/>
    <w:rsid w:val="00E93B61"/>
    <w:rsid w:val="00E946E7"/>
    <w:rsid w:val="00E952E1"/>
    <w:rsid w:val="00E95B18"/>
    <w:rsid w:val="00E96079"/>
    <w:rsid w:val="00E96D56"/>
    <w:rsid w:val="00EA00AB"/>
    <w:rsid w:val="00EA0B4F"/>
    <w:rsid w:val="00EA0B57"/>
    <w:rsid w:val="00EA0C0B"/>
    <w:rsid w:val="00EA0C53"/>
    <w:rsid w:val="00EA0D89"/>
    <w:rsid w:val="00EA1CF4"/>
    <w:rsid w:val="00EA1F8F"/>
    <w:rsid w:val="00EA2B21"/>
    <w:rsid w:val="00EA2E12"/>
    <w:rsid w:val="00EA400A"/>
    <w:rsid w:val="00EA5ACD"/>
    <w:rsid w:val="00EA5EBE"/>
    <w:rsid w:val="00EA5EF7"/>
    <w:rsid w:val="00EB1600"/>
    <w:rsid w:val="00EB1770"/>
    <w:rsid w:val="00EB19C3"/>
    <w:rsid w:val="00EB3908"/>
    <w:rsid w:val="00EB3B98"/>
    <w:rsid w:val="00EB3FE9"/>
    <w:rsid w:val="00EB46DD"/>
    <w:rsid w:val="00EB6132"/>
    <w:rsid w:val="00EB6291"/>
    <w:rsid w:val="00EB66AB"/>
    <w:rsid w:val="00EC08E5"/>
    <w:rsid w:val="00EC09AA"/>
    <w:rsid w:val="00EC0E2E"/>
    <w:rsid w:val="00EC22AF"/>
    <w:rsid w:val="00EC2874"/>
    <w:rsid w:val="00EC385A"/>
    <w:rsid w:val="00EC3F0E"/>
    <w:rsid w:val="00EC4208"/>
    <w:rsid w:val="00EC5027"/>
    <w:rsid w:val="00EC50D8"/>
    <w:rsid w:val="00EC51BC"/>
    <w:rsid w:val="00EC7512"/>
    <w:rsid w:val="00EC7E30"/>
    <w:rsid w:val="00ED03BC"/>
    <w:rsid w:val="00ED136A"/>
    <w:rsid w:val="00ED1546"/>
    <w:rsid w:val="00ED15DA"/>
    <w:rsid w:val="00ED1603"/>
    <w:rsid w:val="00ED27AD"/>
    <w:rsid w:val="00ED39D0"/>
    <w:rsid w:val="00ED3B5A"/>
    <w:rsid w:val="00ED40BD"/>
    <w:rsid w:val="00ED4A82"/>
    <w:rsid w:val="00ED5BAD"/>
    <w:rsid w:val="00ED676A"/>
    <w:rsid w:val="00EE0704"/>
    <w:rsid w:val="00EE090C"/>
    <w:rsid w:val="00EE12C4"/>
    <w:rsid w:val="00EE1ACC"/>
    <w:rsid w:val="00EE1B59"/>
    <w:rsid w:val="00EE224F"/>
    <w:rsid w:val="00EE233C"/>
    <w:rsid w:val="00EE26F3"/>
    <w:rsid w:val="00EE2DB7"/>
    <w:rsid w:val="00EE2FE8"/>
    <w:rsid w:val="00EE3164"/>
    <w:rsid w:val="00EE336B"/>
    <w:rsid w:val="00EE3C86"/>
    <w:rsid w:val="00EE4058"/>
    <w:rsid w:val="00EE4316"/>
    <w:rsid w:val="00EE4909"/>
    <w:rsid w:val="00EE5939"/>
    <w:rsid w:val="00EE5AC3"/>
    <w:rsid w:val="00EE6104"/>
    <w:rsid w:val="00EE6AE4"/>
    <w:rsid w:val="00EE6DF9"/>
    <w:rsid w:val="00EE7E99"/>
    <w:rsid w:val="00EF00D8"/>
    <w:rsid w:val="00EF0674"/>
    <w:rsid w:val="00EF08D3"/>
    <w:rsid w:val="00EF0D16"/>
    <w:rsid w:val="00EF15D4"/>
    <w:rsid w:val="00EF1739"/>
    <w:rsid w:val="00EF1AEB"/>
    <w:rsid w:val="00EF2502"/>
    <w:rsid w:val="00EF369A"/>
    <w:rsid w:val="00EF3D4B"/>
    <w:rsid w:val="00EF4C1F"/>
    <w:rsid w:val="00EF545E"/>
    <w:rsid w:val="00EF63EC"/>
    <w:rsid w:val="00EF7AF5"/>
    <w:rsid w:val="00EF7D25"/>
    <w:rsid w:val="00F0009D"/>
    <w:rsid w:val="00F01A94"/>
    <w:rsid w:val="00F03892"/>
    <w:rsid w:val="00F03B36"/>
    <w:rsid w:val="00F03F6A"/>
    <w:rsid w:val="00F065A8"/>
    <w:rsid w:val="00F06FC3"/>
    <w:rsid w:val="00F0781B"/>
    <w:rsid w:val="00F079B2"/>
    <w:rsid w:val="00F1047C"/>
    <w:rsid w:val="00F11CE1"/>
    <w:rsid w:val="00F121A4"/>
    <w:rsid w:val="00F12B7F"/>
    <w:rsid w:val="00F133D9"/>
    <w:rsid w:val="00F13985"/>
    <w:rsid w:val="00F13F6E"/>
    <w:rsid w:val="00F1439C"/>
    <w:rsid w:val="00F14CAA"/>
    <w:rsid w:val="00F14CBC"/>
    <w:rsid w:val="00F16EEB"/>
    <w:rsid w:val="00F171BF"/>
    <w:rsid w:val="00F17372"/>
    <w:rsid w:val="00F207DA"/>
    <w:rsid w:val="00F20A90"/>
    <w:rsid w:val="00F21100"/>
    <w:rsid w:val="00F22B07"/>
    <w:rsid w:val="00F235E6"/>
    <w:rsid w:val="00F2397D"/>
    <w:rsid w:val="00F23F7F"/>
    <w:rsid w:val="00F244F2"/>
    <w:rsid w:val="00F24E61"/>
    <w:rsid w:val="00F24EB2"/>
    <w:rsid w:val="00F2536B"/>
    <w:rsid w:val="00F25465"/>
    <w:rsid w:val="00F262B9"/>
    <w:rsid w:val="00F26592"/>
    <w:rsid w:val="00F26D0E"/>
    <w:rsid w:val="00F270E5"/>
    <w:rsid w:val="00F271E3"/>
    <w:rsid w:val="00F27435"/>
    <w:rsid w:val="00F2759A"/>
    <w:rsid w:val="00F300CE"/>
    <w:rsid w:val="00F30719"/>
    <w:rsid w:val="00F31089"/>
    <w:rsid w:val="00F311B3"/>
    <w:rsid w:val="00F316CC"/>
    <w:rsid w:val="00F3187F"/>
    <w:rsid w:val="00F31D91"/>
    <w:rsid w:val="00F340C4"/>
    <w:rsid w:val="00F3410C"/>
    <w:rsid w:val="00F344EA"/>
    <w:rsid w:val="00F34B5D"/>
    <w:rsid w:val="00F3523E"/>
    <w:rsid w:val="00F35823"/>
    <w:rsid w:val="00F36D5D"/>
    <w:rsid w:val="00F36F9D"/>
    <w:rsid w:val="00F371E2"/>
    <w:rsid w:val="00F37CB2"/>
    <w:rsid w:val="00F40005"/>
    <w:rsid w:val="00F409B5"/>
    <w:rsid w:val="00F40C2C"/>
    <w:rsid w:val="00F41487"/>
    <w:rsid w:val="00F42CD3"/>
    <w:rsid w:val="00F42D48"/>
    <w:rsid w:val="00F42E2B"/>
    <w:rsid w:val="00F43525"/>
    <w:rsid w:val="00F446EA"/>
    <w:rsid w:val="00F4493E"/>
    <w:rsid w:val="00F44A9B"/>
    <w:rsid w:val="00F45517"/>
    <w:rsid w:val="00F457F2"/>
    <w:rsid w:val="00F45B7B"/>
    <w:rsid w:val="00F4631B"/>
    <w:rsid w:val="00F46BB9"/>
    <w:rsid w:val="00F47749"/>
    <w:rsid w:val="00F47D07"/>
    <w:rsid w:val="00F50396"/>
    <w:rsid w:val="00F505F1"/>
    <w:rsid w:val="00F50668"/>
    <w:rsid w:val="00F50E36"/>
    <w:rsid w:val="00F514B8"/>
    <w:rsid w:val="00F51658"/>
    <w:rsid w:val="00F51FB4"/>
    <w:rsid w:val="00F5220C"/>
    <w:rsid w:val="00F5268B"/>
    <w:rsid w:val="00F52729"/>
    <w:rsid w:val="00F52B97"/>
    <w:rsid w:val="00F535BD"/>
    <w:rsid w:val="00F5362D"/>
    <w:rsid w:val="00F5418E"/>
    <w:rsid w:val="00F5450D"/>
    <w:rsid w:val="00F5454A"/>
    <w:rsid w:val="00F55F86"/>
    <w:rsid w:val="00F56CFA"/>
    <w:rsid w:val="00F56FB6"/>
    <w:rsid w:val="00F572A8"/>
    <w:rsid w:val="00F57D64"/>
    <w:rsid w:val="00F57D70"/>
    <w:rsid w:val="00F60559"/>
    <w:rsid w:val="00F61FDB"/>
    <w:rsid w:val="00F62CB7"/>
    <w:rsid w:val="00F63531"/>
    <w:rsid w:val="00F63B05"/>
    <w:rsid w:val="00F64273"/>
    <w:rsid w:val="00F64C76"/>
    <w:rsid w:val="00F65576"/>
    <w:rsid w:val="00F66301"/>
    <w:rsid w:val="00F66772"/>
    <w:rsid w:val="00F6690F"/>
    <w:rsid w:val="00F6784C"/>
    <w:rsid w:val="00F67E20"/>
    <w:rsid w:val="00F701BB"/>
    <w:rsid w:val="00F70611"/>
    <w:rsid w:val="00F71110"/>
    <w:rsid w:val="00F71653"/>
    <w:rsid w:val="00F71981"/>
    <w:rsid w:val="00F72364"/>
    <w:rsid w:val="00F72FAF"/>
    <w:rsid w:val="00F73060"/>
    <w:rsid w:val="00F73196"/>
    <w:rsid w:val="00F75994"/>
    <w:rsid w:val="00F75A7D"/>
    <w:rsid w:val="00F76255"/>
    <w:rsid w:val="00F771E9"/>
    <w:rsid w:val="00F77AEC"/>
    <w:rsid w:val="00F8034A"/>
    <w:rsid w:val="00F805A7"/>
    <w:rsid w:val="00F815B7"/>
    <w:rsid w:val="00F83BD8"/>
    <w:rsid w:val="00F843DB"/>
    <w:rsid w:val="00F84BF5"/>
    <w:rsid w:val="00F86BB1"/>
    <w:rsid w:val="00F8725A"/>
    <w:rsid w:val="00F877D6"/>
    <w:rsid w:val="00F9027D"/>
    <w:rsid w:val="00F909D7"/>
    <w:rsid w:val="00F91999"/>
    <w:rsid w:val="00F91E48"/>
    <w:rsid w:val="00F92437"/>
    <w:rsid w:val="00F928CC"/>
    <w:rsid w:val="00F92F3F"/>
    <w:rsid w:val="00F93180"/>
    <w:rsid w:val="00F93184"/>
    <w:rsid w:val="00F937E1"/>
    <w:rsid w:val="00F95890"/>
    <w:rsid w:val="00F95C19"/>
    <w:rsid w:val="00F96019"/>
    <w:rsid w:val="00F96288"/>
    <w:rsid w:val="00F965B4"/>
    <w:rsid w:val="00F97974"/>
    <w:rsid w:val="00F97C3E"/>
    <w:rsid w:val="00FA010C"/>
    <w:rsid w:val="00FA0B43"/>
    <w:rsid w:val="00FA0C7A"/>
    <w:rsid w:val="00FA1987"/>
    <w:rsid w:val="00FA378C"/>
    <w:rsid w:val="00FA3F20"/>
    <w:rsid w:val="00FA41E0"/>
    <w:rsid w:val="00FA496E"/>
    <w:rsid w:val="00FA4BAB"/>
    <w:rsid w:val="00FA4E15"/>
    <w:rsid w:val="00FA4E40"/>
    <w:rsid w:val="00FA5470"/>
    <w:rsid w:val="00FA5484"/>
    <w:rsid w:val="00FA7329"/>
    <w:rsid w:val="00FA773C"/>
    <w:rsid w:val="00FA7CF2"/>
    <w:rsid w:val="00FB0CA8"/>
    <w:rsid w:val="00FB13CC"/>
    <w:rsid w:val="00FB1FAE"/>
    <w:rsid w:val="00FB388C"/>
    <w:rsid w:val="00FB3B29"/>
    <w:rsid w:val="00FB4B75"/>
    <w:rsid w:val="00FB4B94"/>
    <w:rsid w:val="00FB5C1C"/>
    <w:rsid w:val="00FB72C7"/>
    <w:rsid w:val="00FC18E5"/>
    <w:rsid w:val="00FC22AF"/>
    <w:rsid w:val="00FC2562"/>
    <w:rsid w:val="00FC2CAE"/>
    <w:rsid w:val="00FC2F2D"/>
    <w:rsid w:val="00FC32EF"/>
    <w:rsid w:val="00FC4097"/>
    <w:rsid w:val="00FC4A50"/>
    <w:rsid w:val="00FC63BC"/>
    <w:rsid w:val="00FC6666"/>
    <w:rsid w:val="00FC6C2F"/>
    <w:rsid w:val="00FC7DF5"/>
    <w:rsid w:val="00FD01CF"/>
    <w:rsid w:val="00FD0A66"/>
    <w:rsid w:val="00FD1782"/>
    <w:rsid w:val="00FD17D2"/>
    <w:rsid w:val="00FD1F74"/>
    <w:rsid w:val="00FD4A0A"/>
    <w:rsid w:val="00FD4E32"/>
    <w:rsid w:val="00FD502A"/>
    <w:rsid w:val="00FD57EA"/>
    <w:rsid w:val="00FD5912"/>
    <w:rsid w:val="00FD6454"/>
    <w:rsid w:val="00FD6C97"/>
    <w:rsid w:val="00FD73A0"/>
    <w:rsid w:val="00FD7605"/>
    <w:rsid w:val="00FE0946"/>
    <w:rsid w:val="00FE1C2E"/>
    <w:rsid w:val="00FE1C36"/>
    <w:rsid w:val="00FE1C61"/>
    <w:rsid w:val="00FE3196"/>
    <w:rsid w:val="00FE3980"/>
    <w:rsid w:val="00FE3FF5"/>
    <w:rsid w:val="00FE60CD"/>
    <w:rsid w:val="00FE73D4"/>
    <w:rsid w:val="00FE74F2"/>
    <w:rsid w:val="00FE77A9"/>
    <w:rsid w:val="00FF09CC"/>
    <w:rsid w:val="00FF2A64"/>
    <w:rsid w:val="00FF2C65"/>
    <w:rsid w:val="00FF414B"/>
    <w:rsid w:val="00FF50DE"/>
    <w:rsid w:val="00FF58AE"/>
    <w:rsid w:val="00FF59F9"/>
    <w:rsid w:val="00FF5C82"/>
    <w:rsid w:val="00FF606D"/>
    <w:rsid w:val="00FF659F"/>
    <w:rsid w:val="00FF678F"/>
    <w:rsid w:val="00FF696C"/>
    <w:rsid w:val="00FF747E"/>
    <w:rsid w:val="00FF7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type="frame"/>
    </o:shapedefaults>
    <o:shapelayout v:ext="edit">
      <o:idmap v:ext="edit" data="2"/>
    </o:shapelayout>
  </w:shapeDefaults>
  <w:decimalSymbol w:val="."/>
  <w:listSeparator w:val=","/>
  <w14:docId w14:val="7E06E038"/>
  <w15:docId w15:val="{47A11DF0-70F3-4A8E-956A-584284A62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60F26"/>
    <w:pPr>
      <w:tabs>
        <w:tab w:val="left" w:pos="794"/>
      </w:tabs>
      <w:ind w:left="794" w:hanging="794"/>
      <w:jc w:val="both"/>
    </w:pPr>
    <w:rPr>
      <w:rFonts w:ascii="Arial" w:hAnsi="Arial"/>
      <w:sz w:val="22"/>
    </w:rPr>
  </w:style>
  <w:style w:type="paragraph" w:styleId="Heading1">
    <w:name w:val="heading 1"/>
    <w:basedOn w:val="Normal"/>
    <w:link w:val="Heading1Char"/>
    <w:rsid w:val="00F61FDB"/>
    <w:pPr>
      <w:keepNext/>
      <w:numPr>
        <w:numId w:val="8"/>
      </w:numPr>
      <w:spacing w:before="240" w:after="240" w:line="360" w:lineRule="auto"/>
      <w:ind w:left="1514"/>
      <w:outlineLvl w:val="0"/>
    </w:pPr>
    <w:rPr>
      <w:b/>
      <w:caps/>
      <w:color w:val="0070C0"/>
      <w:kern w:val="28"/>
      <w:lang w:eastAsia="en-US"/>
    </w:rPr>
  </w:style>
  <w:style w:type="paragraph" w:styleId="Heading2">
    <w:name w:val="heading 2"/>
    <w:aliases w:val="RSKH2,RSKH21"/>
    <w:basedOn w:val="Normal"/>
    <w:pPr>
      <w:keepNext/>
      <w:spacing w:line="360" w:lineRule="auto"/>
      <w:ind w:firstLine="0"/>
      <w:outlineLvl w:val="1"/>
    </w:pPr>
    <w:rPr>
      <w:b/>
      <w:i/>
    </w:rPr>
  </w:style>
  <w:style w:type="paragraph" w:styleId="Heading3">
    <w:name w:val="heading 3"/>
    <w:basedOn w:val="DBAParaText"/>
    <w:rsid w:val="00CE4505"/>
    <w:pPr>
      <w:numPr>
        <w:numId w:val="0"/>
      </w:numPr>
      <w:spacing w:line="240" w:lineRule="auto"/>
      <w:ind w:left="851"/>
      <w:outlineLvl w:val="2"/>
    </w:pPr>
    <w:rPr>
      <w:color w:val="0070C0"/>
      <w:u w:val="single"/>
    </w:rPr>
  </w:style>
  <w:style w:type="paragraph" w:styleId="Heading4">
    <w:name w:val="heading 4"/>
    <w:basedOn w:val="Normal"/>
    <w:next w:val="Normal"/>
    <w:pPr>
      <w:keepNext/>
      <w:outlineLvl w:val="3"/>
    </w:pPr>
    <w:rPr>
      <w:b/>
    </w:rPr>
  </w:style>
  <w:style w:type="paragraph" w:styleId="Heading5">
    <w:name w:val="heading 5"/>
    <w:basedOn w:val="Normal"/>
    <w:next w:val="Normal"/>
    <w:pPr>
      <w:keepNext/>
      <w:outlineLvl w:val="4"/>
    </w:pPr>
    <w:rPr>
      <w:i/>
    </w:rPr>
  </w:style>
  <w:style w:type="paragraph" w:styleId="Heading6">
    <w:name w:val="heading 6"/>
    <w:basedOn w:val="Normal"/>
    <w:next w:val="Normal"/>
    <w:link w:val="Heading6Char"/>
    <w:pPr>
      <w:keepNext/>
      <w:outlineLvl w:val="5"/>
    </w:pPr>
    <w:rPr>
      <w:sz w:val="28"/>
      <w:u w:val="single"/>
    </w:rPr>
  </w:style>
  <w:style w:type="paragraph" w:styleId="Heading7">
    <w:name w:val="heading 7"/>
    <w:basedOn w:val="Normal"/>
    <w:next w:val="Normal"/>
    <w:link w:val="Heading7Char"/>
    <w:semiHidden/>
    <w:unhideWhenUsed/>
    <w:qFormat/>
    <w:rsid w:val="00D72B01"/>
    <w:pPr>
      <w:spacing w:before="240" w:after="60"/>
      <w:outlineLvl w:val="6"/>
    </w:pPr>
    <w:rPr>
      <w:rFonts w:ascii="Calibri" w:hAnsi="Calibri"/>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pBdr>
        <w:bottom w:val="single" w:sz="4" w:space="1" w:color="auto"/>
      </w:pBdr>
      <w:tabs>
        <w:tab w:val="center" w:pos="4153"/>
        <w:tab w:val="right" w:pos="8306"/>
      </w:tabs>
    </w:pPr>
    <w:rPr>
      <w:i/>
      <w:sz w:val="14"/>
    </w:rPr>
  </w:style>
  <w:style w:type="paragraph" w:customStyle="1" w:styleId="Appendix">
    <w:name w:val="Appendix"/>
    <w:basedOn w:val="Normal"/>
    <w:pPr>
      <w:ind w:left="0" w:firstLine="0"/>
    </w:pPr>
    <w:rPr>
      <w:sz w:val="18"/>
    </w:rPr>
  </w:style>
  <w:style w:type="paragraph" w:styleId="Caption">
    <w:name w:val="caption"/>
    <w:pPr>
      <w:spacing w:before="120" w:after="120"/>
    </w:pPr>
    <w:rPr>
      <w:b/>
      <w:noProof/>
    </w:rPr>
  </w:style>
  <w:style w:type="paragraph" w:customStyle="1" w:styleId="NoIndent">
    <w:name w:val="No Indent"/>
    <w:basedOn w:val="Normal"/>
    <w:link w:val="NoIndentChar"/>
    <w:pPr>
      <w:spacing w:line="360" w:lineRule="auto"/>
      <w:ind w:left="0" w:firstLine="0"/>
    </w:pPr>
  </w:style>
  <w:style w:type="paragraph" w:styleId="TableofFigures">
    <w:name w:val="table of figures"/>
    <w:basedOn w:val="Normal"/>
    <w:link w:val="TableofFiguresChar"/>
    <w:uiPriority w:val="99"/>
    <w:pPr>
      <w:tabs>
        <w:tab w:val="left" w:leader="dot" w:pos="8505"/>
      </w:tabs>
      <w:spacing w:line="360" w:lineRule="auto"/>
      <w:ind w:left="0" w:firstLine="0"/>
    </w:pPr>
  </w:style>
  <w:style w:type="paragraph" w:styleId="TOC1">
    <w:name w:val="toc 1"/>
    <w:basedOn w:val="Normal"/>
    <w:autoRedefine/>
    <w:uiPriority w:val="39"/>
    <w:rsid w:val="004422BE"/>
    <w:pPr>
      <w:tabs>
        <w:tab w:val="clear" w:pos="794"/>
        <w:tab w:val="left" w:pos="851"/>
        <w:tab w:val="left" w:leader="dot" w:pos="8931"/>
      </w:tabs>
      <w:spacing w:before="120" w:after="120" w:line="360" w:lineRule="auto"/>
      <w:ind w:left="0" w:right="-330" w:firstLine="0"/>
    </w:pPr>
    <w:rPr>
      <w:caps/>
      <w:noProof/>
    </w:rPr>
  </w:style>
  <w:style w:type="paragraph" w:styleId="TOC2">
    <w:name w:val="toc 2"/>
    <w:basedOn w:val="Normal"/>
    <w:autoRedefine/>
    <w:uiPriority w:val="39"/>
    <w:pPr>
      <w:tabs>
        <w:tab w:val="left" w:leader="dot" w:pos="8505"/>
      </w:tabs>
      <w:spacing w:line="360" w:lineRule="auto"/>
      <w:ind w:left="0" w:firstLine="794"/>
    </w:pPr>
    <w:rPr>
      <w:i/>
      <w:noProof/>
      <w:szCs w:val="22"/>
    </w:rPr>
  </w:style>
  <w:style w:type="paragraph" w:styleId="BodyText">
    <w:name w:val="Body Text"/>
    <w:aliases w:val=" Char, Char Char Char Char Char Char Char Char Char Char Char Char Char Char, Char Char Char Char Char Char Char Char Char Char Char Char Char Char Char Char, Char Char Char Char Char Char Char Char Char Char Char Char Char"/>
    <w:basedOn w:val="Normal"/>
    <w:link w:val="BodyTextChar"/>
    <w:pPr>
      <w:spacing w:line="360" w:lineRule="auto"/>
    </w:pPr>
  </w:style>
  <w:style w:type="paragraph" w:customStyle="1" w:styleId="Maintitle1">
    <w:name w:val="Main title 1"/>
    <w:basedOn w:val="Normal"/>
    <w:pPr>
      <w:ind w:left="0" w:firstLine="0"/>
      <w:jc w:val="center"/>
    </w:pPr>
    <w:rPr>
      <w:caps/>
      <w:sz w:val="36"/>
      <w:u w:val="single"/>
    </w:rPr>
  </w:style>
  <w:style w:type="paragraph" w:customStyle="1" w:styleId="Maintitle2">
    <w:name w:val="Main title 2"/>
    <w:basedOn w:val="Normal"/>
    <w:rsid w:val="00D35CA1"/>
    <w:pPr>
      <w:jc w:val="center"/>
    </w:pPr>
    <w:rPr>
      <w:sz w:val="36"/>
    </w:rPr>
  </w:style>
  <w:style w:type="paragraph" w:customStyle="1" w:styleId="Maintitle3">
    <w:name w:val="Main title 3"/>
    <w:basedOn w:val="Normal"/>
    <w:rsid w:val="00AB405E"/>
    <w:pPr>
      <w:jc w:val="center"/>
    </w:pPr>
    <w:rPr>
      <w:sz w:val="28"/>
    </w:rPr>
  </w:style>
  <w:style w:type="paragraph" w:customStyle="1" w:styleId="Titlepage">
    <w:name w:val="Title page"/>
    <w:basedOn w:val="Normal"/>
    <w:pPr>
      <w:ind w:left="0" w:firstLine="0"/>
      <w:jc w:val="center"/>
    </w:pPr>
    <w:rPr>
      <w:sz w:val="18"/>
    </w:rPr>
  </w:style>
  <w:style w:type="paragraph" w:styleId="Footer">
    <w:name w:val="footer"/>
    <w:basedOn w:val="Normal"/>
    <w:link w:val="FooterChar"/>
    <w:uiPriority w:val="99"/>
    <w:pPr>
      <w:tabs>
        <w:tab w:val="clear" w:pos="794"/>
        <w:tab w:val="center" w:pos="4320"/>
        <w:tab w:val="right" w:pos="8640"/>
      </w:tabs>
    </w:pPr>
  </w:style>
  <w:style w:type="paragraph" w:customStyle="1" w:styleId="disctitle">
    <w:name w:val="disc title"/>
    <w:pPr>
      <w:jc w:val="center"/>
    </w:pPr>
    <w:rPr>
      <w:smallCaps/>
      <w:sz w:val="28"/>
      <w:lang w:val="en-US"/>
    </w:rPr>
  </w:style>
  <w:style w:type="paragraph" w:customStyle="1" w:styleId="contents">
    <w:name w:val="contents"/>
    <w:rPr>
      <w:noProof/>
      <w:sz w:val="24"/>
    </w:rPr>
  </w:style>
  <w:style w:type="paragraph" w:styleId="TOC3">
    <w:name w:val="toc 3"/>
    <w:basedOn w:val="Normal"/>
    <w:next w:val="Normal"/>
    <w:autoRedefine/>
    <w:semiHidden/>
    <w:pPr>
      <w:tabs>
        <w:tab w:val="clear" w:pos="794"/>
      </w:tabs>
      <w:ind w:left="400"/>
    </w:pPr>
  </w:style>
  <w:style w:type="paragraph" w:styleId="TOC4">
    <w:name w:val="toc 4"/>
    <w:basedOn w:val="Normal"/>
    <w:next w:val="Normal"/>
    <w:autoRedefine/>
    <w:semiHidden/>
    <w:pPr>
      <w:tabs>
        <w:tab w:val="left" w:leader="dot" w:pos="8505"/>
      </w:tabs>
      <w:spacing w:before="120"/>
      <w:ind w:left="0" w:firstLine="0"/>
    </w:pPr>
    <w:rPr>
      <w:caps/>
      <w:noProof/>
      <w:szCs w:val="22"/>
    </w:rPr>
  </w:style>
  <w:style w:type="paragraph" w:styleId="TOC5">
    <w:name w:val="toc 5"/>
    <w:basedOn w:val="Normal"/>
    <w:next w:val="Normal"/>
    <w:autoRedefine/>
    <w:semiHidden/>
    <w:pPr>
      <w:tabs>
        <w:tab w:val="clear" w:pos="794"/>
      </w:tabs>
      <w:ind w:left="800"/>
    </w:pPr>
  </w:style>
  <w:style w:type="paragraph" w:styleId="TOC6">
    <w:name w:val="toc 6"/>
    <w:basedOn w:val="Normal"/>
    <w:next w:val="Normal"/>
    <w:autoRedefine/>
    <w:semiHidden/>
    <w:pPr>
      <w:tabs>
        <w:tab w:val="clear" w:pos="794"/>
      </w:tabs>
      <w:ind w:left="1000"/>
    </w:pPr>
  </w:style>
  <w:style w:type="paragraph" w:styleId="TOC7">
    <w:name w:val="toc 7"/>
    <w:basedOn w:val="Normal"/>
    <w:next w:val="Normal"/>
    <w:autoRedefine/>
    <w:semiHidden/>
    <w:pPr>
      <w:tabs>
        <w:tab w:val="clear" w:pos="794"/>
      </w:tabs>
      <w:ind w:left="1200"/>
    </w:pPr>
  </w:style>
  <w:style w:type="paragraph" w:styleId="TOC8">
    <w:name w:val="toc 8"/>
    <w:basedOn w:val="Normal"/>
    <w:next w:val="Normal"/>
    <w:autoRedefine/>
    <w:semiHidden/>
    <w:pPr>
      <w:tabs>
        <w:tab w:val="clear" w:pos="794"/>
      </w:tabs>
      <w:ind w:left="1400"/>
    </w:pPr>
  </w:style>
  <w:style w:type="paragraph" w:styleId="TOC9">
    <w:name w:val="toc 9"/>
    <w:basedOn w:val="Normal"/>
    <w:next w:val="Normal"/>
    <w:autoRedefine/>
    <w:semiHidden/>
    <w:pPr>
      <w:tabs>
        <w:tab w:val="clear" w:pos="794"/>
      </w:tabs>
      <w:ind w:left="1600"/>
    </w:pPr>
  </w:style>
  <w:style w:type="character" w:styleId="Hyperlink">
    <w:name w:val="Hyperlink"/>
    <w:uiPriority w:val="99"/>
    <w:rPr>
      <w:color w:val="0000FF"/>
      <w:u w:val="single"/>
    </w:rPr>
  </w:style>
  <w:style w:type="paragraph" w:customStyle="1" w:styleId="AppendixHeader">
    <w:name w:val="Appendix Header"/>
    <w:basedOn w:val="Heading1"/>
    <w:link w:val="AppendixHeaderChar"/>
    <w:pPr>
      <w:ind w:left="0" w:firstLine="0"/>
    </w:pPr>
    <w:rPr>
      <w:sz w:val="18"/>
    </w:rPr>
  </w:style>
  <w:style w:type="paragraph" w:customStyle="1" w:styleId="Figureheading">
    <w:name w:val="Figure heading"/>
    <w:basedOn w:val="NoIndent"/>
  </w:style>
  <w:style w:type="character" w:styleId="FollowedHyperlink">
    <w:name w:val="FollowedHyperlink"/>
    <w:uiPriority w:val="99"/>
    <w:rPr>
      <w:color w:val="800080"/>
      <w:u w:val="single"/>
    </w:rPr>
  </w:style>
  <w:style w:type="paragraph" w:customStyle="1" w:styleId="ProjectTitle">
    <w:name w:val="Project Title"/>
    <w:rsid w:val="00AB405E"/>
    <w:pPr>
      <w:jc w:val="right"/>
    </w:pPr>
    <w:rPr>
      <w:rFonts w:ascii="Arial" w:hAnsi="Arial"/>
      <w:b/>
      <w:kern w:val="28"/>
      <w:sz w:val="38"/>
      <w:lang w:eastAsia="en-US"/>
    </w:rPr>
  </w:style>
  <w:style w:type="paragraph" w:customStyle="1" w:styleId="ProjectType">
    <w:name w:val="Project Type"/>
    <w:rsid w:val="00AB405E"/>
    <w:pPr>
      <w:jc w:val="right"/>
    </w:pPr>
    <w:rPr>
      <w:rFonts w:ascii="Arial" w:hAnsi="Arial"/>
      <w:sz w:val="38"/>
      <w:lang w:val="en-US" w:eastAsia="en-US"/>
    </w:rPr>
  </w:style>
  <w:style w:type="paragraph" w:customStyle="1" w:styleId="CoverInfo">
    <w:name w:val="Cover Info"/>
    <w:rsid w:val="00AB405E"/>
    <w:pPr>
      <w:jc w:val="right"/>
    </w:pPr>
    <w:rPr>
      <w:rFonts w:ascii="Arial" w:hAnsi="Arial"/>
      <w:i/>
      <w:sz w:val="24"/>
      <w:lang w:eastAsia="en-US"/>
    </w:rPr>
  </w:style>
  <w:style w:type="paragraph" w:customStyle="1" w:styleId="ClientInfo">
    <w:name w:val="Client Info"/>
    <w:link w:val="ClientInfoChar"/>
    <w:rsid w:val="00AB405E"/>
    <w:pPr>
      <w:jc w:val="right"/>
    </w:pPr>
    <w:rPr>
      <w:rFonts w:ascii="Arial" w:hAnsi="Arial"/>
      <w:b/>
      <w:sz w:val="28"/>
      <w:lang w:eastAsia="en-US"/>
    </w:rPr>
  </w:style>
  <w:style w:type="paragraph" w:customStyle="1" w:styleId="ReportInfo">
    <w:name w:val="Report Info"/>
    <w:rsid w:val="00AB405E"/>
    <w:pPr>
      <w:jc w:val="right"/>
    </w:pPr>
    <w:rPr>
      <w:rFonts w:ascii="Arial" w:hAnsi="Arial"/>
      <w:sz w:val="24"/>
      <w:lang w:val="en-US" w:eastAsia="en-US"/>
    </w:rPr>
  </w:style>
  <w:style w:type="character" w:customStyle="1" w:styleId="ClientInfoChar">
    <w:name w:val="Client Info Char"/>
    <w:link w:val="ClientInfo"/>
    <w:rsid w:val="00AB405E"/>
    <w:rPr>
      <w:rFonts w:ascii="Arial" w:hAnsi="Arial"/>
      <w:b/>
      <w:sz w:val="28"/>
      <w:lang w:val="en-GB" w:eastAsia="en-US" w:bidi="ar-SA"/>
    </w:rPr>
  </w:style>
  <w:style w:type="paragraph" w:customStyle="1" w:styleId="StyleMaintitle1Nounderline">
    <w:name w:val="Style Main title 1 + No underline"/>
    <w:basedOn w:val="Maintitle1"/>
    <w:rsid w:val="00AB405E"/>
    <w:rPr>
      <w:caps w:val="0"/>
      <w:u w:val="none"/>
    </w:rPr>
  </w:style>
  <w:style w:type="paragraph" w:customStyle="1" w:styleId="StyleMaintitle3Left0ptFirstline0pt">
    <w:name w:val="Style Main title 3 + Left:  0 pt First line:  0 pt"/>
    <w:basedOn w:val="Maintitle3"/>
    <w:rsid w:val="00AB405E"/>
    <w:pPr>
      <w:ind w:left="0" w:firstLine="0"/>
    </w:pPr>
    <w:rPr>
      <w:smallCaps/>
    </w:rPr>
  </w:style>
  <w:style w:type="paragraph" w:customStyle="1" w:styleId="StyleMaintitle3Left0ptFirstline0pt1">
    <w:name w:val="Style Main title 3 + Left:  0 pt First line:  0 pt1"/>
    <w:basedOn w:val="Maintitle3"/>
    <w:rsid w:val="00AB405E"/>
    <w:pPr>
      <w:ind w:left="0" w:firstLine="0"/>
    </w:pPr>
  </w:style>
  <w:style w:type="numbering" w:customStyle="1" w:styleId="Style1">
    <w:name w:val="Style1"/>
    <w:rsid w:val="00891FF0"/>
    <w:pPr>
      <w:numPr>
        <w:numId w:val="1"/>
      </w:numPr>
    </w:pPr>
  </w:style>
  <w:style w:type="character" w:customStyle="1" w:styleId="Heading7Char">
    <w:name w:val="Heading 7 Char"/>
    <w:basedOn w:val="DefaultParagraphFont"/>
    <w:link w:val="Heading7"/>
    <w:semiHidden/>
    <w:rsid w:val="00D72B01"/>
    <w:rPr>
      <w:rFonts w:ascii="Calibri" w:hAnsi="Calibri"/>
      <w:sz w:val="24"/>
      <w:szCs w:val="24"/>
      <w:lang w:val="x-none" w:eastAsia="x-none"/>
    </w:rPr>
  </w:style>
  <w:style w:type="paragraph" w:customStyle="1" w:styleId="DBAHeader1">
    <w:name w:val="DBA Header 1"/>
    <w:basedOn w:val="Heading1"/>
    <w:link w:val="DBAHeader1Char"/>
    <w:rsid w:val="00D72B01"/>
  </w:style>
  <w:style w:type="paragraph" w:customStyle="1" w:styleId="DBATableHeaderText">
    <w:name w:val="DBA Table Header Text"/>
    <w:basedOn w:val="Normal"/>
    <w:rsid w:val="00D72B01"/>
    <w:pPr>
      <w:tabs>
        <w:tab w:val="clear" w:pos="794"/>
      </w:tabs>
      <w:ind w:left="0" w:firstLine="0"/>
    </w:pPr>
    <w:rPr>
      <w:rFonts w:cs="Arial"/>
      <w:sz w:val="20"/>
      <w:lang w:val="en-US"/>
    </w:rPr>
  </w:style>
  <w:style w:type="paragraph" w:customStyle="1" w:styleId="DBATableText">
    <w:name w:val="DBA Table Text"/>
    <w:basedOn w:val="BodyText"/>
    <w:link w:val="DBATableTextCharChar"/>
    <w:rsid w:val="00D72B01"/>
    <w:pPr>
      <w:tabs>
        <w:tab w:val="clear" w:pos="794"/>
      </w:tabs>
      <w:spacing w:line="240" w:lineRule="auto"/>
      <w:ind w:left="0" w:firstLine="0"/>
    </w:pPr>
    <w:rPr>
      <w:rFonts w:cs="Arial"/>
      <w:sz w:val="18"/>
      <w:lang w:val="en-US"/>
    </w:rPr>
  </w:style>
  <w:style w:type="character" w:customStyle="1" w:styleId="DBATableTextCharChar">
    <w:name w:val="DBA Table Text Char Char"/>
    <w:link w:val="DBATableText"/>
    <w:rsid w:val="00D72B01"/>
    <w:rPr>
      <w:rFonts w:ascii="Arial" w:hAnsi="Arial" w:cs="Arial"/>
      <w:sz w:val="18"/>
      <w:lang w:val="en-US"/>
    </w:rPr>
  </w:style>
  <w:style w:type="character" w:customStyle="1" w:styleId="detailstext1">
    <w:name w:val="detailstext1"/>
    <w:basedOn w:val="DefaultParagraphFont"/>
    <w:rsid w:val="00D72B01"/>
  </w:style>
  <w:style w:type="character" w:customStyle="1" w:styleId="detailslabel1">
    <w:name w:val="detailslabel1"/>
    <w:basedOn w:val="DefaultParagraphFont"/>
    <w:rsid w:val="00D72B01"/>
  </w:style>
  <w:style w:type="paragraph" w:customStyle="1" w:styleId="DBANoIndent">
    <w:name w:val="DBA No Indent"/>
    <w:basedOn w:val="NoIndent"/>
    <w:link w:val="DBANoIndentChar"/>
    <w:rsid w:val="00D72B01"/>
    <w:rPr>
      <w:noProof/>
      <w:lang w:val="x-none" w:eastAsia="x-none"/>
    </w:rPr>
  </w:style>
  <w:style w:type="paragraph" w:customStyle="1" w:styleId="DBAHeader2">
    <w:name w:val="DBA Header 2"/>
    <w:basedOn w:val="Heading2"/>
    <w:rsid w:val="00D72B01"/>
  </w:style>
  <w:style w:type="paragraph" w:customStyle="1" w:styleId="DBAParagraphText">
    <w:name w:val="DBA Paragraph Text"/>
    <w:basedOn w:val="BodyText"/>
    <w:link w:val="DBAParagraphTextChar"/>
    <w:rsid w:val="00D72B01"/>
  </w:style>
  <w:style w:type="character" w:customStyle="1" w:styleId="DBAParagraphTextChar">
    <w:name w:val="DBA Paragraph Text Char"/>
    <w:link w:val="DBAParagraphText"/>
    <w:rsid w:val="00D72B01"/>
    <w:rPr>
      <w:rFonts w:ascii="Arial" w:hAnsi="Arial"/>
      <w:sz w:val="22"/>
    </w:rPr>
  </w:style>
  <w:style w:type="paragraph" w:styleId="ListParagraph">
    <w:name w:val="List Paragraph"/>
    <w:basedOn w:val="Normal"/>
    <w:uiPriority w:val="34"/>
    <w:rsid w:val="00D72B01"/>
    <w:pPr>
      <w:ind w:left="720"/>
    </w:pPr>
  </w:style>
  <w:style w:type="character" w:styleId="Emphasis">
    <w:name w:val="Emphasis"/>
    <w:uiPriority w:val="20"/>
    <w:rsid w:val="00D72B01"/>
    <w:rPr>
      <w:i/>
      <w:iCs/>
    </w:rPr>
  </w:style>
  <w:style w:type="paragraph" w:customStyle="1" w:styleId="Text1">
    <w:name w:val="Text1"/>
    <w:basedOn w:val="Normal"/>
    <w:link w:val="Text1Char"/>
    <w:rsid w:val="00D72B01"/>
    <w:pPr>
      <w:tabs>
        <w:tab w:val="clear" w:pos="794"/>
      </w:tabs>
      <w:spacing w:after="120" w:line="269" w:lineRule="auto"/>
      <w:ind w:left="936" w:firstLine="0"/>
      <w:jc w:val="left"/>
    </w:pPr>
    <w:rPr>
      <w:rFonts w:cs="Arial"/>
      <w:sz w:val="20"/>
      <w:szCs w:val="22"/>
      <w:lang w:eastAsia="zh-CN"/>
    </w:rPr>
  </w:style>
  <w:style w:type="character" w:customStyle="1" w:styleId="Text1Char">
    <w:name w:val="Text1 Char"/>
    <w:link w:val="Text1"/>
    <w:rsid w:val="00D72B01"/>
    <w:rPr>
      <w:rFonts w:ascii="Arial" w:hAnsi="Arial" w:cs="Arial"/>
      <w:szCs w:val="22"/>
      <w:lang w:eastAsia="zh-CN"/>
    </w:rPr>
  </w:style>
  <w:style w:type="character" w:customStyle="1" w:styleId="Style1Char">
    <w:name w:val="Style1 Char"/>
    <w:locked/>
    <w:rsid w:val="00D72B01"/>
    <w:rPr>
      <w:rFonts w:ascii="Arial" w:hAnsi="Arial" w:cs="Arial"/>
      <w:sz w:val="22"/>
      <w:szCs w:val="22"/>
      <w:lang w:val="en-US" w:eastAsia="en-US"/>
    </w:rPr>
  </w:style>
  <w:style w:type="character" w:customStyle="1" w:styleId="Heading1Char">
    <w:name w:val="Heading 1 Char"/>
    <w:link w:val="Heading1"/>
    <w:rsid w:val="00F61FDB"/>
    <w:rPr>
      <w:rFonts w:ascii="Arial" w:hAnsi="Arial"/>
      <w:b/>
      <w:caps/>
      <w:color w:val="0070C0"/>
      <w:kern w:val="28"/>
      <w:sz w:val="22"/>
      <w:lang w:eastAsia="en-US"/>
    </w:rPr>
  </w:style>
  <w:style w:type="character" w:customStyle="1" w:styleId="BodyTextChar">
    <w:name w:val="Body Text Char"/>
    <w:aliases w:val=" Char Char, Char Char Char Char Char Char Char Char Char Char Char Char Char Char Char, Char Char Char Char Char Char Char Char Char Char Char Char Char Char Char Char Char"/>
    <w:link w:val="BodyText"/>
    <w:rsid w:val="00D72B01"/>
    <w:rPr>
      <w:rFonts w:ascii="Arial" w:hAnsi="Arial"/>
      <w:sz w:val="22"/>
    </w:rPr>
  </w:style>
  <w:style w:type="paragraph" w:customStyle="1" w:styleId="DBAHeader3">
    <w:name w:val="DBA Header 3"/>
    <w:basedOn w:val="BodyText"/>
    <w:rsid w:val="00D72B01"/>
    <w:pPr>
      <w:ind w:firstLine="0"/>
    </w:pPr>
    <w:rPr>
      <w:i/>
    </w:rPr>
  </w:style>
  <w:style w:type="table" w:styleId="TableGrid">
    <w:name w:val="Table Grid"/>
    <w:basedOn w:val="TableNormal"/>
    <w:uiPriority w:val="59"/>
    <w:rsid w:val="00D72B01"/>
    <w:pPr>
      <w:tabs>
        <w:tab w:val="left" w:pos="794"/>
      </w:tabs>
      <w:ind w:left="794" w:hanging="79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D72B01"/>
    <w:pPr>
      <w:numPr>
        <w:numId w:val="3"/>
      </w:numPr>
    </w:pPr>
  </w:style>
  <w:style w:type="paragraph" w:customStyle="1" w:styleId="DBABullets">
    <w:name w:val="DBA Bullets"/>
    <w:basedOn w:val="Normal"/>
    <w:rsid w:val="00D72B01"/>
    <w:pPr>
      <w:tabs>
        <w:tab w:val="clear" w:pos="794"/>
      </w:tabs>
      <w:spacing w:line="360" w:lineRule="auto"/>
      <w:ind w:left="1134" w:hanging="340"/>
    </w:pPr>
  </w:style>
  <w:style w:type="paragraph" w:customStyle="1" w:styleId="DBAAppendixStyle2">
    <w:name w:val="DBA Appendix Style 2"/>
    <w:basedOn w:val="Normal"/>
    <w:rsid w:val="00D72B01"/>
    <w:pPr>
      <w:ind w:left="0" w:firstLine="0"/>
    </w:pPr>
    <w:rPr>
      <w:sz w:val="20"/>
    </w:rPr>
  </w:style>
  <w:style w:type="paragraph" w:styleId="BalloonText">
    <w:name w:val="Balloon Text"/>
    <w:basedOn w:val="Normal"/>
    <w:link w:val="BalloonTextChar"/>
    <w:rsid w:val="00D72B01"/>
    <w:rPr>
      <w:rFonts w:ascii="Tahoma" w:hAnsi="Tahoma" w:cs="Tahoma"/>
      <w:sz w:val="16"/>
      <w:szCs w:val="16"/>
    </w:rPr>
  </w:style>
  <w:style w:type="character" w:customStyle="1" w:styleId="BalloonTextChar">
    <w:name w:val="Balloon Text Char"/>
    <w:basedOn w:val="DefaultParagraphFont"/>
    <w:link w:val="BalloonText"/>
    <w:rsid w:val="00D72B01"/>
    <w:rPr>
      <w:rFonts w:ascii="Tahoma" w:hAnsi="Tahoma" w:cs="Tahoma"/>
      <w:sz w:val="16"/>
      <w:szCs w:val="16"/>
    </w:rPr>
  </w:style>
  <w:style w:type="paragraph" w:styleId="NormalWeb">
    <w:name w:val="Normal (Web)"/>
    <w:basedOn w:val="Normal"/>
    <w:uiPriority w:val="99"/>
    <w:rsid w:val="00D72B01"/>
    <w:pPr>
      <w:tabs>
        <w:tab w:val="clear" w:pos="794"/>
      </w:tabs>
      <w:spacing w:before="100" w:beforeAutospacing="1" w:after="100" w:afterAutospacing="1"/>
      <w:ind w:left="0" w:firstLine="0"/>
      <w:jc w:val="left"/>
    </w:pPr>
    <w:rPr>
      <w:rFonts w:ascii="Times New Roman" w:hAnsi="Times New Roman"/>
      <w:sz w:val="24"/>
      <w:szCs w:val="24"/>
      <w:lang w:val="en-US" w:eastAsia="en-US"/>
    </w:rPr>
  </w:style>
  <w:style w:type="character" w:customStyle="1" w:styleId="AppendixHeaderChar">
    <w:name w:val="Appendix Header Char"/>
    <w:link w:val="AppendixHeader"/>
    <w:rsid w:val="00D72B01"/>
    <w:rPr>
      <w:rFonts w:ascii="Arial" w:hAnsi="Arial"/>
      <w:b/>
      <w:caps/>
      <w:color w:val="0070C0"/>
      <w:kern w:val="28"/>
      <w:sz w:val="18"/>
      <w:lang w:eastAsia="en-US"/>
    </w:rPr>
  </w:style>
  <w:style w:type="paragraph" w:customStyle="1" w:styleId="NumberList">
    <w:name w:val="Number List"/>
    <w:basedOn w:val="Normal"/>
    <w:rsid w:val="00D72B01"/>
    <w:pPr>
      <w:tabs>
        <w:tab w:val="clear" w:pos="794"/>
        <w:tab w:val="num" w:pos="1701"/>
      </w:tabs>
      <w:spacing w:before="100" w:after="20" w:line="280" w:lineRule="atLeast"/>
      <w:ind w:left="1701" w:hanging="340"/>
      <w:jc w:val="left"/>
    </w:pPr>
    <w:rPr>
      <w:rFonts w:ascii="ITC Franklin Gothic Std Book" w:hAnsi="ITC Franklin Gothic Std Book"/>
      <w:szCs w:val="22"/>
    </w:rPr>
  </w:style>
  <w:style w:type="paragraph" w:customStyle="1" w:styleId="letterlistlowercase">
    <w:name w:val="letter list lower case"/>
    <w:basedOn w:val="Normal"/>
    <w:rsid w:val="00D72B01"/>
    <w:pPr>
      <w:tabs>
        <w:tab w:val="clear" w:pos="794"/>
        <w:tab w:val="num" w:pos="1701"/>
      </w:tabs>
      <w:spacing w:before="100" w:after="20" w:line="280" w:lineRule="atLeast"/>
      <w:ind w:left="1701" w:hanging="340"/>
      <w:jc w:val="left"/>
    </w:pPr>
    <w:rPr>
      <w:rFonts w:ascii="ITC Franklin Gothic Std Book" w:hAnsi="ITC Franklin Gothic Std Book" w:cs="Arial"/>
      <w:szCs w:val="22"/>
    </w:rPr>
  </w:style>
  <w:style w:type="paragraph" w:customStyle="1" w:styleId="Maintext">
    <w:name w:val="Main text"/>
    <w:basedOn w:val="Heading3"/>
    <w:rsid w:val="00D72B01"/>
    <w:pPr>
      <w:keepLines/>
      <w:tabs>
        <w:tab w:val="num" w:pos="1361"/>
      </w:tabs>
      <w:spacing w:before="180" w:line="280" w:lineRule="atLeast"/>
      <w:ind w:left="1361" w:hanging="1361"/>
      <w:outlineLvl w:val="1"/>
    </w:pPr>
    <w:rPr>
      <w:rFonts w:ascii="ITC Franklin Gothic Std Book" w:hAnsi="ITC Franklin Gothic Std Book"/>
      <w:i/>
      <w:szCs w:val="22"/>
    </w:rPr>
  </w:style>
  <w:style w:type="paragraph" w:customStyle="1" w:styleId="Romannumerals">
    <w:name w:val="Roman numerals"/>
    <w:basedOn w:val="Normal"/>
    <w:rsid w:val="00D72B01"/>
    <w:pPr>
      <w:keepLines/>
      <w:tabs>
        <w:tab w:val="clear" w:pos="794"/>
        <w:tab w:val="num" w:pos="2041"/>
      </w:tabs>
      <w:spacing w:before="20" w:after="80" w:line="280" w:lineRule="atLeast"/>
      <w:ind w:left="2041" w:hanging="340"/>
      <w:jc w:val="left"/>
    </w:pPr>
    <w:rPr>
      <w:rFonts w:ascii="ITC Franklin Gothic Std Book" w:hAnsi="ITC Franklin Gothic Std Book"/>
      <w:szCs w:val="18"/>
    </w:rPr>
  </w:style>
  <w:style w:type="paragraph" w:customStyle="1" w:styleId="Mainplus">
    <w:name w:val="Main plus"/>
    <w:basedOn w:val="Maintext"/>
    <w:rsid w:val="00D72B01"/>
  </w:style>
  <w:style w:type="paragraph" w:customStyle="1" w:styleId="DBAParaText">
    <w:name w:val="DBA Para Text"/>
    <w:basedOn w:val="DBAParagraphText"/>
    <w:link w:val="DBAParaTextChar"/>
    <w:rsid w:val="00532DC1"/>
    <w:pPr>
      <w:numPr>
        <w:numId w:val="21"/>
      </w:numPr>
      <w:tabs>
        <w:tab w:val="left" w:pos="0"/>
      </w:tabs>
    </w:pPr>
  </w:style>
  <w:style w:type="paragraph" w:customStyle="1" w:styleId="Bullets">
    <w:name w:val="Bullets"/>
    <w:basedOn w:val="Normal"/>
    <w:link w:val="BulletsChar"/>
    <w:rsid w:val="00D72B01"/>
    <w:pPr>
      <w:numPr>
        <w:numId w:val="4"/>
      </w:numPr>
      <w:tabs>
        <w:tab w:val="clear" w:pos="794"/>
      </w:tabs>
      <w:spacing w:after="120" w:line="360" w:lineRule="auto"/>
      <w:ind w:left="714" w:hanging="357"/>
      <w:jc w:val="left"/>
    </w:pPr>
    <w:rPr>
      <w:szCs w:val="22"/>
      <w:lang w:val="x-none" w:eastAsia="zh-CN"/>
    </w:rPr>
  </w:style>
  <w:style w:type="character" w:customStyle="1" w:styleId="NoIndentChar">
    <w:name w:val="No Indent Char"/>
    <w:link w:val="NoIndent"/>
    <w:rsid w:val="00D72B01"/>
    <w:rPr>
      <w:rFonts w:ascii="Arial" w:hAnsi="Arial"/>
      <w:sz w:val="22"/>
    </w:rPr>
  </w:style>
  <w:style w:type="character" w:customStyle="1" w:styleId="DBANoIndentChar">
    <w:name w:val="DBA No Indent Char"/>
    <w:link w:val="DBANoIndent"/>
    <w:rsid w:val="00D72B01"/>
    <w:rPr>
      <w:rFonts w:ascii="Arial" w:hAnsi="Arial"/>
      <w:noProof/>
      <w:sz w:val="22"/>
      <w:lang w:val="x-none" w:eastAsia="x-none"/>
    </w:rPr>
  </w:style>
  <w:style w:type="character" w:customStyle="1" w:styleId="DBAParaTextChar">
    <w:name w:val="DBA Para Text Char"/>
    <w:basedOn w:val="DBANoIndentChar"/>
    <w:link w:val="DBAParaText"/>
    <w:rsid w:val="00532DC1"/>
    <w:rPr>
      <w:rFonts w:ascii="Arial" w:hAnsi="Arial"/>
      <w:noProof/>
      <w:sz w:val="22"/>
      <w:lang w:val="x-none" w:eastAsia="x-none"/>
    </w:rPr>
  </w:style>
  <w:style w:type="character" w:customStyle="1" w:styleId="BulletsChar">
    <w:name w:val="Bullets Char"/>
    <w:link w:val="Bullets"/>
    <w:rsid w:val="00D72B01"/>
    <w:rPr>
      <w:rFonts w:ascii="Arial" w:hAnsi="Arial"/>
      <w:sz w:val="22"/>
      <w:szCs w:val="22"/>
      <w:lang w:val="x-none" w:eastAsia="zh-CN"/>
    </w:rPr>
  </w:style>
  <w:style w:type="paragraph" w:customStyle="1" w:styleId="Level7">
    <w:name w:val="Level7"/>
    <w:basedOn w:val="Normal"/>
    <w:rsid w:val="00D72B01"/>
    <w:pPr>
      <w:numPr>
        <w:numId w:val="5"/>
      </w:numPr>
      <w:tabs>
        <w:tab w:val="clear" w:pos="794"/>
      </w:tabs>
      <w:spacing w:before="120" w:after="120" w:line="288" w:lineRule="auto"/>
      <w:ind w:left="2160"/>
    </w:pPr>
    <w:rPr>
      <w:szCs w:val="24"/>
      <w:lang w:eastAsia="zh-CN"/>
    </w:rPr>
  </w:style>
  <w:style w:type="paragraph" w:customStyle="1" w:styleId="02heading2">
    <w:name w:val="02. heading 2"/>
    <w:basedOn w:val="DBAParaText"/>
    <w:link w:val="02heading2Char"/>
    <w:qFormat/>
    <w:rsid w:val="009A5A85"/>
    <w:pPr>
      <w:numPr>
        <w:numId w:val="0"/>
      </w:numPr>
      <w:tabs>
        <w:tab w:val="clear" w:pos="0"/>
        <w:tab w:val="clear" w:pos="794"/>
        <w:tab w:val="left" w:pos="851"/>
      </w:tabs>
      <w:spacing w:before="120" w:line="480" w:lineRule="auto"/>
      <w:outlineLvl w:val="1"/>
    </w:pPr>
    <w:rPr>
      <w:rFonts w:ascii="Times New Roman" w:hAnsi="Times New Roman"/>
      <w:i/>
      <w:sz w:val="24"/>
    </w:rPr>
  </w:style>
  <w:style w:type="character" w:styleId="CommentReference">
    <w:name w:val="annotation reference"/>
    <w:rsid w:val="00D72B01"/>
    <w:rPr>
      <w:sz w:val="16"/>
      <w:szCs w:val="16"/>
    </w:rPr>
  </w:style>
  <w:style w:type="character" w:customStyle="1" w:styleId="02heading2Char">
    <w:name w:val="02. heading 2 Char"/>
    <w:link w:val="02heading2"/>
    <w:rsid w:val="009A5A85"/>
    <w:rPr>
      <w:i/>
      <w:sz w:val="24"/>
    </w:rPr>
  </w:style>
  <w:style w:type="paragraph" w:styleId="CommentText">
    <w:name w:val="annotation text"/>
    <w:basedOn w:val="Normal"/>
    <w:link w:val="CommentTextChar"/>
    <w:rsid w:val="00D72B01"/>
    <w:rPr>
      <w:sz w:val="20"/>
    </w:rPr>
  </w:style>
  <w:style w:type="character" w:customStyle="1" w:styleId="CommentTextChar">
    <w:name w:val="Comment Text Char"/>
    <w:basedOn w:val="DefaultParagraphFont"/>
    <w:link w:val="CommentText"/>
    <w:rsid w:val="00D72B01"/>
    <w:rPr>
      <w:rFonts w:ascii="Arial" w:hAnsi="Arial"/>
    </w:rPr>
  </w:style>
  <w:style w:type="paragraph" w:styleId="CommentSubject">
    <w:name w:val="annotation subject"/>
    <w:basedOn w:val="CommentText"/>
    <w:next w:val="CommentText"/>
    <w:link w:val="CommentSubjectChar"/>
    <w:rsid w:val="00D72B01"/>
    <w:rPr>
      <w:b/>
      <w:bCs/>
    </w:rPr>
  </w:style>
  <w:style w:type="character" w:customStyle="1" w:styleId="CommentSubjectChar">
    <w:name w:val="Comment Subject Char"/>
    <w:basedOn w:val="CommentTextChar"/>
    <w:link w:val="CommentSubject"/>
    <w:rsid w:val="00D72B01"/>
    <w:rPr>
      <w:rFonts w:ascii="Arial" w:hAnsi="Arial"/>
      <w:b/>
      <w:bCs/>
    </w:rPr>
  </w:style>
  <w:style w:type="character" w:customStyle="1" w:styleId="DBAHeader1Char">
    <w:name w:val="DBA Header 1 Char"/>
    <w:basedOn w:val="Heading1Char"/>
    <w:link w:val="DBAHeader1"/>
    <w:rsid w:val="00D72B01"/>
    <w:rPr>
      <w:rFonts w:ascii="Arial" w:hAnsi="Arial"/>
      <w:b/>
      <w:caps/>
      <w:color w:val="0070C0"/>
      <w:kern w:val="28"/>
      <w:sz w:val="22"/>
      <w:lang w:eastAsia="en-US"/>
    </w:rPr>
  </w:style>
  <w:style w:type="paragraph" w:customStyle="1" w:styleId="Default">
    <w:name w:val="Default"/>
    <w:rsid w:val="00D72B01"/>
    <w:pPr>
      <w:autoSpaceDE w:val="0"/>
      <w:autoSpaceDN w:val="0"/>
      <w:adjustRightInd w:val="0"/>
    </w:pPr>
    <w:rPr>
      <w:color w:val="000000"/>
      <w:sz w:val="24"/>
      <w:szCs w:val="24"/>
      <w:lang w:val="en-US" w:eastAsia="en-US"/>
    </w:rPr>
  </w:style>
  <w:style w:type="paragraph" w:customStyle="1" w:styleId="DBAAppendixHeader">
    <w:name w:val="DBA Appendix Header"/>
    <w:basedOn w:val="DBAParagraphText"/>
    <w:link w:val="DBAAppendixHeaderChar"/>
    <w:rsid w:val="00D72B01"/>
    <w:pPr>
      <w:jc w:val="left"/>
    </w:pPr>
  </w:style>
  <w:style w:type="character" w:customStyle="1" w:styleId="DBAAppendixHeaderChar">
    <w:name w:val="DBA Appendix Header Char"/>
    <w:basedOn w:val="DBAParagraphTextChar"/>
    <w:link w:val="DBAAppendixHeader"/>
    <w:rsid w:val="00D72B01"/>
    <w:rPr>
      <w:rFonts w:ascii="Arial" w:hAnsi="Arial"/>
      <w:sz w:val="22"/>
    </w:rPr>
  </w:style>
  <w:style w:type="character" w:styleId="Strong">
    <w:name w:val="Strong"/>
    <w:uiPriority w:val="22"/>
    <w:rsid w:val="00D72B01"/>
    <w:rPr>
      <w:b/>
      <w:bCs/>
    </w:rPr>
  </w:style>
  <w:style w:type="character" w:customStyle="1" w:styleId="st">
    <w:name w:val="st"/>
    <w:basedOn w:val="DefaultParagraphFont"/>
    <w:rsid w:val="00D72B01"/>
  </w:style>
  <w:style w:type="character" w:customStyle="1" w:styleId="fn">
    <w:name w:val="fn"/>
    <w:basedOn w:val="DefaultParagraphFont"/>
    <w:rsid w:val="00D72B01"/>
  </w:style>
  <w:style w:type="paragraph" w:customStyle="1" w:styleId="Style2">
    <w:name w:val="Style2"/>
    <w:basedOn w:val="Normal"/>
    <w:uiPriority w:val="99"/>
    <w:rsid w:val="00D72B01"/>
    <w:pPr>
      <w:numPr>
        <w:numId w:val="6"/>
      </w:numPr>
      <w:tabs>
        <w:tab w:val="clear" w:pos="794"/>
      </w:tabs>
      <w:spacing w:after="240"/>
    </w:pPr>
    <w:rPr>
      <w:sz w:val="20"/>
      <w:lang w:eastAsia="en-US"/>
    </w:rPr>
  </w:style>
  <w:style w:type="paragraph" w:customStyle="1" w:styleId="ENVIRONMENTTEXT">
    <w:name w:val="ENVIRONMENT TEXT"/>
    <w:basedOn w:val="Normal"/>
    <w:link w:val="ENVIRONMENTTEXTChar"/>
    <w:uiPriority w:val="99"/>
    <w:rsid w:val="00D72B01"/>
    <w:pPr>
      <w:numPr>
        <w:ilvl w:val="2"/>
        <w:numId w:val="6"/>
      </w:numPr>
      <w:tabs>
        <w:tab w:val="clear" w:pos="794"/>
      </w:tabs>
      <w:spacing w:after="240"/>
    </w:pPr>
    <w:rPr>
      <w:sz w:val="20"/>
      <w:lang w:val="x-none" w:eastAsia="en-US"/>
    </w:rPr>
  </w:style>
  <w:style w:type="character" w:customStyle="1" w:styleId="ENVIRONMENTTEXTChar">
    <w:name w:val="ENVIRONMENT TEXT Char"/>
    <w:link w:val="ENVIRONMENTTEXT"/>
    <w:uiPriority w:val="99"/>
    <w:locked/>
    <w:rsid w:val="00D72B01"/>
    <w:rPr>
      <w:rFonts w:ascii="Arial" w:hAnsi="Arial"/>
      <w:lang w:val="x-none" w:eastAsia="en-US"/>
    </w:rPr>
  </w:style>
  <w:style w:type="paragraph" w:styleId="Revision">
    <w:name w:val="Revision"/>
    <w:hidden/>
    <w:uiPriority w:val="99"/>
    <w:semiHidden/>
    <w:rsid w:val="00D72B01"/>
    <w:rPr>
      <w:rFonts w:ascii="Arial" w:hAnsi="Arial"/>
      <w:sz w:val="22"/>
    </w:rPr>
  </w:style>
  <w:style w:type="character" w:customStyle="1" w:styleId="itemcontent">
    <w:name w:val="itemcontent"/>
    <w:rsid w:val="00D72B01"/>
  </w:style>
  <w:style w:type="paragraph" w:customStyle="1" w:styleId="Style10">
    <w:name w:val="Style 1"/>
    <w:basedOn w:val="Normal"/>
    <w:link w:val="Style1Char0"/>
    <w:rsid w:val="00D72B01"/>
    <w:pPr>
      <w:keepNext/>
      <w:spacing w:line="360" w:lineRule="auto"/>
      <w:ind w:firstLine="0"/>
      <w:outlineLvl w:val="1"/>
    </w:pPr>
    <w:rPr>
      <w:b/>
      <w:i/>
      <w:lang w:val="x-none" w:eastAsia="x-none"/>
    </w:rPr>
  </w:style>
  <w:style w:type="character" w:customStyle="1" w:styleId="Style1Char0">
    <w:name w:val="Style 1 Char"/>
    <w:link w:val="Style10"/>
    <w:rsid w:val="00D72B01"/>
    <w:rPr>
      <w:rFonts w:ascii="Arial" w:hAnsi="Arial"/>
      <w:b/>
      <w:i/>
      <w:sz w:val="22"/>
      <w:lang w:val="x-none" w:eastAsia="x-none"/>
    </w:rPr>
  </w:style>
  <w:style w:type="character" w:customStyle="1" w:styleId="apple-converted-space">
    <w:name w:val="apple-converted-space"/>
    <w:rsid w:val="00D72B01"/>
  </w:style>
  <w:style w:type="character" w:customStyle="1" w:styleId="indent">
    <w:name w:val="indent"/>
    <w:rsid w:val="00D72B01"/>
  </w:style>
  <w:style w:type="paragraph" w:styleId="NoSpacing">
    <w:name w:val="No Spacing"/>
    <w:uiPriority w:val="1"/>
    <w:rsid w:val="00D72B01"/>
    <w:rPr>
      <w:rFonts w:ascii="Calibri" w:eastAsia="Calibri" w:hAnsi="Calibri"/>
      <w:sz w:val="22"/>
      <w:szCs w:val="22"/>
      <w:lang w:eastAsia="en-US"/>
    </w:rPr>
  </w:style>
  <w:style w:type="character" w:styleId="HTMLCite">
    <w:name w:val="HTML Cite"/>
    <w:basedOn w:val="DefaultParagraphFont"/>
    <w:uiPriority w:val="99"/>
    <w:unhideWhenUsed/>
    <w:rsid w:val="0063429E"/>
    <w:rPr>
      <w:i/>
      <w:iCs/>
    </w:rPr>
  </w:style>
  <w:style w:type="paragraph" w:styleId="FootnoteText">
    <w:name w:val="footnote text"/>
    <w:basedOn w:val="Normal"/>
    <w:link w:val="FootnoteTextChar"/>
    <w:rsid w:val="009913C3"/>
    <w:rPr>
      <w:sz w:val="20"/>
    </w:rPr>
  </w:style>
  <w:style w:type="character" w:customStyle="1" w:styleId="FootnoteTextChar">
    <w:name w:val="Footnote Text Char"/>
    <w:basedOn w:val="DefaultParagraphFont"/>
    <w:link w:val="FootnoteText"/>
    <w:rsid w:val="009913C3"/>
    <w:rPr>
      <w:rFonts w:ascii="Arial" w:hAnsi="Arial"/>
    </w:rPr>
  </w:style>
  <w:style w:type="character" w:styleId="FootnoteReference">
    <w:name w:val="footnote reference"/>
    <w:basedOn w:val="DefaultParagraphFont"/>
    <w:rsid w:val="009913C3"/>
    <w:rPr>
      <w:vertAlign w:val="superscript"/>
    </w:rPr>
  </w:style>
  <w:style w:type="paragraph" w:customStyle="1" w:styleId="03BulletList">
    <w:name w:val="03. Bullet List"/>
    <w:basedOn w:val="DBAParaText"/>
    <w:link w:val="03BulletListChar"/>
    <w:qFormat/>
    <w:rsid w:val="00CB7FAA"/>
    <w:pPr>
      <w:numPr>
        <w:numId w:val="7"/>
      </w:numPr>
    </w:pPr>
  </w:style>
  <w:style w:type="character" w:customStyle="1" w:styleId="03BulletListChar">
    <w:name w:val="03. Bullet List Char"/>
    <w:basedOn w:val="DBAParaTextChar"/>
    <w:link w:val="03BulletList"/>
    <w:rsid w:val="00CB7FAA"/>
    <w:rPr>
      <w:rFonts w:ascii="Arial" w:hAnsi="Arial"/>
      <w:noProof/>
      <w:sz w:val="22"/>
      <w:lang w:val="x-none" w:eastAsia="x-none"/>
    </w:rPr>
  </w:style>
  <w:style w:type="paragraph" w:customStyle="1" w:styleId="03Sub-heading2">
    <w:name w:val="03. Sub-heading 2"/>
    <w:basedOn w:val="NoIndent"/>
    <w:link w:val="03Sub-heading2Char"/>
    <w:qFormat/>
    <w:rsid w:val="00E65C2D"/>
    <w:pPr>
      <w:tabs>
        <w:tab w:val="clear" w:pos="794"/>
        <w:tab w:val="left" w:pos="851"/>
      </w:tabs>
      <w:spacing w:after="120" w:line="240" w:lineRule="auto"/>
      <w:ind w:left="851"/>
    </w:pPr>
    <w:rPr>
      <w:b/>
      <w:color w:val="4F81BD" w:themeColor="accent1"/>
      <w:szCs w:val="18"/>
    </w:rPr>
  </w:style>
  <w:style w:type="character" w:customStyle="1" w:styleId="Heading6Char">
    <w:name w:val="Heading 6 Char"/>
    <w:basedOn w:val="DefaultParagraphFont"/>
    <w:link w:val="Heading6"/>
    <w:rsid w:val="00797868"/>
    <w:rPr>
      <w:rFonts w:ascii="Arial" w:hAnsi="Arial"/>
      <w:sz w:val="28"/>
      <w:u w:val="single"/>
    </w:rPr>
  </w:style>
  <w:style w:type="character" w:customStyle="1" w:styleId="03Sub-heading2Char">
    <w:name w:val="03. Sub-heading 2 Char"/>
    <w:basedOn w:val="Heading6Char"/>
    <w:link w:val="03Sub-heading2"/>
    <w:rsid w:val="00E65C2D"/>
    <w:rPr>
      <w:rFonts w:ascii="Arial" w:hAnsi="Arial"/>
      <w:b/>
      <w:color w:val="4F81BD" w:themeColor="accent1"/>
      <w:sz w:val="22"/>
      <w:szCs w:val="18"/>
      <w:u w:val="single"/>
    </w:rPr>
  </w:style>
  <w:style w:type="paragraph" w:customStyle="1" w:styleId="AGRCHAPTERHEADING">
    <w:name w:val="AGR CHAPTER HEADING"/>
    <w:basedOn w:val="NoSpacing"/>
    <w:rsid w:val="001072F0"/>
    <w:pPr>
      <w:numPr>
        <w:numId w:val="18"/>
      </w:numPr>
      <w:tabs>
        <w:tab w:val="num" w:pos="360"/>
        <w:tab w:val="num" w:pos="1154"/>
      </w:tabs>
      <w:spacing w:before="840" w:after="720"/>
      <w:ind w:left="1021" w:hanging="227"/>
    </w:pPr>
    <w:rPr>
      <w:b/>
      <w:color w:val="002B54"/>
      <w:sz w:val="36"/>
      <w:szCs w:val="36"/>
    </w:rPr>
  </w:style>
  <w:style w:type="paragraph" w:customStyle="1" w:styleId="ParagraphTextProof">
    <w:name w:val="Paragraph Text Proof"/>
    <w:link w:val="ParagraphTextProofChar"/>
    <w:rsid w:val="001072F0"/>
    <w:pPr>
      <w:numPr>
        <w:ilvl w:val="1"/>
        <w:numId w:val="18"/>
      </w:numPr>
      <w:tabs>
        <w:tab w:val="left" w:pos="851"/>
      </w:tabs>
      <w:spacing w:after="120" w:line="360" w:lineRule="auto"/>
      <w:jc w:val="both"/>
    </w:pPr>
    <w:rPr>
      <w:rFonts w:ascii="Arial" w:hAnsi="Arial" w:cs="Arial"/>
      <w:sz w:val="22"/>
      <w:szCs w:val="22"/>
      <w:lang w:val="en-US" w:eastAsia="en-US"/>
    </w:rPr>
  </w:style>
  <w:style w:type="character" w:customStyle="1" w:styleId="ParagraphTextProofChar">
    <w:name w:val="Paragraph Text Proof Char"/>
    <w:basedOn w:val="Style1Char"/>
    <w:link w:val="ParagraphTextProof"/>
    <w:rsid w:val="001072F0"/>
    <w:rPr>
      <w:rFonts w:ascii="Arial" w:hAnsi="Arial" w:cs="Arial"/>
      <w:sz w:val="22"/>
      <w:szCs w:val="22"/>
      <w:lang w:val="en-US" w:eastAsia="en-US"/>
    </w:rPr>
  </w:style>
  <w:style w:type="paragraph" w:customStyle="1" w:styleId="DBAText">
    <w:name w:val="DBA Text"/>
    <w:basedOn w:val="Normal"/>
    <w:link w:val="DBATextChar"/>
    <w:rsid w:val="00532DC1"/>
    <w:pPr>
      <w:numPr>
        <w:ilvl w:val="1"/>
        <w:numId w:val="2"/>
      </w:numPr>
      <w:tabs>
        <w:tab w:val="clear" w:pos="794"/>
        <w:tab w:val="left" w:pos="851"/>
      </w:tabs>
      <w:spacing w:after="240" w:line="360" w:lineRule="auto"/>
      <w:ind w:left="851" w:hanging="851"/>
    </w:pPr>
  </w:style>
  <w:style w:type="paragraph" w:customStyle="1" w:styleId="BlueHeading3">
    <w:name w:val="Blue Heading 3"/>
    <w:basedOn w:val="DBAText"/>
    <w:link w:val="BlueHeading3Char"/>
    <w:rsid w:val="001820DF"/>
    <w:pPr>
      <w:spacing w:line="240" w:lineRule="auto"/>
      <w:ind w:firstLine="0"/>
    </w:pPr>
    <w:rPr>
      <w:color w:val="00B0F0"/>
      <w:u w:val="single"/>
    </w:rPr>
  </w:style>
  <w:style w:type="character" w:customStyle="1" w:styleId="DBATextChar">
    <w:name w:val="DBA Text Char"/>
    <w:basedOn w:val="DefaultParagraphFont"/>
    <w:link w:val="DBAText"/>
    <w:rsid w:val="00532DC1"/>
    <w:rPr>
      <w:rFonts w:ascii="Arial" w:hAnsi="Arial"/>
      <w:sz w:val="22"/>
    </w:rPr>
  </w:style>
  <w:style w:type="character" w:customStyle="1" w:styleId="BlueHeading3Char">
    <w:name w:val="Blue Heading 3 Char"/>
    <w:basedOn w:val="DBATextChar"/>
    <w:link w:val="BlueHeading3"/>
    <w:rsid w:val="001820DF"/>
    <w:rPr>
      <w:rFonts w:ascii="Arial" w:hAnsi="Arial"/>
      <w:color w:val="00B0F0"/>
      <w:sz w:val="22"/>
      <w:u w:val="single"/>
    </w:rPr>
  </w:style>
  <w:style w:type="paragraph" w:customStyle="1" w:styleId="18TableTextRegular">
    <w:name w:val="18. Table Text Regular"/>
    <w:basedOn w:val="Normal"/>
    <w:link w:val="18TableTextRegularChar"/>
    <w:qFormat/>
    <w:rsid w:val="00780257"/>
    <w:pPr>
      <w:spacing w:line="276" w:lineRule="auto"/>
      <w:ind w:left="0" w:firstLine="0"/>
    </w:pPr>
    <w:rPr>
      <w:sz w:val="18"/>
      <w:szCs w:val="18"/>
    </w:rPr>
  </w:style>
  <w:style w:type="character" w:customStyle="1" w:styleId="18TableTextRegularChar">
    <w:name w:val="18. Table Text Regular Char"/>
    <w:basedOn w:val="DefaultParagraphFont"/>
    <w:link w:val="18TableTextRegular"/>
    <w:rsid w:val="00780257"/>
    <w:rPr>
      <w:rFonts w:ascii="Arial" w:hAnsi="Arial"/>
      <w:sz w:val="18"/>
      <w:szCs w:val="18"/>
    </w:rPr>
  </w:style>
  <w:style w:type="paragraph" w:customStyle="1" w:styleId="01Heading1">
    <w:name w:val="01. Heading 1"/>
    <w:basedOn w:val="ListParagraph"/>
    <w:qFormat/>
    <w:rsid w:val="00F57D70"/>
    <w:pPr>
      <w:tabs>
        <w:tab w:val="clear" w:pos="794"/>
      </w:tabs>
      <w:spacing w:before="120" w:line="480" w:lineRule="auto"/>
      <w:ind w:left="0" w:firstLine="0"/>
      <w:contextualSpacing/>
      <w:jc w:val="left"/>
      <w:outlineLvl w:val="0"/>
    </w:pPr>
    <w:rPr>
      <w:rFonts w:ascii="Times New Roman" w:eastAsiaTheme="minorHAnsi" w:hAnsi="Times New Roman" w:cstheme="minorBidi"/>
      <w:caps/>
      <w:sz w:val="24"/>
      <w:szCs w:val="22"/>
    </w:rPr>
  </w:style>
  <w:style w:type="paragraph" w:customStyle="1" w:styleId="05TextNumberedParagraph">
    <w:name w:val="05. Text Numbered Paragraph"/>
    <w:basedOn w:val="ListParagraph"/>
    <w:link w:val="05TextNumberedParagraphChar"/>
    <w:qFormat/>
    <w:rsid w:val="00DA0982"/>
    <w:pPr>
      <w:tabs>
        <w:tab w:val="clear" w:pos="794"/>
      </w:tabs>
      <w:spacing w:line="360" w:lineRule="auto"/>
      <w:ind w:left="0" w:firstLine="794"/>
    </w:pPr>
    <w:rPr>
      <w:rFonts w:ascii="Times New Roman" w:eastAsiaTheme="minorHAnsi" w:hAnsi="Times New Roman" w:cstheme="minorBidi"/>
      <w:sz w:val="24"/>
      <w:szCs w:val="22"/>
    </w:rPr>
  </w:style>
  <w:style w:type="paragraph" w:customStyle="1" w:styleId="DBAsub-heading1">
    <w:name w:val="DBA sub-heading 1"/>
    <w:basedOn w:val="ListParagraph"/>
    <w:rsid w:val="00314B2C"/>
    <w:pPr>
      <w:numPr>
        <w:ilvl w:val="2"/>
        <w:numId w:val="23"/>
      </w:numPr>
      <w:tabs>
        <w:tab w:val="clear" w:pos="794"/>
      </w:tabs>
      <w:spacing w:after="200" w:line="276" w:lineRule="auto"/>
      <w:contextualSpacing/>
      <w:jc w:val="left"/>
    </w:pPr>
    <w:rPr>
      <w:rFonts w:asciiTheme="minorHAnsi" w:eastAsiaTheme="minorHAnsi" w:hAnsiTheme="minorHAnsi" w:cstheme="minorBidi"/>
      <w:szCs w:val="22"/>
    </w:rPr>
  </w:style>
  <w:style w:type="character" w:customStyle="1" w:styleId="05TextNumberedParagraphChar">
    <w:name w:val="05. Text Numbered Paragraph Char"/>
    <w:basedOn w:val="DefaultParagraphFont"/>
    <w:link w:val="05TextNumberedParagraph"/>
    <w:rsid w:val="00DA0982"/>
    <w:rPr>
      <w:rFonts w:eastAsiaTheme="minorHAnsi" w:cstheme="minorBidi"/>
      <w:sz w:val="24"/>
      <w:szCs w:val="22"/>
    </w:rPr>
  </w:style>
  <w:style w:type="paragraph" w:customStyle="1" w:styleId="DBASub-heading2">
    <w:name w:val="DBA Sub-heading 2"/>
    <w:basedOn w:val="ListParagraph"/>
    <w:rsid w:val="00314B2C"/>
    <w:pPr>
      <w:numPr>
        <w:ilvl w:val="3"/>
        <w:numId w:val="23"/>
      </w:numPr>
      <w:tabs>
        <w:tab w:val="clear" w:pos="794"/>
      </w:tabs>
      <w:spacing w:after="200" w:line="276" w:lineRule="auto"/>
      <w:contextualSpacing/>
      <w:jc w:val="left"/>
    </w:pPr>
    <w:rPr>
      <w:rFonts w:asciiTheme="minorHAnsi" w:eastAsiaTheme="minorHAnsi" w:hAnsiTheme="minorHAnsi" w:cstheme="minorBidi"/>
      <w:szCs w:val="22"/>
    </w:rPr>
  </w:style>
  <w:style w:type="paragraph" w:customStyle="1" w:styleId="20References">
    <w:name w:val="20. References"/>
    <w:basedOn w:val="FootnoteText"/>
    <w:link w:val="20ReferencesChar"/>
    <w:qFormat/>
    <w:rsid w:val="00452F44"/>
    <w:pPr>
      <w:tabs>
        <w:tab w:val="clear" w:pos="794"/>
      </w:tabs>
      <w:spacing w:before="120" w:after="120" w:line="360" w:lineRule="auto"/>
      <w:ind w:left="567" w:hanging="567"/>
      <w:jc w:val="left"/>
    </w:pPr>
    <w:rPr>
      <w:rFonts w:eastAsiaTheme="minorHAnsi" w:cs="Arial"/>
      <w:sz w:val="22"/>
      <w:szCs w:val="22"/>
    </w:rPr>
  </w:style>
  <w:style w:type="character" w:customStyle="1" w:styleId="20ReferencesChar">
    <w:name w:val="20. References Char"/>
    <w:basedOn w:val="FootnoteTextChar"/>
    <w:link w:val="20References"/>
    <w:rsid w:val="00452F44"/>
    <w:rPr>
      <w:rFonts w:ascii="Arial" w:eastAsiaTheme="minorHAnsi" w:hAnsi="Arial" w:cs="Arial"/>
      <w:sz w:val="22"/>
      <w:szCs w:val="22"/>
    </w:rPr>
  </w:style>
  <w:style w:type="character" w:customStyle="1" w:styleId="FooterChar">
    <w:name w:val="Footer Char"/>
    <w:basedOn w:val="DefaultParagraphFont"/>
    <w:link w:val="Footer"/>
    <w:uiPriority w:val="99"/>
    <w:rsid w:val="002578B3"/>
    <w:rPr>
      <w:rFonts w:ascii="Arial" w:hAnsi="Arial"/>
      <w:sz w:val="22"/>
    </w:rPr>
  </w:style>
  <w:style w:type="paragraph" w:customStyle="1" w:styleId="Quotation">
    <w:name w:val="Quotation"/>
    <w:basedOn w:val="05TextNumberedParagraph"/>
    <w:link w:val="QuotationChar"/>
    <w:rsid w:val="00C51A12"/>
    <w:pPr>
      <w:ind w:left="1276" w:right="379" w:firstLine="0"/>
    </w:pPr>
    <w:rPr>
      <w:i/>
      <w:sz w:val="20"/>
    </w:rPr>
  </w:style>
  <w:style w:type="paragraph" w:customStyle="1" w:styleId="07TableCaption">
    <w:name w:val="07. Table Caption"/>
    <w:basedOn w:val="05TextNumberedParagraph"/>
    <w:link w:val="07TableCaptionChar"/>
    <w:qFormat/>
    <w:rsid w:val="00452F44"/>
    <w:pPr>
      <w:ind w:left="2427" w:right="113" w:hanging="1576"/>
    </w:pPr>
    <w:rPr>
      <w:sz w:val="18"/>
    </w:rPr>
  </w:style>
  <w:style w:type="character" w:customStyle="1" w:styleId="QuotationChar">
    <w:name w:val="Quotation Char"/>
    <w:basedOn w:val="05TextNumberedParagraphChar"/>
    <w:link w:val="Quotation"/>
    <w:rsid w:val="00C51A12"/>
    <w:rPr>
      <w:rFonts w:ascii="Arial" w:eastAsiaTheme="minorHAnsi" w:hAnsi="Arial" w:cstheme="minorBidi"/>
      <w:i/>
      <w:sz w:val="22"/>
      <w:szCs w:val="22"/>
    </w:rPr>
  </w:style>
  <w:style w:type="paragraph" w:customStyle="1" w:styleId="06FigureCaption">
    <w:name w:val="06. Figure Caption"/>
    <w:basedOn w:val="05TextNumberedParagraph"/>
    <w:link w:val="06FigureCaptionChar"/>
    <w:qFormat/>
    <w:rsid w:val="00CB3214"/>
    <w:pPr>
      <w:spacing w:line="276" w:lineRule="auto"/>
      <w:ind w:left="992" w:firstLine="0"/>
    </w:pPr>
    <w:rPr>
      <w:b/>
      <w:sz w:val="18"/>
    </w:rPr>
  </w:style>
  <w:style w:type="character" w:customStyle="1" w:styleId="07TableCaptionChar">
    <w:name w:val="07. Table Caption Char"/>
    <w:basedOn w:val="05TextNumberedParagraphChar"/>
    <w:link w:val="07TableCaption"/>
    <w:rsid w:val="00452F44"/>
    <w:rPr>
      <w:rFonts w:ascii="Arial" w:eastAsiaTheme="minorHAnsi" w:hAnsi="Arial" w:cstheme="minorBidi"/>
      <w:sz w:val="18"/>
      <w:szCs w:val="22"/>
    </w:rPr>
  </w:style>
  <w:style w:type="character" w:customStyle="1" w:styleId="06FigureCaptionChar">
    <w:name w:val="06. Figure Caption Char"/>
    <w:basedOn w:val="05TextNumberedParagraphChar"/>
    <w:link w:val="06FigureCaption"/>
    <w:rsid w:val="00CB3214"/>
    <w:rPr>
      <w:rFonts w:ascii="Arial" w:eastAsiaTheme="minorHAnsi" w:hAnsi="Arial" w:cstheme="minorBidi"/>
      <w:b/>
      <w:sz w:val="18"/>
      <w:szCs w:val="22"/>
    </w:rPr>
  </w:style>
  <w:style w:type="paragraph" w:customStyle="1" w:styleId="11AppendixHeading">
    <w:name w:val="11. Appendix Heading"/>
    <w:basedOn w:val="Normal"/>
    <w:link w:val="11AppendixHeadingChar"/>
    <w:qFormat/>
    <w:rsid w:val="00FB4B94"/>
    <w:pPr>
      <w:spacing w:after="240"/>
      <w:ind w:left="0" w:firstLine="0"/>
      <w:outlineLvl w:val="2"/>
    </w:pPr>
    <w:rPr>
      <w:b/>
      <w:caps/>
      <w:color w:val="4F81BD" w:themeColor="accent1"/>
      <w:sz w:val="28"/>
    </w:rPr>
  </w:style>
  <w:style w:type="paragraph" w:customStyle="1" w:styleId="13AppendixSub-heading2">
    <w:name w:val="13. Appendix Sub-heading 2"/>
    <w:basedOn w:val="Normal"/>
    <w:link w:val="13AppendixSub-heading2Char"/>
    <w:qFormat/>
    <w:rsid w:val="00FD6C97"/>
    <w:pPr>
      <w:spacing w:before="120"/>
      <w:ind w:left="0" w:firstLine="0"/>
    </w:pPr>
    <w:rPr>
      <w:b/>
      <w:color w:val="4F81BD" w:themeColor="accent1"/>
      <w:sz w:val="20"/>
    </w:rPr>
  </w:style>
  <w:style w:type="character" w:customStyle="1" w:styleId="11AppendixHeadingChar">
    <w:name w:val="11. Appendix Heading Char"/>
    <w:basedOn w:val="DefaultParagraphFont"/>
    <w:link w:val="11AppendixHeading"/>
    <w:rsid w:val="00FB4B94"/>
    <w:rPr>
      <w:rFonts w:ascii="Arial" w:hAnsi="Arial"/>
      <w:b/>
      <w:caps/>
      <w:color w:val="4F81BD" w:themeColor="accent1"/>
      <w:sz w:val="28"/>
    </w:rPr>
  </w:style>
  <w:style w:type="character" w:customStyle="1" w:styleId="13AppendixSub-heading2Char">
    <w:name w:val="13. Appendix Sub-heading 2 Char"/>
    <w:basedOn w:val="DefaultParagraphFont"/>
    <w:link w:val="13AppendixSub-heading2"/>
    <w:rsid w:val="00FD6C97"/>
    <w:rPr>
      <w:rFonts w:ascii="Arial" w:hAnsi="Arial"/>
      <w:b/>
      <w:color w:val="4F81BD" w:themeColor="accent1"/>
    </w:rPr>
  </w:style>
  <w:style w:type="paragraph" w:customStyle="1" w:styleId="17Headinggeneric">
    <w:name w:val="17. Heading (generic)"/>
    <w:basedOn w:val="NoIndent"/>
    <w:link w:val="17HeadinggenericChar"/>
    <w:qFormat/>
    <w:rsid w:val="00452F44"/>
    <w:pPr>
      <w:spacing w:after="240"/>
    </w:pPr>
    <w:rPr>
      <w:b/>
      <w:color w:val="4F81BD" w:themeColor="accent1"/>
      <w:sz w:val="28"/>
    </w:rPr>
  </w:style>
  <w:style w:type="paragraph" w:customStyle="1" w:styleId="10CopyrightDisclaimerText">
    <w:name w:val="10. Copyright/Disclaimer Text"/>
    <w:basedOn w:val="Normal"/>
    <w:link w:val="10CopyrightDisclaimerTextChar"/>
    <w:qFormat/>
    <w:rsid w:val="003818D8"/>
    <w:pPr>
      <w:spacing w:line="360" w:lineRule="auto"/>
      <w:ind w:left="851" w:firstLine="0"/>
    </w:pPr>
    <w:rPr>
      <w:color w:val="808080" w:themeColor="background1" w:themeShade="80"/>
      <w:sz w:val="16"/>
    </w:rPr>
  </w:style>
  <w:style w:type="character" w:customStyle="1" w:styleId="17HeadinggenericChar">
    <w:name w:val="17. Heading (generic) Char"/>
    <w:basedOn w:val="NoIndentChar"/>
    <w:link w:val="17Headinggeneric"/>
    <w:rsid w:val="00452F44"/>
    <w:rPr>
      <w:rFonts w:ascii="Arial" w:hAnsi="Arial"/>
      <w:b/>
      <w:color w:val="4F81BD" w:themeColor="accent1"/>
      <w:sz w:val="28"/>
    </w:rPr>
  </w:style>
  <w:style w:type="paragraph" w:customStyle="1" w:styleId="09Quotation">
    <w:name w:val="09. Quotation"/>
    <w:basedOn w:val="05TextNumberedParagraph"/>
    <w:link w:val="09QuotationChar"/>
    <w:qFormat/>
    <w:rsid w:val="00AA272E"/>
    <w:pPr>
      <w:ind w:left="1276" w:right="386" w:firstLine="0"/>
    </w:pPr>
    <w:rPr>
      <w:i/>
      <w:sz w:val="20"/>
    </w:rPr>
  </w:style>
  <w:style w:type="character" w:customStyle="1" w:styleId="10CopyrightDisclaimerTextChar">
    <w:name w:val="10. Copyright/Disclaimer Text Char"/>
    <w:basedOn w:val="DefaultParagraphFont"/>
    <w:link w:val="10CopyrightDisclaimerText"/>
    <w:rsid w:val="003818D8"/>
    <w:rPr>
      <w:rFonts w:ascii="Arial" w:hAnsi="Arial"/>
      <w:color w:val="808080" w:themeColor="background1" w:themeShade="80"/>
      <w:sz w:val="16"/>
    </w:rPr>
  </w:style>
  <w:style w:type="paragraph" w:customStyle="1" w:styleId="12AppendixSub-heading1">
    <w:name w:val="12. Appendix Sub-heading 1"/>
    <w:basedOn w:val="Normal"/>
    <w:link w:val="12AppendixSub-heading1Char"/>
    <w:qFormat/>
    <w:rsid w:val="00887BBC"/>
    <w:pPr>
      <w:tabs>
        <w:tab w:val="left" w:pos="0"/>
      </w:tabs>
      <w:spacing w:before="120" w:after="120"/>
      <w:ind w:left="0" w:firstLine="0"/>
    </w:pPr>
    <w:rPr>
      <w:b/>
      <w:i/>
      <w:color w:val="4F81BD" w:themeColor="accent1"/>
    </w:rPr>
  </w:style>
  <w:style w:type="character" w:customStyle="1" w:styleId="09QuotationChar">
    <w:name w:val="09. Quotation Char"/>
    <w:basedOn w:val="05TextNumberedParagraphChar"/>
    <w:link w:val="09Quotation"/>
    <w:rsid w:val="00AA272E"/>
    <w:rPr>
      <w:rFonts w:ascii="Arial" w:eastAsiaTheme="minorHAnsi" w:hAnsi="Arial" w:cstheme="minorBidi"/>
      <w:i/>
      <w:sz w:val="22"/>
      <w:szCs w:val="22"/>
    </w:rPr>
  </w:style>
  <w:style w:type="paragraph" w:customStyle="1" w:styleId="14DBAAppendixPara">
    <w:name w:val="14. DBA Appendix Para"/>
    <w:basedOn w:val="Normal"/>
    <w:link w:val="14DBAAppendixParaChar"/>
    <w:rsid w:val="00E65E1F"/>
    <w:pPr>
      <w:numPr>
        <w:ilvl w:val="1"/>
      </w:numPr>
      <w:tabs>
        <w:tab w:val="clear" w:pos="794"/>
      </w:tabs>
      <w:spacing w:before="120" w:after="240" w:line="360" w:lineRule="auto"/>
      <w:ind w:left="851" w:hanging="794"/>
    </w:pPr>
    <w:rPr>
      <w:rFonts w:eastAsiaTheme="minorHAnsi" w:cstheme="minorBidi"/>
      <w:szCs w:val="22"/>
    </w:rPr>
  </w:style>
  <w:style w:type="character" w:customStyle="1" w:styleId="12AppendixSub-heading1Char">
    <w:name w:val="12. Appendix Sub-heading 1 Char"/>
    <w:basedOn w:val="DefaultParagraphFont"/>
    <w:link w:val="12AppendixSub-heading1"/>
    <w:rsid w:val="00887BBC"/>
    <w:rPr>
      <w:rFonts w:ascii="Arial" w:hAnsi="Arial"/>
      <w:b/>
      <w:i/>
      <w:color w:val="4F81BD" w:themeColor="accent1"/>
      <w:sz w:val="22"/>
    </w:rPr>
  </w:style>
  <w:style w:type="paragraph" w:customStyle="1" w:styleId="15FigureTable">
    <w:name w:val="15. Figure Table"/>
    <w:basedOn w:val="TableofFigures"/>
    <w:link w:val="15FigureTableChar"/>
    <w:qFormat/>
    <w:rsid w:val="00452F44"/>
    <w:pPr>
      <w:tabs>
        <w:tab w:val="clear" w:pos="794"/>
        <w:tab w:val="left" w:pos="1134"/>
        <w:tab w:val="left" w:pos="1985"/>
        <w:tab w:val="left" w:pos="3119"/>
      </w:tabs>
    </w:pPr>
    <w:rPr>
      <w:sz w:val="20"/>
    </w:rPr>
  </w:style>
  <w:style w:type="character" w:customStyle="1" w:styleId="14DBAAppendixParaChar">
    <w:name w:val="14. DBA Appendix Para Char"/>
    <w:basedOn w:val="DefaultParagraphFont"/>
    <w:link w:val="14DBAAppendixPara"/>
    <w:rsid w:val="00E65E1F"/>
    <w:rPr>
      <w:rFonts w:ascii="Arial" w:eastAsiaTheme="minorHAnsi" w:hAnsi="Arial" w:cstheme="minorBidi"/>
      <w:sz w:val="22"/>
      <w:szCs w:val="22"/>
    </w:rPr>
  </w:style>
  <w:style w:type="character" w:customStyle="1" w:styleId="TableofFiguresChar">
    <w:name w:val="Table of Figures Char"/>
    <w:basedOn w:val="DefaultParagraphFont"/>
    <w:link w:val="TableofFigures"/>
    <w:uiPriority w:val="99"/>
    <w:rsid w:val="001D41F7"/>
    <w:rPr>
      <w:rFonts w:ascii="Arial" w:hAnsi="Arial"/>
      <w:sz w:val="22"/>
    </w:rPr>
  </w:style>
  <w:style w:type="character" w:customStyle="1" w:styleId="15FigureTableChar">
    <w:name w:val="15. Figure Table Char"/>
    <w:basedOn w:val="TableofFiguresChar"/>
    <w:link w:val="15FigureTable"/>
    <w:rsid w:val="00452F44"/>
    <w:rPr>
      <w:rFonts w:ascii="Arial" w:hAnsi="Arial"/>
      <w:sz w:val="22"/>
    </w:rPr>
  </w:style>
  <w:style w:type="paragraph" w:customStyle="1" w:styleId="DBAHeading1">
    <w:name w:val="DBA Heading 1"/>
    <w:basedOn w:val="ListParagraph"/>
    <w:rsid w:val="00CC3DC7"/>
    <w:pPr>
      <w:tabs>
        <w:tab w:val="clear" w:pos="794"/>
      </w:tabs>
      <w:spacing w:after="200" w:line="276" w:lineRule="auto"/>
      <w:ind w:left="360" w:hanging="360"/>
      <w:contextualSpacing/>
      <w:jc w:val="left"/>
    </w:pPr>
    <w:rPr>
      <w:rFonts w:eastAsiaTheme="minorHAnsi" w:cstheme="minorBidi"/>
      <w:b/>
      <w:caps/>
      <w:color w:val="0070C0"/>
      <w:sz w:val="28"/>
      <w:szCs w:val="22"/>
    </w:rPr>
  </w:style>
  <w:style w:type="paragraph" w:customStyle="1" w:styleId="DBANumberedParagraph">
    <w:name w:val="DBA Numbered Paragraph"/>
    <w:basedOn w:val="ListParagraph"/>
    <w:link w:val="DBANumberedParagraphChar"/>
    <w:rsid w:val="00CC3DC7"/>
    <w:pPr>
      <w:tabs>
        <w:tab w:val="clear" w:pos="794"/>
      </w:tabs>
      <w:spacing w:before="120" w:after="240" w:line="360" w:lineRule="auto"/>
      <w:ind w:left="792" w:hanging="432"/>
    </w:pPr>
    <w:rPr>
      <w:rFonts w:eastAsiaTheme="minorHAnsi" w:cstheme="minorBidi"/>
      <w:szCs w:val="22"/>
    </w:rPr>
  </w:style>
  <w:style w:type="character" w:customStyle="1" w:styleId="DBANumberedParagraphChar">
    <w:name w:val="DBA Numbered Paragraph Char"/>
    <w:basedOn w:val="DefaultParagraphFont"/>
    <w:link w:val="DBANumberedParagraph"/>
    <w:rsid w:val="00CC3DC7"/>
    <w:rPr>
      <w:rFonts w:ascii="Arial" w:eastAsiaTheme="minorHAnsi" w:hAnsi="Arial" w:cstheme="minorBidi"/>
      <w:sz w:val="22"/>
      <w:szCs w:val="22"/>
    </w:rPr>
  </w:style>
  <w:style w:type="paragraph" w:customStyle="1" w:styleId="16Figure">
    <w:name w:val="16. Figure"/>
    <w:basedOn w:val="Normal"/>
    <w:link w:val="16FigureChar"/>
    <w:qFormat/>
    <w:rsid w:val="009704BC"/>
    <w:pPr>
      <w:ind w:firstLine="57"/>
      <w:jc w:val="center"/>
    </w:pPr>
  </w:style>
  <w:style w:type="character" w:customStyle="1" w:styleId="16FigureChar">
    <w:name w:val="16. Figure Char"/>
    <w:basedOn w:val="DefaultParagraphFont"/>
    <w:link w:val="16Figure"/>
    <w:rsid w:val="009704BC"/>
    <w:rPr>
      <w:rFonts w:ascii="Arial" w:hAnsi="Arial"/>
      <w:sz w:val="22"/>
    </w:rPr>
  </w:style>
  <w:style w:type="paragraph" w:customStyle="1" w:styleId="04Sub-heading3">
    <w:name w:val="04. Sub-heading 3"/>
    <w:basedOn w:val="Normal"/>
    <w:link w:val="04Sub-heading3Char"/>
    <w:qFormat/>
    <w:rsid w:val="009C3CC5"/>
    <w:pPr>
      <w:tabs>
        <w:tab w:val="clear" w:pos="794"/>
        <w:tab w:val="left" w:pos="851"/>
      </w:tabs>
      <w:spacing w:before="240" w:after="120"/>
      <w:ind w:left="851" w:firstLine="0"/>
      <w:jc w:val="left"/>
    </w:pPr>
    <w:rPr>
      <w:i/>
      <w:color w:val="4F81BD" w:themeColor="accent1"/>
    </w:rPr>
  </w:style>
  <w:style w:type="character" w:customStyle="1" w:styleId="04Sub-heading3Char">
    <w:name w:val="04. Sub-heading 3 Char"/>
    <w:basedOn w:val="DefaultParagraphFont"/>
    <w:link w:val="04Sub-heading3"/>
    <w:rsid w:val="009C3CC5"/>
    <w:rPr>
      <w:rFonts w:ascii="Arial" w:hAnsi="Arial"/>
      <w:i/>
      <w:color w:val="4F81BD" w:themeColor="accent1"/>
      <w:sz w:val="22"/>
    </w:rPr>
  </w:style>
  <w:style w:type="paragraph" w:customStyle="1" w:styleId="15Appendixtext">
    <w:name w:val="15. Appendix text"/>
    <w:basedOn w:val="Normal"/>
    <w:link w:val="15AppendixtextChar"/>
    <w:rsid w:val="007F2685"/>
    <w:pPr>
      <w:numPr>
        <w:ilvl w:val="1"/>
      </w:numPr>
      <w:tabs>
        <w:tab w:val="clear" w:pos="794"/>
      </w:tabs>
      <w:spacing w:before="120" w:after="240" w:line="360" w:lineRule="auto"/>
      <w:ind w:left="794" w:hanging="794"/>
    </w:pPr>
    <w:rPr>
      <w:rFonts w:eastAsiaTheme="minorHAnsi" w:cstheme="minorBidi"/>
      <w:szCs w:val="22"/>
    </w:rPr>
  </w:style>
  <w:style w:type="paragraph" w:customStyle="1" w:styleId="19Summarypara">
    <w:name w:val="19. Summary para"/>
    <w:basedOn w:val="Normal"/>
    <w:link w:val="19SummaryparaChar"/>
    <w:qFormat/>
    <w:rsid w:val="009751FA"/>
    <w:pPr>
      <w:tabs>
        <w:tab w:val="clear" w:pos="794"/>
      </w:tabs>
      <w:spacing w:after="120" w:line="360" w:lineRule="auto"/>
      <w:ind w:left="0" w:firstLine="0"/>
    </w:pPr>
    <w:rPr>
      <w:szCs w:val="18"/>
    </w:rPr>
  </w:style>
  <w:style w:type="character" w:customStyle="1" w:styleId="15AppendixtextChar">
    <w:name w:val="15. Appendix text Char"/>
    <w:basedOn w:val="DefaultParagraphFont"/>
    <w:link w:val="15Appendixtext"/>
    <w:rsid w:val="007F2685"/>
    <w:rPr>
      <w:rFonts w:ascii="Arial" w:eastAsiaTheme="minorHAnsi" w:hAnsi="Arial" w:cstheme="minorBidi"/>
      <w:sz w:val="22"/>
      <w:szCs w:val="22"/>
    </w:rPr>
  </w:style>
  <w:style w:type="paragraph" w:customStyle="1" w:styleId="21Summarysubheadings">
    <w:name w:val="21. Summary subheadings"/>
    <w:basedOn w:val="17Headinggeneric"/>
    <w:link w:val="21SummarysubheadingsChar"/>
    <w:qFormat/>
    <w:rsid w:val="009A49A9"/>
    <w:pPr>
      <w:spacing w:after="120" w:line="240" w:lineRule="auto"/>
    </w:pPr>
    <w:rPr>
      <w:color w:val="auto"/>
      <w:sz w:val="22"/>
      <w:szCs w:val="22"/>
    </w:rPr>
  </w:style>
  <w:style w:type="character" w:customStyle="1" w:styleId="19SummaryparaChar">
    <w:name w:val="19. Summary para Char"/>
    <w:basedOn w:val="DefaultParagraphFont"/>
    <w:link w:val="19Summarypara"/>
    <w:rsid w:val="009751FA"/>
    <w:rPr>
      <w:rFonts w:ascii="Arial" w:hAnsi="Arial"/>
      <w:sz w:val="22"/>
      <w:szCs w:val="18"/>
    </w:rPr>
  </w:style>
  <w:style w:type="character" w:customStyle="1" w:styleId="21SummarysubheadingsChar">
    <w:name w:val="21. Summary subheadings Char"/>
    <w:basedOn w:val="17HeadinggenericChar"/>
    <w:link w:val="21Summarysubheadings"/>
    <w:rsid w:val="009A49A9"/>
    <w:rPr>
      <w:rFonts w:ascii="Arial" w:hAnsi="Arial"/>
      <w:b/>
      <w:color w:val="4F81BD" w:themeColor="accent1"/>
      <w:sz w:val="22"/>
      <w:szCs w:val="22"/>
    </w:rPr>
  </w:style>
  <w:style w:type="paragraph" w:customStyle="1" w:styleId="14Appendixparagraphtext">
    <w:name w:val="14. Appendix paragraph text"/>
    <w:basedOn w:val="14DBAAppendixPara"/>
    <w:link w:val="14AppendixparagraphtextChar"/>
    <w:qFormat/>
    <w:rsid w:val="00FD6C97"/>
    <w:pPr>
      <w:ind w:left="0" w:firstLine="0"/>
    </w:pPr>
  </w:style>
  <w:style w:type="character" w:customStyle="1" w:styleId="14AppendixparagraphtextChar">
    <w:name w:val="14. Appendix paragraph text Char"/>
    <w:basedOn w:val="14DBAAppendixParaChar"/>
    <w:link w:val="14Appendixparagraphtext"/>
    <w:rsid w:val="00FD6C97"/>
    <w:rPr>
      <w:rFonts w:ascii="Arial" w:eastAsiaTheme="minorHAnsi" w:hAnsi="Arial" w:cstheme="minorBidi"/>
      <w:sz w:val="22"/>
      <w:szCs w:val="22"/>
    </w:rPr>
  </w:style>
  <w:style w:type="paragraph" w:customStyle="1" w:styleId="22Refshead">
    <w:name w:val="22 Refs head"/>
    <w:basedOn w:val="02heading2"/>
    <w:link w:val="22RefsheadChar"/>
    <w:qFormat/>
    <w:rsid w:val="00630C1D"/>
  </w:style>
  <w:style w:type="character" w:customStyle="1" w:styleId="22RefsheadChar">
    <w:name w:val="22 Refs head Char"/>
    <w:basedOn w:val="02heading2Char"/>
    <w:link w:val="22Refshead"/>
    <w:rsid w:val="00630C1D"/>
    <w:rPr>
      <w:rFonts w:ascii="Arial" w:hAnsi="Arial"/>
      <w:b w:val="0"/>
      <w:i/>
      <w:caps w:val="0"/>
      <w:color w:val="4F81BD" w:themeColor="accent1"/>
      <w:sz w:val="22"/>
    </w:rPr>
  </w:style>
  <w:style w:type="paragraph" w:customStyle="1" w:styleId="1Heading1a">
    <w:name w:val="1. Heading 1a"/>
    <w:basedOn w:val="ListParagraph"/>
    <w:qFormat/>
    <w:rsid w:val="00C127C5"/>
    <w:pPr>
      <w:tabs>
        <w:tab w:val="clear" w:pos="794"/>
      </w:tabs>
      <w:spacing w:after="200" w:line="276" w:lineRule="auto"/>
      <w:ind w:left="851" w:hanging="851"/>
      <w:contextualSpacing/>
      <w:jc w:val="center"/>
      <w:outlineLvl w:val="0"/>
    </w:pPr>
    <w:rPr>
      <w:rFonts w:ascii="Times New Roman" w:eastAsiaTheme="minorHAnsi" w:hAnsi="Times New Roman" w:cstheme="minorBidi"/>
      <w:b/>
      <w:caps/>
      <w:color w:val="000000" w:themeColor="text1"/>
      <w:sz w:val="28"/>
      <w:szCs w:val="22"/>
    </w:rPr>
  </w:style>
  <w:style w:type="paragraph" w:customStyle="1" w:styleId="5DBANumberedParagraph">
    <w:name w:val="5. DBA Numbered Paragraph"/>
    <w:basedOn w:val="ListParagraph"/>
    <w:link w:val="5DBANumberedParagraphChar"/>
    <w:rsid w:val="00934A81"/>
    <w:pPr>
      <w:tabs>
        <w:tab w:val="clear" w:pos="794"/>
      </w:tabs>
      <w:spacing w:before="120" w:after="240" w:line="360" w:lineRule="auto"/>
      <w:ind w:left="851" w:hanging="851"/>
    </w:pPr>
    <w:rPr>
      <w:rFonts w:eastAsiaTheme="minorHAnsi" w:cstheme="minorBidi"/>
      <w:szCs w:val="22"/>
    </w:rPr>
  </w:style>
  <w:style w:type="character" w:customStyle="1" w:styleId="5DBANumberedParagraphChar">
    <w:name w:val="5. DBA Numbered Paragraph Char"/>
    <w:basedOn w:val="DefaultParagraphFont"/>
    <w:link w:val="5DBANumberedParagraph"/>
    <w:rsid w:val="00934A81"/>
    <w:rPr>
      <w:rFonts w:ascii="Arial" w:eastAsiaTheme="minorHAnsi" w:hAnsi="Arial" w:cstheme="minorBidi"/>
      <w:sz w:val="22"/>
      <w:szCs w:val="22"/>
    </w:rPr>
  </w:style>
  <w:style w:type="character" w:customStyle="1" w:styleId="UnresolvedMention1">
    <w:name w:val="Unresolved Mention1"/>
    <w:basedOn w:val="DefaultParagraphFont"/>
    <w:uiPriority w:val="99"/>
    <w:semiHidden/>
    <w:unhideWhenUsed/>
    <w:rsid w:val="00E54F53"/>
    <w:rPr>
      <w:color w:val="605E5C"/>
      <w:shd w:val="clear" w:color="auto" w:fill="E1DFDD"/>
    </w:rPr>
  </w:style>
  <w:style w:type="character" w:customStyle="1" w:styleId="8DBABulletListChar">
    <w:name w:val="8. DBA Bullet List Char"/>
    <w:basedOn w:val="DefaultParagraphFont"/>
    <w:link w:val="8DBABulletList"/>
    <w:locked/>
    <w:rsid w:val="00994A2E"/>
    <w:rPr>
      <w:rFonts w:ascii="Arial" w:hAnsi="Arial" w:cs="Arial"/>
    </w:rPr>
  </w:style>
  <w:style w:type="paragraph" w:customStyle="1" w:styleId="8DBABulletList">
    <w:name w:val="8. DBA Bullet List"/>
    <w:basedOn w:val="Normal"/>
    <w:link w:val="8DBABulletListChar"/>
    <w:rsid w:val="00994A2E"/>
    <w:pPr>
      <w:tabs>
        <w:tab w:val="clear" w:pos="794"/>
      </w:tabs>
      <w:spacing w:line="360" w:lineRule="auto"/>
      <w:ind w:left="1571" w:hanging="360"/>
    </w:pPr>
    <w:rPr>
      <w:rFonts w:cs="Arial"/>
      <w:sz w:val="20"/>
    </w:rPr>
  </w:style>
  <w:style w:type="paragraph" w:customStyle="1" w:styleId="03Appendixheading">
    <w:name w:val="03. Appendix heading"/>
    <w:basedOn w:val="Normal"/>
    <w:link w:val="03AppendixheadingChar"/>
    <w:qFormat/>
    <w:rsid w:val="00967902"/>
    <w:pPr>
      <w:keepNext/>
      <w:spacing w:before="120" w:line="480" w:lineRule="auto"/>
      <w:ind w:left="0" w:firstLine="0"/>
      <w:outlineLvl w:val="0"/>
    </w:pPr>
    <w:rPr>
      <w:rFonts w:ascii="Times New Roman" w:hAnsi="Times New Roman"/>
      <w:i/>
      <w:kern w:val="28"/>
      <w:sz w:val="24"/>
      <w:szCs w:val="22"/>
    </w:rPr>
  </w:style>
  <w:style w:type="paragraph" w:styleId="TOCHeading">
    <w:name w:val="TOC Heading"/>
    <w:basedOn w:val="Heading1"/>
    <w:next w:val="Normal"/>
    <w:uiPriority w:val="39"/>
    <w:unhideWhenUsed/>
    <w:qFormat/>
    <w:rsid w:val="005F4D5D"/>
    <w:pPr>
      <w:keepLines/>
      <w:numPr>
        <w:numId w:val="0"/>
      </w:numPr>
      <w:tabs>
        <w:tab w:val="clear" w:pos="794"/>
      </w:tabs>
      <w:spacing w:before="480" w:after="0" w:line="276" w:lineRule="auto"/>
      <w:jc w:val="left"/>
      <w:outlineLvl w:val="9"/>
    </w:pPr>
    <w:rPr>
      <w:rFonts w:asciiTheme="majorHAnsi" w:eastAsiaTheme="majorEastAsia" w:hAnsiTheme="majorHAnsi" w:cstheme="majorBidi"/>
      <w:bCs/>
      <w:caps w:val="0"/>
      <w:color w:val="365F91" w:themeColor="accent1" w:themeShade="BF"/>
      <w:kern w:val="0"/>
      <w:sz w:val="28"/>
      <w:szCs w:val="28"/>
      <w:lang w:val="en-US" w:eastAsia="ja-JP"/>
    </w:rPr>
  </w:style>
  <w:style w:type="character" w:customStyle="1" w:styleId="03AppendixheadingChar">
    <w:name w:val="03. Appendix heading Char"/>
    <w:basedOn w:val="DefaultParagraphFont"/>
    <w:link w:val="03Appendixheading"/>
    <w:rsid w:val="00967902"/>
    <w:rPr>
      <w:i/>
      <w:kern w:val="28"/>
      <w:sz w:val="24"/>
      <w:szCs w:val="22"/>
    </w:rPr>
  </w:style>
  <w:style w:type="paragraph" w:customStyle="1" w:styleId="04Summaryheading">
    <w:name w:val="04. Summary heading"/>
    <w:basedOn w:val="03Appendixheading"/>
    <w:link w:val="04SummaryheadingChar"/>
    <w:qFormat/>
    <w:rsid w:val="0096749A"/>
    <w:rPr>
      <w:sz w:val="28"/>
      <w:szCs w:val="28"/>
    </w:rPr>
  </w:style>
  <w:style w:type="character" w:customStyle="1" w:styleId="04SummaryheadingChar">
    <w:name w:val="04. Summary heading Char"/>
    <w:basedOn w:val="03AppendixheadingChar"/>
    <w:link w:val="04Summaryheading"/>
    <w:rsid w:val="0096749A"/>
    <w:rPr>
      <w:rFonts w:ascii="Arial" w:hAnsi="Arial"/>
      <w:b w:val="0"/>
      <w:i/>
      <w:caps w:val="0"/>
      <w:color w:val="4F81BD" w:themeColor="accent1"/>
      <w:kern w:val="28"/>
      <w:sz w:val="28"/>
      <w:szCs w:val="28"/>
    </w:rPr>
  </w:style>
  <w:style w:type="paragraph" w:customStyle="1" w:styleId="18DBATableTextRegular">
    <w:name w:val="18. DBA Table Text Regular"/>
    <w:basedOn w:val="Normal"/>
    <w:link w:val="18DBATableTextRegularChar"/>
    <w:qFormat/>
    <w:rsid w:val="00AB2953"/>
    <w:pPr>
      <w:spacing w:line="276" w:lineRule="auto"/>
      <w:ind w:left="0" w:firstLine="0"/>
    </w:pPr>
    <w:rPr>
      <w:sz w:val="18"/>
      <w:szCs w:val="18"/>
    </w:rPr>
  </w:style>
  <w:style w:type="character" w:customStyle="1" w:styleId="18DBATableTextRegularChar">
    <w:name w:val="18. DBA Table Text Regular Char"/>
    <w:basedOn w:val="DefaultParagraphFont"/>
    <w:link w:val="18DBATableTextRegular"/>
    <w:rsid w:val="00AB2953"/>
    <w:rPr>
      <w:rFonts w:ascii="Arial" w:hAnsi="Arial"/>
      <w:sz w:val="18"/>
      <w:szCs w:val="18"/>
    </w:rPr>
  </w:style>
  <w:style w:type="character" w:styleId="UnresolvedMention">
    <w:name w:val="Unresolved Mention"/>
    <w:basedOn w:val="DefaultParagraphFont"/>
    <w:uiPriority w:val="99"/>
    <w:semiHidden/>
    <w:unhideWhenUsed/>
    <w:rsid w:val="007B56E4"/>
    <w:rPr>
      <w:color w:val="605E5C"/>
      <w:shd w:val="clear" w:color="auto" w:fill="E1DFDD"/>
    </w:rPr>
  </w:style>
  <w:style w:type="paragraph" w:customStyle="1" w:styleId="msonormal0">
    <w:name w:val="msonormal"/>
    <w:basedOn w:val="Normal"/>
    <w:rsid w:val="001C6D18"/>
    <w:pPr>
      <w:tabs>
        <w:tab w:val="clear" w:pos="794"/>
      </w:tabs>
      <w:spacing w:before="100" w:beforeAutospacing="1" w:after="100" w:afterAutospacing="1"/>
      <w:ind w:left="0" w:firstLine="0"/>
      <w:jc w:val="left"/>
    </w:pPr>
    <w:rPr>
      <w:rFonts w:ascii="Times New Roman" w:hAnsi="Times New Roman"/>
      <w:sz w:val="24"/>
      <w:szCs w:val="24"/>
    </w:rPr>
  </w:style>
  <w:style w:type="paragraph" w:customStyle="1" w:styleId="xl65">
    <w:name w:val="xl65"/>
    <w:basedOn w:val="Normal"/>
    <w:rsid w:val="001C6D18"/>
    <w:pPr>
      <w:tabs>
        <w:tab w:val="clear" w:pos="794"/>
      </w:tabs>
      <w:spacing w:before="100" w:beforeAutospacing="1" w:after="100" w:afterAutospacing="1"/>
      <w:ind w:left="0" w:firstLine="0"/>
      <w:jc w:val="left"/>
      <w:textAlignment w:val="top"/>
    </w:pPr>
    <w:rPr>
      <w:rFonts w:ascii="Times New Roman" w:hAnsi="Times New Roman"/>
      <w:sz w:val="24"/>
      <w:szCs w:val="24"/>
    </w:rPr>
  </w:style>
  <w:style w:type="paragraph" w:customStyle="1" w:styleId="xl66">
    <w:name w:val="xl66"/>
    <w:basedOn w:val="Normal"/>
    <w:rsid w:val="001C6D18"/>
    <w:pPr>
      <w:tabs>
        <w:tab w:val="clear" w:pos="794"/>
      </w:tabs>
      <w:spacing w:before="100" w:beforeAutospacing="1" w:after="100" w:afterAutospacing="1"/>
      <w:ind w:left="0" w:firstLine="0"/>
      <w:jc w:val="left"/>
      <w:textAlignment w:val="top"/>
    </w:pPr>
    <w:rPr>
      <w:rFonts w:ascii="Times New Roman" w:hAnsi="Times New Roman"/>
      <w:b/>
      <w:bCs/>
      <w:sz w:val="24"/>
      <w:szCs w:val="24"/>
    </w:rPr>
  </w:style>
  <w:style w:type="paragraph" w:customStyle="1" w:styleId="Bibliog">
    <w:name w:val="Bibliog"/>
    <w:basedOn w:val="Normal"/>
    <w:link w:val="BibliogChar"/>
    <w:rsid w:val="005E6D4B"/>
    <w:pPr>
      <w:tabs>
        <w:tab w:val="clear" w:pos="794"/>
      </w:tabs>
      <w:spacing w:after="240"/>
      <w:ind w:left="1702" w:hanging="851"/>
    </w:pPr>
    <w:rPr>
      <w:szCs w:val="24"/>
    </w:rPr>
  </w:style>
  <w:style w:type="character" w:customStyle="1" w:styleId="BibliogChar">
    <w:name w:val="Bibliog Char"/>
    <w:link w:val="Bibliog"/>
    <w:rsid w:val="005E6D4B"/>
    <w:rPr>
      <w:rFonts w:ascii="Arial" w:hAnsi="Arial"/>
      <w:sz w:val="22"/>
      <w:szCs w:val="24"/>
    </w:rPr>
  </w:style>
  <w:style w:type="table" w:customStyle="1" w:styleId="TableGrid1">
    <w:name w:val="Table Grid1"/>
    <w:basedOn w:val="TableNormal"/>
    <w:next w:val="TableGrid"/>
    <w:uiPriority w:val="59"/>
    <w:rsid w:val="00B263D6"/>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46DA4"/>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8">
    <w:name w:val="xl68"/>
    <w:basedOn w:val="Normal"/>
    <w:rsid w:val="00186583"/>
    <w:pPr>
      <w:tabs>
        <w:tab w:val="clear" w:pos="794"/>
      </w:tabs>
      <w:spacing w:before="100" w:beforeAutospacing="1" w:after="100" w:afterAutospacing="1"/>
      <w:ind w:left="0" w:firstLine="0"/>
      <w:jc w:val="left"/>
    </w:pPr>
    <w:rPr>
      <w:rFonts w:cs="Arial"/>
      <w:color w:val="000000"/>
      <w:sz w:val="18"/>
      <w:szCs w:val="18"/>
    </w:rPr>
  </w:style>
  <w:style w:type="paragraph" w:customStyle="1" w:styleId="xl69">
    <w:name w:val="xl69"/>
    <w:basedOn w:val="Normal"/>
    <w:rsid w:val="00186583"/>
    <w:pPr>
      <w:tabs>
        <w:tab w:val="clear" w:pos="794"/>
      </w:tabs>
      <w:spacing w:before="100" w:beforeAutospacing="1" w:after="100" w:afterAutospacing="1"/>
      <w:ind w:left="0" w:firstLine="0"/>
      <w:jc w:val="left"/>
    </w:pPr>
    <w:rPr>
      <w:rFonts w:cs="Arial"/>
      <w:sz w:val="18"/>
      <w:szCs w:val="18"/>
    </w:rPr>
  </w:style>
  <w:style w:type="paragraph" w:customStyle="1" w:styleId="xl70">
    <w:name w:val="xl70"/>
    <w:basedOn w:val="Normal"/>
    <w:rsid w:val="00186583"/>
    <w:pPr>
      <w:pBdr>
        <w:top w:val="single" w:sz="4" w:space="0" w:color="C0C0C0"/>
        <w:left w:val="single" w:sz="4" w:space="0" w:color="C0C0C0"/>
        <w:bottom w:val="single" w:sz="4" w:space="0" w:color="C0C0C0"/>
        <w:right w:val="single" w:sz="4" w:space="0" w:color="C0C0C0"/>
      </w:pBdr>
      <w:tabs>
        <w:tab w:val="clear" w:pos="794"/>
      </w:tabs>
      <w:spacing w:before="100" w:beforeAutospacing="1" w:after="100" w:afterAutospacing="1"/>
      <w:ind w:left="0" w:firstLine="0"/>
      <w:jc w:val="left"/>
    </w:pPr>
    <w:rPr>
      <w:rFonts w:cs="Arial"/>
      <w:color w:val="000000"/>
      <w:sz w:val="18"/>
      <w:szCs w:val="18"/>
    </w:rPr>
  </w:style>
  <w:style w:type="paragraph" w:customStyle="1" w:styleId="xl71">
    <w:name w:val="xl71"/>
    <w:basedOn w:val="Normal"/>
    <w:rsid w:val="00186583"/>
    <w:pPr>
      <w:pBdr>
        <w:top w:val="single" w:sz="4" w:space="0" w:color="C0C0C0"/>
        <w:left w:val="single" w:sz="4" w:space="0" w:color="C0C0C0"/>
        <w:bottom w:val="single" w:sz="4" w:space="0" w:color="C0C0C0"/>
        <w:right w:val="single" w:sz="4" w:space="0" w:color="C0C0C0"/>
      </w:pBdr>
      <w:tabs>
        <w:tab w:val="clear" w:pos="794"/>
      </w:tabs>
      <w:spacing w:before="100" w:beforeAutospacing="1" w:after="100" w:afterAutospacing="1"/>
      <w:ind w:left="0" w:firstLine="0"/>
      <w:jc w:val="right"/>
    </w:pPr>
    <w:rPr>
      <w:rFonts w:cs="Arial"/>
      <w:color w:val="000000"/>
      <w:sz w:val="18"/>
      <w:szCs w:val="18"/>
    </w:rPr>
  </w:style>
  <w:style w:type="paragraph" w:customStyle="1" w:styleId="xl72">
    <w:name w:val="xl72"/>
    <w:basedOn w:val="Normal"/>
    <w:rsid w:val="00186583"/>
    <w:pPr>
      <w:pBdr>
        <w:top w:val="single" w:sz="4" w:space="0" w:color="C0C0C0"/>
        <w:left w:val="single" w:sz="4" w:space="0" w:color="C0C0C0"/>
        <w:bottom w:val="single" w:sz="4" w:space="0" w:color="C0C0C0"/>
        <w:right w:val="single" w:sz="4" w:space="0" w:color="C0C0C0"/>
      </w:pBdr>
      <w:tabs>
        <w:tab w:val="clear" w:pos="794"/>
      </w:tabs>
      <w:spacing w:before="100" w:beforeAutospacing="1" w:after="100" w:afterAutospacing="1"/>
      <w:ind w:left="0" w:firstLine="0"/>
      <w:jc w:val="left"/>
    </w:pPr>
    <w:rPr>
      <w:rFonts w:cs="Arial"/>
      <w:color w:val="000000"/>
      <w:sz w:val="18"/>
      <w:szCs w:val="18"/>
    </w:rPr>
  </w:style>
  <w:style w:type="paragraph" w:customStyle="1" w:styleId="xl73">
    <w:name w:val="xl73"/>
    <w:basedOn w:val="Normal"/>
    <w:rsid w:val="00186583"/>
    <w:pPr>
      <w:tabs>
        <w:tab w:val="clear" w:pos="794"/>
      </w:tabs>
      <w:spacing w:before="100" w:beforeAutospacing="1" w:after="100" w:afterAutospacing="1"/>
      <w:ind w:left="0" w:firstLine="0"/>
      <w:jc w:val="right"/>
    </w:pPr>
    <w:rPr>
      <w:rFonts w:cs="Arial"/>
      <w:color w:val="000000"/>
      <w:sz w:val="18"/>
      <w:szCs w:val="18"/>
    </w:rPr>
  </w:style>
  <w:style w:type="paragraph" w:customStyle="1" w:styleId="xl74">
    <w:name w:val="xl74"/>
    <w:basedOn w:val="Normal"/>
    <w:rsid w:val="00186583"/>
    <w:pPr>
      <w:pBdr>
        <w:top w:val="single" w:sz="4" w:space="0" w:color="000000"/>
        <w:left w:val="single" w:sz="4" w:space="0" w:color="000000"/>
        <w:bottom w:val="single" w:sz="4" w:space="0" w:color="000000"/>
        <w:right w:val="single" w:sz="4" w:space="0" w:color="000000"/>
      </w:pBdr>
      <w:shd w:val="clear" w:color="000000" w:fill="C0C0C0"/>
      <w:tabs>
        <w:tab w:val="clear" w:pos="794"/>
      </w:tabs>
      <w:spacing w:before="100" w:beforeAutospacing="1" w:after="100" w:afterAutospacing="1"/>
      <w:ind w:left="0" w:firstLine="0"/>
      <w:jc w:val="center"/>
    </w:pPr>
    <w:rPr>
      <w:rFonts w:cs="Arial"/>
      <w:color w:val="000000"/>
      <w:sz w:val="18"/>
      <w:szCs w:val="18"/>
    </w:rPr>
  </w:style>
  <w:style w:type="paragraph" w:customStyle="1" w:styleId="xl75">
    <w:name w:val="xl75"/>
    <w:basedOn w:val="Normal"/>
    <w:rsid w:val="00186583"/>
    <w:pPr>
      <w:tabs>
        <w:tab w:val="clear" w:pos="794"/>
      </w:tabs>
      <w:spacing w:before="100" w:beforeAutospacing="1" w:after="100" w:afterAutospacing="1"/>
      <w:ind w:left="0" w:firstLine="0"/>
      <w:jc w:val="left"/>
    </w:pPr>
    <w:rPr>
      <w:rFonts w:cs="Arial"/>
      <w:sz w:val="18"/>
      <w:szCs w:val="18"/>
    </w:rPr>
  </w:style>
  <w:style w:type="table" w:customStyle="1" w:styleId="TableGrid3">
    <w:name w:val="Table Grid3"/>
    <w:basedOn w:val="TableNormal"/>
    <w:next w:val="TableGrid"/>
    <w:uiPriority w:val="59"/>
    <w:rsid w:val="003E26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195372">
      <w:bodyDiv w:val="1"/>
      <w:marLeft w:val="0"/>
      <w:marRight w:val="0"/>
      <w:marTop w:val="0"/>
      <w:marBottom w:val="0"/>
      <w:divBdr>
        <w:top w:val="none" w:sz="0" w:space="0" w:color="auto"/>
        <w:left w:val="none" w:sz="0" w:space="0" w:color="auto"/>
        <w:bottom w:val="none" w:sz="0" w:space="0" w:color="auto"/>
        <w:right w:val="none" w:sz="0" w:space="0" w:color="auto"/>
      </w:divBdr>
    </w:div>
    <w:div w:id="745996594">
      <w:bodyDiv w:val="1"/>
      <w:marLeft w:val="0"/>
      <w:marRight w:val="0"/>
      <w:marTop w:val="0"/>
      <w:marBottom w:val="0"/>
      <w:divBdr>
        <w:top w:val="none" w:sz="0" w:space="0" w:color="auto"/>
        <w:left w:val="none" w:sz="0" w:space="0" w:color="auto"/>
        <w:bottom w:val="none" w:sz="0" w:space="0" w:color="auto"/>
        <w:right w:val="none" w:sz="0" w:space="0" w:color="auto"/>
      </w:divBdr>
    </w:div>
    <w:div w:id="804929619">
      <w:bodyDiv w:val="1"/>
      <w:marLeft w:val="0"/>
      <w:marRight w:val="0"/>
      <w:marTop w:val="0"/>
      <w:marBottom w:val="0"/>
      <w:divBdr>
        <w:top w:val="none" w:sz="0" w:space="0" w:color="auto"/>
        <w:left w:val="none" w:sz="0" w:space="0" w:color="auto"/>
        <w:bottom w:val="none" w:sz="0" w:space="0" w:color="auto"/>
        <w:right w:val="none" w:sz="0" w:space="0" w:color="auto"/>
      </w:divBdr>
    </w:div>
    <w:div w:id="1098210587">
      <w:bodyDiv w:val="1"/>
      <w:marLeft w:val="0"/>
      <w:marRight w:val="0"/>
      <w:marTop w:val="0"/>
      <w:marBottom w:val="0"/>
      <w:divBdr>
        <w:top w:val="none" w:sz="0" w:space="0" w:color="auto"/>
        <w:left w:val="none" w:sz="0" w:space="0" w:color="auto"/>
        <w:bottom w:val="none" w:sz="0" w:space="0" w:color="auto"/>
        <w:right w:val="none" w:sz="0" w:space="0" w:color="auto"/>
      </w:divBdr>
    </w:div>
    <w:div w:id="1593274141">
      <w:bodyDiv w:val="1"/>
      <w:marLeft w:val="0"/>
      <w:marRight w:val="0"/>
      <w:marTop w:val="0"/>
      <w:marBottom w:val="0"/>
      <w:divBdr>
        <w:top w:val="none" w:sz="0" w:space="0" w:color="auto"/>
        <w:left w:val="none" w:sz="0" w:space="0" w:color="auto"/>
        <w:bottom w:val="none" w:sz="0" w:space="0" w:color="auto"/>
        <w:right w:val="none" w:sz="0" w:space="0" w:color="auto"/>
      </w:divBdr>
    </w:div>
    <w:div w:id="1905675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archaeologydataservice.ac.uk/archives/view/1005064/index.cfm" TargetMode="External"/><Relationship Id="rId2" Type="http://schemas.openxmlformats.org/officeDocument/2006/relationships/hyperlink" Target="https://c14.arch.ox.ac.uk/oxcal.html" TargetMode="External"/><Relationship Id="rId1" Type="http://schemas.openxmlformats.org/officeDocument/2006/relationships/hyperlink" Target="https://www.bgs.ac.uk/map-viewers/bgs-geology-view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CA%20report%20templates\Current%20Report%20templates\Exc%20report%20template%202022.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D5B91-8588-45C2-B9BF-F5E6996B2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Exc report template 2022.11</Template>
  <TotalTime>1673</TotalTime>
  <Pages>21</Pages>
  <Words>6306</Words>
  <Characters>35945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Exc report</vt:lpstr>
    </vt:vector>
  </TitlesOfParts>
  <Company>CA</Company>
  <LinksUpToDate>false</LinksUpToDate>
  <CharactersWithSpaces>42167</CharactersWithSpaces>
  <SharedDoc>false</SharedDoc>
  <HLinks>
    <vt:vector size="42" baseType="variant">
      <vt:variant>
        <vt:i4>2031671</vt:i4>
      </vt:variant>
      <vt:variant>
        <vt:i4>41</vt:i4>
      </vt:variant>
      <vt:variant>
        <vt:i4>0</vt:i4>
      </vt:variant>
      <vt:variant>
        <vt:i4>5</vt:i4>
      </vt:variant>
      <vt:variant>
        <vt:lpwstr/>
      </vt:variant>
      <vt:variant>
        <vt:lpwstr>_Toc179168965</vt:lpwstr>
      </vt:variant>
      <vt:variant>
        <vt:i4>2031671</vt:i4>
      </vt:variant>
      <vt:variant>
        <vt:i4>35</vt:i4>
      </vt:variant>
      <vt:variant>
        <vt:i4>0</vt:i4>
      </vt:variant>
      <vt:variant>
        <vt:i4>5</vt:i4>
      </vt:variant>
      <vt:variant>
        <vt:lpwstr/>
      </vt:variant>
      <vt:variant>
        <vt:lpwstr>_Toc179168964</vt:lpwstr>
      </vt:variant>
      <vt:variant>
        <vt:i4>2031671</vt:i4>
      </vt:variant>
      <vt:variant>
        <vt:i4>29</vt:i4>
      </vt:variant>
      <vt:variant>
        <vt:i4>0</vt:i4>
      </vt:variant>
      <vt:variant>
        <vt:i4>5</vt:i4>
      </vt:variant>
      <vt:variant>
        <vt:lpwstr/>
      </vt:variant>
      <vt:variant>
        <vt:lpwstr>_Toc179168963</vt:lpwstr>
      </vt:variant>
      <vt:variant>
        <vt:i4>2031671</vt:i4>
      </vt:variant>
      <vt:variant>
        <vt:i4>23</vt:i4>
      </vt:variant>
      <vt:variant>
        <vt:i4>0</vt:i4>
      </vt:variant>
      <vt:variant>
        <vt:i4>5</vt:i4>
      </vt:variant>
      <vt:variant>
        <vt:lpwstr/>
      </vt:variant>
      <vt:variant>
        <vt:lpwstr>_Toc179168962</vt:lpwstr>
      </vt:variant>
      <vt:variant>
        <vt:i4>2031671</vt:i4>
      </vt:variant>
      <vt:variant>
        <vt:i4>17</vt:i4>
      </vt:variant>
      <vt:variant>
        <vt:i4>0</vt:i4>
      </vt:variant>
      <vt:variant>
        <vt:i4>5</vt:i4>
      </vt:variant>
      <vt:variant>
        <vt:lpwstr/>
      </vt:variant>
      <vt:variant>
        <vt:lpwstr>_Toc179168961</vt:lpwstr>
      </vt:variant>
      <vt:variant>
        <vt:i4>2031671</vt:i4>
      </vt:variant>
      <vt:variant>
        <vt:i4>11</vt:i4>
      </vt:variant>
      <vt:variant>
        <vt:i4>0</vt:i4>
      </vt:variant>
      <vt:variant>
        <vt:i4>5</vt:i4>
      </vt:variant>
      <vt:variant>
        <vt:lpwstr/>
      </vt:variant>
      <vt:variant>
        <vt:lpwstr>_Toc179168960</vt:lpwstr>
      </vt:variant>
      <vt:variant>
        <vt:i4>1835063</vt:i4>
      </vt:variant>
      <vt:variant>
        <vt:i4>5</vt:i4>
      </vt:variant>
      <vt:variant>
        <vt:i4>0</vt:i4>
      </vt:variant>
      <vt:variant>
        <vt:i4>5</vt:i4>
      </vt:variant>
      <vt:variant>
        <vt:lpwstr/>
      </vt:variant>
      <vt:variant>
        <vt:lpwstr>_Toc179168959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 report</dc:title>
  <dc:subject/>
  <dc:creator>Anna Wolf</dc:creator>
  <cp:keywords/>
  <dc:description/>
  <cp:lastModifiedBy>Joanne Barker</cp:lastModifiedBy>
  <cp:revision>185</cp:revision>
  <cp:lastPrinted>2018-02-23T09:05:00Z</cp:lastPrinted>
  <dcterms:created xsi:type="dcterms:W3CDTF">2023-03-24T11:02:00Z</dcterms:created>
  <dcterms:modified xsi:type="dcterms:W3CDTF">2023-06-21T11:44:00Z</dcterms:modified>
</cp:coreProperties>
</file>