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5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65178" w14:paraId="23E93F0F" w14:textId="77777777" w:rsidTr="00F65178">
        <w:tc>
          <w:tcPr>
            <w:tcW w:w="7209" w:type="dxa"/>
          </w:tcPr>
          <w:bookmarkStart w:id="0" w:name="_Hlk114990731" w:displacedByCustomXml="next"/>
          <w:bookmarkEnd w:id="0" w:displacedByCustomXml="next"/>
          <w:sdt>
            <w:sdtPr>
              <w:rPr>
                <w:rFonts w:asciiTheme="majorHAnsi" w:eastAsiaTheme="majorEastAsia" w:hAnsiTheme="majorHAnsi" w:cstheme="majorBidi"/>
                <w:color w:val="156082" w:themeColor="accent1"/>
                <w:sz w:val="88"/>
                <w:szCs w:val="88"/>
              </w:rPr>
              <w:alias w:val="Title"/>
              <w:id w:val="13406919"/>
              <w:placeholder>
                <w:docPart w:val="0004822D914C4797A82CE505112DA5FD"/>
              </w:placeholder>
              <w:dataBinding w:prefixMappings="xmlns:ns0='http://schemas.openxmlformats.org/package/2006/metadata/core-properties' xmlns:ns1='http://purl.org/dc/elements/1.1/'" w:xpath="/ns0:coreProperties[1]/ns1:title[1]" w:storeItemID="{6C3C8BC8-F283-45AE-878A-BAB7291924A1}"/>
              <w:text/>
            </w:sdtPr>
            <w:sdtContent>
              <w:p w14:paraId="244C731F" w14:textId="473A1411" w:rsidR="00F65178" w:rsidRDefault="00F65178" w:rsidP="00F65178">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ACDB 4011: Titration</w:t>
                </w:r>
                <w:r>
                  <w:rPr>
                    <w:rFonts w:asciiTheme="majorHAnsi" w:eastAsiaTheme="majorEastAsia" w:hAnsiTheme="majorHAnsi" w:cstheme="majorBidi"/>
                    <w:color w:val="156082" w:themeColor="accent1"/>
                    <w:sz w:val="88"/>
                    <w:szCs w:val="88"/>
                  </w:rPr>
                  <w:t xml:space="preserve"> Lab Report</w:t>
                </w:r>
              </w:p>
            </w:sdtContent>
          </w:sdt>
        </w:tc>
      </w:tr>
      <w:tr w:rsidR="00F65178" w14:paraId="1248E792" w14:textId="77777777" w:rsidTr="00A441C5">
        <w:trPr>
          <w:trHeight w:val="567"/>
        </w:trPr>
        <w:sdt>
          <w:sdtPr>
            <w:rPr>
              <w:color w:val="0F4761" w:themeColor="accent1" w:themeShade="BF"/>
              <w:sz w:val="24"/>
              <w:szCs w:val="24"/>
            </w:rPr>
            <w:alias w:val="Subtitle"/>
            <w:id w:val="13406923"/>
            <w:placeholder>
              <w:docPart w:val="3818F78B7A964E43BFE0AE3FB794F3BD"/>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4624F146" w14:textId="5EE5FCFD" w:rsidR="00F65178" w:rsidRDefault="00F65178" w:rsidP="00F65178">
                <w:pPr>
                  <w:pStyle w:val="NoSpacing"/>
                  <w:rPr>
                    <w:color w:val="0F4761" w:themeColor="accent1" w:themeShade="BF"/>
                    <w:sz w:val="24"/>
                  </w:rPr>
                </w:pPr>
                <w:r>
                  <w:rPr>
                    <w:color w:val="0F4761" w:themeColor="accent1" w:themeShade="BF"/>
                    <w:sz w:val="24"/>
                    <w:szCs w:val="24"/>
                  </w:rPr>
                  <w:t>Cameron Lane</w:t>
                </w:r>
                <w:r w:rsidR="00A441C5">
                  <w:rPr>
                    <w:color w:val="0F4761" w:themeColor="accent1" w:themeShade="BF"/>
                    <w:sz w:val="24"/>
                    <w:szCs w:val="24"/>
                  </w:rPr>
                  <w:t>- OME Apprentice</w:t>
                </w:r>
              </w:p>
            </w:tc>
          </w:sdtContent>
        </w:sdt>
      </w:tr>
    </w:tbl>
    <w:sdt>
      <w:sdtPr>
        <w:id w:val="695971954"/>
        <w:docPartObj>
          <w:docPartGallery w:val="Cover Pages"/>
          <w:docPartUnique/>
        </w:docPartObj>
      </w:sdtPr>
      <w:sdtContent>
        <w:p w14:paraId="50BC4816" w14:textId="27A78A25" w:rsidR="00EB3C3F" w:rsidRDefault="00F65178">
          <w:r>
            <w:rPr>
              <w:noProof/>
            </w:rPr>
            <w:drawing>
              <wp:anchor distT="0" distB="0" distL="114300" distR="114300" simplePos="0" relativeHeight="251658240" behindDoc="0" locked="0" layoutInCell="1" allowOverlap="1" wp14:anchorId="35203D27" wp14:editId="7E0F6687">
                <wp:simplePos x="0" y="0"/>
                <wp:positionH relativeFrom="margin">
                  <wp:align>right</wp:align>
                </wp:positionH>
                <wp:positionV relativeFrom="paragraph">
                  <wp:posOffset>0</wp:posOffset>
                </wp:positionV>
                <wp:extent cx="5731510" cy="2868295"/>
                <wp:effectExtent l="0" t="0" r="2540" b="8255"/>
                <wp:wrapTopAndBottom/>
                <wp:docPr id="5"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Hub: description, news and contact inf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anchor>
            </w:drawing>
          </w:r>
        </w:p>
        <w:p w14:paraId="154B5B24" w14:textId="77777777" w:rsidR="00126AC4" w:rsidRDefault="00126AC4"/>
        <w:p w14:paraId="5E34148D" w14:textId="77777777" w:rsidR="00126AC4" w:rsidRDefault="00126AC4"/>
        <w:p w14:paraId="5A5377D3" w14:textId="77777777" w:rsidR="00126AC4" w:rsidRDefault="00126AC4"/>
        <w:p w14:paraId="689FED40" w14:textId="77777777" w:rsidR="00126AC4" w:rsidRDefault="00126AC4"/>
        <w:p w14:paraId="577521BE" w14:textId="77777777" w:rsidR="00126AC4" w:rsidRDefault="00126AC4"/>
        <w:p w14:paraId="603D511C" w14:textId="77777777" w:rsidR="00126AC4" w:rsidRDefault="00126AC4"/>
        <w:p w14:paraId="3CE9AEE6" w14:textId="77777777" w:rsidR="00126AC4" w:rsidRDefault="00126AC4"/>
        <w:p w14:paraId="2C0E41B1" w14:textId="77777777" w:rsidR="00126AC4" w:rsidRDefault="00126AC4"/>
        <w:p w14:paraId="0CF54650" w14:textId="77777777" w:rsidR="003C1612" w:rsidRDefault="003C1612"/>
        <w:p w14:paraId="18CBE230" w14:textId="77777777" w:rsidR="003C1612" w:rsidRDefault="003C1612"/>
        <w:p w14:paraId="011369FA" w14:textId="77777777" w:rsidR="003C1612" w:rsidRDefault="003C1612"/>
        <w:sdt>
          <w:sdtPr>
            <w:id w:val="-1771301964"/>
            <w:docPartObj>
              <w:docPartGallery w:val="Table of Contents"/>
              <w:docPartUnique/>
            </w:docPartObj>
          </w:sdtPr>
          <w:sdtEndPr>
            <w:rPr>
              <w:rFonts w:ascii="Calibri" w:eastAsia="Calibri" w:hAnsi="Calibri" w:cs="Calibri"/>
              <w:b/>
              <w:bCs/>
              <w:color w:val="auto"/>
              <w:sz w:val="22"/>
              <w:szCs w:val="22"/>
              <w:lang w:eastAsia="en-US"/>
            </w:rPr>
          </w:sdtEndPr>
          <w:sdtContent>
            <w:p w14:paraId="038A1B98" w14:textId="18DF57C3" w:rsidR="00126AC4" w:rsidRDefault="00126AC4">
              <w:pPr>
                <w:pStyle w:val="TOCHeading"/>
              </w:pPr>
              <w:r>
                <w:t>Table of Contents</w:t>
              </w:r>
            </w:p>
            <w:p w14:paraId="2F45832A" w14:textId="528B4B1E" w:rsidR="00B45CD0" w:rsidRDefault="00126AC4">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93919715" w:history="1">
                <w:r w:rsidR="00B45CD0" w:rsidRPr="00497386">
                  <w:rPr>
                    <w:rStyle w:val="Hyperlink"/>
                    <w:noProof/>
                  </w:rPr>
                  <w:t>Introduction</w:t>
                </w:r>
                <w:r w:rsidR="00B45CD0">
                  <w:rPr>
                    <w:noProof/>
                    <w:webHidden/>
                  </w:rPr>
                  <w:tab/>
                </w:r>
                <w:r w:rsidR="00B45CD0">
                  <w:rPr>
                    <w:noProof/>
                    <w:webHidden/>
                  </w:rPr>
                  <w:fldChar w:fldCharType="begin"/>
                </w:r>
                <w:r w:rsidR="00B45CD0">
                  <w:rPr>
                    <w:noProof/>
                    <w:webHidden/>
                  </w:rPr>
                  <w:instrText xml:space="preserve"> PAGEREF _Toc193919715 \h </w:instrText>
                </w:r>
                <w:r w:rsidR="00B45CD0">
                  <w:rPr>
                    <w:noProof/>
                    <w:webHidden/>
                  </w:rPr>
                </w:r>
                <w:r w:rsidR="00B45CD0">
                  <w:rPr>
                    <w:noProof/>
                    <w:webHidden/>
                  </w:rPr>
                  <w:fldChar w:fldCharType="separate"/>
                </w:r>
                <w:r w:rsidR="00B45CD0">
                  <w:rPr>
                    <w:noProof/>
                    <w:webHidden/>
                  </w:rPr>
                  <w:t>1</w:t>
                </w:r>
                <w:r w:rsidR="00B45CD0">
                  <w:rPr>
                    <w:noProof/>
                    <w:webHidden/>
                  </w:rPr>
                  <w:fldChar w:fldCharType="end"/>
                </w:r>
              </w:hyperlink>
            </w:p>
            <w:p w14:paraId="18C59FB4" w14:textId="77C8DC33" w:rsidR="00B45CD0" w:rsidRDefault="00B45CD0">
              <w:pPr>
                <w:pStyle w:val="TOC2"/>
                <w:tabs>
                  <w:tab w:val="right" w:leader="dot" w:pos="9016"/>
                </w:tabs>
                <w:rPr>
                  <w:rFonts w:cstheme="minorBidi"/>
                  <w:noProof/>
                  <w:kern w:val="2"/>
                  <w:sz w:val="24"/>
                  <w:szCs w:val="24"/>
                  <w14:ligatures w14:val="standardContextual"/>
                </w:rPr>
              </w:pPr>
              <w:hyperlink w:anchor="_Toc193919716" w:history="1">
                <w:r w:rsidRPr="00497386">
                  <w:rPr>
                    <w:rStyle w:val="Hyperlink"/>
                    <w:noProof/>
                  </w:rPr>
                  <w:t>Results</w:t>
                </w:r>
                <w:r>
                  <w:rPr>
                    <w:noProof/>
                    <w:webHidden/>
                  </w:rPr>
                  <w:tab/>
                </w:r>
                <w:r>
                  <w:rPr>
                    <w:noProof/>
                    <w:webHidden/>
                  </w:rPr>
                  <w:fldChar w:fldCharType="begin"/>
                </w:r>
                <w:r>
                  <w:rPr>
                    <w:noProof/>
                    <w:webHidden/>
                  </w:rPr>
                  <w:instrText xml:space="preserve"> PAGEREF _Toc193919716 \h </w:instrText>
                </w:r>
                <w:r>
                  <w:rPr>
                    <w:noProof/>
                    <w:webHidden/>
                  </w:rPr>
                </w:r>
                <w:r>
                  <w:rPr>
                    <w:noProof/>
                    <w:webHidden/>
                  </w:rPr>
                  <w:fldChar w:fldCharType="separate"/>
                </w:r>
                <w:r>
                  <w:rPr>
                    <w:noProof/>
                    <w:webHidden/>
                  </w:rPr>
                  <w:t>1</w:t>
                </w:r>
                <w:r>
                  <w:rPr>
                    <w:noProof/>
                    <w:webHidden/>
                  </w:rPr>
                  <w:fldChar w:fldCharType="end"/>
                </w:r>
              </w:hyperlink>
            </w:p>
            <w:p w14:paraId="708C6DC4" w14:textId="62A41868" w:rsidR="00B45CD0" w:rsidRDefault="00B45CD0">
              <w:pPr>
                <w:pStyle w:val="TOC2"/>
                <w:tabs>
                  <w:tab w:val="right" w:leader="dot" w:pos="9016"/>
                </w:tabs>
                <w:rPr>
                  <w:rFonts w:cstheme="minorBidi"/>
                  <w:noProof/>
                  <w:kern w:val="2"/>
                  <w:sz w:val="24"/>
                  <w:szCs w:val="24"/>
                  <w14:ligatures w14:val="standardContextual"/>
                </w:rPr>
              </w:pPr>
              <w:hyperlink w:anchor="_Toc193919717" w:history="1">
                <w:r w:rsidRPr="00497386">
                  <w:rPr>
                    <w:rStyle w:val="Hyperlink"/>
                    <w:noProof/>
                  </w:rPr>
                  <w:t>Discussion</w:t>
                </w:r>
                <w:r>
                  <w:rPr>
                    <w:noProof/>
                    <w:webHidden/>
                  </w:rPr>
                  <w:tab/>
                </w:r>
                <w:r>
                  <w:rPr>
                    <w:noProof/>
                    <w:webHidden/>
                  </w:rPr>
                  <w:fldChar w:fldCharType="begin"/>
                </w:r>
                <w:r>
                  <w:rPr>
                    <w:noProof/>
                    <w:webHidden/>
                  </w:rPr>
                  <w:instrText xml:space="preserve"> PAGEREF _Toc193919717 \h </w:instrText>
                </w:r>
                <w:r>
                  <w:rPr>
                    <w:noProof/>
                    <w:webHidden/>
                  </w:rPr>
                </w:r>
                <w:r>
                  <w:rPr>
                    <w:noProof/>
                    <w:webHidden/>
                  </w:rPr>
                  <w:fldChar w:fldCharType="separate"/>
                </w:r>
                <w:r>
                  <w:rPr>
                    <w:noProof/>
                    <w:webHidden/>
                  </w:rPr>
                  <w:t>2</w:t>
                </w:r>
                <w:r>
                  <w:rPr>
                    <w:noProof/>
                    <w:webHidden/>
                  </w:rPr>
                  <w:fldChar w:fldCharType="end"/>
                </w:r>
              </w:hyperlink>
            </w:p>
            <w:p w14:paraId="565BECF1" w14:textId="3C5CA099" w:rsidR="00B45CD0" w:rsidRDefault="00B45CD0">
              <w:pPr>
                <w:pStyle w:val="TOC3"/>
                <w:tabs>
                  <w:tab w:val="right" w:leader="dot" w:pos="9016"/>
                </w:tabs>
                <w:rPr>
                  <w:rFonts w:cstheme="minorBidi"/>
                  <w:noProof/>
                  <w:kern w:val="2"/>
                  <w:sz w:val="24"/>
                  <w:szCs w:val="24"/>
                  <w14:ligatures w14:val="standardContextual"/>
                </w:rPr>
              </w:pPr>
              <w:hyperlink w:anchor="_Toc193919718" w:history="1">
                <w:r w:rsidRPr="00497386">
                  <w:rPr>
                    <w:rStyle w:val="Hyperlink"/>
                    <w:noProof/>
                  </w:rPr>
                  <w:t>OME Applications</w:t>
                </w:r>
                <w:r>
                  <w:rPr>
                    <w:noProof/>
                    <w:webHidden/>
                  </w:rPr>
                  <w:tab/>
                </w:r>
                <w:r>
                  <w:rPr>
                    <w:noProof/>
                    <w:webHidden/>
                  </w:rPr>
                  <w:fldChar w:fldCharType="begin"/>
                </w:r>
                <w:r>
                  <w:rPr>
                    <w:noProof/>
                    <w:webHidden/>
                  </w:rPr>
                  <w:instrText xml:space="preserve"> PAGEREF _Toc193919718 \h </w:instrText>
                </w:r>
                <w:r>
                  <w:rPr>
                    <w:noProof/>
                    <w:webHidden/>
                  </w:rPr>
                </w:r>
                <w:r>
                  <w:rPr>
                    <w:noProof/>
                    <w:webHidden/>
                  </w:rPr>
                  <w:fldChar w:fldCharType="separate"/>
                </w:r>
                <w:r>
                  <w:rPr>
                    <w:noProof/>
                    <w:webHidden/>
                  </w:rPr>
                  <w:t>3</w:t>
                </w:r>
                <w:r>
                  <w:rPr>
                    <w:noProof/>
                    <w:webHidden/>
                  </w:rPr>
                  <w:fldChar w:fldCharType="end"/>
                </w:r>
              </w:hyperlink>
            </w:p>
            <w:p w14:paraId="1F9DB364" w14:textId="26513801" w:rsidR="00B45CD0" w:rsidRDefault="00B45CD0">
              <w:pPr>
                <w:pStyle w:val="TOC2"/>
                <w:tabs>
                  <w:tab w:val="right" w:leader="dot" w:pos="9016"/>
                </w:tabs>
                <w:rPr>
                  <w:rFonts w:cstheme="minorBidi"/>
                  <w:noProof/>
                  <w:kern w:val="2"/>
                  <w:sz w:val="24"/>
                  <w:szCs w:val="24"/>
                  <w14:ligatures w14:val="standardContextual"/>
                </w:rPr>
              </w:pPr>
              <w:hyperlink w:anchor="_Toc193919719" w:history="1">
                <w:r w:rsidRPr="00497386">
                  <w:rPr>
                    <w:rStyle w:val="Hyperlink"/>
                    <w:noProof/>
                  </w:rPr>
                  <w:t>Conclusions</w:t>
                </w:r>
                <w:r>
                  <w:rPr>
                    <w:noProof/>
                    <w:webHidden/>
                  </w:rPr>
                  <w:tab/>
                </w:r>
                <w:r>
                  <w:rPr>
                    <w:noProof/>
                    <w:webHidden/>
                  </w:rPr>
                  <w:fldChar w:fldCharType="begin"/>
                </w:r>
                <w:r>
                  <w:rPr>
                    <w:noProof/>
                    <w:webHidden/>
                  </w:rPr>
                  <w:instrText xml:space="preserve"> PAGEREF _Toc193919719 \h </w:instrText>
                </w:r>
                <w:r>
                  <w:rPr>
                    <w:noProof/>
                    <w:webHidden/>
                  </w:rPr>
                </w:r>
                <w:r>
                  <w:rPr>
                    <w:noProof/>
                    <w:webHidden/>
                  </w:rPr>
                  <w:fldChar w:fldCharType="separate"/>
                </w:r>
                <w:r>
                  <w:rPr>
                    <w:noProof/>
                    <w:webHidden/>
                  </w:rPr>
                  <w:t>3</w:t>
                </w:r>
                <w:r>
                  <w:rPr>
                    <w:noProof/>
                    <w:webHidden/>
                  </w:rPr>
                  <w:fldChar w:fldCharType="end"/>
                </w:r>
              </w:hyperlink>
            </w:p>
            <w:p w14:paraId="7FF7D4FF" w14:textId="1F4D4911" w:rsidR="00B45CD0" w:rsidRDefault="00B45CD0">
              <w:pPr>
                <w:pStyle w:val="TOC2"/>
                <w:tabs>
                  <w:tab w:val="right" w:leader="dot" w:pos="9016"/>
                </w:tabs>
                <w:rPr>
                  <w:rFonts w:cstheme="minorBidi"/>
                  <w:noProof/>
                  <w:kern w:val="2"/>
                  <w:sz w:val="24"/>
                  <w:szCs w:val="24"/>
                  <w14:ligatures w14:val="standardContextual"/>
                </w:rPr>
              </w:pPr>
              <w:hyperlink w:anchor="_Toc193919720" w:history="1">
                <w:r w:rsidRPr="00497386">
                  <w:rPr>
                    <w:rStyle w:val="Hyperlink"/>
                    <w:noProof/>
                  </w:rPr>
                  <w:t>Appendix</w:t>
                </w:r>
                <w:r>
                  <w:rPr>
                    <w:noProof/>
                    <w:webHidden/>
                  </w:rPr>
                  <w:tab/>
                </w:r>
                <w:r>
                  <w:rPr>
                    <w:noProof/>
                    <w:webHidden/>
                  </w:rPr>
                  <w:fldChar w:fldCharType="begin"/>
                </w:r>
                <w:r>
                  <w:rPr>
                    <w:noProof/>
                    <w:webHidden/>
                  </w:rPr>
                  <w:instrText xml:space="preserve"> PAGEREF _Toc193919720 \h </w:instrText>
                </w:r>
                <w:r>
                  <w:rPr>
                    <w:noProof/>
                    <w:webHidden/>
                  </w:rPr>
                </w:r>
                <w:r>
                  <w:rPr>
                    <w:noProof/>
                    <w:webHidden/>
                  </w:rPr>
                  <w:fldChar w:fldCharType="separate"/>
                </w:r>
                <w:r>
                  <w:rPr>
                    <w:noProof/>
                    <w:webHidden/>
                  </w:rPr>
                  <w:t>4</w:t>
                </w:r>
                <w:r>
                  <w:rPr>
                    <w:noProof/>
                    <w:webHidden/>
                  </w:rPr>
                  <w:fldChar w:fldCharType="end"/>
                </w:r>
              </w:hyperlink>
            </w:p>
            <w:p w14:paraId="61B33A63" w14:textId="4F83B6E7" w:rsidR="00B45CD0" w:rsidRDefault="00B45CD0">
              <w:pPr>
                <w:pStyle w:val="TOC3"/>
                <w:tabs>
                  <w:tab w:val="right" w:leader="dot" w:pos="9016"/>
                </w:tabs>
                <w:rPr>
                  <w:rFonts w:cstheme="minorBidi"/>
                  <w:noProof/>
                  <w:kern w:val="2"/>
                  <w:sz w:val="24"/>
                  <w:szCs w:val="24"/>
                  <w14:ligatures w14:val="standardContextual"/>
                </w:rPr>
              </w:pPr>
              <w:hyperlink w:anchor="_Toc193919721" w:history="1">
                <w:r w:rsidRPr="00497386">
                  <w:rPr>
                    <w:rStyle w:val="Hyperlink"/>
                    <w:noProof/>
                  </w:rPr>
                  <w:t>Appendix A – Method and Materials</w:t>
                </w:r>
                <w:r>
                  <w:rPr>
                    <w:noProof/>
                    <w:webHidden/>
                  </w:rPr>
                  <w:tab/>
                </w:r>
                <w:r>
                  <w:rPr>
                    <w:noProof/>
                    <w:webHidden/>
                  </w:rPr>
                  <w:fldChar w:fldCharType="begin"/>
                </w:r>
                <w:r>
                  <w:rPr>
                    <w:noProof/>
                    <w:webHidden/>
                  </w:rPr>
                  <w:instrText xml:space="preserve"> PAGEREF _Toc193919721 \h </w:instrText>
                </w:r>
                <w:r>
                  <w:rPr>
                    <w:noProof/>
                    <w:webHidden/>
                  </w:rPr>
                </w:r>
                <w:r>
                  <w:rPr>
                    <w:noProof/>
                    <w:webHidden/>
                  </w:rPr>
                  <w:fldChar w:fldCharType="separate"/>
                </w:r>
                <w:r>
                  <w:rPr>
                    <w:noProof/>
                    <w:webHidden/>
                  </w:rPr>
                  <w:t>4</w:t>
                </w:r>
                <w:r>
                  <w:rPr>
                    <w:noProof/>
                    <w:webHidden/>
                  </w:rPr>
                  <w:fldChar w:fldCharType="end"/>
                </w:r>
              </w:hyperlink>
            </w:p>
            <w:p w14:paraId="33D3DCA1" w14:textId="5F09461C" w:rsidR="00B45CD0" w:rsidRDefault="00B45CD0">
              <w:pPr>
                <w:pStyle w:val="TOC3"/>
                <w:tabs>
                  <w:tab w:val="right" w:leader="dot" w:pos="9016"/>
                </w:tabs>
                <w:rPr>
                  <w:rFonts w:cstheme="minorBidi"/>
                  <w:noProof/>
                  <w:kern w:val="2"/>
                  <w:sz w:val="24"/>
                  <w:szCs w:val="24"/>
                  <w14:ligatures w14:val="standardContextual"/>
                </w:rPr>
              </w:pPr>
              <w:hyperlink w:anchor="_Toc193919722" w:history="1">
                <w:r w:rsidRPr="00497386">
                  <w:rPr>
                    <w:rStyle w:val="Hyperlink"/>
                    <w:noProof/>
                  </w:rPr>
                  <w:t>Appendix B – Results Sheet</w:t>
                </w:r>
                <w:r>
                  <w:rPr>
                    <w:noProof/>
                    <w:webHidden/>
                  </w:rPr>
                  <w:tab/>
                </w:r>
                <w:r>
                  <w:rPr>
                    <w:noProof/>
                    <w:webHidden/>
                  </w:rPr>
                  <w:fldChar w:fldCharType="begin"/>
                </w:r>
                <w:r>
                  <w:rPr>
                    <w:noProof/>
                    <w:webHidden/>
                  </w:rPr>
                  <w:instrText xml:space="preserve"> PAGEREF _Toc193919722 \h </w:instrText>
                </w:r>
                <w:r>
                  <w:rPr>
                    <w:noProof/>
                    <w:webHidden/>
                  </w:rPr>
                </w:r>
                <w:r>
                  <w:rPr>
                    <w:noProof/>
                    <w:webHidden/>
                  </w:rPr>
                  <w:fldChar w:fldCharType="separate"/>
                </w:r>
                <w:r>
                  <w:rPr>
                    <w:noProof/>
                    <w:webHidden/>
                  </w:rPr>
                  <w:t>5</w:t>
                </w:r>
                <w:r>
                  <w:rPr>
                    <w:noProof/>
                    <w:webHidden/>
                  </w:rPr>
                  <w:fldChar w:fldCharType="end"/>
                </w:r>
              </w:hyperlink>
            </w:p>
            <w:p w14:paraId="61C3DF35" w14:textId="0E4E94CF" w:rsidR="00B45CD0" w:rsidRDefault="00B45CD0">
              <w:pPr>
                <w:pStyle w:val="TOC2"/>
                <w:tabs>
                  <w:tab w:val="right" w:leader="dot" w:pos="9016"/>
                </w:tabs>
                <w:rPr>
                  <w:rFonts w:cstheme="minorBidi"/>
                  <w:noProof/>
                  <w:kern w:val="2"/>
                  <w:sz w:val="24"/>
                  <w:szCs w:val="24"/>
                  <w14:ligatures w14:val="standardContextual"/>
                </w:rPr>
              </w:pPr>
              <w:hyperlink w:anchor="_Toc193919723" w:history="1">
                <w:r w:rsidRPr="00497386">
                  <w:rPr>
                    <w:rStyle w:val="Hyperlink"/>
                    <w:noProof/>
                  </w:rPr>
                  <w:t>References</w:t>
                </w:r>
                <w:r>
                  <w:rPr>
                    <w:noProof/>
                    <w:webHidden/>
                  </w:rPr>
                  <w:tab/>
                </w:r>
                <w:r>
                  <w:rPr>
                    <w:noProof/>
                    <w:webHidden/>
                  </w:rPr>
                  <w:fldChar w:fldCharType="begin"/>
                </w:r>
                <w:r>
                  <w:rPr>
                    <w:noProof/>
                    <w:webHidden/>
                  </w:rPr>
                  <w:instrText xml:space="preserve"> PAGEREF _Toc193919723 \h </w:instrText>
                </w:r>
                <w:r>
                  <w:rPr>
                    <w:noProof/>
                    <w:webHidden/>
                  </w:rPr>
                </w:r>
                <w:r>
                  <w:rPr>
                    <w:noProof/>
                    <w:webHidden/>
                  </w:rPr>
                  <w:fldChar w:fldCharType="separate"/>
                </w:r>
                <w:r>
                  <w:rPr>
                    <w:noProof/>
                    <w:webHidden/>
                  </w:rPr>
                  <w:t>6</w:t>
                </w:r>
                <w:r>
                  <w:rPr>
                    <w:noProof/>
                    <w:webHidden/>
                  </w:rPr>
                  <w:fldChar w:fldCharType="end"/>
                </w:r>
              </w:hyperlink>
            </w:p>
            <w:p w14:paraId="4C7C1EF4" w14:textId="0EFFD9BC" w:rsidR="00EB3C3F" w:rsidRDefault="00126AC4" w:rsidP="00B45CD0">
              <w:r>
                <w:rPr>
                  <w:b/>
                  <w:bCs/>
                </w:rPr>
                <w:lastRenderedPageBreak/>
                <w:fldChar w:fldCharType="end"/>
              </w:r>
            </w:p>
          </w:sdtContent>
        </w:sdt>
      </w:sdtContent>
    </w:sdt>
    <w:p w14:paraId="51A79EF4" w14:textId="76D52FE4" w:rsidR="00EB17DE" w:rsidRPr="00EB3C3F" w:rsidRDefault="00EB17DE" w:rsidP="00EB3C3F">
      <w:pPr>
        <w:pStyle w:val="Heading2"/>
      </w:pPr>
      <w:bookmarkStart w:id="1" w:name="_Toc193875780"/>
      <w:bookmarkStart w:id="2" w:name="_Toc193919715"/>
      <w:r w:rsidRPr="00EB3C3F">
        <w:t>Introduction</w:t>
      </w:r>
      <w:bookmarkEnd w:id="1"/>
      <w:bookmarkEnd w:id="2"/>
    </w:p>
    <w:p w14:paraId="592BFCA7" w14:textId="71E8D5B9" w:rsidR="00C9418C" w:rsidRDefault="00C9418C" w:rsidP="00D82708">
      <w:r>
        <w:t>The second lab session conducted was a titration</w:t>
      </w:r>
      <w:r w:rsidR="00EB6B09">
        <w:t xml:space="preserve"> was a titration of hydrochloric acid with sodium hydroxide</w:t>
      </w:r>
      <w:r>
        <w:t xml:space="preserve">. This was to test the hypothesis that the concentration of the hydrochloric acid can be calculated through carefully measuring the amount of a known concentration of sodium hydroxide required to neutralise </w:t>
      </w:r>
      <w:proofErr w:type="gramStart"/>
      <w:r>
        <w:t>all of</w:t>
      </w:r>
      <w:proofErr w:type="gramEnd"/>
      <w:r>
        <w:t xml:space="preserve"> the acid. </w:t>
      </w:r>
      <w:r w:rsidR="00866A6D">
        <w:t xml:space="preserve">The aim of the experiment therefore </w:t>
      </w:r>
      <w:r w:rsidR="007A0F8C">
        <w:t xml:space="preserve">was to </w:t>
      </w:r>
      <w:r w:rsidR="00FA1732">
        <w:t xml:space="preserve">perform an accurate measure of the volume of sodium hydroxide added, to enable the calculations for the molarity of the </w:t>
      </w:r>
      <w:r w:rsidR="0047272C">
        <w:t>hydrochloric acid</w:t>
      </w:r>
      <w:r w:rsidR="00866A6D">
        <w:t>.</w:t>
      </w:r>
      <w:r w:rsidR="00A7027B">
        <w:t xml:space="preserve"> </w:t>
      </w:r>
      <w:r>
        <w:t xml:space="preserve">The independent variable being measured was the quantity of sodium hydroxide </w:t>
      </w:r>
      <w:r w:rsidR="00EB17DE">
        <w:t xml:space="preserve">solution required to </w:t>
      </w:r>
      <w:r w:rsidR="00EB3C3F">
        <w:t>neutralise</w:t>
      </w:r>
      <w:r w:rsidR="00EB17DE">
        <w:t xml:space="preserve"> the </w:t>
      </w:r>
      <w:r w:rsidR="000C264B" w:rsidRPr="00E32638">
        <w:t xml:space="preserve">[11] </w:t>
      </w:r>
      <w:r w:rsidR="00EB17DE">
        <w:t xml:space="preserve">hydrochloric acid. The dependent variable for this experiment was the </w:t>
      </w:r>
      <w:r w:rsidR="00673A08">
        <w:t xml:space="preserve">colour of the </w:t>
      </w:r>
      <w:r w:rsidR="008E0047">
        <w:t xml:space="preserve">solution when neutralised. The control variables for this were the </w:t>
      </w:r>
      <w:r w:rsidR="00A23217">
        <w:t>concentration of sodium hydroxide</w:t>
      </w:r>
      <w:r w:rsidR="000301D6">
        <w:t xml:space="preserve"> </w:t>
      </w:r>
      <w:r w:rsidR="00976A59">
        <w:t xml:space="preserve">and the quantity of hydrochloric acid being neutralised. </w:t>
      </w:r>
    </w:p>
    <w:p w14:paraId="37F4C6BA" w14:textId="77777777" w:rsidR="00B45CD0" w:rsidRPr="00D82708" w:rsidRDefault="00B45CD0" w:rsidP="00D82708"/>
    <w:p w14:paraId="6E68E931" w14:textId="5E9FDEBB" w:rsidR="009A7DE4" w:rsidRDefault="00EB17DE" w:rsidP="00EB17DE">
      <w:pPr>
        <w:pStyle w:val="Heading2"/>
      </w:pPr>
      <w:bookmarkStart w:id="3" w:name="_Toc193875781"/>
      <w:bookmarkStart w:id="4" w:name="_Toc193919716"/>
      <w:r>
        <w:t>Results</w:t>
      </w:r>
      <w:bookmarkEnd w:id="3"/>
      <w:bookmarkEnd w:id="4"/>
    </w:p>
    <w:p w14:paraId="5514C7EE" w14:textId="0BE1CEEE" w:rsidR="00387BDC" w:rsidRPr="00866A6D" w:rsidRDefault="00866A6D" w:rsidP="00866A6D">
      <w:r>
        <w:t xml:space="preserve">Table 1, seen below, shows the results of the experiment. </w:t>
      </w:r>
      <w:r w:rsidR="00AE278A">
        <w:t>The first titration conducted, using flask one, was a rough titration, to get an understanding of roughly where the result should be for following flasks. This gave the slightly higher figure of 16.85</w:t>
      </w:r>
      <w:r w:rsidR="0047272C">
        <w:t>mL</w:t>
      </w:r>
      <w:r w:rsidR="00AE278A">
        <w:t>, and it was clear that we had gone far beyond the neutralisation point from the deep pink colour produced. The second flask was more accurate, based on the results of the rough titration</w:t>
      </w:r>
      <w:r w:rsidR="0047272C">
        <w:t>,</w:t>
      </w:r>
      <w:r w:rsidR="00C95C6E">
        <w:t xml:space="preserve"> as we could slow down closer to the measured value</w:t>
      </w:r>
      <w:r w:rsidR="00AE278A">
        <w:t>. This gives the result of 16.7</w:t>
      </w:r>
      <w:r w:rsidR="0047272C">
        <w:t>mL</w:t>
      </w:r>
      <w:r w:rsidR="00AE278A">
        <w:t xml:space="preserve"> lower as it should have been, but also resulted in a strong pink colour, again indicating that the neutralisation point had been missed. </w:t>
      </w:r>
      <w:r w:rsidR="007D6AE3">
        <w:t>Flask 3 was the final titration we conducted, to get the most precise result. This resulted in a value of 16.29mL, which varied significantly from the first two results. This flask did however result in a far better col</w:t>
      </w:r>
      <w:r w:rsidR="00F102AD">
        <w:t xml:space="preserve">our at this result, only a hint of pink visible, indicating that there is far less </w:t>
      </w:r>
      <w:r w:rsidR="00C33FDB">
        <w:t>excess sodium hydroxide present, from better use of the burette</w:t>
      </w:r>
      <w:r w:rsidR="00F102AD">
        <w:t xml:space="preserve">. </w:t>
      </w:r>
    </w:p>
    <w:tbl>
      <w:tblPr>
        <w:tblStyle w:val="TableGrid"/>
        <w:tblW w:w="0" w:type="auto"/>
        <w:tblLook w:val="04A0" w:firstRow="1" w:lastRow="0" w:firstColumn="1" w:lastColumn="0" w:noHBand="0" w:noVBand="1"/>
      </w:tblPr>
      <w:tblGrid>
        <w:gridCol w:w="2254"/>
        <w:gridCol w:w="2254"/>
        <w:gridCol w:w="2254"/>
        <w:gridCol w:w="2254"/>
      </w:tblGrid>
      <w:tr w:rsidR="00866A6D" w14:paraId="5E4EFE7B" w14:textId="77777777" w:rsidTr="00866A6D">
        <w:tc>
          <w:tcPr>
            <w:tcW w:w="2254" w:type="dxa"/>
          </w:tcPr>
          <w:p w14:paraId="2FC5A291" w14:textId="5F69C254" w:rsidR="00866A6D" w:rsidRDefault="00866A6D" w:rsidP="00EB17DE">
            <w:r>
              <w:t>Flask Number</w:t>
            </w:r>
          </w:p>
        </w:tc>
        <w:tc>
          <w:tcPr>
            <w:tcW w:w="2254" w:type="dxa"/>
          </w:tcPr>
          <w:p w14:paraId="4BFA667F" w14:textId="1D17FDE3" w:rsidR="00866A6D" w:rsidRDefault="00866A6D" w:rsidP="00EB17DE">
            <w:r>
              <w:t>1</w:t>
            </w:r>
          </w:p>
        </w:tc>
        <w:tc>
          <w:tcPr>
            <w:tcW w:w="2254" w:type="dxa"/>
          </w:tcPr>
          <w:p w14:paraId="603AFD76" w14:textId="3C73A8E2" w:rsidR="00866A6D" w:rsidRDefault="00866A6D" w:rsidP="00EB17DE">
            <w:r>
              <w:t>2</w:t>
            </w:r>
          </w:p>
        </w:tc>
        <w:tc>
          <w:tcPr>
            <w:tcW w:w="2254" w:type="dxa"/>
          </w:tcPr>
          <w:p w14:paraId="521A8436" w14:textId="3C22C184" w:rsidR="00866A6D" w:rsidRDefault="00866A6D" w:rsidP="00EB17DE">
            <w:r>
              <w:t>3</w:t>
            </w:r>
          </w:p>
        </w:tc>
      </w:tr>
      <w:tr w:rsidR="00866A6D" w14:paraId="3CDF58D0" w14:textId="77777777" w:rsidTr="00866A6D">
        <w:tc>
          <w:tcPr>
            <w:tcW w:w="2254" w:type="dxa"/>
          </w:tcPr>
          <w:p w14:paraId="17859FFC" w14:textId="4CAD36CB" w:rsidR="00866A6D" w:rsidRDefault="00866A6D" w:rsidP="00EB17DE">
            <w:r>
              <w:t>Volume HCl (mL)</w:t>
            </w:r>
          </w:p>
        </w:tc>
        <w:tc>
          <w:tcPr>
            <w:tcW w:w="2254" w:type="dxa"/>
          </w:tcPr>
          <w:p w14:paraId="7C573E37" w14:textId="6ED9C868" w:rsidR="00866A6D" w:rsidRDefault="00866A6D" w:rsidP="00EB17DE">
            <w:r>
              <w:t>25</w:t>
            </w:r>
          </w:p>
        </w:tc>
        <w:tc>
          <w:tcPr>
            <w:tcW w:w="2254" w:type="dxa"/>
          </w:tcPr>
          <w:p w14:paraId="39FAC29C" w14:textId="4EE26DA0" w:rsidR="00866A6D" w:rsidRDefault="00866A6D" w:rsidP="00EB17DE">
            <w:r>
              <w:t>25</w:t>
            </w:r>
          </w:p>
        </w:tc>
        <w:tc>
          <w:tcPr>
            <w:tcW w:w="2254" w:type="dxa"/>
          </w:tcPr>
          <w:p w14:paraId="6408B39C" w14:textId="5B7B7908" w:rsidR="00866A6D" w:rsidRDefault="00866A6D" w:rsidP="00EB17DE">
            <w:r>
              <w:t>25</w:t>
            </w:r>
          </w:p>
        </w:tc>
      </w:tr>
      <w:tr w:rsidR="00866A6D" w14:paraId="6A6D172F" w14:textId="77777777" w:rsidTr="00866A6D">
        <w:tc>
          <w:tcPr>
            <w:tcW w:w="2254" w:type="dxa"/>
          </w:tcPr>
          <w:p w14:paraId="5F5F080A" w14:textId="5B8117E4" w:rsidR="00866A6D" w:rsidRDefault="00866A6D" w:rsidP="00EB17DE">
            <w:r>
              <w:t>Initial Burette Reading</w:t>
            </w:r>
            <w:r w:rsidR="00C33FDB">
              <w:t xml:space="preserve"> (mL)</w:t>
            </w:r>
          </w:p>
        </w:tc>
        <w:tc>
          <w:tcPr>
            <w:tcW w:w="2254" w:type="dxa"/>
          </w:tcPr>
          <w:p w14:paraId="5BC457B9" w14:textId="6894362A" w:rsidR="00866A6D" w:rsidRDefault="00866A6D" w:rsidP="00EB17DE">
            <w:r>
              <w:t>0.00</w:t>
            </w:r>
          </w:p>
        </w:tc>
        <w:tc>
          <w:tcPr>
            <w:tcW w:w="2254" w:type="dxa"/>
          </w:tcPr>
          <w:p w14:paraId="16664A39" w14:textId="1F3B80F6" w:rsidR="00866A6D" w:rsidRDefault="00866A6D" w:rsidP="00EB17DE">
            <w:r>
              <w:t>16.85</w:t>
            </w:r>
          </w:p>
        </w:tc>
        <w:tc>
          <w:tcPr>
            <w:tcW w:w="2254" w:type="dxa"/>
          </w:tcPr>
          <w:p w14:paraId="6D3A2367" w14:textId="0517B33B" w:rsidR="00866A6D" w:rsidRDefault="00866A6D" w:rsidP="00EB17DE">
            <w:r>
              <w:t>22.62</w:t>
            </w:r>
          </w:p>
        </w:tc>
      </w:tr>
      <w:tr w:rsidR="00866A6D" w14:paraId="702E7AD8" w14:textId="77777777" w:rsidTr="00866A6D">
        <w:tc>
          <w:tcPr>
            <w:tcW w:w="2254" w:type="dxa"/>
          </w:tcPr>
          <w:p w14:paraId="761F4E26" w14:textId="20E28414" w:rsidR="00866A6D" w:rsidRDefault="00866A6D" w:rsidP="00EB17DE">
            <w:r>
              <w:t>Final Burette Reading</w:t>
            </w:r>
            <w:r w:rsidR="00C33FDB">
              <w:t xml:space="preserve"> (mL)</w:t>
            </w:r>
          </w:p>
        </w:tc>
        <w:tc>
          <w:tcPr>
            <w:tcW w:w="2254" w:type="dxa"/>
          </w:tcPr>
          <w:p w14:paraId="2A05ED1C" w14:textId="4A9A71E2" w:rsidR="00866A6D" w:rsidRDefault="00866A6D" w:rsidP="00EB17DE">
            <w:r>
              <w:t>16.85</w:t>
            </w:r>
          </w:p>
        </w:tc>
        <w:tc>
          <w:tcPr>
            <w:tcW w:w="2254" w:type="dxa"/>
          </w:tcPr>
          <w:p w14:paraId="406614D4" w14:textId="709EA444" w:rsidR="00866A6D" w:rsidRDefault="00866A6D" w:rsidP="00EB17DE">
            <w:r>
              <w:t>33.55</w:t>
            </w:r>
          </w:p>
        </w:tc>
        <w:tc>
          <w:tcPr>
            <w:tcW w:w="2254" w:type="dxa"/>
          </w:tcPr>
          <w:p w14:paraId="2739D1B3" w14:textId="7AAF9619" w:rsidR="00866A6D" w:rsidRDefault="00866A6D" w:rsidP="00EB17DE">
            <w:r>
              <w:t>38.91</w:t>
            </w:r>
          </w:p>
        </w:tc>
      </w:tr>
      <w:tr w:rsidR="00866A6D" w14:paraId="4F033C43" w14:textId="77777777" w:rsidTr="00866A6D">
        <w:tc>
          <w:tcPr>
            <w:tcW w:w="2254" w:type="dxa"/>
          </w:tcPr>
          <w:p w14:paraId="422BA0DD" w14:textId="7FF2673A" w:rsidR="00866A6D" w:rsidRDefault="00866A6D" w:rsidP="00EB17DE">
            <w:r>
              <w:t>Volume NaOH (mL)</w:t>
            </w:r>
          </w:p>
        </w:tc>
        <w:tc>
          <w:tcPr>
            <w:tcW w:w="2254" w:type="dxa"/>
          </w:tcPr>
          <w:p w14:paraId="1EC70372" w14:textId="2043026F" w:rsidR="00866A6D" w:rsidRDefault="00866A6D" w:rsidP="00EB17DE">
            <w:r>
              <w:t>16.85</w:t>
            </w:r>
          </w:p>
        </w:tc>
        <w:tc>
          <w:tcPr>
            <w:tcW w:w="2254" w:type="dxa"/>
          </w:tcPr>
          <w:p w14:paraId="53DBF8FD" w14:textId="0D484FD8" w:rsidR="00866A6D" w:rsidRDefault="00866A6D" w:rsidP="00EB17DE">
            <w:r>
              <w:t>16.7</w:t>
            </w:r>
          </w:p>
        </w:tc>
        <w:tc>
          <w:tcPr>
            <w:tcW w:w="2254" w:type="dxa"/>
          </w:tcPr>
          <w:p w14:paraId="38EBF42D" w14:textId="40A9A32A" w:rsidR="00866A6D" w:rsidRDefault="00866A6D" w:rsidP="00EB17DE">
            <w:r>
              <w:t>16.29</w:t>
            </w:r>
          </w:p>
        </w:tc>
      </w:tr>
      <w:tr w:rsidR="00866A6D" w14:paraId="44943059" w14:textId="77777777" w:rsidTr="00866A6D">
        <w:tc>
          <w:tcPr>
            <w:tcW w:w="2254" w:type="dxa"/>
          </w:tcPr>
          <w:p w14:paraId="4A2BAEFB" w14:textId="63F5BF79" w:rsidR="00866A6D" w:rsidRDefault="00866A6D" w:rsidP="00EB17DE">
            <w:r>
              <w:t>Moles of NaOH</w:t>
            </w:r>
          </w:p>
        </w:tc>
        <w:tc>
          <w:tcPr>
            <w:tcW w:w="2254" w:type="dxa"/>
          </w:tcPr>
          <w:p w14:paraId="08E4A875" w14:textId="407DB543" w:rsidR="00866A6D" w:rsidRDefault="008F3E0A" w:rsidP="00EB17DE">
            <w:r>
              <w:t>0.001681</w:t>
            </w:r>
          </w:p>
        </w:tc>
        <w:tc>
          <w:tcPr>
            <w:tcW w:w="2254" w:type="dxa"/>
          </w:tcPr>
          <w:p w14:paraId="471F38BE" w14:textId="78C3387C" w:rsidR="00866A6D" w:rsidRDefault="008F3E0A" w:rsidP="00EB17DE">
            <w:r>
              <w:t>0.001666</w:t>
            </w:r>
          </w:p>
        </w:tc>
        <w:tc>
          <w:tcPr>
            <w:tcW w:w="2254" w:type="dxa"/>
          </w:tcPr>
          <w:p w14:paraId="13D09942" w14:textId="7894692C" w:rsidR="00866A6D" w:rsidRDefault="008F3E0A" w:rsidP="00EB17DE">
            <w:r>
              <w:t>0.001625</w:t>
            </w:r>
          </w:p>
        </w:tc>
      </w:tr>
      <w:tr w:rsidR="00866A6D" w14:paraId="2314209E" w14:textId="77777777" w:rsidTr="00866A6D">
        <w:tc>
          <w:tcPr>
            <w:tcW w:w="2254" w:type="dxa"/>
          </w:tcPr>
          <w:p w14:paraId="40FEBEEC" w14:textId="04CEC952" w:rsidR="00866A6D" w:rsidRDefault="00866A6D" w:rsidP="00EB17DE">
            <w:r>
              <w:t>Moles of HCL</w:t>
            </w:r>
          </w:p>
        </w:tc>
        <w:tc>
          <w:tcPr>
            <w:tcW w:w="2254" w:type="dxa"/>
          </w:tcPr>
          <w:p w14:paraId="07EF46DE" w14:textId="020ED6CC" w:rsidR="00866A6D" w:rsidRDefault="00317614" w:rsidP="00EB17DE">
            <w:r>
              <w:t>0.001681</w:t>
            </w:r>
          </w:p>
        </w:tc>
        <w:tc>
          <w:tcPr>
            <w:tcW w:w="2254" w:type="dxa"/>
          </w:tcPr>
          <w:p w14:paraId="017E720B" w14:textId="7F0F120F" w:rsidR="00866A6D" w:rsidRDefault="00317614" w:rsidP="00EB17DE">
            <w:r>
              <w:t>0.001666</w:t>
            </w:r>
          </w:p>
        </w:tc>
        <w:tc>
          <w:tcPr>
            <w:tcW w:w="2254" w:type="dxa"/>
          </w:tcPr>
          <w:p w14:paraId="6AE9B6BB" w14:textId="2EFAC208" w:rsidR="00866A6D" w:rsidRDefault="00317614" w:rsidP="00EB17DE">
            <w:r>
              <w:t>0.001625</w:t>
            </w:r>
          </w:p>
        </w:tc>
      </w:tr>
      <w:tr w:rsidR="00866A6D" w14:paraId="31C6BD8F" w14:textId="77777777" w:rsidTr="00387BDC">
        <w:trPr>
          <w:trHeight w:val="410"/>
        </w:trPr>
        <w:tc>
          <w:tcPr>
            <w:tcW w:w="2254" w:type="dxa"/>
          </w:tcPr>
          <w:p w14:paraId="465063A1" w14:textId="58ED824E" w:rsidR="00866A6D" w:rsidRDefault="00866A6D" w:rsidP="00EB17DE">
            <w:r>
              <w:t>Molarity of HCl</w:t>
            </w:r>
            <w:r w:rsidR="00605652">
              <w:t>- (mol/L)</w:t>
            </w:r>
          </w:p>
        </w:tc>
        <w:tc>
          <w:tcPr>
            <w:tcW w:w="2254" w:type="dxa"/>
          </w:tcPr>
          <w:p w14:paraId="150AF800" w14:textId="581969CF" w:rsidR="00866A6D" w:rsidRDefault="00B7674D" w:rsidP="00EB17DE">
            <w:r>
              <w:t>0.06724</w:t>
            </w:r>
          </w:p>
        </w:tc>
        <w:tc>
          <w:tcPr>
            <w:tcW w:w="2254" w:type="dxa"/>
          </w:tcPr>
          <w:p w14:paraId="60D8D524" w14:textId="605331AE" w:rsidR="00866A6D" w:rsidRDefault="00B7674D" w:rsidP="00EB17DE">
            <w:r>
              <w:t>0.06664</w:t>
            </w:r>
          </w:p>
        </w:tc>
        <w:tc>
          <w:tcPr>
            <w:tcW w:w="2254" w:type="dxa"/>
          </w:tcPr>
          <w:p w14:paraId="7975A84E" w14:textId="2E61D79F" w:rsidR="00866A6D" w:rsidRDefault="003A53EE" w:rsidP="00EB17DE">
            <w:r>
              <w:t>0.06500</w:t>
            </w:r>
          </w:p>
        </w:tc>
      </w:tr>
    </w:tbl>
    <w:p w14:paraId="52D5307A" w14:textId="77777777" w:rsidR="005B016E" w:rsidRDefault="00866A6D" w:rsidP="005B016E">
      <w:pPr>
        <w:pStyle w:val="NoSpacing"/>
      </w:pPr>
      <w:r w:rsidRPr="00866A6D">
        <w:t xml:space="preserve">Table </w:t>
      </w:r>
      <w:r w:rsidRPr="00866A6D">
        <w:fldChar w:fldCharType="begin"/>
      </w:r>
      <w:r w:rsidRPr="00866A6D">
        <w:instrText xml:space="preserve"> SEQ Table \* ARABIC </w:instrText>
      </w:r>
      <w:r w:rsidRPr="00866A6D">
        <w:fldChar w:fldCharType="separate"/>
      </w:r>
      <w:r w:rsidRPr="00866A6D">
        <w:rPr>
          <w:noProof/>
        </w:rPr>
        <w:t>1</w:t>
      </w:r>
      <w:r w:rsidRPr="00866A6D">
        <w:fldChar w:fldCharType="end"/>
      </w:r>
      <w:r w:rsidRPr="00866A6D">
        <w:t>- Results</w:t>
      </w:r>
      <w:r w:rsidR="00387BDC">
        <w:t xml:space="preserve"> </w:t>
      </w:r>
      <w:r w:rsidRPr="00866A6D">
        <w:t>Table</w:t>
      </w:r>
    </w:p>
    <w:p w14:paraId="52AE3BA7" w14:textId="77777777" w:rsidR="005B016E" w:rsidRDefault="005B016E" w:rsidP="005B016E">
      <w:pPr>
        <w:pStyle w:val="NoSpacing"/>
      </w:pPr>
    </w:p>
    <w:p w14:paraId="56176CF1" w14:textId="3EACEEB7" w:rsidR="00224033" w:rsidRDefault="00CC482C" w:rsidP="005B016E">
      <w:pPr>
        <w:pStyle w:val="NoSpacing"/>
        <w:rPr>
          <w:rFonts w:ascii="Calibri" w:hAnsi="Calibri" w:cs="Calibri"/>
        </w:rPr>
      </w:pPr>
      <w:r w:rsidRPr="00174926">
        <w:rPr>
          <w:rFonts w:ascii="Calibri" w:hAnsi="Calibri" w:cs="Calibri"/>
        </w:rPr>
        <w:t xml:space="preserve">There are </w:t>
      </w:r>
      <w:proofErr w:type="gramStart"/>
      <w:r w:rsidRPr="00174926">
        <w:rPr>
          <w:rFonts w:ascii="Calibri" w:hAnsi="Calibri" w:cs="Calibri"/>
        </w:rPr>
        <w:t>a number of</w:t>
      </w:r>
      <w:proofErr w:type="gramEnd"/>
      <w:r w:rsidRPr="00174926">
        <w:rPr>
          <w:rFonts w:ascii="Calibri" w:hAnsi="Calibri" w:cs="Calibri"/>
        </w:rPr>
        <w:t xml:space="preserve"> different possibilities for the cause of this variation in results. The first possibility is that the first two results were significantly higher than the actual neutralisation point, and that </w:t>
      </w:r>
      <w:proofErr w:type="gramStart"/>
      <w:r w:rsidRPr="00174926">
        <w:rPr>
          <w:rFonts w:ascii="Calibri" w:hAnsi="Calibri" w:cs="Calibri"/>
        </w:rPr>
        <w:t>the final result</w:t>
      </w:r>
      <w:proofErr w:type="gramEnd"/>
      <w:r w:rsidRPr="00174926">
        <w:rPr>
          <w:rFonts w:ascii="Calibri" w:hAnsi="Calibri" w:cs="Calibri"/>
        </w:rPr>
        <w:t xml:space="preserve"> is an accurate reading. This is possible for the first result, however, is unlikely for the second as we knew roughly where the result should be, so could measure more accurately around that number. Another possibility is that the amount of hydrochloric acid being neutralised was wrongly measured, resulting in a lesser amount of sodium hydroxide required to neutralise it</w:t>
      </w:r>
      <w:r w:rsidR="00F0710D">
        <w:rPr>
          <w:rFonts w:ascii="Calibri" w:hAnsi="Calibri" w:cs="Calibri"/>
        </w:rPr>
        <w:t xml:space="preserve">. This could be due to misreading the graduations on the pipette, </w:t>
      </w:r>
      <w:r w:rsidR="009D6923">
        <w:rPr>
          <w:rFonts w:ascii="Calibri" w:hAnsi="Calibri" w:cs="Calibri"/>
        </w:rPr>
        <w:t>an error multiplied by measuring 9 times in total</w:t>
      </w:r>
      <w:r w:rsidR="006A4F9E">
        <w:rPr>
          <w:rFonts w:ascii="Calibri" w:hAnsi="Calibri" w:cs="Calibri"/>
        </w:rPr>
        <w:t>, or by not correctly accounting for the meniscus</w:t>
      </w:r>
      <w:r w:rsidRPr="00174926">
        <w:rPr>
          <w:rFonts w:ascii="Calibri" w:hAnsi="Calibri" w:cs="Calibri"/>
        </w:rPr>
        <w:t xml:space="preserve">. The last potential source of error resulting in this reading is that the amount of sodium </w:t>
      </w:r>
      <w:r w:rsidRPr="00174926">
        <w:rPr>
          <w:rFonts w:ascii="Calibri" w:hAnsi="Calibri" w:cs="Calibri"/>
        </w:rPr>
        <w:lastRenderedPageBreak/>
        <w:t>hydroxide was wrongly measured. These later two points are both down to human error, although there is no way to tell which is responsible of the two.</w:t>
      </w:r>
    </w:p>
    <w:p w14:paraId="30B95779" w14:textId="3C22F08F" w:rsidR="00EE6479" w:rsidRDefault="00EE6479" w:rsidP="005B016E">
      <w:pPr>
        <w:pStyle w:val="NoSpacing"/>
        <w:rPr>
          <w:rFonts w:ascii="Calibri" w:hAnsi="Calibri" w:cs="Calibri"/>
        </w:rPr>
      </w:pPr>
      <w:r>
        <w:rPr>
          <w:rFonts w:ascii="Calibri" w:hAnsi="Calibri" w:cs="Calibri"/>
        </w:rPr>
        <w:t>T</w:t>
      </w:r>
      <w:r w:rsidR="00E359C2">
        <w:rPr>
          <w:rFonts w:ascii="Calibri" w:hAnsi="Calibri" w:cs="Calibri"/>
        </w:rPr>
        <w:t xml:space="preserve">he best way to improve upon these errors is to repeat the experiment. This would allow for </w:t>
      </w:r>
      <w:r w:rsidR="001561BE">
        <w:rPr>
          <w:rFonts w:ascii="Calibri" w:hAnsi="Calibri" w:cs="Calibri"/>
        </w:rPr>
        <w:t>any outliers to be identified and removed, resulting in a more accurate result</w:t>
      </w:r>
      <w:r w:rsidR="0019018E">
        <w:rPr>
          <w:rFonts w:ascii="Calibri" w:hAnsi="Calibri" w:cs="Calibri"/>
        </w:rPr>
        <w:t xml:space="preserve">, as well as averaging out the minor errors </w:t>
      </w:r>
      <w:r w:rsidR="00A82182">
        <w:rPr>
          <w:rFonts w:ascii="Calibri" w:hAnsi="Calibri" w:cs="Calibri"/>
        </w:rPr>
        <w:t>from the reading of the meniscus</w:t>
      </w:r>
      <w:r w:rsidR="001561BE">
        <w:rPr>
          <w:rFonts w:ascii="Calibri" w:hAnsi="Calibri" w:cs="Calibri"/>
        </w:rPr>
        <w:t>. More accurate equipment could</w:t>
      </w:r>
      <w:r w:rsidR="00A82182">
        <w:rPr>
          <w:rFonts w:ascii="Calibri" w:hAnsi="Calibri" w:cs="Calibri"/>
        </w:rPr>
        <w:t xml:space="preserve"> also</w:t>
      </w:r>
      <w:r w:rsidR="001561BE">
        <w:rPr>
          <w:rFonts w:ascii="Calibri" w:hAnsi="Calibri" w:cs="Calibri"/>
        </w:rPr>
        <w:t xml:space="preserve"> be use, particularly a larger pipette, so the hydrochloric acid is not being measured repeatedl</w:t>
      </w:r>
      <w:r w:rsidR="00D13621">
        <w:rPr>
          <w:rFonts w:ascii="Calibri" w:hAnsi="Calibri" w:cs="Calibri"/>
        </w:rPr>
        <w:t xml:space="preserve">y to get the correct volume. </w:t>
      </w:r>
      <w:r w:rsidR="00A82182">
        <w:rPr>
          <w:rFonts w:ascii="Calibri" w:hAnsi="Calibri" w:cs="Calibri"/>
        </w:rPr>
        <w:t xml:space="preserve">A method of detecting the </w:t>
      </w:r>
      <w:r w:rsidR="00ED5AF5">
        <w:rPr>
          <w:rFonts w:ascii="Calibri" w:hAnsi="Calibri" w:cs="Calibri"/>
        </w:rPr>
        <w:t>indicator that does not rely on the human eye would also result in greater accuracy, as the titration should be stopped at the earl</w:t>
      </w:r>
      <w:r w:rsidR="005C3F35">
        <w:rPr>
          <w:rFonts w:ascii="Calibri" w:hAnsi="Calibri" w:cs="Calibri"/>
        </w:rPr>
        <w:t>iest sign of change, which may not be picked up by the human eye as well.</w:t>
      </w:r>
    </w:p>
    <w:p w14:paraId="1D9C8B04" w14:textId="77777777" w:rsidR="005C3F35" w:rsidRPr="005B016E" w:rsidRDefault="005C3F35" w:rsidP="005B016E">
      <w:pPr>
        <w:pStyle w:val="NoSpacing"/>
      </w:pPr>
    </w:p>
    <w:p w14:paraId="4F3007AD" w14:textId="41D2FBEC" w:rsidR="00EB17DE" w:rsidRDefault="00EB17DE" w:rsidP="00EB17DE">
      <w:pPr>
        <w:pStyle w:val="Heading2"/>
      </w:pPr>
      <w:bookmarkStart w:id="5" w:name="_Toc193875782"/>
      <w:bookmarkStart w:id="6" w:name="_Toc193919717"/>
      <w:r>
        <w:t>Discussion</w:t>
      </w:r>
      <w:bookmarkEnd w:id="5"/>
      <w:bookmarkEnd w:id="6"/>
    </w:p>
    <w:p w14:paraId="13B6C266" w14:textId="3A8AE820" w:rsidR="00302326" w:rsidRDefault="00302326" w:rsidP="00EB17DE">
      <w:r>
        <w:t xml:space="preserve">The results above show the amount of sodium hydroxide required to neutralise the unknown concentration of acid. </w:t>
      </w:r>
      <w:r w:rsidR="003D1706">
        <w:t xml:space="preserve">From this value, the concentration of the acid can be calculated through </w:t>
      </w:r>
      <w:proofErr w:type="gramStart"/>
      <w:r w:rsidR="003D1706">
        <w:t>a number of</w:t>
      </w:r>
      <w:proofErr w:type="gramEnd"/>
      <w:r w:rsidR="003D1706">
        <w:t xml:space="preserve"> steps. </w:t>
      </w:r>
      <w:r w:rsidR="00A3605A">
        <w:t>Listed below is the equation of the reaction occurring during the experiment</w:t>
      </w:r>
      <w:r w:rsidR="00BE6FEA">
        <w:t>, equation 1</w:t>
      </w:r>
      <w:r w:rsidR="00A3605A">
        <w:t xml:space="preserve">. </w:t>
      </w:r>
    </w:p>
    <w:p w14:paraId="0162FB02" w14:textId="77777777" w:rsidR="00AF27CD" w:rsidRDefault="00940856" w:rsidP="00AF27CD">
      <w:pPr>
        <w:pStyle w:val="Caption"/>
      </w:pPr>
      <m:oMathPara>
        <m:oMath>
          <m:r>
            <m:rPr>
              <m:sty m:val="p"/>
            </m:rPr>
            <w:rPr>
              <w:rFonts w:ascii="Cambria Math" w:hAnsi="Cambria Math"/>
            </w:rPr>
            <m:t>HCl</m:t>
          </m:r>
          <m:r>
            <m:rPr>
              <m:sty m:val="p"/>
            </m:rPr>
            <w:rPr>
              <w:rFonts w:ascii="Cambria Math" w:hAnsi="Cambria Math"/>
            </w:rPr>
            <m:t xml:space="preserve"> </m:t>
          </m:r>
          <m:d>
            <m:dPr>
              <m:ctrlPr>
                <w:rPr>
                  <w:rFonts w:ascii="Cambria Math" w:hAnsi="Cambria Math"/>
                  <w:i w:val="0"/>
                </w:rPr>
              </m:ctrlPr>
            </m:dPr>
            <m:e>
              <m:r>
                <m:rPr>
                  <m:sty m:val="p"/>
                </m:rPr>
                <w:rPr>
                  <w:rFonts w:ascii="Cambria Math" w:hAnsi="Cambria Math"/>
                </w:rPr>
                <m:t>aq</m:t>
              </m:r>
            </m:e>
          </m:d>
          <m:r>
            <m:rPr>
              <m:sty m:val="p"/>
            </m:rPr>
            <w:rPr>
              <w:rFonts w:ascii="Cambria Math" w:hAnsi="Cambria Math"/>
            </w:rPr>
            <m:t xml:space="preserve">+NaOH </m:t>
          </m:r>
          <m:d>
            <m:dPr>
              <m:ctrlPr>
                <w:rPr>
                  <w:rFonts w:ascii="Cambria Math" w:hAnsi="Cambria Math"/>
                  <w:i w:val="0"/>
                </w:rPr>
              </m:ctrlPr>
            </m:dPr>
            <m:e>
              <m:r>
                <m:rPr>
                  <m:sty m:val="p"/>
                </m:rPr>
                <w:rPr>
                  <w:rFonts w:ascii="Cambria Math" w:hAnsi="Cambria Math"/>
                </w:rPr>
                <m:t>aq</m:t>
              </m:r>
            </m:e>
          </m:d>
          <m:r>
            <m:rPr>
              <m:sty m:val="p"/>
            </m:rPr>
            <w:rPr>
              <w:rFonts w:ascii="Cambria Math" w:hAnsi="Cambria Math"/>
            </w:rPr>
            <m:t xml:space="preserve">--&gt; </m:t>
          </m:r>
          <m:r>
            <m:rPr>
              <m:sty m:val="p"/>
            </m:rPr>
            <w:rPr>
              <w:rFonts w:ascii="Cambria Math" w:hAnsi="Cambria Math"/>
            </w:rPr>
            <m:t xml:space="preserve">NaCl </m:t>
          </m:r>
          <m:d>
            <m:dPr>
              <m:ctrlPr>
                <w:rPr>
                  <w:rFonts w:ascii="Cambria Math" w:hAnsi="Cambria Math"/>
                  <w:i w:val="0"/>
                </w:rPr>
              </m:ctrlPr>
            </m:dPr>
            <m:e>
              <m:r>
                <m:rPr>
                  <m:sty m:val="p"/>
                </m:rPr>
                <w:rPr>
                  <w:rFonts w:ascii="Cambria Math" w:hAnsi="Cambria Math"/>
                </w:rPr>
                <m:t>aq</m:t>
              </m:r>
            </m:e>
          </m:d>
          <m:r>
            <m:rPr>
              <m:sty m:val="p"/>
            </m:rPr>
            <w:rPr>
              <w:rFonts w:ascii="Cambria Math" w:hAnsi="Cambria Math"/>
            </w:rPr>
            <m:t>+</m:t>
          </m:r>
          <m:sSub>
            <m:sSubPr>
              <m:ctrlPr>
                <w:rPr>
                  <w:rFonts w:ascii="Cambria Math" w:hAnsi="Cambria Math"/>
                  <w:iCs w:val="0"/>
                  <w:color w:val="auto"/>
                  <w:sz w:val="22"/>
                  <w:szCs w:val="22"/>
                </w:rPr>
              </m:ctrlPr>
            </m:sSubPr>
            <m:e>
              <m:r>
                <m:rPr>
                  <m:sty m:val="p"/>
                </m:rPr>
                <w:rPr>
                  <w:rFonts w:ascii="Cambria Math" w:hAnsi="Cambria Math"/>
                </w:rPr>
                <m:t>H</m:t>
              </m:r>
            </m:e>
            <m:sub>
              <m:r>
                <m:rPr>
                  <m:sty m:val="p"/>
                </m:rPr>
                <w:rPr>
                  <w:rFonts w:ascii="Cambria Math" w:hAnsi="Cambria Math"/>
                </w:rPr>
                <m:t>2</m:t>
              </m:r>
            </m:sub>
          </m:sSub>
          <m:r>
            <m:rPr>
              <m:sty m:val="p"/>
            </m:rPr>
            <w:rPr>
              <w:rFonts w:ascii="Cambria Math" w:hAnsi="Cambria Math"/>
            </w:rPr>
            <m:t>O</m:t>
          </m:r>
          <m:r>
            <m:rPr>
              <m:sty m:val="p"/>
            </m:rPr>
            <w:rPr>
              <w:rFonts w:ascii="Cambria Math" w:hAnsi="Cambria Math"/>
            </w:rPr>
            <m:t xml:space="preserve"> (l)</m:t>
          </m:r>
        </m:oMath>
      </m:oMathPara>
    </w:p>
    <w:p w14:paraId="365F834B" w14:textId="0B77B22F" w:rsidR="00A3605A" w:rsidRPr="00BE6FEA" w:rsidRDefault="00AF27CD" w:rsidP="00AF27CD">
      <w:pPr>
        <w:pStyle w:val="Caption"/>
        <w:ind w:left="2160"/>
      </w:pPr>
      <w:r>
        <w:t xml:space="preserve">          Equation </w:t>
      </w:r>
      <w:r>
        <w:fldChar w:fldCharType="begin"/>
      </w:r>
      <w:r>
        <w:instrText xml:space="preserve"> SEQ Equation \* ARABIC </w:instrText>
      </w:r>
      <w:r>
        <w:fldChar w:fldCharType="separate"/>
      </w:r>
      <w:r>
        <w:rPr>
          <w:noProof/>
        </w:rPr>
        <w:t>1</w:t>
      </w:r>
      <w:r>
        <w:fldChar w:fldCharType="end"/>
      </w:r>
    </w:p>
    <w:p w14:paraId="7127D1E6" w14:textId="51B63C19" w:rsidR="00025E6C" w:rsidRDefault="00BE6FEA" w:rsidP="00EB17DE">
      <w:r>
        <w:t xml:space="preserve">From this equation we can see that </w:t>
      </w:r>
      <w:r w:rsidR="00FF5044">
        <w:t>1 mole of sodium hydroxide is required to neutralise one mole of hydrochloric acid</w:t>
      </w:r>
      <w:r w:rsidR="00F858C5">
        <w:t>, resulting in one mole of sodium chloride and one mole of water.</w:t>
      </w:r>
      <w:r w:rsidR="00025E6C">
        <w:t xml:space="preserve"> This means that for the hydrochloric acid in the solution to be neutralised, an equal amount of sodium hydroxide is required</w:t>
      </w:r>
      <w:r w:rsidR="00CA4886">
        <w:t>, as it is a stoichiometrically equivalent reaction</w:t>
      </w:r>
      <w:r w:rsidR="00025E6C">
        <w:t xml:space="preserve">. </w:t>
      </w:r>
      <w:r w:rsidR="009C6A33">
        <w:t>First the moles of sodium hydroxide need to be calculated.</w:t>
      </w:r>
      <w:r w:rsidR="00AF06A8">
        <w:t xml:space="preserve"> This is done using the equation n = c * v, where n is the moles,</w:t>
      </w:r>
      <w:r w:rsidR="00681207">
        <w:t xml:space="preserve"> c the concentration in mol/L, and v the volume in </w:t>
      </w:r>
      <w:proofErr w:type="spellStart"/>
      <w:r w:rsidR="00681207">
        <w:t>mL.</w:t>
      </w:r>
      <w:proofErr w:type="spellEnd"/>
      <w:r w:rsidR="009C6A33">
        <w:t xml:space="preserve"> </w:t>
      </w:r>
      <w:r w:rsidR="00D41949">
        <w:t xml:space="preserve">The concentration of </w:t>
      </w:r>
      <w:r w:rsidR="00EE6479">
        <w:t>the sodium hydroxide is</w:t>
      </w:r>
      <w:r w:rsidR="00D41949">
        <w:t xml:space="preserve"> known, 0.09977 </w:t>
      </w:r>
      <w:r w:rsidR="00B85F6A">
        <w:t xml:space="preserve">mol/L, so multiplying this by the volume of </w:t>
      </w:r>
      <w:r w:rsidR="000B0D8E">
        <w:t>solution added gives the moles of sodium hydroxide added. The three calculations are listed below</w:t>
      </w:r>
      <w:r w:rsidR="004B6A73">
        <w:t>, based on the first equation listed below</w:t>
      </w:r>
      <w:r w:rsidR="000B0D8E">
        <w:t>:</w:t>
      </w:r>
    </w:p>
    <w:p w14:paraId="3A6DF53E" w14:textId="1C6CDB15" w:rsidR="00AF06A8" w:rsidRDefault="00AF06A8" w:rsidP="00EB17DE">
      <m:oMathPara>
        <m:oMath>
          <m:r>
            <w:rPr>
              <w:rFonts w:ascii="Cambria Math" w:hAnsi="Cambria Math"/>
            </w:rPr>
            <m:t>n=c*v</m:t>
          </m:r>
        </m:oMath>
      </m:oMathPara>
    </w:p>
    <w:p w14:paraId="1CAB57D8" w14:textId="35445F1F" w:rsidR="000B0D8E" w:rsidRPr="000075AD" w:rsidRDefault="008044CA" w:rsidP="00EB17DE">
      <m:oMathPara>
        <m:oMath>
          <m:r>
            <w:rPr>
              <w:rFonts w:ascii="Cambria Math" w:hAnsi="Cambria Math"/>
            </w:rPr>
            <m:t xml:space="preserve">Flask 1: </m:t>
          </m:r>
          <m:r>
            <w:rPr>
              <w:rFonts w:ascii="Cambria Math" w:hAnsi="Cambria Math"/>
            </w:rPr>
            <m:t>0.09977 ×</m:t>
          </m:r>
          <m:f>
            <m:fPr>
              <m:ctrlPr>
                <w:rPr>
                  <w:rFonts w:ascii="Cambria Math" w:hAnsi="Cambria Math"/>
                  <w:i/>
                </w:rPr>
              </m:ctrlPr>
            </m:fPr>
            <m:num>
              <m:r>
                <w:rPr>
                  <w:rFonts w:ascii="Cambria Math" w:hAnsi="Cambria Math"/>
                </w:rPr>
                <m:t>16.85</m:t>
              </m:r>
            </m:num>
            <m:den>
              <m:r>
                <w:rPr>
                  <w:rFonts w:ascii="Cambria Math" w:hAnsi="Cambria Math"/>
                </w:rPr>
                <m:t>1000</m:t>
              </m:r>
            </m:den>
          </m:f>
          <m:r>
            <w:rPr>
              <w:rFonts w:ascii="Cambria Math" w:hAnsi="Cambria Math"/>
            </w:rPr>
            <m:t>=0.00168</m:t>
          </m:r>
          <m:r>
            <w:rPr>
              <w:rFonts w:ascii="Cambria Math" w:hAnsi="Cambria Math"/>
            </w:rPr>
            <m:t>1</m:t>
          </m:r>
          <m:r>
            <w:rPr>
              <w:rFonts w:ascii="Cambria Math" w:hAnsi="Cambria Math"/>
            </w:rPr>
            <m:t xml:space="preserve"> Moles</m:t>
          </m:r>
        </m:oMath>
      </m:oMathPara>
    </w:p>
    <w:p w14:paraId="3D2B5CCD" w14:textId="2211B476" w:rsidR="000075AD" w:rsidRPr="00947795" w:rsidRDefault="000075AD" w:rsidP="00EB17DE">
      <m:oMathPara>
        <m:oMath>
          <m:r>
            <w:rPr>
              <w:rFonts w:ascii="Cambria Math" w:hAnsi="Cambria Math"/>
            </w:rPr>
            <m:t>Flask 2:0.09977 ×</m:t>
          </m:r>
          <m:f>
            <m:fPr>
              <m:ctrlPr>
                <w:rPr>
                  <w:rFonts w:ascii="Cambria Math" w:hAnsi="Cambria Math"/>
                  <w:i/>
                </w:rPr>
              </m:ctrlPr>
            </m:fPr>
            <m:num>
              <m:r>
                <w:rPr>
                  <w:rFonts w:ascii="Cambria Math" w:hAnsi="Cambria Math"/>
                </w:rPr>
                <m:t>16.7</m:t>
              </m:r>
            </m:num>
            <m:den>
              <m:r>
                <w:rPr>
                  <w:rFonts w:ascii="Cambria Math" w:hAnsi="Cambria Math"/>
                </w:rPr>
                <m:t>1000</m:t>
              </m:r>
            </m:den>
          </m:f>
          <m:r>
            <w:rPr>
              <w:rFonts w:ascii="Cambria Math" w:hAnsi="Cambria Math"/>
            </w:rPr>
            <m:t>=</m:t>
          </m:r>
          <m:r>
            <w:rPr>
              <w:rFonts w:ascii="Cambria Math" w:hAnsi="Cambria Math"/>
            </w:rPr>
            <m:t>0.001666 Moles</m:t>
          </m:r>
        </m:oMath>
      </m:oMathPara>
    </w:p>
    <w:p w14:paraId="6BD2EC35" w14:textId="78598A63" w:rsidR="00947795" w:rsidRPr="00151CA9" w:rsidRDefault="00947795" w:rsidP="00EB17DE">
      <m:oMathPara>
        <m:oMath>
          <m:r>
            <w:rPr>
              <w:rFonts w:ascii="Cambria Math" w:hAnsi="Cambria Math"/>
            </w:rPr>
            <m:t>Flask 3:0.09977 ×</m:t>
          </m:r>
          <m:f>
            <m:fPr>
              <m:ctrlPr>
                <w:rPr>
                  <w:rFonts w:ascii="Cambria Math" w:hAnsi="Cambria Math"/>
                  <w:i/>
                </w:rPr>
              </m:ctrlPr>
            </m:fPr>
            <m:num>
              <m:r>
                <w:rPr>
                  <w:rFonts w:ascii="Cambria Math" w:hAnsi="Cambria Math"/>
                </w:rPr>
                <m:t>16.29</m:t>
              </m:r>
            </m:num>
            <m:den>
              <m:r>
                <w:rPr>
                  <w:rFonts w:ascii="Cambria Math" w:hAnsi="Cambria Math"/>
                </w:rPr>
                <m:t>1000</m:t>
              </m:r>
            </m:den>
          </m:f>
          <m:r>
            <w:rPr>
              <w:rFonts w:ascii="Cambria Math" w:hAnsi="Cambria Math"/>
            </w:rPr>
            <m:t>=</m:t>
          </m:r>
          <m:r>
            <w:rPr>
              <w:rFonts w:ascii="Cambria Math" w:hAnsi="Cambria Math"/>
            </w:rPr>
            <m:t>0.001625 Moles</m:t>
          </m:r>
        </m:oMath>
      </m:oMathPara>
    </w:p>
    <w:p w14:paraId="5798D1F7" w14:textId="50ED2A6D" w:rsidR="00151CA9" w:rsidRDefault="00B01EC3" w:rsidP="00EB17DE">
      <w:r>
        <w:t xml:space="preserve">These values are the amount of sodium hydroxide that was </w:t>
      </w:r>
      <w:r w:rsidR="003A62E3">
        <w:t xml:space="preserve">used to neutralise the hydrochloric acid in each flask. As the reaction takes one mole of each, these values are also the amount of moles of hydrochloric acid present in the solution being neutralised. </w:t>
      </w:r>
      <w:r w:rsidR="00D90A19">
        <w:t>From this, the concentration of the acid can be calculated, as shown below:</w:t>
      </w:r>
    </w:p>
    <w:p w14:paraId="44A9E7AD" w14:textId="0281D4F5" w:rsidR="00D90A19" w:rsidRPr="00E622CE" w:rsidRDefault="00901D01" w:rsidP="00EB17DE">
      <m:oMathPara>
        <m:oMath>
          <m:r>
            <w:rPr>
              <w:rFonts w:ascii="Cambria Math" w:hAnsi="Cambria Math"/>
            </w:rPr>
            <m:t>Flask 1:</m:t>
          </m:r>
          <m:r>
            <w:rPr>
              <w:rFonts w:ascii="Cambria Math" w:hAnsi="Cambria Math"/>
            </w:rPr>
            <m:t xml:space="preserve">0.001681 × </m:t>
          </m:r>
          <m:f>
            <m:fPr>
              <m:ctrlPr>
                <w:rPr>
                  <w:rFonts w:ascii="Cambria Math" w:hAnsi="Cambria Math"/>
                  <w:i/>
                </w:rPr>
              </m:ctrlPr>
            </m:fPr>
            <m:num>
              <m:r>
                <w:rPr>
                  <w:rFonts w:ascii="Cambria Math" w:hAnsi="Cambria Math"/>
                </w:rPr>
                <m:t>1000</m:t>
              </m:r>
            </m:num>
            <m:den>
              <m:r>
                <w:rPr>
                  <w:rFonts w:ascii="Cambria Math" w:hAnsi="Cambria Math"/>
                </w:rPr>
                <m:t>25</m:t>
              </m:r>
            </m:den>
          </m:f>
          <m:r>
            <w:rPr>
              <w:rFonts w:ascii="Cambria Math" w:hAnsi="Cambria Math"/>
            </w:rPr>
            <m:t>=0.06724</m:t>
          </m:r>
          <m:r>
            <w:rPr>
              <w:rFonts w:ascii="Cambria Math" w:hAnsi="Cambria Math"/>
            </w:rPr>
            <m:t xml:space="preserve"> mol/L</m:t>
          </m:r>
        </m:oMath>
      </m:oMathPara>
    </w:p>
    <w:p w14:paraId="244DDD51" w14:textId="2CDA8561" w:rsidR="00E622CE" w:rsidRPr="00307B4A" w:rsidRDefault="00E622CE" w:rsidP="00EB17DE">
      <m:oMathPara>
        <m:oMath>
          <m:r>
            <w:rPr>
              <w:rFonts w:ascii="Cambria Math" w:hAnsi="Cambria Math"/>
            </w:rPr>
            <m:t xml:space="preserve">Flask 2:0.001666 × </m:t>
          </m:r>
          <m:f>
            <m:fPr>
              <m:ctrlPr>
                <w:rPr>
                  <w:rFonts w:ascii="Cambria Math" w:hAnsi="Cambria Math"/>
                  <w:i/>
                </w:rPr>
              </m:ctrlPr>
            </m:fPr>
            <m:num>
              <m:r>
                <w:rPr>
                  <w:rFonts w:ascii="Cambria Math" w:hAnsi="Cambria Math"/>
                </w:rPr>
                <m:t>1000</m:t>
              </m:r>
            </m:num>
            <m:den>
              <m:r>
                <w:rPr>
                  <w:rFonts w:ascii="Cambria Math" w:hAnsi="Cambria Math"/>
                </w:rPr>
                <m:t>25</m:t>
              </m:r>
            </m:den>
          </m:f>
          <m:r>
            <w:rPr>
              <w:rFonts w:ascii="Cambria Math" w:hAnsi="Cambria Math"/>
            </w:rPr>
            <m:t>=</m:t>
          </m:r>
          <m:r>
            <w:rPr>
              <w:rFonts w:ascii="Cambria Math" w:hAnsi="Cambria Math"/>
            </w:rPr>
            <m:t>0.06664</m:t>
          </m:r>
          <m:r>
            <w:rPr>
              <w:rFonts w:ascii="Cambria Math" w:hAnsi="Cambria Math"/>
            </w:rPr>
            <m:t>mol/L</m:t>
          </m:r>
        </m:oMath>
      </m:oMathPara>
    </w:p>
    <w:p w14:paraId="5947724A" w14:textId="60977B4B" w:rsidR="00307B4A" w:rsidRPr="00AF4F38" w:rsidRDefault="00307B4A" w:rsidP="00EB17DE">
      <m:oMathPara>
        <m:oMath>
          <m:r>
            <w:rPr>
              <w:rFonts w:ascii="Cambria Math" w:hAnsi="Cambria Math"/>
            </w:rPr>
            <m:t xml:space="preserve">Flask 3:0.001625 × </m:t>
          </m:r>
          <m:f>
            <m:fPr>
              <m:ctrlPr>
                <w:rPr>
                  <w:rFonts w:ascii="Cambria Math" w:hAnsi="Cambria Math"/>
                  <w:i/>
                </w:rPr>
              </m:ctrlPr>
            </m:fPr>
            <m:num>
              <m:r>
                <w:rPr>
                  <w:rFonts w:ascii="Cambria Math" w:hAnsi="Cambria Math"/>
                </w:rPr>
                <m:t>1000</m:t>
              </m:r>
            </m:num>
            <m:den>
              <m:r>
                <w:rPr>
                  <w:rFonts w:ascii="Cambria Math" w:hAnsi="Cambria Math"/>
                </w:rPr>
                <m:t>25</m:t>
              </m:r>
            </m:den>
          </m:f>
          <m:r>
            <w:rPr>
              <w:rFonts w:ascii="Cambria Math" w:hAnsi="Cambria Math"/>
            </w:rPr>
            <m:t>=</m:t>
          </m:r>
          <m:r>
            <w:rPr>
              <w:rFonts w:ascii="Cambria Math" w:hAnsi="Cambria Math"/>
            </w:rPr>
            <m:t>0.065</m:t>
          </m:r>
          <m:r>
            <w:rPr>
              <w:rFonts w:ascii="Cambria Math" w:hAnsi="Cambria Math"/>
            </w:rPr>
            <m:t>00</m:t>
          </m:r>
          <m:r>
            <w:rPr>
              <w:rFonts w:ascii="Cambria Math" w:hAnsi="Cambria Math"/>
            </w:rPr>
            <m:t xml:space="preserve"> mol/L</m:t>
          </m:r>
        </m:oMath>
      </m:oMathPara>
    </w:p>
    <w:p w14:paraId="4E4541BD" w14:textId="66938944" w:rsidR="00AF4F38" w:rsidRDefault="001E48F0" w:rsidP="00EB17DE">
      <w:r>
        <w:lastRenderedPageBreak/>
        <w:t xml:space="preserve">While there is </w:t>
      </w:r>
      <w:r w:rsidR="00BC202B">
        <w:t xml:space="preserve">a slight variation in the </w:t>
      </w:r>
      <w:r w:rsidR="00E073E9">
        <w:t xml:space="preserve">calculated molarity of the acid due to the accuracy of the </w:t>
      </w:r>
      <w:r w:rsidR="004041F4">
        <w:t xml:space="preserve">base solution measured, utilising the two more accurate results </w:t>
      </w:r>
      <w:proofErr w:type="gramStart"/>
      <w:r w:rsidR="004041F4">
        <w:t xml:space="preserve">it is clear </w:t>
      </w:r>
      <w:r w:rsidR="001D5AA0">
        <w:t>that the</w:t>
      </w:r>
      <w:proofErr w:type="gramEnd"/>
      <w:r w:rsidR="001D5AA0">
        <w:t xml:space="preserve"> molarity is roughly 0.066</w:t>
      </w:r>
      <w:r w:rsidR="009D210A">
        <w:t>. This proves the hypothesis that a value of the molarity of the hydrochloric acid can be calculated.</w:t>
      </w:r>
    </w:p>
    <w:p w14:paraId="61D3603B" w14:textId="77777777" w:rsidR="00314069" w:rsidRDefault="00314069" w:rsidP="00EB17DE"/>
    <w:p w14:paraId="5D2AE43B" w14:textId="3ED3EA04" w:rsidR="00314069" w:rsidRPr="00307B4A" w:rsidRDefault="00314069" w:rsidP="00314069">
      <w:pPr>
        <w:pStyle w:val="Heading3"/>
        <w:rPr>
          <w:rFonts w:eastAsia="Calibri" w:cs="Calibri"/>
        </w:rPr>
      </w:pPr>
      <w:bookmarkStart w:id="7" w:name="_Toc193919718"/>
      <w:r>
        <w:t>OME Applications</w:t>
      </w:r>
      <w:bookmarkEnd w:id="7"/>
    </w:p>
    <w:p w14:paraId="2DFFF0F0" w14:textId="62D6C2EB" w:rsidR="00EB17DE" w:rsidRDefault="00EB17DE" w:rsidP="00EB17DE">
      <w:r>
        <w:t>One significant use of titrations in the OME field is in the manufacture of Nitrocel</w:t>
      </w:r>
      <w:r w:rsidR="00623E8D">
        <w:t>l</w:t>
      </w:r>
      <w:r>
        <w:t>ulose, also known as guncotton.</w:t>
      </w:r>
      <w:r w:rsidR="00623E8D">
        <w:t xml:space="preserve"> Nitrocellulose is produced through the reaction of cellulose and concentrated nitric acid, </w:t>
      </w:r>
      <w:r w:rsidR="00BD1896">
        <w:t xml:space="preserve">forming a mixture of mono-, </w:t>
      </w:r>
      <w:r w:rsidR="00BD1896" w:rsidRPr="00BD1896">
        <w:t>(C</w:t>
      </w:r>
      <w:r w:rsidR="00BD1896" w:rsidRPr="00BD1896">
        <w:rPr>
          <w:vertAlign w:val="subscript"/>
        </w:rPr>
        <w:t>6</w:t>
      </w:r>
      <w:r w:rsidR="00BD1896" w:rsidRPr="00BD1896">
        <w:t>H</w:t>
      </w:r>
      <w:r w:rsidR="00BD1896" w:rsidRPr="00BD1896">
        <w:rPr>
          <w:vertAlign w:val="subscript"/>
        </w:rPr>
        <w:t>9</w:t>
      </w:r>
      <w:r w:rsidR="00BD1896" w:rsidRPr="00BD1896">
        <w:t>(NO</w:t>
      </w:r>
      <w:proofErr w:type="gramStart"/>
      <w:r w:rsidR="00BD1896" w:rsidRPr="00BD1896">
        <w:rPr>
          <w:vertAlign w:val="subscript"/>
        </w:rPr>
        <w:t>2</w:t>
      </w:r>
      <w:r w:rsidR="00BD1896" w:rsidRPr="00BD1896">
        <w:t>)O</w:t>
      </w:r>
      <w:proofErr w:type="gramEnd"/>
      <w:r w:rsidR="00BD1896" w:rsidRPr="00BD1896">
        <w:rPr>
          <w:vertAlign w:val="subscript"/>
        </w:rPr>
        <w:t>5</w:t>
      </w:r>
      <w:r w:rsidR="00BD1896" w:rsidRPr="00BD1896">
        <w:t>)</w:t>
      </w:r>
      <w:r w:rsidR="00BD1896">
        <w:t>, di-, (C</w:t>
      </w:r>
      <w:r w:rsidR="00BD1896" w:rsidRPr="00BD1896">
        <w:rPr>
          <w:vertAlign w:val="subscript"/>
        </w:rPr>
        <w:t>6</w:t>
      </w:r>
      <w:r w:rsidR="00BD1896">
        <w:t>H</w:t>
      </w:r>
      <w:r w:rsidR="00BD1896" w:rsidRPr="00BD1896">
        <w:rPr>
          <w:vertAlign w:val="subscript"/>
        </w:rPr>
        <w:t>7</w:t>
      </w:r>
      <w:r w:rsidR="00BD1896">
        <w:t>0</w:t>
      </w:r>
      <w:r w:rsidR="00BD1896" w:rsidRPr="00BD1896">
        <w:rPr>
          <w:vertAlign w:val="subscript"/>
        </w:rPr>
        <w:t>2</w:t>
      </w:r>
      <w:r w:rsidR="00BD1896">
        <w:t>OH(NO</w:t>
      </w:r>
      <w:r w:rsidR="00BD1896" w:rsidRPr="00BD1896">
        <w:rPr>
          <w:vertAlign w:val="subscript"/>
        </w:rPr>
        <w:t>2</w:t>
      </w:r>
      <w:r w:rsidR="00BD1896">
        <w:t>)</w:t>
      </w:r>
      <w:r w:rsidR="00BD1896">
        <w:rPr>
          <w:vertAlign w:val="subscript"/>
        </w:rPr>
        <w:t>2</w:t>
      </w:r>
      <w:r w:rsidR="00BD1896">
        <w:t>), and trinitrates, (C</w:t>
      </w:r>
      <w:r w:rsidR="00BD1896">
        <w:rPr>
          <w:vertAlign w:val="subscript"/>
        </w:rPr>
        <w:t>6</w:t>
      </w:r>
      <w:r w:rsidR="00BD1896">
        <w:t>H</w:t>
      </w:r>
      <w:r w:rsidR="00BD1896">
        <w:rPr>
          <w:vertAlign w:val="subscript"/>
        </w:rPr>
        <w:t>7</w:t>
      </w:r>
      <w:r w:rsidR="00BD1896">
        <w:t>O</w:t>
      </w:r>
      <w:r w:rsidR="00BD1896">
        <w:rPr>
          <w:vertAlign w:val="subscript"/>
        </w:rPr>
        <w:t>2</w:t>
      </w:r>
      <w:r w:rsidR="00BD1896">
        <w:t>(NO</w:t>
      </w:r>
      <w:r w:rsidR="00BD1896">
        <w:rPr>
          <w:vertAlign w:val="subscript"/>
        </w:rPr>
        <w:t>2</w:t>
      </w:r>
      <w:r w:rsidR="00BD1896">
        <w:t>)</w:t>
      </w:r>
      <w:r w:rsidR="00BD1896">
        <w:rPr>
          <w:vertAlign w:val="subscript"/>
        </w:rPr>
        <w:t>3</w:t>
      </w:r>
      <w:r w:rsidR="00BD1896">
        <w:t>)</w:t>
      </w:r>
      <w:r w:rsidR="00FC0ED4">
        <w:t xml:space="preserve"> [1]</w:t>
      </w:r>
      <w:r w:rsidR="002E3F43">
        <w:t>[8]</w:t>
      </w:r>
      <w:r w:rsidR="00BD1896">
        <w:t xml:space="preserve">. </w:t>
      </w:r>
      <w:r w:rsidR="0043246F">
        <w:t>It is a vital product in the OME field, being essential to “virtually all gun propellants for over a hundred years”, as well as numerous applications in rocket propellants, and high explosive use in both commercial and military applications</w:t>
      </w:r>
      <w:r w:rsidR="00EC5AD1">
        <w:t xml:space="preserve"> </w:t>
      </w:r>
      <w:r w:rsidR="009079A0">
        <w:t>[5]</w:t>
      </w:r>
      <w:r w:rsidR="00EC5AD1" w:rsidRPr="00EC5AD1">
        <w:t>[</w:t>
      </w:r>
      <w:r w:rsidR="00E32638">
        <w:t>6</w:t>
      </w:r>
      <w:r w:rsidR="00EC5AD1" w:rsidRPr="00EC5AD1">
        <w:t>]</w:t>
      </w:r>
      <w:r w:rsidR="0043246F">
        <w:t>. Nitrocellulose is however not very stable. I</w:t>
      </w:r>
      <w:r w:rsidR="00202472">
        <w:t xml:space="preserve">n addition to its ease of detonation, leading to many accidents in initial years of research, </w:t>
      </w:r>
      <w:r w:rsidR="00013517">
        <w:t>n</w:t>
      </w:r>
      <w:r w:rsidR="00202472">
        <w:t>itrocellulose also breaks down on its own at room temperature, forming nitric acid as a product</w:t>
      </w:r>
      <w:r w:rsidR="00EC5AD1">
        <w:t xml:space="preserve"> </w:t>
      </w:r>
      <w:r w:rsidR="00EC5AD1" w:rsidRPr="00EC5AD1">
        <w:t>[</w:t>
      </w:r>
      <w:r w:rsidR="00E32638">
        <w:t>6</w:t>
      </w:r>
      <w:r w:rsidR="00EC5AD1" w:rsidRPr="00EC5AD1">
        <w:t>]</w:t>
      </w:r>
      <w:r w:rsidR="00202472">
        <w:t xml:space="preserve">. This </w:t>
      </w:r>
      <w:r w:rsidR="00304B26">
        <w:t xml:space="preserve">breakdown is autocatalytic, the nitric acid acting as the catalyst to further speed up the breakdown forming more nitric acid. This is where titration can be of use. </w:t>
      </w:r>
      <w:r w:rsidR="00B63DFB">
        <w:t>In a very similar way to how titration was used in the experiment</w:t>
      </w:r>
      <w:r w:rsidR="00922AFC">
        <w:t xml:space="preserve"> conducted above, the amount of nitric acid left over after the production of nitrocellulose can be measured through carefully measuring the amount of a base required to </w:t>
      </w:r>
      <w:r w:rsidR="00611EEB">
        <w:t>neutralise it</w:t>
      </w:r>
      <w:r w:rsidR="00314069">
        <w:t xml:space="preserve"> [1]</w:t>
      </w:r>
      <w:r w:rsidR="00611EEB">
        <w:t xml:space="preserve">. </w:t>
      </w:r>
      <w:r w:rsidR="008A6494">
        <w:t>This allows for excess amounts to be neutralised, without damaging</w:t>
      </w:r>
      <w:r w:rsidR="007C4365">
        <w:t xml:space="preserve"> the nitrocellulose produced</w:t>
      </w:r>
      <w:r w:rsidR="00E703F4">
        <w:t xml:space="preserve"> [10]</w:t>
      </w:r>
      <w:r w:rsidR="007C4365">
        <w:t xml:space="preserve">. </w:t>
      </w:r>
      <w:r w:rsidR="00C339FA">
        <w:t>As nitrocellulose is a mixture of nitrates</w:t>
      </w:r>
      <w:r w:rsidR="00E112A6">
        <w:t xml:space="preserve">, the level of nitrogen present in the molecule </w:t>
      </w:r>
      <w:r w:rsidR="003B28E9">
        <w:t>varies from batch to batch</w:t>
      </w:r>
      <w:r w:rsidR="00E703F4">
        <w:t xml:space="preserve"> </w:t>
      </w:r>
      <w:r w:rsidR="00F437CF">
        <w:t>[5]</w:t>
      </w:r>
      <w:r w:rsidR="003B28E9">
        <w:t>. One method of measuring this is with titrations, using</w:t>
      </w:r>
      <w:r w:rsidR="00D112D0">
        <w:t xml:space="preserve"> either</w:t>
      </w:r>
      <w:r w:rsidR="003B28E9">
        <w:t xml:space="preserve"> the </w:t>
      </w:r>
      <w:r w:rsidR="003B28E9" w:rsidRPr="003B28E9">
        <w:t>Salicylic acid-</w:t>
      </w:r>
      <w:proofErr w:type="spellStart"/>
      <w:r w:rsidR="003B28E9" w:rsidRPr="003B28E9">
        <w:t>subtitanium</w:t>
      </w:r>
      <w:proofErr w:type="spellEnd"/>
      <w:r w:rsidR="003B28E9">
        <w:t xml:space="preserve"> method</w:t>
      </w:r>
      <w:r w:rsidR="00C247DE">
        <w:t xml:space="preserve"> or by Bowman’s method</w:t>
      </w:r>
      <w:r w:rsidR="00D64049">
        <w:t xml:space="preserve"> </w:t>
      </w:r>
      <w:r w:rsidR="00891A69">
        <w:t>[</w:t>
      </w:r>
      <w:r w:rsidR="00C5317D">
        <w:t>3</w:t>
      </w:r>
      <w:r w:rsidR="00891A69">
        <w:t>]</w:t>
      </w:r>
      <w:r w:rsidR="00D64049" w:rsidRPr="00E32638">
        <w:t>[11]</w:t>
      </w:r>
      <w:r w:rsidR="00891A69">
        <w:t>[12]</w:t>
      </w:r>
      <w:r w:rsidR="003B28E9">
        <w:t xml:space="preserve">. </w:t>
      </w:r>
      <w:r w:rsidR="001E3B46" w:rsidRPr="003B28E9">
        <w:t>Salicylic acid-</w:t>
      </w:r>
      <w:proofErr w:type="spellStart"/>
      <w:r w:rsidR="001E3B46" w:rsidRPr="003B28E9">
        <w:t>subtitanium</w:t>
      </w:r>
      <w:proofErr w:type="spellEnd"/>
      <w:r w:rsidR="00FD0F61">
        <w:t xml:space="preserve"> is not however commonly used due to the difficulty of accurately measuring the results, and the cost of the </w:t>
      </w:r>
      <w:proofErr w:type="spellStart"/>
      <w:r w:rsidR="00FD0F61">
        <w:t>subtit</w:t>
      </w:r>
      <w:r w:rsidR="002E6D7A">
        <w:t>anium</w:t>
      </w:r>
      <w:proofErr w:type="spellEnd"/>
      <w:r w:rsidR="002E6D7A">
        <w:t xml:space="preserve"> salt required for it</w:t>
      </w:r>
      <w:r w:rsidR="00E32638">
        <w:t>, while the method proposed by Bowman has numerous steps to it requiring careful control, rendering it inferior to more modern, simpler methods</w:t>
      </w:r>
      <w:r w:rsidR="00D64049">
        <w:t xml:space="preserve"> </w:t>
      </w:r>
      <w:r w:rsidR="00891A69">
        <w:t>[</w:t>
      </w:r>
      <w:r w:rsidR="00C5317D">
        <w:t>3</w:t>
      </w:r>
      <w:r w:rsidR="00891A69">
        <w:t>]</w:t>
      </w:r>
      <w:r w:rsidR="00D64049" w:rsidRPr="00E32638">
        <w:t>[11]</w:t>
      </w:r>
      <w:r w:rsidR="001521E9">
        <w:t>[12]</w:t>
      </w:r>
      <w:r w:rsidR="002E6D7A">
        <w:t xml:space="preserve">. </w:t>
      </w:r>
      <w:r w:rsidR="007C4365">
        <w:t xml:space="preserve">Titration can also be used later in the life of nitrocellulose. While </w:t>
      </w:r>
      <w:r w:rsidR="00EF52E9">
        <w:t xml:space="preserve">nitric acid is a catalyst for the breakdown of nitrocellulose, it </w:t>
      </w:r>
      <w:r w:rsidR="00DE5790">
        <w:t xml:space="preserve">still breaks down on its own. </w:t>
      </w:r>
      <w:r w:rsidR="005A1989">
        <w:t xml:space="preserve">Titration can be used on a sample of nitrocellulose to see how much of the initial product has broken down, through measuring </w:t>
      </w:r>
      <w:r w:rsidR="00342B3D">
        <w:t xml:space="preserve">if there is nitric acid present and the quantity that is present if so. </w:t>
      </w:r>
      <w:r w:rsidR="005734C1">
        <w:t xml:space="preserve">These </w:t>
      </w:r>
      <w:r w:rsidR="00B05CFA">
        <w:t>three</w:t>
      </w:r>
      <w:r w:rsidR="005734C1">
        <w:t xml:space="preserve"> uses in the life of nitrocellulose are important safety issues </w:t>
      </w:r>
      <w:r w:rsidR="00423C5B">
        <w:t>in the OME field</w:t>
      </w:r>
      <w:r w:rsidR="000E7096">
        <w:t xml:space="preserve">, as </w:t>
      </w:r>
      <w:r w:rsidR="00FE518A">
        <w:t>d</w:t>
      </w:r>
      <w:r w:rsidR="00520A1D">
        <w:t>egraded explosives can</w:t>
      </w:r>
      <w:r w:rsidR="005F1A8D">
        <w:t xml:space="preserve"> have dramatically altered effects</w:t>
      </w:r>
      <w:r w:rsidR="00CB4C80">
        <w:t xml:space="preserve">, either </w:t>
      </w:r>
      <w:r w:rsidR="00F21D25">
        <w:t xml:space="preserve">far less stable and hazardous, or less explosive and unreliable for </w:t>
      </w:r>
      <w:r w:rsidR="0051307B">
        <w:t>use</w:t>
      </w:r>
      <w:r w:rsidR="00850E61">
        <w:t xml:space="preserve"> [2][4][7]</w:t>
      </w:r>
      <w:r w:rsidR="0051307B">
        <w:t xml:space="preserve">. </w:t>
      </w:r>
    </w:p>
    <w:p w14:paraId="11898C48" w14:textId="77777777" w:rsidR="00B45CD0" w:rsidRPr="00BD1896" w:rsidRDefault="00B45CD0" w:rsidP="00EB17DE"/>
    <w:p w14:paraId="78330759" w14:textId="0AACB991" w:rsidR="00EB17DE" w:rsidRDefault="00EB17DE" w:rsidP="00EB17DE">
      <w:pPr>
        <w:pStyle w:val="Heading2"/>
      </w:pPr>
      <w:bookmarkStart w:id="8" w:name="_Toc193875783"/>
      <w:bookmarkStart w:id="9" w:name="_Toc193919719"/>
      <w:r>
        <w:t>Conclusions</w:t>
      </w:r>
      <w:bookmarkEnd w:id="8"/>
      <w:bookmarkEnd w:id="9"/>
    </w:p>
    <w:p w14:paraId="6E2745EB" w14:textId="77777777" w:rsidR="00035520" w:rsidRDefault="00A95A4D" w:rsidP="00EB17DE">
      <w:r>
        <w:t xml:space="preserve">The results of this experiment strongly support the hypothesis that the concentration of an unknown solution of hydrochloric </w:t>
      </w:r>
      <w:r w:rsidR="006E0229">
        <w:t xml:space="preserve">acid can be calculated using the neutralisation of the acid by sodium hydroxide. </w:t>
      </w:r>
      <w:r w:rsidR="00B63940">
        <w:t>The experiment shows that a titration could be used to neutralise a solution of hydrochloric acid, and tha</w:t>
      </w:r>
      <w:r w:rsidR="00996D3C">
        <w:t>t</w:t>
      </w:r>
      <w:r w:rsidR="00B63940">
        <w:t xml:space="preserve"> the amount of base required to </w:t>
      </w:r>
      <w:r w:rsidR="001C6FA5">
        <w:t>neutralise</w:t>
      </w:r>
      <w:r w:rsidR="00B63940">
        <w:t xml:space="preserve"> this could be accurately measured</w:t>
      </w:r>
      <w:r w:rsidR="009A136C">
        <w:t xml:space="preserve">. And based off the known concentration of sodium hydroxide used, it was possible to calculate a value for the </w:t>
      </w:r>
      <w:r w:rsidR="00204C7D">
        <w:t xml:space="preserve">concentration of the acid. The results gained from this experiment were not as precise </w:t>
      </w:r>
      <w:r w:rsidR="00A6126D">
        <w:t xml:space="preserve">as potentially possible, most likely due to human error, meaning that a definitive value cannot be given, however this experiment </w:t>
      </w:r>
      <w:proofErr w:type="gramStart"/>
      <w:r w:rsidR="00A6126D">
        <w:t>definitely proved</w:t>
      </w:r>
      <w:proofErr w:type="gramEnd"/>
      <w:r w:rsidR="00A6126D">
        <w:t xml:space="preserve"> that it is possible to calculate a value</w:t>
      </w:r>
      <w:r w:rsidR="007A5D5A">
        <w:t>.</w:t>
      </w:r>
      <w:r w:rsidR="00261194">
        <w:t xml:space="preserve"> </w:t>
      </w:r>
    </w:p>
    <w:p w14:paraId="7F714877" w14:textId="532A8A22" w:rsidR="00EB17DE" w:rsidRDefault="00035520" w:rsidP="00EB17DE">
      <w:r>
        <w:t xml:space="preserve">The main source of error across this experiment is human error, primarily from taking measurements. Setting up the experiment and taking measurements during it rely on human </w:t>
      </w:r>
      <w:r>
        <w:lastRenderedPageBreak/>
        <w:t>judgment. Misreading a number or not factoring in the meniscus can lead to results different from their true value. The impact of this can be seen in the third result in the experiment. The point at which the indicator is visible can also be misjudged, again resulting in results different from the true value.</w:t>
      </w:r>
      <w:r>
        <w:t xml:space="preserve"> </w:t>
      </w:r>
      <w:r w:rsidR="00261194">
        <w:t>To reduce the impact of these errors,</w:t>
      </w:r>
      <w:r w:rsidR="00E85B28">
        <w:t xml:space="preserve"> the experiment could have been repeated more, </w:t>
      </w:r>
      <w:r w:rsidR="00F2486A">
        <w:t xml:space="preserve">so outliers </w:t>
      </w:r>
      <w:r w:rsidR="002C1642">
        <w:t xml:space="preserve">can be </w:t>
      </w:r>
      <w:r w:rsidR="001B79D2">
        <w:t>identified,</w:t>
      </w:r>
      <w:r w:rsidR="002C1642">
        <w:t xml:space="preserve"> and the </w:t>
      </w:r>
      <w:r w:rsidR="001B79D2">
        <w:t>value of</w:t>
      </w:r>
      <w:r w:rsidR="002C1642">
        <w:t xml:space="preserve"> molarity</w:t>
      </w:r>
      <w:r w:rsidR="001B79D2">
        <w:t xml:space="preserve"> of the hydrochloric acid</w:t>
      </w:r>
      <w:r w:rsidR="002C1642">
        <w:t xml:space="preserve"> can be averaged across a greater number of data points.</w:t>
      </w:r>
      <w:r w:rsidR="00037A68">
        <w:t xml:space="preserve"> </w:t>
      </w:r>
      <w:r w:rsidR="00344015">
        <w:t xml:space="preserve">Greater accuracy could also be gained </w:t>
      </w:r>
      <w:proofErr w:type="gramStart"/>
      <w:r w:rsidR="00344015">
        <w:t>through the use of</w:t>
      </w:r>
      <w:proofErr w:type="gramEnd"/>
      <w:r w:rsidR="00344015">
        <w:t xml:space="preserve"> more precise equipment, </w:t>
      </w:r>
      <w:r w:rsidR="00BD1261">
        <w:t>such as higher volume pipettes, limiting the potential for errors</w:t>
      </w:r>
      <w:r w:rsidR="00F66B04">
        <w:t xml:space="preserve"> during measuring, and more accurate methods of measuring the point of change in the indicator</w:t>
      </w:r>
      <w:r w:rsidR="00900D57">
        <w:t>, such as through colorimetry</w:t>
      </w:r>
      <w:r w:rsidR="00F66B04">
        <w:t>.</w:t>
      </w:r>
    </w:p>
    <w:p w14:paraId="7B4BFD8E" w14:textId="7261429B" w:rsidR="00EB17DE" w:rsidRDefault="007C7FF1" w:rsidP="00EB17DE">
      <w:r>
        <w:t xml:space="preserve">Further research into titrations could </w:t>
      </w:r>
      <w:proofErr w:type="gramStart"/>
      <w:r>
        <w:t>look into</w:t>
      </w:r>
      <w:proofErr w:type="gramEnd"/>
      <w:r>
        <w:t xml:space="preserve"> the </w:t>
      </w:r>
      <w:r w:rsidR="000E265E">
        <w:t xml:space="preserve">wider applications in the OME field. As it is a method for accurately measuring </w:t>
      </w:r>
      <w:r w:rsidR="002B2253">
        <w:t xml:space="preserve">a reactant, there should be significant use cases in testing in a wide variety of areas. </w:t>
      </w:r>
      <w:r w:rsidR="00780844">
        <w:t xml:space="preserve">Also of interest would be ways to </w:t>
      </w:r>
      <w:r w:rsidR="00673DAB">
        <w:t>utilise the equipment more accurately. During this experiment, the solutions were mixed through swirling the flask. While this worked</w:t>
      </w:r>
      <w:r w:rsidR="00D42DBA">
        <w:t xml:space="preserve">, a more thorough method of mixing could result in more accurate results, as on </w:t>
      </w:r>
      <w:proofErr w:type="gramStart"/>
      <w:r w:rsidR="00D42DBA">
        <w:t>a number of</w:t>
      </w:r>
      <w:proofErr w:type="gramEnd"/>
      <w:r w:rsidR="00D42DBA">
        <w:t xml:space="preserve"> occasions it </w:t>
      </w:r>
      <w:r w:rsidR="001F675E">
        <w:t>appeared that the solution had indicated</w:t>
      </w:r>
      <w:r w:rsidR="00DC6291">
        <w:t>. H</w:t>
      </w:r>
      <w:r w:rsidR="001F675E">
        <w:t>owever</w:t>
      </w:r>
      <w:r w:rsidR="00DC6291">
        <w:t>,</w:t>
      </w:r>
      <w:r w:rsidR="001F675E">
        <w:t xml:space="preserve"> mixing for longer revealed that it was not mixed thoroughly</w:t>
      </w:r>
      <w:r w:rsidR="00DC6291">
        <w:t xml:space="preserve"> enough, and more sodium hydroxide was still required. </w:t>
      </w:r>
      <w:r w:rsidR="006D22EF">
        <w:t xml:space="preserve">Other techniques could include the use of colorimetry, </w:t>
      </w:r>
      <w:r w:rsidR="00CD25FE">
        <w:t>allowing the identification of the equalization point earlier than possible by the human eye.</w:t>
      </w:r>
    </w:p>
    <w:p w14:paraId="565F49FA" w14:textId="77777777" w:rsidR="00D832FB" w:rsidRDefault="00D832FB" w:rsidP="00EB17DE"/>
    <w:p w14:paraId="160DDA0B" w14:textId="77777777" w:rsidR="00D832FB" w:rsidRDefault="00D832FB" w:rsidP="00EB17DE"/>
    <w:p w14:paraId="7CF5041C" w14:textId="77777777" w:rsidR="00D832FB" w:rsidRDefault="00D832FB" w:rsidP="00EB17DE"/>
    <w:p w14:paraId="4E3FCA7C" w14:textId="77777777" w:rsidR="00D832FB" w:rsidRDefault="00D832FB" w:rsidP="00EB17DE"/>
    <w:p w14:paraId="4B266F8E" w14:textId="77777777" w:rsidR="00D832FB" w:rsidRDefault="00D832FB" w:rsidP="00EB17DE"/>
    <w:p w14:paraId="04317781" w14:textId="77777777" w:rsidR="00D832FB" w:rsidRDefault="00D832FB" w:rsidP="00EB17DE"/>
    <w:p w14:paraId="53D1C711" w14:textId="77777777" w:rsidR="00D832FB" w:rsidRDefault="00D832FB" w:rsidP="00EB17DE"/>
    <w:p w14:paraId="18420604" w14:textId="77777777" w:rsidR="00D832FB" w:rsidRDefault="00D832FB" w:rsidP="00EB17DE"/>
    <w:p w14:paraId="0E011CBB" w14:textId="77777777" w:rsidR="00D832FB" w:rsidRDefault="00D832FB" w:rsidP="00EB17DE"/>
    <w:p w14:paraId="0ADF8BA5" w14:textId="77777777" w:rsidR="00D832FB" w:rsidRDefault="00D832FB" w:rsidP="00EB17DE"/>
    <w:p w14:paraId="36F8C0C4" w14:textId="77777777" w:rsidR="00D832FB" w:rsidRDefault="00D832FB" w:rsidP="00EB17DE"/>
    <w:p w14:paraId="2917CC35" w14:textId="77777777" w:rsidR="00D832FB" w:rsidRDefault="00D832FB" w:rsidP="00EB17DE"/>
    <w:p w14:paraId="23ADC475" w14:textId="77777777" w:rsidR="00D832FB" w:rsidRDefault="00D832FB" w:rsidP="00EB17DE"/>
    <w:p w14:paraId="4832E03F" w14:textId="77777777" w:rsidR="00D832FB" w:rsidRDefault="00D832FB" w:rsidP="00EB17DE"/>
    <w:p w14:paraId="21FD3DE9" w14:textId="77777777" w:rsidR="00D832FB" w:rsidRDefault="00D832FB" w:rsidP="00EB17DE"/>
    <w:p w14:paraId="636D8A18" w14:textId="77777777" w:rsidR="00D832FB" w:rsidRDefault="00D832FB" w:rsidP="00EB17DE"/>
    <w:p w14:paraId="73793E7E" w14:textId="77777777" w:rsidR="00D832FB" w:rsidRDefault="00D832FB" w:rsidP="00EB17DE"/>
    <w:p w14:paraId="76E12943" w14:textId="77777777" w:rsidR="00D832FB" w:rsidRDefault="00D832FB" w:rsidP="00EB17DE"/>
    <w:p w14:paraId="6219DED1" w14:textId="77777777" w:rsidR="00D832FB" w:rsidRDefault="00D832FB" w:rsidP="00EB17DE"/>
    <w:p w14:paraId="788B1F2D" w14:textId="77777777" w:rsidR="00D832FB" w:rsidRDefault="00D832FB" w:rsidP="00EB17DE"/>
    <w:p w14:paraId="4514A079" w14:textId="77777777" w:rsidR="00D832FB" w:rsidRDefault="00D832FB" w:rsidP="00EB17DE"/>
    <w:p w14:paraId="02BD0786" w14:textId="77777777" w:rsidR="00D832FB" w:rsidRDefault="00D832FB" w:rsidP="00EB17DE"/>
    <w:p w14:paraId="3670C02A" w14:textId="1F8C8EEF" w:rsidR="00EB17DE" w:rsidRDefault="00EB17DE" w:rsidP="00EB17DE">
      <w:pPr>
        <w:pStyle w:val="Heading2"/>
      </w:pPr>
      <w:bookmarkStart w:id="10" w:name="_Toc193875785"/>
      <w:bookmarkStart w:id="11" w:name="_Toc193919720"/>
      <w:r>
        <w:t>Appendix</w:t>
      </w:r>
      <w:bookmarkEnd w:id="10"/>
      <w:bookmarkEnd w:id="11"/>
    </w:p>
    <w:p w14:paraId="5DCE49BC" w14:textId="6722B515" w:rsidR="00A36AA6" w:rsidRDefault="00A36AA6" w:rsidP="00A36AA6">
      <w:pPr>
        <w:pStyle w:val="Heading3"/>
      </w:pPr>
      <w:bookmarkStart w:id="12" w:name="_Toc193875786"/>
      <w:bookmarkStart w:id="13" w:name="_Toc193919721"/>
      <w:r>
        <w:t>Appendix A</w:t>
      </w:r>
      <w:r w:rsidR="00126AC4">
        <w:t xml:space="preserve"> </w:t>
      </w:r>
      <w:bookmarkEnd w:id="12"/>
      <w:r w:rsidR="00354F6B">
        <w:t>– Method and Materials</w:t>
      </w:r>
      <w:bookmarkEnd w:id="13"/>
    </w:p>
    <w:p w14:paraId="5CC5B51D" w14:textId="570702A9" w:rsidR="00354F6B" w:rsidRDefault="00344F79" w:rsidP="00354F6B">
      <w:r>
        <w:t>Chemicals</w:t>
      </w:r>
      <w:r w:rsidR="00354F6B">
        <w:t>:</w:t>
      </w:r>
    </w:p>
    <w:p w14:paraId="69957AC7" w14:textId="13C5F0E9" w:rsidR="00354F6B" w:rsidRDefault="00EE6543" w:rsidP="00354F6B">
      <w:pPr>
        <w:pStyle w:val="ListParagraph"/>
        <w:numPr>
          <w:ilvl w:val="0"/>
          <w:numId w:val="1"/>
        </w:numPr>
      </w:pPr>
      <w:r>
        <w:t xml:space="preserve">100mL </w:t>
      </w:r>
      <w:r w:rsidR="00B5430F">
        <w:t>of NaOH solution</w:t>
      </w:r>
      <w:r w:rsidR="00B342DA">
        <w:t>, concentration 0.0</w:t>
      </w:r>
      <w:r w:rsidR="00875E4B">
        <w:t>9977 mol</w:t>
      </w:r>
      <w:r w:rsidR="00B97CA8">
        <w:t xml:space="preserve">/L, </w:t>
      </w:r>
      <w:r w:rsidR="00FC3404">
        <w:t>in a beaker</w:t>
      </w:r>
    </w:p>
    <w:p w14:paraId="45A1EA7A" w14:textId="088B6D24" w:rsidR="00FC3404" w:rsidRDefault="0023403B" w:rsidP="00354F6B">
      <w:pPr>
        <w:pStyle w:val="ListParagraph"/>
        <w:numPr>
          <w:ilvl w:val="0"/>
          <w:numId w:val="1"/>
        </w:numPr>
      </w:pPr>
      <w:r>
        <w:t>100mL of HCL solution</w:t>
      </w:r>
      <w:r w:rsidR="00747CC5">
        <w:t>, unknown concentration, in a beaker</w:t>
      </w:r>
    </w:p>
    <w:p w14:paraId="16D1F64C" w14:textId="78ACD647" w:rsidR="00747CC5" w:rsidRDefault="00F22EA2" w:rsidP="00354F6B">
      <w:pPr>
        <w:pStyle w:val="ListParagraph"/>
        <w:numPr>
          <w:ilvl w:val="0"/>
          <w:numId w:val="1"/>
        </w:numPr>
      </w:pPr>
      <w:r>
        <w:t>Phenol</w:t>
      </w:r>
      <w:r w:rsidR="00556FE4">
        <w:t>phthalein</w:t>
      </w:r>
      <w:r w:rsidR="00116FD8">
        <w:t xml:space="preserve"> </w:t>
      </w:r>
      <w:r w:rsidR="007B33F7">
        <w:t>indicator</w:t>
      </w:r>
    </w:p>
    <w:p w14:paraId="0B1D8378" w14:textId="1D3E6086" w:rsidR="00344F79" w:rsidRDefault="00344F79" w:rsidP="00344F79">
      <w:r>
        <w:t>Equipment:</w:t>
      </w:r>
    </w:p>
    <w:p w14:paraId="783CA46A" w14:textId="6CBBAA3E" w:rsidR="00344F79" w:rsidRDefault="00967FFE" w:rsidP="00344F79">
      <w:pPr>
        <w:pStyle w:val="ListParagraph"/>
        <w:numPr>
          <w:ilvl w:val="0"/>
          <w:numId w:val="2"/>
        </w:numPr>
      </w:pPr>
      <w:r>
        <w:t>1x Burette</w:t>
      </w:r>
      <w:r w:rsidR="00A87A79">
        <w:t>, 50mL, held in place i</w:t>
      </w:r>
      <w:r w:rsidR="00C0429D">
        <w:t>n a stand with a clamp</w:t>
      </w:r>
    </w:p>
    <w:p w14:paraId="020139F1" w14:textId="3513D28B" w:rsidR="00C0429D" w:rsidRDefault="002E52A4" w:rsidP="00344F79">
      <w:pPr>
        <w:pStyle w:val="ListParagraph"/>
        <w:numPr>
          <w:ilvl w:val="0"/>
          <w:numId w:val="2"/>
        </w:numPr>
      </w:pPr>
      <w:r>
        <w:t xml:space="preserve">1x </w:t>
      </w:r>
      <w:r w:rsidR="0059369D">
        <w:t xml:space="preserve">Pipette, </w:t>
      </w:r>
      <w:r w:rsidR="002C0D38">
        <w:t>10mL</w:t>
      </w:r>
      <w:r w:rsidR="004C4689">
        <w:t>, with pipette filler</w:t>
      </w:r>
    </w:p>
    <w:p w14:paraId="6F29166D" w14:textId="471C0DA7" w:rsidR="004C4689" w:rsidRDefault="006524C0" w:rsidP="00344F79">
      <w:pPr>
        <w:pStyle w:val="ListParagraph"/>
        <w:numPr>
          <w:ilvl w:val="0"/>
          <w:numId w:val="2"/>
        </w:numPr>
      </w:pPr>
      <w:r>
        <w:t>3x Erlen</w:t>
      </w:r>
      <w:r w:rsidR="00C16479">
        <w:t xml:space="preserve">meyer flasks, </w:t>
      </w:r>
      <w:r w:rsidR="00012F8C">
        <w:t>100mL</w:t>
      </w:r>
    </w:p>
    <w:p w14:paraId="5717C6FF" w14:textId="3164706B" w:rsidR="00012F8C" w:rsidRDefault="009B0D9B" w:rsidP="00344F79">
      <w:pPr>
        <w:pStyle w:val="ListParagraph"/>
        <w:numPr>
          <w:ilvl w:val="0"/>
          <w:numId w:val="2"/>
        </w:numPr>
      </w:pPr>
      <w:r>
        <w:t>1x Small funnel</w:t>
      </w:r>
      <w:r w:rsidR="006A2406">
        <w:t xml:space="preserve"> to fill burette</w:t>
      </w:r>
    </w:p>
    <w:p w14:paraId="38D5CECC" w14:textId="2B8136D3" w:rsidR="006A2406" w:rsidRDefault="00B62B0D" w:rsidP="00344F79">
      <w:pPr>
        <w:pStyle w:val="ListParagraph"/>
        <w:numPr>
          <w:ilvl w:val="0"/>
          <w:numId w:val="2"/>
        </w:numPr>
      </w:pPr>
      <w:r>
        <w:t>1x Plastic pipette</w:t>
      </w:r>
    </w:p>
    <w:p w14:paraId="44410F5C" w14:textId="1EB7A8E7" w:rsidR="005927D6" w:rsidRDefault="00EC44A4" w:rsidP="00344F79">
      <w:pPr>
        <w:pStyle w:val="ListParagraph"/>
        <w:numPr>
          <w:ilvl w:val="0"/>
          <w:numId w:val="2"/>
        </w:numPr>
      </w:pPr>
      <w:r>
        <w:t xml:space="preserve">1x </w:t>
      </w:r>
      <w:r w:rsidR="002410A5">
        <w:t xml:space="preserve">Wash battle, </w:t>
      </w:r>
      <w:r w:rsidR="00FD3E29">
        <w:t>filled with deionised water</w:t>
      </w:r>
    </w:p>
    <w:p w14:paraId="1008B84C" w14:textId="298FF69C" w:rsidR="00FD3E29" w:rsidRDefault="0065238D" w:rsidP="00344F79">
      <w:pPr>
        <w:pStyle w:val="ListParagraph"/>
        <w:numPr>
          <w:ilvl w:val="0"/>
          <w:numId w:val="2"/>
        </w:numPr>
      </w:pPr>
      <w:r>
        <w:t>1x</w:t>
      </w:r>
      <w:r w:rsidR="00B0575B">
        <w:t xml:space="preserve"> Graduated </w:t>
      </w:r>
      <w:r w:rsidR="00CB398B">
        <w:t>cylinder</w:t>
      </w:r>
    </w:p>
    <w:p w14:paraId="4CC6989C" w14:textId="17D3BAB6" w:rsidR="00CB398B" w:rsidRDefault="00690B88" w:rsidP="00344F79">
      <w:pPr>
        <w:pStyle w:val="ListParagraph"/>
        <w:numPr>
          <w:ilvl w:val="0"/>
          <w:numId w:val="2"/>
        </w:numPr>
      </w:pPr>
      <w:r>
        <w:t>1x White tile</w:t>
      </w:r>
    </w:p>
    <w:p w14:paraId="34F72354" w14:textId="432AD0D7" w:rsidR="00690B88" w:rsidRDefault="00311A0C" w:rsidP="00344F79">
      <w:pPr>
        <w:pStyle w:val="ListParagraph"/>
        <w:numPr>
          <w:ilvl w:val="0"/>
          <w:numId w:val="2"/>
        </w:numPr>
      </w:pPr>
      <w:r>
        <w:t>1x Waste beaker</w:t>
      </w:r>
    </w:p>
    <w:p w14:paraId="13936B31" w14:textId="1FEAE291" w:rsidR="004168CB" w:rsidRDefault="004168CB" w:rsidP="004168CB">
      <w:r>
        <w:t>Procedure:</w:t>
      </w:r>
    </w:p>
    <w:p w14:paraId="2D0245BE" w14:textId="5B8BD6EF" w:rsidR="003C463A" w:rsidRDefault="003C463A" w:rsidP="003C463A">
      <w:pPr>
        <w:pStyle w:val="ListParagraph"/>
        <w:numPr>
          <w:ilvl w:val="0"/>
          <w:numId w:val="3"/>
        </w:numPr>
      </w:pPr>
      <w:r>
        <w:t xml:space="preserve">Wash </w:t>
      </w:r>
      <w:r w:rsidR="00C4327B">
        <w:t>the equipment being used:</w:t>
      </w:r>
    </w:p>
    <w:p w14:paraId="000C4E93" w14:textId="47FF5522" w:rsidR="00C4327B" w:rsidRDefault="004C5F1B" w:rsidP="00C4327B">
      <w:pPr>
        <w:pStyle w:val="ListParagraph"/>
        <w:numPr>
          <w:ilvl w:val="0"/>
          <w:numId w:val="4"/>
        </w:numPr>
      </w:pPr>
      <w:r>
        <w:t xml:space="preserve">Burette- </w:t>
      </w:r>
      <w:r w:rsidR="00A15B69">
        <w:t>Rinse with deionised water, discard, then rinse with NaOH solution, discard afterwards</w:t>
      </w:r>
    </w:p>
    <w:p w14:paraId="0F18EC78" w14:textId="5D7281F2" w:rsidR="00A15B69" w:rsidRDefault="00A15B69" w:rsidP="00C4327B">
      <w:pPr>
        <w:pStyle w:val="ListParagraph"/>
        <w:numPr>
          <w:ilvl w:val="0"/>
          <w:numId w:val="4"/>
        </w:numPr>
      </w:pPr>
      <w:r>
        <w:t>Pipette- Rinse with deionised water, discard, then rinse with HCL solution, discarding afterwards</w:t>
      </w:r>
    </w:p>
    <w:p w14:paraId="6DEC4A5A" w14:textId="1FEF46FD" w:rsidR="00A15B69" w:rsidRDefault="00E274AE" w:rsidP="00C4327B">
      <w:pPr>
        <w:pStyle w:val="ListParagraph"/>
        <w:numPr>
          <w:ilvl w:val="0"/>
          <w:numId w:val="4"/>
        </w:numPr>
      </w:pPr>
      <w:r>
        <w:t>Erlenmeyer flasks- Rinse with deionised water</w:t>
      </w:r>
    </w:p>
    <w:p w14:paraId="784C4D9A" w14:textId="18950B03" w:rsidR="00E274AE" w:rsidRDefault="004D0979" w:rsidP="009A023B">
      <w:pPr>
        <w:pStyle w:val="ListParagraph"/>
        <w:numPr>
          <w:ilvl w:val="0"/>
          <w:numId w:val="3"/>
        </w:numPr>
      </w:pPr>
      <w:r>
        <w:t>Fill the burette with NaOH solution,</w:t>
      </w:r>
      <w:r w:rsidR="00943448">
        <w:t xml:space="preserve"> making sure that air bubbles are removed by running excess through the burette</w:t>
      </w:r>
    </w:p>
    <w:p w14:paraId="6F4FEAB9" w14:textId="26E6AD3A" w:rsidR="00943448" w:rsidRDefault="00E47F77" w:rsidP="009A023B">
      <w:pPr>
        <w:pStyle w:val="ListParagraph"/>
        <w:numPr>
          <w:ilvl w:val="0"/>
          <w:numId w:val="3"/>
        </w:numPr>
      </w:pPr>
      <w:r>
        <w:t>Using the pipette, will the 3 Erlenmeyer flasks with 25mL of HCL solution</w:t>
      </w:r>
    </w:p>
    <w:p w14:paraId="5B50C126" w14:textId="376E2DE1" w:rsidR="008C3B46" w:rsidRDefault="009A1AAB" w:rsidP="009A023B">
      <w:pPr>
        <w:pStyle w:val="ListParagraph"/>
        <w:numPr>
          <w:ilvl w:val="0"/>
          <w:numId w:val="3"/>
        </w:numPr>
      </w:pPr>
      <w:r>
        <w:t xml:space="preserve">Add 3 drops of </w:t>
      </w:r>
      <w:r w:rsidR="00325B74">
        <w:t xml:space="preserve">phenolphthalein indicator to each </w:t>
      </w:r>
      <w:r w:rsidR="00116503">
        <w:t>flask, before adding 10mL of deionised water, mixing gently</w:t>
      </w:r>
    </w:p>
    <w:p w14:paraId="54E37AB6" w14:textId="752383A5" w:rsidR="00116503" w:rsidRDefault="001F44AD" w:rsidP="009A023B">
      <w:pPr>
        <w:pStyle w:val="ListParagraph"/>
        <w:numPr>
          <w:ilvl w:val="0"/>
          <w:numId w:val="3"/>
        </w:numPr>
      </w:pPr>
      <w:r>
        <w:t xml:space="preserve">Conduct the first rough titration, </w:t>
      </w:r>
      <w:r w:rsidR="00CD1B13">
        <w:t xml:space="preserve">mixing the flask as you add NaOH using </w:t>
      </w:r>
      <w:r w:rsidR="008C0625">
        <w:t>the burette</w:t>
      </w:r>
      <w:r w:rsidR="0093702A">
        <w:t>, until the solution changes to pink</w:t>
      </w:r>
      <w:r w:rsidR="00EB5C15">
        <w:t>, to get a rough amount for how much NaOH is needed</w:t>
      </w:r>
      <w:r w:rsidR="00A05556">
        <w:t>. Record this reading</w:t>
      </w:r>
    </w:p>
    <w:p w14:paraId="0F8B12AC" w14:textId="4FD1425A" w:rsidR="00EB5C15" w:rsidRDefault="00C26B84" w:rsidP="009A023B">
      <w:pPr>
        <w:pStyle w:val="ListParagraph"/>
        <w:numPr>
          <w:ilvl w:val="0"/>
          <w:numId w:val="3"/>
        </w:numPr>
      </w:pPr>
      <w:r>
        <w:t xml:space="preserve">Repeat step 5, </w:t>
      </w:r>
      <w:r w:rsidR="002F396B">
        <w:t xml:space="preserve">dripping the NaOH solution </w:t>
      </w:r>
      <w:r w:rsidR="0091688C">
        <w:t>using the burette when close to the reading found in the first test.</w:t>
      </w:r>
      <w:r w:rsidR="006D68BC">
        <w:t xml:space="preserve"> This should be accurate to within 1 drop, 0.05mL</w:t>
      </w:r>
      <w:r w:rsidR="006F5FA6">
        <w:t>. Record this</w:t>
      </w:r>
    </w:p>
    <w:p w14:paraId="01C521A0" w14:textId="2FE4841C" w:rsidR="00632D49" w:rsidRPr="00354F6B" w:rsidRDefault="00632D49" w:rsidP="006F5FA6">
      <w:pPr>
        <w:pStyle w:val="ListParagraph"/>
        <w:numPr>
          <w:ilvl w:val="0"/>
          <w:numId w:val="3"/>
        </w:numPr>
      </w:pPr>
      <w:r>
        <w:t>Repeat for the final flas</w:t>
      </w:r>
      <w:r w:rsidR="006F5FA6">
        <w:t>k, recording the result</w:t>
      </w:r>
    </w:p>
    <w:p w14:paraId="3DBB4FE3" w14:textId="77777777" w:rsidR="00126AC4" w:rsidRDefault="00126AC4" w:rsidP="00126AC4"/>
    <w:p w14:paraId="7C2E9B2D" w14:textId="77777777" w:rsidR="006F5FA6" w:rsidRPr="00126AC4" w:rsidRDefault="006F5FA6" w:rsidP="00126AC4"/>
    <w:p w14:paraId="358E11A1" w14:textId="3B0C4928" w:rsidR="00A36AA6" w:rsidRDefault="00126AC4" w:rsidP="00126AC4">
      <w:pPr>
        <w:pStyle w:val="Heading3"/>
      </w:pPr>
      <w:bookmarkStart w:id="14" w:name="_Toc193919722"/>
      <w:r>
        <w:lastRenderedPageBreak/>
        <w:t>Appendix B – Results Sheet</w:t>
      </w:r>
      <w:bookmarkEnd w:id="14"/>
    </w:p>
    <w:p w14:paraId="689B1AD5" w14:textId="0D53AFEB" w:rsidR="00C70229" w:rsidRDefault="00D60DC9">
      <w:pPr>
        <w:spacing w:line="278" w:lineRule="auto"/>
      </w:pPr>
      <w:r>
        <w:rPr>
          <w:noProof/>
          <w14:ligatures w14:val="standardContextual"/>
        </w:rPr>
        <w:drawing>
          <wp:inline distT="0" distB="0" distL="0" distR="0" wp14:anchorId="5E90832A" wp14:editId="508FEA33">
            <wp:extent cx="7642225" cy="5731510"/>
            <wp:effectExtent l="2858" t="0" r="0" b="0"/>
            <wp:docPr id="55283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32574" name="Picture 552832574"/>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C70229">
        <w:br w:type="page"/>
      </w:r>
    </w:p>
    <w:p w14:paraId="2BA11939" w14:textId="72B73795" w:rsidR="00C70229" w:rsidRDefault="00C70229" w:rsidP="00C70229">
      <w:pPr>
        <w:pStyle w:val="Heading2"/>
      </w:pPr>
      <w:bookmarkStart w:id="15" w:name="_Toc193919723"/>
      <w:r>
        <w:lastRenderedPageBreak/>
        <w:t>References</w:t>
      </w:r>
      <w:bookmarkEnd w:id="15"/>
    </w:p>
    <w:p w14:paraId="6283C227" w14:textId="138AE187" w:rsidR="00E32638" w:rsidRPr="00E32638" w:rsidRDefault="00E32638" w:rsidP="00E32638">
      <w:r w:rsidRPr="00E32638">
        <w:t>[1] J. Akhavan. </w:t>
      </w:r>
      <w:r w:rsidRPr="00E32638">
        <w:rPr>
          <w:i/>
          <w:iCs/>
        </w:rPr>
        <w:t>The Chemistry of Explosives The Chemistry of Explosives </w:t>
      </w:r>
      <w:r w:rsidRPr="00E32638">
        <w:t>(4th ed.) 2022Available: </w:t>
      </w:r>
      <w:hyperlink r:id="rId8" w:tgtFrame="_blank" w:history="1">
        <w:r w:rsidRPr="00E32638">
          <w:rPr>
            <w:rStyle w:val="Hyperlink"/>
          </w:rPr>
          <w:t>https://www.perlego.com/book/3286318/the-chemistry-of-explosives-pdf</w:t>
        </w:r>
      </w:hyperlink>
      <w:r w:rsidRPr="00E32638">
        <w:t>.</w:t>
      </w:r>
    </w:p>
    <w:p w14:paraId="73BC2FAD" w14:textId="51FAC046" w:rsidR="00E32638" w:rsidRPr="00E32638" w:rsidRDefault="00E32638" w:rsidP="00E32638">
      <w:r w:rsidRPr="00E32638">
        <w:t xml:space="preserve">[2] M. K. </w:t>
      </w:r>
      <w:proofErr w:type="spellStart"/>
      <w:r w:rsidRPr="00E32638">
        <w:t>Boulkadid</w:t>
      </w:r>
      <w:proofErr w:type="spellEnd"/>
      <w:r w:rsidRPr="00E32638">
        <w:t xml:space="preserve">, M. Lefebvre, L. </w:t>
      </w:r>
      <w:proofErr w:type="spellStart"/>
      <w:r w:rsidRPr="00E32638">
        <w:t>Jeunieau</w:t>
      </w:r>
      <w:proofErr w:type="spellEnd"/>
      <w:r w:rsidRPr="00E32638">
        <w:t xml:space="preserve"> and A. </w:t>
      </w:r>
      <w:proofErr w:type="spellStart"/>
      <w:r w:rsidRPr="00E32638">
        <w:t>Dejeaifve</w:t>
      </w:r>
      <w:proofErr w:type="spellEnd"/>
      <w:r w:rsidRPr="00E32638">
        <w:t>. Mechanical and ballistic properties of spherical single base gun propellant. Mechanical and ballistic properties of spherical single base gun propellant. </w:t>
      </w:r>
      <w:r w:rsidRPr="00E32638">
        <w:rPr>
          <w:i/>
          <w:iCs/>
        </w:rPr>
        <w:t>Central European Journal of Energetic Materials Central European Journal of Energetic Materials 1414(1), </w:t>
      </w:r>
      <w:r w:rsidRPr="00E32638">
        <w:t>pp. 90–104. pp. 90–104. 2017. Available: </w:t>
      </w:r>
      <w:hyperlink r:id="rId9" w:tgtFrame="_blank" w:history="1">
        <w:r w:rsidRPr="00E32638">
          <w:rPr>
            <w:rStyle w:val="Hyperlink"/>
          </w:rPr>
          <w:t>https://doi.org/10.22211/cejem/67538</w:t>
        </w:r>
      </w:hyperlink>
      <w:r w:rsidRPr="00E32638">
        <w:t>. DOI: 10.22211/</w:t>
      </w:r>
      <w:proofErr w:type="spellStart"/>
      <w:r w:rsidRPr="00E32638">
        <w:t>cejem</w:t>
      </w:r>
      <w:proofErr w:type="spellEnd"/>
      <w:r w:rsidRPr="00E32638">
        <w:t>/67538.</w:t>
      </w:r>
    </w:p>
    <w:p w14:paraId="157DF410" w14:textId="0C11C1FD" w:rsidR="00E32638" w:rsidRPr="00E32638" w:rsidRDefault="00E32638" w:rsidP="00E32638">
      <w:r w:rsidRPr="00E32638">
        <w:t xml:space="preserve">[3] F. C. Bowman and W. W. Scott. Titration of nitrates with ferrous </w:t>
      </w:r>
      <w:proofErr w:type="spellStart"/>
      <w:r w:rsidRPr="00E32638">
        <w:t>sulfate</w:t>
      </w:r>
      <w:proofErr w:type="spellEnd"/>
      <w:r w:rsidRPr="00E32638">
        <w:t xml:space="preserve">. Titration of nitrates with ferrous </w:t>
      </w:r>
      <w:proofErr w:type="spellStart"/>
      <w:r w:rsidRPr="00E32638">
        <w:t>sulfate</w:t>
      </w:r>
      <w:proofErr w:type="spellEnd"/>
      <w:r w:rsidRPr="00E32638">
        <w:t>. </w:t>
      </w:r>
      <w:r w:rsidRPr="00E32638">
        <w:rPr>
          <w:i/>
          <w:iCs/>
        </w:rPr>
        <w:t>Industrial and Engineering Chemistry Industrial and Engineering Chemistry 77(9), </w:t>
      </w:r>
      <w:r w:rsidRPr="00E32638">
        <w:t>pp. 766–769. pp. 766–769. 1915. Available: </w:t>
      </w:r>
      <w:hyperlink r:id="rId10" w:tgtFrame="_blank" w:history="1">
        <w:r w:rsidRPr="00E32638">
          <w:rPr>
            <w:rStyle w:val="Hyperlink"/>
          </w:rPr>
          <w:t>http://dx.doi.org/10.1021/ie50081a010</w:t>
        </w:r>
      </w:hyperlink>
      <w:r w:rsidRPr="00E32638">
        <w:t>. DOI: 10.1021/ie50081a010.</w:t>
      </w:r>
    </w:p>
    <w:p w14:paraId="1C08D92A" w14:textId="27B1FD04" w:rsidR="00E32638" w:rsidRPr="00E32638" w:rsidRDefault="00E32638" w:rsidP="00E32638">
      <w:r w:rsidRPr="00E32638">
        <w:t>[4] B. F. d. S. Defanti, L. G. d. Mendonça-Filho and J. Nichele</w:t>
      </w:r>
      <w:r w:rsidR="0049057C">
        <w:t>.</w:t>
      </w:r>
      <w:r w:rsidRPr="00E32638">
        <w:t xml:space="preserve"> Effect of ageing on the combustion of single base propellants. Effect of ageing on the combustion of single base propellants. </w:t>
      </w:r>
      <w:r w:rsidRPr="00E32638">
        <w:rPr>
          <w:i/>
          <w:iCs/>
        </w:rPr>
        <w:t>Combustion and Flame Combustion and Flame 221221</w:t>
      </w:r>
      <w:r w:rsidRPr="00E32638">
        <w:t>pp. 212–218. pp. 212–218. 2020. Available: </w:t>
      </w:r>
      <w:hyperlink r:id="rId11" w:tgtFrame="_blank" w:history="1">
        <w:r w:rsidRPr="00E32638">
          <w:rPr>
            <w:rStyle w:val="Hyperlink"/>
          </w:rPr>
          <w:t>https://dx.doi.org/10.1016/j.combustflame.2020.07.029</w:t>
        </w:r>
      </w:hyperlink>
      <w:r w:rsidRPr="00E32638">
        <w:t>. DOI: 10.1016/j.combustflame.2020.07.029.</w:t>
      </w:r>
    </w:p>
    <w:p w14:paraId="1A7FE173" w14:textId="7244455D" w:rsidR="00E32638" w:rsidRPr="00E32638" w:rsidRDefault="00E32638" w:rsidP="00E32638">
      <w:r w:rsidRPr="00E32638">
        <w:t>[5] E. Morris, C. R. Pulham and C. A. Morrison. Structure and properties of nitrocellulose: Approaching 200 years of research. Structure and properties of nitrocellulose: Approaching 200 years of research. </w:t>
      </w:r>
      <w:r w:rsidRPr="00E32638">
        <w:rPr>
          <w:i/>
          <w:iCs/>
        </w:rPr>
        <w:t>RSC Advances RSC Advances 1313(46), </w:t>
      </w:r>
      <w:r w:rsidRPr="00E32638">
        <w:t>pp. 32321–32333. pp. 32321–32333. 2023. Available: </w:t>
      </w:r>
      <w:hyperlink r:id="rId12" w:tgtFrame="_blank" w:history="1">
        <w:r w:rsidRPr="00E32638">
          <w:rPr>
            <w:rStyle w:val="Hyperlink"/>
          </w:rPr>
          <w:t>https://www.ncbi.nlm.nih.gov/pubmed/37928838</w:t>
        </w:r>
      </w:hyperlink>
      <w:r w:rsidRPr="00E32638">
        <w:t>. DOI: 10.1039/D3RA05457H.</w:t>
      </w:r>
    </w:p>
    <w:p w14:paraId="36F8AD4E" w14:textId="086ED039" w:rsidR="00E32638" w:rsidRPr="00E32638" w:rsidRDefault="00E32638" w:rsidP="00E32638">
      <w:r w:rsidRPr="00E32638">
        <w:t>[6] Services textbook of explosives. Services textbook of explosives. Ministry of Defence. Ministry of Defence. 2020Available: </w:t>
      </w:r>
      <w:hyperlink r:id="rId13" w:tgtFrame="_blank" w:history="1">
        <w:r w:rsidRPr="00E32638">
          <w:rPr>
            <w:rStyle w:val="Hyperlink"/>
          </w:rPr>
          <w:t>https://moodle.uwtsd.ac.uk/pluginfile.php/627974/mod_resource/content/0/JSP%20333%20Service%20Textbook%20of%20Explosives.pdf</w:t>
        </w:r>
      </w:hyperlink>
      <w:r w:rsidRPr="00E32638">
        <w:t>.</w:t>
      </w:r>
    </w:p>
    <w:p w14:paraId="7D1D4979" w14:textId="1E36C305" w:rsidR="00E32638" w:rsidRPr="00E32638" w:rsidRDefault="00E32638" w:rsidP="00E32638">
      <w:r w:rsidRPr="00E32638">
        <w:t xml:space="preserve">[7] R. L. B. Rodrigues, J. Nichele, T. C. C. França and L. G. Mendonça Filho. </w:t>
      </w:r>
      <w:proofErr w:type="spellStart"/>
      <w:r w:rsidRPr="00E32638">
        <w:t>Predição</w:t>
      </w:r>
      <w:proofErr w:type="spellEnd"/>
      <w:r w:rsidRPr="00E32638">
        <w:t xml:space="preserve"> de </w:t>
      </w:r>
      <w:proofErr w:type="spellStart"/>
      <w:r w:rsidRPr="00E32638">
        <w:t>toxicidade</w:t>
      </w:r>
      <w:proofErr w:type="spellEnd"/>
      <w:r w:rsidRPr="00E32638">
        <w:t xml:space="preserve"> dos </w:t>
      </w:r>
      <w:proofErr w:type="spellStart"/>
      <w:r w:rsidRPr="00E32638">
        <w:t>estabilizantes</w:t>
      </w:r>
      <w:proofErr w:type="spellEnd"/>
      <w:r w:rsidRPr="00E32638">
        <w:t xml:space="preserve"> </w:t>
      </w:r>
      <w:proofErr w:type="spellStart"/>
      <w:r w:rsidRPr="00E32638">
        <w:t>usuais</w:t>
      </w:r>
      <w:proofErr w:type="spellEnd"/>
      <w:r w:rsidRPr="00E32638">
        <w:t xml:space="preserve"> </w:t>
      </w:r>
      <w:proofErr w:type="spellStart"/>
      <w:r w:rsidRPr="00E32638">
        <w:t>em</w:t>
      </w:r>
      <w:proofErr w:type="spellEnd"/>
      <w:r w:rsidRPr="00E32638">
        <w:t xml:space="preserve"> </w:t>
      </w:r>
      <w:proofErr w:type="spellStart"/>
      <w:r w:rsidRPr="00E32638">
        <w:t>propelentes</w:t>
      </w:r>
      <w:proofErr w:type="spellEnd"/>
      <w:r w:rsidRPr="00E32638">
        <w:t xml:space="preserve"> à base de </w:t>
      </w:r>
      <w:proofErr w:type="spellStart"/>
      <w:r w:rsidRPr="00E32638">
        <w:t>nitrocelulose</w:t>
      </w:r>
      <w:proofErr w:type="spellEnd"/>
      <w:r w:rsidRPr="00E32638">
        <w:t xml:space="preserve"> e de </w:t>
      </w:r>
      <w:proofErr w:type="spellStart"/>
      <w:r w:rsidRPr="00E32638">
        <w:t>seus</w:t>
      </w:r>
      <w:proofErr w:type="spellEnd"/>
      <w:r w:rsidRPr="00E32638">
        <w:t xml:space="preserve"> </w:t>
      </w:r>
      <w:proofErr w:type="spellStart"/>
      <w:r w:rsidRPr="00E32638">
        <w:t>principais</w:t>
      </w:r>
      <w:proofErr w:type="spellEnd"/>
      <w:r w:rsidRPr="00E32638">
        <w:t xml:space="preserve"> </w:t>
      </w:r>
      <w:proofErr w:type="spellStart"/>
      <w:r w:rsidRPr="00E32638">
        <w:t>produtos</w:t>
      </w:r>
      <w:proofErr w:type="spellEnd"/>
      <w:r w:rsidRPr="00E32638">
        <w:t xml:space="preserve"> de </w:t>
      </w:r>
      <w:proofErr w:type="spellStart"/>
      <w:r w:rsidRPr="00E32638">
        <w:t>degradação</w:t>
      </w:r>
      <w:proofErr w:type="spellEnd"/>
      <w:r w:rsidRPr="00E32638">
        <w:t xml:space="preserve">. </w:t>
      </w:r>
      <w:proofErr w:type="spellStart"/>
      <w:r w:rsidRPr="00E32638">
        <w:t>Predição</w:t>
      </w:r>
      <w:proofErr w:type="spellEnd"/>
      <w:r w:rsidRPr="00E32638">
        <w:t xml:space="preserve"> de </w:t>
      </w:r>
      <w:proofErr w:type="spellStart"/>
      <w:r w:rsidRPr="00E32638">
        <w:t>toxicidade</w:t>
      </w:r>
      <w:proofErr w:type="spellEnd"/>
      <w:r w:rsidRPr="00E32638">
        <w:t xml:space="preserve"> dos </w:t>
      </w:r>
      <w:proofErr w:type="spellStart"/>
      <w:r w:rsidRPr="00E32638">
        <w:t>estabilizantes</w:t>
      </w:r>
      <w:proofErr w:type="spellEnd"/>
      <w:r w:rsidRPr="00E32638">
        <w:t xml:space="preserve"> </w:t>
      </w:r>
      <w:proofErr w:type="spellStart"/>
      <w:r w:rsidRPr="00E32638">
        <w:t>usuais</w:t>
      </w:r>
      <w:proofErr w:type="spellEnd"/>
      <w:r w:rsidRPr="00E32638">
        <w:t xml:space="preserve"> </w:t>
      </w:r>
      <w:proofErr w:type="spellStart"/>
      <w:r w:rsidRPr="00E32638">
        <w:t>em</w:t>
      </w:r>
      <w:proofErr w:type="spellEnd"/>
      <w:r w:rsidRPr="00E32638">
        <w:t xml:space="preserve"> </w:t>
      </w:r>
      <w:proofErr w:type="spellStart"/>
      <w:r w:rsidRPr="00E32638">
        <w:t>propelentes</w:t>
      </w:r>
      <w:proofErr w:type="spellEnd"/>
      <w:r w:rsidRPr="00E32638">
        <w:t xml:space="preserve"> à base de </w:t>
      </w:r>
      <w:proofErr w:type="spellStart"/>
      <w:r w:rsidRPr="00E32638">
        <w:t>nitrocelulose</w:t>
      </w:r>
      <w:proofErr w:type="spellEnd"/>
      <w:r w:rsidRPr="00E32638">
        <w:t xml:space="preserve"> e de </w:t>
      </w:r>
      <w:proofErr w:type="spellStart"/>
      <w:r w:rsidRPr="00E32638">
        <w:t>seus</w:t>
      </w:r>
      <w:proofErr w:type="spellEnd"/>
      <w:r w:rsidRPr="00E32638">
        <w:t xml:space="preserve"> </w:t>
      </w:r>
      <w:proofErr w:type="spellStart"/>
      <w:r w:rsidRPr="00E32638">
        <w:t>principais</w:t>
      </w:r>
      <w:proofErr w:type="spellEnd"/>
      <w:r w:rsidRPr="00E32638">
        <w:t xml:space="preserve"> </w:t>
      </w:r>
      <w:proofErr w:type="spellStart"/>
      <w:r w:rsidRPr="00E32638">
        <w:t>produtos</w:t>
      </w:r>
      <w:proofErr w:type="spellEnd"/>
      <w:r w:rsidRPr="00E32638">
        <w:t xml:space="preserve"> de </w:t>
      </w:r>
      <w:proofErr w:type="spellStart"/>
      <w:r w:rsidRPr="00E32638">
        <w:t>degradação</w:t>
      </w:r>
      <w:proofErr w:type="spellEnd"/>
      <w:r w:rsidRPr="00E32638">
        <w:t>. </w:t>
      </w:r>
      <w:proofErr w:type="spellStart"/>
      <w:r w:rsidRPr="00E32638">
        <w:rPr>
          <w:i/>
          <w:iCs/>
        </w:rPr>
        <w:t>Química</w:t>
      </w:r>
      <w:proofErr w:type="spellEnd"/>
      <w:r w:rsidRPr="00E32638">
        <w:rPr>
          <w:i/>
          <w:iCs/>
        </w:rPr>
        <w:t xml:space="preserve"> Nova </w:t>
      </w:r>
      <w:proofErr w:type="spellStart"/>
      <w:r w:rsidRPr="00E32638">
        <w:rPr>
          <w:i/>
          <w:iCs/>
        </w:rPr>
        <w:t>Química</w:t>
      </w:r>
      <w:proofErr w:type="spellEnd"/>
      <w:r w:rsidRPr="00E32638">
        <w:rPr>
          <w:i/>
          <w:iCs/>
        </w:rPr>
        <w:t xml:space="preserve"> Nova 4141(8), </w:t>
      </w:r>
      <w:r w:rsidRPr="00E32638">
        <w:t>pp. 867–873. pp. 867–873. 2018. Available: </w:t>
      </w:r>
      <w:hyperlink r:id="rId14" w:tgtFrame="_blank" w:history="1">
        <w:r w:rsidRPr="00E32638">
          <w:rPr>
            <w:rStyle w:val="Hyperlink"/>
          </w:rPr>
          <w:t>http://www.scielo.br/scielo.php?script=sci_arttext&amp;pid=S0100-40422018000800867&amp;lng=en&amp;tlng=en</w:t>
        </w:r>
      </w:hyperlink>
      <w:r w:rsidRPr="00E32638">
        <w:t>. DOI: 10.21577/0100-4042.20170264.</w:t>
      </w:r>
    </w:p>
    <w:p w14:paraId="67989360" w14:textId="35E46604" w:rsidR="00E32638" w:rsidRPr="00E32638" w:rsidRDefault="00E32638" w:rsidP="00E32638">
      <w:r w:rsidRPr="00E32638">
        <w:t xml:space="preserve">[8] F. Sullivan, L. Simon, N. Ioannidis, S. Patel, Z. Ophir, C. Gogos, M. Jaffe, S. Tirmizi, P. Bonnett and P. Abbate. Chemical reaction </w:t>
      </w:r>
      <w:proofErr w:type="spellStart"/>
      <w:r w:rsidRPr="00E32638">
        <w:t>modeling</w:t>
      </w:r>
      <w:proofErr w:type="spellEnd"/>
      <w:r w:rsidRPr="00E32638">
        <w:t xml:space="preserve"> of industrial scale nitrocellulose production for military applications. Chemical reaction </w:t>
      </w:r>
      <w:proofErr w:type="spellStart"/>
      <w:r w:rsidRPr="00E32638">
        <w:t>modeling</w:t>
      </w:r>
      <w:proofErr w:type="spellEnd"/>
      <w:r w:rsidRPr="00E32638">
        <w:t xml:space="preserve"> of industrial scale nitrocellulose production for military applications. </w:t>
      </w:r>
      <w:r w:rsidRPr="00E32638">
        <w:rPr>
          <w:i/>
          <w:iCs/>
        </w:rPr>
        <w:t>AIChE J. AIChE J. 6666(7), </w:t>
      </w:r>
      <w:r w:rsidRPr="00E32638">
        <w:t xml:space="preserve">pp. e16234. pp. e16234. </w:t>
      </w:r>
      <w:proofErr w:type="gramStart"/>
      <w:r w:rsidRPr="00E32638">
        <w:t>2020. .</w:t>
      </w:r>
      <w:proofErr w:type="gramEnd"/>
    </w:p>
    <w:p w14:paraId="635AC3C8" w14:textId="162A8112" w:rsidR="00E32638" w:rsidRPr="00E32638" w:rsidRDefault="00E32638" w:rsidP="00E32638">
      <w:r w:rsidRPr="00E32638">
        <w:t>[9] University of Wales Trinity St David. ACDB 4011: Titration. ACDB 4011: Titration. Available: </w:t>
      </w:r>
      <w:hyperlink r:id="rId15" w:tgtFrame="_blank" w:history="1">
        <w:r w:rsidRPr="00E32638">
          <w:rPr>
            <w:rStyle w:val="Hyperlink"/>
          </w:rPr>
          <w:t>https://moodle.uwtsd.ac.uk/</w:t>
        </w:r>
      </w:hyperlink>
      <w:r w:rsidRPr="00E32638">
        <w:t>.</w:t>
      </w:r>
    </w:p>
    <w:p w14:paraId="2C15BDCD" w14:textId="77A64C4E" w:rsidR="00E32638" w:rsidRPr="00E32638" w:rsidRDefault="00E32638" w:rsidP="00E32638">
      <w:r w:rsidRPr="00E32638">
        <w:t>[10] E. C. Worden. </w:t>
      </w:r>
      <w:r w:rsidRPr="00E32638">
        <w:rPr>
          <w:i/>
          <w:iCs/>
        </w:rPr>
        <w:t>Nitrocellulose Industry Nitrocellulose Industry </w:t>
      </w:r>
      <w:r w:rsidRPr="00E32638">
        <w:t>1911.</w:t>
      </w:r>
    </w:p>
    <w:p w14:paraId="591F3BC3" w14:textId="41CA3217" w:rsidR="00E32638" w:rsidRPr="00E32638" w:rsidRDefault="00E32638" w:rsidP="00E32638">
      <w:r w:rsidRPr="00E32638">
        <w:t>[11] Y. Zheng, H. Gao, X. Cao, B. Wang and F. Nan. Study on the method of measuring nitrocellulose nitrogen content. Study on the method of measuring nitrocellulose nitrogen content. </w:t>
      </w:r>
      <w:r w:rsidRPr="00E32638">
        <w:rPr>
          <w:i/>
          <w:iCs/>
        </w:rPr>
        <w:t>Journal of Physics. Conference Series Journal of Physics. Conference Series 20212021(1), </w:t>
      </w:r>
      <w:r w:rsidRPr="00E32638">
        <w:t xml:space="preserve">pp. 12072. pp. 12072. </w:t>
      </w:r>
      <w:r w:rsidRPr="00E32638">
        <w:lastRenderedPageBreak/>
        <w:t>2021. Available: </w:t>
      </w:r>
      <w:hyperlink r:id="rId16" w:tgtFrame="_blank" w:history="1">
        <w:r w:rsidRPr="00E32638">
          <w:rPr>
            <w:rStyle w:val="Hyperlink"/>
          </w:rPr>
          <w:t>https://iopscience.iop.org/article/10.1088/1742-6596/2021/1/012072</w:t>
        </w:r>
      </w:hyperlink>
      <w:r w:rsidRPr="00E32638">
        <w:t>. DOI: 10.1088/1742-6596/2021/1/012072.</w:t>
      </w:r>
    </w:p>
    <w:p w14:paraId="1E447CF6" w14:textId="16104391" w:rsidR="00E32638" w:rsidRPr="00E32638" w:rsidRDefault="00E32638" w:rsidP="00E32638">
      <w:r w:rsidRPr="00E32638">
        <w:t xml:space="preserve">[12] </w:t>
      </w:r>
      <w:r w:rsidRPr="00E32638">
        <w:rPr>
          <w:rFonts w:ascii="MS Gothic" w:eastAsia="MS Gothic" w:hAnsi="MS Gothic" w:cs="MS Gothic" w:hint="eastAsia"/>
        </w:rPr>
        <w:t>徹</w:t>
      </w:r>
      <w:r w:rsidRPr="00E32638">
        <w:t xml:space="preserve"> </w:t>
      </w:r>
      <w:r w:rsidRPr="00E32638">
        <w:rPr>
          <w:rFonts w:ascii="MS Gothic" w:eastAsia="MS Gothic" w:hAnsi="MS Gothic" w:cs="MS Gothic" w:hint="eastAsia"/>
        </w:rPr>
        <w:t>朗</w:t>
      </w:r>
      <w:r w:rsidRPr="00E32638">
        <w:t xml:space="preserve"> </w:t>
      </w:r>
      <w:proofErr w:type="spellStart"/>
      <w:r w:rsidRPr="00E32638">
        <w:rPr>
          <w:rFonts w:ascii="MS Gothic" w:eastAsia="MS Gothic" w:hAnsi="MS Gothic" w:cs="MS Gothic" w:hint="eastAsia"/>
        </w:rPr>
        <w:t>村上</w:t>
      </w:r>
      <w:proofErr w:type="spellEnd"/>
      <w:r w:rsidRPr="00E32638">
        <w:t xml:space="preserve">. </w:t>
      </w:r>
      <w:proofErr w:type="spellStart"/>
      <w:r w:rsidRPr="00E32638">
        <w:rPr>
          <w:rFonts w:ascii="MS Gothic" w:eastAsia="MS Gothic" w:hAnsi="MS Gothic" w:cs="MS Gothic" w:hint="eastAsia"/>
        </w:rPr>
        <w:t>硫酸第一鉄滴定による硝酸および硝酸繊維素中の窒素迅速定量法</w:t>
      </w:r>
      <w:proofErr w:type="spellEnd"/>
      <w:r w:rsidRPr="00E32638">
        <w:t xml:space="preserve">. </w:t>
      </w:r>
      <w:proofErr w:type="spellStart"/>
      <w:r w:rsidRPr="00E32638">
        <w:rPr>
          <w:rFonts w:ascii="MS Gothic" w:eastAsia="MS Gothic" w:hAnsi="MS Gothic" w:cs="MS Gothic" w:hint="eastAsia"/>
        </w:rPr>
        <w:t>硫酸第一鉄滴定による硝酸および硝酸繊維素中の窒素迅速定量法</w:t>
      </w:r>
      <w:proofErr w:type="spellEnd"/>
      <w:r w:rsidRPr="00E32638">
        <w:t>. </w:t>
      </w:r>
      <w:proofErr w:type="spellStart"/>
      <w:r w:rsidRPr="00E32638">
        <w:rPr>
          <w:rFonts w:ascii="MS Gothic" w:eastAsia="MS Gothic" w:hAnsi="MS Gothic" w:cs="MS Gothic" w:hint="eastAsia"/>
          <w:i/>
          <w:iCs/>
        </w:rPr>
        <w:t>分析化学</w:t>
      </w:r>
      <w:proofErr w:type="spellEnd"/>
      <w:r w:rsidRPr="00E32638">
        <w:rPr>
          <w:i/>
          <w:iCs/>
        </w:rPr>
        <w:t> </w:t>
      </w:r>
      <w:proofErr w:type="spellStart"/>
      <w:r w:rsidRPr="00E32638">
        <w:rPr>
          <w:rFonts w:ascii="MS Gothic" w:eastAsia="MS Gothic" w:hAnsi="MS Gothic" w:cs="MS Gothic" w:hint="eastAsia"/>
          <w:i/>
          <w:iCs/>
        </w:rPr>
        <w:t>分析化学</w:t>
      </w:r>
      <w:proofErr w:type="spellEnd"/>
      <w:r w:rsidRPr="00E32638">
        <w:rPr>
          <w:i/>
          <w:iCs/>
        </w:rPr>
        <w:t> 99(2), </w:t>
      </w:r>
      <w:r w:rsidRPr="00E32638">
        <w:t>pp. 100–105. pp. 100–105. 1960. Available: </w:t>
      </w:r>
      <w:hyperlink r:id="rId17" w:tgtFrame="_blank" w:history="1">
        <w:r w:rsidRPr="00E32638">
          <w:rPr>
            <w:rStyle w:val="Hyperlink"/>
          </w:rPr>
          <w:t>https://www.jstage.jst.go.jp/article/bunsekikagaku1952/9/2/9_2_100/_article/-char/ja</w:t>
        </w:r>
      </w:hyperlink>
      <w:r w:rsidRPr="00E32638">
        <w:t>. DOI: 10.2116/bunsekikagaku.9.100.</w:t>
      </w:r>
    </w:p>
    <w:p w14:paraId="3FEA8484" w14:textId="77777777" w:rsidR="00C70229" w:rsidRPr="00C70229" w:rsidRDefault="00C70229" w:rsidP="00C70229"/>
    <w:sectPr w:rsidR="00C70229" w:rsidRPr="00C70229" w:rsidSect="00EB3C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3E04"/>
    <w:multiLevelType w:val="hybridMultilevel"/>
    <w:tmpl w:val="AFCC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63DD0"/>
    <w:multiLevelType w:val="hybridMultilevel"/>
    <w:tmpl w:val="32AA3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CF66E5"/>
    <w:multiLevelType w:val="hybridMultilevel"/>
    <w:tmpl w:val="B726A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1B53C8"/>
    <w:multiLevelType w:val="hybridMultilevel"/>
    <w:tmpl w:val="B920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174898">
    <w:abstractNumId w:val="3"/>
  </w:num>
  <w:num w:numId="2" w16cid:durableId="1430806697">
    <w:abstractNumId w:val="0"/>
  </w:num>
  <w:num w:numId="3" w16cid:durableId="647517578">
    <w:abstractNumId w:val="2"/>
  </w:num>
  <w:num w:numId="4" w16cid:durableId="1321735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08"/>
    <w:rsid w:val="00002552"/>
    <w:rsid w:val="000075AD"/>
    <w:rsid w:val="00012F8C"/>
    <w:rsid w:val="00013517"/>
    <w:rsid w:val="00025E6C"/>
    <w:rsid w:val="000301D6"/>
    <w:rsid w:val="00035520"/>
    <w:rsid w:val="00037A68"/>
    <w:rsid w:val="000612C9"/>
    <w:rsid w:val="0006371F"/>
    <w:rsid w:val="00090E1B"/>
    <w:rsid w:val="000B0D8E"/>
    <w:rsid w:val="000C264B"/>
    <w:rsid w:val="000C7D54"/>
    <w:rsid w:val="000D179C"/>
    <w:rsid w:val="000E265E"/>
    <w:rsid w:val="000E7096"/>
    <w:rsid w:val="000F5F37"/>
    <w:rsid w:val="00116503"/>
    <w:rsid w:val="00116FD8"/>
    <w:rsid w:val="00126AC4"/>
    <w:rsid w:val="00151CA9"/>
    <w:rsid w:val="001521E9"/>
    <w:rsid w:val="001561BE"/>
    <w:rsid w:val="00174926"/>
    <w:rsid w:val="0019018E"/>
    <w:rsid w:val="001B1C28"/>
    <w:rsid w:val="001B79D2"/>
    <w:rsid w:val="001C6FA5"/>
    <w:rsid w:val="001D5AA0"/>
    <w:rsid w:val="001E3B46"/>
    <w:rsid w:val="001E48F0"/>
    <w:rsid w:val="001F44AD"/>
    <w:rsid w:val="001F675E"/>
    <w:rsid w:val="00202472"/>
    <w:rsid w:val="00204C7D"/>
    <w:rsid w:val="00224033"/>
    <w:rsid w:val="0023403B"/>
    <w:rsid w:val="002410A5"/>
    <w:rsid w:val="00261194"/>
    <w:rsid w:val="002B2253"/>
    <w:rsid w:val="002C0D38"/>
    <w:rsid w:val="002C1642"/>
    <w:rsid w:val="002E3F43"/>
    <w:rsid w:val="002E52A4"/>
    <w:rsid w:val="002E6D7A"/>
    <w:rsid w:val="002F396B"/>
    <w:rsid w:val="00302326"/>
    <w:rsid w:val="00304B26"/>
    <w:rsid w:val="00307B4A"/>
    <w:rsid w:val="00311A0C"/>
    <w:rsid w:val="00314069"/>
    <w:rsid w:val="00317614"/>
    <w:rsid w:val="00325B74"/>
    <w:rsid w:val="003350D0"/>
    <w:rsid w:val="00337911"/>
    <w:rsid w:val="00342B3D"/>
    <w:rsid w:val="00344015"/>
    <w:rsid w:val="00344F79"/>
    <w:rsid w:val="00354F6B"/>
    <w:rsid w:val="00387BDC"/>
    <w:rsid w:val="003937A5"/>
    <w:rsid w:val="00397CA5"/>
    <w:rsid w:val="003A53EE"/>
    <w:rsid w:val="003A62E3"/>
    <w:rsid w:val="003B28E9"/>
    <w:rsid w:val="003C1612"/>
    <w:rsid w:val="003C176B"/>
    <w:rsid w:val="003C463A"/>
    <w:rsid w:val="003C7D00"/>
    <w:rsid w:val="003D1706"/>
    <w:rsid w:val="003E18ED"/>
    <w:rsid w:val="003F179E"/>
    <w:rsid w:val="00402E9B"/>
    <w:rsid w:val="004041F4"/>
    <w:rsid w:val="00413D60"/>
    <w:rsid w:val="00413DB0"/>
    <w:rsid w:val="004168CB"/>
    <w:rsid w:val="004171ED"/>
    <w:rsid w:val="00423C5B"/>
    <w:rsid w:val="0043246F"/>
    <w:rsid w:val="004459D7"/>
    <w:rsid w:val="00462F35"/>
    <w:rsid w:val="0047272C"/>
    <w:rsid w:val="0049057C"/>
    <w:rsid w:val="004B6A73"/>
    <w:rsid w:val="004C4689"/>
    <w:rsid w:val="004C5F1B"/>
    <w:rsid w:val="004C799C"/>
    <w:rsid w:val="004D0979"/>
    <w:rsid w:val="0051307B"/>
    <w:rsid w:val="00520A1D"/>
    <w:rsid w:val="0052327B"/>
    <w:rsid w:val="00527611"/>
    <w:rsid w:val="0053519E"/>
    <w:rsid w:val="005431F9"/>
    <w:rsid w:val="00545AC3"/>
    <w:rsid w:val="00556FE4"/>
    <w:rsid w:val="005621B9"/>
    <w:rsid w:val="005734C1"/>
    <w:rsid w:val="005927D6"/>
    <w:rsid w:val="0059369D"/>
    <w:rsid w:val="005A1989"/>
    <w:rsid w:val="005B016E"/>
    <w:rsid w:val="005C3F35"/>
    <w:rsid w:val="005E7640"/>
    <w:rsid w:val="005E7930"/>
    <w:rsid w:val="005F1A8D"/>
    <w:rsid w:val="005F5533"/>
    <w:rsid w:val="00605652"/>
    <w:rsid w:val="00611EEB"/>
    <w:rsid w:val="00623E8D"/>
    <w:rsid w:val="00632D49"/>
    <w:rsid w:val="00634185"/>
    <w:rsid w:val="0065238D"/>
    <w:rsid w:val="006524C0"/>
    <w:rsid w:val="00673A08"/>
    <w:rsid w:val="00673DAB"/>
    <w:rsid w:val="00681207"/>
    <w:rsid w:val="00690B88"/>
    <w:rsid w:val="006A2406"/>
    <w:rsid w:val="006A4F9E"/>
    <w:rsid w:val="006C62AF"/>
    <w:rsid w:val="006D22EF"/>
    <w:rsid w:val="006D5921"/>
    <w:rsid w:val="006D68BC"/>
    <w:rsid w:val="006E0229"/>
    <w:rsid w:val="006F5FA6"/>
    <w:rsid w:val="00715034"/>
    <w:rsid w:val="0072569B"/>
    <w:rsid w:val="007446EA"/>
    <w:rsid w:val="00747CC5"/>
    <w:rsid w:val="00762464"/>
    <w:rsid w:val="00780844"/>
    <w:rsid w:val="00790D15"/>
    <w:rsid w:val="007A0573"/>
    <w:rsid w:val="007A0F8C"/>
    <w:rsid w:val="007A5D5A"/>
    <w:rsid w:val="007B33F7"/>
    <w:rsid w:val="007B618B"/>
    <w:rsid w:val="007C4365"/>
    <w:rsid w:val="007C529F"/>
    <w:rsid w:val="007C7FF1"/>
    <w:rsid w:val="007D6AE3"/>
    <w:rsid w:val="008044CA"/>
    <w:rsid w:val="0081135B"/>
    <w:rsid w:val="00830972"/>
    <w:rsid w:val="00832E56"/>
    <w:rsid w:val="00837595"/>
    <w:rsid w:val="00850E61"/>
    <w:rsid w:val="00866A6D"/>
    <w:rsid w:val="00875E4B"/>
    <w:rsid w:val="00891A69"/>
    <w:rsid w:val="00894869"/>
    <w:rsid w:val="008A6494"/>
    <w:rsid w:val="008C0625"/>
    <w:rsid w:val="008C3B46"/>
    <w:rsid w:val="008E0047"/>
    <w:rsid w:val="008F3E0A"/>
    <w:rsid w:val="00900D57"/>
    <w:rsid w:val="00901D01"/>
    <w:rsid w:val="009079A0"/>
    <w:rsid w:val="0091688C"/>
    <w:rsid w:val="00922AFC"/>
    <w:rsid w:val="00935A1F"/>
    <w:rsid w:val="0093702A"/>
    <w:rsid w:val="00940856"/>
    <w:rsid w:val="00943448"/>
    <w:rsid w:val="00947795"/>
    <w:rsid w:val="0094789A"/>
    <w:rsid w:val="00967FFE"/>
    <w:rsid w:val="00976A59"/>
    <w:rsid w:val="0098355E"/>
    <w:rsid w:val="00986475"/>
    <w:rsid w:val="00996D3C"/>
    <w:rsid w:val="009A023B"/>
    <w:rsid w:val="009A04D7"/>
    <w:rsid w:val="009A136C"/>
    <w:rsid w:val="009A139B"/>
    <w:rsid w:val="009A1AAB"/>
    <w:rsid w:val="009A7DE4"/>
    <w:rsid w:val="009B0D9B"/>
    <w:rsid w:val="009C6A33"/>
    <w:rsid w:val="009D210A"/>
    <w:rsid w:val="009D6923"/>
    <w:rsid w:val="009F2076"/>
    <w:rsid w:val="00A05556"/>
    <w:rsid w:val="00A15B69"/>
    <w:rsid w:val="00A23217"/>
    <w:rsid w:val="00A3605A"/>
    <w:rsid w:val="00A36AA6"/>
    <w:rsid w:val="00A441C5"/>
    <w:rsid w:val="00A6126D"/>
    <w:rsid w:val="00A7027B"/>
    <w:rsid w:val="00A77F23"/>
    <w:rsid w:val="00A82182"/>
    <w:rsid w:val="00A87A79"/>
    <w:rsid w:val="00A95A4D"/>
    <w:rsid w:val="00A968FE"/>
    <w:rsid w:val="00AA0F2C"/>
    <w:rsid w:val="00AE278A"/>
    <w:rsid w:val="00AF06A8"/>
    <w:rsid w:val="00AF27CD"/>
    <w:rsid w:val="00AF4F38"/>
    <w:rsid w:val="00B01EC3"/>
    <w:rsid w:val="00B0575B"/>
    <w:rsid w:val="00B05CFA"/>
    <w:rsid w:val="00B342DA"/>
    <w:rsid w:val="00B45CD0"/>
    <w:rsid w:val="00B5408B"/>
    <w:rsid w:val="00B5430F"/>
    <w:rsid w:val="00B62B0D"/>
    <w:rsid w:val="00B63940"/>
    <w:rsid w:val="00B63DFB"/>
    <w:rsid w:val="00B65173"/>
    <w:rsid w:val="00B7674D"/>
    <w:rsid w:val="00B85F6A"/>
    <w:rsid w:val="00B9236F"/>
    <w:rsid w:val="00B97CA8"/>
    <w:rsid w:val="00BC202B"/>
    <w:rsid w:val="00BD1261"/>
    <w:rsid w:val="00BD1896"/>
    <w:rsid w:val="00BE1C66"/>
    <w:rsid w:val="00BE389C"/>
    <w:rsid w:val="00BE6FEA"/>
    <w:rsid w:val="00C0429D"/>
    <w:rsid w:val="00C1326F"/>
    <w:rsid w:val="00C16479"/>
    <w:rsid w:val="00C247DE"/>
    <w:rsid w:val="00C26B84"/>
    <w:rsid w:val="00C339FA"/>
    <w:rsid w:val="00C33FDB"/>
    <w:rsid w:val="00C4327B"/>
    <w:rsid w:val="00C5317D"/>
    <w:rsid w:val="00C70229"/>
    <w:rsid w:val="00C9418C"/>
    <w:rsid w:val="00C95C6E"/>
    <w:rsid w:val="00CA4886"/>
    <w:rsid w:val="00CB398B"/>
    <w:rsid w:val="00CB4C80"/>
    <w:rsid w:val="00CC482C"/>
    <w:rsid w:val="00CD1B13"/>
    <w:rsid w:val="00CD25FE"/>
    <w:rsid w:val="00D0604F"/>
    <w:rsid w:val="00D112D0"/>
    <w:rsid w:val="00D13621"/>
    <w:rsid w:val="00D35C4C"/>
    <w:rsid w:val="00D41949"/>
    <w:rsid w:val="00D42DBA"/>
    <w:rsid w:val="00D46643"/>
    <w:rsid w:val="00D60DC9"/>
    <w:rsid w:val="00D64049"/>
    <w:rsid w:val="00D669B2"/>
    <w:rsid w:val="00D75ED1"/>
    <w:rsid w:val="00D82708"/>
    <w:rsid w:val="00D832FB"/>
    <w:rsid w:val="00D90A19"/>
    <w:rsid w:val="00D948E6"/>
    <w:rsid w:val="00DC6291"/>
    <w:rsid w:val="00DD7C49"/>
    <w:rsid w:val="00DE05D2"/>
    <w:rsid w:val="00DE5790"/>
    <w:rsid w:val="00E073E9"/>
    <w:rsid w:val="00E112A6"/>
    <w:rsid w:val="00E11DD9"/>
    <w:rsid w:val="00E274AE"/>
    <w:rsid w:val="00E32638"/>
    <w:rsid w:val="00E359C2"/>
    <w:rsid w:val="00E47F77"/>
    <w:rsid w:val="00E56A3D"/>
    <w:rsid w:val="00E622CE"/>
    <w:rsid w:val="00E703F4"/>
    <w:rsid w:val="00E85B28"/>
    <w:rsid w:val="00E92EA9"/>
    <w:rsid w:val="00E95268"/>
    <w:rsid w:val="00EB17DE"/>
    <w:rsid w:val="00EB3C3F"/>
    <w:rsid w:val="00EB55E5"/>
    <w:rsid w:val="00EB5C15"/>
    <w:rsid w:val="00EB6B09"/>
    <w:rsid w:val="00EC44A4"/>
    <w:rsid w:val="00EC5AD1"/>
    <w:rsid w:val="00ED5AF5"/>
    <w:rsid w:val="00EE6479"/>
    <w:rsid w:val="00EE6543"/>
    <w:rsid w:val="00EF52E9"/>
    <w:rsid w:val="00EF6D1F"/>
    <w:rsid w:val="00F00122"/>
    <w:rsid w:val="00F0710D"/>
    <w:rsid w:val="00F102AD"/>
    <w:rsid w:val="00F21D25"/>
    <w:rsid w:val="00F22EA2"/>
    <w:rsid w:val="00F2486A"/>
    <w:rsid w:val="00F437CF"/>
    <w:rsid w:val="00F53C55"/>
    <w:rsid w:val="00F65178"/>
    <w:rsid w:val="00F66B04"/>
    <w:rsid w:val="00F8156D"/>
    <w:rsid w:val="00F858C5"/>
    <w:rsid w:val="00FA1732"/>
    <w:rsid w:val="00FC0313"/>
    <w:rsid w:val="00FC0ED4"/>
    <w:rsid w:val="00FC3404"/>
    <w:rsid w:val="00FD0F61"/>
    <w:rsid w:val="00FD3E29"/>
    <w:rsid w:val="00FE518A"/>
    <w:rsid w:val="00FF1871"/>
    <w:rsid w:val="00FF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7E1E"/>
  <w15:chartTrackingRefBased/>
  <w15:docId w15:val="{0EC95C33-2808-4384-A20D-52E65D2DD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82708"/>
    <w:pPr>
      <w:spacing w:line="259"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D8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708"/>
    <w:rPr>
      <w:rFonts w:eastAsiaTheme="majorEastAsia" w:cstheme="majorBidi"/>
      <w:color w:val="272727" w:themeColor="text1" w:themeTint="D8"/>
    </w:rPr>
  </w:style>
  <w:style w:type="paragraph" w:styleId="Title">
    <w:name w:val="Title"/>
    <w:basedOn w:val="Normal"/>
    <w:next w:val="Normal"/>
    <w:link w:val="TitleChar"/>
    <w:uiPriority w:val="10"/>
    <w:qFormat/>
    <w:rsid w:val="00D8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708"/>
    <w:pPr>
      <w:spacing w:before="160"/>
      <w:jc w:val="center"/>
    </w:pPr>
    <w:rPr>
      <w:i/>
      <w:iCs/>
      <w:color w:val="404040" w:themeColor="text1" w:themeTint="BF"/>
    </w:rPr>
  </w:style>
  <w:style w:type="character" w:customStyle="1" w:styleId="QuoteChar">
    <w:name w:val="Quote Char"/>
    <w:basedOn w:val="DefaultParagraphFont"/>
    <w:link w:val="Quote"/>
    <w:uiPriority w:val="29"/>
    <w:rsid w:val="00D82708"/>
    <w:rPr>
      <w:i/>
      <w:iCs/>
      <w:color w:val="404040" w:themeColor="text1" w:themeTint="BF"/>
    </w:rPr>
  </w:style>
  <w:style w:type="paragraph" w:styleId="ListParagraph">
    <w:name w:val="List Paragraph"/>
    <w:basedOn w:val="Normal"/>
    <w:uiPriority w:val="34"/>
    <w:qFormat/>
    <w:rsid w:val="00D82708"/>
    <w:pPr>
      <w:ind w:left="720"/>
      <w:contextualSpacing/>
    </w:pPr>
  </w:style>
  <w:style w:type="character" w:styleId="IntenseEmphasis">
    <w:name w:val="Intense Emphasis"/>
    <w:basedOn w:val="DefaultParagraphFont"/>
    <w:uiPriority w:val="21"/>
    <w:qFormat/>
    <w:rsid w:val="00D82708"/>
    <w:rPr>
      <w:i/>
      <w:iCs/>
      <w:color w:val="0F4761" w:themeColor="accent1" w:themeShade="BF"/>
    </w:rPr>
  </w:style>
  <w:style w:type="paragraph" w:styleId="IntenseQuote">
    <w:name w:val="Intense Quote"/>
    <w:basedOn w:val="Normal"/>
    <w:next w:val="Normal"/>
    <w:link w:val="IntenseQuoteChar"/>
    <w:uiPriority w:val="30"/>
    <w:qFormat/>
    <w:rsid w:val="00D8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708"/>
    <w:rPr>
      <w:i/>
      <w:iCs/>
      <w:color w:val="0F4761" w:themeColor="accent1" w:themeShade="BF"/>
    </w:rPr>
  </w:style>
  <w:style w:type="character" w:styleId="IntenseReference">
    <w:name w:val="Intense Reference"/>
    <w:basedOn w:val="DefaultParagraphFont"/>
    <w:uiPriority w:val="32"/>
    <w:qFormat/>
    <w:rsid w:val="00D82708"/>
    <w:rPr>
      <w:b/>
      <w:bCs/>
      <w:smallCaps/>
      <w:color w:val="0F4761" w:themeColor="accent1" w:themeShade="BF"/>
      <w:spacing w:val="5"/>
    </w:rPr>
  </w:style>
  <w:style w:type="paragraph" w:styleId="NoSpacing">
    <w:name w:val="No Spacing"/>
    <w:link w:val="NoSpacingChar"/>
    <w:uiPriority w:val="1"/>
    <w:qFormat/>
    <w:rsid w:val="00EB3C3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C3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B3C3F"/>
    <w:pPr>
      <w:spacing w:before="240" w:after="0"/>
      <w:outlineLvl w:val="9"/>
    </w:pPr>
    <w:rPr>
      <w:sz w:val="32"/>
      <w:szCs w:val="32"/>
      <w:lang w:eastAsia="en-GB"/>
    </w:rPr>
  </w:style>
  <w:style w:type="paragraph" w:styleId="TOC2">
    <w:name w:val="toc 2"/>
    <w:basedOn w:val="Normal"/>
    <w:next w:val="Normal"/>
    <w:autoRedefine/>
    <w:uiPriority w:val="39"/>
    <w:unhideWhenUsed/>
    <w:rsid w:val="00EB3C3F"/>
    <w:pPr>
      <w:spacing w:after="100"/>
      <w:ind w:left="220"/>
    </w:pPr>
    <w:rPr>
      <w:rFonts w:asciiTheme="minorHAnsi" w:eastAsiaTheme="minorEastAsia" w:hAnsiTheme="minorHAnsi" w:cs="Times New Roman"/>
      <w:lang w:eastAsia="en-GB"/>
    </w:rPr>
  </w:style>
  <w:style w:type="paragraph" w:styleId="TOC1">
    <w:name w:val="toc 1"/>
    <w:basedOn w:val="Normal"/>
    <w:next w:val="Normal"/>
    <w:autoRedefine/>
    <w:uiPriority w:val="39"/>
    <w:unhideWhenUsed/>
    <w:rsid w:val="00EB3C3F"/>
    <w:pPr>
      <w:spacing w:after="100"/>
    </w:pPr>
    <w:rPr>
      <w:rFonts w:asciiTheme="minorHAnsi" w:eastAsiaTheme="minorEastAsia" w:hAnsiTheme="minorHAnsi" w:cs="Times New Roman"/>
      <w:lang w:eastAsia="en-GB"/>
    </w:rPr>
  </w:style>
  <w:style w:type="paragraph" w:styleId="TOC3">
    <w:name w:val="toc 3"/>
    <w:basedOn w:val="Normal"/>
    <w:next w:val="Normal"/>
    <w:autoRedefine/>
    <w:uiPriority w:val="39"/>
    <w:unhideWhenUsed/>
    <w:rsid w:val="00EB3C3F"/>
    <w:pPr>
      <w:spacing w:after="100"/>
      <w:ind w:left="440"/>
    </w:pPr>
    <w:rPr>
      <w:rFonts w:asciiTheme="minorHAnsi" w:eastAsiaTheme="minorEastAsia" w:hAnsiTheme="minorHAnsi" w:cs="Times New Roman"/>
      <w:lang w:eastAsia="en-GB"/>
    </w:rPr>
  </w:style>
  <w:style w:type="character" w:styleId="Hyperlink">
    <w:name w:val="Hyperlink"/>
    <w:basedOn w:val="DefaultParagraphFont"/>
    <w:uiPriority w:val="99"/>
    <w:unhideWhenUsed/>
    <w:rsid w:val="00EB3C3F"/>
    <w:rPr>
      <w:color w:val="467886" w:themeColor="hyperlink"/>
      <w:u w:val="single"/>
    </w:rPr>
  </w:style>
  <w:style w:type="table" w:styleId="TableGrid">
    <w:name w:val="Table Grid"/>
    <w:basedOn w:val="TableNormal"/>
    <w:uiPriority w:val="39"/>
    <w:rsid w:val="00866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6A6D"/>
    <w:rPr>
      <w:color w:val="666666"/>
    </w:rPr>
  </w:style>
  <w:style w:type="paragraph" w:styleId="Caption">
    <w:name w:val="caption"/>
    <w:basedOn w:val="Normal"/>
    <w:next w:val="Normal"/>
    <w:uiPriority w:val="35"/>
    <w:unhideWhenUsed/>
    <w:qFormat/>
    <w:rsid w:val="00866A6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C70229"/>
    <w:rPr>
      <w:color w:val="605E5C"/>
      <w:shd w:val="clear" w:color="auto" w:fill="E1DFDD"/>
    </w:rPr>
  </w:style>
  <w:style w:type="character" w:styleId="CommentReference">
    <w:name w:val="annotation reference"/>
    <w:basedOn w:val="DefaultParagraphFont"/>
    <w:uiPriority w:val="99"/>
    <w:semiHidden/>
    <w:unhideWhenUsed/>
    <w:rsid w:val="000C264B"/>
    <w:rPr>
      <w:sz w:val="16"/>
      <w:szCs w:val="16"/>
    </w:rPr>
  </w:style>
  <w:style w:type="paragraph" w:styleId="CommentText">
    <w:name w:val="annotation text"/>
    <w:basedOn w:val="Normal"/>
    <w:link w:val="CommentTextChar"/>
    <w:uiPriority w:val="99"/>
    <w:unhideWhenUsed/>
    <w:rsid w:val="000C264B"/>
    <w:pPr>
      <w:spacing w:line="240" w:lineRule="auto"/>
    </w:pPr>
    <w:rPr>
      <w:sz w:val="20"/>
      <w:szCs w:val="20"/>
    </w:rPr>
  </w:style>
  <w:style w:type="character" w:customStyle="1" w:styleId="CommentTextChar">
    <w:name w:val="Comment Text Char"/>
    <w:basedOn w:val="DefaultParagraphFont"/>
    <w:link w:val="CommentText"/>
    <w:uiPriority w:val="99"/>
    <w:rsid w:val="000C264B"/>
    <w:rPr>
      <w:rFonts w:ascii="Calibri" w:eastAsia="Calibri" w:hAnsi="Calibri" w:cs="Calibri"/>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264B"/>
    <w:rPr>
      <w:b/>
      <w:bCs/>
    </w:rPr>
  </w:style>
  <w:style w:type="character" w:customStyle="1" w:styleId="CommentSubjectChar">
    <w:name w:val="Comment Subject Char"/>
    <w:basedOn w:val="CommentTextChar"/>
    <w:link w:val="CommentSubject"/>
    <w:uiPriority w:val="99"/>
    <w:semiHidden/>
    <w:rsid w:val="000C264B"/>
    <w:rPr>
      <w:rFonts w:ascii="Calibri" w:eastAsia="Calibri" w:hAnsi="Calibri" w:cs="Calibri"/>
      <w:b/>
      <w:bCs/>
      <w:kern w:val="0"/>
      <w:sz w:val="20"/>
      <w:szCs w:val="20"/>
      <w14:ligatures w14:val="none"/>
    </w:rPr>
  </w:style>
  <w:style w:type="character" w:styleId="FollowedHyperlink">
    <w:name w:val="FollowedHyperlink"/>
    <w:basedOn w:val="DefaultParagraphFont"/>
    <w:uiPriority w:val="99"/>
    <w:semiHidden/>
    <w:unhideWhenUsed/>
    <w:rsid w:val="00AF06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513129">
      <w:bodyDiv w:val="1"/>
      <w:marLeft w:val="0"/>
      <w:marRight w:val="0"/>
      <w:marTop w:val="0"/>
      <w:marBottom w:val="0"/>
      <w:divBdr>
        <w:top w:val="none" w:sz="0" w:space="0" w:color="auto"/>
        <w:left w:val="none" w:sz="0" w:space="0" w:color="auto"/>
        <w:bottom w:val="none" w:sz="0" w:space="0" w:color="auto"/>
        <w:right w:val="none" w:sz="0" w:space="0" w:color="auto"/>
      </w:divBdr>
    </w:div>
    <w:div w:id="1102870590">
      <w:bodyDiv w:val="1"/>
      <w:marLeft w:val="0"/>
      <w:marRight w:val="0"/>
      <w:marTop w:val="0"/>
      <w:marBottom w:val="0"/>
      <w:divBdr>
        <w:top w:val="none" w:sz="0" w:space="0" w:color="auto"/>
        <w:left w:val="none" w:sz="0" w:space="0" w:color="auto"/>
        <w:bottom w:val="none" w:sz="0" w:space="0" w:color="auto"/>
        <w:right w:val="none" w:sz="0" w:space="0" w:color="auto"/>
      </w:divBdr>
    </w:div>
    <w:div w:id="1144354313">
      <w:bodyDiv w:val="1"/>
      <w:marLeft w:val="0"/>
      <w:marRight w:val="0"/>
      <w:marTop w:val="0"/>
      <w:marBottom w:val="0"/>
      <w:divBdr>
        <w:top w:val="none" w:sz="0" w:space="0" w:color="auto"/>
        <w:left w:val="none" w:sz="0" w:space="0" w:color="auto"/>
        <w:bottom w:val="none" w:sz="0" w:space="0" w:color="auto"/>
        <w:right w:val="none" w:sz="0" w:space="0" w:color="auto"/>
      </w:divBdr>
    </w:div>
    <w:div w:id="1288125850">
      <w:bodyDiv w:val="1"/>
      <w:marLeft w:val="0"/>
      <w:marRight w:val="0"/>
      <w:marTop w:val="0"/>
      <w:marBottom w:val="0"/>
      <w:divBdr>
        <w:top w:val="none" w:sz="0" w:space="0" w:color="auto"/>
        <w:left w:val="none" w:sz="0" w:space="0" w:color="auto"/>
        <w:bottom w:val="none" w:sz="0" w:space="0" w:color="auto"/>
        <w:right w:val="none" w:sz="0" w:space="0" w:color="auto"/>
      </w:divBdr>
    </w:div>
    <w:div w:id="1527402666">
      <w:bodyDiv w:val="1"/>
      <w:marLeft w:val="0"/>
      <w:marRight w:val="0"/>
      <w:marTop w:val="0"/>
      <w:marBottom w:val="0"/>
      <w:divBdr>
        <w:top w:val="none" w:sz="0" w:space="0" w:color="auto"/>
        <w:left w:val="none" w:sz="0" w:space="0" w:color="auto"/>
        <w:bottom w:val="none" w:sz="0" w:space="0" w:color="auto"/>
        <w:right w:val="none" w:sz="0" w:space="0" w:color="auto"/>
      </w:divBdr>
    </w:div>
    <w:div w:id="1729112446">
      <w:bodyDiv w:val="1"/>
      <w:marLeft w:val="0"/>
      <w:marRight w:val="0"/>
      <w:marTop w:val="0"/>
      <w:marBottom w:val="0"/>
      <w:divBdr>
        <w:top w:val="none" w:sz="0" w:space="0" w:color="auto"/>
        <w:left w:val="none" w:sz="0" w:space="0" w:color="auto"/>
        <w:bottom w:val="none" w:sz="0" w:space="0" w:color="auto"/>
        <w:right w:val="none" w:sz="0" w:space="0" w:color="auto"/>
      </w:divBdr>
    </w:div>
    <w:div w:id="1920213921">
      <w:bodyDiv w:val="1"/>
      <w:marLeft w:val="0"/>
      <w:marRight w:val="0"/>
      <w:marTop w:val="0"/>
      <w:marBottom w:val="0"/>
      <w:divBdr>
        <w:top w:val="none" w:sz="0" w:space="0" w:color="auto"/>
        <w:left w:val="none" w:sz="0" w:space="0" w:color="auto"/>
        <w:bottom w:val="none" w:sz="0" w:space="0" w:color="auto"/>
        <w:right w:val="none" w:sz="0" w:space="0" w:color="auto"/>
      </w:divBdr>
    </w:div>
    <w:div w:id="1929001655">
      <w:bodyDiv w:val="1"/>
      <w:marLeft w:val="0"/>
      <w:marRight w:val="0"/>
      <w:marTop w:val="0"/>
      <w:marBottom w:val="0"/>
      <w:divBdr>
        <w:top w:val="none" w:sz="0" w:space="0" w:color="auto"/>
        <w:left w:val="none" w:sz="0" w:space="0" w:color="auto"/>
        <w:bottom w:val="none" w:sz="0" w:space="0" w:color="auto"/>
        <w:right w:val="none" w:sz="0" w:space="0" w:color="auto"/>
      </w:divBdr>
    </w:div>
    <w:div w:id="2061785626">
      <w:bodyDiv w:val="1"/>
      <w:marLeft w:val="0"/>
      <w:marRight w:val="0"/>
      <w:marTop w:val="0"/>
      <w:marBottom w:val="0"/>
      <w:divBdr>
        <w:top w:val="none" w:sz="0" w:space="0" w:color="auto"/>
        <w:left w:val="none" w:sz="0" w:space="0" w:color="auto"/>
        <w:bottom w:val="none" w:sz="0" w:space="0" w:color="auto"/>
        <w:right w:val="none" w:sz="0" w:space="0" w:color="auto"/>
      </w:divBdr>
    </w:div>
    <w:div w:id="207678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lego.com/book/3286318/the-chemistry-of-explosives-pdf" TargetMode="External"/><Relationship Id="rId13" Type="http://schemas.openxmlformats.org/officeDocument/2006/relationships/hyperlink" Target="https://moodle.uwtsd.ac.uk/pluginfile.php/627974/mod_resource/content/0/JSP%20333%20Service%20Textbook%20of%20Explosives.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ncbi.nlm.nih.gov/pubmed/37928838" TargetMode="External"/><Relationship Id="rId17" Type="http://schemas.openxmlformats.org/officeDocument/2006/relationships/hyperlink" Target="https://www.jstage.jst.go.jp/article/bunsekikagaku1952/9/2/9_2_100/_article/-char/ja" TargetMode="External"/><Relationship Id="rId2" Type="http://schemas.openxmlformats.org/officeDocument/2006/relationships/numbering" Target="numbering.xml"/><Relationship Id="rId16" Type="http://schemas.openxmlformats.org/officeDocument/2006/relationships/hyperlink" Target="https://iopscience.iop.org/article/10.1088/1742-6596/2021/1/01207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x.doi.org/10.1016/j.combustflame.2020.07.029" TargetMode="External"/><Relationship Id="rId5" Type="http://schemas.openxmlformats.org/officeDocument/2006/relationships/webSettings" Target="webSettings.xml"/><Relationship Id="rId15" Type="http://schemas.openxmlformats.org/officeDocument/2006/relationships/hyperlink" Target="https://moodle.uwtsd.ac.uk/" TargetMode="External"/><Relationship Id="rId10" Type="http://schemas.openxmlformats.org/officeDocument/2006/relationships/hyperlink" Target="http://dx.doi.org/10.1021/ie50081a010"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doi.org/10.22211/cejem/67538" TargetMode="External"/><Relationship Id="rId14" Type="http://schemas.openxmlformats.org/officeDocument/2006/relationships/hyperlink" Target="http://www.scielo.br/scielo.php?script=sci_arttext&amp;pid=S0100-40422018000800867&amp;lng=en&amp;tlng=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04822D914C4797A82CE505112DA5FD"/>
        <w:category>
          <w:name w:val="General"/>
          <w:gallery w:val="placeholder"/>
        </w:category>
        <w:types>
          <w:type w:val="bbPlcHdr"/>
        </w:types>
        <w:behaviors>
          <w:behavior w:val="content"/>
        </w:behaviors>
        <w:guid w:val="{5CA33659-3981-45DB-B846-35695BC422BB}"/>
      </w:docPartPr>
      <w:docPartBody>
        <w:p w:rsidR="00F9234D" w:rsidRDefault="00F9234D" w:rsidP="00F9234D">
          <w:pPr>
            <w:pStyle w:val="0004822D914C4797A82CE505112DA5FD"/>
          </w:pPr>
          <w:r>
            <w:rPr>
              <w:rFonts w:asciiTheme="majorHAnsi" w:eastAsiaTheme="majorEastAsia" w:hAnsiTheme="majorHAnsi" w:cstheme="majorBidi"/>
              <w:color w:val="156082" w:themeColor="accent1"/>
              <w:sz w:val="88"/>
              <w:szCs w:val="88"/>
            </w:rPr>
            <w:t>[Document title]</w:t>
          </w:r>
        </w:p>
      </w:docPartBody>
    </w:docPart>
    <w:docPart>
      <w:docPartPr>
        <w:name w:val="3818F78B7A964E43BFE0AE3FB794F3BD"/>
        <w:category>
          <w:name w:val="General"/>
          <w:gallery w:val="placeholder"/>
        </w:category>
        <w:types>
          <w:type w:val="bbPlcHdr"/>
        </w:types>
        <w:behaviors>
          <w:behavior w:val="content"/>
        </w:behaviors>
        <w:guid w:val="{D899A2C9-E717-4C67-87AE-5C70685D2C2C}"/>
      </w:docPartPr>
      <w:docPartBody>
        <w:p w:rsidR="00F9234D" w:rsidRDefault="00F9234D" w:rsidP="00F9234D">
          <w:pPr>
            <w:pStyle w:val="3818F78B7A964E43BFE0AE3FB794F3BD"/>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34D"/>
    <w:rsid w:val="00E95268"/>
    <w:rsid w:val="00F92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6B1CF3E11C43F7A36DC33F456E3809">
    <w:name w:val="166B1CF3E11C43F7A36DC33F456E3809"/>
    <w:rsid w:val="00F9234D"/>
  </w:style>
  <w:style w:type="paragraph" w:customStyle="1" w:styleId="2112A46ECB844F4F9E447121021BB93C">
    <w:name w:val="2112A46ECB844F4F9E447121021BB93C"/>
    <w:rsid w:val="00F9234D"/>
  </w:style>
  <w:style w:type="paragraph" w:customStyle="1" w:styleId="415973C54F50465A97ACC21B7DD7D5EA">
    <w:name w:val="415973C54F50465A97ACC21B7DD7D5EA"/>
    <w:rsid w:val="00F9234D"/>
  </w:style>
  <w:style w:type="paragraph" w:customStyle="1" w:styleId="3CCFAC4979DA47F48751201C2BE79057">
    <w:name w:val="3CCFAC4979DA47F48751201C2BE79057"/>
    <w:rsid w:val="00F9234D"/>
  </w:style>
  <w:style w:type="paragraph" w:customStyle="1" w:styleId="02525A9C0F804FC890650B1E24B7C604">
    <w:name w:val="02525A9C0F804FC890650B1E24B7C604"/>
    <w:rsid w:val="00F9234D"/>
  </w:style>
  <w:style w:type="paragraph" w:customStyle="1" w:styleId="01FE8F560BD6441DA27A5B7FA80B9EE5">
    <w:name w:val="01FE8F560BD6441DA27A5B7FA80B9EE5"/>
    <w:rsid w:val="00F9234D"/>
  </w:style>
  <w:style w:type="paragraph" w:customStyle="1" w:styleId="0154D175F3A3489499F3748068750F22">
    <w:name w:val="0154D175F3A3489499F3748068750F22"/>
    <w:rsid w:val="00F9234D"/>
  </w:style>
  <w:style w:type="paragraph" w:customStyle="1" w:styleId="A9595489EA274CB7A9C931777FFE3CCD">
    <w:name w:val="A9595489EA274CB7A9C931777FFE3CCD"/>
    <w:rsid w:val="00F9234D"/>
  </w:style>
  <w:style w:type="character" w:styleId="PlaceholderText">
    <w:name w:val="Placeholder Text"/>
    <w:basedOn w:val="DefaultParagraphFont"/>
    <w:uiPriority w:val="99"/>
    <w:semiHidden/>
    <w:rsid w:val="00F9234D"/>
    <w:rPr>
      <w:color w:val="666666"/>
    </w:rPr>
  </w:style>
  <w:style w:type="paragraph" w:customStyle="1" w:styleId="D0926EE4CE734147AD5C2BE05BFED040">
    <w:name w:val="D0926EE4CE734147AD5C2BE05BFED040"/>
    <w:rsid w:val="00F9234D"/>
  </w:style>
  <w:style w:type="paragraph" w:customStyle="1" w:styleId="C0CAF6C532CB4029BBDEBC9260F430EC">
    <w:name w:val="C0CAF6C532CB4029BBDEBC9260F430EC"/>
    <w:rsid w:val="00F9234D"/>
  </w:style>
  <w:style w:type="paragraph" w:customStyle="1" w:styleId="0004822D914C4797A82CE505112DA5FD">
    <w:name w:val="0004822D914C4797A82CE505112DA5FD"/>
    <w:rsid w:val="00F9234D"/>
  </w:style>
  <w:style w:type="paragraph" w:customStyle="1" w:styleId="3818F78B7A964E43BFE0AE3FB794F3BD">
    <w:name w:val="3818F78B7A964E43BFE0AE3FB794F3BD"/>
    <w:rsid w:val="00F923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6DA5E8-2302-4DF9-9292-00DBF4DED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6634</TotalTime>
  <Pages>9</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Titration Lab Report</dc:title>
  <dc:subject>Cameron Lane- OME Apprentice</dc:subject>
  <dc:creator>Cameron Lane</dc:creator>
  <cp:keywords/>
  <dc:description/>
  <cp:lastModifiedBy>Cameron Lane</cp:lastModifiedBy>
  <cp:revision>289</cp:revision>
  <dcterms:created xsi:type="dcterms:W3CDTF">2025-03-16T22:02:00Z</dcterms:created>
  <dcterms:modified xsi:type="dcterms:W3CDTF">2025-03-27T12:44:00Z</dcterms:modified>
</cp:coreProperties>
</file>