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C7ABF8" w14:textId="432EED5B" w:rsidR="009606E6" w:rsidRDefault="00866F9E" w:rsidP="00866F9E">
      <w:pPr>
        <w:spacing w:before="120" w:after="120" w:line="360" w:lineRule="auto"/>
        <w:jc w:val="center"/>
        <w:rPr>
          <w:rFonts w:ascii="Arial" w:hAnsi="Arial" w:cs="Arial"/>
          <w:b/>
          <w:bCs/>
        </w:rPr>
      </w:pPr>
      <w:r w:rsidRPr="00235E5B">
        <w:rPr>
          <w:rFonts w:ascii="Arial" w:eastAsia="DengXian" w:hAnsi="Arial" w:cs="Arial"/>
          <w:b/>
          <w:bCs/>
          <w:noProof/>
          <w:lang w:eastAsia="en-US" w:bidi="bn-BD"/>
        </w:rPr>
        <w:drawing>
          <wp:inline distT="0" distB="0" distL="0" distR="0" wp14:anchorId="7A549CA3" wp14:editId="765655E9">
            <wp:extent cx="3738563" cy="1495425"/>
            <wp:effectExtent l="0" t="0" r="0" b="0"/>
            <wp:docPr id="1" name="Picture 1" descr="C:\Users\HTC\AppData\Local\Microsoft\Windows\Clipboard\HistoryData\{0B46E795-BE51-4A4E-914E-C05C96CACACE}\{83B99064-0489-4EC3-A7FE-C53AE9C3DE3B}\ResourceMap\{CC33EB81-AAEE-4167-B64B-B8F8CA393DF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C:\Users\HTC\AppData\Local\Microsoft\Windows\Clipboard\HistoryData\{0B46E795-BE51-4A4E-914E-C05C96CACACE}\{83B99064-0489-4EC3-A7FE-C53AE9C3DE3B}\ResourceMap\{CC33EB81-AAEE-4167-B64B-B8F8CA393DFB}"/>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40888" cy="1496355"/>
                    </a:xfrm>
                    <a:prstGeom prst="rect">
                      <a:avLst/>
                    </a:prstGeom>
                    <a:noFill/>
                    <a:ln>
                      <a:noFill/>
                    </a:ln>
                  </pic:spPr>
                </pic:pic>
              </a:graphicData>
            </a:graphic>
          </wp:inline>
        </w:drawing>
      </w:r>
    </w:p>
    <w:p w14:paraId="20614166" w14:textId="5431C146" w:rsidR="00866F9E" w:rsidRPr="00866F9E" w:rsidRDefault="00866F9E" w:rsidP="00866F9E">
      <w:pPr>
        <w:spacing w:before="120" w:after="120" w:line="360" w:lineRule="auto"/>
        <w:jc w:val="center"/>
        <w:rPr>
          <w:rFonts w:ascii="Arial" w:hAnsi="Arial" w:cs="Arial"/>
          <w:i/>
          <w:iCs/>
        </w:rPr>
      </w:pPr>
      <w:r w:rsidRPr="00866F9E">
        <w:rPr>
          <w:rFonts w:ascii="Arial" w:hAnsi="Arial" w:cs="Arial"/>
          <w:i/>
          <w:iCs/>
        </w:rPr>
        <w:t>Assessment on</w:t>
      </w:r>
    </w:p>
    <w:p w14:paraId="57DE1C1B" w14:textId="499F14B2" w:rsidR="00866F9E" w:rsidRPr="00866F9E" w:rsidRDefault="00866F9E" w:rsidP="00866F9E">
      <w:pPr>
        <w:spacing w:before="120" w:after="120" w:line="360" w:lineRule="auto"/>
        <w:jc w:val="center"/>
        <w:rPr>
          <w:rFonts w:ascii="Arial" w:hAnsi="Arial" w:cs="Arial"/>
          <w:b/>
          <w:bCs/>
        </w:rPr>
      </w:pPr>
      <w:r w:rsidRPr="00866F9E">
        <w:rPr>
          <w:b/>
          <w:bCs/>
        </w:rPr>
        <w:t>An Integrated Financial Performance Appraisal and Restructuring Framework for Mitigating Risks &amp; Recovery of General Electronics</w:t>
      </w:r>
    </w:p>
    <w:p w14:paraId="7EE9237A" w14:textId="77777777" w:rsidR="00866F9E" w:rsidRDefault="00866F9E" w:rsidP="00866F9E">
      <w:pPr>
        <w:spacing w:before="120" w:after="120" w:line="360" w:lineRule="auto"/>
        <w:jc w:val="center"/>
        <w:rPr>
          <w:rFonts w:ascii="Arial" w:hAnsi="Arial" w:cs="Arial"/>
          <w:b/>
          <w:bCs/>
        </w:rPr>
      </w:pPr>
    </w:p>
    <w:p w14:paraId="51030032" w14:textId="77777777" w:rsidR="00866F9E" w:rsidRDefault="00866F9E" w:rsidP="00866F9E">
      <w:pPr>
        <w:spacing w:before="120" w:after="120" w:line="360" w:lineRule="auto"/>
        <w:jc w:val="center"/>
        <w:rPr>
          <w:rFonts w:ascii="Arial" w:hAnsi="Arial" w:cs="Arial"/>
          <w:b/>
          <w:bCs/>
        </w:rPr>
      </w:pPr>
    </w:p>
    <w:p w14:paraId="78032728" w14:textId="77777777" w:rsidR="00866F9E" w:rsidRDefault="00866F9E" w:rsidP="00866F9E">
      <w:pPr>
        <w:spacing w:before="120" w:after="120" w:line="360" w:lineRule="auto"/>
        <w:rPr>
          <w:rFonts w:ascii="Arial" w:hAnsi="Arial" w:cs="Arial"/>
          <w:b/>
          <w:bCs/>
        </w:rPr>
      </w:pPr>
    </w:p>
    <w:tbl>
      <w:tblPr>
        <w:tblStyle w:val="PlainTable1"/>
        <w:tblW w:w="0" w:type="auto"/>
        <w:tblLook w:val="04A0" w:firstRow="1" w:lastRow="0" w:firstColumn="1" w:lastColumn="0" w:noHBand="0" w:noVBand="1"/>
      </w:tblPr>
      <w:tblGrid>
        <w:gridCol w:w="3600"/>
        <w:gridCol w:w="5416"/>
      </w:tblGrid>
      <w:tr w:rsidR="00866F9E" w:rsidRPr="00235E5B" w14:paraId="7AD86D81" w14:textId="77777777" w:rsidTr="00866F9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00" w:type="dxa"/>
            <w:hideMark/>
          </w:tcPr>
          <w:p w14:paraId="4CA4BDAA" w14:textId="77777777" w:rsidR="00866F9E" w:rsidRPr="00235E5B" w:rsidRDefault="00866F9E" w:rsidP="009C088A">
            <w:pPr>
              <w:spacing w:before="120" w:after="120" w:line="360" w:lineRule="auto"/>
              <w:rPr>
                <w:rFonts w:ascii="Arial" w:hAnsi="Arial" w:cs="Arial"/>
              </w:rPr>
            </w:pPr>
            <w:r w:rsidRPr="00235E5B">
              <w:rPr>
                <w:rFonts w:ascii="Arial" w:hAnsi="Arial" w:cs="Arial"/>
              </w:rPr>
              <w:t>Student Name</w:t>
            </w:r>
          </w:p>
        </w:tc>
        <w:tc>
          <w:tcPr>
            <w:tcW w:w="5416" w:type="dxa"/>
            <w:hideMark/>
          </w:tcPr>
          <w:p w14:paraId="670D0DD4" w14:textId="02808941" w:rsidR="00B10C8C" w:rsidRPr="00B10C8C" w:rsidRDefault="00B10C8C" w:rsidP="00866F9E">
            <w:pPr>
              <w:spacing w:before="120" w:after="12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B10C8C">
              <w:rPr>
                <w:rFonts w:ascii="Arial" w:hAnsi="Arial" w:cs="Arial"/>
                <w:b w:val="0"/>
                <w:bCs w:val="0"/>
              </w:rPr>
              <w:t>Gulam Kibria</w:t>
            </w:r>
          </w:p>
        </w:tc>
      </w:tr>
      <w:tr w:rsidR="00866F9E" w:rsidRPr="00235E5B" w14:paraId="27B47559" w14:textId="77777777" w:rsidTr="00866F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00" w:type="dxa"/>
            <w:hideMark/>
          </w:tcPr>
          <w:p w14:paraId="5BEDF8DB" w14:textId="77777777" w:rsidR="00866F9E" w:rsidRPr="00235E5B" w:rsidRDefault="00866F9E" w:rsidP="009C088A">
            <w:pPr>
              <w:spacing w:before="120" w:after="120" w:line="360" w:lineRule="auto"/>
              <w:rPr>
                <w:rFonts w:ascii="Arial" w:hAnsi="Arial" w:cs="Arial"/>
              </w:rPr>
            </w:pPr>
            <w:r w:rsidRPr="00235E5B">
              <w:rPr>
                <w:rFonts w:ascii="Arial" w:hAnsi="Arial" w:cs="Arial"/>
              </w:rPr>
              <w:t>Student ID</w:t>
            </w:r>
          </w:p>
        </w:tc>
        <w:tc>
          <w:tcPr>
            <w:tcW w:w="5416" w:type="dxa"/>
            <w:hideMark/>
          </w:tcPr>
          <w:p w14:paraId="5370C14C" w14:textId="1A6D6C52" w:rsidR="00866F9E" w:rsidRPr="00235E5B" w:rsidRDefault="00B10C8C" w:rsidP="009C088A">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2431573</w:t>
            </w:r>
          </w:p>
        </w:tc>
      </w:tr>
      <w:tr w:rsidR="00866F9E" w:rsidRPr="00235E5B" w14:paraId="142A50A4" w14:textId="77777777" w:rsidTr="00866F9E">
        <w:tc>
          <w:tcPr>
            <w:cnfStyle w:val="001000000000" w:firstRow="0" w:lastRow="0" w:firstColumn="1" w:lastColumn="0" w:oddVBand="0" w:evenVBand="0" w:oddHBand="0" w:evenHBand="0" w:firstRowFirstColumn="0" w:firstRowLastColumn="0" w:lastRowFirstColumn="0" w:lastRowLastColumn="0"/>
            <w:tcW w:w="3600" w:type="dxa"/>
            <w:hideMark/>
          </w:tcPr>
          <w:p w14:paraId="5106B105" w14:textId="77777777" w:rsidR="00866F9E" w:rsidRPr="00235E5B" w:rsidRDefault="00866F9E" w:rsidP="009C088A">
            <w:pPr>
              <w:spacing w:before="120" w:after="120" w:line="360" w:lineRule="auto"/>
              <w:rPr>
                <w:rFonts w:ascii="Arial" w:hAnsi="Arial" w:cs="Arial"/>
              </w:rPr>
            </w:pPr>
            <w:r w:rsidRPr="00235E5B">
              <w:rPr>
                <w:rFonts w:ascii="Arial" w:hAnsi="Arial" w:cs="Arial"/>
              </w:rPr>
              <w:t>Module Name</w:t>
            </w:r>
          </w:p>
        </w:tc>
        <w:tc>
          <w:tcPr>
            <w:tcW w:w="5416" w:type="dxa"/>
            <w:hideMark/>
          </w:tcPr>
          <w:p w14:paraId="08C1F6EB" w14:textId="35BEA9E6" w:rsidR="00866F9E" w:rsidRPr="00235E5B" w:rsidRDefault="00866F9E" w:rsidP="009C088A">
            <w:pPr>
              <w:spacing w:before="120" w:after="12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Shonar Bangla"/>
                <w:szCs w:val="30"/>
                <w:lang w:bidi="bn-IN"/>
              </w:rPr>
              <w:t>Financial</w:t>
            </w:r>
            <w:r w:rsidRPr="00235E5B">
              <w:rPr>
                <w:rFonts w:ascii="Arial" w:hAnsi="Arial" w:cs="Arial"/>
              </w:rPr>
              <w:t xml:space="preserve"> Management</w:t>
            </w:r>
          </w:p>
        </w:tc>
      </w:tr>
      <w:tr w:rsidR="00866F9E" w:rsidRPr="00235E5B" w14:paraId="51C5C4ED" w14:textId="77777777" w:rsidTr="00866F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00" w:type="dxa"/>
            <w:hideMark/>
          </w:tcPr>
          <w:p w14:paraId="3664710E" w14:textId="77777777" w:rsidR="00866F9E" w:rsidRPr="00235E5B" w:rsidRDefault="00866F9E" w:rsidP="009C088A">
            <w:pPr>
              <w:spacing w:before="120" w:after="120" w:line="360" w:lineRule="auto"/>
              <w:rPr>
                <w:rFonts w:ascii="Arial" w:hAnsi="Arial" w:cs="Arial"/>
              </w:rPr>
            </w:pPr>
            <w:r w:rsidRPr="00235E5B">
              <w:rPr>
                <w:rFonts w:ascii="Arial" w:hAnsi="Arial" w:cs="Arial"/>
              </w:rPr>
              <w:t>Module Code</w:t>
            </w:r>
          </w:p>
        </w:tc>
        <w:tc>
          <w:tcPr>
            <w:tcW w:w="5416" w:type="dxa"/>
            <w:hideMark/>
          </w:tcPr>
          <w:p w14:paraId="4651F8E2" w14:textId="6E889D11" w:rsidR="00866F9E" w:rsidRPr="00235E5B" w:rsidRDefault="00866F9E" w:rsidP="009C088A">
            <w:pPr>
              <w:spacing w:before="120" w:after="12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t>LCMB7002</w:t>
            </w:r>
          </w:p>
        </w:tc>
      </w:tr>
      <w:tr w:rsidR="00866F9E" w:rsidRPr="00235E5B" w14:paraId="444F8580" w14:textId="77777777" w:rsidTr="00866F9E">
        <w:tc>
          <w:tcPr>
            <w:cnfStyle w:val="001000000000" w:firstRow="0" w:lastRow="0" w:firstColumn="1" w:lastColumn="0" w:oddVBand="0" w:evenVBand="0" w:oddHBand="0" w:evenHBand="0" w:firstRowFirstColumn="0" w:firstRowLastColumn="0" w:lastRowFirstColumn="0" w:lastRowLastColumn="0"/>
            <w:tcW w:w="3600" w:type="dxa"/>
            <w:hideMark/>
          </w:tcPr>
          <w:p w14:paraId="2B20953C" w14:textId="77777777" w:rsidR="00866F9E" w:rsidRPr="00235E5B" w:rsidRDefault="00866F9E" w:rsidP="009C088A">
            <w:pPr>
              <w:spacing w:before="120" w:after="120" w:line="360" w:lineRule="auto"/>
              <w:rPr>
                <w:rFonts w:ascii="Arial" w:hAnsi="Arial" w:cs="Arial"/>
              </w:rPr>
            </w:pPr>
            <w:r w:rsidRPr="00235E5B">
              <w:rPr>
                <w:rFonts w:ascii="Arial" w:hAnsi="Arial" w:cs="Arial"/>
              </w:rPr>
              <w:t>Lecturer</w:t>
            </w:r>
          </w:p>
        </w:tc>
        <w:tc>
          <w:tcPr>
            <w:tcW w:w="5416" w:type="dxa"/>
            <w:hideMark/>
          </w:tcPr>
          <w:p w14:paraId="1C09F02C" w14:textId="03378422" w:rsidR="00866F9E" w:rsidRPr="00235E5B" w:rsidRDefault="00866F9E" w:rsidP="009C088A">
            <w:pPr>
              <w:spacing w:before="120" w:after="120" w:line="360" w:lineRule="auto"/>
              <w:cnfStyle w:val="000000000000" w:firstRow="0" w:lastRow="0" w:firstColumn="0" w:lastColumn="0" w:oddVBand="0" w:evenVBand="0" w:oddHBand="0" w:evenHBand="0" w:firstRowFirstColumn="0" w:firstRowLastColumn="0" w:lastRowFirstColumn="0" w:lastRowLastColumn="0"/>
              <w:rPr>
                <w:rFonts w:ascii="Arial" w:hAnsi="Arial" w:cs="Arial"/>
                <w:cs/>
                <w:lang w:bidi="bn-IN"/>
              </w:rPr>
            </w:pPr>
            <w:r>
              <w:rPr>
                <w:rFonts w:ascii="Arial" w:hAnsi="Arial" w:cs="Arial"/>
              </w:rPr>
              <w:t xml:space="preserve">Dr. </w:t>
            </w:r>
            <w:proofErr w:type="spellStart"/>
            <w:r>
              <w:t>Shengfeng</w:t>
            </w:r>
            <w:proofErr w:type="spellEnd"/>
            <w:r>
              <w:t xml:space="preserve"> Mei</w:t>
            </w:r>
          </w:p>
        </w:tc>
      </w:tr>
      <w:tr w:rsidR="00866F9E" w:rsidRPr="00890017" w14:paraId="4862D013" w14:textId="77777777" w:rsidTr="00866F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00" w:type="dxa"/>
            <w:hideMark/>
          </w:tcPr>
          <w:p w14:paraId="39C15E36" w14:textId="77777777" w:rsidR="00866F9E" w:rsidRPr="00235E5B" w:rsidRDefault="00866F9E" w:rsidP="009C088A">
            <w:pPr>
              <w:spacing w:before="120" w:after="120" w:line="360" w:lineRule="auto"/>
              <w:rPr>
                <w:rFonts w:ascii="Arial" w:hAnsi="Arial" w:cs="Arial"/>
              </w:rPr>
            </w:pPr>
            <w:r w:rsidRPr="00235E5B">
              <w:rPr>
                <w:rFonts w:ascii="Arial" w:hAnsi="Arial" w:cs="Arial"/>
              </w:rPr>
              <w:t xml:space="preserve">Date of Submission </w:t>
            </w:r>
          </w:p>
        </w:tc>
        <w:tc>
          <w:tcPr>
            <w:tcW w:w="5416" w:type="dxa"/>
            <w:hideMark/>
          </w:tcPr>
          <w:p w14:paraId="4A4807DF" w14:textId="03D4CF0B" w:rsidR="00866F9E" w:rsidRPr="00890017" w:rsidRDefault="00866F9E" w:rsidP="009C088A">
            <w:pPr>
              <w:spacing w:before="120" w:after="120" w:line="360" w:lineRule="auto"/>
              <w:cnfStyle w:val="000000100000" w:firstRow="0" w:lastRow="0" w:firstColumn="0" w:lastColumn="0" w:oddVBand="0" w:evenVBand="0" w:oddHBand="1" w:evenHBand="0" w:firstRowFirstColumn="0" w:firstRowLastColumn="0" w:lastRowFirstColumn="0" w:lastRowLastColumn="0"/>
            </w:pPr>
            <w:r>
              <w:t>22</w:t>
            </w:r>
            <w:r w:rsidRPr="00890017">
              <w:rPr>
                <w:vertAlign w:val="superscript"/>
              </w:rPr>
              <w:t>nd</w:t>
            </w:r>
            <w:r>
              <w:t xml:space="preserve"> December 2025</w:t>
            </w:r>
          </w:p>
        </w:tc>
      </w:tr>
    </w:tbl>
    <w:p w14:paraId="6E44469E" w14:textId="77777777" w:rsidR="00866F9E" w:rsidRPr="00A110C5" w:rsidRDefault="00866F9E" w:rsidP="00866F9E">
      <w:pPr>
        <w:spacing w:before="120" w:after="120" w:line="360" w:lineRule="auto"/>
        <w:jc w:val="center"/>
        <w:rPr>
          <w:rFonts w:ascii="Arial" w:hAnsi="Arial" w:cs="Arial"/>
          <w:b/>
          <w:bCs/>
        </w:rPr>
      </w:pPr>
    </w:p>
    <w:p w14:paraId="2F62CEE9" w14:textId="77777777" w:rsidR="009A13E4" w:rsidRPr="00A110C5" w:rsidRDefault="009A13E4" w:rsidP="009606E6">
      <w:pPr>
        <w:spacing w:before="120" w:after="120" w:line="360" w:lineRule="auto"/>
        <w:jc w:val="both"/>
        <w:rPr>
          <w:rFonts w:ascii="Arial" w:hAnsi="Arial" w:cs="Arial"/>
          <w:b/>
          <w:bCs/>
        </w:rPr>
      </w:pPr>
    </w:p>
    <w:p w14:paraId="21BDB151" w14:textId="77777777" w:rsidR="009A13E4" w:rsidRPr="00A110C5" w:rsidRDefault="009A13E4" w:rsidP="009606E6">
      <w:pPr>
        <w:spacing w:before="120" w:after="120" w:line="360" w:lineRule="auto"/>
        <w:jc w:val="both"/>
        <w:rPr>
          <w:rFonts w:ascii="Arial" w:hAnsi="Arial" w:cs="Arial"/>
          <w:b/>
          <w:bCs/>
        </w:rPr>
        <w:sectPr w:rsidR="009A13E4" w:rsidRPr="00A110C5" w:rsidSect="00F45B19">
          <w:footerReference w:type="default" r:id="rId9"/>
          <w:pgSz w:w="11906" w:h="16838" w:code="9"/>
          <w:pgMar w:top="1440" w:right="1440" w:bottom="1440" w:left="1440" w:header="720" w:footer="720" w:gutter="0"/>
          <w:cols w:space="720"/>
          <w:docGrid w:linePitch="360"/>
        </w:sectPr>
      </w:pPr>
    </w:p>
    <w:sdt>
      <w:sdtPr>
        <w:rPr>
          <w:rFonts w:asciiTheme="minorHAnsi" w:eastAsiaTheme="minorEastAsia" w:hAnsiTheme="minorHAnsi" w:cstheme="minorBidi"/>
          <w:b w:val="0"/>
          <w:color w:val="auto"/>
          <w:kern w:val="2"/>
          <w:sz w:val="24"/>
          <w:szCs w:val="24"/>
          <w:lang w:eastAsia="zh-CN"/>
          <w14:ligatures w14:val="standardContextual"/>
        </w:rPr>
        <w:id w:val="445430632"/>
        <w:docPartObj>
          <w:docPartGallery w:val="Table of Contents"/>
          <w:docPartUnique/>
        </w:docPartObj>
      </w:sdtPr>
      <w:sdtEndPr>
        <w:rPr>
          <w:rFonts w:ascii="Arial" w:hAnsi="Arial" w:cs="Arial"/>
          <w:bCs/>
          <w:noProof/>
        </w:rPr>
      </w:sdtEndPr>
      <w:sdtContent>
        <w:p w14:paraId="2DED150A" w14:textId="77777777" w:rsidR="009A13E4" w:rsidRPr="00866F9E" w:rsidRDefault="009A13E4" w:rsidP="00866F9E">
          <w:pPr>
            <w:pStyle w:val="TOCHeading"/>
            <w:jc w:val="center"/>
          </w:pPr>
          <w:r w:rsidRPr="00866F9E">
            <w:t>Table of Contents</w:t>
          </w:r>
        </w:p>
        <w:p w14:paraId="740CE39D" w14:textId="70221D5B" w:rsidR="004525EC" w:rsidRDefault="009A13E4">
          <w:pPr>
            <w:pStyle w:val="TOC1"/>
            <w:tabs>
              <w:tab w:val="right" w:leader="dot" w:pos="9016"/>
            </w:tabs>
            <w:rPr>
              <w:rFonts w:asciiTheme="minorHAnsi" w:hAnsiTheme="minorHAnsi"/>
              <w:b w:val="0"/>
              <w:noProof/>
              <w:color w:val="auto"/>
              <w:sz w:val="24"/>
            </w:rPr>
          </w:pPr>
          <w:r w:rsidRPr="00A110C5">
            <w:rPr>
              <w:rFonts w:cs="Arial"/>
              <w:b w:val="0"/>
            </w:rPr>
            <w:fldChar w:fldCharType="begin"/>
          </w:r>
          <w:r w:rsidRPr="00A110C5">
            <w:rPr>
              <w:rFonts w:cs="Arial"/>
            </w:rPr>
            <w:instrText xml:space="preserve"> TOC \o "1-3" \h \z \u </w:instrText>
          </w:r>
          <w:r w:rsidRPr="00A110C5">
            <w:rPr>
              <w:rFonts w:cs="Arial"/>
              <w:b w:val="0"/>
            </w:rPr>
            <w:fldChar w:fldCharType="separate"/>
          </w:r>
          <w:hyperlink w:anchor="_Toc217080759" w:history="1">
            <w:r w:rsidR="004525EC" w:rsidRPr="008B09E8">
              <w:rPr>
                <w:rStyle w:val="Hyperlink"/>
                <w:noProof/>
              </w:rPr>
              <w:t>1.0 Introduction</w:t>
            </w:r>
            <w:r w:rsidR="004525EC">
              <w:rPr>
                <w:noProof/>
                <w:webHidden/>
              </w:rPr>
              <w:tab/>
            </w:r>
            <w:r w:rsidR="004525EC">
              <w:rPr>
                <w:noProof/>
                <w:webHidden/>
              </w:rPr>
              <w:fldChar w:fldCharType="begin"/>
            </w:r>
            <w:r w:rsidR="004525EC">
              <w:rPr>
                <w:noProof/>
                <w:webHidden/>
              </w:rPr>
              <w:instrText xml:space="preserve"> PAGEREF _Toc217080759 \h </w:instrText>
            </w:r>
            <w:r w:rsidR="004525EC">
              <w:rPr>
                <w:noProof/>
                <w:webHidden/>
              </w:rPr>
            </w:r>
            <w:r w:rsidR="004525EC">
              <w:rPr>
                <w:noProof/>
                <w:webHidden/>
              </w:rPr>
              <w:fldChar w:fldCharType="separate"/>
            </w:r>
            <w:r w:rsidR="004525EC">
              <w:rPr>
                <w:noProof/>
                <w:webHidden/>
              </w:rPr>
              <w:t>1</w:t>
            </w:r>
            <w:r w:rsidR="004525EC">
              <w:rPr>
                <w:noProof/>
                <w:webHidden/>
              </w:rPr>
              <w:fldChar w:fldCharType="end"/>
            </w:r>
          </w:hyperlink>
        </w:p>
        <w:p w14:paraId="2D84E1FE" w14:textId="4483FF88" w:rsidR="004525EC" w:rsidRDefault="004525EC">
          <w:pPr>
            <w:pStyle w:val="TOC1"/>
            <w:tabs>
              <w:tab w:val="right" w:leader="dot" w:pos="9016"/>
            </w:tabs>
            <w:rPr>
              <w:rFonts w:asciiTheme="minorHAnsi" w:hAnsiTheme="minorHAnsi"/>
              <w:b w:val="0"/>
              <w:noProof/>
              <w:color w:val="auto"/>
              <w:sz w:val="24"/>
            </w:rPr>
          </w:pPr>
          <w:hyperlink w:anchor="_Toc217080760" w:history="1">
            <w:r w:rsidRPr="008B09E8">
              <w:rPr>
                <w:rStyle w:val="Hyperlink"/>
                <w:noProof/>
              </w:rPr>
              <w:t>2.0 Financial Health Check</w:t>
            </w:r>
            <w:r>
              <w:rPr>
                <w:noProof/>
                <w:webHidden/>
              </w:rPr>
              <w:tab/>
            </w:r>
            <w:r>
              <w:rPr>
                <w:noProof/>
                <w:webHidden/>
              </w:rPr>
              <w:fldChar w:fldCharType="begin"/>
            </w:r>
            <w:r>
              <w:rPr>
                <w:noProof/>
                <w:webHidden/>
              </w:rPr>
              <w:instrText xml:space="preserve"> PAGEREF _Toc217080760 \h </w:instrText>
            </w:r>
            <w:r>
              <w:rPr>
                <w:noProof/>
                <w:webHidden/>
              </w:rPr>
            </w:r>
            <w:r>
              <w:rPr>
                <w:noProof/>
                <w:webHidden/>
              </w:rPr>
              <w:fldChar w:fldCharType="separate"/>
            </w:r>
            <w:r>
              <w:rPr>
                <w:noProof/>
                <w:webHidden/>
              </w:rPr>
              <w:t>1</w:t>
            </w:r>
            <w:r>
              <w:rPr>
                <w:noProof/>
                <w:webHidden/>
              </w:rPr>
              <w:fldChar w:fldCharType="end"/>
            </w:r>
          </w:hyperlink>
        </w:p>
        <w:p w14:paraId="5DDEA3AA" w14:textId="678B6921" w:rsidR="004525EC" w:rsidRDefault="004525EC">
          <w:pPr>
            <w:pStyle w:val="TOC2"/>
            <w:tabs>
              <w:tab w:val="right" w:leader="dot" w:pos="9016"/>
            </w:tabs>
            <w:rPr>
              <w:rFonts w:asciiTheme="minorHAnsi" w:hAnsiTheme="minorHAnsi"/>
              <w:b w:val="0"/>
              <w:noProof/>
              <w:color w:val="auto"/>
            </w:rPr>
          </w:pPr>
          <w:hyperlink w:anchor="_Toc217080761" w:history="1">
            <w:r w:rsidRPr="008B09E8">
              <w:rPr>
                <w:rStyle w:val="Hyperlink"/>
                <w:noProof/>
              </w:rPr>
              <w:t>2.1 Overview of the Firm’s Financial Position</w:t>
            </w:r>
            <w:r>
              <w:rPr>
                <w:noProof/>
                <w:webHidden/>
              </w:rPr>
              <w:tab/>
            </w:r>
            <w:r>
              <w:rPr>
                <w:noProof/>
                <w:webHidden/>
              </w:rPr>
              <w:fldChar w:fldCharType="begin"/>
            </w:r>
            <w:r>
              <w:rPr>
                <w:noProof/>
                <w:webHidden/>
              </w:rPr>
              <w:instrText xml:space="preserve"> PAGEREF _Toc217080761 \h </w:instrText>
            </w:r>
            <w:r>
              <w:rPr>
                <w:noProof/>
                <w:webHidden/>
              </w:rPr>
            </w:r>
            <w:r>
              <w:rPr>
                <w:noProof/>
                <w:webHidden/>
              </w:rPr>
              <w:fldChar w:fldCharType="separate"/>
            </w:r>
            <w:r>
              <w:rPr>
                <w:noProof/>
                <w:webHidden/>
              </w:rPr>
              <w:t>1</w:t>
            </w:r>
            <w:r>
              <w:rPr>
                <w:noProof/>
                <w:webHidden/>
              </w:rPr>
              <w:fldChar w:fldCharType="end"/>
            </w:r>
          </w:hyperlink>
        </w:p>
        <w:p w14:paraId="41399B28" w14:textId="29D5EC1B" w:rsidR="004525EC" w:rsidRDefault="004525EC">
          <w:pPr>
            <w:pStyle w:val="TOC2"/>
            <w:tabs>
              <w:tab w:val="right" w:leader="dot" w:pos="9016"/>
            </w:tabs>
            <w:rPr>
              <w:rFonts w:asciiTheme="minorHAnsi" w:hAnsiTheme="minorHAnsi"/>
              <w:b w:val="0"/>
              <w:noProof/>
              <w:color w:val="auto"/>
            </w:rPr>
          </w:pPr>
          <w:hyperlink w:anchor="_Toc217080762" w:history="1">
            <w:r w:rsidRPr="008B09E8">
              <w:rPr>
                <w:rStyle w:val="Hyperlink"/>
                <w:noProof/>
              </w:rPr>
              <w:t>2.2 Ratio Analysis</w:t>
            </w:r>
            <w:r>
              <w:rPr>
                <w:noProof/>
                <w:webHidden/>
              </w:rPr>
              <w:tab/>
            </w:r>
            <w:r>
              <w:rPr>
                <w:noProof/>
                <w:webHidden/>
              </w:rPr>
              <w:fldChar w:fldCharType="begin"/>
            </w:r>
            <w:r>
              <w:rPr>
                <w:noProof/>
                <w:webHidden/>
              </w:rPr>
              <w:instrText xml:space="preserve"> PAGEREF _Toc217080762 \h </w:instrText>
            </w:r>
            <w:r>
              <w:rPr>
                <w:noProof/>
                <w:webHidden/>
              </w:rPr>
            </w:r>
            <w:r>
              <w:rPr>
                <w:noProof/>
                <w:webHidden/>
              </w:rPr>
              <w:fldChar w:fldCharType="separate"/>
            </w:r>
            <w:r>
              <w:rPr>
                <w:noProof/>
                <w:webHidden/>
              </w:rPr>
              <w:t>2</w:t>
            </w:r>
            <w:r>
              <w:rPr>
                <w:noProof/>
                <w:webHidden/>
              </w:rPr>
              <w:fldChar w:fldCharType="end"/>
            </w:r>
          </w:hyperlink>
        </w:p>
        <w:p w14:paraId="5A0224AC" w14:textId="4A997B98" w:rsidR="004525EC" w:rsidRDefault="004525EC">
          <w:pPr>
            <w:pStyle w:val="TOC2"/>
            <w:tabs>
              <w:tab w:val="right" w:leader="dot" w:pos="9016"/>
            </w:tabs>
            <w:rPr>
              <w:rFonts w:asciiTheme="minorHAnsi" w:hAnsiTheme="minorHAnsi"/>
              <w:b w:val="0"/>
              <w:noProof/>
              <w:color w:val="auto"/>
            </w:rPr>
          </w:pPr>
          <w:hyperlink w:anchor="_Toc217080763" w:history="1">
            <w:r w:rsidRPr="008B09E8">
              <w:rPr>
                <w:rStyle w:val="Hyperlink"/>
                <w:noProof/>
              </w:rPr>
              <w:t>2.3 Trend Analysis</w:t>
            </w:r>
            <w:r>
              <w:rPr>
                <w:noProof/>
                <w:webHidden/>
              </w:rPr>
              <w:tab/>
            </w:r>
            <w:r>
              <w:rPr>
                <w:noProof/>
                <w:webHidden/>
              </w:rPr>
              <w:fldChar w:fldCharType="begin"/>
            </w:r>
            <w:r>
              <w:rPr>
                <w:noProof/>
                <w:webHidden/>
              </w:rPr>
              <w:instrText xml:space="preserve"> PAGEREF _Toc217080763 \h </w:instrText>
            </w:r>
            <w:r>
              <w:rPr>
                <w:noProof/>
                <w:webHidden/>
              </w:rPr>
            </w:r>
            <w:r>
              <w:rPr>
                <w:noProof/>
                <w:webHidden/>
              </w:rPr>
              <w:fldChar w:fldCharType="separate"/>
            </w:r>
            <w:r>
              <w:rPr>
                <w:noProof/>
                <w:webHidden/>
              </w:rPr>
              <w:t>3</w:t>
            </w:r>
            <w:r>
              <w:rPr>
                <w:noProof/>
                <w:webHidden/>
              </w:rPr>
              <w:fldChar w:fldCharType="end"/>
            </w:r>
          </w:hyperlink>
        </w:p>
        <w:p w14:paraId="1F45BDD7" w14:textId="687EFDE3" w:rsidR="004525EC" w:rsidRDefault="004525EC">
          <w:pPr>
            <w:pStyle w:val="TOC2"/>
            <w:tabs>
              <w:tab w:val="right" w:leader="dot" w:pos="9016"/>
            </w:tabs>
            <w:rPr>
              <w:rFonts w:asciiTheme="minorHAnsi" w:hAnsiTheme="minorHAnsi"/>
              <w:b w:val="0"/>
              <w:noProof/>
              <w:color w:val="auto"/>
            </w:rPr>
          </w:pPr>
          <w:hyperlink w:anchor="_Toc217080764" w:history="1">
            <w:r w:rsidRPr="008B09E8">
              <w:rPr>
                <w:rStyle w:val="Hyperlink"/>
                <w:noProof/>
              </w:rPr>
              <w:t>2.4 Strengths and Threats</w:t>
            </w:r>
            <w:r>
              <w:rPr>
                <w:noProof/>
                <w:webHidden/>
              </w:rPr>
              <w:tab/>
            </w:r>
            <w:r>
              <w:rPr>
                <w:noProof/>
                <w:webHidden/>
              </w:rPr>
              <w:fldChar w:fldCharType="begin"/>
            </w:r>
            <w:r>
              <w:rPr>
                <w:noProof/>
                <w:webHidden/>
              </w:rPr>
              <w:instrText xml:space="preserve"> PAGEREF _Toc217080764 \h </w:instrText>
            </w:r>
            <w:r>
              <w:rPr>
                <w:noProof/>
                <w:webHidden/>
              </w:rPr>
            </w:r>
            <w:r>
              <w:rPr>
                <w:noProof/>
                <w:webHidden/>
              </w:rPr>
              <w:fldChar w:fldCharType="separate"/>
            </w:r>
            <w:r>
              <w:rPr>
                <w:noProof/>
                <w:webHidden/>
              </w:rPr>
              <w:t>7</w:t>
            </w:r>
            <w:r>
              <w:rPr>
                <w:noProof/>
                <w:webHidden/>
              </w:rPr>
              <w:fldChar w:fldCharType="end"/>
            </w:r>
          </w:hyperlink>
        </w:p>
        <w:p w14:paraId="5190B566" w14:textId="015138D6" w:rsidR="004525EC" w:rsidRDefault="004525EC">
          <w:pPr>
            <w:pStyle w:val="TOC2"/>
            <w:tabs>
              <w:tab w:val="right" w:leader="dot" w:pos="9016"/>
            </w:tabs>
            <w:rPr>
              <w:rFonts w:asciiTheme="minorHAnsi" w:hAnsiTheme="minorHAnsi"/>
              <w:b w:val="0"/>
              <w:noProof/>
              <w:color w:val="auto"/>
            </w:rPr>
          </w:pPr>
          <w:hyperlink w:anchor="_Toc217080765" w:history="1">
            <w:r w:rsidRPr="008B09E8">
              <w:rPr>
                <w:rStyle w:val="Hyperlink"/>
                <w:noProof/>
              </w:rPr>
              <w:t>2.5 Corporate Failure Prediction Models (Altman Z-Score)</w:t>
            </w:r>
            <w:r>
              <w:rPr>
                <w:noProof/>
                <w:webHidden/>
              </w:rPr>
              <w:tab/>
            </w:r>
            <w:r>
              <w:rPr>
                <w:noProof/>
                <w:webHidden/>
              </w:rPr>
              <w:fldChar w:fldCharType="begin"/>
            </w:r>
            <w:r>
              <w:rPr>
                <w:noProof/>
                <w:webHidden/>
              </w:rPr>
              <w:instrText xml:space="preserve"> PAGEREF _Toc217080765 \h </w:instrText>
            </w:r>
            <w:r>
              <w:rPr>
                <w:noProof/>
                <w:webHidden/>
              </w:rPr>
            </w:r>
            <w:r>
              <w:rPr>
                <w:noProof/>
                <w:webHidden/>
              </w:rPr>
              <w:fldChar w:fldCharType="separate"/>
            </w:r>
            <w:r>
              <w:rPr>
                <w:noProof/>
                <w:webHidden/>
              </w:rPr>
              <w:t>8</w:t>
            </w:r>
            <w:r>
              <w:rPr>
                <w:noProof/>
                <w:webHidden/>
              </w:rPr>
              <w:fldChar w:fldCharType="end"/>
            </w:r>
          </w:hyperlink>
        </w:p>
        <w:p w14:paraId="378BF128" w14:textId="680CAF7F" w:rsidR="004525EC" w:rsidRDefault="004525EC">
          <w:pPr>
            <w:pStyle w:val="TOC1"/>
            <w:tabs>
              <w:tab w:val="right" w:leader="dot" w:pos="9016"/>
            </w:tabs>
            <w:rPr>
              <w:rFonts w:asciiTheme="minorHAnsi" w:hAnsiTheme="minorHAnsi"/>
              <w:b w:val="0"/>
              <w:noProof/>
              <w:color w:val="auto"/>
              <w:sz w:val="24"/>
            </w:rPr>
          </w:pPr>
          <w:hyperlink w:anchor="_Toc217080766" w:history="1">
            <w:r w:rsidRPr="008B09E8">
              <w:rPr>
                <w:rStyle w:val="Hyperlink"/>
                <w:noProof/>
              </w:rPr>
              <w:t>3.0 Working Capital Management Analysis</w:t>
            </w:r>
            <w:r>
              <w:rPr>
                <w:noProof/>
                <w:webHidden/>
              </w:rPr>
              <w:tab/>
            </w:r>
            <w:r>
              <w:rPr>
                <w:noProof/>
                <w:webHidden/>
              </w:rPr>
              <w:fldChar w:fldCharType="begin"/>
            </w:r>
            <w:r>
              <w:rPr>
                <w:noProof/>
                <w:webHidden/>
              </w:rPr>
              <w:instrText xml:space="preserve"> PAGEREF _Toc217080766 \h </w:instrText>
            </w:r>
            <w:r>
              <w:rPr>
                <w:noProof/>
                <w:webHidden/>
              </w:rPr>
            </w:r>
            <w:r>
              <w:rPr>
                <w:noProof/>
                <w:webHidden/>
              </w:rPr>
              <w:fldChar w:fldCharType="separate"/>
            </w:r>
            <w:r>
              <w:rPr>
                <w:noProof/>
                <w:webHidden/>
              </w:rPr>
              <w:t>9</w:t>
            </w:r>
            <w:r>
              <w:rPr>
                <w:noProof/>
                <w:webHidden/>
              </w:rPr>
              <w:fldChar w:fldCharType="end"/>
            </w:r>
          </w:hyperlink>
        </w:p>
        <w:p w14:paraId="0EAF62FA" w14:textId="539E6236" w:rsidR="004525EC" w:rsidRDefault="004525EC">
          <w:pPr>
            <w:pStyle w:val="TOC2"/>
            <w:tabs>
              <w:tab w:val="right" w:leader="dot" w:pos="9016"/>
            </w:tabs>
            <w:rPr>
              <w:rFonts w:asciiTheme="minorHAnsi" w:hAnsiTheme="minorHAnsi"/>
              <w:b w:val="0"/>
              <w:noProof/>
              <w:color w:val="auto"/>
            </w:rPr>
          </w:pPr>
          <w:hyperlink w:anchor="_Toc217080767" w:history="1">
            <w:r w:rsidRPr="008B09E8">
              <w:rPr>
                <w:rStyle w:val="Hyperlink"/>
                <w:noProof/>
              </w:rPr>
              <w:t>3.1 Cash Operating Cycle</w:t>
            </w:r>
            <w:r>
              <w:rPr>
                <w:noProof/>
                <w:webHidden/>
              </w:rPr>
              <w:tab/>
            </w:r>
            <w:r>
              <w:rPr>
                <w:noProof/>
                <w:webHidden/>
              </w:rPr>
              <w:fldChar w:fldCharType="begin"/>
            </w:r>
            <w:r>
              <w:rPr>
                <w:noProof/>
                <w:webHidden/>
              </w:rPr>
              <w:instrText xml:space="preserve"> PAGEREF _Toc217080767 \h </w:instrText>
            </w:r>
            <w:r>
              <w:rPr>
                <w:noProof/>
                <w:webHidden/>
              </w:rPr>
            </w:r>
            <w:r>
              <w:rPr>
                <w:noProof/>
                <w:webHidden/>
              </w:rPr>
              <w:fldChar w:fldCharType="separate"/>
            </w:r>
            <w:r>
              <w:rPr>
                <w:noProof/>
                <w:webHidden/>
              </w:rPr>
              <w:t>9</w:t>
            </w:r>
            <w:r>
              <w:rPr>
                <w:noProof/>
                <w:webHidden/>
              </w:rPr>
              <w:fldChar w:fldCharType="end"/>
            </w:r>
          </w:hyperlink>
        </w:p>
        <w:p w14:paraId="7974C352" w14:textId="4276CAB1" w:rsidR="004525EC" w:rsidRDefault="004525EC">
          <w:pPr>
            <w:pStyle w:val="TOC2"/>
            <w:tabs>
              <w:tab w:val="right" w:leader="dot" w:pos="9016"/>
            </w:tabs>
            <w:rPr>
              <w:rFonts w:asciiTheme="minorHAnsi" w:hAnsiTheme="minorHAnsi"/>
              <w:b w:val="0"/>
              <w:noProof/>
              <w:color w:val="auto"/>
            </w:rPr>
          </w:pPr>
          <w:hyperlink w:anchor="_Toc217080768" w:history="1">
            <w:r w:rsidRPr="008B09E8">
              <w:rPr>
                <w:rStyle w:val="Hyperlink"/>
                <w:noProof/>
              </w:rPr>
              <w:t>3.2 Liquidity Recommendations</w:t>
            </w:r>
            <w:r>
              <w:rPr>
                <w:noProof/>
                <w:webHidden/>
              </w:rPr>
              <w:tab/>
            </w:r>
            <w:r>
              <w:rPr>
                <w:noProof/>
                <w:webHidden/>
              </w:rPr>
              <w:fldChar w:fldCharType="begin"/>
            </w:r>
            <w:r>
              <w:rPr>
                <w:noProof/>
                <w:webHidden/>
              </w:rPr>
              <w:instrText xml:space="preserve"> PAGEREF _Toc217080768 \h </w:instrText>
            </w:r>
            <w:r>
              <w:rPr>
                <w:noProof/>
                <w:webHidden/>
              </w:rPr>
            </w:r>
            <w:r>
              <w:rPr>
                <w:noProof/>
                <w:webHidden/>
              </w:rPr>
              <w:fldChar w:fldCharType="separate"/>
            </w:r>
            <w:r>
              <w:rPr>
                <w:noProof/>
                <w:webHidden/>
              </w:rPr>
              <w:t>10</w:t>
            </w:r>
            <w:r>
              <w:rPr>
                <w:noProof/>
                <w:webHidden/>
              </w:rPr>
              <w:fldChar w:fldCharType="end"/>
            </w:r>
          </w:hyperlink>
        </w:p>
        <w:p w14:paraId="0F760AF7" w14:textId="68CD3356" w:rsidR="004525EC" w:rsidRDefault="004525EC">
          <w:pPr>
            <w:pStyle w:val="TOC3"/>
            <w:tabs>
              <w:tab w:val="right" w:leader="dot" w:pos="9016"/>
            </w:tabs>
            <w:rPr>
              <w:rFonts w:asciiTheme="minorHAnsi" w:hAnsiTheme="minorHAnsi"/>
              <w:noProof/>
              <w:color w:val="auto"/>
            </w:rPr>
          </w:pPr>
          <w:hyperlink w:anchor="_Toc217080769" w:history="1">
            <w:r w:rsidRPr="008B09E8">
              <w:rPr>
                <w:rStyle w:val="Hyperlink"/>
                <w:rFonts w:cs="Arial"/>
                <w:noProof/>
              </w:rPr>
              <w:t>3.2.1 Improve Inventory Management</w:t>
            </w:r>
            <w:r>
              <w:rPr>
                <w:noProof/>
                <w:webHidden/>
              </w:rPr>
              <w:tab/>
            </w:r>
            <w:r>
              <w:rPr>
                <w:noProof/>
                <w:webHidden/>
              </w:rPr>
              <w:fldChar w:fldCharType="begin"/>
            </w:r>
            <w:r>
              <w:rPr>
                <w:noProof/>
                <w:webHidden/>
              </w:rPr>
              <w:instrText xml:space="preserve"> PAGEREF _Toc217080769 \h </w:instrText>
            </w:r>
            <w:r>
              <w:rPr>
                <w:noProof/>
                <w:webHidden/>
              </w:rPr>
            </w:r>
            <w:r>
              <w:rPr>
                <w:noProof/>
                <w:webHidden/>
              </w:rPr>
              <w:fldChar w:fldCharType="separate"/>
            </w:r>
            <w:r>
              <w:rPr>
                <w:noProof/>
                <w:webHidden/>
              </w:rPr>
              <w:t>10</w:t>
            </w:r>
            <w:r>
              <w:rPr>
                <w:noProof/>
                <w:webHidden/>
              </w:rPr>
              <w:fldChar w:fldCharType="end"/>
            </w:r>
          </w:hyperlink>
        </w:p>
        <w:p w14:paraId="3E8F680B" w14:textId="1B04E240" w:rsidR="004525EC" w:rsidRDefault="004525EC">
          <w:pPr>
            <w:pStyle w:val="TOC3"/>
            <w:tabs>
              <w:tab w:val="right" w:leader="dot" w:pos="9016"/>
            </w:tabs>
            <w:rPr>
              <w:rFonts w:asciiTheme="minorHAnsi" w:hAnsiTheme="minorHAnsi"/>
              <w:noProof/>
              <w:color w:val="auto"/>
            </w:rPr>
          </w:pPr>
          <w:hyperlink w:anchor="_Toc217080770" w:history="1">
            <w:r w:rsidRPr="008B09E8">
              <w:rPr>
                <w:rStyle w:val="Hyperlink"/>
                <w:rFonts w:cs="Arial"/>
                <w:noProof/>
              </w:rPr>
              <w:t>3.2.2 Strengthen Receivables Collection</w:t>
            </w:r>
            <w:r>
              <w:rPr>
                <w:noProof/>
                <w:webHidden/>
              </w:rPr>
              <w:tab/>
            </w:r>
            <w:r>
              <w:rPr>
                <w:noProof/>
                <w:webHidden/>
              </w:rPr>
              <w:fldChar w:fldCharType="begin"/>
            </w:r>
            <w:r>
              <w:rPr>
                <w:noProof/>
                <w:webHidden/>
              </w:rPr>
              <w:instrText xml:space="preserve"> PAGEREF _Toc217080770 \h </w:instrText>
            </w:r>
            <w:r>
              <w:rPr>
                <w:noProof/>
                <w:webHidden/>
              </w:rPr>
            </w:r>
            <w:r>
              <w:rPr>
                <w:noProof/>
                <w:webHidden/>
              </w:rPr>
              <w:fldChar w:fldCharType="separate"/>
            </w:r>
            <w:r>
              <w:rPr>
                <w:noProof/>
                <w:webHidden/>
              </w:rPr>
              <w:t>10</w:t>
            </w:r>
            <w:r>
              <w:rPr>
                <w:noProof/>
                <w:webHidden/>
              </w:rPr>
              <w:fldChar w:fldCharType="end"/>
            </w:r>
          </w:hyperlink>
        </w:p>
        <w:p w14:paraId="1E973E52" w14:textId="339EE634" w:rsidR="004525EC" w:rsidRDefault="004525EC">
          <w:pPr>
            <w:pStyle w:val="TOC3"/>
            <w:tabs>
              <w:tab w:val="right" w:leader="dot" w:pos="9016"/>
            </w:tabs>
            <w:rPr>
              <w:rFonts w:asciiTheme="minorHAnsi" w:hAnsiTheme="minorHAnsi"/>
              <w:noProof/>
              <w:color w:val="auto"/>
            </w:rPr>
          </w:pPr>
          <w:hyperlink w:anchor="_Toc217080771" w:history="1">
            <w:r w:rsidRPr="008B09E8">
              <w:rPr>
                <w:rStyle w:val="Hyperlink"/>
                <w:rFonts w:cs="Arial"/>
                <w:noProof/>
              </w:rPr>
              <w:t>3.2.3 Optimize Payables</w:t>
            </w:r>
            <w:r>
              <w:rPr>
                <w:noProof/>
                <w:webHidden/>
              </w:rPr>
              <w:tab/>
            </w:r>
            <w:r>
              <w:rPr>
                <w:noProof/>
                <w:webHidden/>
              </w:rPr>
              <w:fldChar w:fldCharType="begin"/>
            </w:r>
            <w:r>
              <w:rPr>
                <w:noProof/>
                <w:webHidden/>
              </w:rPr>
              <w:instrText xml:space="preserve"> PAGEREF _Toc217080771 \h </w:instrText>
            </w:r>
            <w:r>
              <w:rPr>
                <w:noProof/>
                <w:webHidden/>
              </w:rPr>
            </w:r>
            <w:r>
              <w:rPr>
                <w:noProof/>
                <w:webHidden/>
              </w:rPr>
              <w:fldChar w:fldCharType="separate"/>
            </w:r>
            <w:r>
              <w:rPr>
                <w:noProof/>
                <w:webHidden/>
              </w:rPr>
              <w:t>11</w:t>
            </w:r>
            <w:r>
              <w:rPr>
                <w:noProof/>
                <w:webHidden/>
              </w:rPr>
              <w:fldChar w:fldCharType="end"/>
            </w:r>
          </w:hyperlink>
        </w:p>
        <w:p w14:paraId="2B3E9ED7" w14:textId="74C1B3E5" w:rsidR="004525EC" w:rsidRDefault="004525EC">
          <w:pPr>
            <w:pStyle w:val="TOC2"/>
            <w:tabs>
              <w:tab w:val="right" w:leader="dot" w:pos="9016"/>
            </w:tabs>
            <w:rPr>
              <w:rFonts w:asciiTheme="minorHAnsi" w:hAnsiTheme="minorHAnsi"/>
              <w:b w:val="0"/>
              <w:noProof/>
              <w:color w:val="auto"/>
            </w:rPr>
          </w:pPr>
          <w:hyperlink w:anchor="_Toc217080772" w:history="1">
            <w:r w:rsidRPr="008B09E8">
              <w:rPr>
                <w:rStyle w:val="Hyperlink"/>
                <w:noProof/>
              </w:rPr>
              <w:t>3.3 Short-Term vs. Long-Term Financing Options</w:t>
            </w:r>
            <w:r>
              <w:rPr>
                <w:noProof/>
                <w:webHidden/>
              </w:rPr>
              <w:tab/>
            </w:r>
            <w:r>
              <w:rPr>
                <w:noProof/>
                <w:webHidden/>
              </w:rPr>
              <w:fldChar w:fldCharType="begin"/>
            </w:r>
            <w:r>
              <w:rPr>
                <w:noProof/>
                <w:webHidden/>
              </w:rPr>
              <w:instrText xml:space="preserve"> PAGEREF _Toc217080772 \h </w:instrText>
            </w:r>
            <w:r>
              <w:rPr>
                <w:noProof/>
                <w:webHidden/>
              </w:rPr>
            </w:r>
            <w:r>
              <w:rPr>
                <w:noProof/>
                <w:webHidden/>
              </w:rPr>
              <w:fldChar w:fldCharType="separate"/>
            </w:r>
            <w:r>
              <w:rPr>
                <w:noProof/>
                <w:webHidden/>
              </w:rPr>
              <w:t>11</w:t>
            </w:r>
            <w:r>
              <w:rPr>
                <w:noProof/>
                <w:webHidden/>
              </w:rPr>
              <w:fldChar w:fldCharType="end"/>
            </w:r>
          </w:hyperlink>
        </w:p>
        <w:p w14:paraId="1C6069C9" w14:textId="394486D2" w:rsidR="004525EC" w:rsidRDefault="004525EC">
          <w:pPr>
            <w:pStyle w:val="TOC3"/>
            <w:tabs>
              <w:tab w:val="right" w:leader="dot" w:pos="9016"/>
            </w:tabs>
            <w:rPr>
              <w:rFonts w:asciiTheme="minorHAnsi" w:hAnsiTheme="minorHAnsi"/>
              <w:noProof/>
              <w:color w:val="auto"/>
            </w:rPr>
          </w:pPr>
          <w:hyperlink w:anchor="_Toc217080773" w:history="1">
            <w:r w:rsidRPr="008B09E8">
              <w:rPr>
                <w:rStyle w:val="Hyperlink"/>
                <w:rFonts w:cs="Arial"/>
                <w:noProof/>
              </w:rPr>
              <w:t>3.3.1 Short-Term Financing</w:t>
            </w:r>
            <w:r>
              <w:rPr>
                <w:noProof/>
                <w:webHidden/>
              </w:rPr>
              <w:tab/>
            </w:r>
            <w:r>
              <w:rPr>
                <w:noProof/>
                <w:webHidden/>
              </w:rPr>
              <w:fldChar w:fldCharType="begin"/>
            </w:r>
            <w:r>
              <w:rPr>
                <w:noProof/>
                <w:webHidden/>
              </w:rPr>
              <w:instrText xml:space="preserve"> PAGEREF _Toc217080773 \h </w:instrText>
            </w:r>
            <w:r>
              <w:rPr>
                <w:noProof/>
                <w:webHidden/>
              </w:rPr>
            </w:r>
            <w:r>
              <w:rPr>
                <w:noProof/>
                <w:webHidden/>
              </w:rPr>
              <w:fldChar w:fldCharType="separate"/>
            </w:r>
            <w:r>
              <w:rPr>
                <w:noProof/>
                <w:webHidden/>
              </w:rPr>
              <w:t>11</w:t>
            </w:r>
            <w:r>
              <w:rPr>
                <w:noProof/>
                <w:webHidden/>
              </w:rPr>
              <w:fldChar w:fldCharType="end"/>
            </w:r>
          </w:hyperlink>
        </w:p>
        <w:p w14:paraId="39C70907" w14:textId="168E5E1A" w:rsidR="004525EC" w:rsidRDefault="004525EC">
          <w:pPr>
            <w:pStyle w:val="TOC3"/>
            <w:tabs>
              <w:tab w:val="right" w:leader="dot" w:pos="9016"/>
            </w:tabs>
            <w:rPr>
              <w:rFonts w:asciiTheme="minorHAnsi" w:hAnsiTheme="minorHAnsi"/>
              <w:noProof/>
              <w:color w:val="auto"/>
            </w:rPr>
          </w:pPr>
          <w:hyperlink w:anchor="_Toc217080774" w:history="1">
            <w:r w:rsidRPr="008B09E8">
              <w:rPr>
                <w:rStyle w:val="Hyperlink"/>
                <w:rFonts w:cs="Arial"/>
                <w:noProof/>
              </w:rPr>
              <w:t>3.3.2 Long-Term Financing</w:t>
            </w:r>
            <w:r>
              <w:rPr>
                <w:noProof/>
                <w:webHidden/>
              </w:rPr>
              <w:tab/>
            </w:r>
            <w:r>
              <w:rPr>
                <w:noProof/>
                <w:webHidden/>
              </w:rPr>
              <w:fldChar w:fldCharType="begin"/>
            </w:r>
            <w:r>
              <w:rPr>
                <w:noProof/>
                <w:webHidden/>
              </w:rPr>
              <w:instrText xml:space="preserve"> PAGEREF _Toc217080774 \h </w:instrText>
            </w:r>
            <w:r>
              <w:rPr>
                <w:noProof/>
                <w:webHidden/>
              </w:rPr>
            </w:r>
            <w:r>
              <w:rPr>
                <w:noProof/>
                <w:webHidden/>
              </w:rPr>
              <w:fldChar w:fldCharType="separate"/>
            </w:r>
            <w:r>
              <w:rPr>
                <w:noProof/>
                <w:webHidden/>
              </w:rPr>
              <w:t>11</w:t>
            </w:r>
            <w:r>
              <w:rPr>
                <w:noProof/>
                <w:webHidden/>
              </w:rPr>
              <w:fldChar w:fldCharType="end"/>
            </w:r>
          </w:hyperlink>
        </w:p>
        <w:p w14:paraId="23B2368C" w14:textId="5C147CF6" w:rsidR="004525EC" w:rsidRDefault="004525EC">
          <w:pPr>
            <w:pStyle w:val="TOC1"/>
            <w:tabs>
              <w:tab w:val="right" w:leader="dot" w:pos="9016"/>
            </w:tabs>
            <w:rPr>
              <w:rFonts w:asciiTheme="minorHAnsi" w:hAnsiTheme="minorHAnsi"/>
              <w:b w:val="0"/>
              <w:noProof/>
              <w:color w:val="auto"/>
              <w:sz w:val="24"/>
            </w:rPr>
          </w:pPr>
          <w:hyperlink w:anchor="_Toc217080775" w:history="1">
            <w:r w:rsidRPr="008B09E8">
              <w:rPr>
                <w:rStyle w:val="Hyperlink"/>
                <w:noProof/>
              </w:rPr>
              <w:t>4.0 Strategic Financial Restructuring</w:t>
            </w:r>
            <w:r>
              <w:rPr>
                <w:noProof/>
                <w:webHidden/>
              </w:rPr>
              <w:tab/>
            </w:r>
            <w:r>
              <w:rPr>
                <w:noProof/>
                <w:webHidden/>
              </w:rPr>
              <w:fldChar w:fldCharType="begin"/>
            </w:r>
            <w:r>
              <w:rPr>
                <w:noProof/>
                <w:webHidden/>
              </w:rPr>
              <w:instrText xml:space="preserve"> PAGEREF _Toc217080775 \h </w:instrText>
            </w:r>
            <w:r>
              <w:rPr>
                <w:noProof/>
                <w:webHidden/>
              </w:rPr>
            </w:r>
            <w:r>
              <w:rPr>
                <w:noProof/>
                <w:webHidden/>
              </w:rPr>
              <w:fldChar w:fldCharType="separate"/>
            </w:r>
            <w:r>
              <w:rPr>
                <w:noProof/>
                <w:webHidden/>
              </w:rPr>
              <w:t>12</w:t>
            </w:r>
            <w:r>
              <w:rPr>
                <w:noProof/>
                <w:webHidden/>
              </w:rPr>
              <w:fldChar w:fldCharType="end"/>
            </w:r>
          </w:hyperlink>
        </w:p>
        <w:p w14:paraId="06E36D02" w14:textId="50E36C67" w:rsidR="004525EC" w:rsidRDefault="004525EC">
          <w:pPr>
            <w:pStyle w:val="TOC2"/>
            <w:tabs>
              <w:tab w:val="right" w:leader="dot" w:pos="9016"/>
            </w:tabs>
            <w:rPr>
              <w:rFonts w:asciiTheme="minorHAnsi" w:hAnsiTheme="minorHAnsi"/>
              <w:b w:val="0"/>
              <w:noProof/>
              <w:color w:val="auto"/>
            </w:rPr>
          </w:pPr>
          <w:hyperlink w:anchor="_Toc217080776" w:history="1">
            <w:r w:rsidRPr="008B09E8">
              <w:rPr>
                <w:rStyle w:val="Hyperlink"/>
                <w:noProof/>
              </w:rPr>
              <w:t>4.1 Financial Restructuring Options</w:t>
            </w:r>
            <w:r>
              <w:rPr>
                <w:noProof/>
                <w:webHidden/>
              </w:rPr>
              <w:tab/>
            </w:r>
            <w:r>
              <w:rPr>
                <w:noProof/>
                <w:webHidden/>
              </w:rPr>
              <w:fldChar w:fldCharType="begin"/>
            </w:r>
            <w:r>
              <w:rPr>
                <w:noProof/>
                <w:webHidden/>
              </w:rPr>
              <w:instrText xml:space="preserve"> PAGEREF _Toc217080776 \h </w:instrText>
            </w:r>
            <w:r>
              <w:rPr>
                <w:noProof/>
                <w:webHidden/>
              </w:rPr>
            </w:r>
            <w:r>
              <w:rPr>
                <w:noProof/>
                <w:webHidden/>
              </w:rPr>
              <w:fldChar w:fldCharType="separate"/>
            </w:r>
            <w:r>
              <w:rPr>
                <w:noProof/>
                <w:webHidden/>
              </w:rPr>
              <w:t>12</w:t>
            </w:r>
            <w:r>
              <w:rPr>
                <w:noProof/>
                <w:webHidden/>
              </w:rPr>
              <w:fldChar w:fldCharType="end"/>
            </w:r>
          </w:hyperlink>
        </w:p>
        <w:p w14:paraId="5DD99887" w14:textId="2581BB03" w:rsidR="004525EC" w:rsidRDefault="004525EC">
          <w:pPr>
            <w:pStyle w:val="TOC3"/>
            <w:tabs>
              <w:tab w:val="right" w:leader="dot" w:pos="9016"/>
            </w:tabs>
            <w:rPr>
              <w:rFonts w:asciiTheme="minorHAnsi" w:hAnsiTheme="minorHAnsi"/>
              <w:noProof/>
              <w:color w:val="auto"/>
            </w:rPr>
          </w:pPr>
          <w:hyperlink w:anchor="_Toc217080777" w:history="1">
            <w:r w:rsidRPr="008B09E8">
              <w:rPr>
                <w:rStyle w:val="Hyperlink"/>
                <w:rFonts w:cs="Arial"/>
                <w:noProof/>
              </w:rPr>
              <w:t>4.1.1 Divestitures</w:t>
            </w:r>
            <w:r>
              <w:rPr>
                <w:noProof/>
                <w:webHidden/>
              </w:rPr>
              <w:tab/>
            </w:r>
            <w:r>
              <w:rPr>
                <w:noProof/>
                <w:webHidden/>
              </w:rPr>
              <w:fldChar w:fldCharType="begin"/>
            </w:r>
            <w:r>
              <w:rPr>
                <w:noProof/>
                <w:webHidden/>
              </w:rPr>
              <w:instrText xml:space="preserve"> PAGEREF _Toc217080777 \h </w:instrText>
            </w:r>
            <w:r>
              <w:rPr>
                <w:noProof/>
                <w:webHidden/>
              </w:rPr>
            </w:r>
            <w:r>
              <w:rPr>
                <w:noProof/>
                <w:webHidden/>
              </w:rPr>
              <w:fldChar w:fldCharType="separate"/>
            </w:r>
            <w:r>
              <w:rPr>
                <w:noProof/>
                <w:webHidden/>
              </w:rPr>
              <w:t>12</w:t>
            </w:r>
            <w:r>
              <w:rPr>
                <w:noProof/>
                <w:webHidden/>
              </w:rPr>
              <w:fldChar w:fldCharType="end"/>
            </w:r>
          </w:hyperlink>
        </w:p>
        <w:p w14:paraId="7FBD52B9" w14:textId="234F9824" w:rsidR="004525EC" w:rsidRDefault="004525EC">
          <w:pPr>
            <w:pStyle w:val="TOC3"/>
            <w:tabs>
              <w:tab w:val="right" w:leader="dot" w:pos="9016"/>
            </w:tabs>
            <w:rPr>
              <w:rFonts w:asciiTheme="minorHAnsi" w:hAnsiTheme="minorHAnsi"/>
              <w:noProof/>
              <w:color w:val="auto"/>
            </w:rPr>
          </w:pPr>
          <w:hyperlink w:anchor="_Toc217080778" w:history="1">
            <w:r w:rsidRPr="008B09E8">
              <w:rPr>
                <w:rStyle w:val="Hyperlink"/>
                <w:rFonts w:cs="Arial"/>
                <w:noProof/>
              </w:rPr>
              <w:t>4.1.2 Mergers</w:t>
            </w:r>
            <w:r>
              <w:rPr>
                <w:noProof/>
                <w:webHidden/>
              </w:rPr>
              <w:tab/>
            </w:r>
            <w:r>
              <w:rPr>
                <w:noProof/>
                <w:webHidden/>
              </w:rPr>
              <w:fldChar w:fldCharType="begin"/>
            </w:r>
            <w:r>
              <w:rPr>
                <w:noProof/>
                <w:webHidden/>
              </w:rPr>
              <w:instrText xml:space="preserve"> PAGEREF _Toc217080778 \h </w:instrText>
            </w:r>
            <w:r>
              <w:rPr>
                <w:noProof/>
                <w:webHidden/>
              </w:rPr>
            </w:r>
            <w:r>
              <w:rPr>
                <w:noProof/>
                <w:webHidden/>
              </w:rPr>
              <w:fldChar w:fldCharType="separate"/>
            </w:r>
            <w:r>
              <w:rPr>
                <w:noProof/>
                <w:webHidden/>
              </w:rPr>
              <w:t>12</w:t>
            </w:r>
            <w:r>
              <w:rPr>
                <w:noProof/>
                <w:webHidden/>
              </w:rPr>
              <w:fldChar w:fldCharType="end"/>
            </w:r>
          </w:hyperlink>
        </w:p>
        <w:p w14:paraId="1D1B81B0" w14:textId="0723106E" w:rsidR="004525EC" w:rsidRDefault="004525EC">
          <w:pPr>
            <w:pStyle w:val="TOC3"/>
            <w:tabs>
              <w:tab w:val="right" w:leader="dot" w:pos="9016"/>
            </w:tabs>
            <w:rPr>
              <w:rFonts w:asciiTheme="minorHAnsi" w:hAnsiTheme="minorHAnsi"/>
              <w:noProof/>
              <w:color w:val="auto"/>
            </w:rPr>
          </w:pPr>
          <w:hyperlink w:anchor="_Toc217080779" w:history="1">
            <w:r w:rsidRPr="008B09E8">
              <w:rPr>
                <w:rStyle w:val="Hyperlink"/>
                <w:rFonts w:cs="Arial"/>
                <w:noProof/>
              </w:rPr>
              <w:t>4.1.3 Equity Injections</w:t>
            </w:r>
            <w:r>
              <w:rPr>
                <w:noProof/>
                <w:webHidden/>
              </w:rPr>
              <w:tab/>
            </w:r>
            <w:r>
              <w:rPr>
                <w:noProof/>
                <w:webHidden/>
              </w:rPr>
              <w:fldChar w:fldCharType="begin"/>
            </w:r>
            <w:r>
              <w:rPr>
                <w:noProof/>
                <w:webHidden/>
              </w:rPr>
              <w:instrText xml:space="preserve"> PAGEREF _Toc217080779 \h </w:instrText>
            </w:r>
            <w:r>
              <w:rPr>
                <w:noProof/>
                <w:webHidden/>
              </w:rPr>
            </w:r>
            <w:r>
              <w:rPr>
                <w:noProof/>
                <w:webHidden/>
              </w:rPr>
              <w:fldChar w:fldCharType="separate"/>
            </w:r>
            <w:r>
              <w:rPr>
                <w:noProof/>
                <w:webHidden/>
              </w:rPr>
              <w:t>12</w:t>
            </w:r>
            <w:r>
              <w:rPr>
                <w:noProof/>
                <w:webHidden/>
              </w:rPr>
              <w:fldChar w:fldCharType="end"/>
            </w:r>
          </w:hyperlink>
        </w:p>
        <w:p w14:paraId="434B07CA" w14:textId="391FE54E" w:rsidR="004525EC" w:rsidRDefault="004525EC">
          <w:pPr>
            <w:pStyle w:val="TOC2"/>
            <w:tabs>
              <w:tab w:val="right" w:leader="dot" w:pos="9016"/>
            </w:tabs>
            <w:rPr>
              <w:rFonts w:asciiTheme="minorHAnsi" w:hAnsiTheme="minorHAnsi"/>
              <w:b w:val="0"/>
              <w:noProof/>
              <w:color w:val="auto"/>
            </w:rPr>
          </w:pPr>
          <w:hyperlink w:anchor="_Toc217080780" w:history="1">
            <w:r w:rsidRPr="008B09E8">
              <w:rPr>
                <w:rStyle w:val="Hyperlink"/>
                <w:noProof/>
              </w:rPr>
              <w:t>4.2 Impact on Shareholder Value</w:t>
            </w:r>
            <w:r>
              <w:rPr>
                <w:noProof/>
                <w:webHidden/>
              </w:rPr>
              <w:tab/>
            </w:r>
            <w:r>
              <w:rPr>
                <w:noProof/>
                <w:webHidden/>
              </w:rPr>
              <w:fldChar w:fldCharType="begin"/>
            </w:r>
            <w:r>
              <w:rPr>
                <w:noProof/>
                <w:webHidden/>
              </w:rPr>
              <w:instrText xml:space="preserve"> PAGEREF _Toc217080780 \h </w:instrText>
            </w:r>
            <w:r>
              <w:rPr>
                <w:noProof/>
                <w:webHidden/>
              </w:rPr>
            </w:r>
            <w:r>
              <w:rPr>
                <w:noProof/>
                <w:webHidden/>
              </w:rPr>
              <w:fldChar w:fldCharType="separate"/>
            </w:r>
            <w:r>
              <w:rPr>
                <w:noProof/>
                <w:webHidden/>
              </w:rPr>
              <w:t>13</w:t>
            </w:r>
            <w:r>
              <w:rPr>
                <w:noProof/>
                <w:webHidden/>
              </w:rPr>
              <w:fldChar w:fldCharType="end"/>
            </w:r>
          </w:hyperlink>
        </w:p>
        <w:p w14:paraId="3076BBD5" w14:textId="58A0FE80" w:rsidR="004525EC" w:rsidRDefault="004525EC">
          <w:pPr>
            <w:pStyle w:val="TOC2"/>
            <w:tabs>
              <w:tab w:val="right" w:leader="dot" w:pos="9016"/>
            </w:tabs>
            <w:rPr>
              <w:rFonts w:asciiTheme="minorHAnsi" w:hAnsiTheme="minorHAnsi"/>
              <w:b w:val="0"/>
              <w:noProof/>
              <w:color w:val="auto"/>
            </w:rPr>
          </w:pPr>
          <w:hyperlink w:anchor="_Toc217080781" w:history="1">
            <w:r w:rsidRPr="008B09E8">
              <w:rPr>
                <w:rStyle w:val="Hyperlink"/>
                <w:noProof/>
              </w:rPr>
              <w:t>4.3 Debt Structure and Operational Flexibility</w:t>
            </w:r>
            <w:r>
              <w:rPr>
                <w:noProof/>
                <w:webHidden/>
              </w:rPr>
              <w:tab/>
            </w:r>
            <w:r>
              <w:rPr>
                <w:noProof/>
                <w:webHidden/>
              </w:rPr>
              <w:fldChar w:fldCharType="begin"/>
            </w:r>
            <w:r>
              <w:rPr>
                <w:noProof/>
                <w:webHidden/>
              </w:rPr>
              <w:instrText xml:space="preserve"> PAGEREF _Toc217080781 \h </w:instrText>
            </w:r>
            <w:r>
              <w:rPr>
                <w:noProof/>
                <w:webHidden/>
              </w:rPr>
            </w:r>
            <w:r>
              <w:rPr>
                <w:noProof/>
                <w:webHidden/>
              </w:rPr>
              <w:fldChar w:fldCharType="separate"/>
            </w:r>
            <w:r>
              <w:rPr>
                <w:noProof/>
                <w:webHidden/>
              </w:rPr>
              <w:t>13</w:t>
            </w:r>
            <w:r>
              <w:rPr>
                <w:noProof/>
                <w:webHidden/>
              </w:rPr>
              <w:fldChar w:fldCharType="end"/>
            </w:r>
          </w:hyperlink>
        </w:p>
        <w:p w14:paraId="56109FFC" w14:textId="2E104C4B" w:rsidR="004525EC" w:rsidRDefault="004525EC">
          <w:pPr>
            <w:pStyle w:val="TOC2"/>
            <w:tabs>
              <w:tab w:val="right" w:leader="dot" w:pos="9016"/>
            </w:tabs>
            <w:rPr>
              <w:rFonts w:asciiTheme="minorHAnsi" w:hAnsiTheme="minorHAnsi"/>
              <w:b w:val="0"/>
              <w:noProof/>
              <w:color w:val="auto"/>
            </w:rPr>
          </w:pPr>
          <w:hyperlink w:anchor="_Toc217080782" w:history="1">
            <w:r w:rsidRPr="008B09E8">
              <w:rPr>
                <w:rStyle w:val="Hyperlink"/>
                <w:noProof/>
              </w:rPr>
              <w:t>4.4 International and Ethical Considerations</w:t>
            </w:r>
            <w:r>
              <w:rPr>
                <w:noProof/>
                <w:webHidden/>
              </w:rPr>
              <w:tab/>
            </w:r>
            <w:r>
              <w:rPr>
                <w:noProof/>
                <w:webHidden/>
              </w:rPr>
              <w:fldChar w:fldCharType="begin"/>
            </w:r>
            <w:r>
              <w:rPr>
                <w:noProof/>
                <w:webHidden/>
              </w:rPr>
              <w:instrText xml:space="preserve"> PAGEREF _Toc217080782 \h </w:instrText>
            </w:r>
            <w:r>
              <w:rPr>
                <w:noProof/>
                <w:webHidden/>
              </w:rPr>
            </w:r>
            <w:r>
              <w:rPr>
                <w:noProof/>
                <w:webHidden/>
              </w:rPr>
              <w:fldChar w:fldCharType="separate"/>
            </w:r>
            <w:r>
              <w:rPr>
                <w:noProof/>
                <w:webHidden/>
              </w:rPr>
              <w:t>14</w:t>
            </w:r>
            <w:r>
              <w:rPr>
                <w:noProof/>
                <w:webHidden/>
              </w:rPr>
              <w:fldChar w:fldCharType="end"/>
            </w:r>
          </w:hyperlink>
        </w:p>
        <w:p w14:paraId="56D67CEF" w14:textId="68E9554A" w:rsidR="004525EC" w:rsidRDefault="004525EC">
          <w:pPr>
            <w:pStyle w:val="TOC1"/>
            <w:tabs>
              <w:tab w:val="right" w:leader="dot" w:pos="9016"/>
            </w:tabs>
            <w:rPr>
              <w:rFonts w:asciiTheme="minorHAnsi" w:hAnsiTheme="minorHAnsi"/>
              <w:b w:val="0"/>
              <w:noProof/>
              <w:color w:val="auto"/>
              <w:sz w:val="24"/>
            </w:rPr>
          </w:pPr>
          <w:hyperlink w:anchor="_Toc217080783" w:history="1">
            <w:r w:rsidRPr="008B09E8">
              <w:rPr>
                <w:rStyle w:val="Hyperlink"/>
                <w:noProof/>
              </w:rPr>
              <w:t>5.0 Investment Appraisal and Capital Budgeting.</w:t>
            </w:r>
            <w:r>
              <w:rPr>
                <w:noProof/>
                <w:webHidden/>
              </w:rPr>
              <w:tab/>
            </w:r>
            <w:r>
              <w:rPr>
                <w:noProof/>
                <w:webHidden/>
              </w:rPr>
              <w:fldChar w:fldCharType="begin"/>
            </w:r>
            <w:r>
              <w:rPr>
                <w:noProof/>
                <w:webHidden/>
              </w:rPr>
              <w:instrText xml:space="preserve"> PAGEREF _Toc217080783 \h </w:instrText>
            </w:r>
            <w:r>
              <w:rPr>
                <w:noProof/>
                <w:webHidden/>
              </w:rPr>
            </w:r>
            <w:r>
              <w:rPr>
                <w:noProof/>
                <w:webHidden/>
              </w:rPr>
              <w:fldChar w:fldCharType="separate"/>
            </w:r>
            <w:r>
              <w:rPr>
                <w:noProof/>
                <w:webHidden/>
              </w:rPr>
              <w:t>15</w:t>
            </w:r>
            <w:r>
              <w:rPr>
                <w:noProof/>
                <w:webHidden/>
              </w:rPr>
              <w:fldChar w:fldCharType="end"/>
            </w:r>
          </w:hyperlink>
        </w:p>
        <w:p w14:paraId="7D83B65C" w14:textId="109D1ECB" w:rsidR="004525EC" w:rsidRDefault="004525EC">
          <w:pPr>
            <w:pStyle w:val="TOC2"/>
            <w:tabs>
              <w:tab w:val="right" w:leader="dot" w:pos="9016"/>
            </w:tabs>
            <w:rPr>
              <w:rFonts w:asciiTheme="minorHAnsi" w:hAnsiTheme="minorHAnsi"/>
              <w:b w:val="0"/>
              <w:noProof/>
              <w:color w:val="auto"/>
            </w:rPr>
          </w:pPr>
          <w:hyperlink w:anchor="_Toc217080784" w:history="1">
            <w:r w:rsidRPr="008B09E8">
              <w:rPr>
                <w:rStyle w:val="Hyperlink"/>
                <w:noProof/>
              </w:rPr>
              <w:t>5.1 Financial Evaluation Techniques</w:t>
            </w:r>
            <w:r>
              <w:rPr>
                <w:noProof/>
                <w:webHidden/>
              </w:rPr>
              <w:tab/>
            </w:r>
            <w:r>
              <w:rPr>
                <w:noProof/>
                <w:webHidden/>
              </w:rPr>
              <w:fldChar w:fldCharType="begin"/>
            </w:r>
            <w:r>
              <w:rPr>
                <w:noProof/>
                <w:webHidden/>
              </w:rPr>
              <w:instrText xml:space="preserve"> PAGEREF _Toc217080784 \h </w:instrText>
            </w:r>
            <w:r>
              <w:rPr>
                <w:noProof/>
                <w:webHidden/>
              </w:rPr>
            </w:r>
            <w:r>
              <w:rPr>
                <w:noProof/>
                <w:webHidden/>
              </w:rPr>
              <w:fldChar w:fldCharType="separate"/>
            </w:r>
            <w:r>
              <w:rPr>
                <w:noProof/>
                <w:webHidden/>
              </w:rPr>
              <w:t>15</w:t>
            </w:r>
            <w:r>
              <w:rPr>
                <w:noProof/>
                <w:webHidden/>
              </w:rPr>
              <w:fldChar w:fldCharType="end"/>
            </w:r>
          </w:hyperlink>
        </w:p>
        <w:p w14:paraId="40F7E9F2" w14:textId="4DB6A38D" w:rsidR="004525EC" w:rsidRDefault="004525EC">
          <w:pPr>
            <w:pStyle w:val="TOC3"/>
            <w:tabs>
              <w:tab w:val="right" w:leader="dot" w:pos="9016"/>
            </w:tabs>
            <w:rPr>
              <w:rFonts w:asciiTheme="minorHAnsi" w:hAnsiTheme="minorHAnsi"/>
              <w:noProof/>
              <w:color w:val="auto"/>
            </w:rPr>
          </w:pPr>
          <w:hyperlink w:anchor="_Toc217080785" w:history="1">
            <w:r w:rsidRPr="008B09E8">
              <w:rPr>
                <w:rStyle w:val="Hyperlink"/>
                <w:rFonts w:cs="Arial"/>
                <w:noProof/>
              </w:rPr>
              <w:t>5.1.1 Payback Period (PBP)</w:t>
            </w:r>
            <w:r>
              <w:rPr>
                <w:noProof/>
                <w:webHidden/>
              </w:rPr>
              <w:tab/>
            </w:r>
            <w:r>
              <w:rPr>
                <w:noProof/>
                <w:webHidden/>
              </w:rPr>
              <w:fldChar w:fldCharType="begin"/>
            </w:r>
            <w:r>
              <w:rPr>
                <w:noProof/>
                <w:webHidden/>
              </w:rPr>
              <w:instrText xml:space="preserve"> PAGEREF _Toc217080785 \h </w:instrText>
            </w:r>
            <w:r>
              <w:rPr>
                <w:noProof/>
                <w:webHidden/>
              </w:rPr>
            </w:r>
            <w:r>
              <w:rPr>
                <w:noProof/>
                <w:webHidden/>
              </w:rPr>
              <w:fldChar w:fldCharType="separate"/>
            </w:r>
            <w:r>
              <w:rPr>
                <w:noProof/>
                <w:webHidden/>
              </w:rPr>
              <w:t>15</w:t>
            </w:r>
            <w:r>
              <w:rPr>
                <w:noProof/>
                <w:webHidden/>
              </w:rPr>
              <w:fldChar w:fldCharType="end"/>
            </w:r>
          </w:hyperlink>
        </w:p>
        <w:p w14:paraId="01D6D2F1" w14:textId="78696CDD" w:rsidR="004525EC" w:rsidRDefault="004525EC">
          <w:pPr>
            <w:pStyle w:val="TOC3"/>
            <w:tabs>
              <w:tab w:val="right" w:leader="dot" w:pos="9016"/>
            </w:tabs>
            <w:rPr>
              <w:rFonts w:asciiTheme="minorHAnsi" w:hAnsiTheme="minorHAnsi"/>
              <w:noProof/>
              <w:color w:val="auto"/>
            </w:rPr>
          </w:pPr>
          <w:hyperlink w:anchor="_Toc217080786" w:history="1">
            <w:r w:rsidRPr="008B09E8">
              <w:rPr>
                <w:rStyle w:val="Hyperlink"/>
                <w:rFonts w:cs="Arial"/>
                <w:noProof/>
              </w:rPr>
              <w:t>5.1.2 Accounting Rate of Return (ARR)</w:t>
            </w:r>
            <w:r>
              <w:rPr>
                <w:noProof/>
                <w:webHidden/>
              </w:rPr>
              <w:tab/>
            </w:r>
            <w:r>
              <w:rPr>
                <w:noProof/>
                <w:webHidden/>
              </w:rPr>
              <w:fldChar w:fldCharType="begin"/>
            </w:r>
            <w:r>
              <w:rPr>
                <w:noProof/>
                <w:webHidden/>
              </w:rPr>
              <w:instrText xml:space="preserve"> PAGEREF _Toc217080786 \h </w:instrText>
            </w:r>
            <w:r>
              <w:rPr>
                <w:noProof/>
                <w:webHidden/>
              </w:rPr>
            </w:r>
            <w:r>
              <w:rPr>
                <w:noProof/>
                <w:webHidden/>
              </w:rPr>
              <w:fldChar w:fldCharType="separate"/>
            </w:r>
            <w:r>
              <w:rPr>
                <w:noProof/>
                <w:webHidden/>
              </w:rPr>
              <w:t>17</w:t>
            </w:r>
            <w:r>
              <w:rPr>
                <w:noProof/>
                <w:webHidden/>
              </w:rPr>
              <w:fldChar w:fldCharType="end"/>
            </w:r>
          </w:hyperlink>
        </w:p>
        <w:p w14:paraId="29671BDA" w14:textId="43A5E3E3" w:rsidR="004525EC" w:rsidRDefault="004525EC">
          <w:pPr>
            <w:pStyle w:val="TOC3"/>
            <w:tabs>
              <w:tab w:val="right" w:leader="dot" w:pos="9016"/>
            </w:tabs>
            <w:rPr>
              <w:rFonts w:asciiTheme="minorHAnsi" w:hAnsiTheme="minorHAnsi"/>
              <w:noProof/>
              <w:color w:val="auto"/>
            </w:rPr>
          </w:pPr>
          <w:hyperlink w:anchor="_Toc217080787" w:history="1">
            <w:r w:rsidRPr="008B09E8">
              <w:rPr>
                <w:rStyle w:val="Hyperlink"/>
                <w:rFonts w:cs="Arial"/>
                <w:noProof/>
              </w:rPr>
              <w:t>5.1.3 Net Present Value (NPV)</w:t>
            </w:r>
            <w:r>
              <w:rPr>
                <w:noProof/>
                <w:webHidden/>
              </w:rPr>
              <w:tab/>
            </w:r>
            <w:r>
              <w:rPr>
                <w:noProof/>
                <w:webHidden/>
              </w:rPr>
              <w:fldChar w:fldCharType="begin"/>
            </w:r>
            <w:r>
              <w:rPr>
                <w:noProof/>
                <w:webHidden/>
              </w:rPr>
              <w:instrText xml:space="preserve"> PAGEREF _Toc217080787 \h </w:instrText>
            </w:r>
            <w:r>
              <w:rPr>
                <w:noProof/>
                <w:webHidden/>
              </w:rPr>
            </w:r>
            <w:r>
              <w:rPr>
                <w:noProof/>
                <w:webHidden/>
              </w:rPr>
              <w:fldChar w:fldCharType="separate"/>
            </w:r>
            <w:r>
              <w:rPr>
                <w:noProof/>
                <w:webHidden/>
              </w:rPr>
              <w:t>18</w:t>
            </w:r>
            <w:r>
              <w:rPr>
                <w:noProof/>
                <w:webHidden/>
              </w:rPr>
              <w:fldChar w:fldCharType="end"/>
            </w:r>
          </w:hyperlink>
        </w:p>
        <w:p w14:paraId="73A44BCB" w14:textId="6111F837" w:rsidR="004525EC" w:rsidRDefault="004525EC">
          <w:pPr>
            <w:pStyle w:val="TOC3"/>
            <w:tabs>
              <w:tab w:val="right" w:leader="dot" w:pos="9016"/>
            </w:tabs>
            <w:rPr>
              <w:rFonts w:asciiTheme="minorHAnsi" w:hAnsiTheme="minorHAnsi"/>
              <w:noProof/>
              <w:color w:val="auto"/>
            </w:rPr>
          </w:pPr>
          <w:hyperlink w:anchor="_Toc217080788" w:history="1">
            <w:r w:rsidRPr="008B09E8">
              <w:rPr>
                <w:rStyle w:val="Hyperlink"/>
                <w:rFonts w:cs="Arial"/>
                <w:noProof/>
              </w:rPr>
              <w:t>5.1.4 Profitability Index (PI)</w:t>
            </w:r>
            <w:r>
              <w:rPr>
                <w:noProof/>
                <w:webHidden/>
              </w:rPr>
              <w:tab/>
            </w:r>
            <w:r>
              <w:rPr>
                <w:noProof/>
                <w:webHidden/>
              </w:rPr>
              <w:fldChar w:fldCharType="begin"/>
            </w:r>
            <w:r>
              <w:rPr>
                <w:noProof/>
                <w:webHidden/>
              </w:rPr>
              <w:instrText xml:space="preserve"> PAGEREF _Toc217080788 \h </w:instrText>
            </w:r>
            <w:r>
              <w:rPr>
                <w:noProof/>
                <w:webHidden/>
              </w:rPr>
            </w:r>
            <w:r>
              <w:rPr>
                <w:noProof/>
                <w:webHidden/>
              </w:rPr>
              <w:fldChar w:fldCharType="separate"/>
            </w:r>
            <w:r>
              <w:rPr>
                <w:noProof/>
                <w:webHidden/>
              </w:rPr>
              <w:t>18</w:t>
            </w:r>
            <w:r>
              <w:rPr>
                <w:noProof/>
                <w:webHidden/>
              </w:rPr>
              <w:fldChar w:fldCharType="end"/>
            </w:r>
          </w:hyperlink>
        </w:p>
        <w:p w14:paraId="00FC942D" w14:textId="19EE74DF" w:rsidR="004525EC" w:rsidRDefault="004525EC">
          <w:pPr>
            <w:pStyle w:val="TOC3"/>
            <w:tabs>
              <w:tab w:val="right" w:leader="dot" w:pos="9016"/>
            </w:tabs>
            <w:rPr>
              <w:rFonts w:asciiTheme="minorHAnsi" w:hAnsiTheme="minorHAnsi"/>
              <w:noProof/>
              <w:color w:val="auto"/>
            </w:rPr>
          </w:pPr>
          <w:hyperlink w:anchor="_Toc217080789" w:history="1">
            <w:r w:rsidRPr="008B09E8">
              <w:rPr>
                <w:rStyle w:val="Hyperlink"/>
                <w:rFonts w:cs="Arial"/>
                <w:noProof/>
              </w:rPr>
              <w:t>5.1.5 Internal Rate of Return (IRR)</w:t>
            </w:r>
            <w:r>
              <w:rPr>
                <w:noProof/>
                <w:webHidden/>
              </w:rPr>
              <w:tab/>
            </w:r>
            <w:r>
              <w:rPr>
                <w:noProof/>
                <w:webHidden/>
              </w:rPr>
              <w:fldChar w:fldCharType="begin"/>
            </w:r>
            <w:r>
              <w:rPr>
                <w:noProof/>
                <w:webHidden/>
              </w:rPr>
              <w:instrText xml:space="preserve"> PAGEREF _Toc217080789 \h </w:instrText>
            </w:r>
            <w:r>
              <w:rPr>
                <w:noProof/>
                <w:webHidden/>
              </w:rPr>
            </w:r>
            <w:r>
              <w:rPr>
                <w:noProof/>
                <w:webHidden/>
              </w:rPr>
              <w:fldChar w:fldCharType="separate"/>
            </w:r>
            <w:r>
              <w:rPr>
                <w:noProof/>
                <w:webHidden/>
              </w:rPr>
              <w:t>19</w:t>
            </w:r>
            <w:r>
              <w:rPr>
                <w:noProof/>
                <w:webHidden/>
              </w:rPr>
              <w:fldChar w:fldCharType="end"/>
            </w:r>
          </w:hyperlink>
        </w:p>
        <w:p w14:paraId="74CD2556" w14:textId="4B25598F" w:rsidR="004525EC" w:rsidRDefault="004525EC">
          <w:pPr>
            <w:pStyle w:val="TOC2"/>
            <w:tabs>
              <w:tab w:val="right" w:leader="dot" w:pos="9016"/>
            </w:tabs>
            <w:rPr>
              <w:rFonts w:asciiTheme="minorHAnsi" w:hAnsiTheme="minorHAnsi"/>
              <w:b w:val="0"/>
              <w:noProof/>
              <w:color w:val="auto"/>
            </w:rPr>
          </w:pPr>
          <w:hyperlink w:anchor="_Toc217080790" w:history="1">
            <w:r w:rsidRPr="008B09E8">
              <w:rPr>
                <w:rStyle w:val="Hyperlink"/>
                <w:noProof/>
              </w:rPr>
              <w:t>5.2 Comparative Analysis of Projects</w:t>
            </w:r>
            <w:r>
              <w:rPr>
                <w:noProof/>
                <w:webHidden/>
              </w:rPr>
              <w:tab/>
            </w:r>
            <w:r>
              <w:rPr>
                <w:noProof/>
                <w:webHidden/>
              </w:rPr>
              <w:fldChar w:fldCharType="begin"/>
            </w:r>
            <w:r>
              <w:rPr>
                <w:noProof/>
                <w:webHidden/>
              </w:rPr>
              <w:instrText xml:space="preserve"> PAGEREF _Toc217080790 \h </w:instrText>
            </w:r>
            <w:r>
              <w:rPr>
                <w:noProof/>
                <w:webHidden/>
              </w:rPr>
            </w:r>
            <w:r>
              <w:rPr>
                <w:noProof/>
                <w:webHidden/>
              </w:rPr>
              <w:fldChar w:fldCharType="separate"/>
            </w:r>
            <w:r>
              <w:rPr>
                <w:noProof/>
                <w:webHidden/>
              </w:rPr>
              <w:t>19</w:t>
            </w:r>
            <w:r>
              <w:rPr>
                <w:noProof/>
                <w:webHidden/>
              </w:rPr>
              <w:fldChar w:fldCharType="end"/>
            </w:r>
          </w:hyperlink>
        </w:p>
        <w:p w14:paraId="7D1E4DC6" w14:textId="08393729" w:rsidR="004525EC" w:rsidRDefault="004525EC">
          <w:pPr>
            <w:pStyle w:val="TOC3"/>
            <w:tabs>
              <w:tab w:val="right" w:leader="dot" w:pos="9016"/>
            </w:tabs>
            <w:rPr>
              <w:rFonts w:asciiTheme="minorHAnsi" w:hAnsiTheme="minorHAnsi"/>
              <w:noProof/>
              <w:color w:val="auto"/>
            </w:rPr>
          </w:pPr>
          <w:hyperlink w:anchor="_Toc217080791" w:history="1">
            <w:r w:rsidRPr="008B09E8">
              <w:rPr>
                <w:rStyle w:val="Hyperlink"/>
                <w:rFonts w:cs="Arial"/>
                <w:noProof/>
              </w:rPr>
              <w:t>5.2.1 Financial Performance Comparison</w:t>
            </w:r>
            <w:r>
              <w:rPr>
                <w:noProof/>
                <w:webHidden/>
              </w:rPr>
              <w:tab/>
            </w:r>
            <w:r>
              <w:rPr>
                <w:noProof/>
                <w:webHidden/>
              </w:rPr>
              <w:fldChar w:fldCharType="begin"/>
            </w:r>
            <w:r>
              <w:rPr>
                <w:noProof/>
                <w:webHidden/>
              </w:rPr>
              <w:instrText xml:space="preserve"> PAGEREF _Toc217080791 \h </w:instrText>
            </w:r>
            <w:r>
              <w:rPr>
                <w:noProof/>
                <w:webHidden/>
              </w:rPr>
            </w:r>
            <w:r>
              <w:rPr>
                <w:noProof/>
                <w:webHidden/>
              </w:rPr>
              <w:fldChar w:fldCharType="separate"/>
            </w:r>
            <w:r>
              <w:rPr>
                <w:noProof/>
                <w:webHidden/>
              </w:rPr>
              <w:t>19</w:t>
            </w:r>
            <w:r>
              <w:rPr>
                <w:noProof/>
                <w:webHidden/>
              </w:rPr>
              <w:fldChar w:fldCharType="end"/>
            </w:r>
          </w:hyperlink>
        </w:p>
        <w:p w14:paraId="0E9AA223" w14:textId="792BADF0" w:rsidR="004525EC" w:rsidRDefault="004525EC">
          <w:pPr>
            <w:pStyle w:val="TOC3"/>
            <w:tabs>
              <w:tab w:val="right" w:leader="dot" w:pos="9016"/>
            </w:tabs>
            <w:rPr>
              <w:rFonts w:asciiTheme="minorHAnsi" w:hAnsiTheme="minorHAnsi"/>
              <w:noProof/>
              <w:color w:val="auto"/>
            </w:rPr>
          </w:pPr>
          <w:hyperlink w:anchor="_Toc217080792" w:history="1">
            <w:r w:rsidRPr="008B09E8">
              <w:rPr>
                <w:rStyle w:val="Hyperlink"/>
                <w:rFonts w:cs="Arial"/>
                <w:noProof/>
              </w:rPr>
              <w:t>5.2.2Risk and Cash Flow Volatility</w:t>
            </w:r>
            <w:r>
              <w:rPr>
                <w:noProof/>
                <w:webHidden/>
              </w:rPr>
              <w:tab/>
            </w:r>
            <w:r>
              <w:rPr>
                <w:noProof/>
                <w:webHidden/>
              </w:rPr>
              <w:fldChar w:fldCharType="begin"/>
            </w:r>
            <w:r>
              <w:rPr>
                <w:noProof/>
                <w:webHidden/>
              </w:rPr>
              <w:instrText xml:space="preserve"> PAGEREF _Toc217080792 \h </w:instrText>
            </w:r>
            <w:r>
              <w:rPr>
                <w:noProof/>
                <w:webHidden/>
              </w:rPr>
            </w:r>
            <w:r>
              <w:rPr>
                <w:noProof/>
                <w:webHidden/>
              </w:rPr>
              <w:fldChar w:fldCharType="separate"/>
            </w:r>
            <w:r>
              <w:rPr>
                <w:noProof/>
                <w:webHidden/>
              </w:rPr>
              <w:t>20</w:t>
            </w:r>
            <w:r>
              <w:rPr>
                <w:noProof/>
                <w:webHidden/>
              </w:rPr>
              <w:fldChar w:fldCharType="end"/>
            </w:r>
          </w:hyperlink>
        </w:p>
        <w:p w14:paraId="5D4AE045" w14:textId="356B1FE3" w:rsidR="004525EC" w:rsidRDefault="004525EC">
          <w:pPr>
            <w:pStyle w:val="TOC2"/>
            <w:tabs>
              <w:tab w:val="right" w:leader="dot" w:pos="9016"/>
            </w:tabs>
            <w:rPr>
              <w:rFonts w:asciiTheme="minorHAnsi" w:hAnsiTheme="minorHAnsi"/>
              <w:b w:val="0"/>
              <w:noProof/>
              <w:color w:val="auto"/>
            </w:rPr>
          </w:pPr>
          <w:hyperlink w:anchor="_Toc217080793" w:history="1">
            <w:r w:rsidRPr="008B09E8">
              <w:rPr>
                <w:rStyle w:val="Hyperlink"/>
                <w:noProof/>
              </w:rPr>
              <w:t>5.3 Final Investment Recommendation</w:t>
            </w:r>
            <w:r>
              <w:rPr>
                <w:noProof/>
                <w:webHidden/>
              </w:rPr>
              <w:tab/>
            </w:r>
            <w:r>
              <w:rPr>
                <w:noProof/>
                <w:webHidden/>
              </w:rPr>
              <w:fldChar w:fldCharType="begin"/>
            </w:r>
            <w:r>
              <w:rPr>
                <w:noProof/>
                <w:webHidden/>
              </w:rPr>
              <w:instrText xml:space="preserve"> PAGEREF _Toc217080793 \h </w:instrText>
            </w:r>
            <w:r>
              <w:rPr>
                <w:noProof/>
                <w:webHidden/>
              </w:rPr>
            </w:r>
            <w:r>
              <w:rPr>
                <w:noProof/>
                <w:webHidden/>
              </w:rPr>
              <w:fldChar w:fldCharType="separate"/>
            </w:r>
            <w:r>
              <w:rPr>
                <w:noProof/>
                <w:webHidden/>
              </w:rPr>
              <w:t>21</w:t>
            </w:r>
            <w:r>
              <w:rPr>
                <w:noProof/>
                <w:webHidden/>
              </w:rPr>
              <w:fldChar w:fldCharType="end"/>
            </w:r>
          </w:hyperlink>
        </w:p>
        <w:p w14:paraId="1C8AA2D1" w14:textId="1631749C" w:rsidR="004525EC" w:rsidRDefault="004525EC">
          <w:pPr>
            <w:pStyle w:val="TOC3"/>
            <w:tabs>
              <w:tab w:val="right" w:leader="dot" w:pos="9016"/>
            </w:tabs>
            <w:rPr>
              <w:rFonts w:asciiTheme="minorHAnsi" w:hAnsiTheme="minorHAnsi"/>
              <w:noProof/>
              <w:color w:val="auto"/>
            </w:rPr>
          </w:pPr>
          <w:hyperlink w:anchor="_Toc217080794" w:history="1">
            <w:r w:rsidRPr="008B09E8">
              <w:rPr>
                <w:rStyle w:val="Hyperlink"/>
                <w:rFonts w:cs="Arial"/>
                <w:noProof/>
              </w:rPr>
              <w:t>5.3.1 Decision on the Project to Investment</w:t>
            </w:r>
            <w:r>
              <w:rPr>
                <w:noProof/>
                <w:webHidden/>
              </w:rPr>
              <w:tab/>
            </w:r>
            <w:r>
              <w:rPr>
                <w:noProof/>
                <w:webHidden/>
              </w:rPr>
              <w:fldChar w:fldCharType="begin"/>
            </w:r>
            <w:r>
              <w:rPr>
                <w:noProof/>
                <w:webHidden/>
              </w:rPr>
              <w:instrText xml:space="preserve"> PAGEREF _Toc217080794 \h </w:instrText>
            </w:r>
            <w:r>
              <w:rPr>
                <w:noProof/>
                <w:webHidden/>
              </w:rPr>
            </w:r>
            <w:r>
              <w:rPr>
                <w:noProof/>
                <w:webHidden/>
              </w:rPr>
              <w:fldChar w:fldCharType="separate"/>
            </w:r>
            <w:r>
              <w:rPr>
                <w:noProof/>
                <w:webHidden/>
              </w:rPr>
              <w:t>21</w:t>
            </w:r>
            <w:r>
              <w:rPr>
                <w:noProof/>
                <w:webHidden/>
              </w:rPr>
              <w:fldChar w:fldCharType="end"/>
            </w:r>
          </w:hyperlink>
        </w:p>
        <w:p w14:paraId="0D94E70C" w14:textId="4D338043" w:rsidR="004525EC" w:rsidRDefault="004525EC">
          <w:pPr>
            <w:pStyle w:val="TOC3"/>
            <w:tabs>
              <w:tab w:val="right" w:leader="dot" w:pos="9016"/>
            </w:tabs>
            <w:rPr>
              <w:rFonts w:asciiTheme="minorHAnsi" w:hAnsiTheme="minorHAnsi"/>
              <w:noProof/>
              <w:color w:val="auto"/>
            </w:rPr>
          </w:pPr>
          <w:hyperlink w:anchor="_Toc217080795" w:history="1">
            <w:r w:rsidRPr="008B09E8">
              <w:rPr>
                <w:rStyle w:val="Hyperlink"/>
                <w:rFonts w:cs="Arial"/>
                <w:noProof/>
              </w:rPr>
              <w:t>5.3.2 Justification of the Recommendation</w:t>
            </w:r>
            <w:r>
              <w:rPr>
                <w:noProof/>
                <w:webHidden/>
              </w:rPr>
              <w:tab/>
            </w:r>
            <w:r>
              <w:rPr>
                <w:noProof/>
                <w:webHidden/>
              </w:rPr>
              <w:fldChar w:fldCharType="begin"/>
            </w:r>
            <w:r>
              <w:rPr>
                <w:noProof/>
                <w:webHidden/>
              </w:rPr>
              <w:instrText xml:space="preserve"> PAGEREF _Toc217080795 \h </w:instrText>
            </w:r>
            <w:r>
              <w:rPr>
                <w:noProof/>
                <w:webHidden/>
              </w:rPr>
            </w:r>
            <w:r>
              <w:rPr>
                <w:noProof/>
                <w:webHidden/>
              </w:rPr>
              <w:fldChar w:fldCharType="separate"/>
            </w:r>
            <w:r>
              <w:rPr>
                <w:noProof/>
                <w:webHidden/>
              </w:rPr>
              <w:t>21</w:t>
            </w:r>
            <w:r>
              <w:rPr>
                <w:noProof/>
                <w:webHidden/>
              </w:rPr>
              <w:fldChar w:fldCharType="end"/>
            </w:r>
          </w:hyperlink>
        </w:p>
        <w:p w14:paraId="247076E7" w14:textId="7AF583D7" w:rsidR="004525EC" w:rsidRDefault="004525EC">
          <w:pPr>
            <w:pStyle w:val="TOC1"/>
            <w:tabs>
              <w:tab w:val="right" w:leader="dot" w:pos="9016"/>
            </w:tabs>
            <w:rPr>
              <w:rFonts w:asciiTheme="minorHAnsi" w:hAnsiTheme="minorHAnsi"/>
              <w:b w:val="0"/>
              <w:noProof/>
              <w:color w:val="auto"/>
              <w:sz w:val="24"/>
            </w:rPr>
          </w:pPr>
          <w:hyperlink w:anchor="_Toc217080796" w:history="1">
            <w:r w:rsidRPr="008B09E8">
              <w:rPr>
                <w:rStyle w:val="Hyperlink"/>
                <w:noProof/>
              </w:rPr>
              <w:t>6.0 Conclusion</w:t>
            </w:r>
            <w:r>
              <w:rPr>
                <w:noProof/>
                <w:webHidden/>
              </w:rPr>
              <w:tab/>
            </w:r>
            <w:r>
              <w:rPr>
                <w:noProof/>
                <w:webHidden/>
              </w:rPr>
              <w:fldChar w:fldCharType="begin"/>
            </w:r>
            <w:r>
              <w:rPr>
                <w:noProof/>
                <w:webHidden/>
              </w:rPr>
              <w:instrText xml:space="preserve"> PAGEREF _Toc217080796 \h </w:instrText>
            </w:r>
            <w:r>
              <w:rPr>
                <w:noProof/>
                <w:webHidden/>
              </w:rPr>
            </w:r>
            <w:r>
              <w:rPr>
                <w:noProof/>
                <w:webHidden/>
              </w:rPr>
              <w:fldChar w:fldCharType="separate"/>
            </w:r>
            <w:r>
              <w:rPr>
                <w:noProof/>
                <w:webHidden/>
              </w:rPr>
              <w:t>21</w:t>
            </w:r>
            <w:r>
              <w:rPr>
                <w:noProof/>
                <w:webHidden/>
              </w:rPr>
              <w:fldChar w:fldCharType="end"/>
            </w:r>
          </w:hyperlink>
        </w:p>
        <w:p w14:paraId="098E3099" w14:textId="39202928" w:rsidR="004525EC" w:rsidRDefault="004525EC">
          <w:pPr>
            <w:pStyle w:val="TOC1"/>
            <w:tabs>
              <w:tab w:val="right" w:leader="dot" w:pos="9016"/>
            </w:tabs>
            <w:rPr>
              <w:rFonts w:asciiTheme="minorHAnsi" w:hAnsiTheme="minorHAnsi"/>
              <w:b w:val="0"/>
              <w:noProof/>
              <w:color w:val="auto"/>
              <w:sz w:val="24"/>
            </w:rPr>
          </w:pPr>
          <w:hyperlink w:anchor="_Toc217080797" w:history="1">
            <w:r w:rsidRPr="008B09E8">
              <w:rPr>
                <w:rStyle w:val="Hyperlink"/>
                <w:noProof/>
              </w:rPr>
              <w:t>References</w:t>
            </w:r>
            <w:r>
              <w:rPr>
                <w:noProof/>
                <w:webHidden/>
              </w:rPr>
              <w:tab/>
            </w:r>
            <w:r>
              <w:rPr>
                <w:noProof/>
                <w:webHidden/>
              </w:rPr>
              <w:fldChar w:fldCharType="begin"/>
            </w:r>
            <w:r>
              <w:rPr>
                <w:noProof/>
                <w:webHidden/>
              </w:rPr>
              <w:instrText xml:space="preserve"> PAGEREF _Toc217080797 \h </w:instrText>
            </w:r>
            <w:r>
              <w:rPr>
                <w:noProof/>
                <w:webHidden/>
              </w:rPr>
            </w:r>
            <w:r>
              <w:rPr>
                <w:noProof/>
                <w:webHidden/>
              </w:rPr>
              <w:fldChar w:fldCharType="separate"/>
            </w:r>
            <w:r>
              <w:rPr>
                <w:noProof/>
                <w:webHidden/>
              </w:rPr>
              <w:t>1</w:t>
            </w:r>
            <w:r>
              <w:rPr>
                <w:noProof/>
                <w:webHidden/>
              </w:rPr>
              <w:fldChar w:fldCharType="end"/>
            </w:r>
          </w:hyperlink>
        </w:p>
        <w:p w14:paraId="2EEB054C" w14:textId="69FC348A" w:rsidR="004525EC" w:rsidRDefault="004525EC">
          <w:pPr>
            <w:pStyle w:val="TOC1"/>
            <w:tabs>
              <w:tab w:val="right" w:leader="dot" w:pos="9016"/>
            </w:tabs>
            <w:rPr>
              <w:rFonts w:asciiTheme="minorHAnsi" w:hAnsiTheme="minorHAnsi"/>
              <w:b w:val="0"/>
              <w:noProof/>
              <w:color w:val="auto"/>
              <w:sz w:val="24"/>
            </w:rPr>
          </w:pPr>
          <w:hyperlink w:anchor="_Toc217080798" w:history="1">
            <w:r w:rsidRPr="008B09E8">
              <w:rPr>
                <w:rStyle w:val="Hyperlink"/>
                <w:noProof/>
              </w:rPr>
              <w:t>Appendices</w:t>
            </w:r>
            <w:r>
              <w:rPr>
                <w:noProof/>
                <w:webHidden/>
              </w:rPr>
              <w:tab/>
            </w:r>
            <w:r>
              <w:rPr>
                <w:noProof/>
                <w:webHidden/>
              </w:rPr>
              <w:fldChar w:fldCharType="begin"/>
            </w:r>
            <w:r>
              <w:rPr>
                <w:noProof/>
                <w:webHidden/>
              </w:rPr>
              <w:instrText xml:space="preserve"> PAGEREF _Toc217080798 \h </w:instrText>
            </w:r>
            <w:r>
              <w:rPr>
                <w:noProof/>
                <w:webHidden/>
              </w:rPr>
            </w:r>
            <w:r>
              <w:rPr>
                <w:noProof/>
                <w:webHidden/>
              </w:rPr>
              <w:fldChar w:fldCharType="separate"/>
            </w:r>
            <w:r>
              <w:rPr>
                <w:noProof/>
                <w:webHidden/>
              </w:rPr>
              <w:t>1</w:t>
            </w:r>
            <w:r>
              <w:rPr>
                <w:noProof/>
                <w:webHidden/>
              </w:rPr>
              <w:fldChar w:fldCharType="end"/>
            </w:r>
          </w:hyperlink>
        </w:p>
        <w:p w14:paraId="0936F26E" w14:textId="27F8086E" w:rsidR="004525EC" w:rsidRDefault="004525EC">
          <w:pPr>
            <w:pStyle w:val="TOC2"/>
            <w:tabs>
              <w:tab w:val="right" w:leader="dot" w:pos="9016"/>
            </w:tabs>
            <w:rPr>
              <w:rFonts w:asciiTheme="minorHAnsi" w:hAnsiTheme="minorHAnsi"/>
              <w:b w:val="0"/>
              <w:noProof/>
              <w:color w:val="auto"/>
            </w:rPr>
          </w:pPr>
          <w:hyperlink w:anchor="_Toc217080799" w:history="1">
            <w:r w:rsidRPr="008B09E8">
              <w:rPr>
                <w:rStyle w:val="Hyperlink"/>
                <w:noProof/>
              </w:rPr>
              <w:t>Appendix- 1 Profitability Ratios</w:t>
            </w:r>
            <w:r>
              <w:rPr>
                <w:noProof/>
                <w:webHidden/>
              </w:rPr>
              <w:tab/>
            </w:r>
            <w:r>
              <w:rPr>
                <w:noProof/>
                <w:webHidden/>
              </w:rPr>
              <w:fldChar w:fldCharType="begin"/>
            </w:r>
            <w:r>
              <w:rPr>
                <w:noProof/>
                <w:webHidden/>
              </w:rPr>
              <w:instrText xml:space="preserve"> PAGEREF _Toc217080799 \h </w:instrText>
            </w:r>
            <w:r>
              <w:rPr>
                <w:noProof/>
                <w:webHidden/>
              </w:rPr>
            </w:r>
            <w:r>
              <w:rPr>
                <w:noProof/>
                <w:webHidden/>
              </w:rPr>
              <w:fldChar w:fldCharType="separate"/>
            </w:r>
            <w:r>
              <w:rPr>
                <w:noProof/>
                <w:webHidden/>
              </w:rPr>
              <w:t>1</w:t>
            </w:r>
            <w:r>
              <w:rPr>
                <w:noProof/>
                <w:webHidden/>
              </w:rPr>
              <w:fldChar w:fldCharType="end"/>
            </w:r>
          </w:hyperlink>
        </w:p>
        <w:p w14:paraId="1BFF13D2" w14:textId="440CB631" w:rsidR="004525EC" w:rsidRDefault="004525EC">
          <w:pPr>
            <w:pStyle w:val="TOC2"/>
            <w:tabs>
              <w:tab w:val="right" w:leader="dot" w:pos="9016"/>
            </w:tabs>
            <w:rPr>
              <w:rFonts w:asciiTheme="minorHAnsi" w:hAnsiTheme="minorHAnsi"/>
              <w:b w:val="0"/>
              <w:noProof/>
              <w:color w:val="auto"/>
            </w:rPr>
          </w:pPr>
          <w:hyperlink w:anchor="_Toc217080800" w:history="1">
            <w:r w:rsidRPr="008B09E8">
              <w:rPr>
                <w:rStyle w:val="Hyperlink"/>
                <w:noProof/>
              </w:rPr>
              <w:t>Appendix- 2 Liquidity Ratios</w:t>
            </w:r>
            <w:r>
              <w:rPr>
                <w:noProof/>
                <w:webHidden/>
              </w:rPr>
              <w:tab/>
            </w:r>
            <w:r>
              <w:rPr>
                <w:noProof/>
                <w:webHidden/>
              </w:rPr>
              <w:fldChar w:fldCharType="begin"/>
            </w:r>
            <w:r>
              <w:rPr>
                <w:noProof/>
                <w:webHidden/>
              </w:rPr>
              <w:instrText xml:space="preserve"> PAGEREF _Toc217080800 \h </w:instrText>
            </w:r>
            <w:r>
              <w:rPr>
                <w:noProof/>
                <w:webHidden/>
              </w:rPr>
            </w:r>
            <w:r>
              <w:rPr>
                <w:noProof/>
                <w:webHidden/>
              </w:rPr>
              <w:fldChar w:fldCharType="separate"/>
            </w:r>
            <w:r>
              <w:rPr>
                <w:noProof/>
                <w:webHidden/>
              </w:rPr>
              <w:t>1</w:t>
            </w:r>
            <w:r>
              <w:rPr>
                <w:noProof/>
                <w:webHidden/>
              </w:rPr>
              <w:fldChar w:fldCharType="end"/>
            </w:r>
          </w:hyperlink>
        </w:p>
        <w:p w14:paraId="23A81910" w14:textId="0BAF9187" w:rsidR="004525EC" w:rsidRDefault="004525EC">
          <w:pPr>
            <w:pStyle w:val="TOC2"/>
            <w:tabs>
              <w:tab w:val="right" w:leader="dot" w:pos="9016"/>
            </w:tabs>
            <w:rPr>
              <w:rFonts w:asciiTheme="minorHAnsi" w:hAnsiTheme="minorHAnsi"/>
              <w:b w:val="0"/>
              <w:noProof/>
              <w:color w:val="auto"/>
            </w:rPr>
          </w:pPr>
          <w:hyperlink w:anchor="_Toc217080801" w:history="1">
            <w:r w:rsidRPr="008B09E8">
              <w:rPr>
                <w:rStyle w:val="Hyperlink"/>
                <w:noProof/>
              </w:rPr>
              <w:t>Appendix- 3 Efficiency Ratios</w:t>
            </w:r>
            <w:r>
              <w:rPr>
                <w:noProof/>
                <w:webHidden/>
              </w:rPr>
              <w:tab/>
            </w:r>
            <w:r>
              <w:rPr>
                <w:noProof/>
                <w:webHidden/>
              </w:rPr>
              <w:fldChar w:fldCharType="begin"/>
            </w:r>
            <w:r>
              <w:rPr>
                <w:noProof/>
                <w:webHidden/>
              </w:rPr>
              <w:instrText xml:space="preserve"> PAGEREF _Toc217080801 \h </w:instrText>
            </w:r>
            <w:r>
              <w:rPr>
                <w:noProof/>
                <w:webHidden/>
              </w:rPr>
            </w:r>
            <w:r>
              <w:rPr>
                <w:noProof/>
                <w:webHidden/>
              </w:rPr>
              <w:fldChar w:fldCharType="separate"/>
            </w:r>
            <w:r>
              <w:rPr>
                <w:noProof/>
                <w:webHidden/>
              </w:rPr>
              <w:t>2</w:t>
            </w:r>
            <w:r>
              <w:rPr>
                <w:noProof/>
                <w:webHidden/>
              </w:rPr>
              <w:fldChar w:fldCharType="end"/>
            </w:r>
          </w:hyperlink>
        </w:p>
        <w:p w14:paraId="02D63004" w14:textId="55A13459" w:rsidR="004525EC" w:rsidRDefault="004525EC">
          <w:pPr>
            <w:pStyle w:val="TOC2"/>
            <w:tabs>
              <w:tab w:val="right" w:leader="dot" w:pos="9016"/>
            </w:tabs>
            <w:rPr>
              <w:rFonts w:asciiTheme="minorHAnsi" w:hAnsiTheme="minorHAnsi"/>
              <w:b w:val="0"/>
              <w:noProof/>
              <w:color w:val="auto"/>
            </w:rPr>
          </w:pPr>
          <w:hyperlink w:anchor="_Toc217080802" w:history="1">
            <w:r w:rsidRPr="008B09E8">
              <w:rPr>
                <w:rStyle w:val="Hyperlink"/>
                <w:noProof/>
              </w:rPr>
              <w:t>Appendix-  4 Gearing Ratios</w:t>
            </w:r>
            <w:r>
              <w:rPr>
                <w:noProof/>
                <w:webHidden/>
              </w:rPr>
              <w:tab/>
            </w:r>
            <w:r>
              <w:rPr>
                <w:noProof/>
                <w:webHidden/>
              </w:rPr>
              <w:fldChar w:fldCharType="begin"/>
            </w:r>
            <w:r>
              <w:rPr>
                <w:noProof/>
                <w:webHidden/>
              </w:rPr>
              <w:instrText xml:space="preserve"> PAGEREF _Toc217080802 \h </w:instrText>
            </w:r>
            <w:r>
              <w:rPr>
                <w:noProof/>
                <w:webHidden/>
              </w:rPr>
            </w:r>
            <w:r>
              <w:rPr>
                <w:noProof/>
                <w:webHidden/>
              </w:rPr>
              <w:fldChar w:fldCharType="separate"/>
            </w:r>
            <w:r>
              <w:rPr>
                <w:noProof/>
                <w:webHidden/>
              </w:rPr>
              <w:t>3</w:t>
            </w:r>
            <w:r>
              <w:rPr>
                <w:noProof/>
                <w:webHidden/>
              </w:rPr>
              <w:fldChar w:fldCharType="end"/>
            </w:r>
          </w:hyperlink>
        </w:p>
        <w:p w14:paraId="6DFCBB94" w14:textId="60DDB6F7" w:rsidR="004525EC" w:rsidRDefault="004525EC">
          <w:pPr>
            <w:pStyle w:val="TOC2"/>
            <w:tabs>
              <w:tab w:val="right" w:leader="dot" w:pos="9016"/>
            </w:tabs>
            <w:rPr>
              <w:rFonts w:asciiTheme="minorHAnsi" w:hAnsiTheme="minorHAnsi"/>
              <w:b w:val="0"/>
              <w:noProof/>
              <w:color w:val="auto"/>
            </w:rPr>
          </w:pPr>
          <w:hyperlink w:anchor="_Toc217080803" w:history="1">
            <w:r w:rsidRPr="008B09E8">
              <w:rPr>
                <w:rStyle w:val="Hyperlink"/>
                <w:noProof/>
              </w:rPr>
              <w:t>Appendix- 5 Investment Ratios</w:t>
            </w:r>
            <w:r>
              <w:rPr>
                <w:noProof/>
                <w:webHidden/>
              </w:rPr>
              <w:tab/>
            </w:r>
            <w:r>
              <w:rPr>
                <w:noProof/>
                <w:webHidden/>
              </w:rPr>
              <w:fldChar w:fldCharType="begin"/>
            </w:r>
            <w:r>
              <w:rPr>
                <w:noProof/>
                <w:webHidden/>
              </w:rPr>
              <w:instrText xml:space="preserve"> PAGEREF _Toc217080803 \h </w:instrText>
            </w:r>
            <w:r>
              <w:rPr>
                <w:noProof/>
                <w:webHidden/>
              </w:rPr>
            </w:r>
            <w:r>
              <w:rPr>
                <w:noProof/>
                <w:webHidden/>
              </w:rPr>
              <w:fldChar w:fldCharType="separate"/>
            </w:r>
            <w:r>
              <w:rPr>
                <w:noProof/>
                <w:webHidden/>
              </w:rPr>
              <w:t>3</w:t>
            </w:r>
            <w:r>
              <w:rPr>
                <w:noProof/>
                <w:webHidden/>
              </w:rPr>
              <w:fldChar w:fldCharType="end"/>
            </w:r>
          </w:hyperlink>
        </w:p>
        <w:p w14:paraId="13B50A77" w14:textId="6EA771DC" w:rsidR="004525EC" w:rsidRDefault="004525EC">
          <w:pPr>
            <w:pStyle w:val="TOC2"/>
            <w:tabs>
              <w:tab w:val="right" w:leader="dot" w:pos="9016"/>
            </w:tabs>
            <w:rPr>
              <w:rFonts w:asciiTheme="minorHAnsi" w:hAnsiTheme="minorHAnsi"/>
              <w:b w:val="0"/>
              <w:noProof/>
              <w:color w:val="auto"/>
            </w:rPr>
          </w:pPr>
          <w:hyperlink w:anchor="_Toc217080804" w:history="1">
            <w:r w:rsidRPr="008B09E8">
              <w:rPr>
                <w:rStyle w:val="Hyperlink"/>
                <w:noProof/>
              </w:rPr>
              <w:t>Appendix- 6. Cash Flow Ratios</w:t>
            </w:r>
            <w:r>
              <w:rPr>
                <w:noProof/>
                <w:webHidden/>
              </w:rPr>
              <w:tab/>
            </w:r>
            <w:r>
              <w:rPr>
                <w:noProof/>
                <w:webHidden/>
              </w:rPr>
              <w:fldChar w:fldCharType="begin"/>
            </w:r>
            <w:r>
              <w:rPr>
                <w:noProof/>
                <w:webHidden/>
              </w:rPr>
              <w:instrText xml:space="preserve"> PAGEREF _Toc217080804 \h </w:instrText>
            </w:r>
            <w:r>
              <w:rPr>
                <w:noProof/>
                <w:webHidden/>
              </w:rPr>
            </w:r>
            <w:r>
              <w:rPr>
                <w:noProof/>
                <w:webHidden/>
              </w:rPr>
              <w:fldChar w:fldCharType="separate"/>
            </w:r>
            <w:r>
              <w:rPr>
                <w:noProof/>
                <w:webHidden/>
              </w:rPr>
              <w:t>4</w:t>
            </w:r>
            <w:r>
              <w:rPr>
                <w:noProof/>
                <w:webHidden/>
              </w:rPr>
              <w:fldChar w:fldCharType="end"/>
            </w:r>
          </w:hyperlink>
        </w:p>
        <w:p w14:paraId="623612A9" w14:textId="235F3ECA" w:rsidR="009A13E4" w:rsidRPr="00A110C5" w:rsidRDefault="009A13E4" w:rsidP="009A13E4">
          <w:pPr>
            <w:rPr>
              <w:rFonts w:ascii="Arial" w:hAnsi="Arial" w:cs="Arial"/>
            </w:rPr>
          </w:pPr>
          <w:r w:rsidRPr="00A110C5">
            <w:rPr>
              <w:rFonts w:ascii="Arial" w:hAnsi="Arial" w:cs="Arial"/>
              <w:b/>
              <w:bCs/>
              <w:noProof/>
            </w:rPr>
            <w:fldChar w:fldCharType="end"/>
          </w:r>
        </w:p>
      </w:sdtContent>
    </w:sdt>
    <w:p w14:paraId="678103A7" w14:textId="77777777" w:rsidR="009A13E4" w:rsidRPr="00A110C5" w:rsidRDefault="009A13E4" w:rsidP="009606E6">
      <w:pPr>
        <w:spacing w:before="120" w:after="120" w:line="360" w:lineRule="auto"/>
        <w:jc w:val="both"/>
        <w:rPr>
          <w:rFonts w:ascii="Arial" w:hAnsi="Arial" w:cs="Arial"/>
          <w:b/>
          <w:bCs/>
        </w:rPr>
      </w:pPr>
    </w:p>
    <w:p w14:paraId="79F465B5" w14:textId="77777777" w:rsidR="00C901DC" w:rsidRDefault="00C901DC" w:rsidP="009606E6">
      <w:pPr>
        <w:spacing w:before="120" w:after="120" w:line="360" w:lineRule="auto"/>
        <w:jc w:val="both"/>
        <w:rPr>
          <w:rFonts w:ascii="Arial" w:hAnsi="Arial" w:cs="Arial"/>
          <w:b/>
          <w:bCs/>
        </w:rPr>
        <w:sectPr w:rsidR="00C901DC" w:rsidSect="00F45B19">
          <w:pgSz w:w="11906" w:h="16838" w:code="9"/>
          <w:pgMar w:top="1440" w:right="1440" w:bottom="1440" w:left="1440" w:header="720" w:footer="720" w:gutter="0"/>
          <w:cols w:space="720"/>
          <w:docGrid w:linePitch="360"/>
        </w:sectPr>
      </w:pPr>
    </w:p>
    <w:p w14:paraId="7D587167" w14:textId="08AC3532" w:rsidR="00535A78" w:rsidRDefault="00535A78" w:rsidP="009606E6">
      <w:pPr>
        <w:spacing w:before="120" w:after="120" w:line="360" w:lineRule="auto"/>
        <w:jc w:val="both"/>
        <w:rPr>
          <w:rFonts w:ascii="Arial" w:hAnsi="Arial" w:cs="Arial"/>
          <w:b/>
          <w:bCs/>
        </w:rPr>
      </w:pPr>
      <w:r>
        <w:rPr>
          <w:rFonts w:ascii="Arial" w:hAnsi="Arial" w:cs="Arial"/>
          <w:b/>
          <w:bCs/>
        </w:rPr>
        <w:lastRenderedPageBreak/>
        <w:t>List of Tables</w:t>
      </w:r>
    </w:p>
    <w:p w14:paraId="3B9E68C9" w14:textId="61D62218" w:rsidR="004525EC" w:rsidRDefault="00535A78">
      <w:pPr>
        <w:pStyle w:val="TableofFigures"/>
        <w:tabs>
          <w:tab w:val="right" w:leader="underscore" w:pos="9016"/>
        </w:tabs>
        <w:rPr>
          <w:i w:val="0"/>
          <w:iCs w:val="0"/>
          <w:noProof/>
          <w:sz w:val="24"/>
          <w:szCs w:val="24"/>
        </w:rPr>
      </w:pPr>
      <w:r>
        <w:rPr>
          <w:rFonts w:ascii="Arial" w:hAnsi="Arial" w:cs="Arial"/>
          <w:b/>
          <w:bCs/>
        </w:rPr>
        <w:fldChar w:fldCharType="begin"/>
      </w:r>
      <w:r>
        <w:rPr>
          <w:rFonts w:ascii="Arial" w:hAnsi="Arial" w:cs="Arial"/>
          <w:b/>
          <w:bCs/>
        </w:rPr>
        <w:instrText xml:space="preserve"> TOC \h \z \c "Table" </w:instrText>
      </w:r>
      <w:r>
        <w:rPr>
          <w:rFonts w:ascii="Arial" w:hAnsi="Arial" w:cs="Arial"/>
          <w:b/>
          <w:bCs/>
        </w:rPr>
        <w:fldChar w:fldCharType="separate"/>
      </w:r>
      <w:hyperlink w:anchor="_Toc217080805" w:history="1">
        <w:r w:rsidR="004525EC" w:rsidRPr="000D6418">
          <w:rPr>
            <w:rStyle w:val="Hyperlink"/>
            <w:noProof/>
          </w:rPr>
          <w:t>Table 1</w:t>
        </w:r>
        <w:r w:rsidR="00866F9E">
          <w:rPr>
            <w:rStyle w:val="Hyperlink"/>
            <w:noProof/>
          </w:rPr>
          <w:t xml:space="preserve"> </w:t>
        </w:r>
        <w:r w:rsidR="004525EC" w:rsidRPr="000D6418">
          <w:rPr>
            <w:rStyle w:val="Hyperlink"/>
            <w:noProof/>
          </w:rPr>
          <w:t>Ratio Analysis</w:t>
        </w:r>
        <w:r w:rsidR="004525EC">
          <w:rPr>
            <w:noProof/>
            <w:webHidden/>
          </w:rPr>
          <w:tab/>
        </w:r>
        <w:r w:rsidR="004525EC">
          <w:rPr>
            <w:noProof/>
            <w:webHidden/>
          </w:rPr>
          <w:fldChar w:fldCharType="begin"/>
        </w:r>
        <w:r w:rsidR="004525EC">
          <w:rPr>
            <w:noProof/>
            <w:webHidden/>
          </w:rPr>
          <w:instrText xml:space="preserve"> PAGEREF _Toc217080805 \h </w:instrText>
        </w:r>
        <w:r w:rsidR="004525EC">
          <w:rPr>
            <w:noProof/>
            <w:webHidden/>
          </w:rPr>
        </w:r>
        <w:r w:rsidR="004525EC">
          <w:rPr>
            <w:noProof/>
            <w:webHidden/>
          </w:rPr>
          <w:fldChar w:fldCharType="separate"/>
        </w:r>
        <w:r w:rsidR="004525EC">
          <w:rPr>
            <w:noProof/>
            <w:webHidden/>
          </w:rPr>
          <w:t>2</w:t>
        </w:r>
        <w:r w:rsidR="004525EC">
          <w:rPr>
            <w:noProof/>
            <w:webHidden/>
          </w:rPr>
          <w:fldChar w:fldCharType="end"/>
        </w:r>
      </w:hyperlink>
    </w:p>
    <w:p w14:paraId="4726CA13" w14:textId="56514343" w:rsidR="004525EC" w:rsidRDefault="004525EC">
      <w:pPr>
        <w:pStyle w:val="TableofFigures"/>
        <w:tabs>
          <w:tab w:val="right" w:leader="underscore" w:pos="9016"/>
        </w:tabs>
        <w:rPr>
          <w:i w:val="0"/>
          <w:iCs w:val="0"/>
          <w:noProof/>
          <w:sz w:val="24"/>
          <w:szCs w:val="24"/>
        </w:rPr>
      </w:pPr>
      <w:hyperlink w:anchor="_Toc217080806" w:history="1">
        <w:r w:rsidRPr="000D6418">
          <w:rPr>
            <w:rStyle w:val="Hyperlink"/>
            <w:noProof/>
          </w:rPr>
          <w:t>Table 2 Cash Inflows</w:t>
        </w:r>
        <w:r>
          <w:rPr>
            <w:noProof/>
            <w:webHidden/>
          </w:rPr>
          <w:tab/>
        </w:r>
        <w:r>
          <w:rPr>
            <w:noProof/>
            <w:webHidden/>
          </w:rPr>
          <w:fldChar w:fldCharType="begin"/>
        </w:r>
        <w:r>
          <w:rPr>
            <w:noProof/>
            <w:webHidden/>
          </w:rPr>
          <w:instrText xml:space="preserve"> PAGEREF _Toc217080806 \h </w:instrText>
        </w:r>
        <w:r>
          <w:rPr>
            <w:noProof/>
            <w:webHidden/>
          </w:rPr>
        </w:r>
        <w:r>
          <w:rPr>
            <w:noProof/>
            <w:webHidden/>
          </w:rPr>
          <w:fldChar w:fldCharType="separate"/>
        </w:r>
        <w:r>
          <w:rPr>
            <w:noProof/>
            <w:webHidden/>
          </w:rPr>
          <w:t>15</w:t>
        </w:r>
        <w:r>
          <w:rPr>
            <w:noProof/>
            <w:webHidden/>
          </w:rPr>
          <w:fldChar w:fldCharType="end"/>
        </w:r>
      </w:hyperlink>
    </w:p>
    <w:p w14:paraId="362319B0" w14:textId="1BE289F8" w:rsidR="004525EC" w:rsidRDefault="004525EC">
      <w:pPr>
        <w:pStyle w:val="TableofFigures"/>
        <w:tabs>
          <w:tab w:val="right" w:leader="underscore" w:pos="9016"/>
        </w:tabs>
        <w:rPr>
          <w:i w:val="0"/>
          <w:iCs w:val="0"/>
          <w:noProof/>
          <w:sz w:val="24"/>
          <w:szCs w:val="24"/>
        </w:rPr>
      </w:pPr>
      <w:hyperlink w:anchor="_Toc217080807" w:history="1">
        <w:r w:rsidRPr="000D6418">
          <w:rPr>
            <w:rStyle w:val="Hyperlink"/>
            <w:noProof/>
          </w:rPr>
          <w:t>Table 3 Cash Inflows</w:t>
        </w:r>
        <w:r>
          <w:rPr>
            <w:noProof/>
            <w:webHidden/>
          </w:rPr>
          <w:tab/>
        </w:r>
        <w:r>
          <w:rPr>
            <w:noProof/>
            <w:webHidden/>
          </w:rPr>
          <w:fldChar w:fldCharType="begin"/>
        </w:r>
        <w:r>
          <w:rPr>
            <w:noProof/>
            <w:webHidden/>
          </w:rPr>
          <w:instrText xml:space="preserve"> PAGEREF _Toc217080807 \h </w:instrText>
        </w:r>
        <w:r>
          <w:rPr>
            <w:noProof/>
            <w:webHidden/>
          </w:rPr>
        </w:r>
        <w:r>
          <w:rPr>
            <w:noProof/>
            <w:webHidden/>
          </w:rPr>
          <w:fldChar w:fldCharType="separate"/>
        </w:r>
        <w:r>
          <w:rPr>
            <w:noProof/>
            <w:webHidden/>
          </w:rPr>
          <w:t>16</w:t>
        </w:r>
        <w:r>
          <w:rPr>
            <w:noProof/>
            <w:webHidden/>
          </w:rPr>
          <w:fldChar w:fldCharType="end"/>
        </w:r>
      </w:hyperlink>
    </w:p>
    <w:p w14:paraId="7B9D4628" w14:textId="3F4CBE7C" w:rsidR="004525EC" w:rsidRDefault="004525EC">
      <w:pPr>
        <w:pStyle w:val="TableofFigures"/>
        <w:tabs>
          <w:tab w:val="right" w:leader="underscore" w:pos="9016"/>
        </w:tabs>
        <w:rPr>
          <w:i w:val="0"/>
          <w:iCs w:val="0"/>
          <w:noProof/>
          <w:sz w:val="24"/>
          <w:szCs w:val="24"/>
        </w:rPr>
      </w:pPr>
      <w:hyperlink w:anchor="_Toc217080808" w:history="1">
        <w:r w:rsidRPr="000D6418">
          <w:rPr>
            <w:rStyle w:val="Hyperlink"/>
            <w:noProof/>
          </w:rPr>
          <w:t>Table 4 Cash Inflows</w:t>
        </w:r>
        <w:r>
          <w:rPr>
            <w:noProof/>
            <w:webHidden/>
          </w:rPr>
          <w:tab/>
        </w:r>
        <w:r>
          <w:rPr>
            <w:noProof/>
            <w:webHidden/>
          </w:rPr>
          <w:fldChar w:fldCharType="begin"/>
        </w:r>
        <w:r>
          <w:rPr>
            <w:noProof/>
            <w:webHidden/>
          </w:rPr>
          <w:instrText xml:space="preserve"> PAGEREF _Toc217080808 \h </w:instrText>
        </w:r>
        <w:r>
          <w:rPr>
            <w:noProof/>
            <w:webHidden/>
          </w:rPr>
        </w:r>
        <w:r>
          <w:rPr>
            <w:noProof/>
            <w:webHidden/>
          </w:rPr>
          <w:fldChar w:fldCharType="separate"/>
        </w:r>
        <w:r>
          <w:rPr>
            <w:noProof/>
            <w:webHidden/>
          </w:rPr>
          <w:t>16</w:t>
        </w:r>
        <w:r>
          <w:rPr>
            <w:noProof/>
            <w:webHidden/>
          </w:rPr>
          <w:fldChar w:fldCharType="end"/>
        </w:r>
      </w:hyperlink>
    </w:p>
    <w:p w14:paraId="5B9968D6" w14:textId="3E71EEC2" w:rsidR="004525EC" w:rsidRDefault="004525EC">
      <w:pPr>
        <w:pStyle w:val="TableofFigures"/>
        <w:tabs>
          <w:tab w:val="right" w:leader="underscore" w:pos="9016"/>
        </w:tabs>
        <w:rPr>
          <w:i w:val="0"/>
          <w:iCs w:val="0"/>
          <w:noProof/>
          <w:sz w:val="24"/>
          <w:szCs w:val="24"/>
        </w:rPr>
      </w:pPr>
      <w:hyperlink w:anchor="_Toc217080809" w:history="1">
        <w:r w:rsidRPr="000D6418">
          <w:rPr>
            <w:rStyle w:val="Hyperlink"/>
            <w:noProof/>
          </w:rPr>
          <w:t>Table 5 Accounting Rate of Return</w:t>
        </w:r>
        <w:r>
          <w:rPr>
            <w:noProof/>
            <w:webHidden/>
          </w:rPr>
          <w:tab/>
        </w:r>
        <w:r>
          <w:rPr>
            <w:noProof/>
            <w:webHidden/>
          </w:rPr>
          <w:fldChar w:fldCharType="begin"/>
        </w:r>
        <w:r>
          <w:rPr>
            <w:noProof/>
            <w:webHidden/>
          </w:rPr>
          <w:instrText xml:space="preserve"> PAGEREF _Toc217080809 \h </w:instrText>
        </w:r>
        <w:r>
          <w:rPr>
            <w:noProof/>
            <w:webHidden/>
          </w:rPr>
        </w:r>
        <w:r>
          <w:rPr>
            <w:noProof/>
            <w:webHidden/>
          </w:rPr>
          <w:fldChar w:fldCharType="separate"/>
        </w:r>
        <w:r>
          <w:rPr>
            <w:noProof/>
            <w:webHidden/>
          </w:rPr>
          <w:t>17</w:t>
        </w:r>
        <w:r>
          <w:rPr>
            <w:noProof/>
            <w:webHidden/>
          </w:rPr>
          <w:fldChar w:fldCharType="end"/>
        </w:r>
      </w:hyperlink>
    </w:p>
    <w:p w14:paraId="2757C0C5" w14:textId="65DF2D9E" w:rsidR="004525EC" w:rsidRDefault="004525EC">
      <w:pPr>
        <w:pStyle w:val="TableofFigures"/>
        <w:tabs>
          <w:tab w:val="right" w:leader="underscore" w:pos="9016"/>
        </w:tabs>
        <w:rPr>
          <w:i w:val="0"/>
          <w:iCs w:val="0"/>
          <w:noProof/>
          <w:sz w:val="24"/>
          <w:szCs w:val="24"/>
        </w:rPr>
      </w:pPr>
      <w:hyperlink w:anchor="_Toc217080810" w:history="1">
        <w:r w:rsidRPr="000D6418">
          <w:rPr>
            <w:rStyle w:val="Hyperlink"/>
            <w:noProof/>
          </w:rPr>
          <w:t>Table 6 Accounting Rate of Return</w:t>
        </w:r>
        <w:r>
          <w:rPr>
            <w:noProof/>
            <w:webHidden/>
          </w:rPr>
          <w:tab/>
        </w:r>
        <w:r>
          <w:rPr>
            <w:noProof/>
            <w:webHidden/>
          </w:rPr>
          <w:fldChar w:fldCharType="begin"/>
        </w:r>
        <w:r>
          <w:rPr>
            <w:noProof/>
            <w:webHidden/>
          </w:rPr>
          <w:instrText xml:space="preserve"> PAGEREF _Toc217080810 \h </w:instrText>
        </w:r>
        <w:r>
          <w:rPr>
            <w:noProof/>
            <w:webHidden/>
          </w:rPr>
        </w:r>
        <w:r>
          <w:rPr>
            <w:noProof/>
            <w:webHidden/>
          </w:rPr>
          <w:fldChar w:fldCharType="separate"/>
        </w:r>
        <w:r>
          <w:rPr>
            <w:noProof/>
            <w:webHidden/>
          </w:rPr>
          <w:t>17</w:t>
        </w:r>
        <w:r>
          <w:rPr>
            <w:noProof/>
            <w:webHidden/>
          </w:rPr>
          <w:fldChar w:fldCharType="end"/>
        </w:r>
      </w:hyperlink>
    </w:p>
    <w:p w14:paraId="6C8B1609" w14:textId="38CC7F54" w:rsidR="004525EC" w:rsidRDefault="004525EC">
      <w:pPr>
        <w:pStyle w:val="TableofFigures"/>
        <w:tabs>
          <w:tab w:val="right" w:leader="underscore" w:pos="9016"/>
        </w:tabs>
        <w:rPr>
          <w:i w:val="0"/>
          <w:iCs w:val="0"/>
          <w:noProof/>
          <w:sz w:val="24"/>
          <w:szCs w:val="24"/>
        </w:rPr>
      </w:pPr>
      <w:hyperlink w:anchor="_Toc217080811" w:history="1">
        <w:r w:rsidRPr="000D6418">
          <w:rPr>
            <w:rStyle w:val="Hyperlink"/>
            <w:noProof/>
          </w:rPr>
          <w:t>Table 7 Accounting Rate of Return</w:t>
        </w:r>
        <w:r>
          <w:rPr>
            <w:noProof/>
            <w:webHidden/>
          </w:rPr>
          <w:tab/>
        </w:r>
        <w:r>
          <w:rPr>
            <w:noProof/>
            <w:webHidden/>
          </w:rPr>
          <w:fldChar w:fldCharType="begin"/>
        </w:r>
        <w:r>
          <w:rPr>
            <w:noProof/>
            <w:webHidden/>
          </w:rPr>
          <w:instrText xml:space="preserve"> PAGEREF _Toc217080811 \h </w:instrText>
        </w:r>
        <w:r>
          <w:rPr>
            <w:noProof/>
            <w:webHidden/>
          </w:rPr>
        </w:r>
        <w:r>
          <w:rPr>
            <w:noProof/>
            <w:webHidden/>
          </w:rPr>
          <w:fldChar w:fldCharType="separate"/>
        </w:r>
        <w:r>
          <w:rPr>
            <w:noProof/>
            <w:webHidden/>
          </w:rPr>
          <w:t>18</w:t>
        </w:r>
        <w:r>
          <w:rPr>
            <w:noProof/>
            <w:webHidden/>
          </w:rPr>
          <w:fldChar w:fldCharType="end"/>
        </w:r>
      </w:hyperlink>
    </w:p>
    <w:p w14:paraId="6FD55B34" w14:textId="2ED95A9F" w:rsidR="00535A78" w:rsidRDefault="00535A78" w:rsidP="009606E6">
      <w:pPr>
        <w:spacing w:before="120" w:after="120" w:line="360" w:lineRule="auto"/>
        <w:jc w:val="both"/>
        <w:rPr>
          <w:rFonts w:ascii="Arial" w:hAnsi="Arial" w:cs="Arial"/>
          <w:b/>
          <w:bCs/>
        </w:rPr>
      </w:pPr>
      <w:r>
        <w:rPr>
          <w:rFonts w:ascii="Arial" w:hAnsi="Arial" w:cs="Arial"/>
          <w:b/>
          <w:bCs/>
        </w:rPr>
        <w:fldChar w:fldCharType="end"/>
      </w:r>
    </w:p>
    <w:p w14:paraId="33F2D8F0" w14:textId="77777777" w:rsidR="00535A78" w:rsidRDefault="00535A78" w:rsidP="009606E6">
      <w:pPr>
        <w:spacing w:before="120" w:after="120" w:line="360" w:lineRule="auto"/>
        <w:jc w:val="both"/>
        <w:rPr>
          <w:rFonts w:ascii="Arial" w:hAnsi="Arial" w:cs="Arial"/>
          <w:b/>
          <w:bCs/>
        </w:rPr>
      </w:pPr>
    </w:p>
    <w:p w14:paraId="0FFE08A0" w14:textId="77777777" w:rsidR="00535A78" w:rsidRDefault="00535A78" w:rsidP="009606E6">
      <w:pPr>
        <w:spacing w:before="120" w:after="120" w:line="360" w:lineRule="auto"/>
        <w:jc w:val="both"/>
        <w:rPr>
          <w:rFonts w:ascii="Arial" w:hAnsi="Arial" w:cs="Arial"/>
          <w:b/>
          <w:bCs/>
        </w:rPr>
        <w:sectPr w:rsidR="00535A78" w:rsidSect="00F45B19">
          <w:pgSz w:w="11906" w:h="16838" w:code="9"/>
          <w:pgMar w:top="1440" w:right="1440" w:bottom="1440" w:left="1440" w:header="720" w:footer="720" w:gutter="0"/>
          <w:cols w:space="720"/>
          <w:docGrid w:linePitch="360"/>
        </w:sectPr>
      </w:pPr>
    </w:p>
    <w:p w14:paraId="25A05817" w14:textId="02322DD8" w:rsidR="009A13E4" w:rsidRDefault="006D242A" w:rsidP="009606E6">
      <w:pPr>
        <w:spacing w:before="120" w:after="120" w:line="360" w:lineRule="auto"/>
        <w:jc w:val="both"/>
        <w:rPr>
          <w:rFonts w:ascii="Arial" w:hAnsi="Arial" w:cs="Arial"/>
          <w:b/>
          <w:bCs/>
        </w:rPr>
      </w:pPr>
      <w:proofErr w:type="gramStart"/>
      <w:r>
        <w:rPr>
          <w:rFonts w:ascii="Arial" w:hAnsi="Arial" w:cs="Arial"/>
          <w:b/>
          <w:bCs/>
        </w:rPr>
        <w:lastRenderedPageBreak/>
        <w:t xml:space="preserve">List </w:t>
      </w:r>
      <w:r w:rsidR="00C901DC">
        <w:rPr>
          <w:rFonts w:ascii="Arial" w:hAnsi="Arial" w:cs="Arial"/>
          <w:b/>
          <w:bCs/>
        </w:rPr>
        <w:t xml:space="preserve"> of</w:t>
      </w:r>
      <w:proofErr w:type="gramEnd"/>
      <w:r w:rsidR="00C901DC">
        <w:rPr>
          <w:rFonts w:ascii="Arial" w:hAnsi="Arial" w:cs="Arial"/>
          <w:b/>
          <w:bCs/>
        </w:rPr>
        <w:t xml:space="preserve"> Figures</w:t>
      </w:r>
    </w:p>
    <w:p w14:paraId="65F1D41F" w14:textId="5FB42DED" w:rsidR="004525EC" w:rsidRDefault="00535A78">
      <w:pPr>
        <w:pStyle w:val="TableofFigures"/>
        <w:tabs>
          <w:tab w:val="right" w:leader="underscore" w:pos="9016"/>
        </w:tabs>
        <w:rPr>
          <w:i w:val="0"/>
          <w:iCs w:val="0"/>
          <w:noProof/>
          <w:sz w:val="24"/>
          <w:szCs w:val="24"/>
        </w:rPr>
      </w:pPr>
      <w:r>
        <w:rPr>
          <w:rFonts w:ascii="Arial" w:hAnsi="Arial" w:cs="Arial"/>
          <w:b/>
          <w:bCs/>
        </w:rPr>
        <w:fldChar w:fldCharType="begin"/>
      </w:r>
      <w:r>
        <w:rPr>
          <w:rFonts w:ascii="Arial" w:hAnsi="Arial" w:cs="Arial"/>
          <w:b/>
          <w:bCs/>
        </w:rPr>
        <w:instrText xml:space="preserve"> TOC \h \z \c "Figure" </w:instrText>
      </w:r>
      <w:r>
        <w:rPr>
          <w:rFonts w:ascii="Arial" w:hAnsi="Arial" w:cs="Arial"/>
          <w:b/>
          <w:bCs/>
        </w:rPr>
        <w:fldChar w:fldCharType="separate"/>
      </w:r>
      <w:hyperlink w:anchor="_Toc217080819" w:history="1">
        <w:r w:rsidR="004525EC" w:rsidRPr="00F439FA">
          <w:rPr>
            <w:rStyle w:val="Hyperlink"/>
            <w:noProof/>
          </w:rPr>
          <w:t>Figure 1Operating Income</w:t>
        </w:r>
        <w:r w:rsidR="004525EC">
          <w:rPr>
            <w:noProof/>
            <w:webHidden/>
          </w:rPr>
          <w:tab/>
        </w:r>
        <w:r w:rsidR="004525EC">
          <w:rPr>
            <w:noProof/>
            <w:webHidden/>
          </w:rPr>
          <w:fldChar w:fldCharType="begin"/>
        </w:r>
        <w:r w:rsidR="004525EC">
          <w:rPr>
            <w:noProof/>
            <w:webHidden/>
          </w:rPr>
          <w:instrText xml:space="preserve"> PAGEREF _Toc217080819 \h </w:instrText>
        </w:r>
        <w:r w:rsidR="004525EC">
          <w:rPr>
            <w:noProof/>
            <w:webHidden/>
          </w:rPr>
        </w:r>
        <w:r w:rsidR="004525EC">
          <w:rPr>
            <w:noProof/>
            <w:webHidden/>
          </w:rPr>
          <w:fldChar w:fldCharType="separate"/>
        </w:r>
        <w:r w:rsidR="004525EC">
          <w:rPr>
            <w:noProof/>
            <w:webHidden/>
          </w:rPr>
          <w:t>3</w:t>
        </w:r>
        <w:r w:rsidR="004525EC">
          <w:rPr>
            <w:noProof/>
            <w:webHidden/>
          </w:rPr>
          <w:fldChar w:fldCharType="end"/>
        </w:r>
      </w:hyperlink>
    </w:p>
    <w:p w14:paraId="0963A007" w14:textId="67325BFE" w:rsidR="004525EC" w:rsidRDefault="004525EC">
      <w:pPr>
        <w:pStyle w:val="TableofFigures"/>
        <w:tabs>
          <w:tab w:val="right" w:leader="underscore" w:pos="9016"/>
        </w:tabs>
        <w:rPr>
          <w:i w:val="0"/>
          <w:iCs w:val="0"/>
          <w:noProof/>
          <w:sz w:val="24"/>
          <w:szCs w:val="24"/>
        </w:rPr>
      </w:pPr>
      <w:hyperlink w:anchor="_Toc217080820" w:history="1">
        <w:r w:rsidRPr="00F439FA">
          <w:rPr>
            <w:rStyle w:val="Hyperlink"/>
            <w:noProof/>
          </w:rPr>
          <w:t>Figure 2 Current Ratio</w:t>
        </w:r>
        <w:r>
          <w:rPr>
            <w:noProof/>
            <w:webHidden/>
          </w:rPr>
          <w:tab/>
        </w:r>
        <w:r>
          <w:rPr>
            <w:noProof/>
            <w:webHidden/>
          </w:rPr>
          <w:fldChar w:fldCharType="begin"/>
        </w:r>
        <w:r>
          <w:rPr>
            <w:noProof/>
            <w:webHidden/>
          </w:rPr>
          <w:instrText xml:space="preserve"> PAGEREF _Toc217080820 \h </w:instrText>
        </w:r>
        <w:r>
          <w:rPr>
            <w:noProof/>
            <w:webHidden/>
          </w:rPr>
        </w:r>
        <w:r>
          <w:rPr>
            <w:noProof/>
            <w:webHidden/>
          </w:rPr>
          <w:fldChar w:fldCharType="separate"/>
        </w:r>
        <w:r>
          <w:rPr>
            <w:noProof/>
            <w:webHidden/>
          </w:rPr>
          <w:t>4</w:t>
        </w:r>
        <w:r>
          <w:rPr>
            <w:noProof/>
            <w:webHidden/>
          </w:rPr>
          <w:fldChar w:fldCharType="end"/>
        </w:r>
      </w:hyperlink>
    </w:p>
    <w:p w14:paraId="4DFEDC32" w14:textId="29909F52" w:rsidR="004525EC" w:rsidRDefault="004525EC">
      <w:pPr>
        <w:pStyle w:val="TableofFigures"/>
        <w:tabs>
          <w:tab w:val="right" w:leader="underscore" w:pos="9016"/>
        </w:tabs>
        <w:rPr>
          <w:i w:val="0"/>
          <w:iCs w:val="0"/>
          <w:noProof/>
          <w:sz w:val="24"/>
          <w:szCs w:val="24"/>
        </w:rPr>
      </w:pPr>
      <w:hyperlink w:anchor="_Toc217080821" w:history="1">
        <w:r w:rsidRPr="00F439FA">
          <w:rPr>
            <w:rStyle w:val="Hyperlink"/>
            <w:noProof/>
          </w:rPr>
          <w:t>Figure 3 Quick Ratio</w:t>
        </w:r>
        <w:r>
          <w:rPr>
            <w:noProof/>
            <w:webHidden/>
          </w:rPr>
          <w:tab/>
        </w:r>
        <w:r>
          <w:rPr>
            <w:noProof/>
            <w:webHidden/>
          </w:rPr>
          <w:fldChar w:fldCharType="begin"/>
        </w:r>
        <w:r>
          <w:rPr>
            <w:noProof/>
            <w:webHidden/>
          </w:rPr>
          <w:instrText xml:space="preserve"> PAGEREF _Toc217080821 \h </w:instrText>
        </w:r>
        <w:r>
          <w:rPr>
            <w:noProof/>
            <w:webHidden/>
          </w:rPr>
        </w:r>
        <w:r>
          <w:rPr>
            <w:noProof/>
            <w:webHidden/>
          </w:rPr>
          <w:fldChar w:fldCharType="separate"/>
        </w:r>
        <w:r>
          <w:rPr>
            <w:noProof/>
            <w:webHidden/>
          </w:rPr>
          <w:t>4</w:t>
        </w:r>
        <w:r>
          <w:rPr>
            <w:noProof/>
            <w:webHidden/>
          </w:rPr>
          <w:fldChar w:fldCharType="end"/>
        </w:r>
      </w:hyperlink>
    </w:p>
    <w:p w14:paraId="45525815" w14:textId="36F58556" w:rsidR="004525EC" w:rsidRDefault="004525EC">
      <w:pPr>
        <w:pStyle w:val="TableofFigures"/>
        <w:tabs>
          <w:tab w:val="right" w:leader="underscore" w:pos="9016"/>
        </w:tabs>
        <w:rPr>
          <w:i w:val="0"/>
          <w:iCs w:val="0"/>
          <w:noProof/>
          <w:sz w:val="24"/>
          <w:szCs w:val="24"/>
        </w:rPr>
      </w:pPr>
      <w:hyperlink w:anchor="_Toc217080822" w:history="1">
        <w:r w:rsidRPr="00F439FA">
          <w:rPr>
            <w:rStyle w:val="Hyperlink"/>
            <w:noProof/>
          </w:rPr>
          <w:t>Figure 4 Inventory Turnover</w:t>
        </w:r>
        <w:r>
          <w:rPr>
            <w:noProof/>
            <w:webHidden/>
          </w:rPr>
          <w:tab/>
        </w:r>
        <w:r>
          <w:rPr>
            <w:noProof/>
            <w:webHidden/>
          </w:rPr>
          <w:fldChar w:fldCharType="begin"/>
        </w:r>
        <w:r>
          <w:rPr>
            <w:noProof/>
            <w:webHidden/>
          </w:rPr>
          <w:instrText xml:space="preserve"> PAGEREF _Toc217080822 \h </w:instrText>
        </w:r>
        <w:r>
          <w:rPr>
            <w:noProof/>
            <w:webHidden/>
          </w:rPr>
        </w:r>
        <w:r>
          <w:rPr>
            <w:noProof/>
            <w:webHidden/>
          </w:rPr>
          <w:fldChar w:fldCharType="separate"/>
        </w:r>
        <w:r>
          <w:rPr>
            <w:noProof/>
            <w:webHidden/>
          </w:rPr>
          <w:t>5</w:t>
        </w:r>
        <w:r>
          <w:rPr>
            <w:noProof/>
            <w:webHidden/>
          </w:rPr>
          <w:fldChar w:fldCharType="end"/>
        </w:r>
      </w:hyperlink>
    </w:p>
    <w:p w14:paraId="030A0961" w14:textId="6651FCA2" w:rsidR="004525EC" w:rsidRDefault="004525EC">
      <w:pPr>
        <w:pStyle w:val="TableofFigures"/>
        <w:tabs>
          <w:tab w:val="right" w:leader="underscore" w:pos="9016"/>
        </w:tabs>
        <w:rPr>
          <w:i w:val="0"/>
          <w:iCs w:val="0"/>
          <w:noProof/>
          <w:sz w:val="24"/>
          <w:szCs w:val="24"/>
        </w:rPr>
      </w:pPr>
      <w:hyperlink w:anchor="_Toc217080823" w:history="1">
        <w:r w:rsidRPr="00F439FA">
          <w:rPr>
            <w:rStyle w:val="Hyperlink"/>
            <w:noProof/>
          </w:rPr>
          <w:t>Figure 5 Asset Turnover</w:t>
        </w:r>
        <w:r>
          <w:rPr>
            <w:noProof/>
            <w:webHidden/>
          </w:rPr>
          <w:tab/>
        </w:r>
        <w:r>
          <w:rPr>
            <w:noProof/>
            <w:webHidden/>
          </w:rPr>
          <w:fldChar w:fldCharType="begin"/>
        </w:r>
        <w:r>
          <w:rPr>
            <w:noProof/>
            <w:webHidden/>
          </w:rPr>
          <w:instrText xml:space="preserve"> PAGEREF _Toc217080823 \h </w:instrText>
        </w:r>
        <w:r>
          <w:rPr>
            <w:noProof/>
            <w:webHidden/>
          </w:rPr>
        </w:r>
        <w:r>
          <w:rPr>
            <w:noProof/>
            <w:webHidden/>
          </w:rPr>
          <w:fldChar w:fldCharType="separate"/>
        </w:r>
        <w:r>
          <w:rPr>
            <w:noProof/>
            <w:webHidden/>
          </w:rPr>
          <w:t>5</w:t>
        </w:r>
        <w:r>
          <w:rPr>
            <w:noProof/>
            <w:webHidden/>
          </w:rPr>
          <w:fldChar w:fldCharType="end"/>
        </w:r>
      </w:hyperlink>
    </w:p>
    <w:p w14:paraId="3316895C" w14:textId="5D8F3FCC" w:rsidR="004525EC" w:rsidRDefault="004525EC">
      <w:pPr>
        <w:pStyle w:val="TableofFigures"/>
        <w:tabs>
          <w:tab w:val="right" w:leader="underscore" w:pos="9016"/>
        </w:tabs>
        <w:rPr>
          <w:i w:val="0"/>
          <w:iCs w:val="0"/>
          <w:noProof/>
          <w:sz w:val="24"/>
          <w:szCs w:val="24"/>
        </w:rPr>
      </w:pPr>
      <w:hyperlink w:anchor="_Toc217080824" w:history="1">
        <w:r w:rsidRPr="00F439FA">
          <w:rPr>
            <w:rStyle w:val="Hyperlink"/>
            <w:noProof/>
          </w:rPr>
          <w:t>Figure 6 Debt to Equity Ratio</w:t>
        </w:r>
        <w:r>
          <w:rPr>
            <w:noProof/>
            <w:webHidden/>
          </w:rPr>
          <w:tab/>
        </w:r>
        <w:r>
          <w:rPr>
            <w:noProof/>
            <w:webHidden/>
          </w:rPr>
          <w:fldChar w:fldCharType="begin"/>
        </w:r>
        <w:r>
          <w:rPr>
            <w:noProof/>
            <w:webHidden/>
          </w:rPr>
          <w:instrText xml:space="preserve"> PAGEREF _Toc217080824 \h </w:instrText>
        </w:r>
        <w:r>
          <w:rPr>
            <w:noProof/>
            <w:webHidden/>
          </w:rPr>
        </w:r>
        <w:r>
          <w:rPr>
            <w:noProof/>
            <w:webHidden/>
          </w:rPr>
          <w:fldChar w:fldCharType="separate"/>
        </w:r>
        <w:r>
          <w:rPr>
            <w:noProof/>
            <w:webHidden/>
          </w:rPr>
          <w:t>6</w:t>
        </w:r>
        <w:r>
          <w:rPr>
            <w:noProof/>
            <w:webHidden/>
          </w:rPr>
          <w:fldChar w:fldCharType="end"/>
        </w:r>
      </w:hyperlink>
    </w:p>
    <w:p w14:paraId="02A04DF8" w14:textId="252D826F" w:rsidR="004525EC" w:rsidRDefault="004525EC">
      <w:pPr>
        <w:pStyle w:val="TableofFigures"/>
        <w:tabs>
          <w:tab w:val="right" w:leader="underscore" w:pos="9016"/>
        </w:tabs>
        <w:rPr>
          <w:i w:val="0"/>
          <w:iCs w:val="0"/>
          <w:noProof/>
          <w:sz w:val="24"/>
          <w:szCs w:val="24"/>
        </w:rPr>
      </w:pPr>
      <w:hyperlink w:anchor="_Toc217080825" w:history="1">
        <w:r w:rsidRPr="00F439FA">
          <w:rPr>
            <w:rStyle w:val="Hyperlink"/>
            <w:noProof/>
          </w:rPr>
          <w:t>Figure 7 Operating Cash Flow to Debt Ratio</w:t>
        </w:r>
        <w:r>
          <w:rPr>
            <w:noProof/>
            <w:webHidden/>
          </w:rPr>
          <w:tab/>
        </w:r>
        <w:r>
          <w:rPr>
            <w:noProof/>
            <w:webHidden/>
          </w:rPr>
          <w:fldChar w:fldCharType="begin"/>
        </w:r>
        <w:r>
          <w:rPr>
            <w:noProof/>
            <w:webHidden/>
          </w:rPr>
          <w:instrText xml:space="preserve"> PAGEREF _Toc217080825 \h </w:instrText>
        </w:r>
        <w:r>
          <w:rPr>
            <w:noProof/>
            <w:webHidden/>
          </w:rPr>
        </w:r>
        <w:r>
          <w:rPr>
            <w:noProof/>
            <w:webHidden/>
          </w:rPr>
          <w:fldChar w:fldCharType="separate"/>
        </w:r>
        <w:r>
          <w:rPr>
            <w:noProof/>
            <w:webHidden/>
          </w:rPr>
          <w:t>6</w:t>
        </w:r>
        <w:r>
          <w:rPr>
            <w:noProof/>
            <w:webHidden/>
          </w:rPr>
          <w:fldChar w:fldCharType="end"/>
        </w:r>
      </w:hyperlink>
    </w:p>
    <w:p w14:paraId="6F654C71" w14:textId="5ADBC868" w:rsidR="00535A78" w:rsidRDefault="00535A78" w:rsidP="009606E6">
      <w:pPr>
        <w:spacing w:before="120" w:after="120" w:line="360" w:lineRule="auto"/>
        <w:jc w:val="both"/>
        <w:rPr>
          <w:rFonts w:ascii="Arial" w:hAnsi="Arial" w:cs="Arial"/>
          <w:b/>
          <w:bCs/>
        </w:rPr>
      </w:pPr>
      <w:r>
        <w:rPr>
          <w:rFonts w:ascii="Arial" w:hAnsi="Arial" w:cs="Arial"/>
          <w:b/>
          <w:bCs/>
        </w:rPr>
        <w:fldChar w:fldCharType="end"/>
      </w:r>
    </w:p>
    <w:p w14:paraId="10E77C13" w14:textId="77777777" w:rsidR="00F2504F" w:rsidRDefault="00F2504F" w:rsidP="009606E6">
      <w:pPr>
        <w:spacing w:before="120" w:after="120" w:line="360" w:lineRule="auto"/>
        <w:jc w:val="both"/>
        <w:rPr>
          <w:rFonts w:ascii="Arial" w:hAnsi="Arial" w:cs="Arial"/>
          <w:b/>
          <w:bCs/>
        </w:rPr>
      </w:pPr>
    </w:p>
    <w:p w14:paraId="736E9CF1" w14:textId="11416E51" w:rsidR="00535A78" w:rsidRPr="00A110C5" w:rsidRDefault="00535A78" w:rsidP="009606E6">
      <w:pPr>
        <w:spacing w:before="120" w:after="120" w:line="360" w:lineRule="auto"/>
        <w:jc w:val="both"/>
        <w:rPr>
          <w:rFonts w:ascii="Arial" w:hAnsi="Arial" w:cs="Arial"/>
          <w:b/>
          <w:bCs/>
        </w:rPr>
        <w:sectPr w:rsidR="00535A78" w:rsidRPr="00A110C5" w:rsidSect="00F45B19">
          <w:pgSz w:w="11906" w:h="16838" w:code="9"/>
          <w:pgMar w:top="1440" w:right="1440" w:bottom="1440" w:left="1440" w:header="720" w:footer="720" w:gutter="0"/>
          <w:cols w:space="720"/>
          <w:docGrid w:linePitch="360"/>
        </w:sectPr>
      </w:pPr>
    </w:p>
    <w:p w14:paraId="05830DDB" w14:textId="00523DFC" w:rsidR="009606E6" w:rsidRPr="00A110C5" w:rsidRDefault="009606E6" w:rsidP="00112D41">
      <w:pPr>
        <w:pStyle w:val="Heading1"/>
      </w:pPr>
      <w:bookmarkStart w:id="0" w:name="_Toc217080759"/>
      <w:r w:rsidRPr="00A110C5">
        <w:lastRenderedPageBreak/>
        <w:t xml:space="preserve">1.0 </w:t>
      </w:r>
      <w:r w:rsidRPr="00112D41">
        <w:t>Introduction</w:t>
      </w:r>
      <w:bookmarkEnd w:id="0"/>
    </w:p>
    <w:p w14:paraId="3FF5ACA4" w14:textId="17827209" w:rsidR="009606E6" w:rsidRPr="00A110C5" w:rsidRDefault="007A1E89" w:rsidP="009606E6">
      <w:pPr>
        <w:spacing w:before="120" w:after="120" w:line="360" w:lineRule="auto"/>
        <w:jc w:val="both"/>
        <w:rPr>
          <w:rFonts w:ascii="Arial" w:hAnsi="Arial" w:cs="Arial"/>
        </w:rPr>
      </w:pPr>
      <w:r w:rsidRPr="007A1E89">
        <w:rPr>
          <w:rFonts w:ascii="Arial" w:hAnsi="Arial" w:cs="Arial"/>
        </w:rPr>
        <w:t>General Electronics is a major competitor in the international consumer electronics market and is currently struggling with huge financial burdens that expose its survival to jeopardy. The company should take into consideration different restructuring strategies to be able to restore financial stability, improve shareholder value, and increase operational flexibility. This assignment examines three key options of financial restructuring, namely, divestitures, mergers, and equity injections, and each has its own opportunities and risks. Through the assessment of these strategies, we will be able to determine their possible effects on the shareholder wealth, the stock price, the debt structure, and flexibility in its operations. Also, this report takes into consideration significant international and ethical aspects to be included in any restructuring decision, including taxation, currency risks and corporate social responsibility (CSR). The aim of these analyses is to give a holistic picture on the way General Electronics can overcome the current financial challenges and put itself in a position to grow and succeed.</w:t>
      </w:r>
    </w:p>
    <w:p w14:paraId="1B15C549" w14:textId="0074EA93" w:rsidR="001642A1" w:rsidRPr="00A110C5" w:rsidRDefault="001642A1" w:rsidP="00112D41">
      <w:pPr>
        <w:pStyle w:val="Heading1"/>
      </w:pPr>
      <w:bookmarkStart w:id="1" w:name="_Toc217080760"/>
      <w:r w:rsidRPr="00A110C5">
        <w:t>2.</w:t>
      </w:r>
      <w:r w:rsidR="009A13E4" w:rsidRPr="00A110C5">
        <w:t>0</w:t>
      </w:r>
      <w:r w:rsidRPr="00A110C5">
        <w:t xml:space="preserve"> Financial Health Check</w:t>
      </w:r>
      <w:bookmarkEnd w:id="1"/>
    </w:p>
    <w:p w14:paraId="2D3E4C26" w14:textId="25FC0A5E" w:rsidR="001642A1" w:rsidRPr="00A110C5" w:rsidRDefault="0011243F" w:rsidP="00112D41">
      <w:pPr>
        <w:pStyle w:val="Heading2"/>
      </w:pPr>
      <w:bookmarkStart w:id="2" w:name="_Toc217080761"/>
      <w:r w:rsidRPr="00A110C5">
        <w:t xml:space="preserve">2.1 </w:t>
      </w:r>
      <w:r w:rsidR="001642A1" w:rsidRPr="00A110C5">
        <w:t>Overview of the Firm’s Financial Position</w:t>
      </w:r>
      <w:bookmarkEnd w:id="2"/>
    </w:p>
    <w:p w14:paraId="41C070B8" w14:textId="77777777" w:rsidR="007A1E89" w:rsidRPr="007A1E89" w:rsidRDefault="007A1E89" w:rsidP="007A1E89">
      <w:pPr>
        <w:spacing w:before="120" w:after="120" w:line="360" w:lineRule="auto"/>
        <w:jc w:val="both"/>
        <w:rPr>
          <w:rFonts w:ascii="Arial" w:hAnsi="Arial" w:cs="Arial"/>
        </w:rPr>
      </w:pPr>
      <w:r w:rsidRPr="007A1E89">
        <w:rPr>
          <w:rFonts w:ascii="Arial" w:hAnsi="Arial" w:cs="Arial"/>
        </w:rPr>
        <w:t>General Electronics has been experiencing a major financial problem in the past five years which is indicated in its income statement balance sheet and cash flow statement. The net sales of the company have declined by a significant percentage, as in 2020, the company recorded an amount of 614,680 million, which has reduced to 394,879 million in 2024. The gross profit margin has also declined and the cost of sales has decreased during the same period as well. Operation expenses have been changing considerably, especially in 2023 that reported a considerable growth in operating expenses, which adversely affected the operating income.</w:t>
      </w:r>
    </w:p>
    <w:p w14:paraId="0EB12334" w14:textId="77777777" w:rsidR="007A1E89" w:rsidRPr="007A1E89" w:rsidRDefault="007A1E89" w:rsidP="007A1E89">
      <w:pPr>
        <w:spacing w:before="120" w:after="120" w:line="360" w:lineRule="auto"/>
        <w:jc w:val="both"/>
        <w:rPr>
          <w:rFonts w:ascii="Arial" w:hAnsi="Arial" w:cs="Arial"/>
        </w:rPr>
      </w:pPr>
      <w:r w:rsidRPr="007A1E89">
        <w:rPr>
          <w:rFonts w:ascii="Arial" w:hAnsi="Arial" w:cs="Arial"/>
        </w:rPr>
        <w:t>Current assets of the company have decreased by about 83.5 billion between 2020 and 2024 on the balance sheet mainly through the decrease in inventories and accounts receivable. Its property plant and equipment, though, have also decreased drastically as long term assets. The liabilities of the company have also been an issue to worry about because the current liabilities and the long-term debt obligation have escalated raising the debt-to-equity ratios.</w:t>
      </w:r>
    </w:p>
    <w:p w14:paraId="6F154B3C" w14:textId="3CA04BFF" w:rsidR="001642A1" w:rsidRPr="00A110C5" w:rsidRDefault="007A1E89" w:rsidP="007A1E89">
      <w:pPr>
        <w:spacing w:before="120" w:after="120" w:line="360" w:lineRule="auto"/>
        <w:jc w:val="both"/>
        <w:rPr>
          <w:rFonts w:ascii="Arial" w:hAnsi="Arial" w:cs="Arial"/>
        </w:rPr>
      </w:pPr>
      <w:r w:rsidRPr="007A1E89">
        <w:rPr>
          <w:rFonts w:ascii="Arial" w:hAnsi="Arial" w:cs="Arial"/>
        </w:rPr>
        <w:lastRenderedPageBreak/>
        <w:t>The net cash flows have been unstable, and the net cash of operating activities has decreased substantially in 2024 and indicates poor operations of the firm. Nevertheless, the company has tried to access funds by taking loan and stock options have caused a fluctuation in the funding operations. Cash reserves have also been affected by the effect of foreign currency exchange rate changes.</w:t>
      </w:r>
    </w:p>
    <w:tbl>
      <w:tblPr>
        <w:tblStyle w:val="GridTable1Light-Accent3"/>
        <w:tblpPr w:leftFromText="180" w:rightFromText="180" w:vertAnchor="text" w:horzAnchor="margin" w:tblpXSpec="center" w:tblpY="447"/>
        <w:tblW w:w="8185" w:type="dxa"/>
        <w:tblLook w:val="04A0" w:firstRow="1" w:lastRow="0" w:firstColumn="1" w:lastColumn="0" w:noHBand="0" w:noVBand="1"/>
      </w:tblPr>
      <w:tblGrid>
        <w:gridCol w:w="633"/>
        <w:gridCol w:w="849"/>
        <w:gridCol w:w="849"/>
        <w:gridCol w:w="861"/>
        <w:gridCol w:w="711"/>
        <w:gridCol w:w="944"/>
        <w:gridCol w:w="996"/>
        <w:gridCol w:w="909"/>
        <w:gridCol w:w="1220"/>
        <w:gridCol w:w="1044"/>
      </w:tblGrid>
      <w:tr w:rsidR="009606E6" w:rsidRPr="00112D41" w14:paraId="1CD76C06" w14:textId="77777777" w:rsidTr="003A5B2C">
        <w:trPr>
          <w:cnfStyle w:val="100000000000" w:firstRow="1" w:lastRow="0" w:firstColumn="0" w:lastColumn="0" w:oddVBand="0" w:evenVBand="0" w:oddHBand="0" w:evenHBand="0" w:firstRowFirstColumn="0" w:firstRowLastColumn="0" w:lastRowFirstColumn="0" w:lastRowLastColumn="0"/>
          <w:trHeight w:val="320"/>
        </w:trPr>
        <w:tc>
          <w:tcPr>
            <w:cnfStyle w:val="001000000000" w:firstRow="0" w:lastRow="0" w:firstColumn="1" w:lastColumn="0" w:oddVBand="0" w:evenVBand="0" w:oddHBand="0" w:evenHBand="0" w:firstRowFirstColumn="0" w:firstRowLastColumn="0" w:lastRowFirstColumn="0" w:lastRowLastColumn="0"/>
            <w:tcW w:w="572" w:type="dxa"/>
            <w:noWrap/>
            <w:hideMark/>
          </w:tcPr>
          <w:p w14:paraId="25C0F66F" w14:textId="77777777" w:rsidR="00F45B19" w:rsidRPr="00112D41" w:rsidRDefault="00F45B19" w:rsidP="003A5B2C">
            <w:pPr>
              <w:pStyle w:val="NoSpacing"/>
            </w:pPr>
            <w:bookmarkStart w:id="3" w:name="_Hlk216838258"/>
          </w:p>
        </w:tc>
        <w:tc>
          <w:tcPr>
            <w:tcW w:w="1678" w:type="dxa"/>
            <w:gridSpan w:val="2"/>
            <w:noWrap/>
            <w:hideMark/>
          </w:tcPr>
          <w:p w14:paraId="76BAD5AA" w14:textId="77777777" w:rsidR="00F45B19" w:rsidRPr="00112D41" w:rsidRDefault="00F45B19" w:rsidP="003A5B2C">
            <w:pPr>
              <w:pStyle w:val="NoSpacing"/>
              <w:cnfStyle w:val="100000000000" w:firstRow="1" w:lastRow="0" w:firstColumn="0" w:lastColumn="0" w:oddVBand="0" w:evenVBand="0" w:oddHBand="0" w:evenHBand="0" w:firstRowFirstColumn="0" w:firstRowLastColumn="0" w:lastRowFirstColumn="0" w:lastRowLastColumn="0"/>
              <w:rPr>
                <w:color w:val="000000"/>
              </w:rPr>
            </w:pPr>
            <w:r w:rsidRPr="00112D41">
              <w:rPr>
                <w:color w:val="000000"/>
              </w:rPr>
              <w:t>Profitability Ratios</w:t>
            </w:r>
          </w:p>
        </w:tc>
        <w:tc>
          <w:tcPr>
            <w:tcW w:w="1455" w:type="dxa"/>
            <w:gridSpan w:val="2"/>
            <w:noWrap/>
            <w:hideMark/>
          </w:tcPr>
          <w:p w14:paraId="78A3D6B0" w14:textId="77777777" w:rsidR="00F45B19" w:rsidRPr="00112D41" w:rsidRDefault="00F45B19" w:rsidP="003A5B2C">
            <w:pPr>
              <w:pStyle w:val="NoSpacing"/>
              <w:cnfStyle w:val="100000000000" w:firstRow="1" w:lastRow="0" w:firstColumn="0" w:lastColumn="0" w:oddVBand="0" w:evenVBand="0" w:oddHBand="0" w:evenHBand="0" w:firstRowFirstColumn="0" w:firstRowLastColumn="0" w:lastRowFirstColumn="0" w:lastRowLastColumn="0"/>
              <w:rPr>
                <w:color w:val="000000"/>
              </w:rPr>
            </w:pPr>
            <w:r w:rsidRPr="00112D41">
              <w:rPr>
                <w:color w:val="000000"/>
              </w:rPr>
              <w:t>Liquidity Ratios</w:t>
            </w:r>
          </w:p>
        </w:tc>
        <w:tc>
          <w:tcPr>
            <w:tcW w:w="1847" w:type="dxa"/>
            <w:gridSpan w:val="2"/>
            <w:noWrap/>
            <w:hideMark/>
          </w:tcPr>
          <w:p w14:paraId="40700890" w14:textId="77777777" w:rsidR="00F45B19" w:rsidRPr="00112D41" w:rsidRDefault="00F45B19" w:rsidP="003A5B2C">
            <w:pPr>
              <w:pStyle w:val="NoSpacing"/>
              <w:cnfStyle w:val="100000000000" w:firstRow="1" w:lastRow="0" w:firstColumn="0" w:lastColumn="0" w:oddVBand="0" w:evenVBand="0" w:oddHBand="0" w:evenHBand="0" w:firstRowFirstColumn="0" w:firstRowLastColumn="0" w:lastRowFirstColumn="0" w:lastRowLastColumn="0"/>
              <w:rPr>
                <w:color w:val="000000"/>
              </w:rPr>
            </w:pPr>
            <w:r w:rsidRPr="00112D41">
              <w:rPr>
                <w:color w:val="000000"/>
              </w:rPr>
              <w:t>Efficiency Ratios</w:t>
            </w:r>
          </w:p>
        </w:tc>
        <w:tc>
          <w:tcPr>
            <w:tcW w:w="821" w:type="dxa"/>
            <w:noWrap/>
            <w:hideMark/>
          </w:tcPr>
          <w:p w14:paraId="25054213" w14:textId="77777777" w:rsidR="00F45B19" w:rsidRPr="00112D41" w:rsidRDefault="00F45B19" w:rsidP="003A5B2C">
            <w:pPr>
              <w:pStyle w:val="NoSpacing"/>
              <w:cnfStyle w:val="100000000000" w:firstRow="1" w:lastRow="0" w:firstColumn="0" w:lastColumn="0" w:oddVBand="0" w:evenVBand="0" w:oddHBand="0" w:evenHBand="0" w:firstRowFirstColumn="0" w:firstRowLastColumn="0" w:lastRowFirstColumn="0" w:lastRowLastColumn="0"/>
              <w:rPr>
                <w:color w:val="000000"/>
              </w:rPr>
            </w:pPr>
            <w:r w:rsidRPr="00112D41">
              <w:rPr>
                <w:color w:val="000000"/>
              </w:rPr>
              <w:t>Gearing Ratios</w:t>
            </w:r>
          </w:p>
        </w:tc>
        <w:tc>
          <w:tcPr>
            <w:tcW w:w="1061" w:type="dxa"/>
            <w:noWrap/>
            <w:hideMark/>
          </w:tcPr>
          <w:p w14:paraId="55C48A80" w14:textId="77777777" w:rsidR="00F45B19" w:rsidRPr="00112D41" w:rsidRDefault="00F45B19" w:rsidP="003A5B2C">
            <w:pPr>
              <w:pStyle w:val="NoSpacing"/>
              <w:cnfStyle w:val="100000000000" w:firstRow="1" w:lastRow="0" w:firstColumn="0" w:lastColumn="0" w:oddVBand="0" w:evenVBand="0" w:oddHBand="0" w:evenHBand="0" w:firstRowFirstColumn="0" w:firstRowLastColumn="0" w:lastRowFirstColumn="0" w:lastRowLastColumn="0"/>
              <w:rPr>
                <w:color w:val="000000"/>
              </w:rPr>
            </w:pPr>
            <w:r w:rsidRPr="00112D41">
              <w:rPr>
                <w:color w:val="000000"/>
              </w:rPr>
              <w:t>Investment Ratios</w:t>
            </w:r>
          </w:p>
        </w:tc>
        <w:tc>
          <w:tcPr>
            <w:tcW w:w="751" w:type="dxa"/>
            <w:noWrap/>
            <w:hideMark/>
          </w:tcPr>
          <w:p w14:paraId="700221CB" w14:textId="77777777" w:rsidR="00F45B19" w:rsidRPr="00112D41" w:rsidRDefault="00F45B19" w:rsidP="003A5B2C">
            <w:pPr>
              <w:pStyle w:val="NoSpacing"/>
              <w:cnfStyle w:val="100000000000" w:firstRow="1" w:lastRow="0" w:firstColumn="0" w:lastColumn="0" w:oddVBand="0" w:evenVBand="0" w:oddHBand="0" w:evenHBand="0" w:firstRowFirstColumn="0" w:firstRowLastColumn="0" w:lastRowFirstColumn="0" w:lastRowLastColumn="0"/>
              <w:rPr>
                <w:color w:val="000000"/>
              </w:rPr>
            </w:pPr>
            <w:r w:rsidRPr="00112D41">
              <w:rPr>
                <w:color w:val="000000"/>
              </w:rPr>
              <w:t>Cash Flow Ratios</w:t>
            </w:r>
          </w:p>
        </w:tc>
      </w:tr>
      <w:tr w:rsidR="00F45B19" w:rsidRPr="00112D41" w14:paraId="5B4A1D7A" w14:textId="77777777" w:rsidTr="003A5B2C">
        <w:trPr>
          <w:trHeight w:val="1560"/>
        </w:trPr>
        <w:tc>
          <w:tcPr>
            <w:cnfStyle w:val="001000000000" w:firstRow="0" w:lastRow="0" w:firstColumn="1" w:lastColumn="0" w:oddVBand="0" w:evenVBand="0" w:oddHBand="0" w:evenHBand="0" w:firstRowFirstColumn="0" w:firstRowLastColumn="0" w:lastRowFirstColumn="0" w:lastRowLastColumn="0"/>
            <w:tcW w:w="572" w:type="dxa"/>
            <w:hideMark/>
          </w:tcPr>
          <w:p w14:paraId="0F57DEA6" w14:textId="77777777" w:rsidR="00F45B19" w:rsidRPr="00112D41" w:rsidRDefault="00F45B19" w:rsidP="003A5B2C">
            <w:pPr>
              <w:pStyle w:val="NoSpacing"/>
              <w:rPr>
                <w:color w:val="000000"/>
              </w:rPr>
            </w:pPr>
            <w:r w:rsidRPr="00112D41">
              <w:rPr>
                <w:color w:val="000000"/>
              </w:rPr>
              <w:t>Year</w:t>
            </w:r>
          </w:p>
        </w:tc>
        <w:tc>
          <w:tcPr>
            <w:tcW w:w="759" w:type="dxa"/>
            <w:hideMark/>
          </w:tcPr>
          <w:p w14:paraId="3905502F" w14:textId="77777777" w:rsidR="00F45B19" w:rsidRPr="00112D41" w:rsidRDefault="00F45B19" w:rsidP="003A5B2C">
            <w:pPr>
              <w:pStyle w:val="NoSpacing"/>
              <w:cnfStyle w:val="000000000000" w:firstRow="0" w:lastRow="0" w:firstColumn="0" w:lastColumn="0" w:oddVBand="0" w:evenVBand="0" w:oddHBand="0" w:evenHBand="0" w:firstRowFirstColumn="0" w:firstRowLastColumn="0" w:lastRowFirstColumn="0" w:lastRowLastColumn="0"/>
              <w:rPr>
                <w:color w:val="000000"/>
              </w:rPr>
            </w:pPr>
            <w:r w:rsidRPr="00112D41">
              <w:rPr>
                <w:color w:val="000000"/>
              </w:rPr>
              <w:t>Gross Profit Margin (%)</w:t>
            </w:r>
          </w:p>
        </w:tc>
        <w:tc>
          <w:tcPr>
            <w:tcW w:w="919" w:type="dxa"/>
            <w:hideMark/>
          </w:tcPr>
          <w:p w14:paraId="1BE1F8AA" w14:textId="77777777" w:rsidR="00F45B19" w:rsidRPr="00112D41" w:rsidRDefault="00F45B19" w:rsidP="003A5B2C">
            <w:pPr>
              <w:pStyle w:val="NoSpacing"/>
              <w:cnfStyle w:val="000000000000" w:firstRow="0" w:lastRow="0" w:firstColumn="0" w:lastColumn="0" w:oddVBand="0" w:evenVBand="0" w:oddHBand="0" w:evenHBand="0" w:firstRowFirstColumn="0" w:firstRowLastColumn="0" w:lastRowFirstColumn="0" w:lastRowLastColumn="0"/>
              <w:rPr>
                <w:color w:val="000000"/>
              </w:rPr>
            </w:pPr>
            <w:r w:rsidRPr="00112D41">
              <w:rPr>
                <w:color w:val="000000"/>
              </w:rPr>
              <w:t>ROA (%)</w:t>
            </w:r>
          </w:p>
        </w:tc>
        <w:tc>
          <w:tcPr>
            <w:tcW w:w="794" w:type="dxa"/>
            <w:hideMark/>
          </w:tcPr>
          <w:p w14:paraId="470D4037" w14:textId="77777777" w:rsidR="00F45B19" w:rsidRPr="00112D41" w:rsidRDefault="00F45B19" w:rsidP="003A5B2C">
            <w:pPr>
              <w:pStyle w:val="NoSpacing"/>
              <w:cnfStyle w:val="000000000000" w:firstRow="0" w:lastRow="0" w:firstColumn="0" w:lastColumn="0" w:oddVBand="0" w:evenVBand="0" w:oddHBand="0" w:evenHBand="0" w:firstRowFirstColumn="0" w:firstRowLastColumn="0" w:lastRowFirstColumn="0" w:lastRowLastColumn="0"/>
              <w:rPr>
                <w:color w:val="000000"/>
              </w:rPr>
            </w:pPr>
            <w:r w:rsidRPr="00112D41">
              <w:rPr>
                <w:color w:val="000000"/>
              </w:rPr>
              <w:t>Current Ratio</w:t>
            </w:r>
          </w:p>
        </w:tc>
        <w:tc>
          <w:tcPr>
            <w:tcW w:w="661" w:type="dxa"/>
            <w:hideMark/>
          </w:tcPr>
          <w:p w14:paraId="62654922" w14:textId="77777777" w:rsidR="00F45B19" w:rsidRPr="00112D41" w:rsidRDefault="00F45B19" w:rsidP="003A5B2C">
            <w:pPr>
              <w:pStyle w:val="NoSpacing"/>
              <w:cnfStyle w:val="000000000000" w:firstRow="0" w:lastRow="0" w:firstColumn="0" w:lastColumn="0" w:oddVBand="0" w:evenVBand="0" w:oddHBand="0" w:evenHBand="0" w:firstRowFirstColumn="0" w:firstRowLastColumn="0" w:lastRowFirstColumn="0" w:lastRowLastColumn="0"/>
              <w:rPr>
                <w:color w:val="000000"/>
              </w:rPr>
            </w:pPr>
            <w:r w:rsidRPr="00112D41">
              <w:rPr>
                <w:color w:val="000000"/>
              </w:rPr>
              <w:t>Quick Ratio</w:t>
            </w:r>
          </w:p>
        </w:tc>
        <w:tc>
          <w:tcPr>
            <w:tcW w:w="910" w:type="dxa"/>
            <w:hideMark/>
          </w:tcPr>
          <w:p w14:paraId="62B37E4F" w14:textId="77777777" w:rsidR="00F45B19" w:rsidRPr="00112D41" w:rsidRDefault="00F45B19" w:rsidP="003A5B2C">
            <w:pPr>
              <w:pStyle w:val="NoSpacing"/>
              <w:cnfStyle w:val="000000000000" w:firstRow="0" w:lastRow="0" w:firstColumn="0" w:lastColumn="0" w:oddVBand="0" w:evenVBand="0" w:oddHBand="0" w:evenHBand="0" w:firstRowFirstColumn="0" w:firstRowLastColumn="0" w:lastRowFirstColumn="0" w:lastRowLastColumn="0"/>
              <w:rPr>
                <w:color w:val="000000"/>
              </w:rPr>
            </w:pPr>
            <w:r w:rsidRPr="00112D41">
              <w:rPr>
                <w:color w:val="000000"/>
              </w:rPr>
              <w:t>Asset Turnover</w:t>
            </w:r>
          </w:p>
        </w:tc>
        <w:tc>
          <w:tcPr>
            <w:tcW w:w="937" w:type="dxa"/>
            <w:hideMark/>
          </w:tcPr>
          <w:p w14:paraId="1B017830" w14:textId="77777777" w:rsidR="00F45B19" w:rsidRPr="00112D41" w:rsidRDefault="00F45B19" w:rsidP="003A5B2C">
            <w:pPr>
              <w:pStyle w:val="NoSpacing"/>
              <w:cnfStyle w:val="000000000000" w:firstRow="0" w:lastRow="0" w:firstColumn="0" w:lastColumn="0" w:oddVBand="0" w:evenVBand="0" w:oddHBand="0" w:evenHBand="0" w:firstRowFirstColumn="0" w:firstRowLastColumn="0" w:lastRowFirstColumn="0" w:lastRowLastColumn="0"/>
              <w:rPr>
                <w:color w:val="000000"/>
              </w:rPr>
            </w:pPr>
            <w:r w:rsidRPr="00112D41">
              <w:rPr>
                <w:color w:val="000000"/>
              </w:rPr>
              <w:t>Inventory Turnover</w:t>
            </w:r>
          </w:p>
        </w:tc>
        <w:tc>
          <w:tcPr>
            <w:tcW w:w="821" w:type="dxa"/>
            <w:hideMark/>
          </w:tcPr>
          <w:p w14:paraId="226C9AF6" w14:textId="77777777" w:rsidR="00F45B19" w:rsidRPr="00112D41" w:rsidRDefault="00F45B19" w:rsidP="003A5B2C">
            <w:pPr>
              <w:pStyle w:val="NoSpacing"/>
              <w:cnfStyle w:val="000000000000" w:firstRow="0" w:lastRow="0" w:firstColumn="0" w:lastColumn="0" w:oddVBand="0" w:evenVBand="0" w:oddHBand="0" w:evenHBand="0" w:firstRowFirstColumn="0" w:firstRowLastColumn="0" w:lastRowFirstColumn="0" w:lastRowLastColumn="0"/>
              <w:rPr>
                <w:color w:val="000000"/>
              </w:rPr>
            </w:pPr>
            <w:r w:rsidRPr="00112D41">
              <w:rPr>
                <w:color w:val="000000"/>
              </w:rPr>
              <w:t>Debt to Equity Ratio</w:t>
            </w:r>
          </w:p>
        </w:tc>
        <w:tc>
          <w:tcPr>
            <w:tcW w:w="1061" w:type="dxa"/>
            <w:hideMark/>
          </w:tcPr>
          <w:p w14:paraId="3B819AD2" w14:textId="77777777" w:rsidR="00F45B19" w:rsidRPr="00112D41" w:rsidRDefault="00F45B19" w:rsidP="003A5B2C">
            <w:pPr>
              <w:pStyle w:val="NoSpacing"/>
              <w:cnfStyle w:val="000000000000" w:firstRow="0" w:lastRow="0" w:firstColumn="0" w:lastColumn="0" w:oddVBand="0" w:evenVBand="0" w:oddHBand="0" w:evenHBand="0" w:firstRowFirstColumn="0" w:firstRowLastColumn="0" w:lastRowFirstColumn="0" w:lastRowLastColumn="0"/>
              <w:rPr>
                <w:color w:val="000000"/>
              </w:rPr>
            </w:pPr>
            <w:r w:rsidRPr="00112D41">
              <w:rPr>
                <w:color w:val="000000"/>
              </w:rPr>
              <w:t>EPS (£)</w:t>
            </w:r>
          </w:p>
        </w:tc>
        <w:tc>
          <w:tcPr>
            <w:tcW w:w="751" w:type="dxa"/>
            <w:hideMark/>
          </w:tcPr>
          <w:p w14:paraId="761D40C1" w14:textId="77777777" w:rsidR="00F45B19" w:rsidRPr="00112D41" w:rsidRDefault="00F45B19" w:rsidP="003A5B2C">
            <w:pPr>
              <w:pStyle w:val="NoSpacing"/>
              <w:cnfStyle w:val="000000000000" w:firstRow="0" w:lastRow="0" w:firstColumn="0" w:lastColumn="0" w:oddVBand="0" w:evenVBand="0" w:oddHBand="0" w:evenHBand="0" w:firstRowFirstColumn="0" w:firstRowLastColumn="0" w:lastRowFirstColumn="0" w:lastRowLastColumn="0"/>
              <w:rPr>
                <w:color w:val="000000"/>
              </w:rPr>
            </w:pPr>
            <w:r w:rsidRPr="00112D41">
              <w:rPr>
                <w:color w:val="000000"/>
              </w:rPr>
              <w:t>Operating Cash Flow to Debt</w:t>
            </w:r>
          </w:p>
        </w:tc>
      </w:tr>
      <w:tr w:rsidR="00F45B19" w:rsidRPr="00112D41" w14:paraId="38501EAE" w14:textId="77777777" w:rsidTr="003A5B2C">
        <w:trPr>
          <w:trHeight w:val="320"/>
        </w:trPr>
        <w:tc>
          <w:tcPr>
            <w:cnfStyle w:val="001000000000" w:firstRow="0" w:lastRow="0" w:firstColumn="1" w:lastColumn="0" w:oddVBand="0" w:evenVBand="0" w:oddHBand="0" w:evenHBand="0" w:firstRowFirstColumn="0" w:firstRowLastColumn="0" w:lastRowFirstColumn="0" w:lastRowLastColumn="0"/>
            <w:tcW w:w="572" w:type="dxa"/>
            <w:hideMark/>
          </w:tcPr>
          <w:p w14:paraId="4559CAC7" w14:textId="77777777" w:rsidR="00F45B19" w:rsidRPr="00112D41" w:rsidRDefault="00F45B19" w:rsidP="003A5B2C">
            <w:pPr>
              <w:pStyle w:val="NoSpacing"/>
              <w:rPr>
                <w:color w:val="000000"/>
              </w:rPr>
            </w:pPr>
            <w:r w:rsidRPr="00112D41">
              <w:rPr>
                <w:color w:val="000000"/>
              </w:rPr>
              <w:t>2024</w:t>
            </w:r>
          </w:p>
        </w:tc>
        <w:tc>
          <w:tcPr>
            <w:tcW w:w="759" w:type="dxa"/>
            <w:hideMark/>
          </w:tcPr>
          <w:p w14:paraId="20C51EFE" w14:textId="77777777" w:rsidR="00F45B19" w:rsidRPr="00112D41" w:rsidRDefault="00F45B19" w:rsidP="003A5B2C">
            <w:pPr>
              <w:pStyle w:val="NoSpacing"/>
              <w:cnfStyle w:val="000000000000" w:firstRow="0" w:lastRow="0" w:firstColumn="0" w:lastColumn="0" w:oddVBand="0" w:evenVBand="0" w:oddHBand="0" w:evenHBand="0" w:firstRowFirstColumn="0" w:firstRowLastColumn="0" w:lastRowFirstColumn="0" w:lastRowLastColumn="0"/>
              <w:rPr>
                <w:color w:val="000000"/>
              </w:rPr>
            </w:pPr>
            <w:r w:rsidRPr="00112D41">
              <w:rPr>
                <w:color w:val="000000"/>
              </w:rPr>
              <w:t>28.90%</w:t>
            </w:r>
          </w:p>
        </w:tc>
        <w:tc>
          <w:tcPr>
            <w:tcW w:w="919" w:type="dxa"/>
            <w:hideMark/>
          </w:tcPr>
          <w:p w14:paraId="4542C2ED" w14:textId="77777777" w:rsidR="00F45B19" w:rsidRPr="00112D41" w:rsidRDefault="00F45B19" w:rsidP="003A5B2C">
            <w:pPr>
              <w:pStyle w:val="NoSpacing"/>
              <w:cnfStyle w:val="000000000000" w:firstRow="0" w:lastRow="0" w:firstColumn="0" w:lastColumn="0" w:oddVBand="0" w:evenVBand="0" w:oddHBand="0" w:evenHBand="0" w:firstRowFirstColumn="0" w:firstRowLastColumn="0" w:lastRowFirstColumn="0" w:lastRowLastColumn="0"/>
              <w:rPr>
                <w:color w:val="000000"/>
              </w:rPr>
            </w:pPr>
            <w:r w:rsidRPr="00112D41">
              <w:rPr>
                <w:color w:val="000000"/>
              </w:rPr>
              <w:t>-7.40%</w:t>
            </w:r>
          </w:p>
        </w:tc>
        <w:tc>
          <w:tcPr>
            <w:tcW w:w="794" w:type="dxa"/>
            <w:hideMark/>
          </w:tcPr>
          <w:p w14:paraId="2D3CD0F8" w14:textId="77777777" w:rsidR="00F45B19" w:rsidRPr="00112D41" w:rsidRDefault="00F45B19" w:rsidP="003A5B2C">
            <w:pPr>
              <w:pStyle w:val="NoSpacing"/>
              <w:cnfStyle w:val="000000000000" w:firstRow="0" w:lastRow="0" w:firstColumn="0" w:lastColumn="0" w:oddVBand="0" w:evenVBand="0" w:oddHBand="0" w:evenHBand="0" w:firstRowFirstColumn="0" w:firstRowLastColumn="0" w:lastRowFirstColumn="0" w:lastRowLastColumn="0"/>
              <w:rPr>
                <w:color w:val="000000"/>
              </w:rPr>
            </w:pPr>
            <w:r w:rsidRPr="00112D41">
              <w:rPr>
                <w:color w:val="000000"/>
              </w:rPr>
              <w:t>1.53</w:t>
            </w:r>
          </w:p>
        </w:tc>
        <w:tc>
          <w:tcPr>
            <w:tcW w:w="661" w:type="dxa"/>
            <w:hideMark/>
          </w:tcPr>
          <w:p w14:paraId="11298FE4" w14:textId="77777777" w:rsidR="00F45B19" w:rsidRPr="00112D41" w:rsidRDefault="00F45B19" w:rsidP="003A5B2C">
            <w:pPr>
              <w:pStyle w:val="NoSpacing"/>
              <w:cnfStyle w:val="000000000000" w:firstRow="0" w:lastRow="0" w:firstColumn="0" w:lastColumn="0" w:oddVBand="0" w:evenVBand="0" w:oddHBand="0" w:evenHBand="0" w:firstRowFirstColumn="0" w:firstRowLastColumn="0" w:lastRowFirstColumn="0" w:lastRowLastColumn="0"/>
              <w:rPr>
                <w:color w:val="000000"/>
              </w:rPr>
            </w:pPr>
            <w:r w:rsidRPr="00112D41">
              <w:rPr>
                <w:color w:val="000000"/>
              </w:rPr>
              <w:t>1.03</w:t>
            </w:r>
          </w:p>
        </w:tc>
        <w:tc>
          <w:tcPr>
            <w:tcW w:w="910" w:type="dxa"/>
            <w:hideMark/>
          </w:tcPr>
          <w:p w14:paraId="0281D07C" w14:textId="77777777" w:rsidR="00F45B19" w:rsidRPr="00112D41" w:rsidRDefault="00F45B19" w:rsidP="003A5B2C">
            <w:pPr>
              <w:pStyle w:val="NoSpacing"/>
              <w:cnfStyle w:val="000000000000" w:firstRow="0" w:lastRow="0" w:firstColumn="0" w:lastColumn="0" w:oddVBand="0" w:evenVBand="0" w:oddHBand="0" w:evenHBand="0" w:firstRowFirstColumn="0" w:firstRowLastColumn="0" w:lastRowFirstColumn="0" w:lastRowLastColumn="0"/>
              <w:rPr>
                <w:color w:val="000000"/>
              </w:rPr>
            </w:pPr>
            <w:r w:rsidRPr="00112D41">
              <w:rPr>
                <w:color w:val="000000"/>
              </w:rPr>
              <w:t>1.22</w:t>
            </w:r>
          </w:p>
        </w:tc>
        <w:tc>
          <w:tcPr>
            <w:tcW w:w="937" w:type="dxa"/>
            <w:hideMark/>
          </w:tcPr>
          <w:p w14:paraId="4927D06E" w14:textId="77777777" w:rsidR="00F45B19" w:rsidRPr="00112D41" w:rsidRDefault="00F45B19" w:rsidP="003A5B2C">
            <w:pPr>
              <w:pStyle w:val="NoSpacing"/>
              <w:cnfStyle w:val="000000000000" w:firstRow="0" w:lastRow="0" w:firstColumn="0" w:lastColumn="0" w:oddVBand="0" w:evenVBand="0" w:oddHBand="0" w:evenHBand="0" w:firstRowFirstColumn="0" w:firstRowLastColumn="0" w:lastRowFirstColumn="0" w:lastRowLastColumn="0"/>
              <w:rPr>
                <w:color w:val="000000"/>
              </w:rPr>
            </w:pPr>
            <w:r w:rsidRPr="00112D41">
              <w:rPr>
                <w:color w:val="000000"/>
              </w:rPr>
              <w:t>3.54</w:t>
            </w:r>
          </w:p>
        </w:tc>
        <w:tc>
          <w:tcPr>
            <w:tcW w:w="821" w:type="dxa"/>
            <w:hideMark/>
          </w:tcPr>
          <w:p w14:paraId="1773EC53" w14:textId="77777777" w:rsidR="00F45B19" w:rsidRPr="00112D41" w:rsidRDefault="00F45B19" w:rsidP="003A5B2C">
            <w:pPr>
              <w:pStyle w:val="NoSpacing"/>
              <w:cnfStyle w:val="000000000000" w:firstRow="0" w:lastRow="0" w:firstColumn="0" w:lastColumn="0" w:oddVBand="0" w:evenVBand="0" w:oddHBand="0" w:evenHBand="0" w:firstRowFirstColumn="0" w:firstRowLastColumn="0" w:lastRowFirstColumn="0" w:lastRowLastColumn="0"/>
              <w:rPr>
                <w:color w:val="000000"/>
              </w:rPr>
            </w:pPr>
            <w:r w:rsidRPr="00112D41">
              <w:rPr>
                <w:color w:val="000000"/>
              </w:rPr>
              <w:t>1.11</w:t>
            </w:r>
          </w:p>
        </w:tc>
        <w:tc>
          <w:tcPr>
            <w:tcW w:w="1061" w:type="dxa"/>
            <w:hideMark/>
          </w:tcPr>
          <w:p w14:paraId="553DE6E5" w14:textId="77777777" w:rsidR="00F45B19" w:rsidRPr="00112D41" w:rsidRDefault="00F45B19" w:rsidP="003A5B2C">
            <w:pPr>
              <w:pStyle w:val="NoSpacing"/>
              <w:cnfStyle w:val="000000000000" w:firstRow="0" w:lastRow="0" w:firstColumn="0" w:lastColumn="0" w:oddVBand="0" w:evenVBand="0" w:oddHBand="0" w:evenHBand="0" w:firstRowFirstColumn="0" w:firstRowLastColumn="0" w:lastRowFirstColumn="0" w:lastRowLastColumn="0"/>
              <w:rPr>
                <w:color w:val="000000"/>
              </w:rPr>
            </w:pPr>
            <w:r w:rsidRPr="00112D41">
              <w:rPr>
                <w:color w:val="000000"/>
              </w:rPr>
              <w:t>-1.85</w:t>
            </w:r>
          </w:p>
        </w:tc>
        <w:tc>
          <w:tcPr>
            <w:tcW w:w="751" w:type="dxa"/>
            <w:hideMark/>
          </w:tcPr>
          <w:p w14:paraId="42CFC89E" w14:textId="77777777" w:rsidR="00F45B19" w:rsidRPr="00112D41" w:rsidRDefault="00F45B19" w:rsidP="003A5B2C">
            <w:pPr>
              <w:pStyle w:val="NoSpacing"/>
              <w:cnfStyle w:val="000000000000" w:firstRow="0" w:lastRow="0" w:firstColumn="0" w:lastColumn="0" w:oddVBand="0" w:evenVBand="0" w:oddHBand="0" w:evenHBand="0" w:firstRowFirstColumn="0" w:firstRowLastColumn="0" w:lastRowFirstColumn="0" w:lastRowLastColumn="0"/>
              <w:rPr>
                <w:color w:val="000000"/>
              </w:rPr>
            </w:pPr>
            <w:r w:rsidRPr="00112D41">
              <w:rPr>
                <w:color w:val="000000"/>
              </w:rPr>
              <w:t>0.087</w:t>
            </w:r>
          </w:p>
        </w:tc>
      </w:tr>
      <w:tr w:rsidR="00F45B19" w:rsidRPr="00112D41" w14:paraId="60736F57" w14:textId="77777777" w:rsidTr="003A5B2C">
        <w:trPr>
          <w:trHeight w:val="320"/>
        </w:trPr>
        <w:tc>
          <w:tcPr>
            <w:cnfStyle w:val="001000000000" w:firstRow="0" w:lastRow="0" w:firstColumn="1" w:lastColumn="0" w:oddVBand="0" w:evenVBand="0" w:oddHBand="0" w:evenHBand="0" w:firstRowFirstColumn="0" w:firstRowLastColumn="0" w:lastRowFirstColumn="0" w:lastRowLastColumn="0"/>
            <w:tcW w:w="572" w:type="dxa"/>
            <w:hideMark/>
          </w:tcPr>
          <w:p w14:paraId="74B5C569" w14:textId="77777777" w:rsidR="00F45B19" w:rsidRPr="00112D41" w:rsidRDefault="00F45B19" w:rsidP="003A5B2C">
            <w:pPr>
              <w:pStyle w:val="NoSpacing"/>
              <w:rPr>
                <w:color w:val="000000"/>
              </w:rPr>
            </w:pPr>
            <w:r w:rsidRPr="00112D41">
              <w:rPr>
                <w:color w:val="000000"/>
              </w:rPr>
              <w:t>2023</w:t>
            </w:r>
          </w:p>
        </w:tc>
        <w:tc>
          <w:tcPr>
            <w:tcW w:w="759" w:type="dxa"/>
            <w:hideMark/>
          </w:tcPr>
          <w:p w14:paraId="7C6342EE" w14:textId="77777777" w:rsidR="00F45B19" w:rsidRPr="00112D41" w:rsidRDefault="00F45B19" w:rsidP="003A5B2C">
            <w:pPr>
              <w:pStyle w:val="NoSpacing"/>
              <w:cnfStyle w:val="000000000000" w:firstRow="0" w:lastRow="0" w:firstColumn="0" w:lastColumn="0" w:oddVBand="0" w:evenVBand="0" w:oddHBand="0" w:evenHBand="0" w:firstRowFirstColumn="0" w:firstRowLastColumn="0" w:lastRowFirstColumn="0" w:lastRowLastColumn="0"/>
              <w:rPr>
                <w:color w:val="000000"/>
              </w:rPr>
            </w:pPr>
            <w:r w:rsidRPr="00112D41">
              <w:rPr>
                <w:color w:val="000000"/>
              </w:rPr>
              <w:t>23.20%</w:t>
            </w:r>
          </w:p>
        </w:tc>
        <w:tc>
          <w:tcPr>
            <w:tcW w:w="919" w:type="dxa"/>
            <w:hideMark/>
          </w:tcPr>
          <w:p w14:paraId="070B92FC" w14:textId="77777777" w:rsidR="00F45B19" w:rsidRPr="00112D41" w:rsidRDefault="00F45B19" w:rsidP="003A5B2C">
            <w:pPr>
              <w:pStyle w:val="NoSpacing"/>
              <w:cnfStyle w:val="000000000000" w:firstRow="0" w:lastRow="0" w:firstColumn="0" w:lastColumn="0" w:oddVBand="0" w:evenVBand="0" w:oddHBand="0" w:evenHBand="0" w:firstRowFirstColumn="0" w:firstRowLastColumn="0" w:lastRowFirstColumn="0" w:lastRowLastColumn="0"/>
              <w:rPr>
                <w:color w:val="000000"/>
              </w:rPr>
            </w:pPr>
            <w:r w:rsidRPr="00112D41">
              <w:rPr>
                <w:color w:val="000000"/>
              </w:rPr>
              <w:t>-27.60%</w:t>
            </w:r>
          </w:p>
        </w:tc>
        <w:tc>
          <w:tcPr>
            <w:tcW w:w="794" w:type="dxa"/>
            <w:hideMark/>
          </w:tcPr>
          <w:p w14:paraId="62127E06" w14:textId="77777777" w:rsidR="00F45B19" w:rsidRPr="00112D41" w:rsidRDefault="00F45B19" w:rsidP="003A5B2C">
            <w:pPr>
              <w:pStyle w:val="NoSpacing"/>
              <w:cnfStyle w:val="000000000000" w:firstRow="0" w:lastRow="0" w:firstColumn="0" w:lastColumn="0" w:oddVBand="0" w:evenVBand="0" w:oddHBand="0" w:evenHBand="0" w:firstRowFirstColumn="0" w:firstRowLastColumn="0" w:lastRowFirstColumn="0" w:lastRowLastColumn="0"/>
              <w:rPr>
                <w:color w:val="000000"/>
              </w:rPr>
            </w:pPr>
            <w:r w:rsidRPr="00112D41">
              <w:rPr>
                <w:color w:val="000000"/>
              </w:rPr>
              <w:t>1.6</w:t>
            </w:r>
          </w:p>
        </w:tc>
        <w:tc>
          <w:tcPr>
            <w:tcW w:w="661" w:type="dxa"/>
            <w:hideMark/>
          </w:tcPr>
          <w:p w14:paraId="7A799A05" w14:textId="77777777" w:rsidR="00F45B19" w:rsidRPr="00112D41" w:rsidRDefault="00F45B19" w:rsidP="003A5B2C">
            <w:pPr>
              <w:pStyle w:val="NoSpacing"/>
              <w:cnfStyle w:val="000000000000" w:firstRow="0" w:lastRow="0" w:firstColumn="0" w:lastColumn="0" w:oddVBand="0" w:evenVBand="0" w:oddHBand="0" w:evenHBand="0" w:firstRowFirstColumn="0" w:firstRowLastColumn="0" w:lastRowFirstColumn="0" w:lastRowLastColumn="0"/>
              <w:rPr>
                <w:color w:val="000000"/>
              </w:rPr>
            </w:pPr>
            <w:r w:rsidRPr="00112D41">
              <w:rPr>
                <w:color w:val="000000"/>
              </w:rPr>
              <w:t>1.06</w:t>
            </w:r>
          </w:p>
        </w:tc>
        <w:tc>
          <w:tcPr>
            <w:tcW w:w="910" w:type="dxa"/>
            <w:hideMark/>
          </w:tcPr>
          <w:p w14:paraId="2616BCF6" w14:textId="77777777" w:rsidR="00F45B19" w:rsidRPr="00112D41" w:rsidRDefault="00F45B19" w:rsidP="003A5B2C">
            <w:pPr>
              <w:pStyle w:val="NoSpacing"/>
              <w:cnfStyle w:val="000000000000" w:firstRow="0" w:lastRow="0" w:firstColumn="0" w:lastColumn="0" w:oddVBand="0" w:evenVBand="0" w:oddHBand="0" w:evenHBand="0" w:firstRowFirstColumn="0" w:firstRowLastColumn="0" w:lastRowFirstColumn="0" w:lastRowLastColumn="0"/>
              <w:rPr>
                <w:color w:val="000000"/>
              </w:rPr>
            </w:pPr>
            <w:r w:rsidRPr="00112D41">
              <w:rPr>
                <w:color w:val="000000"/>
              </w:rPr>
              <w:t>1.18</w:t>
            </w:r>
          </w:p>
        </w:tc>
        <w:tc>
          <w:tcPr>
            <w:tcW w:w="937" w:type="dxa"/>
            <w:hideMark/>
          </w:tcPr>
          <w:p w14:paraId="515BE8AE" w14:textId="77777777" w:rsidR="00F45B19" w:rsidRPr="00112D41" w:rsidRDefault="00F45B19" w:rsidP="003A5B2C">
            <w:pPr>
              <w:pStyle w:val="NoSpacing"/>
              <w:cnfStyle w:val="000000000000" w:firstRow="0" w:lastRow="0" w:firstColumn="0" w:lastColumn="0" w:oddVBand="0" w:evenVBand="0" w:oddHBand="0" w:evenHBand="0" w:firstRowFirstColumn="0" w:firstRowLastColumn="0" w:lastRowFirstColumn="0" w:lastRowLastColumn="0"/>
              <w:rPr>
                <w:color w:val="000000"/>
              </w:rPr>
            </w:pPr>
            <w:r w:rsidRPr="00112D41">
              <w:rPr>
                <w:color w:val="000000"/>
              </w:rPr>
              <w:t>3.65</w:t>
            </w:r>
          </w:p>
        </w:tc>
        <w:tc>
          <w:tcPr>
            <w:tcW w:w="821" w:type="dxa"/>
            <w:hideMark/>
          </w:tcPr>
          <w:p w14:paraId="4DFA47B5" w14:textId="77777777" w:rsidR="00F45B19" w:rsidRPr="00112D41" w:rsidRDefault="00F45B19" w:rsidP="003A5B2C">
            <w:pPr>
              <w:pStyle w:val="NoSpacing"/>
              <w:cnfStyle w:val="000000000000" w:firstRow="0" w:lastRow="0" w:firstColumn="0" w:lastColumn="0" w:oddVBand="0" w:evenVBand="0" w:oddHBand="0" w:evenHBand="0" w:firstRowFirstColumn="0" w:firstRowLastColumn="0" w:lastRowFirstColumn="0" w:lastRowLastColumn="0"/>
              <w:rPr>
                <w:color w:val="000000"/>
              </w:rPr>
            </w:pPr>
            <w:r w:rsidRPr="00112D41">
              <w:rPr>
                <w:color w:val="000000"/>
              </w:rPr>
              <w:t>0.99</w:t>
            </w:r>
          </w:p>
        </w:tc>
        <w:tc>
          <w:tcPr>
            <w:tcW w:w="1061" w:type="dxa"/>
            <w:hideMark/>
          </w:tcPr>
          <w:p w14:paraId="159DC532" w14:textId="77777777" w:rsidR="00F45B19" w:rsidRPr="00112D41" w:rsidRDefault="00F45B19" w:rsidP="003A5B2C">
            <w:pPr>
              <w:pStyle w:val="NoSpacing"/>
              <w:cnfStyle w:val="000000000000" w:firstRow="0" w:lastRow="0" w:firstColumn="0" w:lastColumn="0" w:oddVBand="0" w:evenVBand="0" w:oddHBand="0" w:evenHBand="0" w:firstRowFirstColumn="0" w:firstRowLastColumn="0" w:lastRowFirstColumn="0" w:lastRowLastColumn="0"/>
              <w:rPr>
                <w:color w:val="000000"/>
              </w:rPr>
            </w:pPr>
            <w:r w:rsidRPr="00112D41">
              <w:rPr>
                <w:color w:val="000000"/>
              </w:rPr>
              <w:t>-7.64</w:t>
            </w:r>
          </w:p>
        </w:tc>
        <w:tc>
          <w:tcPr>
            <w:tcW w:w="751" w:type="dxa"/>
            <w:hideMark/>
          </w:tcPr>
          <w:p w14:paraId="60A2CBDB" w14:textId="77777777" w:rsidR="00F45B19" w:rsidRPr="00112D41" w:rsidRDefault="00F45B19" w:rsidP="003A5B2C">
            <w:pPr>
              <w:pStyle w:val="NoSpacing"/>
              <w:cnfStyle w:val="000000000000" w:firstRow="0" w:lastRow="0" w:firstColumn="0" w:lastColumn="0" w:oddVBand="0" w:evenVBand="0" w:oddHBand="0" w:evenHBand="0" w:firstRowFirstColumn="0" w:firstRowLastColumn="0" w:lastRowFirstColumn="0" w:lastRowLastColumn="0"/>
              <w:rPr>
                <w:color w:val="000000"/>
              </w:rPr>
            </w:pPr>
            <w:r w:rsidRPr="00112D41">
              <w:rPr>
                <w:color w:val="000000"/>
              </w:rPr>
              <w:t>0.142</w:t>
            </w:r>
          </w:p>
        </w:tc>
      </w:tr>
      <w:tr w:rsidR="00F45B19" w:rsidRPr="00112D41" w14:paraId="5A73DD08" w14:textId="77777777" w:rsidTr="003A5B2C">
        <w:trPr>
          <w:trHeight w:val="320"/>
        </w:trPr>
        <w:tc>
          <w:tcPr>
            <w:cnfStyle w:val="001000000000" w:firstRow="0" w:lastRow="0" w:firstColumn="1" w:lastColumn="0" w:oddVBand="0" w:evenVBand="0" w:oddHBand="0" w:evenHBand="0" w:firstRowFirstColumn="0" w:firstRowLastColumn="0" w:lastRowFirstColumn="0" w:lastRowLastColumn="0"/>
            <w:tcW w:w="572" w:type="dxa"/>
            <w:hideMark/>
          </w:tcPr>
          <w:p w14:paraId="47835431" w14:textId="77777777" w:rsidR="00F45B19" w:rsidRPr="00112D41" w:rsidRDefault="00F45B19" w:rsidP="003A5B2C">
            <w:pPr>
              <w:pStyle w:val="NoSpacing"/>
              <w:rPr>
                <w:color w:val="000000"/>
              </w:rPr>
            </w:pPr>
            <w:r w:rsidRPr="00112D41">
              <w:rPr>
                <w:color w:val="000000"/>
              </w:rPr>
              <w:t>2022</w:t>
            </w:r>
          </w:p>
        </w:tc>
        <w:tc>
          <w:tcPr>
            <w:tcW w:w="759" w:type="dxa"/>
            <w:hideMark/>
          </w:tcPr>
          <w:p w14:paraId="1441B1BF" w14:textId="77777777" w:rsidR="00F45B19" w:rsidRPr="00112D41" w:rsidRDefault="00F45B19" w:rsidP="003A5B2C">
            <w:pPr>
              <w:pStyle w:val="NoSpacing"/>
              <w:cnfStyle w:val="000000000000" w:firstRow="0" w:lastRow="0" w:firstColumn="0" w:lastColumn="0" w:oddVBand="0" w:evenVBand="0" w:oddHBand="0" w:evenHBand="0" w:firstRowFirstColumn="0" w:firstRowLastColumn="0" w:lastRowFirstColumn="0" w:lastRowLastColumn="0"/>
              <w:rPr>
                <w:color w:val="000000"/>
              </w:rPr>
            </w:pPr>
            <w:r w:rsidRPr="00112D41">
              <w:rPr>
                <w:color w:val="000000"/>
              </w:rPr>
              <w:t>28.10%</w:t>
            </w:r>
          </w:p>
        </w:tc>
        <w:tc>
          <w:tcPr>
            <w:tcW w:w="919" w:type="dxa"/>
            <w:hideMark/>
          </w:tcPr>
          <w:p w14:paraId="374CACFA" w14:textId="77777777" w:rsidR="00F45B19" w:rsidRPr="00112D41" w:rsidRDefault="00F45B19" w:rsidP="003A5B2C">
            <w:pPr>
              <w:pStyle w:val="NoSpacing"/>
              <w:cnfStyle w:val="000000000000" w:firstRow="0" w:lastRow="0" w:firstColumn="0" w:lastColumn="0" w:oddVBand="0" w:evenVBand="0" w:oddHBand="0" w:evenHBand="0" w:firstRowFirstColumn="0" w:firstRowLastColumn="0" w:lastRowFirstColumn="0" w:lastRowLastColumn="0"/>
              <w:rPr>
                <w:color w:val="000000"/>
              </w:rPr>
            </w:pPr>
            <w:r w:rsidRPr="00112D41">
              <w:rPr>
                <w:color w:val="000000"/>
              </w:rPr>
              <w:t>0.08%</w:t>
            </w:r>
          </w:p>
        </w:tc>
        <w:tc>
          <w:tcPr>
            <w:tcW w:w="794" w:type="dxa"/>
            <w:hideMark/>
          </w:tcPr>
          <w:p w14:paraId="1394BC54" w14:textId="77777777" w:rsidR="00F45B19" w:rsidRPr="00112D41" w:rsidRDefault="00F45B19" w:rsidP="003A5B2C">
            <w:pPr>
              <w:pStyle w:val="NoSpacing"/>
              <w:cnfStyle w:val="000000000000" w:firstRow="0" w:lastRow="0" w:firstColumn="0" w:lastColumn="0" w:oddVBand="0" w:evenVBand="0" w:oddHBand="0" w:evenHBand="0" w:firstRowFirstColumn="0" w:firstRowLastColumn="0" w:lastRowFirstColumn="0" w:lastRowLastColumn="0"/>
              <w:rPr>
                <w:color w:val="000000"/>
              </w:rPr>
            </w:pPr>
            <w:r w:rsidRPr="00112D41">
              <w:rPr>
                <w:color w:val="000000"/>
              </w:rPr>
              <w:t>1.56</w:t>
            </w:r>
          </w:p>
        </w:tc>
        <w:tc>
          <w:tcPr>
            <w:tcW w:w="661" w:type="dxa"/>
            <w:hideMark/>
          </w:tcPr>
          <w:p w14:paraId="4C099D42" w14:textId="77777777" w:rsidR="00F45B19" w:rsidRPr="00112D41" w:rsidRDefault="00F45B19" w:rsidP="003A5B2C">
            <w:pPr>
              <w:pStyle w:val="NoSpacing"/>
              <w:cnfStyle w:val="000000000000" w:firstRow="0" w:lastRow="0" w:firstColumn="0" w:lastColumn="0" w:oddVBand="0" w:evenVBand="0" w:oddHBand="0" w:evenHBand="0" w:firstRowFirstColumn="0" w:firstRowLastColumn="0" w:lastRowFirstColumn="0" w:lastRowLastColumn="0"/>
              <w:rPr>
                <w:color w:val="000000"/>
              </w:rPr>
            </w:pPr>
            <w:r w:rsidRPr="00112D41">
              <w:rPr>
                <w:color w:val="000000"/>
              </w:rPr>
              <w:t>0.92</w:t>
            </w:r>
          </w:p>
        </w:tc>
        <w:tc>
          <w:tcPr>
            <w:tcW w:w="910" w:type="dxa"/>
            <w:hideMark/>
          </w:tcPr>
          <w:p w14:paraId="27E2D667" w14:textId="77777777" w:rsidR="00F45B19" w:rsidRPr="00112D41" w:rsidRDefault="00F45B19" w:rsidP="003A5B2C">
            <w:pPr>
              <w:pStyle w:val="NoSpacing"/>
              <w:cnfStyle w:val="000000000000" w:firstRow="0" w:lastRow="0" w:firstColumn="0" w:lastColumn="0" w:oddVBand="0" w:evenVBand="0" w:oddHBand="0" w:evenHBand="0" w:firstRowFirstColumn="0" w:firstRowLastColumn="0" w:lastRowFirstColumn="0" w:lastRowLastColumn="0"/>
              <w:rPr>
                <w:color w:val="000000"/>
              </w:rPr>
            </w:pPr>
            <w:r w:rsidRPr="00112D41">
              <w:rPr>
                <w:color w:val="000000"/>
              </w:rPr>
              <w:t>1.08</w:t>
            </w:r>
          </w:p>
        </w:tc>
        <w:tc>
          <w:tcPr>
            <w:tcW w:w="937" w:type="dxa"/>
            <w:hideMark/>
          </w:tcPr>
          <w:p w14:paraId="4447F6B3" w14:textId="77777777" w:rsidR="00F45B19" w:rsidRPr="00112D41" w:rsidRDefault="00F45B19" w:rsidP="003A5B2C">
            <w:pPr>
              <w:pStyle w:val="NoSpacing"/>
              <w:cnfStyle w:val="000000000000" w:firstRow="0" w:lastRow="0" w:firstColumn="0" w:lastColumn="0" w:oddVBand="0" w:evenVBand="0" w:oddHBand="0" w:evenHBand="0" w:firstRowFirstColumn="0" w:firstRowLastColumn="0" w:lastRowFirstColumn="0" w:lastRowLastColumn="0"/>
              <w:rPr>
                <w:color w:val="000000"/>
              </w:rPr>
            </w:pPr>
            <w:r w:rsidRPr="00112D41">
              <w:rPr>
                <w:color w:val="000000"/>
              </w:rPr>
              <w:t>2.78</w:t>
            </w:r>
          </w:p>
        </w:tc>
        <w:tc>
          <w:tcPr>
            <w:tcW w:w="821" w:type="dxa"/>
            <w:hideMark/>
          </w:tcPr>
          <w:p w14:paraId="17CFFD3B" w14:textId="77777777" w:rsidR="00F45B19" w:rsidRPr="00112D41" w:rsidRDefault="00F45B19" w:rsidP="003A5B2C">
            <w:pPr>
              <w:pStyle w:val="NoSpacing"/>
              <w:cnfStyle w:val="000000000000" w:firstRow="0" w:lastRow="0" w:firstColumn="0" w:lastColumn="0" w:oddVBand="0" w:evenVBand="0" w:oddHBand="0" w:evenHBand="0" w:firstRowFirstColumn="0" w:firstRowLastColumn="0" w:lastRowFirstColumn="0" w:lastRowLastColumn="0"/>
              <w:rPr>
                <w:color w:val="000000"/>
              </w:rPr>
            </w:pPr>
            <w:r w:rsidRPr="00112D41">
              <w:rPr>
                <w:color w:val="000000"/>
              </w:rPr>
              <w:t>0.88</w:t>
            </w:r>
          </w:p>
        </w:tc>
        <w:tc>
          <w:tcPr>
            <w:tcW w:w="1061" w:type="dxa"/>
            <w:hideMark/>
          </w:tcPr>
          <w:p w14:paraId="21328FDC" w14:textId="77777777" w:rsidR="00F45B19" w:rsidRPr="00112D41" w:rsidRDefault="00F45B19" w:rsidP="003A5B2C">
            <w:pPr>
              <w:pStyle w:val="NoSpacing"/>
              <w:cnfStyle w:val="000000000000" w:firstRow="0" w:lastRow="0" w:firstColumn="0" w:lastColumn="0" w:oddVBand="0" w:evenVBand="0" w:oddHBand="0" w:evenHBand="0" w:firstRowFirstColumn="0" w:firstRowLastColumn="0" w:lastRowFirstColumn="0" w:lastRowLastColumn="0"/>
              <w:rPr>
                <w:color w:val="000000"/>
              </w:rPr>
            </w:pPr>
            <w:r w:rsidRPr="00112D41">
              <w:rPr>
                <w:color w:val="000000"/>
              </w:rPr>
              <w:t>0.03</w:t>
            </w:r>
          </w:p>
        </w:tc>
        <w:tc>
          <w:tcPr>
            <w:tcW w:w="751" w:type="dxa"/>
            <w:hideMark/>
          </w:tcPr>
          <w:p w14:paraId="2BC5B314" w14:textId="77777777" w:rsidR="00F45B19" w:rsidRPr="00112D41" w:rsidRDefault="00F45B19" w:rsidP="003A5B2C">
            <w:pPr>
              <w:pStyle w:val="NoSpacing"/>
              <w:cnfStyle w:val="000000000000" w:firstRow="0" w:lastRow="0" w:firstColumn="0" w:lastColumn="0" w:oddVBand="0" w:evenVBand="0" w:oddHBand="0" w:evenHBand="0" w:firstRowFirstColumn="0" w:firstRowLastColumn="0" w:lastRowFirstColumn="0" w:lastRowLastColumn="0"/>
              <w:rPr>
                <w:color w:val="000000"/>
              </w:rPr>
            </w:pPr>
            <w:r w:rsidRPr="00112D41">
              <w:rPr>
                <w:color w:val="000000"/>
              </w:rPr>
              <w:t>0.046</w:t>
            </w:r>
          </w:p>
        </w:tc>
      </w:tr>
      <w:tr w:rsidR="00F45B19" w:rsidRPr="00112D41" w14:paraId="6E33EF2A" w14:textId="77777777" w:rsidTr="003A5B2C">
        <w:trPr>
          <w:trHeight w:val="320"/>
        </w:trPr>
        <w:tc>
          <w:tcPr>
            <w:cnfStyle w:val="001000000000" w:firstRow="0" w:lastRow="0" w:firstColumn="1" w:lastColumn="0" w:oddVBand="0" w:evenVBand="0" w:oddHBand="0" w:evenHBand="0" w:firstRowFirstColumn="0" w:firstRowLastColumn="0" w:lastRowFirstColumn="0" w:lastRowLastColumn="0"/>
            <w:tcW w:w="572" w:type="dxa"/>
            <w:hideMark/>
          </w:tcPr>
          <w:p w14:paraId="29F362C9" w14:textId="77777777" w:rsidR="00F45B19" w:rsidRPr="00112D41" w:rsidRDefault="00F45B19" w:rsidP="003A5B2C">
            <w:pPr>
              <w:pStyle w:val="NoSpacing"/>
              <w:rPr>
                <w:color w:val="000000"/>
              </w:rPr>
            </w:pPr>
            <w:r w:rsidRPr="00112D41">
              <w:rPr>
                <w:color w:val="000000"/>
              </w:rPr>
              <w:t>2021</w:t>
            </w:r>
          </w:p>
        </w:tc>
        <w:tc>
          <w:tcPr>
            <w:tcW w:w="759" w:type="dxa"/>
            <w:hideMark/>
          </w:tcPr>
          <w:p w14:paraId="79217B8D" w14:textId="77777777" w:rsidR="00F45B19" w:rsidRPr="00112D41" w:rsidRDefault="00F45B19" w:rsidP="003A5B2C">
            <w:pPr>
              <w:pStyle w:val="NoSpacing"/>
              <w:cnfStyle w:val="000000000000" w:firstRow="0" w:lastRow="0" w:firstColumn="0" w:lastColumn="0" w:oddVBand="0" w:evenVBand="0" w:oddHBand="0" w:evenHBand="0" w:firstRowFirstColumn="0" w:firstRowLastColumn="0" w:lastRowFirstColumn="0" w:lastRowLastColumn="0"/>
              <w:rPr>
                <w:color w:val="000000"/>
              </w:rPr>
            </w:pPr>
            <w:r w:rsidRPr="00112D41">
              <w:rPr>
                <w:color w:val="000000"/>
              </w:rPr>
              <w:t>28.80%</w:t>
            </w:r>
          </w:p>
        </w:tc>
        <w:tc>
          <w:tcPr>
            <w:tcW w:w="919" w:type="dxa"/>
            <w:hideMark/>
          </w:tcPr>
          <w:p w14:paraId="148DDBD1" w14:textId="77777777" w:rsidR="00F45B19" w:rsidRPr="00112D41" w:rsidRDefault="00F45B19" w:rsidP="003A5B2C">
            <w:pPr>
              <w:pStyle w:val="NoSpacing"/>
              <w:cnfStyle w:val="000000000000" w:firstRow="0" w:lastRow="0" w:firstColumn="0" w:lastColumn="0" w:oddVBand="0" w:evenVBand="0" w:oddHBand="0" w:evenHBand="0" w:firstRowFirstColumn="0" w:firstRowLastColumn="0" w:lastRowFirstColumn="0" w:lastRowLastColumn="0"/>
              <w:rPr>
                <w:color w:val="000000"/>
              </w:rPr>
            </w:pPr>
            <w:r w:rsidRPr="00112D41">
              <w:rPr>
                <w:color w:val="000000"/>
              </w:rPr>
              <w:t>1.00%</w:t>
            </w:r>
          </w:p>
        </w:tc>
        <w:tc>
          <w:tcPr>
            <w:tcW w:w="794" w:type="dxa"/>
            <w:hideMark/>
          </w:tcPr>
          <w:p w14:paraId="2136A3B0" w14:textId="77777777" w:rsidR="00F45B19" w:rsidRPr="00112D41" w:rsidRDefault="00F45B19" w:rsidP="003A5B2C">
            <w:pPr>
              <w:pStyle w:val="NoSpacing"/>
              <w:cnfStyle w:val="000000000000" w:firstRow="0" w:lastRow="0" w:firstColumn="0" w:lastColumn="0" w:oddVBand="0" w:evenVBand="0" w:oddHBand="0" w:evenHBand="0" w:firstRowFirstColumn="0" w:firstRowLastColumn="0" w:lastRowFirstColumn="0" w:lastRowLastColumn="0"/>
              <w:rPr>
                <w:color w:val="000000"/>
              </w:rPr>
            </w:pPr>
            <w:r w:rsidRPr="00112D41">
              <w:rPr>
                <w:color w:val="000000"/>
              </w:rPr>
              <w:t>1.56</w:t>
            </w:r>
          </w:p>
        </w:tc>
        <w:tc>
          <w:tcPr>
            <w:tcW w:w="661" w:type="dxa"/>
            <w:hideMark/>
          </w:tcPr>
          <w:p w14:paraId="48326AB5" w14:textId="77777777" w:rsidR="00F45B19" w:rsidRPr="00112D41" w:rsidRDefault="00F45B19" w:rsidP="003A5B2C">
            <w:pPr>
              <w:pStyle w:val="NoSpacing"/>
              <w:cnfStyle w:val="000000000000" w:firstRow="0" w:lastRow="0" w:firstColumn="0" w:lastColumn="0" w:oddVBand="0" w:evenVBand="0" w:oddHBand="0" w:evenHBand="0" w:firstRowFirstColumn="0" w:firstRowLastColumn="0" w:lastRowFirstColumn="0" w:lastRowLastColumn="0"/>
              <w:rPr>
                <w:color w:val="000000"/>
              </w:rPr>
            </w:pPr>
            <w:r w:rsidRPr="00112D41">
              <w:rPr>
                <w:color w:val="000000"/>
              </w:rPr>
              <w:t>0.94</w:t>
            </w:r>
          </w:p>
        </w:tc>
        <w:tc>
          <w:tcPr>
            <w:tcW w:w="910" w:type="dxa"/>
            <w:hideMark/>
          </w:tcPr>
          <w:p w14:paraId="51347E71" w14:textId="77777777" w:rsidR="00F45B19" w:rsidRPr="00112D41" w:rsidRDefault="00F45B19" w:rsidP="003A5B2C">
            <w:pPr>
              <w:pStyle w:val="NoSpacing"/>
              <w:cnfStyle w:val="000000000000" w:firstRow="0" w:lastRow="0" w:firstColumn="0" w:lastColumn="0" w:oddVBand="0" w:evenVBand="0" w:oddHBand="0" w:evenHBand="0" w:firstRowFirstColumn="0" w:firstRowLastColumn="0" w:lastRowFirstColumn="0" w:lastRowLastColumn="0"/>
              <w:rPr>
                <w:color w:val="000000"/>
              </w:rPr>
            </w:pPr>
            <w:r w:rsidRPr="00112D41">
              <w:rPr>
                <w:color w:val="000000"/>
              </w:rPr>
              <w:t>1.18</w:t>
            </w:r>
          </w:p>
        </w:tc>
        <w:tc>
          <w:tcPr>
            <w:tcW w:w="937" w:type="dxa"/>
            <w:hideMark/>
          </w:tcPr>
          <w:p w14:paraId="65E382F9" w14:textId="77777777" w:rsidR="00F45B19" w:rsidRPr="00112D41" w:rsidRDefault="00F45B19" w:rsidP="003A5B2C">
            <w:pPr>
              <w:pStyle w:val="NoSpacing"/>
              <w:cnfStyle w:val="000000000000" w:firstRow="0" w:lastRow="0" w:firstColumn="0" w:lastColumn="0" w:oddVBand="0" w:evenVBand="0" w:oddHBand="0" w:evenHBand="0" w:firstRowFirstColumn="0" w:firstRowLastColumn="0" w:lastRowFirstColumn="0" w:lastRowLastColumn="0"/>
              <w:rPr>
                <w:color w:val="000000"/>
              </w:rPr>
            </w:pPr>
            <w:r w:rsidRPr="00112D41">
              <w:rPr>
                <w:color w:val="000000"/>
              </w:rPr>
              <w:t>3.18</w:t>
            </w:r>
          </w:p>
        </w:tc>
        <w:tc>
          <w:tcPr>
            <w:tcW w:w="821" w:type="dxa"/>
            <w:hideMark/>
          </w:tcPr>
          <w:p w14:paraId="64248710" w14:textId="77777777" w:rsidR="00F45B19" w:rsidRPr="00112D41" w:rsidRDefault="00F45B19" w:rsidP="003A5B2C">
            <w:pPr>
              <w:pStyle w:val="NoSpacing"/>
              <w:cnfStyle w:val="000000000000" w:firstRow="0" w:lastRow="0" w:firstColumn="0" w:lastColumn="0" w:oddVBand="0" w:evenVBand="0" w:oddHBand="0" w:evenHBand="0" w:firstRowFirstColumn="0" w:firstRowLastColumn="0" w:lastRowFirstColumn="0" w:lastRowLastColumn="0"/>
              <w:rPr>
                <w:color w:val="000000"/>
              </w:rPr>
            </w:pPr>
            <w:r w:rsidRPr="00112D41">
              <w:rPr>
                <w:color w:val="000000"/>
              </w:rPr>
              <w:t>0.85</w:t>
            </w:r>
          </w:p>
        </w:tc>
        <w:tc>
          <w:tcPr>
            <w:tcW w:w="1061" w:type="dxa"/>
            <w:hideMark/>
          </w:tcPr>
          <w:p w14:paraId="685E4D46" w14:textId="77777777" w:rsidR="00F45B19" w:rsidRPr="00112D41" w:rsidRDefault="00F45B19" w:rsidP="003A5B2C">
            <w:pPr>
              <w:pStyle w:val="NoSpacing"/>
              <w:cnfStyle w:val="000000000000" w:firstRow="0" w:lastRow="0" w:firstColumn="0" w:lastColumn="0" w:oddVBand="0" w:evenVBand="0" w:oddHBand="0" w:evenHBand="0" w:firstRowFirstColumn="0" w:firstRowLastColumn="0" w:lastRowFirstColumn="0" w:lastRowLastColumn="0"/>
              <w:rPr>
                <w:color w:val="000000"/>
              </w:rPr>
            </w:pPr>
            <w:r w:rsidRPr="00112D41">
              <w:rPr>
                <w:color w:val="000000"/>
              </w:rPr>
              <w:t>0.39</w:t>
            </w:r>
          </w:p>
        </w:tc>
        <w:tc>
          <w:tcPr>
            <w:tcW w:w="751" w:type="dxa"/>
            <w:hideMark/>
          </w:tcPr>
          <w:p w14:paraId="04C755D1" w14:textId="77777777" w:rsidR="00F45B19" w:rsidRPr="00112D41" w:rsidRDefault="00F45B19" w:rsidP="003A5B2C">
            <w:pPr>
              <w:pStyle w:val="NoSpacing"/>
              <w:cnfStyle w:val="000000000000" w:firstRow="0" w:lastRow="0" w:firstColumn="0" w:lastColumn="0" w:oddVBand="0" w:evenVBand="0" w:oddHBand="0" w:evenHBand="0" w:firstRowFirstColumn="0" w:firstRowLastColumn="0" w:lastRowFirstColumn="0" w:lastRowLastColumn="0"/>
              <w:rPr>
                <w:color w:val="000000"/>
              </w:rPr>
            </w:pPr>
            <w:r w:rsidRPr="00112D41">
              <w:rPr>
                <w:color w:val="000000"/>
              </w:rPr>
              <w:t>0.172</w:t>
            </w:r>
          </w:p>
        </w:tc>
      </w:tr>
      <w:tr w:rsidR="00F45B19" w:rsidRPr="00112D41" w14:paraId="718AE5AD" w14:textId="77777777" w:rsidTr="003A5B2C">
        <w:trPr>
          <w:trHeight w:val="320"/>
        </w:trPr>
        <w:tc>
          <w:tcPr>
            <w:cnfStyle w:val="001000000000" w:firstRow="0" w:lastRow="0" w:firstColumn="1" w:lastColumn="0" w:oddVBand="0" w:evenVBand="0" w:oddHBand="0" w:evenHBand="0" w:firstRowFirstColumn="0" w:firstRowLastColumn="0" w:lastRowFirstColumn="0" w:lastRowLastColumn="0"/>
            <w:tcW w:w="572" w:type="dxa"/>
            <w:hideMark/>
          </w:tcPr>
          <w:p w14:paraId="596B1FF5" w14:textId="77777777" w:rsidR="00F45B19" w:rsidRPr="00112D41" w:rsidRDefault="00F45B19" w:rsidP="003A5B2C">
            <w:pPr>
              <w:pStyle w:val="NoSpacing"/>
              <w:rPr>
                <w:color w:val="000000"/>
              </w:rPr>
            </w:pPr>
            <w:r w:rsidRPr="00112D41">
              <w:rPr>
                <w:color w:val="000000"/>
              </w:rPr>
              <w:t>2020</w:t>
            </w:r>
          </w:p>
        </w:tc>
        <w:tc>
          <w:tcPr>
            <w:tcW w:w="759" w:type="dxa"/>
            <w:hideMark/>
          </w:tcPr>
          <w:p w14:paraId="7DB5E406" w14:textId="77777777" w:rsidR="00F45B19" w:rsidRPr="00112D41" w:rsidRDefault="00F45B19" w:rsidP="003A5B2C">
            <w:pPr>
              <w:pStyle w:val="NoSpacing"/>
              <w:cnfStyle w:val="000000000000" w:firstRow="0" w:lastRow="0" w:firstColumn="0" w:lastColumn="0" w:oddVBand="0" w:evenVBand="0" w:oddHBand="0" w:evenHBand="0" w:firstRowFirstColumn="0" w:firstRowLastColumn="0" w:lastRowFirstColumn="0" w:lastRowLastColumn="0"/>
              <w:rPr>
                <w:color w:val="000000"/>
              </w:rPr>
            </w:pPr>
            <w:r w:rsidRPr="00112D41">
              <w:rPr>
                <w:color w:val="000000"/>
              </w:rPr>
              <w:t>28.60%</w:t>
            </w:r>
          </w:p>
        </w:tc>
        <w:tc>
          <w:tcPr>
            <w:tcW w:w="919" w:type="dxa"/>
            <w:hideMark/>
          </w:tcPr>
          <w:p w14:paraId="45F9BB35" w14:textId="77777777" w:rsidR="00F45B19" w:rsidRPr="00112D41" w:rsidRDefault="00F45B19" w:rsidP="003A5B2C">
            <w:pPr>
              <w:pStyle w:val="NoSpacing"/>
              <w:cnfStyle w:val="000000000000" w:firstRow="0" w:lastRow="0" w:firstColumn="0" w:lastColumn="0" w:oddVBand="0" w:evenVBand="0" w:oddHBand="0" w:evenHBand="0" w:firstRowFirstColumn="0" w:firstRowLastColumn="0" w:lastRowFirstColumn="0" w:lastRowLastColumn="0"/>
              <w:rPr>
                <w:color w:val="000000"/>
              </w:rPr>
            </w:pPr>
            <w:r w:rsidRPr="00112D41">
              <w:rPr>
                <w:color w:val="000000"/>
              </w:rPr>
              <w:t>7.60%</w:t>
            </w:r>
          </w:p>
        </w:tc>
        <w:tc>
          <w:tcPr>
            <w:tcW w:w="794" w:type="dxa"/>
            <w:hideMark/>
          </w:tcPr>
          <w:p w14:paraId="188FB201" w14:textId="77777777" w:rsidR="00F45B19" w:rsidRPr="00112D41" w:rsidRDefault="00F45B19" w:rsidP="003A5B2C">
            <w:pPr>
              <w:pStyle w:val="NoSpacing"/>
              <w:cnfStyle w:val="000000000000" w:firstRow="0" w:lastRow="0" w:firstColumn="0" w:lastColumn="0" w:oddVBand="0" w:evenVBand="0" w:oddHBand="0" w:evenHBand="0" w:firstRowFirstColumn="0" w:firstRowLastColumn="0" w:lastRowFirstColumn="0" w:lastRowLastColumn="0"/>
              <w:rPr>
                <w:color w:val="000000"/>
              </w:rPr>
            </w:pPr>
            <w:r w:rsidRPr="00112D41">
              <w:rPr>
                <w:color w:val="000000"/>
              </w:rPr>
              <w:t>1.82</w:t>
            </w:r>
          </w:p>
        </w:tc>
        <w:tc>
          <w:tcPr>
            <w:tcW w:w="661" w:type="dxa"/>
            <w:hideMark/>
          </w:tcPr>
          <w:p w14:paraId="5BAC8A5B" w14:textId="77777777" w:rsidR="00F45B19" w:rsidRPr="00112D41" w:rsidRDefault="00F45B19" w:rsidP="003A5B2C">
            <w:pPr>
              <w:pStyle w:val="NoSpacing"/>
              <w:cnfStyle w:val="000000000000" w:firstRow="0" w:lastRow="0" w:firstColumn="0" w:lastColumn="0" w:oddVBand="0" w:evenVBand="0" w:oddHBand="0" w:evenHBand="0" w:firstRowFirstColumn="0" w:firstRowLastColumn="0" w:lastRowFirstColumn="0" w:lastRowLastColumn="0"/>
              <w:rPr>
                <w:color w:val="000000"/>
              </w:rPr>
            </w:pPr>
            <w:r w:rsidRPr="00112D41">
              <w:rPr>
                <w:color w:val="000000"/>
              </w:rPr>
              <w:t>1.14</w:t>
            </w:r>
          </w:p>
        </w:tc>
        <w:tc>
          <w:tcPr>
            <w:tcW w:w="910" w:type="dxa"/>
            <w:hideMark/>
          </w:tcPr>
          <w:p w14:paraId="0544B588" w14:textId="77777777" w:rsidR="00F45B19" w:rsidRPr="00112D41" w:rsidRDefault="00F45B19" w:rsidP="003A5B2C">
            <w:pPr>
              <w:pStyle w:val="NoSpacing"/>
              <w:cnfStyle w:val="000000000000" w:firstRow="0" w:lastRow="0" w:firstColumn="0" w:lastColumn="0" w:oddVBand="0" w:evenVBand="0" w:oddHBand="0" w:evenHBand="0" w:firstRowFirstColumn="0" w:firstRowLastColumn="0" w:lastRowFirstColumn="0" w:lastRowLastColumn="0"/>
              <w:rPr>
                <w:color w:val="000000"/>
              </w:rPr>
            </w:pPr>
            <w:r w:rsidRPr="00112D41">
              <w:rPr>
                <w:color w:val="000000"/>
              </w:rPr>
              <w:t>1.2</w:t>
            </w:r>
          </w:p>
        </w:tc>
        <w:tc>
          <w:tcPr>
            <w:tcW w:w="937" w:type="dxa"/>
            <w:hideMark/>
          </w:tcPr>
          <w:p w14:paraId="37F4C82C" w14:textId="77777777" w:rsidR="00F45B19" w:rsidRPr="00112D41" w:rsidRDefault="00F45B19" w:rsidP="003A5B2C">
            <w:pPr>
              <w:pStyle w:val="NoSpacing"/>
              <w:cnfStyle w:val="000000000000" w:firstRow="0" w:lastRow="0" w:firstColumn="0" w:lastColumn="0" w:oddVBand="0" w:evenVBand="0" w:oddHBand="0" w:evenHBand="0" w:firstRowFirstColumn="0" w:firstRowLastColumn="0" w:lastRowFirstColumn="0" w:lastRowLastColumn="0"/>
              <w:rPr>
                <w:color w:val="000000"/>
              </w:rPr>
            </w:pPr>
            <w:r w:rsidRPr="00112D41">
              <w:rPr>
                <w:color w:val="000000"/>
              </w:rPr>
              <w:t>3.64</w:t>
            </w:r>
          </w:p>
        </w:tc>
        <w:tc>
          <w:tcPr>
            <w:tcW w:w="821" w:type="dxa"/>
            <w:hideMark/>
          </w:tcPr>
          <w:p w14:paraId="44B00871" w14:textId="77777777" w:rsidR="00F45B19" w:rsidRPr="00112D41" w:rsidRDefault="00F45B19" w:rsidP="003A5B2C">
            <w:pPr>
              <w:pStyle w:val="NoSpacing"/>
              <w:cnfStyle w:val="000000000000" w:firstRow="0" w:lastRow="0" w:firstColumn="0" w:lastColumn="0" w:oddVBand="0" w:evenVBand="0" w:oddHBand="0" w:evenHBand="0" w:firstRowFirstColumn="0" w:firstRowLastColumn="0" w:lastRowFirstColumn="0" w:lastRowLastColumn="0"/>
              <w:rPr>
                <w:color w:val="000000"/>
              </w:rPr>
            </w:pPr>
            <w:r w:rsidRPr="00112D41">
              <w:rPr>
                <w:color w:val="000000"/>
              </w:rPr>
              <w:t>0.63</w:t>
            </w:r>
          </w:p>
        </w:tc>
        <w:tc>
          <w:tcPr>
            <w:tcW w:w="1061" w:type="dxa"/>
            <w:hideMark/>
          </w:tcPr>
          <w:p w14:paraId="3040A354" w14:textId="77777777" w:rsidR="00F45B19" w:rsidRPr="00112D41" w:rsidRDefault="00F45B19" w:rsidP="003A5B2C">
            <w:pPr>
              <w:pStyle w:val="NoSpacing"/>
              <w:cnfStyle w:val="000000000000" w:firstRow="0" w:lastRow="0" w:firstColumn="0" w:lastColumn="0" w:oddVBand="0" w:evenVBand="0" w:oddHBand="0" w:evenHBand="0" w:firstRowFirstColumn="0" w:firstRowLastColumn="0" w:lastRowFirstColumn="0" w:lastRowLastColumn="0"/>
              <w:rPr>
                <w:color w:val="000000"/>
              </w:rPr>
            </w:pPr>
            <w:r w:rsidRPr="00112D41">
              <w:rPr>
                <w:color w:val="000000"/>
              </w:rPr>
              <w:t>2.72</w:t>
            </w:r>
          </w:p>
        </w:tc>
        <w:tc>
          <w:tcPr>
            <w:tcW w:w="751" w:type="dxa"/>
            <w:hideMark/>
          </w:tcPr>
          <w:p w14:paraId="3AC6A3E9" w14:textId="77777777" w:rsidR="00F45B19" w:rsidRPr="00112D41" w:rsidRDefault="00F45B19" w:rsidP="003A5B2C">
            <w:pPr>
              <w:pStyle w:val="NoSpacing"/>
              <w:cnfStyle w:val="000000000000" w:firstRow="0" w:lastRow="0" w:firstColumn="0" w:lastColumn="0" w:oddVBand="0" w:evenVBand="0" w:oddHBand="0" w:evenHBand="0" w:firstRowFirstColumn="0" w:firstRowLastColumn="0" w:lastRowFirstColumn="0" w:lastRowLastColumn="0"/>
              <w:rPr>
                <w:color w:val="000000"/>
              </w:rPr>
            </w:pPr>
            <w:r w:rsidRPr="00112D41">
              <w:rPr>
                <w:color w:val="000000"/>
              </w:rPr>
              <w:t>0.373</w:t>
            </w:r>
          </w:p>
        </w:tc>
      </w:tr>
    </w:tbl>
    <w:p w14:paraId="692D0EC8" w14:textId="5CDE0502" w:rsidR="009606E6" w:rsidRPr="00A110C5" w:rsidRDefault="0011243F" w:rsidP="00112D41">
      <w:pPr>
        <w:pStyle w:val="Heading2"/>
      </w:pPr>
      <w:bookmarkStart w:id="4" w:name="_Toc217080762"/>
      <w:r w:rsidRPr="00A110C5">
        <w:t xml:space="preserve">2.2 </w:t>
      </w:r>
      <w:r w:rsidR="001642A1" w:rsidRPr="00A110C5">
        <w:t>Ratio Analysis</w:t>
      </w:r>
      <w:bookmarkEnd w:id="4"/>
    </w:p>
    <w:p w14:paraId="1F155E86" w14:textId="1C1B9FE7" w:rsidR="00C901DC" w:rsidRDefault="00C901DC" w:rsidP="00C901DC">
      <w:pPr>
        <w:pStyle w:val="Caption"/>
        <w:jc w:val="center"/>
        <w:rPr>
          <w:rFonts w:ascii="Arial" w:hAnsi="Arial" w:cs="Arial"/>
        </w:rPr>
      </w:pPr>
      <w:bookmarkStart w:id="5" w:name="_Toc217080805"/>
      <w:r>
        <w:t xml:space="preserve">Table </w:t>
      </w:r>
      <w:fldSimple w:instr=" SEQ Table \* ARABIC ">
        <w:r>
          <w:rPr>
            <w:noProof/>
          </w:rPr>
          <w:t>1</w:t>
        </w:r>
      </w:fldSimple>
      <w:r w:rsidRPr="00B43861">
        <w:t>Ratio Analysis</w:t>
      </w:r>
      <w:bookmarkEnd w:id="5"/>
    </w:p>
    <w:bookmarkEnd w:id="3"/>
    <w:p w14:paraId="4947D3F4" w14:textId="2087EFBA" w:rsidR="00F45B19" w:rsidRPr="00A110C5" w:rsidRDefault="007A1E89" w:rsidP="009606E6">
      <w:pPr>
        <w:spacing w:before="120" w:after="120" w:line="360" w:lineRule="auto"/>
        <w:jc w:val="both"/>
        <w:rPr>
          <w:rFonts w:ascii="Arial" w:hAnsi="Arial" w:cs="Arial"/>
        </w:rPr>
      </w:pPr>
      <w:r w:rsidRPr="007A1E89">
        <w:rPr>
          <w:rFonts w:ascii="Arial" w:hAnsi="Arial" w:cs="Arial"/>
        </w:rPr>
        <w:t xml:space="preserve">General Electronics ratio analysis in the last five years indicates a performance that is not totally good and there are strengths and weaknesses in the major financial areas. The gross profit margin has been fairly consistent with a range of between 23.2 and 28.9 suggesting that the business can control its production costs and be able to make regularly generated profit out of what it sells. The return on assets (ROA) has however worsened to -7.4% in 2024 as compared to 7.6% in 2020 indicating that the efficiency of asset use to make profit is decreasing. Liquidity ratios, such as the current ratio (1.53 in 2024) and the quick ratio (1.03 in 2024) indicate that General Electronics possesses sufficient short-term assets to cover its short-term liabilities, although there is a minor variation over the past years. The asset turnover ratio has been relatively low yet has also been constant at 1.22 in 2024, implying that the efficiency that the </w:t>
      </w:r>
      <w:r w:rsidRPr="007A1E89">
        <w:rPr>
          <w:rFonts w:ascii="Arial" w:hAnsi="Arial" w:cs="Arial"/>
        </w:rPr>
        <w:lastRenderedPageBreak/>
        <w:t>assets are using to generate revenue is also moderate. In 2024 the inventory turnover ratio stands at 3.54 that demonstrates the effective inventory turnover as products are sold and replaced rather fast. Conversely, the debt to equity ratio has risen to 1.11 in 2024 which means that the company is now more dependent on debt financing thus posing higher financial risk. Additionally, the negative earnings per share (EPS) in 2024 and decreasing operating cash flow to debt ratio (0.087 in 2024) indicate that the company has difficulties in creating stable profits and covering its debt liabilities.</w:t>
      </w:r>
    </w:p>
    <w:p w14:paraId="1524372F" w14:textId="0AF5EF7A" w:rsidR="0011243F" w:rsidRPr="00A110C5" w:rsidRDefault="001954C7" w:rsidP="00112D41">
      <w:pPr>
        <w:pStyle w:val="Heading2"/>
      </w:pPr>
      <w:bookmarkStart w:id="6" w:name="_Toc217080763"/>
      <w:r w:rsidRPr="00A110C5">
        <w:t>2.</w:t>
      </w:r>
      <w:r w:rsidR="00416D17" w:rsidRPr="00A110C5">
        <w:t xml:space="preserve">3 </w:t>
      </w:r>
      <w:r w:rsidR="0011243F" w:rsidRPr="00A110C5">
        <w:t>Trend Analysis</w:t>
      </w:r>
      <w:bookmarkEnd w:id="6"/>
      <w:r w:rsidR="0011243F" w:rsidRPr="00A110C5">
        <w:t xml:space="preserve"> </w:t>
      </w:r>
    </w:p>
    <w:p w14:paraId="2965C1F2" w14:textId="054FB92B" w:rsidR="0011243F" w:rsidRPr="00A110C5" w:rsidRDefault="007A1E89" w:rsidP="009606E6">
      <w:pPr>
        <w:spacing w:before="120" w:after="120" w:line="360" w:lineRule="auto"/>
        <w:jc w:val="both"/>
        <w:rPr>
          <w:rFonts w:ascii="Arial" w:hAnsi="Arial" w:cs="Arial"/>
        </w:rPr>
      </w:pPr>
      <w:r w:rsidRPr="007A1E89">
        <w:rPr>
          <w:rFonts w:ascii="Arial" w:hAnsi="Arial" w:cs="Arial"/>
        </w:rPr>
        <w:t>The history of the General Electronics financial performance during the last five years shows that there are several issues of concern in a trend analysis. These trends, as per the given financial data, point out the difficulty the company is experiencing in the areas of profitability, liquidity, efficiency, and financial stability as a whole</w:t>
      </w:r>
      <w:r w:rsidR="005D4C1E">
        <w:rPr>
          <w:rFonts w:ascii="Arial" w:hAnsi="Arial" w:cs="Arial"/>
        </w:rPr>
        <w:t xml:space="preserve"> </w:t>
      </w:r>
      <w:r w:rsidR="005D4C1E" w:rsidRPr="005D4C1E">
        <w:rPr>
          <w:rFonts w:ascii="Arial" w:hAnsi="Arial" w:cs="Arial"/>
        </w:rPr>
        <w:t xml:space="preserve">(Amini, </w:t>
      </w:r>
      <w:proofErr w:type="spellStart"/>
      <w:r w:rsidR="005D4C1E" w:rsidRPr="005D4C1E">
        <w:rPr>
          <w:rFonts w:ascii="Arial" w:hAnsi="Arial" w:cs="Arial"/>
        </w:rPr>
        <w:t>Zayeri</w:t>
      </w:r>
      <w:proofErr w:type="spellEnd"/>
      <w:r w:rsidR="005D4C1E" w:rsidRPr="005D4C1E">
        <w:rPr>
          <w:rFonts w:ascii="Arial" w:hAnsi="Arial" w:cs="Arial"/>
        </w:rPr>
        <w:t xml:space="preserve"> and Salehi, 2021)</w:t>
      </w:r>
      <w:r w:rsidRPr="007A1E89">
        <w:rPr>
          <w:rFonts w:ascii="Arial" w:hAnsi="Arial" w:cs="Arial"/>
        </w:rPr>
        <w:t>.</w:t>
      </w:r>
    </w:p>
    <w:p w14:paraId="3E1F4704" w14:textId="5BDC11A2" w:rsidR="00DD2C83" w:rsidRDefault="00DD2C83" w:rsidP="009606E6">
      <w:pPr>
        <w:spacing w:before="120" w:after="120" w:line="360" w:lineRule="auto"/>
        <w:jc w:val="center"/>
        <w:rPr>
          <w:rFonts w:ascii="Arial" w:hAnsi="Arial" w:cs="Arial"/>
        </w:rPr>
      </w:pPr>
      <w:r w:rsidRPr="00A110C5">
        <w:rPr>
          <w:rFonts w:ascii="Arial" w:hAnsi="Arial" w:cs="Arial"/>
          <w:noProof/>
          <w:lang w:eastAsia="en-US" w:bidi="bn-BD"/>
        </w:rPr>
        <w:drawing>
          <wp:inline distT="0" distB="0" distL="0" distR="0" wp14:anchorId="249D4F91" wp14:editId="6DB0ABA5">
            <wp:extent cx="3912235" cy="2817628"/>
            <wp:effectExtent l="0" t="0" r="12065" b="1905"/>
            <wp:docPr id="101528559" name="Chart 1">
              <a:extLst xmlns:a="http://schemas.openxmlformats.org/drawingml/2006/main">
                <a:ext uri="{FF2B5EF4-FFF2-40B4-BE49-F238E27FC236}">
                  <a16:creationId xmlns:a16="http://schemas.microsoft.com/office/drawing/2014/main" id="{111E57CE-8A40-401F-CEB4-87417251E76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DE568E4" w14:textId="45B947B2" w:rsidR="00F2504F" w:rsidRDefault="00F2504F" w:rsidP="00F2504F">
      <w:pPr>
        <w:pStyle w:val="Caption"/>
        <w:jc w:val="center"/>
        <w:rPr>
          <w:rFonts w:ascii="Arial" w:hAnsi="Arial" w:cs="Arial"/>
        </w:rPr>
      </w:pPr>
      <w:bookmarkStart w:id="7" w:name="_Toc217069110"/>
      <w:bookmarkStart w:id="8" w:name="_Toc217080819"/>
      <w:r>
        <w:t xml:space="preserve">Figure </w:t>
      </w:r>
      <w:fldSimple w:instr=" SEQ Figure \* ARABIC ">
        <w:r>
          <w:rPr>
            <w:noProof/>
          </w:rPr>
          <w:t>1</w:t>
        </w:r>
      </w:fldSimple>
      <w:r w:rsidRPr="00C162E2">
        <w:t>Operating Income</w:t>
      </w:r>
      <w:bookmarkEnd w:id="7"/>
      <w:bookmarkEnd w:id="8"/>
    </w:p>
    <w:p w14:paraId="4E91C94A" w14:textId="3D9AF11E" w:rsidR="00DD2C83" w:rsidRPr="00A110C5" w:rsidRDefault="009606E6" w:rsidP="009606E6">
      <w:pPr>
        <w:spacing w:before="120" w:after="120" w:line="360" w:lineRule="auto"/>
        <w:jc w:val="both"/>
        <w:rPr>
          <w:rFonts w:ascii="Arial" w:hAnsi="Arial" w:cs="Arial"/>
          <w:b/>
          <w:bCs/>
        </w:rPr>
      </w:pPr>
      <w:r w:rsidRPr="00A110C5">
        <w:rPr>
          <w:rFonts w:ascii="Arial" w:hAnsi="Arial" w:cs="Arial"/>
          <w:b/>
          <w:bCs/>
        </w:rPr>
        <w:t xml:space="preserve">Operating Income: </w:t>
      </w:r>
      <w:r w:rsidR="007A1E89" w:rsidRPr="007A1E89">
        <w:rPr>
          <w:rFonts w:ascii="Arial" w:hAnsi="Arial" w:cs="Arial"/>
        </w:rPr>
        <w:t>The company has experienced massive operating loss in the past two years with a loss of £15,297 million of operating income in 2024 as opposed to operating income of 37, 267 million in 2020. This indicates a significant decline in efficiency of operation.</w:t>
      </w:r>
    </w:p>
    <w:p w14:paraId="79AD9B35" w14:textId="77777777" w:rsidR="00472FAA" w:rsidRDefault="00DD2C83" w:rsidP="009606E6">
      <w:pPr>
        <w:spacing w:before="120" w:after="120" w:line="360" w:lineRule="auto"/>
        <w:jc w:val="center"/>
        <w:rPr>
          <w:rFonts w:ascii="Arial" w:hAnsi="Arial" w:cs="Arial"/>
        </w:rPr>
      </w:pPr>
      <w:r w:rsidRPr="00A110C5">
        <w:rPr>
          <w:rFonts w:ascii="Arial" w:hAnsi="Arial" w:cs="Arial"/>
          <w:noProof/>
          <w:lang w:eastAsia="en-US" w:bidi="bn-BD"/>
        </w:rPr>
        <w:lastRenderedPageBreak/>
        <w:drawing>
          <wp:inline distT="0" distB="0" distL="0" distR="0" wp14:anchorId="587AA9E2" wp14:editId="526DB655">
            <wp:extent cx="4007457" cy="2480807"/>
            <wp:effectExtent l="0" t="0" r="12700" b="15240"/>
            <wp:docPr id="1530945908" name="Chart 1">
              <a:extLst xmlns:a="http://schemas.openxmlformats.org/drawingml/2006/main">
                <a:ext uri="{FF2B5EF4-FFF2-40B4-BE49-F238E27FC236}">
                  <a16:creationId xmlns:a16="http://schemas.microsoft.com/office/drawing/2014/main" id="{7979AFEB-F1BA-4A5E-EA9B-35A018E50A7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46C6974" w14:textId="2029BD26" w:rsidR="00F2504F" w:rsidRDefault="00F2504F" w:rsidP="00F2504F">
      <w:pPr>
        <w:pStyle w:val="Caption"/>
        <w:jc w:val="center"/>
        <w:rPr>
          <w:rFonts w:ascii="Arial" w:hAnsi="Arial" w:cs="Arial"/>
        </w:rPr>
      </w:pPr>
      <w:bookmarkStart w:id="9" w:name="_Toc217069111"/>
      <w:bookmarkStart w:id="10" w:name="_Toc217080820"/>
      <w:r>
        <w:t xml:space="preserve">Figure </w:t>
      </w:r>
      <w:fldSimple w:instr=" SEQ Figure \* ARABIC ">
        <w:r>
          <w:rPr>
            <w:noProof/>
          </w:rPr>
          <w:t>2</w:t>
        </w:r>
      </w:fldSimple>
      <w:r>
        <w:t xml:space="preserve"> </w:t>
      </w:r>
      <w:r w:rsidRPr="00B11131">
        <w:t>Current Ratio</w:t>
      </w:r>
      <w:bookmarkEnd w:id="9"/>
      <w:bookmarkEnd w:id="10"/>
    </w:p>
    <w:p w14:paraId="31619A75" w14:textId="64FC3B29" w:rsidR="00472FAA" w:rsidRPr="00A110C5" w:rsidRDefault="00472FAA" w:rsidP="009606E6">
      <w:pPr>
        <w:spacing w:before="120" w:after="120" w:line="360" w:lineRule="auto"/>
        <w:jc w:val="both"/>
        <w:rPr>
          <w:rFonts w:ascii="Arial" w:hAnsi="Arial" w:cs="Arial"/>
        </w:rPr>
      </w:pPr>
      <w:r w:rsidRPr="00A110C5">
        <w:rPr>
          <w:rFonts w:ascii="Arial" w:hAnsi="Arial" w:cs="Arial"/>
          <w:b/>
          <w:bCs/>
        </w:rPr>
        <w:t>Current Ratio:</w:t>
      </w:r>
      <w:r w:rsidRPr="00A110C5">
        <w:rPr>
          <w:rFonts w:ascii="Arial" w:hAnsi="Arial" w:cs="Arial"/>
        </w:rPr>
        <w:t xml:space="preserve"> </w:t>
      </w:r>
      <w:r w:rsidR="007A1E89" w:rsidRPr="007A1E89">
        <w:rPr>
          <w:rFonts w:ascii="Arial" w:hAnsi="Arial" w:cs="Arial"/>
        </w:rPr>
        <w:t>The company has been showing a slight decline in its capacity to meet its immediate liabilities, and the current ratio has been dropping to 1.53 in 2024, as compared to 1.82 in the year 2020. This reduction shows that General electronics may not be able to fulfill its short term obligations in the near future but it is still higher than the normal standards of 1.0</w:t>
      </w:r>
      <w:r w:rsidR="005D4C1E">
        <w:rPr>
          <w:rFonts w:ascii="Arial" w:hAnsi="Arial" w:cs="Arial"/>
        </w:rPr>
        <w:t xml:space="preserve"> </w:t>
      </w:r>
      <w:r w:rsidR="005D4C1E" w:rsidRPr="00A01488">
        <w:rPr>
          <w:rFonts w:ascii="Arial" w:hAnsi="Arial" w:cs="Arial"/>
        </w:rPr>
        <w:t xml:space="preserve">(Rachman, </w:t>
      </w:r>
      <w:proofErr w:type="spellStart"/>
      <w:r w:rsidR="005D4C1E" w:rsidRPr="00A01488">
        <w:rPr>
          <w:rFonts w:ascii="Arial" w:hAnsi="Arial" w:cs="Arial"/>
        </w:rPr>
        <w:t>Karyatun</w:t>
      </w:r>
      <w:proofErr w:type="spellEnd"/>
      <w:r w:rsidR="005D4C1E" w:rsidRPr="00A01488">
        <w:rPr>
          <w:rFonts w:ascii="Arial" w:hAnsi="Arial" w:cs="Arial"/>
        </w:rPr>
        <w:t xml:space="preserve"> and </w:t>
      </w:r>
      <w:proofErr w:type="spellStart"/>
      <w:r w:rsidR="005D4C1E" w:rsidRPr="00A01488">
        <w:rPr>
          <w:rFonts w:ascii="Arial" w:hAnsi="Arial" w:cs="Arial"/>
        </w:rPr>
        <w:t>Digdowiseiso</w:t>
      </w:r>
      <w:proofErr w:type="spellEnd"/>
      <w:r w:rsidR="005D4C1E" w:rsidRPr="00A01488">
        <w:rPr>
          <w:rFonts w:ascii="Arial" w:hAnsi="Arial" w:cs="Arial"/>
        </w:rPr>
        <w:t>, 2023)</w:t>
      </w:r>
      <w:r w:rsidR="007A1E89" w:rsidRPr="007A1E89">
        <w:rPr>
          <w:rFonts w:ascii="Arial" w:hAnsi="Arial" w:cs="Arial"/>
        </w:rPr>
        <w:t>.</w:t>
      </w:r>
    </w:p>
    <w:p w14:paraId="33E14461" w14:textId="0516C12C" w:rsidR="00DD2C83" w:rsidRDefault="00DD2C83" w:rsidP="009606E6">
      <w:pPr>
        <w:spacing w:before="120" w:after="120" w:line="360" w:lineRule="auto"/>
        <w:jc w:val="center"/>
        <w:rPr>
          <w:rFonts w:ascii="Arial" w:hAnsi="Arial" w:cs="Arial"/>
        </w:rPr>
      </w:pPr>
      <w:r w:rsidRPr="00A110C5">
        <w:rPr>
          <w:rFonts w:ascii="Arial" w:hAnsi="Arial" w:cs="Arial"/>
          <w:noProof/>
          <w:lang w:eastAsia="en-US" w:bidi="bn-BD"/>
        </w:rPr>
        <w:drawing>
          <wp:inline distT="0" distB="0" distL="0" distR="0" wp14:anchorId="09DCCA6A" wp14:editId="58A0650E">
            <wp:extent cx="3967701" cy="2552369"/>
            <wp:effectExtent l="0" t="0" r="13970" b="635"/>
            <wp:docPr id="1830657534" name="Chart 2">
              <a:extLst xmlns:a="http://schemas.openxmlformats.org/drawingml/2006/main">
                <a:ext uri="{FF2B5EF4-FFF2-40B4-BE49-F238E27FC236}">
                  <a16:creationId xmlns:a16="http://schemas.microsoft.com/office/drawing/2014/main" id="{CDB17872-7C5E-D004-40D0-44D3359E51D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D5114FD" w14:textId="7B3A6D37" w:rsidR="00F2504F" w:rsidRPr="00A110C5" w:rsidRDefault="00F2504F" w:rsidP="00F2504F">
      <w:pPr>
        <w:pStyle w:val="Caption"/>
        <w:jc w:val="center"/>
        <w:rPr>
          <w:rFonts w:ascii="Arial" w:hAnsi="Arial" w:cs="Arial"/>
        </w:rPr>
      </w:pPr>
      <w:bookmarkStart w:id="11" w:name="_Toc217069112"/>
      <w:bookmarkStart w:id="12" w:name="_Toc217080821"/>
      <w:r>
        <w:t xml:space="preserve">Figure </w:t>
      </w:r>
      <w:fldSimple w:instr=" SEQ Figure \* ARABIC ">
        <w:r>
          <w:rPr>
            <w:noProof/>
          </w:rPr>
          <w:t>3</w:t>
        </w:r>
      </w:fldSimple>
      <w:r>
        <w:t xml:space="preserve"> </w:t>
      </w:r>
      <w:r w:rsidRPr="000A716C">
        <w:t>Quick Ratio</w:t>
      </w:r>
      <w:bookmarkEnd w:id="11"/>
      <w:bookmarkEnd w:id="12"/>
    </w:p>
    <w:p w14:paraId="2E516EDC" w14:textId="00D29FE9" w:rsidR="00472FAA" w:rsidRPr="00A110C5" w:rsidRDefault="00472FAA" w:rsidP="009606E6">
      <w:pPr>
        <w:spacing w:before="120" w:after="120" w:line="360" w:lineRule="auto"/>
        <w:jc w:val="both"/>
        <w:rPr>
          <w:rFonts w:ascii="Arial" w:hAnsi="Arial" w:cs="Arial"/>
        </w:rPr>
      </w:pPr>
      <w:r w:rsidRPr="00A110C5">
        <w:rPr>
          <w:rFonts w:ascii="Arial" w:hAnsi="Arial" w:cs="Arial"/>
          <w:b/>
          <w:bCs/>
        </w:rPr>
        <w:t>Quick Ratio:</w:t>
      </w:r>
      <w:r w:rsidRPr="00A110C5">
        <w:rPr>
          <w:rFonts w:ascii="Arial" w:hAnsi="Arial" w:cs="Arial"/>
        </w:rPr>
        <w:t xml:space="preserve"> </w:t>
      </w:r>
      <w:r w:rsidR="007A1E89" w:rsidRPr="007A1E89">
        <w:rPr>
          <w:rFonts w:ascii="Arial" w:hAnsi="Arial" w:cs="Arial"/>
        </w:rPr>
        <w:t>Likewise, the ratio of quick has decreased in 2024 to 1.03 in 2020 (1.14). The trend also indicates the possibility of liquidity issues because the quick assets available to the company are not sufficient to take care of its short-term debt</w:t>
      </w:r>
      <w:r w:rsidR="00D715E3">
        <w:rPr>
          <w:rFonts w:ascii="Arial" w:hAnsi="Arial" w:cs="Arial"/>
        </w:rPr>
        <w:t xml:space="preserve"> </w:t>
      </w:r>
      <w:r w:rsidR="00D715E3" w:rsidRPr="00D715E3">
        <w:rPr>
          <w:rFonts w:ascii="Arial" w:hAnsi="Arial" w:cs="Arial"/>
        </w:rPr>
        <w:t>(</w:t>
      </w:r>
      <w:proofErr w:type="spellStart"/>
      <w:r w:rsidR="00D715E3" w:rsidRPr="00D715E3">
        <w:rPr>
          <w:rFonts w:ascii="Arial" w:hAnsi="Arial" w:cs="Arial"/>
        </w:rPr>
        <w:t>Lufiyandi</w:t>
      </w:r>
      <w:proofErr w:type="spellEnd"/>
      <w:r w:rsidR="00D715E3" w:rsidRPr="00D715E3">
        <w:rPr>
          <w:rFonts w:ascii="Arial" w:hAnsi="Arial" w:cs="Arial"/>
        </w:rPr>
        <w:t xml:space="preserve"> </w:t>
      </w:r>
      <w:proofErr w:type="spellStart"/>
      <w:r w:rsidR="00D715E3" w:rsidRPr="00D715E3">
        <w:rPr>
          <w:rFonts w:ascii="Arial" w:hAnsi="Arial" w:cs="Arial"/>
        </w:rPr>
        <w:t>Supriatman</w:t>
      </w:r>
      <w:proofErr w:type="spellEnd"/>
      <w:r w:rsidR="00D715E3" w:rsidRPr="00D715E3">
        <w:rPr>
          <w:rFonts w:ascii="Arial" w:hAnsi="Arial" w:cs="Arial"/>
        </w:rPr>
        <w:t xml:space="preserve"> and </w:t>
      </w:r>
      <w:proofErr w:type="spellStart"/>
      <w:r w:rsidR="00D715E3" w:rsidRPr="00D715E3">
        <w:rPr>
          <w:rFonts w:ascii="Arial" w:hAnsi="Arial" w:cs="Arial"/>
        </w:rPr>
        <w:t>Judiarni</w:t>
      </w:r>
      <w:proofErr w:type="spellEnd"/>
      <w:r w:rsidR="00D715E3" w:rsidRPr="00D715E3">
        <w:rPr>
          <w:rFonts w:ascii="Arial" w:hAnsi="Arial" w:cs="Arial"/>
        </w:rPr>
        <w:t>, 2023)</w:t>
      </w:r>
      <w:r w:rsidR="007A1E89" w:rsidRPr="007A1E89">
        <w:rPr>
          <w:rFonts w:ascii="Arial" w:hAnsi="Arial" w:cs="Arial"/>
        </w:rPr>
        <w:t>.</w:t>
      </w:r>
    </w:p>
    <w:p w14:paraId="21A34B02" w14:textId="77777777" w:rsidR="00472FAA" w:rsidRDefault="00DD2C83" w:rsidP="009606E6">
      <w:pPr>
        <w:spacing w:before="120" w:after="120" w:line="360" w:lineRule="auto"/>
        <w:jc w:val="center"/>
        <w:rPr>
          <w:rFonts w:ascii="Arial" w:hAnsi="Arial" w:cs="Arial"/>
        </w:rPr>
      </w:pPr>
      <w:r w:rsidRPr="00A110C5">
        <w:rPr>
          <w:rFonts w:ascii="Arial" w:hAnsi="Arial" w:cs="Arial"/>
          <w:noProof/>
          <w:lang w:eastAsia="en-US" w:bidi="bn-BD"/>
        </w:rPr>
        <w:lastRenderedPageBreak/>
        <w:drawing>
          <wp:inline distT="0" distB="0" distL="0" distR="0" wp14:anchorId="0345F3CB" wp14:editId="4DAFED66">
            <wp:extent cx="3965944" cy="2764465"/>
            <wp:effectExtent l="0" t="0" r="15875" b="17145"/>
            <wp:docPr id="100252896" name="Chart 3">
              <a:extLst xmlns:a="http://schemas.openxmlformats.org/drawingml/2006/main">
                <a:ext uri="{FF2B5EF4-FFF2-40B4-BE49-F238E27FC236}">
                  <a16:creationId xmlns:a16="http://schemas.microsoft.com/office/drawing/2014/main" id="{8A9A0F6D-4BCD-6E2A-7B2F-69318FBBB22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534E047" w14:textId="511B350F" w:rsidR="00F2504F" w:rsidRPr="00A110C5" w:rsidRDefault="00F2504F" w:rsidP="00F2504F">
      <w:pPr>
        <w:pStyle w:val="Caption"/>
        <w:jc w:val="center"/>
        <w:rPr>
          <w:rFonts w:ascii="Arial" w:hAnsi="Arial" w:cs="Arial"/>
        </w:rPr>
      </w:pPr>
      <w:bookmarkStart w:id="13" w:name="_Toc217069113"/>
      <w:bookmarkStart w:id="14" w:name="_Toc217080822"/>
      <w:r>
        <w:t xml:space="preserve">Figure </w:t>
      </w:r>
      <w:fldSimple w:instr=" SEQ Figure \* ARABIC ">
        <w:r>
          <w:rPr>
            <w:noProof/>
          </w:rPr>
          <w:t>4</w:t>
        </w:r>
      </w:fldSimple>
      <w:r>
        <w:t xml:space="preserve"> </w:t>
      </w:r>
      <w:r w:rsidRPr="00495672">
        <w:t>Inventory Turnover</w:t>
      </w:r>
      <w:bookmarkEnd w:id="13"/>
      <w:bookmarkEnd w:id="14"/>
    </w:p>
    <w:p w14:paraId="4E282899" w14:textId="3781D0BA" w:rsidR="00472FAA" w:rsidRPr="00A110C5" w:rsidRDefault="00472FAA" w:rsidP="009606E6">
      <w:pPr>
        <w:spacing w:before="120" w:after="120" w:line="360" w:lineRule="auto"/>
        <w:jc w:val="both"/>
        <w:rPr>
          <w:rFonts w:ascii="Arial" w:hAnsi="Arial" w:cs="Arial"/>
        </w:rPr>
      </w:pPr>
      <w:r w:rsidRPr="00A110C5">
        <w:rPr>
          <w:rFonts w:ascii="Arial" w:hAnsi="Arial" w:cs="Arial"/>
          <w:b/>
          <w:bCs/>
        </w:rPr>
        <w:t>Inventory Turnover:</w:t>
      </w:r>
      <w:r w:rsidRPr="00A110C5">
        <w:rPr>
          <w:rFonts w:ascii="Arial" w:hAnsi="Arial" w:cs="Arial"/>
        </w:rPr>
        <w:t xml:space="preserve"> </w:t>
      </w:r>
      <w:r w:rsidR="007A1E89" w:rsidRPr="007A1E89">
        <w:rPr>
          <w:rFonts w:ascii="Arial" w:hAnsi="Arial" w:cs="Arial"/>
        </w:rPr>
        <w:t>The inventory turnover ratio has been varying though it is quite high which means that General Electronics is effective in managing its inventory. Nevertheless, the decrease in 2022 (2.78) was also observed and may be associated with either the overstocking or slower sales in that year.</w:t>
      </w:r>
    </w:p>
    <w:p w14:paraId="7749CB89" w14:textId="1B1221B1" w:rsidR="00DD2C83" w:rsidRPr="00A110C5" w:rsidRDefault="00DD2C83" w:rsidP="009606E6">
      <w:pPr>
        <w:spacing w:before="120" w:after="120" w:line="360" w:lineRule="auto"/>
        <w:jc w:val="center"/>
        <w:rPr>
          <w:rFonts w:ascii="Arial" w:hAnsi="Arial" w:cs="Arial"/>
        </w:rPr>
      </w:pPr>
      <w:r w:rsidRPr="00A110C5">
        <w:rPr>
          <w:rFonts w:ascii="Arial" w:hAnsi="Arial" w:cs="Arial"/>
          <w:noProof/>
          <w:lang w:eastAsia="en-US" w:bidi="bn-BD"/>
        </w:rPr>
        <w:drawing>
          <wp:inline distT="0" distB="0" distL="0" distR="0" wp14:anchorId="6BBD75B2" wp14:editId="05A15CEC">
            <wp:extent cx="4114800" cy="2987749"/>
            <wp:effectExtent l="0" t="0" r="0" b="3175"/>
            <wp:docPr id="1210444474" name="Chart 4">
              <a:extLst xmlns:a="http://schemas.openxmlformats.org/drawingml/2006/main">
                <a:ext uri="{FF2B5EF4-FFF2-40B4-BE49-F238E27FC236}">
                  <a16:creationId xmlns:a16="http://schemas.microsoft.com/office/drawing/2014/main" id="{50A3E29A-B54D-CECC-855D-4DD1D14A403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C0B4632" w14:textId="32443E08" w:rsidR="00F2504F" w:rsidRDefault="00F2504F" w:rsidP="00F2504F">
      <w:pPr>
        <w:pStyle w:val="Caption"/>
        <w:jc w:val="center"/>
        <w:rPr>
          <w:rFonts w:ascii="Arial" w:hAnsi="Arial" w:cs="Arial"/>
          <w:b/>
          <w:bCs/>
        </w:rPr>
      </w:pPr>
      <w:bookmarkStart w:id="15" w:name="_Toc217069114"/>
      <w:bookmarkStart w:id="16" w:name="_Toc217080823"/>
      <w:r>
        <w:t xml:space="preserve">Figure </w:t>
      </w:r>
      <w:fldSimple w:instr=" SEQ Figure \* ARABIC ">
        <w:r>
          <w:rPr>
            <w:noProof/>
          </w:rPr>
          <w:t>5</w:t>
        </w:r>
      </w:fldSimple>
      <w:r>
        <w:t xml:space="preserve"> </w:t>
      </w:r>
      <w:r w:rsidRPr="006E50AE">
        <w:t>Asset Turnover</w:t>
      </w:r>
      <w:bookmarkEnd w:id="15"/>
      <w:bookmarkEnd w:id="16"/>
    </w:p>
    <w:p w14:paraId="255DCD32" w14:textId="670B1D08" w:rsidR="00472FAA" w:rsidRPr="00A110C5" w:rsidRDefault="00472FAA" w:rsidP="009606E6">
      <w:pPr>
        <w:spacing w:before="120" w:after="120" w:line="360" w:lineRule="auto"/>
        <w:jc w:val="both"/>
        <w:rPr>
          <w:rFonts w:ascii="Arial" w:hAnsi="Arial" w:cs="Arial"/>
        </w:rPr>
      </w:pPr>
      <w:r w:rsidRPr="00A110C5">
        <w:rPr>
          <w:rFonts w:ascii="Arial" w:hAnsi="Arial" w:cs="Arial"/>
          <w:b/>
          <w:bCs/>
        </w:rPr>
        <w:t>Asset Turnover:</w:t>
      </w:r>
      <w:r w:rsidRPr="00A110C5">
        <w:rPr>
          <w:rFonts w:ascii="Arial" w:hAnsi="Arial" w:cs="Arial"/>
        </w:rPr>
        <w:t xml:space="preserve"> </w:t>
      </w:r>
      <w:r w:rsidR="007A1E89" w:rsidRPr="007A1E89">
        <w:rPr>
          <w:rFonts w:ascii="Arial" w:hAnsi="Arial" w:cs="Arial"/>
        </w:rPr>
        <w:t>The asset turnover ratio has not changed significantly during the last five years averaging at 1.2. This demonstrates that the company has been enjoying a steady degree of efficiency in its use of its assets to generate revenues, even as its sales are on the fall</w:t>
      </w:r>
      <w:r w:rsidR="00D715E3">
        <w:rPr>
          <w:rFonts w:ascii="Arial" w:hAnsi="Arial" w:cs="Arial"/>
        </w:rPr>
        <w:t xml:space="preserve"> </w:t>
      </w:r>
      <w:r w:rsidR="00D715E3" w:rsidRPr="00D715E3">
        <w:rPr>
          <w:rFonts w:ascii="Arial" w:hAnsi="Arial" w:cs="Arial"/>
        </w:rPr>
        <w:t xml:space="preserve">(Utami, Muslih and </w:t>
      </w:r>
      <w:proofErr w:type="spellStart"/>
      <w:r w:rsidR="00D715E3" w:rsidRPr="00D715E3">
        <w:rPr>
          <w:rFonts w:ascii="Arial" w:hAnsi="Arial" w:cs="Arial"/>
        </w:rPr>
        <w:t>Csra</w:t>
      </w:r>
      <w:proofErr w:type="spellEnd"/>
      <w:r w:rsidR="00D715E3" w:rsidRPr="00D715E3">
        <w:rPr>
          <w:rFonts w:ascii="Arial" w:hAnsi="Arial" w:cs="Arial"/>
        </w:rPr>
        <w:t>, 2022)</w:t>
      </w:r>
      <w:r w:rsidR="007A1E89" w:rsidRPr="007A1E89">
        <w:rPr>
          <w:rFonts w:ascii="Arial" w:hAnsi="Arial" w:cs="Arial"/>
        </w:rPr>
        <w:t>.</w:t>
      </w:r>
    </w:p>
    <w:p w14:paraId="04D7B444" w14:textId="77777777" w:rsidR="00472FAA" w:rsidRDefault="00DD2C83" w:rsidP="009606E6">
      <w:pPr>
        <w:spacing w:before="120" w:after="120" w:line="360" w:lineRule="auto"/>
        <w:jc w:val="center"/>
        <w:rPr>
          <w:rFonts w:ascii="Arial" w:hAnsi="Arial" w:cs="Arial"/>
        </w:rPr>
      </w:pPr>
      <w:r w:rsidRPr="00A110C5">
        <w:rPr>
          <w:rFonts w:ascii="Arial" w:hAnsi="Arial" w:cs="Arial"/>
          <w:noProof/>
          <w:lang w:eastAsia="en-US" w:bidi="bn-BD"/>
        </w:rPr>
        <w:lastRenderedPageBreak/>
        <w:drawing>
          <wp:inline distT="0" distB="0" distL="0" distR="0" wp14:anchorId="1A535CA9" wp14:editId="5A69C328">
            <wp:extent cx="4167963" cy="3019646"/>
            <wp:effectExtent l="0" t="0" r="4445" b="9525"/>
            <wp:docPr id="1201710453" name="Chart 5">
              <a:extLst xmlns:a="http://schemas.openxmlformats.org/drawingml/2006/main">
                <a:ext uri="{FF2B5EF4-FFF2-40B4-BE49-F238E27FC236}">
                  <a16:creationId xmlns:a16="http://schemas.microsoft.com/office/drawing/2014/main" id="{937693A5-FCC7-F26D-84C6-63A48216012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67C1963B" w14:textId="2683EABC" w:rsidR="00F2504F" w:rsidRPr="00A110C5" w:rsidRDefault="00F2504F" w:rsidP="00F2504F">
      <w:pPr>
        <w:pStyle w:val="Caption"/>
        <w:jc w:val="center"/>
        <w:rPr>
          <w:rFonts w:ascii="Arial" w:hAnsi="Arial" w:cs="Arial"/>
        </w:rPr>
      </w:pPr>
      <w:bookmarkStart w:id="17" w:name="_Toc217069115"/>
      <w:bookmarkStart w:id="18" w:name="_Toc217080824"/>
      <w:r>
        <w:t xml:space="preserve">Figure </w:t>
      </w:r>
      <w:fldSimple w:instr=" SEQ Figure \* ARABIC ">
        <w:r>
          <w:rPr>
            <w:noProof/>
          </w:rPr>
          <w:t>6</w:t>
        </w:r>
      </w:fldSimple>
      <w:r>
        <w:t xml:space="preserve"> </w:t>
      </w:r>
      <w:r w:rsidRPr="003D421B">
        <w:t>Debt to Equity Ratio</w:t>
      </w:r>
      <w:bookmarkEnd w:id="17"/>
      <w:bookmarkEnd w:id="18"/>
    </w:p>
    <w:p w14:paraId="3109E38F" w14:textId="5A819A98" w:rsidR="00472FAA" w:rsidRPr="00A110C5" w:rsidRDefault="00472FAA" w:rsidP="009606E6">
      <w:pPr>
        <w:spacing w:before="120" w:after="120" w:line="360" w:lineRule="auto"/>
        <w:jc w:val="both"/>
        <w:rPr>
          <w:rFonts w:ascii="Arial" w:hAnsi="Arial" w:cs="Arial"/>
        </w:rPr>
      </w:pPr>
      <w:r w:rsidRPr="00A110C5">
        <w:rPr>
          <w:rFonts w:ascii="Arial" w:hAnsi="Arial" w:cs="Arial"/>
          <w:b/>
          <w:bCs/>
        </w:rPr>
        <w:t>Debt to Equity Ratio:</w:t>
      </w:r>
      <w:r w:rsidRPr="00A110C5">
        <w:rPr>
          <w:rFonts w:ascii="Arial" w:hAnsi="Arial" w:cs="Arial"/>
        </w:rPr>
        <w:t xml:space="preserve"> </w:t>
      </w:r>
      <w:r w:rsidR="007A1E89" w:rsidRPr="007A1E89">
        <w:rPr>
          <w:rFonts w:ascii="Arial" w:hAnsi="Arial" w:cs="Arial"/>
        </w:rPr>
        <w:t>The debt to equity ratio has also been on an upward trend as it stood at 0.63 in 2020 and 1.11 in 2024, which is an indicator that the company has become more dependent on debt to fund its operations. This casts doubts regarding the financial sustainability of the company and the future capacity of the company to repay its debts</w:t>
      </w:r>
      <w:r w:rsidR="00D715E3">
        <w:rPr>
          <w:rFonts w:ascii="Arial" w:hAnsi="Arial" w:cs="Arial"/>
        </w:rPr>
        <w:t xml:space="preserve"> </w:t>
      </w:r>
      <w:r w:rsidR="00D715E3" w:rsidRPr="00D715E3">
        <w:rPr>
          <w:rFonts w:ascii="Arial" w:hAnsi="Arial" w:cs="Arial"/>
        </w:rPr>
        <w:t>(</w:t>
      </w:r>
      <w:proofErr w:type="spellStart"/>
      <w:r w:rsidR="00D715E3" w:rsidRPr="00D715E3">
        <w:rPr>
          <w:rFonts w:ascii="Arial" w:hAnsi="Arial" w:cs="Arial"/>
        </w:rPr>
        <w:t>Heliani</w:t>
      </w:r>
      <w:proofErr w:type="spellEnd"/>
      <w:r w:rsidR="00D715E3" w:rsidRPr="00D715E3">
        <w:rPr>
          <w:rFonts w:ascii="Arial" w:hAnsi="Arial" w:cs="Arial"/>
        </w:rPr>
        <w:t xml:space="preserve"> et al., 2022)</w:t>
      </w:r>
      <w:r w:rsidR="007A1E89" w:rsidRPr="007A1E89">
        <w:rPr>
          <w:rFonts w:ascii="Arial" w:hAnsi="Arial" w:cs="Arial"/>
        </w:rPr>
        <w:t>.</w:t>
      </w:r>
    </w:p>
    <w:p w14:paraId="47C9DDBA" w14:textId="622B452E" w:rsidR="00DD2C83" w:rsidRDefault="00DD2C83" w:rsidP="009606E6">
      <w:pPr>
        <w:spacing w:before="120" w:after="120" w:line="360" w:lineRule="auto"/>
        <w:jc w:val="center"/>
        <w:rPr>
          <w:rFonts w:ascii="Arial" w:hAnsi="Arial" w:cs="Arial"/>
        </w:rPr>
      </w:pPr>
      <w:r w:rsidRPr="00A110C5">
        <w:rPr>
          <w:rFonts w:ascii="Arial" w:hAnsi="Arial" w:cs="Arial"/>
          <w:noProof/>
          <w:lang w:eastAsia="en-US" w:bidi="bn-BD"/>
        </w:rPr>
        <w:drawing>
          <wp:inline distT="0" distB="0" distL="0" distR="0" wp14:anchorId="7BAB53DB" wp14:editId="55A2FECA">
            <wp:extent cx="3912782" cy="3040912"/>
            <wp:effectExtent l="0" t="0" r="12065" b="7620"/>
            <wp:docPr id="1355572120" name="Chart 6">
              <a:extLst xmlns:a="http://schemas.openxmlformats.org/drawingml/2006/main">
                <a:ext uri="{FF2B5EF4-FFF2-40B4-BE49-F238E27FC236}">
                  <a16:creationId xmlns:a16="http://schemas.microsoft.com/office/drawing/2014/main" id="{2031EAB6-E223-7145-B2EE-D0C89CE17C8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565229D9" w14:textId="2E082A5E" w:rsidR="00F2504F" w:rsidRPr="00A110C5" w:rsidRDefault="00F2504F" w:rsidP="00F2504F">
      <w:pPr>
        <w:pStyle w:val="Caption"/>
        <w:jc w:val="center"/>
        <w:rPr>
          <w:rFonts w:ascii="Arial" w:hAnsi="Arial" w:cs="Arial"/>
        </w:rPr>
      </w:pPr>
      <w:bookmarkStart w:id="19" w:name="_Toc217069116"/>
      <w:bookmarkStart w:id="20" w:name="_Toc217080825"/>
      <w:r>
        <w:t xml:space="preserve">Figure </w:t>
      </w:r>
      <w:fldSimple w:instr=" SEQ Figure \* ARABIC ">
        <w:r>
          <w:rPr>
            <w:noProof/>
          </w:rPr>
          <w:t>7</w:t>
        </w:r>
      </w:fldSimple>
      <w:r>
        <w:t xml:space="preserve"> </w:t>
      </w:r>
      <w:r w:rsidRPr="00852F88">
        <w:t>Operating Cash Flow to Debt Ratio</w:t>
      </w:r>
      <w:bookmarkEnd w:id="19"/>
      <w:bookmarkEnd w:id="20"/>
    </w:p>
    <w:p w14:paraId="7B216546" w14:textId="2BDA2136" w:rsidR="0011243F" w:rsidRPr="00A110C5" w:rsidRDefault="00472FAA" w:rsidP="009606E6">
      <w:pPr>
        <w:spacing w:before="120" w:after="120" w:line="360" w:lineRule="auto"/>
        <w:jc w:val="both"/>
        <w:rPr>
          <w:rFonts w:ascii="Arial" w:hAnsi="Arial" w:cs="Arial"/>
        </w:rPr>
      </w:pPr>
      <w:r w:rsidRPr="00A110C5">
        <w:rPr>
          <w:rFonts w:ascii="Arial" w:hAnsi="Arial" w:cs="Arial"/>
          <w:b/>
          <w:bCs/>
        </w:rPr>
        <w:lastRenderedPageBreak/>
        <w:t>Operating Cash Flow to Debt Ratio:</w:t>
      </w:r>
      <w:r w:rsidRPr="00A110C5">
        <w:rPr>
          <w:rFonts w:ascii="Arial" w:hAnsi="Arial" w:cs="Arial"/>
        </w:rPr>
        <w:t xml:space="preserve"> </w:t>
      </w:r>
      <w:r w:rsidR="007A1E89" w:rsidRPr="007A1E89">
        <w:rPr>
          <w:rFonts w:ascii="Arial" w:hAnsi="Arial" w:cs="Arial"/>
        </w:rPr>
        <w:t>The operating cash flow to debt ratio has been extremely low especially in 2024 with the value of 0.087 showing that the company is not able to produce enough cash flow to pay off its debts</w:t>
      </w:r>
      <w:r w:rsidR="00D715E3">
        <w:rPr>
          <w:rFonts w:ascii="Arial" w:hAnsi="Arial" w:cs="Arial"/>
        </w:rPr>
        <w:t xml:space="preserve"> </w:t>
      </w:r>
      <w:r w:rsidR="00D715E3" w:rsidRPr="00D715E3">
        <w:rPr>
          <w:rFonts w:ascii="Arial" w:hAnsi="Arial" w:cs="Arial"/>
        </w:rPr>
        <w:t>(</w:t>
      </w:r>
      <w:proofErr w:type="spellStart"/>
      <w:r w:rsidR="00D715E3" w:rsidRPr="00D715E3">
        <w:rPr>
          <w:rFonts w:ascii="Arial" w:hAnsi="Arial" w:cs="Arial"/>
        </w:rPr>
        <w:t>Sunmola</w:t>
      </w:r>
      <w:proofErr w:type="spellEnd"/>
      <w:r w:rsidR="00D715E3" w:rsidRPr="00D715E3">
        <w:rPr>
          <w:rFonts w:ascii="Arial" w:hAnsi="Arial" w:cs="Arial"/>
        </w:rPr>
        <w:t>, 2021)</w:t>
      </w:r>
      <w:r w:rsidR="007A1E89" w:rsidRPr="007A1E89">
        <w:rPr>
          <w:rFonts w:ascii="Arial" w:hAnsi="Arial" w:cs="Arial"/>
        </w:rPr>
        <w:t>.</w:t>
      </w:r>
    </w:p>
    <w:p w14:paraId="32DAC249" w14:textId="4B2E2A74" w:rsidR="00416D17" w:rsidRPr="00A110C5" w:rsidRDefault="00416D17" w:rsidP="00112D41">
      <w:pPr>
        <w:pStyle w:val="Heading2"/>
      </w:pPr>
      <w:bookmarkStart w:id="21" w:name="_Toc217080764"/>
      <w:r w:rsidRPr="00A110C5">
        <w:t>2.4 Strengths and Threats</w:t>
      </w:r>
      <w:bookmarkEnd w:id="21"/>
    </w:p>
    <w:p w14:paraId="2AE435D6" w14:textId="77777777" w:rsidR="001954C7" w:rsidRPr="00A110C5" w:rsidRDefault="001954C7" w:rsidP="009606E6">
      <w:pPr>
        <w:spacing w:before="120" w:after="120" w:line="360" w:lineRule="auto"/>
        <w:jc w:val="both"/>
        <w:rPr>
          <w:rFonts w:ascii="Arial" w:hAnsi="Arial" w:cs="Arial"/>
          <w:b/>
          <w:bCs/>
        </w:rPr>
      </w:pPr>
      <w:r w:rsidRPr="00A110C5">
        <w:rPr>
          <w:rFonts w:ascii="Arial" w:hAnsi="Arial" w:cs="Arial"/>
          <w:b/>
          <w:bCs/>
        </w:rPr>
        <w:t>Strengths</w:t>
      </w:r>
    </w:p>
    <w:p w14:paraId="0FF229E3" w14:textId="6D918590" w:rsidR="001954C7" w:rsidRPr="00A110C5" w:rsidRDefault="001954C7" w:rsidP="009606E6">
      <w:pPr>
        <w:numPr>
          <w:ilvl w:val="0"/>
          <w:numId w:val="32"/>
        </w:numPr>
        <w:tabs>
          <w:tab w:val="clear" w:pos="720"/>
        </w:tabs>
        <w:spacing w:before="120" w:after="120" w:line="360" w:lineRule="auto"/>
        <w:ind w:left="360"/>
        <w:jc w:val="both"/>
        <w:rPr>
          <w:rFonts w:ascii="Arial" w:hAnsi="Arial" w:cs="Arial"/>
        </w:rPr>
      </w:pPr>
      <w:r w:rsidRPr="00A110C5">
        <w:rPr>
          <w:rFonts w:ascii="Arial" w:hAnsi="Arial" w:cs="Arial"/>
          <w:b/>
          <w:bCs/>
        </w:rPr>
        <w:t>Stable Gross Profit Margin</w:t>
      </w:r>
      <w:r w:rsidRPr="00A110C5">
        <w:rPr>
          <w:rFonts w:ascii="Arial" w:hAnsi="Arial" w:cs="Arial"/>
        </w:rPr>
        <w:t xml:space="preserve">: </w:t>
      </w:r>
      <w:r w:rsidR="007A1E89" w:rsidRPr="007A1E89">
        <w:rPr>
          <w:rFonts w:ascii="Arial" w:hAnsi="Arial" w:cs="Arial"/>
        </w:rPr>
        <w:t>General Electronics has been operating at a very strong gross profit margin between 23.2% and 28.9%. This shows how the company has been able to control production expenses and attain profitability through its core business even in the face of financial difficulties.</w:t>
      </w:r>
    </w:p>
    <w:p w14:paraId="583DA675" w14:textId="5B30D56C" w:rsidR="001954C7" w:rsidRPr="00A110C5" w:rsidRDefault="001954C7" w:rsidP="009606E6">
      <w:pPr>
        <w:numPr>
          <w:ilvl w:val="0"/>
          <w:numId w:val="32"/>
        </w:numPr>
        <w:tabs>
          <w:tab w:val="clear" w:pos="720"/>
        </w:tabs>
        <w:spacing w:before="120" w:after="120" w:line="360" w:lineRule="auto"/>
        <w:ind w:left="360"/>
        <w:jc w:val="both"/>
        <w:rPr>
          <w:rFonts w:ascii="Arial" w:hAnsi="Arial" w:cs="Arial"/>
        </w:rPr>
      </w:pPr>
      <w:r w:rsidRPr="00A110C5">
        <w:rPr>
          <w:rFonts w:ascii="Arial" w:hAnsi="Arial" w:cs="Arial"/>
          <w:b/>
          <w:bCs/>
        </w:rPr>
        <w:t>Solid Liquidity Ratios</w:t>
      </w:r>
      <w:r w:rsidRPr="00A110C5">
        <w:rPr>
          <w:rFonts w:ascii="Arial" w:hAnsi="Arial" w:cs="Arial"/>
        </w:rPr>
        <w:t xml:space="preserve">: </w:t>
      </w:r>
      <w:r w:rsidR="007A1E89" w:rsidRPr="007A1E89">
        <w:rPr>
          <w:rFonts w:ascii="Arial" w:hAnsi="Arial" w:cs="Arial"/>
        </w:rPr>
        <w:t>The company has shown a good liquidity ratio where its current ratio of 1.53 and quick ratio of 1.03 in 2024. Given these ratios, it is possible to conclude that, at the moment, General Electronics has enough short-term assets to meet its urgent obligations, which means that financial flexibility is good to deal with any unexpected issues.</w:t>
      </w:r>
    </w:p>
    <w:p w14:paraId="1CD03B37" w14:textId="139548C0" w:rsidR="001954C7" w:rsidRPr="00A110C5" w:rsidRDefault="001954C7" w:rsidP="009606E6">
      <w:pPr>
        <w:numPr>
          <w:ilvl w:val="0"/>
          <w:numId w:val="32"/>
        </w:numPr>
        <w:tabs>
          <w:tab w:val="clear" w:pos="720"/>
        </w:tabs>
        <w:spacing w:before="120" w:after="120" w:line="360" w:lineRule="auto"/>
        <w:ind w:left="360"/>
        <w:jc w:val="both"/>
        <w:rPr>
          <w:rFonts w:ascii="Arial" w:hAnsi="Arial" w:cs="Arial"/>
        </w:rPr>
      </w:pPr>
      <w:r w:rsidRPr="00A110C5">
        <w:rPr>
          <w:rFonts w:ascii="Arial" w:hAnsi="Arial" w:cs="Arial"/>
          <w:b/>
          <w:bCs/>
        </w:rPr>
        <w:t>Efficient Asset Management</w:t>
      </w:r>
      <w:r w:rsidRPr="00A110C5">
        <w:rPr>
          <w:rFonts w:ascii="Arial" w:hAnsi="Arial" w:cs="Arial"/>
        </w:rPr>
        <w:t xml:space="preserve">: </w:t>
      </w:r>
      <w:r w:rsidR="007A1E89" w:rsidRPr="007A1E89">
        <w:rPr>
          <w:rFonts w:ascii="Arial" w:hAnsi="Arial" w:cs="Arial"/>
        </w:rPr>
        <w:t>General Electronics has continued its efficient asset turnover ratio of 1.22 in 2024. Although this is a minor reduction compared to the past few years, it is still an indication that the company is capable of making money on its assets. Heavy, the inventory turnover of 3.54 also shows that the company has an efficient inventory, and it is able to turn the stocks into sales and replace them within a short period of time.</w:t>
      </w:r>
    </w:p>
    <w:p w14:paraId="7B7C5E0E" w14:textId="77777777" w:rsidR="001954C7" w:rsidRPr="00A110C5" w:rsidRDefault="001954C7" w:rsidP="009606E6">
      <w:pPr>
        <w:spacing w:before="120" w:after="120" w:line="360" w:lineRule="auto"/>
        <w:jc w:val="both"/>
        <w:rPr>
          <w:rFonts w:ascii="Arial" w:hAnsi="Arial" w:cs="Arial"/>
          <w:b/>
          <w:bCs/>
        </w:rPr>
      </w:pPr>
      <w:r w:rsidRPr="00A110C5">
        <w:rPr>
          <w:rFonts w:ascii="Arial" w:hAnsi="Arial" w:cs="Arial"/>
          <w:b/>
          <w:bCs/>
        </w:rPr>
        <w:t>Threats</w:t>
      </w:r>
    </w:p>
    <w:p w14:paraId="6D313E50" w14:textId="46926E25" w:rsidR="001954C7" w:rsidRPr="00A110C5" w:rsidRDefault="001954C7" w:rsidP="009606E6">
      <w:pPr>
        <w:numPr>
          <w:ilvl w:val="0"/>
          <w:numId w:val="33"/>
        </w:numPr>
        <w:tabs>
          <w:tab w:val="clear" w:pos="720"/>
        </w:tabs>
        <w:spacing w:before="120" w:after="120" w:line="360" w:lineRule="auto"/>
        <w:ind w:left="360"/>
        <w:jc w:val="both"/>
        <w:rPr>
          <w:rFonts w:ascii="Arial" w:hAnsi="Arial" w:cs="Arial"/>
        </w:rPr>
      </w:pPr>
      <w:r w:rsidRPr="00A110C5">
        <w:rPr>
          <w:rFonts w:ascii="Arial" w:hAnsi="Arial" w:cs="Arial"/>
          <w:b/>
          <w:bCs/>
        </w:rPr>
        <w:t>Declining Return on Assets (ROA)</w:t>
      </w:r>
      <w:r w:rsidRPr="00A110C5">
        <w:rPr>
          <w:rFonts w:ascii="Arial" w:hAnsi="Arial" w:cs="Arial"/>
        </w:rPr>
        <w:t xml:space="preserve">: </w:t>
      </w:r>
      <w:r w:rsidR="007A1E89" w:rsidRPr="007A1E89">
        <w:rPr>
          <w:rFonts w:ascii="Arial" w:hAnsi="Arial" w:cs="Arial"/>
        </w:rPr>
        <w:t>ROA has been dropping drastically to -7.4 in 2024 as compared to 7.6 in 2020, indicating that the company will not be able to make profit out of its assets as effectively as before. This decreasing productivity is a key issue to long term profitability.</w:t>
      </w:r>
    </w:p>
    <w:p w14:paraId="15306D64" w14:textId="75FEB057" w:rsidR="001954C7" w:rsidRPr="00A110C5" w:rsidRDefault="001954C7" w:rsidP="009606E6">
      <w:pPr>
        <w:numPr>
          <w:ilvl w:val="0"/>
          <w:numId w:val="33"/>
        </w:numPr>
        <w:tabs>
          <w:tab w:val="clear" w:pos="720"/>
        </w:tabs>
        <w:spacing w:before="120" w:after="120" w:line="360" w:lineRule="auto"/>
        <w:ind w:left="360"/>
        <w:jc w:val="both"/>
        <w:rPr>
          <w:rFonts w:ascii="Arial" w:hAnsi="Arial" w:cs="Arial"/>
        </w:rPr>
      </w:pPr>
      <w:r w:rsidRPr="00A110C5">
        <w:rPr>
          <w:rFonts w:ascii="Arial" w:hAnsi="Arial" w:cs="Arial"/>
          <w:b/>
          <w:bCs/>
        </w:rPr>
        <w:t>High Debt Levels</w:t>
      </w:r>
      <w:r w:rsidRPr="00A110C5">
        <w:rPr>
          <w:rFonts w:ascii="Arial" w:hAnsi="Arial" w:cs="Arial"/>
        </w:rPr>
        <w:t xml:space="preserve">: </w:t>
      </w:r>
      <w:r w:rsidR="007A1E89" w:rsidRPr="007A1E89">
        <w:rPr>
          <w:rFonts w:ascii="Arial" w:hAnsi="Arial" w:cs="Arial"/>
        </w:rPr>
        <w:t>As the debt-to-equity ratio in 2024 has reached 1.11, General Electronics is becoming a debt-driven company. This increases the chances of financial distress particularly in low-profit environment where debt servicing is made harder.</w:t>
      </w:r>
    </w:p>
    <w:p w14:paraId="7B256623" w14:textId="4EEE0A73" w:rsidR="00472FAA" w:rsidRPr="00A110C5" w:rsidRDefault="001954C7" w:rsidP="009606E6">
      <w:pPr>
        <w:numPr>
          <w:ilvl w:val="0"/>
          <w:numId w:val="33"/>
        </w:numPr>
        <w:tabs>
          <w:tab w:val="clear" w:pos="720"/>
        </w:tabs>
        <w:spacing w:before="120" w:after="120" w:line="360" w:lineRule="auto"/>
        <w:ind w:left="360"/>
        <w:jc w:val="both"/>
        <w:rPr>
          <w:rFonts w:ascii="Arial" w:hAnsi="Arial" w:cs="Arial"/>
        </w:rPr>
      </w:pPr>
      <w:r w:rsidRPr="00A110C5">
        <w:rPr>
          <w:rFonts w:ascii="Arial" w:hAnsi="Arial" w:cs="Arial"/>
          <w:b/>
          <w:bCs/>
        </w:rPr>
        <w:lastRenderedPageBreak/>
        <w:t>Negative Earnings per Share (EPS)</w:t>
      </w:r>
      <w:r w:rsidRPr="00A110C5">
        <w:rPr>
          <w:rFonts w:ascii="Arial" w:hAnsi="Arial" w:cs="Arial"/>
        </w:rPr>
        <w:t xml:space="preserve">: </w:t>
      </w:r>
      <w:r w:rsidR="007A1E89" w:rsidRPr="007A1E89">
        <w:rPr>
          <w:rFonts w:ascii="Arial" w:hAnsi="Arial" w:cs="Arial"/>
        </w:rPr>
        <w:t>- £1.85 negative EPS of 2024 shows that the company is not profitable at the moment. This may create the loss of investor confidence and adversely affect the value of stock.</w:t>
      </w:r>
    </w:p>
    <w:p w14:paraId="4B372AF6" w14:textId="53D43E6C" w:rsidR="0011243F" w:rsidRPr="00A110C5" w:rsidRDefault="00472FAA" w:rsidP="00112D41">
      <w:pPr>
        <w:pStyle w:val="Heading2"/>
      </w:pPr>
      <w:bookmarkStart w:id="22" w:name="_Toc217080765"/>
      <w:r w:rsidRPr="00A110C5">
        <w:t>2.</w:t>
      </w:r>
      <w:r w:rsidR="009606E6" w:rsidRPr="00A110C5">
        <w:t>5</w:t>
      </w:r>
      <w:r w:rsidRPr="00A110C5">
        <w:t xml:space="preserve"> </w:t>
      </w:r>
      <w:r w:rsidR="0011243F" w:rsidRPr="00A110C5">
        <w:t>Corporate Failure Prediction Models (Altman Z-Score)</w:t>
      </w:r>
      <w:bookmarkEnd w:id="22"/>
    </w:p>
    <w:p w14:paraId="4E7D118E" w14:textId="77777777" w:rsidR="00EE07E2" w:rsidRDefault="00EE07E2" w:rsidP="009606E6">
      <w:pPr>
        <w:spacing w:before="120" w:after="120" w:line="360" w:lineRule="auto"/>
        <w:jc w:val="both"/>
        <w:rPr>
          <w:rFonts w:ascii="Arial" w:hAnsi="Arial" w:cs="Arial"/>
        </w:rPr>
      </w:pPr>
      <w:r w:rsidRPr="00EE07E2">
        <w:rPr>
          <w:rFonts w:ascii="Arial" w:hAnsi="Arial" w:cs="Arial"/>
        </w:rPr>
        <w:t>The Altman Z-Score is an indicator that is employed in anticipating the risk of a company becoming bankrupt.</w:t>
      </w:r>
      <w:r w:rsidR="0011243F" w:rsidRPr="00A110C5">
        <w:rPr>
          <w:rFonts w:ascii="Arial" w:hAnsi="Arial" w:cs="Arial"/>
        </w:rPr>
        <w:t xml:space="preserve"> </w:t>
      </w:r>
    </w:p>
    <w:p w14:paraId="1E77F503" w14:textId="27F71F6B" w:rsidR="0011243F" w:rsidRPr="00A110C5" w:rsidRDefault="0011243F" w:rsidP="009606E6">
      <w:pPr>
        <w:spacing w:before="120" w:after="120" w:line="360" w:lineRule="auto"/>
        <w:jc w:val="both"/>
        <w:rPr>
          <w:rFonts w:ascii="Arial" w:hAnsi="Arial" w:cs="Arial"/>
        </w:rPr>
      </w:pPr>
      <w:r w:rsidRPr="00A110C5">
        <w:rPr>
          <w:rFonts w:ascii="Arial" w:hAnsi="Arial" w:cs="Arial"/>
        </w:rPr>
        <w:t>The formula for the Z-Score is as follows:</w:t>
      </w:r>
    </w:p>
    <w:p w14:paraId="7AFF3F2A" w14:textId="1A08CDF2" w:rsidR="0011243F" w:rsidRPr="00A110C5" w:rsidRDefault="0011243F" w:rsidP="009606E6">
      <w:pPr>
        <w:spacing w:before="120" w:after="120" w:line="360" w:lineRule="auto"/>
        <w:jc w:val="both"/>
        <w:rPr>
          <w:rFonts w:ascii="Arial" w:hAnsi="Arial" w:cs="Arial"/>
        </w:rPr>
      </w:pPr>
      <m:oMathPara>
        <m:oMath>
          <m:r>
            <w:rPr>
              <w:rFonts w:ascii="Cambria Math" w:hAnsi="Cambria Math" w:cs="Arial"/>
            </w:rPr>
            <m:t>Z=1.2×(</m:t>
          </m:r>
          <m:f>
            <m:fPr>
              <m:ctrlPr>
                <w:rPr>
                  <w:rFonts w:ascii="Cambria Math" w:hAnsi="Cambria Math" w:cs="Arial"/>
                </w:rPr>
              </m:ctrlPr>
            </m:fPr>
            <m:num>
              <m:r>
                <m:rPr>
                  <m:nor/>
                </m:rPr>
                <w:rPr>
                  <w:rFonts w:ascii="Arial" w:hAnsi="Arial" w:cs="Arial"/>
                </w:rPr>
                <m:t>Working Capital</m:t>
              </m:r>
            </m:num>
            <m:den>
              <m:r>
                <m:rPr>
                  <m:nor/>
                </m:rPr>
                <w:rPr>
                  <w:rFonts w:ascii="Arial" w:hAnsi="Arial" w:cs="Arial"/>
                </w:rPr>
                <m:t>Total Assets</m:t>
              </m:r>
            </m:den>
          </m:f>
          <m:r>
            <w:rPr>
              <w:rFonts w:ascii="Cambria Math" w:hAnsi="Cambria Math" w:cs="Arial"/>
            </w:rPr>
            <m:t xml:space="preserve">)+1.4×( </m:t>
          </m:r>
          <m:f>
            <m:fPr>
              <m:ctrlPr>
                <w:rPr>
                  <w:rFonts w:ascii="Cambria Math" w:hAnsi="Cambria Math" w:cs="Arial"/>
                </w:rPr>
              </m:ctrlPr>
            </m:fPr>
            <m:num>
              <m:r>
                <m:rPr>
                  <m:nor/>
                </m:rPr>
                <w:rPr>
                  <w:rFonts w:ascii="Arial" w:hAnsi="Arial" w:cs="Arial"/>
                </w:rPr>
                <m:t>Retained Earnings</m:t>
              </m:r>
            </m:num>
            <m:den>
              <m:r>
                <m:rPr>
                  <m:nor/>
                </m:rPr>
                <w:rPr>
                  <w:rFonts w:ascii="Arial" w:hAnsi="Arial" w:cs="Arial"/>
                </w:rPr>
                <m:t>Total Assets</m:t>
              </m:r>
            </m:den>
          </m:f>
          <m:r>
            <w:rPr>
              <w:rFonts w:ascii="Cambria Math" w:hAnsi="Cambria Math" w:cs="Arial"/>
            </w:rPr>
            <m:t xml:space="preserve"> )+3.3×(</m:t>
          </m:r>
          <m:f>
            <m:fPr>
              <m:ctrlPr>
                <w:rPr>
                  <w:rFonts w:ascii="Cambria Math" w:hAnsi="Cambria Math" w:cs="Arial"/>
                </w:rPr>
              </m:ctrlPr>
            </m:fPr>
            <m:num>
              <m:r>
                <m:rPr>
                  <m:nor/>
                </m:rPr>
                <w:rPr>
                  <w:rFonts w:ascii="Arial" w:hAnsi="Arial" w:cs="Arial"/>
                </w:rPr>
                <m:t>EBIT</m:t>
              </m:r>
            </m:num>
            <m:den>
              <m:r>
                <m:rPr>
                  <m:nor/>
                </m:rPr>
                <w:rPr>
                  <w:rFonts w:ascii="Arial" w:hAnsi="Arial" w:cs="Arial"/>
                </w:rPr>
                <m:t>Total Assets</m:t>
              </m:r>
            </m:den>
          </m:f>
          <m:r>
            <w:rPr>
              <w:rFonts w:ascii="Cambria Math" w:hAnsi="Cambria Math" w:cs="Arial"/>
            </w:rPr>
            <m:t>)+0.6×(</m:t>
          </m:r>
          <m:f>
            <m:fPr>
              <m:ctrlPr>
                <w:rPr>
                  <w:rFonts w:ascii="Cambria Math" w:hAnsi="Cambria Math" w:cs="Arial"/>
                </w:rPr>
              </m:ctrlPr>
            </m:fPr>
            <m:num>
              <m:r>
                <m:rPr>
                  <m:nor/>
                </m:rPr>
                <w:rPr>
                  <w:rFonts w:ascii="Arial" w:hAnsi="Arial" w:cs="Arial"/>
                </w:rPr>
                <m:t>Market Value of Equity</m:t>
              </m:r>
            </m:num>
            <m:den>
              <m:r>
                <m:rPr>
                  <m:nor/>
                </m:rPr>
                <w:rPr>
                  <w:rFonts w:ascii="Arial" w:hAnsi="Arial" w:cs="Arial"/>
                </w:rPr>
                <m:t>Total Liabilities</m:t>
              </m:r>
            </m:den>
          </m:f>
          <m:r>
            <w:rPr>
              <w:rFonts w:ascii="Cambria Math" w:hAnsi="Cambria Math" w:cs="Arial"/>
            </w:rPr>
            <m:t>)+1.0×(</m:t>
          </m:r>
          <m:f>
            <m:fPr>
              <m:ctrlPr>
                <w:rPr>
                  <w:rFonts w:ascii="Cambria Math" w:hAnsi="Cambria Math" w:cs="Arial"/>
                </w:rPr>
              </m:ctrlPr>
            </m:fPr>
            <m:num>
              <m:r>
                <m:rPr>
                  <m:nor/>
                </m:rPr>
                <w:rPr>
                  <w:rFonts w:ascii="Arial" w:hAnsi="Arial" w:cs="Arial"/>
                </w:rPr>
                <m:t>Sales</m:t>
              </m:r>
            </m:num>
            <m:den>
              <m:r>
                <m:rPr>
                  <m:nor/>
                </m:rPr>
                <w:rPr>
                  <w:rFonts w:ascii="Arial" w:hAnsi="Arial" w:cs="Arial"/>
                </w:rPr>
                <m:t>Total Assets</m:t>
              </m:r>
            </m:den>
          </m:f>
          <m:r>
            <w:rPr>
              <w:rFonts w:ascii="Cambria Math" w:hAnsi="Cambria Math" w:cs="Arial"/>
            </w:rPr>
            <m:t>)</m:t>
          </m:r>
        </m:oMath>
      </m:oMathPara>
    </w:p>
    <w:p w14:paraId="1261FD6F" w14:textId="77777777" w:rsidR="0011243F" w:rsidRPr="00A110C5" w:rsidRDefault="0011243F" w:rsidP="009606E6">
      <w:pPr>
        <w:spacing w:before="120" w:after="120" w:line="360" w:lineRule="auto"/>
        <w:jc w:val="both"/>
        <w:rPr>
          <w:rFonts w:ascii="Arial" w:hAnsi="Arial" w:cs="Arial"/>
          <w:b/>
          <w:bCs/>
        </w:rPr>
      </w:pPr>
      <w:r w:rsidRPr="00A110C5">
        <w:rPr>
          <w:rFonts w:ascii="Arial" w:hAnsi="Arial" w:cs="Arial"/>
          <w:b/>
          <w:bCs/>
        </w:rPr>
        <w:t>Calculation of Altman Z-Score for 2024</w:t>
      </w:r>
    </w:p>
    <w:p w14:paraId="5444350F" w14:textId="4B069078" w:rsidR="0011243F" w:rsidRPr="00A110C5" w:rsidRDefault="00EE07E2" w:rsidP="009606E6">
      <w:pPr>
        <w:spacing w:before="120" w:after="120" w:line="360" w:lineRule="auto"/>
        <w:jc w:val="both"/>
        <w:rPr>
          <w:rFonts w:ascii="Arial" w:hAnsi="Arial" w:cs="Arial"/>
        </w:rPr>
      </w:pPr>
      <w:r w:rsidRPr="00EE07E2">
        <w:rPr>
          <w:rFonts w:ascii="Arial" w:hAnsi="Arial" w:cs="Arial"/>
        </w:rPr>
        <w:t>Approximate figures will be used, which are grounded in the data of balance sheet and income statement 2024.</w:t>
      </w:r>
    </w:p>
    <w:p w14:paraId="57B460F5" w14:textId="77777777" w:rsidR="0011243F" w:rsidRPr="00A110C5" w:rsidRDefault="0011243F" w:rsidP="009606E6">
      <w:pPr>
        <w:numPr>
          <w:ilvl w:val="0"/>
          <w:numId w:val="20"/>
        </w:numPr>
        <w:spacing w:before="120" w:after="120" w:line="360" w:lineRule="auto"/>
        <w:jc w:val="both"/>
        <w:rPr>
          <w:rFonts w:ascii="Arial" w:hAnsi="Arial" w:cs="Arial"/>
        </w:rPr>
      </w:pPr>
      <w:r w:rsidRPr="00A110C5">
        <w:rPr>
          <w:rFonts w:ascii="Arial" w:hAnsi="Arial" w:cs="Arial"/>
        </w:rPr>
        <w:t>Working Capital = Current Assets - Current Liabilities = £242,494m - £158,291m = £84,203m</w:t>
      </w:r>
    </w:p>
    <w:p w14:paraId="3DF86F0C" w14:textId="77777777" w:rsidR="0011243F" w:rsidRPr="00A110C5" w:rsidRDefault="0011243F" w:rsidP="009606E6">
      <w:pPr>
        <w:numPr>
          <w:ilvl w:val="0"/>
          <w:numId w:val="20"/>
        </w:numPr>
        <w:spacing w:before="120" w:after="120" w:line="360" w:lineRule="auto"/>
        <w:jc w:val="both"/>
        <w:rPr>
          <w:rFonts w:ascii="Arial" w:hAnsi="Arial" w:cs="Arial"/>
        </w:rPr>
      </w:pPr>
      <w:r w:rsidRPr="00A110C5">
        <w:rPr>
          <w:rFonts w:ascii="Arial" w:hAnsi="Arial" w:cs="Arial"/>
        </w:rPr>
        <w:t>Retained Earnings = £208,431m</w:t>
      </w:r>
    </w:p>
    <w:p w14:paraId="7EC8E33E" w14:textId="77777777" w:rsidR="0011243F" w:rsidRPr="00A110C5" w:rsidRDefault="0011243F" w:rsidP="009606E6">
      <w:pPr>
        <w:numPr>
          <w:ilvl w:val="0"/>
          <w:numId w:val="20"/>
        </w:numPr>
        <w:spacing w:before="120" w:after="120" w:line="360" w:lineRule="auto"/>
        <w:jc w:val="both"/>
        <w:rPr>
          <w:rFonts w:ascii="Arial" w:hAnsi="Arial" w:cs="Arial"/>
        </w:rPr>
      </w:pPr>
      <w:r w:rsidRPr="00A110C5">
        <w:rPr>
          <w:rFonts w:ascii="Arial" w:hAnsi="Arial" w:cs="Arial"/>
        </w:rPr>
        <w:t>EBIT (Operating Income) = -£15,297m</w:t>
      </w:r>
    </w:p>
    <w:p w14:paraId="7BC2B117" w14:textId="77777777" w:rsidR="0011243F" w:rsidRPr="00A110C5" w:rsidRDefault="0011243F" w:rsidP="009606E6">
      <w:pPr>
        <w:numPr>
          <w:ilvl w:val="0"/>
          <w:numId w:val="20"/>
        </w:numPr>
        <w:spacing w:before="120" w:after="120" w:line="360" w:lineRule="auto"/>
        <w:jc w:val="both"/>
        <w:rPr>
          <w:rFonts w:ascii="Arial" w:hAnsi="Arial" w:cs="Arial"/>
        </w:rPr>
      </w:pPr>
      <w:r w:rsidRPr="00A110C5">
        <w:rPr>
          <w:rFonts w:ascii="Arial" w:hAnsi="Arial" w:cs="Arial"/>
        </w:rPr>
        <w:t>Total Assets = £323,354m</w:t>
      </w:r>
    </w:p>
    <w:p w14:paraId="7710AB06" w14:textId="77777777" w:rsidR="0011243F" w:rsidRPr="00A110C5" w:rsidRDefault="0011243F" w:rsidP="009606E6">
      <w:pPr>
        <w:numPr>
          <w:ilvl w:val="0"/>
          <w:numId w:val="20"/>
        </w:numPr>
        <w:spacing w:before="120" w:after="120" w:line="360" w:lineRule="auto"/>
        <w:jc w:val="both"/>
        <w:rPr>
          <w:rFonts w:ascii="Arial" w:hAnsi="Arial" w:cs="Arial"/>
        </w:rPr>
      </w:pPr>
      <w:r w:rsidRPr="00A110C5">
        <w:rPr>
          <w:rFonts w:ascii="Arial" w:hAnsi="Arial" w:cs="Arial"/>
        </w:rPr>
        <w:t>Market Value of Equity (approximated) = Total Assets - Total Liabilities = £323,354m - £170,249m = £153,105m</w:t>
      </w:r>
    </w:p>
    <w:p w14:paraId="557E0621" w14:textId="77777777" w:rsidR="0011243F" w:rsidRPr="00A110C5" w:rsidRDefault="0011243F" w:rsidP="009606E6">
      <w:pPr>
        <w:numPr>
          <w:ilvl w:val="0"/>
          <w:numId w:val="20"/>
        </w:numPr>
        <w:spacing w:before="120" w:after="120" w:line="360" w:lineRule="auto"/>
        <w:jc w:val="both"/>
        <w:rPr>
          <w:rFonts w:ascii="Arial" w:hAnsi="Arial" w:cs="Arial"/>
        </w:rPr>
      </w:pPr>
      <w:r w:rsidRPr="00A110C5">
        <w:rPr>
          <w:rFonts w:ascii="Arial" w:hAnsi="Arial" w:cs="Arial"/>
        </w:rPr>
        <w:t>Sales = £394,879m</w:t>
      </w:r>
    </w:p>
    <w:p w14:paraId="5EBE110E" w14:textId="7928DF80" w:rsidR="0011243F" w:rsidRPr="00A110C5" w:rsidRDefault="0011243F" w:rsidP="009606E6">
      <w:pPr>
        <w:spacing w:before="120" w:after="120" w:line="360" w:lineRule="auto"/>
        <w:jc w:val="both"/>
        <w:rPr>
          <w:rFonts w:ascii="Arial" w:hAnsi="Arial" w:cs="Arial"/>
          <w:b/>
          <w:bCs/>
        </w:rPr>
      </w:pPr>
      <w:r w:rsidRPr="00A110C5">
        <w:rPr>
          <w:rFonts w:ascii="Arial" w:hAnsi="Arial" w:cs="Arial"/>
          <w:b/>
          <w:bCs/>
        </w:rPr>
        <w:t>Now, substituting these values into the Z-Score formula</w:t>
      </w:r>
    </w:p>
    <w:p w14:paraId="3CA12399" w14:textId="5ED1854B" w:rsidR="0011243F" w:rsidRPr="00A110C5" w:rsidRDefault="0011243F" w:rsidP="009606E6">
      <w:pPr>
        <w:spacing w:before="120" w:after="120" w:line="360" w:lineRule="auto"/>
        <w:jc w:val="both"/>
        <w:rPr>
          <w:rFonts w:ascii="Arial" w:hAnsi="Arial" w:cs="Arial"/>
        </w:rPr>
      </w:pPr>
      <m:oMathPara>
        <m:oMath>
          <m:r>
            <w:rPr>
              <w:rFonts w:ascii="Cambria Math" w:hAnsi="Cambria Math" w:cs="Arial"/>
            </w:rPr>
            <m:t>Z=1.2×(</m:t>
          </m:r>
          <m:f>
            <m:fPr>
              <m:ctrlPr>
                <w:rPr>
                  <w:rFonts w:ascii="Cambria Math" w:hAnsi="Cambria Math" w:cs="Arial"/>
                </w:rPr>
              </m:ctrlPr>
            </m:fPr>
            <m:num>
              <m:r>
                <w:rPr>
                  <w:rFonts w:ascii="Cambria Math" w:hAnsi="Cambria Math" w:cs="Arial"/>
                </w:rPr>
                <m:t>84,203</m:t>
              </m:r>
            </m:num>
            <m:den>
              <m:r>
                <w:rPr>
                  <w:rFonts w:ascii="Cambria Math" w:hAnsi="Cambria Math" w:cs="Arial"/>
                </w:rPr>
                <m:t>323,354</m:t>
              </m:r>
            </m:den>
          </m:f>
          <m:r>
            <w:rPr>
              <w:rFonts w:ascii="Cambria Math" w:hAnsi="Cambria Math" w:cs="Arial"/>
            </w:rPr>
            <m:t>)+1.4×(</m:t>
          </m:r>
          <m:f>
            <m:fPr>
              <m:ctrlPr>
                <w:rPr>
                  <w:rFonts w:ascii="Cambria Math" w:hAnsi="Cambria Math" w:cs="Arial"/>
                </w:rPr>
              </m:ctrlPr>
            </m:fPr>
            <m:num>
              <m:r>
                <w:rPr>
                  <w:rFonts w:ascii="Cambria Math" w:hAnsi="Cambria Math" w:cs="Arial"/>
                </w:rPr>
                <m:t>208,431</m:t>
              </m:r>
            </m:num>
            <m:den>
              <m:r>
                <w:rPr>
                  <w:rFonts w:ascii="Cambria Math" w:hAnsi="Cambria Math" w:cs="Arial"/>
                </w:rPr>
                <m:t>323,354</m:t>
              </m:r>
            </m:den>
          </m:f>
          <m:r>
            <w:rPr>
              <w:rFonts w:ascii="Cambria Math" w:hAnsi="Cambria Math" w:cs="Arial"/>
            </w:rPr>
            <m:t>)+3.3×(</m:t>
          </m:r>
          <m:f>
            <m:fPr>
              <m:ctrlPr>
                <w:rPr>
                  <w:rFonts w:ascii="Cambria Math" w:hAnsi="Cambria Math" w:cs="Arial"/>
                </w:rPr>
              </m:ctrlPr>
            </m:fPr>
            <m:num>
              <m:r>
                <w:rPr>
                  <w:rFonts w:ascii="Cambria Math" w:hAnsi="Cambria Math" w:cs="Arial"/>
                </w:rPr>
                <m:t>-15,297</m:t>
              </m:r>
            </m:num>
            <m:den>
              <m:r>
                <w:rPr>
                  <w:rFonts w:ascii="Cambria Math" w:hAnsi="Cambria Math" w:cs="Arial"/>
                </w:rPr>
                <m:t>323,354</m:t>
              </m:r>
            </m:den>
          </m:f>
          <m:r>
            <w:rPr>
              <w:rFonts w:ascii="Cambria Math" w:hAnsi="Cambria Math" w:cs="Arial"/>
            </w:rPr>
            <m:t>)+0.6×(</m:t>
          </m:r>
          <m:f>
            <m:fPr>
              <m:ctrlPr>
                <w:rPr>
                  <w:rFonts w:ascii="Cambria Math" w:hAnsi="Cambria Math" w:cs="Arial"/>
                </w:rPr>
              </m:ctrlPr>
            </m:fPr>
            <m:num>
              <m:r>
                <w:rPr>
                  <w:rFonts w:ascii="Cambria Math" w:hAnsi="Cambria Math" w:cs="Arial"/>
                </w:rPr>
                <m:t>153,105</m:t>
              </m:r>
            </m:num>
            <m:den>
              <m:r>
                <w:rPr>
                  <w:rFonts w:ascii="Cambria Math" w:hAnsi="Cambria Math" w:cs="Arial"/>
                </w:rPr>
                <m:t>170,249</m:t>
              </m:r>
            </m:den>
          </m:f>
          <m:r>
            <w:rPr>
              <w:rFonts w:ascii="Cambria Math" w:hAnsi="Cambria Math" w:cs="Arial"/>
            </w:rPr>
            <m:t>)+1.0×(</m:t>
          </m:r>
          <m:f>
            <m:fPr>
              <m:ctrlPr>
                <w:rPr>
                  <w:rFonts w:ascii="Cambria Math" w:hAnsi="Cambria Math" w:cs="Arial"/>
                </w:rPr>
              </m:ctrlPr>
            </m:fPr>
            <m:num>
              <m:r>
                <w:rPr>
                  <w:rFonts w:ascii="Cambria Math" w:hAnsi="Cambria Math" w:cs="Arial"/>
                </w:rPr>
                <m:t>394,879</m:t>
              </m:r>
            </m:num>
            <m:den>
              <m:r>
                <w:rPr>
                  <w:rFonts w:ascii="Cambria Math" w:hAnsi="Cambria Math" w:cs="Arial"/>
                </w:rPr>
                <m:t>323,354</m:t>
              </m:r>
            </m:den>
          </m:f>
          <m:r>
            <w:rPr>
              <w:rFonts w:ascii="Cambria Math" w:hAnsi="Cambria Math" w:cs="Arial"/>
            </w:rPr>
            <m:t>)</m:t>
          </m:r>
          <m:r>
            <m:rPr>
              <m:sty m:val="p"/>
            </m:rPr>
            <w:rPr>
              <w:rFonts w:ascii="Cambria Math" w:hAnsi="Cambria Math" w:cs="Arial"/>
            </w:rPr>
            <w:br/>
          </m:r>
        </m:oMath>
        <m:oMath>
          <m:r>
            <w:rPr>
              <w:rFonts w:ascii="Cambria Math" w:hAnsi="Cambria Math" w:cs="Arial"/>
            </w:rPr>
            <m:t>Z=1.2×0.260+1.4×0.645+3.3×(-0.047)+0.6×0.899+1.0×1.220</m:t>
          </m:r>
          <m:r>
            <m:rPr>
              <m:sty m:val="p"/>
            </m:rPr>
            <w:rPr>
              <w:rFonts w:ascii="Cambria Math" w:hAnsi="Cambria Math" w:cs="Arial"/>
            </w:rPr>
            <w:br/>
          </m:r>
        </m:oMath>
        <m:oMath>
          <m:r>
            <w:rPr>
              <w:rFonts w:ascii="Cambria Math" w:hAnsi="Cambria Math" w:cs="Arial"/>
            </w:rPr>
            <m:t>Z=0.312+0.903-0.155+0.539+1.220=2.819</m:t>
          </m:r>
        </m:oMath>
      </m:oMathPara>
    </w:p>
    <w:p w14:paraId="0CDF7270" w14:textId="301331B4" w:rsidR="0011243F" w:rsidRPr="00A110C5" w:rsidRDefault="0011243F" w:rsidP="009606E6">
      <w:pPr>
        <w:spacing w:before="120" w:after="120" w:line="360" w:lineRule="auto"/>
        <w:jc w:val="both"/>
        <w:rPr>
          <w:rFonts w:ascii="Arial" w:hAnsi="Arial" w:cs="Arial"/>
          <w:b/>
          <w:bCs/>
        </w:rPr>
      </w:pPr>
      <w:r w:rsidRPr="00A110C5">
        <w:rPr>
          <w:rFonts w:ascii="Arial" w:hAnsi="Arial" w:cs="Arial"/>
          <w:b/>
          <w:bCs/>
        </w:rPr>
        <w:t>Interpretation of Z-Score</w:t>
      </w:r>
    </w:p>
    <w:p w14:paraId="7335DB98" w14:textId="50BB1136" w:rsidR="0011243F" w:rsidRPr="00A110C5" w:rsidRDefault="00EE07E2" w:rsidP="009606E6">
      <w:pPr>
        <w:spacing w:before="120" w:after="120" w:line="360" w:lineRule="auto"/>
        <w:jc w:val="both"/>
        <w:rPr>
          <w:rFonts w:ascii="Arial" w:hAnsi="Arial" w:cs="Arial"/>
        </w:rPr>
      </w:pPr>
      <w:r w:rsidRPr="00EE07E2">
        <w:rPr>
          <w:rFonts w:ascii="Arial" w:hAnsi="Arial" w:cs="Arial"/>
        </w:rPr>
        <w:lastRenderedPageBreak/>
        <w:t>Altman Z-score 2024 constitutes 2.819 making the company fall in the grey range. This is an indication that General Electronics is under financial risk and should make serious correction measures to prevent bankruptcy.</w:t>
      </w:r>
    </w:p>
    <w:p w14:paraId="11F6CE48" w14:textId="3835BBDD" w:rsidR="0011243F" w:rsidRPr="00A110C5" w:rsidRDefault="0011243F" w:rsidP="00112D41">
      <w:pPr>
        <w:pStyle w:val="Heading1"/>
      </w:pPr>
      <w:bookmarkStart w:id="23" w:name="_Toc217080766"/>
      <w:r w:rsidRPr="00A110C5">
        <w:t>3.</w:t>
      </w:r>
      <w:r w:rsidR="009A13E4" w:rsidRPr="00A110C5">
        <w:t>0</w:t>
      </w:r>
      <w:r w:rsidRPr="00A110C5">
        <w:t xml:space="preserve"> Working Capital Management Analysis</w:t>
      </w:r>
      <w:bookmarkEnd w:id="23"/>
    </w:p>
    <w:p w14:paraId="44545189" w14:textId="2500F419" w:rsidR="0011243F" w:rsidRPr="00A110C5" w:rsidRDefault="0011243F" w:rsidP="00112D41">
      <w:pPr>
        <w:pStyle w:val="Heading2"/>
      </w:pPr>
      <w:bookmarkStart w:id="24" w:name="_Toc217080767"/>
      <w:r w:rsidRPr="00A110C5">
        <w:t>3.1 Cash Operating Cycle</w:t>
      </w:r>
      <w:bookmarkEnd w:id="24"/>
    </w:p>
    <w:p w14:paraId="71C8C324" w14:textId="01A05026" w:rsidR="0011243F" w:rsidRPr="00A110C5" w:rsidRDefault="00EE07E2" w:rsidP="009606E6">
      <w:pPr>
        <w:spacing w:before="120" w:after="120" w:line="360" w:lineRule="auto"/>
        <w:jc w:val="both"/>
        <w:rPr>
          <w:rFonts w:ascii="Arial" w:hAnsi="Arial" w:cs="Arial"/>
        </w:rPr>
      </w:pPr>
      <w:r w:rsidRPr="00EE07E2">
        <w:rPr>
          <w:rFonts w:ascii="Arial" w:hAnsi="Arial" w:cs="Arial"/>
        </w:rPr>
        <w:t>An important working capital measure is the Cash Operating Cycle (COC), which refers to the duration of the working capital (coercion) of a company to turn into cash. It is basically the difference in time between the expenditure of money on inventory and the cash money sent by customers</w:t>
      </w:r>
      <w:r w:rsidR="00D715E3">
        <w:rPr>
          <w:rFonts w:ascii="Arial" w:hAnsi="Arial" w:cs="Arial"/>
        </w:rPr>
        <w:t xml:space="preserve"> </w:t>
      </w:r>
      <w:r w:rsidR="00D715E3" w:rsidRPr="00D715E3">
        <w:rPr>
          <w:rFonts w:ascii="Arial" w:hAnsi="Arial" w:cs="Arial"/>
        </w:rPr>
        <w:t>(Asman et al., 2022)</w:t>
      </w:r>
      <w:r w:rsidRPr="00EE07E2">
        <w:rPr>
          <w:rFonts w:ascii="Arial" w:hAnsi="Arial" w:cs="Arial"/>
        </w:rPr>
        <w:t>. A shorter cash cycle is usually preferable since this implies that an organization can easily turn its resources into cash. A longer cycle, however, might be an indication of inefficiency in managing inventory or slow receivables.</w:t>
      </w:r>
    </w:p>
    <w:p w14:paraId="3DF33C22" w14:textId="77777777" w:rsidR="0011243F" w:rsidRPr="00A110C5" w:rsidRDefault="0011243F" w:rsidP="009606E6">
      <w:pPr>
        <w:spacing w:before="120" w:after="120" w:line="360" w:lineRule="auto"/>
        <w:jc w:val="both"/>
        <w:rPr>
          <w:rFonts w:ascii="Arial" w:hAnsi="Arial" w:cs="Arial"/>
        </w:rPr>
      </w:pPr>
      <w:r w:rsidRPr="00A110C5">
        <w:rPr>
          <w:rFonts w:ascii="Arial" w:hAnsi="Arial" w:cs="Arial"/>
        </w:rPr>
        <w:t xml:space="preserve">The </w:t>
      </w:r>
      <w:r w:rsidRPr="00A110C5">
        <w:rPr>
          <w:rFonts w:ascii="Arial" w:hAnsi="Arial" w:cs="Arial"/>
          <w:b/>
          <w:bCs/>
        </w:rPr>
        <w:t>formula</w:t>
      </w:r>
      <w:r w:rsidRPr="00A110C5">
        <w:rPr>
          <w:rFonts w:ascii="Arial" w:hAnsi="Arial" w:cs="Arial"/>
        </w:rPr>
        <w:t xml:space="preserve"> for calculating the Cash Operating Cycle is:</w:t>
      </w:r>
    </w:p>
    <w:p w14:paraId="3756A82A" w14:textId="79DEB457" w:rsidR="0011243F" w:rsidRPr="00A110C5" w:rsidRDefault="0011243F" w:rsidP="009606E6">
      <w:pPr>
        <w:spacing w:before="120" w:after="120" w:line="360" w:lineRule="auto"/>
        <w:jc w:val="both"/>
        <w:rPr>
          <w:rFonts w:ascii="Arial" w:hAnsi="Arial" w:cs="Arial"/>
        </w:rPr>
      </w:pPr>
      <m:oMathPara>
        <m:oMath>
          <m:r>
            <m:rPr>
              <m:nor/>
            </m:rPr>
            <w:rPr>
              <w:rFonts w:ascii="Arial" w:hAnsi="Arial" w:cs="Arial"/>
            </w:rPr>
            <m:t>COC</m:t>
          </m:r>
          <m:r>
            <w:rPr>
              <w:rFonts w:ascii="Cambria Math" w:hAnsi="Cambria Math" w:cs="Arial"/>
            </w:rPr>
            <m:t>=</m:t>
          </m:r>
          <m:r>
            <m:rPr>
              <m:nor/>
            </m:rPr>
            <w:rPr>
              <w:rFonts w:ascii="Arial" w:hAnsi="Arial" w:cs="Arial"/>
            </w:rPr>
            <m:t>Days Inventory Outstanding (DIO)</m:t>
          </m:r>
          <m:r>
            <w:rPr>
              <w:rFonts w:ascii="Cambria Math" w:hAnsi="Cambria Math" w:cs="Arial"/>
            </w:rPr>
            <m:t>+</m:t>
          </m:r>
          <m:r>
            <m:rPr>
              <m:nor/>
            </m:rPr>
            <w:rPr>
              <w:rFonts w:ascii="Arial" w:hAnsi="Arial" w:cs="Arial"/>
            </w:rPr>
            <m:t>Days Sales Outstanding (DSO)</m:t>
          </m:r>
          <m:r>
            <w:rPr>
              <w:rFonts w:ascii="Cambria Math" w:hAnsi="Cambria Math" w:cs="Arial"/>
            </w:rPr>
            <m:t>-</m:t>
          </m:r>
          <m:r>
            <m:rPr>
              <m:nor/>
            </m:rPr>
            <w:rPr>
              <w:rFonts w:ascii="Arial" w:hAnsi="Arial" w:cs="Arial"/>
            </w:rPr>
            <m:t>Days Payables Outstanding (DPO)</m:t>
          </m:r>
        </m:oMath>
      </m:oMathPara>
    </w:p>
    <w:p w14:paraId="127E157F" w14:textId="30FB4BEF" w:rsidR="0011243F" w:rsidRPr="00A110C5" w:rsidRDefault="0011243F" w:rsidP="009606E6">
      <w:pPr>
        <w:spacing w:before="120" w:after="120" w:line="360" w:lineRule="auto"/>
        <w:jc w:val="both"/>
        <w:rPr>
          <w:rFonts w:ascii="Arial" w:hAnsi="Arial" w:cs="Arial"/>
          <w:b/>
          <w:bCs/>
        </w:rPr>
      </w:pPr>
      <w:r w:rsidRPr="00A110C5">
        <w:rPr>
          <w:rFonts w:ascii="Arial" w:hAnsi="Arial" w:cs="Arial"/>
          <w:b/>
          <w:bCs/>
        </w:rPr>
        <w:t>Days Inventory Outstanding (DIO)</w:t>
      </w:r>
      <w:r w:rsidR="00B06EF3" w:rsidRPr="00A110C5">
        <w:rPr>
          <w:rFonts w:ascii="Arial" w:hAnsi="Arial" w:cs="Arial"/>
          <w:b/>
          <w:bCs/>
        </w:rPr>
        <w:t xml:space="preserve"> </w:t>
      </w:r>
      <w:r w:rsidR="00B06EF3" w:rsidRPr="00A110C5">
        <w:rPr>
          <w:rFonts w:ascii="Arial" w:hAnsi="Arial" w:cs="Arial"/>
        </w:rPr>
        <w:t>for 2024</w:t>
      </w:r>
      <w:r w:rsidRPr="00A110C5">
        <w:rPr>
          <w:rFonts w:ascii="Arial" w:hAnsi="Arial" w:cs="Arial"/>
          <w:b/>
          <w:bCs/>
        </w:rPr>
        <w:t>:</w:t>
      </w:r>
    </w:p>
    <w:p w14:paraId="0E93F538" w14:textId="38F19B20" w:rsidR="0011243F" w:rsidRPr="00A110C5" w:rsidRDefault="0011243F" w:rsidP="009606E6">
      <w:pPr>
        <w:spacing w:before="120" w:after="120" w:line="360" w:lineRule="auto"/>
        <w:jc w:val="both"/>
        <w:rPr>
          <w:rFonts w:ascii="Arial" w:hAnsi="Arial" w:cs="Arial"/>
        </w:rPr>
      </w:pPr>
      <m:oMathPara>
        <m:oMath>
          <m:r>
            <m:rPr>
              <m:nor/>
            </m:rPr>
            <w:rPr>
              <w:rFonts w:ascii="Arial" w:hAnsi="Arial" w:cs="Arial"/>
            </w:rPr>
            <m:t>DIO</m:t>
          </m:r>
          <m:r>
            <w:rPr>
              <w:rFonts w:ascii="Cambria Math" w:hAnsi="Cambria Math" w:cs="Arial"/>
            </w:rPr>
            <m:t>=</m:t>
          </m:r>
          <m:f>
            <m:fPr>
              <m:ctrlPr>
                <w:rPr>
                  <w:rFonts w:ascii="Cambria Math" w:hAnsi="Cambria Math" w:cs="Arial"/>
                </w:rPr>
              </m:ctrlPr>
            </m:fPr>
            <m:num>
              <m:r>
                <m:rPr>
                  <m:nor/>
                </m:rPr>
                <w:rPr>
                  <w:rFonts w:ascii="Arial" w:hAnsi="Arial" w:cs="Arial"/>
                </w:rPr>
                <m:t>Average Inventory</m:t>
              </m:r>
            </m:num>
            <m:den>
              <m:r>
                <m:rPr>
                  <m:nor/>
                </m:rPr>
                <w:rPr>
                  <w:rFonts w:ascii="Arial" w:hAnsi="Arial" w:cs="Arial"/>
                </w:rPr>
                <m:t>Cost of Sales</m:t>
              </m:r>
            </m:den>
          </m:f>
          <m:r>
            <w:rPr>
              <w:rFonts w:ascii="Cambria Math" w:hAnsi="Cambria Math" w:cs="Arial"/>
            </w:rPr>
            <m:t>×365</m:t>
          </m:r>
        </m:oMath>
      </m:oMathPara>
    </w:p>
    <w:p w14:paraId="46754E33" w14:textId="2E092549" w:rsidR="0011243F" w:rsidRPr="00A110C5" w:rsidRDefault="0011243F" w:rsidP="009606E6">
      <w:pPr>
        <w:spacing w:before="120" w:after="120" w:line="360" w:lineRule="auto"/>
        <w:jc w:val="both"/>
        <w:rPr>
          <w:rFonts w:ascii="Arial" w:hAnsi="Arial" w:cs="Arial"/>
        </w:rPr>
      </w:pPr>
      <m:oMathPara>
        <m:oMath>
          <m:r>
            <m:rPr>
              <m:nor/>
            </m:rPr>
            <w:rPr>
              <w:rFonts w:ascii="Arial" w:hAnsi="Arial" w:cs="Arial"/>
            </w:rPr>
            <m:t>Average Inventory</m:t>
          </m:r>
          <m:r>
            <w:rPr>
              <w:rFonts w:ascii="Cambria Math" w:hAnsi="Cambria Math" w:cs="Arial"/>
            </w:rPr>
            <m:t>=</m:t>
          </m:r>
          <m:f>
            <m:fPr>
              <m:ctrlPr>
                <w:rPr>
                  <w:rFonts w:ascii="Cambria Math" w:hAnsi="Cambria Math" w:cs="Arial"/>
                </w:rPr>
              </m:ctrlPr>
            </m:fPr>
            <m:num>
              <m:r>
                <w:rPr>
                  <w:rFonts w:ascii="Cambria Math" w:hAnsi="Cambria Math" w:cs="Arial"/>
                </w:rPr>
                <m:t>88,273+79,355</m:t>
              </m:r>
            </m:num>
            <m:den>
              <m:r>
                <w:rPr>
                  <w:rFonts w:ascii="Cambria Math" w:hAnsi="Cambria Math" w:cs="Arial"/>
                </w:rPr>
                <m:t>2</m:t>
              </m:r>
            </m:den>
          </m:f>
          <m:r>
            <w:rPr>
              <w:rFonts w:ascii="Cambria Math" w:hAnsi="Cambria Math" w:cs="Arial"/>
            </w:rPr>
            <m:t>=83,814</m:t>
          </m:r>
          <m:r>
            <m:rPr>
              <m:nor/>
            </m:rPr>
            <w:rPr>
              <w:rFonts w:ascii="Arial" w:hAnsi="Arial" w:cs="Arial"/>
            </w:rPr>
            <m:t xml:space="preserve"> million</m:t>
          </m:r>
          <m:r>
            <m:rPr>
              <m:sty m:val="p"/>
            </m:rPr>
            <w:rPr>
              <w:rFonts w:ascii="Cambria Math" w:hAnsi="Cambria Math" w:cs="Arial"/>
            </w:rPr>
            <w:br/>
          </m:r>
        </m:oMath>
      </m:oMathPara>
      <w:r w:rsidRPr="00A110C5">
        <w:rPr>
          <w:rFonts w:ascii="Arial" w:hAnsi="Arial" w:cs="Arial"/>
        </w:rPr>
        <w:t xml:space="preserve">Now, we calculate the </w:t>
      </w:r>
      <w:r w:rsidRPr="00A110C5">
        <w:rPr>
          <w:rFonts w:ascii="Arial" w:hAnsi="Arial" w:cs="Arial"/>
          <w:b/>
          <w:bCs/>
        </w:rPr>
        <w:t>Days Inventory Outstanding (DIO)</w:t>
      </w:r>
      <w:r w:rsidRPr="00A110C5">
        <w:rPr>
          <w:rFonts w:ascii="Arial" w:hAnsi="Arial" w:cs="Arial"/>
        </w:rPr>
        <w:t xml:space="preserve"> for 2024:</w:t>
      </w:r>
    </w:p>
    <w:p w14:paraId="1BF0D751" w14:textId="2FE83777" w:rsidR="0011243F" w:rsidRPr="00A110C5" w:rsidRDefault="0011243F" w:rsidP="009606E6">
      <w:pPr>
        <w:spacing w:before="120" w:after="120" w:line="360" w:lineRule="auto"/>
        <w:jc w:val="both"/>
        <w:rPr>
          <w:rFonts w:ascii="Arial" w:hAnsi="Arial" w:cs="Arial"/>
        </w:rPr>
      </w:pPr>
      <m:oMathPara>
        <m:oMath>
          <m:r>
            <m:rPr>
              <m:nor/>
            </m:rPr>
            <w:rPr>
              <w:rFonts w:ascii="Arial" w:hAnsi="Arial" w:cs="Arial"/>
            </w:rPr>
            <m:t>DIO</m:t>
          </m:r>
          <m:r>
            <w:rPr>
              <w:rFonts w:ascii="Cambria Math" w:hAnsi="Cambria Math" w:cs="Arial"/>
            </w:rPr>
            <m:t>=</m:t>
          </m:r>
          <m:f>
            <m:fPr>
              <m:ctrlPr>
                <w:rPr>
                  <w:rFonts w:ascii="Cambria Math" w:hAnsi="Cambria Math" w:cs="Arial"/>
                </w:rPr>
              </m:ctrlPr>
            </m:fPr>
            <m:num>
              <m:r>
                <w:rPr>
                  <w:rFonts w:ascii="Cambria Math" w:hAnsi="Cambria Math" w:cs="Arial"/>
                </w:rPr>
                <m:t>83,814</m:t>
              </m:r>
            </m:num>
            <m:den>
              <m:r>
                <w:rPr>
                  <w:rFonts w:ascii="Cambria Math" w:hAnsi="Cambria Math" w:cs="Arial"/>
                </w:rPr>
                <m:t>280,885</m:t>
              </m:r>
            </m:den>
          </m:f>
          <m:r>
            <w:rPr>
              <w:rFonts w:ascii="Cambria Math" w:hAnsi="Cambria Math" w:cs="Arial"/>
            </w:rPr>
            <m:t>×365=108.6</m:t>
          </m:r>
          <m:r>
            <m:rPr>
              <m:nor/>
            </m:rPr>
            <w:rPr>
              <w:rFonts w:ascii="Arial" w:hAnsi="Arial" w:cs="Arial"/>
            </w:rPr>
            <m:t xml:space="preserve"> days</m:t>
          </m:r>
          <m:r>
            <m:rPr>
              <m:sty m:val="p"/>
            </m:rPr>
            <w:rPr>
              <w:rFonts w:ascii="Cambria Math" w:hAnsi="Cambria Math" w:cs="Arial"/>
            </w:rPr>
            <w:br/>
          </m:r>
        </m:oMath>
      </m:oMathPara>
      <w:r w:rsidRPr="00A110C5">
        <w:rPr>
          <w:rFonts w:ascii="Arial" w:hAnsi="Arial" w:cs="Arial"/>
          <w:b/>
          <w:bCs/>
        </w:rPr>
        <w:t>Days Sales Outstanding (DSO):</w:t>
      </w:r>
    </w:p>
    <w:p w14:paraId="1F97FBBD" w14:textId="339CDC67" w:rsidR="0011243F" w:rsidRPr="00A110C5" w:rsidRDefault="0011243F" w:rsidP="009606E6">
      <w:pPr>
        <w:spacing w:before="120" w:after="120" w:line="360" w:lineRule="auto"/>
        <w:jc w:val="both"/>
        <w:rPr>
          <w:rFonts w:ascii="Arial" w:hAnsi="Arial" w:cs="Arial"/>
        </w:rPr>
      </w:pPr>
      <m:oMathPara>
        <m:oMath>
          <m:r>
            <m:rPr>
              <m:nor/>
            </m:rPr>
            <w:rPr>
              <w:rFonts w:ascii="Arial" w:hAnsi="Arial" w:cs="Arial"/>
            </w:rPr>
            <m:t>DSO</m:t>
          </m:r>
          <m:r>
            <w:rPr>
              <w:rFonts w:ascii="Cambria Math" w:hAnsi="Cambria Math" w:cs="Arial"/>
            </w:rPr>
            <m:t>=</m:t>
          </m:r>
          <m:f>
            <m:fPr>
              <m:ctrlPr>
                <w:rPr>
                  <w:rFonts w:ascii="Cambria Math" w:hAnsi="Cambria Math" w:cs="Arial"/>
                </w:rPr>
              </m:ctrlPr>
            </m:fPr>
            <m:num>
              <m:r>
                <m:rPr>
                  <m:nor/>
                </m:rPr>
                <w:rPr>
                  <w:rFonts w:ascii="Arial" w:hAnsi="Arial" w:cs="Arial"/>
                </w:rPr>
                <m:t>Accounts Receivable</m:t>
              </m:r>
            </m:num>
            <m:den>
              <m:r>
                <m:rPr>
                  <m:nor/>
                </m:rPr>
                <w:rPr>
                  <w:rFonts w:ascii="Arial" w:hAnsi="Arial" w:cs="Arial"/>
                </w:rPr>
                <m:t>Net Sales</m:t>
              </m:r>
            </m:den>
          </m:f>
          <m:r>
            <w:rPr>
              <w:rFonts w:ascii="Cambria Math" w:hAnsi="Cambria Math" w:cs="Arial"/>
            </w:rPr>
            <m:t>×365</m:t>
          </m:r>
          <m:r>
            <m:rPr>
              <m:sty m:val="p"/>
            </m:rPr>
            <w:rPr>
              <w:rFonts w:ascii="Cambria Math" w:hAnsi="Cambria Math" w:cs="Arial"/>
            </w:rPr>
            <w:br/>
          </m:r>
        </m:oMath>
        <m:oMath>
          <m:r>
            <m:rPr>
              <m:nor/>
            </m:rPr>
            <w:rPr>
              <w:rFonts w:ascii="Arial" w:hAnsi="Arial" w:cs="Arial"/>
            </w:rPr>
            <m:t>DSO</m:t>
          </m:r>
          <m:r>
            <w:rPr>
              <w:rFonts w:ascii="Cambria Math" w:hAnsi="Cambria Math" w:cs="Arial"/>
            </w:rPr>
            <m:t>=</m:t>
          </m:r>
          <m:f>
            <m:fPr>
              <m:ctrlPr>
                <w:rPr>
                  <w:rFonts w:ascii="Cambria Math" w:hAnsi="Cambria Math" w:cs="Arial"/>
                </w:rPr>
              </m:ctrlPr>
            </m:fPr>
            <m:num>
              <m:r>
                <w:rPr>
                  <w:rFonts w:ascii="Cambria Math" w:hAnsi="Cambria Math" w:cs="Arial"/>
                </w:rPr>
                <m:t>114,182</m:t>
              </m:r>
            </m:num>
            <m:den>
              <m:r>
                <w:rPr>
                  <w:rFonts w:ascii="Cambria Math" w:hAnsi="Cambria Math" w:cs="Arial"/>
                </w:rPr>
                <m:t>394,879</m:t>
              </m:r>
            </m:den>
          </m:f>
          <m:r>
            <w:rPr>
              <w:rFonts w:ascii="Cambria Math" w:hAnsi="Cambria Math" w:cs="Arial"/>
            </w:rPr>
            <m:t>×365=105.7</m:t>
          </m:r>
          <m:r>
            <m:rPr>
              <m:nor/>
            </m:rPr>
            <w:rPr>
              <w:rFonts w:ascii="Arial" w:hAnsi="Arial" w:cs="Arial"/>
            </w:rPr>
            <m:t xml:space="preserve"> days</m:t>
          </m:r>
        </m:oMath>
      </m:oMathPara>
    </w:p>
    <w:p w14:paraId="24A151D6" w14:textId="36252808" w:rsidR="0011243F" w:rsidRPr="00A110C5" w:rsidRDefault="0011243F" w:rsidP="009606E6">
      <w:pPr>
        <w:spacing w:before="120" w:after="120" w:line="360" w:lineRule="auto"/>
        <w:jc w:val="both"/>
        <w:rPr>
          <w:rFonts w:ascii="Arial" w:hAnsi="Arial" w:cs="Arial"/>
          <w:b/>
          <w:bCs/>
        </w:rPr>
      </w:pPr>
      <w:r w:rsidRPr="00A110C5">
        <w:rPr>
          <w:rFonts w:ascii="Arial" w:hAnsi="Arial" w:cs="Arial"/>
          <w:b/>
          <w:bCs/>
        </w:rPr>
        <w:t>Days Payables Outstanding (DPO)</w:t>
      </w:r>
      <w:r w:rsidR="00B06EF3" w:rsidRPr="00A110C5">
        <w:rPr>
          <w:rFonts w:ascii="Arial" w:hAnsi="Arial" w:cs="Arial"/>
          <w:b/>
          <w:bCs/>
        </w:rPr>
        <w:t xml:space="preserve"> </w:t>
      </w:r>
      <w:r w:rsidR="00B06EF3" w:rsidRPr="00A110C5">
        <w:rPr>
          <w:rFonts w:ascii="Arial" w:hAnsi="Arial" w:cs="Arial"/>
        </w:rPr>
        <w:t>for 2024</w:t>
      </w:r>
      <w:r w:rsidRPr="00A110C5">
        <w:rPr>
          <w:rFonts w:ascii="Arial" w:hAnsi="Arial" w:cs="Arial"/>
          <w:b/>
          <w:bCs/>
        </w:rPr>
        <w:t>:</w:t>
      </w:r>
    </w:p>
    <w:p w14:paraId="7B6AD371" w14:textId="4A7D902D" w:rsidR="0011243F" w:rsidRPr="00A110C5" w:rsidRDefault="0011243F" w:rsidP="009606E6">
      <w:pPr>
        <w:spacing w:before="120" w:after="120" w:line="360" w:lineRule="auto"/>
        <w:jc w:val="both"/>
        <w:rPr>
          <w:rFonts w:ascii="Arial" w:hAnsi="Arial" w:cs="Arial"/>
        </w:rPr>
      </w:pPr>
      <m:oMathPara>
        <m:oMath>
          <m:r>
            <m:rPr>
              <m:nor/>
            </m:rPr>
            <w:rPr>
              <w:rFonts w:ascii="Arial" w:hAnsi="Arial" w:cs="Arial"/>
            </w:rPr>
            <w:lastRenderedPageBreak/>
            <m:t>DPO</m:t>
          </m:r>
          <m:r>
            <w:rPr>
              <w:rFonts w:ascii="Cambria Math" w:hAnsi="Cambria Math" w:cs="Arial"/>
            </w:rPr>
            <m:t>=</m:t>
          </m:r>
          <m:f>
            <m:fPr>
              <m:ctrlPr>
                <w:rPr>
                  <w:rFonts w:ascii="Cambria Math" w:hAnsi="Cambria Math" w:cs="Arial"/>
                </w:rPr>
              </m:ctrlPr>
            </m:fPr>
            <m:num>
              <m:r>
                <m:rPr>
                  <m:nor/>
                </m:rPr>
                <w:rPr>
                  <w:rFonts w:ascii="Arial" w:hAnsi="Arial" w:cs="Arial"/>
                </w:rPr>
                <m:t>Accounts Payable</m:t>
              </m:r>
            </m:num>
            <m:den>
              <m:r>
                <m:rPr>
                  <m:nor/>
                </m:rPr>
                <w:rPr>
                  <w:rFonts w:ascii="Arial" w:hAnsi="Arial" w:cs="Arial"/>
                </w:rPr>
                <m:t>Cost of Sales</m:t>
              </m:r>
            </m:den>
          </m:f>
          <m:r>
            <w:rPr>
              <w:rFonts w:ascii="Cambria Math" w:hAnsi="Cambria Math" w:cs="Arial"/>
            </w:rPr>
            <m:t>×365</m:t>
          </m:r>
          <m:r>
            <m:rPr>
              <m:sty m:val="p"/>
            </m:rPr>
            <w:rPr>
              <w:rFonts w:ascii="Cambria Math" w:hAnsi="Cambria Math" w:cs="Arial"/>
            </w:rPr>
            <w:br/>
          </m:r>
        </m:oMath>
        <m:oMath>
          <m:r>
            <m:rPr>
              <m:nor/>
            </m:rPr>
            <w:rPr>
              <w:rFonts w:ascii="Arial" w:hAnsi="Arial" w:cs="Arial"/>
            </w:rPr>
            <m:t>DPO</m:t>
          </m:r>
          <m:r>
            <w:rPr>
              <w:rFonts w:ascii="Cambria Math" w:hAnsi="Cambria Math" w:cs="Arial"/>
            </w:rPr>
            <m:t>=</m:t>
          </m:r>
          <m:f>
            <m:fPr>
              <m:ctrlPr>
                <w:rPr>
                  <w:rFonts w:ascii="Cambria Math" w:hAnsi="Cambria Math" w:cs="Arial"/>
                </w:rPr>
              </m:ctrlPr>
            </m:fPr>
            <m:num>
              <m:r>
                <w:rPr>
                  <w:rFonts w:ascii="Cambria Math" w:hAnsi="Cambria Math" w:cs="Arial"/>
                </w:rPr>
                <m:t>72,031</m:t>
              </m:r>
            </m:num>
            <m:den>
              <m:r>
                <w:rPr>
                  <w:rFonts w:ascii="Cambria Math" w:hAnsi="Cambria Math" w:cs="Arial"/>
                </w:rPr>
                <m:t>280,885</m:t>
              </m:r>
            </m:den>
          </m:f>
          <m:r>
            <w:rPr>
              <w:rFonts w:ascii="Cambria Math" w:hAnsi="Cambria Math" w:cs="Arial"/>
            </w:rPr>
            <m:t>×365=93.5</m:t>
          </m:r>
          <m:r>
            <m:rPr>
              <m:nor/>
            </m:rPr>
            <w:rPr>
              <w:rFonts w:ascii="Arial" w:hAnsi="Arial" w:cs="Arial"/>
            </w:rPr>
            <m:t xml:space="preserve"> days</m:t>
          </m:r>
        </m:oMath>
      </m:oMathPara>
    </w:p>
    <w:p w14:paraId="4C3E8DB6" w14:textId="77777777" w:rsidR="0011243F" w:rsidRPr="00A110C5" w:rsidRDefault="0011243F" w:rsidP="009606E6">
      <w:pPr>
        <w:spacing w:before="120" w:after="120" w:line="360" w:lineRule="auto"/>
        <w:jc w:val="both"/>
        <w:rPr>
          <w:rFonts w:ascii="Arial" w:hAnsi="Arial" w:cs="Arial"/>
          <w:b/>
          <w:bCs/>
        </w:rPr>
      </w:pPr>
      <w:r w:rsidRPr="00A110C5">
        <w:rPr>
          <w:rFonts w:ascii="Arial" w:hAnsi="Arial" w:cs="Arial"/>
          <w:b/>
          <w:bCs/>
        </w:rPr>
        <w:t>Cash Operating Cycle (COC):</w:t>
      </w:r>
    </w:p>
    <w:p w14:paraId="16CF5C1B" w14:textId="77777777" w:rsidR="0011243F" w:rsidRPr="00A110C5" w:rsidRDefault="0011243F" w:rsidP="009606E6">
      <w:pPr>
        <w:spacing w:before="120" w:after="120" w:line="360" w:lineRule="auto"/>
        <w:jc w:val="both"/>
        <w:rPr>
          <w:rFonts w:ascii="Arial" w:hAnsi="Arial" w:cs="Arial"/>
        </w:rPr>
      </w:pPr>
      <w:r w:rsidRPr="00A110C5">
        <w:rPr>
          <w:rFonts w:ascii="Arial" w:hAnsi="Arial" w:cs="Arial"/>
        </w:rPr>
        <w:t xml:space="preserve">Now, we calculate the overall </w:t>
      </w:r>
      <w:r w:rsidRPr="00A110C5">
        <w:rPr>
          <w:rFonts w:ascii="Arial" w:hAnsi="Arial" w:cs="Arial"/>
          <w:b/>
          <w:bCs/>
        </w:rPr>
        <w:t>Cash Operating Cycle</w:t>
      </w:r>
      <w:r w:rsidRPr="00A110C5">
        <w:rPr>
          <w:rFonts w:ascii="Arial" w:hAnsi="Arial" w:cs="Arial"/>
        </w:rPr>
        <w:t>:</w:t>
      </w:r>
    </w:p>
    <w:p w14:paraId="2C0D3B3F" w14:textId="607B980A" w:rsidR="0011243F" w:rsidRPr="00A110C5" w:rsidRDefault="0011243F" w:rsidP="009606E6">
      <w:pPr>
        <w:spacing w:before="120" w:after="120" w:line="360" w:lineRule="auto"/>
        <w:jc w:val="both"/>
        <w:rPr>
          <w:rFonts w:ascii="Arial" w:hAnsi="Arial" w:cs="Arial"/>
        </w:rPr>
      </w:pPr>
      <m:oMathPara>
        <m:oMath>
          <m:r>
            <m:rPr>
              <m:nor/>
            </m:rPr>
            <w:rPr>
              <w:rFonts w:ascii="Arial" w:hAnsi="Arial" w:cs="Arial"/>
            </w:rPr>
            <m:t>COC</m:t>
          </m:r>
          <m:r>
            <w:rPr>
              <w:rFonts w:ascii="Cambria Math" w:hAnsi="Cambria Math" w:cs="Arial"/>
            </w:rPr>
            <m:t>=</m:t>
          </m:r>
          <m:r>
            <m:rPr>
              <m:nor/>
            </m:rPr>
            <w:rPr>
              <w:rFonts w:ascii="Arial" w:hAnsi="Arial" w:cs="Arial"/>
            </w:rPr>
            <m:t>DIO</m:t>
          </m:r>
          <m:r>
            <w:rPr>
              <w:rFonts w:ascii="Cambria Math" w:hAnsi="Cambria Math" w:cs="Arial"/>
            </w:rPr>
            <m:t>+</m:t>
          </m:r>
          <m:r>
            <m:rPr>
              <m:nor/>
            </m:rPr>
            <w:rPr>
              <w:rFonts w:ascii="Arial" w:hAnsi="Arial" w:cs="Arial"/>
            </w:rPr>
            <m:t>DSO</m:t>
          </m:r>
          <m:r>
            <w:rPr>
              <w:rFonts w:ascii="Cambria Math" w:hAnsi="Cambria Math" w:cs="Arial"/>
            </w:rPr>
            <m:t>-</m:t>
          </m:r>
          <m:r>
            <m:rPr>
              <m:nor/>
            </m:rPr>
            <w:rPr>
              <w:rFonts w:ascii="Arial" w:hAnsi="Arial" w:cs="Arial"/>
            </w:rPr>
            <m:t>DPO</m:t>
          </m:r>
          <m:r>
            <m:rPr>
              <m:sty m:val="p"/>
            </m:rPr>
            <w:rPr>
              <w:rFonts w:ascii="Cambria Math" w:hAnsi="Cambria Math" w:cs="Arial"/>
            </w:rPr>
            <w:br/>
          </m:r>
        </m:oMath>
        <m:oMath>
          <m:r>
            <m:rPr>
              <m:nor/>
            </m:rPr>
            <w:rPr>
              <w:rFonts w:ascii="Arial" w:hAnsi="Arial" w:cs="Arial"/>
            </w:rPr>
            <m:t>COC</m:t>
          </m:r>
          <m:r>
            <w:rPr>
              <w:rFonts w:ascii="Cambria Math" w:hAnsi="Cambria Math" w:cs="Arial"/>
            </w:rPr>
            <m:t>=108.6+105.7-93.5=120.8</m:t>
          </m:r>
          <m:r>
            <m:rPr>
              <m:nor/>
            </m:rPr>
            <w:rPr>
              <w:rFonts w:ascii="Arial" w:hAnsi="Arial" w:cs="Arial"/>
            </w:rPr>
            <m:t xml:space="preserve"> days</m:t>
          </m:r>
        </m:oMath>
      </m:oMathPara>
    </w:p>
    <w:p w14:paraId="1E2D88E7" w14:textId="7E10AC96" w:rsidR="0011243F" w:rsidRPr="00A110C5" w:rsidRDefault="00EE07E2" w:rsidP="009606E6">
      <w:pPr>
        <w:spacing w:before="120" w:after="120" w:line="360" w:lineRule="auto"/>
        <w:jc w:val="both"/>
        <w:rPr>
          <w:rFonts w:ascii="Arial" w:hAnsi="Arial" w:cs="Arial"/>
        </w:rPr>
      </w:pPr>
      <w:r w:rsidRPr="00EE07E2">
        <w:rPr>
          <w:rFonts w:ascii="Arial" w:hAnsi="Arial" w:cs="Arial"/>
        </w:rPr>
        <w:t>This shows that it has a long working capital cycle of 120.8 days for General Electronics to convert the working capital into cash. This prolonged cycle implies that the company might have some inefficiencies related to inventory movement and receivables collection that might affect its cash flow and liquidity.</w:t>
      </w:r>
    </w:p>
    <w:p w14:paraId="2DDE1BBB" w14:textId="77777777" w:rsidR="00B06EF3" w:rsidRPr="00A110C5" w:rsidRDefault="00B06EF3" w:rsidP="00112D41">
      <w:pPr>
        <w:pStyle w:val="Heading2"/>
      </w:pPr>
      <w:bookmarkStart w:id="25" w:name="_Toc217080768"/>
      <w:r w:rsidRPr="00A110C5">
        <w:t>3.2 Liquidity Recommendations</w:t>
      </w:r>
      <w:bookmarkEnd w:id="25"/>
    </w:p>
    <w:p w14:paraId="3CDA9719" w14:textId="159F1939" w:rsidR="00B06EF3" w:rsidRPr="00A110C5" w:rsidRDefault="00EE07E2" w:rsidP="009606E6">
      <w:pPr>
        <w:spacing w:before="120" w:after="120" w:line="360" w:lineRule="auto"/>
        <w:jc w:val="both"/>
        <w:rPr>
          <w:rFonts w:ascii="Arial" w:hAnsi="Arial" w:cs="Arial"/>
        </w:rPr>
      </w:pPr>
      <w:r w:rsidRPr="00EE07E2">
        <w:rPr>
          <w:rFonts w:ascii="Arial" w:hAnsi="Arial" w:cs="Arial"/>
        </w:rPr>
        <w:t>Since the General Electronics has a long cash operating cycle, a number of strategies may be applied to promote liquidity and working capital management, maximize cash flow, lessen the dependence on debt, and increase operational effectiveness.</w:t>
      </w:r>
    </w:p>
    <w:p w14:paraId="28E35C78" w14:textId="77777777" w:rsidR="00B06EF3" w:rsidRPr="00A110C5" w:rsidRDefault="00B06EF3" w:rsidP="009A13E4">
      <w:pPr>
        <w:pStyle w:val="Heading3"/>
        <w:rPr>
          <w:rFonts w:cs="Arial"/>
        </w:rPr>
      </w:pPr>
      <w:bookmarkStart w:id="26" w:name="_Toc217080769"/>
      <w:r w:rsidRPr="00A110C5">
        <w:rPr>
          <w:rFonts w:cs="Arial"/>
        </w:rPr>
        <w:t>3.2.1 Improve Inventory Management</w:t>
      </w:r>
      <w:bookmarkEnd w:id="26"/>
    </w:p>
    <w:p w14:paraId="355F3EE3" w14:textId="71AADE23" w:rsidR="00B06EF3" w:rsidRPr="00A110C5" w:rsidRDefault="00EE07E2" w:rsidP="009606E6">
      <w:pPr>
        <w:spacing w:before="120" w:after="120" w:line="360" w:lineRule="auto"/>
        <w:jc w:val="both"/>
        <w:rPr>
          <w:rFonts w:ascii="Arial" w:hAnsi="Arial" w:cs="Arial"/>
        </w:rPr>
      </w:pPr>
      <w:r w:rsidRPr="00EE07E2">
        <w:rPr>
          <w:rFonts w:ascii="Arial" w:hAnsi="Arial" w:cs="Arial"/>
        </w:rPr>
        <w:t>General Electronics needs to adopt the use of just-in-time (JIT) inventory management to reduce its cash operating cycle. This approach minimizes the unnecessary stock as the orders are made according to the actual demand and not overstocking. JIT reduces the duration that inventory is held in stock serving to reduce Days Inventory Outstanding (DIO). Inventory audits should also be done regularly to determine the slow moving products so that the cash flow can be optimized by lowering the stocks.</w:t>
      </w:r>
    </w:p>
    <w:p w14:paraId="21FC5565" w14:textId="77777777" w:rsidR="00B06EF3" w:rsidRPr="00A110C5" w:rsidRDefault="00B06EF3" w:rsidP="009A13E4">
      <w:pPr>
        <w:pStyle w:val="Heading3"/>
        <w:rPr>
          <w:rFonts w:cs="Arial"/>
        </w:rPr>
      </w:pPr>
      <w:bookmarkStart w:id="27" w:name="_Toc217080770"/>
      <w:r w:rsidRPr="00A110C5">
        <w:rPr>
          <w:rFonts w:cs="Arial"/>
        </w:rPr>
        <w:t>3.2.2 Strengthen Receivables Collection</w:t>
      </w:r>
      <w:bookmarkEnd w:id="27"/>
    </w:p>
    <w:p w14:paraId="6864CFBE" w14:textId="5A39A9AE" w:rsidR="00B06EF3" w:rsidRPr="00A110C5" w:rsidRDefault="00EE07E2" w:rsidP="009606E6">
      <w:pPr>
        <w:spacing w:before="120" w:after="120" w:line="360" w:lineRule="auto"/>
        <w:jc w:val="both"/>
        <w:rPr>
          <w:rFonts w:ascii="Arial" w:hAnsi="Arial" w:cs="Arial"/>
        </w:rPr>
      </w:pPr>
      <w:r w:rsidRPr="00EE07E2">
        <w:rPr>
          <w:rFonts w:ascii="Arial" w:hAnsi="Arial" w:cs="Arial"/>
        </w:rPr>
        <w:t>The Days Sales Outstanding (DSO) of General Electronics is excessively high, at 105.7 days, which postpones the cash inflows. To enhance this, the company may provide early payment discounts to enable faster payment by customers. Besides, a stronger credit policy and a more vigorous collection process would assist in speeding up the receivables. The Factoring- the selling of the receivables to the third party at a discount might also be considered as a short-term inflow of cash.</w:t>
      </w:r>
    </w:p>
    <w:p w14:paraId="7E8293DF" w14:textId="77777777" w:rsidR="00B06EF3" w:rsidRPr="00A110C5" w:rsidRDefault="00B06EF3" w:rsidP="009A13E4">
      <w:pPr>
        <w:pStyle w:val="Heading3"/>
        <w:rPr>
          <w:rFonts w:cs="Arial"/>
        </w:rPr>
      </w:pPr>
      <w:bookmarkStart w:id="28" w:name="_Toc217080771"/>
      <w:r w:rsidRPr="00A110C5">
        <w:rPr>
          <w:rFonts w:cs="Arial"/>
        </w:rPr>
        <w:lastRenderedPageBreak/>
        <w:t>3.2.3 Optimize Payables</w:t>
      </w:r>
      <w:bookmarkEnd w:id="28"/>
    </w:p>
    <w:p w14:paraId="6C8406CD" w14:textId="643CC253" w:rsidR="0011243F" w:rsidRPr="00A110C5" w:rsidRDefault="00EE07E2" w:rsidP="009606E6">
      <w:pPr>
        <w:spacing w:before="120" w:after="120" w:line="360" w:lineRule="auto"/>
        <w:jc w:val="both"/>
        <w:rPr>
          <w:rFonts w:ascii="Arial" w:hAnsi="Arial" w:cs="Arial"/>
        </w:rPr>
      </w:pPr>
      <w:r w:rsidRPr="00EE07E2">
        <w:rPr>
          <w:rFonts w:ascii="Arial" w:hAnsi="Arial" w:cs="Arial"/>
        </w:rPr>
        <w:t xml:space="preserve">General Electronics is paying suppliers late with 93.5 days </w:t>
      </w:r>
      <w:proofErr w:type="spellStart"/>
      <w:r w:rsidRPr="00EE07E2">
        <w:rPr>
          <w:rFonts w:ascii="Arial" w:hAnsi="Arial" w:cs="Arial"/>
        </w:rPr>
        <w:t>Days</w:t>
      </w:r>
      <w:proofErr w:type="spellEnd"/>
      <w:r w:rsidRPr="00EE07E2">
        <w:rPr>
          <w:rFonts w:ascii="Arial" w:hAnsi="Arial" w:cs="Arial"/>
        </w:rPr>
        <w:t xml:space="preserve"> Payables Outstanding (DPO) days outstanding. This improves short-term liquidity but could create tension in the supplier relationships. To provide the balance of liquidity and keep suppliers in good relations with the company, the company is advised to re-organize payment terms and negotiate longer periods with suppliers on which terms possible without ruining the relations of the vital partnership.</w:t>
      </w:r>
    </w:p>
    <w:p w14:paraId="5A18609F" w14:textId="77777777" w:rsidR="00B06EF3" w:rsidRPr="00A110C5" w:rsidRDefault="00B06EF3" w:rsidP="00112D41">
      <w:pPr>
        <w:pStyle w:val="Heading2"/>
      </w:pPr>
      <w:bookmarkStart w:id="29" w:name="_Toc217080772"/>
      <w:r w:rsidRPr="00A110C5">
        <w:t>3.3 Short-Term vs. Long-Term Financing Options</w:t>
      </w:r>
      <w:bookmarkEnd w:id="29"/>
    </w:p>
    <w:p w14:paraId="743FA9D9" w14:textId="3799C386" w:rsidR="00B06EF3" w:rsidRPr="00A110C5" w:rsidRDefault="00EE07E2" w:rsidP="009606E6">
      <w:pPr>
        <w:spacing w:before="120" w:after="120" w:line="360" w:lineRule="auto"/>
        <w:jc w:val="both"/>
        <w:rPr>
          <w:rFonts w:ascii="Arial" w:hAnsi="Arial" w:cs="Arial"/>
        </w:rPr>
      </w:pPr>
      <w:r w:rsidRPr="00EE07E2">
        <w:rPr>
          <w:rFonts w:ascii="Arial" w:hAnsi="Arial" w:cs="Arial"/>
        </w:rPr>
        <w:t>General Electronics has to consider the short term and long-term financing sources to curb the liquidity problems. All of them imply specific benefits and risks, and the decision taken by the company will involve its short-term and long-term strategy.</w:t>
      </w:r>
    </w:p>
    <w:p w14:paraId="4963CDDC" w14:textId="77777777" w:rsidR="00B06EF3" w:rsidRPr="00A110C5" w:rsidRDefault="00B06EF3" w:rsidP="009A13E4">
      <w:pPr>
        <w:pStyle w:val="Heading3"/>
        <w:rPr>
          <w:rFonts w:cs="Arial"/>
        </w:rPr>
      </w:pPr>
      <w:bookmarkStart w:id="30" w:name="_Toc217080773"/>
      <w:r w:rsidRPr="00A110C5">
        <w:rPr>
          <w:rFonts w:cs="Arial"/>
        </w:rPr>
        <w:t>3.3.1 Short-Term Financing</w:t>
      </w:r>
      <w:bookmarkEnd w:id="30"/>
    </w:p>
    <w:p w14:paraId="14DD5DA5" w14:textId="421C0BF1" w:rsidR="00B06EF3" w:rsidRPr="00A110C5" w:rsidRDefault="00EE07E2" w:rsidP="009606E6">
      <w:pPr>
        <w:spacing w:before="120" w:after="120" w:line="360" w:lineRule="auto"/>
        <w:jc w:val="both"/>
        <w:rPr>
          <w:rFonts w:ascii="Arial" w:hAnsi="Arial" w:cs="Arial"/>
        </w:rPr>
      </w:pPr>
      <w:r w:rsidRPr="00EE07E2">
        <w:rPr>
          <w:rFonts w:ascii="Arial" w:hAnsi="Arial" w:cs="Arial"/>
        </w:rPr>
        <w:t>Finance sources such as lines of credit, working capital loans and trade credit can be used in the short term to provide urgent liquidity to meet operating expenses. These are best suited to finance the short-term cash flow crunches, which occur especially because the operation of cash in the company is long. Nonetheless, financing in the short-term is usually more expensive to fund in terms of interest rates, and thus, it may create more financial stress when not handled properly</w:t>
      </w:r>
      <w:r w:rsidR="00D715E3">
        <w:rPr>
          <w:rFonts w:ascii="Arial" w:hAnsi="Arial" w:cs="Arial"/>
        </w:rPr>
        <w:t xml:space="preserve"> </w:t>
      </w:r>
      <w:r w:rsidR="00D715E3" w:rsidRPr="00D715E3">
        <w:rPr>
          <w:rFonts w:ascii="Arial" w:hAnsi="Arial" w:cs="Arial"/>
        </w:rPr>
        <w:t>(Nicolas, 2021)</w:t>
      </w:r>
      <w:r w:rsidRPr="00EE07E2">
        <w:rPr>
          <w:rFonts w:ascii="Arial" w:hAnsi="Arial" w:cs="Arial"/>
        </w:rPr>
        <w:t>. In the case of General Electronics, the use of lines of credit or commercial paper would provide short term liquidity as the company strived to streamline its cash cycle. Also, supplier financing or factoring might permit faster cash inflow through the sale of the receivables.</w:t>
      </w:r>
    </w:p>
    <w:p w14:paraId="0B5E4BED" w14:textId="77777777" w:rsidR="00B06EF3" w:rsidRPr="00A110C5" w:rsidRDefault="00B06EF3" w:rsidP="009A13E4">
      <w:pPr>
        <w:pStyle w:val="Heading3"/>
        <w:rPr>
          <w:rFonts w:cs="Arial"/>
        </w:rPr>
      </w:pPr>
      <w:bookmarkStart w:id="31" w:name="_Toc217080774"/>
      <w:r w:rsidRPr="00A110C5">
        <w:rPr>
          <w:rFonts w:cs="Arial"/>
        </w:rPr>
        <w:t>3.3.2 Long-Term Financing</w:t>
      </w:r>
      <w:bookmarkEnd w:id="31"/>
    </w:p>
    <w:p w14:paraId="3464CB68" w14:textId="06A6F4B9" w:rsidR="0011243F" w:rsidRPr="00A110C5" w:rsidRDefault="00EE07E2" w:rsidP="009606E6">
      <w:pPr>
        <w:spacing w:before="120" w:after="120" w:line="360" w:lineRule="auto"/>
        <w:jc w:val="both"/>
        <w:rPr>
          <w:rFonts w:ascii="Arial" w:hAnsi="Arial" w:cs="Arial"/>
        </w:rPr>
      </w:pPr>
      <w:r w:rsidRPr="00EE07E2">
        <w:rPr>
          <w:rFonts w:ascii="Arial" w:hAnsi="Arial" w:cs="Arial"/>
        </w:rPr>
        <w:t>Larger sums of capital are provided by long term source of financing, like equity issue, bond, or long term loan, that do not pose the immediate repayment demands of short term sources. These can contribute to stabilizing financial situation of the company and investing in strategy. Nevertheless, long-term financing is associated with some shortfalls, including interest that is paid on debt or equity is diluted through issuance of equity</w:t>
      </w:r>
      <w:r w:rsidR="00D715E3">
        <w:rPr>
          <w:rFonts w:ascii="Arial" w:hAnsi="Arial" w:cs="Arial"/>
        </w:rPr>
        <w:t xml:space="preserve"> </w:t>
      </w:r>
      <w:r w:rsidR="00D715E3" w:rsidRPr="00D715E3">
        <w:rPr>
          <w:rFonts w:ascii="Arial" w:hAnsi="Arial" w:cs="Arial"/>
        </w:rPr>
        <w:t>(Li et al., 2021)</w:t>
      </w:r>
      <w:r w:rsidRPr="00EE07E2">
        <w:rPr>
          <w:rFonts w:ascii="Arial" w:hAnsi="Arial" w:cs="Arial"/>
        </w:rPr>
        <w:t>. With the financial health of the General Electronics, long-term debt or equity could be an option, although it is not worthwhile to borrow more money until the debt-to-equity ratio gets better.</w:t>
      </w:r>
    </w:p>
    <w:p w14:paraId="112B0529" w14:textId="16EA5E70" w:rsidR="0000335D" w:rsidRPr="00A110C5" w:rsidRDefault="0000335D" w:rsidP="00112D41">
      <w:pPr>
        <w:pStyle w:val="Heading1"/>
      </w:pPr>
      <w:bookmarkStart w:id="32" w:name="_Toc217080775"/>
      <w:r w:rsidRPr="00A110C5">
        <w:lastRenderedPageBreak/>
        <w:t>4.</w:t>
      </w:r>
      <w:r w:rsidR="009A13E4" w:rsidRPr="00A110C5">
        <w:t>0</w:t>
      </w:r>
      <w:r w:rsidRPr="00A110C5">
        <w:t xml:space="preserve"> Strategic Financial Restructuring</w:t>
      </w:r>
      <w:bookmarkEnd w:id="32"/>
    </w:p>
    <w:p w14:paraId="2156E462" w14:textId="77777777" w:rsidR="000B5222" w:rsidRPr="00A110C5" w:rsidRDefault="000B5222" w:rsidP="00112D41">
      <w:pPr>
        <w:pStyle w:val="Heading2"/>
      </w:pPr>
      <w:bookmarkStart w:id="33" w:name="_Toc217080776"/>
      <w:r w:rsidRPr="00A110C5">
        <w:t>4.1 Financial Restructuring Options</w:t>
      </w:r>
      <w:bookmarkEnd w:id="33"/>
    </w:p>
    <w:p w14:paraId="0B12688D" w14:textId="52FBA04D" w:rsidR="000B5222" w:rsidRPr="00A110C5" w:rsidRDefault="00EE07E2" w:rsidP="009606E6">
      <w:pPr>
        <w:spacing w:before="120" w:after="120" w:line="360" w:lineRule="auto"/>
        <w:jc w:val="both"/>
        <w:rPr>
          <w:rFonts w:ascii="Arial" w:hAnsi="Arial" w:cs="Arial"/>
        </w:rPr>
      </w:pPr>
      <w:r w:rsidRPr="00EE07E2">
        <w:rPr>
          <w:rFonts w:ascii="Arial" w:hAnsi="Arial" w:cs="Arial"/>
        </w:rPr>
        <w:t>General Electronics should consider different financial restructuring alternatives to regain its financial stability, increase shareholders value, and flexibility in its operations. These solutions are divestitures, mergers, and equity injections. Each of the options has its own advantages and difficulties, and the decision will be conditioned by the long-term objectives of the company, its financial situation, and the situation in the external market.</w:t>
      </w:r>
    </w:p>
    <w:p w14:paraId="1A2F6340" w14:textId="77777777" w:rsidR="000B5222" w:rsidRPr="00A110C5" w:rsidRDefault="000B5222" w:rsidP="009A13E4">
      <w:pPr>
        <w:pStyle w:val="Heading3"/>
        <w:rPr>
          <w:rFonts w:cs="Arial"/>
        </w:rPr>
      </w:pPr>
      <w:bookmarkStart w:id="34" w:name="_Toc217080777"/>
      <w:r w:rsidRPr="00A110C5">
        <w:rPr>
          <w:rFonts w:cs="Arial"/>
        </w:rPr>
        <w:t>4.1.1 Divestitures</w:t>
      </w:r>
      <w:bookmarkEnd w:id="34"/>
    </w:p>
    <w:p w14:paraId="5C41ADB5" w14:textId="00C61E3A" w:rsidR="000B5222" w:rsidRPr="00A110C5" w:rsidRDefault="00EE07E2" w:rsidP="009606E6">
      <w:pPr>
        <w:spacing w:before="120" w:after="120" w:line="360" w:lineRule="auto"/>
        <w:jc w:val="both"/>
        <w:rPr>
          <w:rFonts w:ascii="Arial" w:hAnsi="Arial" w:cs="Arial"/>
        </w:rPr>
      </w:pPr>
      <w:r w:rsidRPr="00EE07E2">
        <w:rPr>
          <w:rFonts w:ascii="Arial" w:hAnsi="Arial" w:cs="Arial"/>
        </w:rPr>
        <w:t>A divestiture is the disposal of non-core assets, non-performing units or subsidiaries to generate capital and cut down on debt which is good in the case of financially challenged companies such as General electronics. Divestitures also help the company to concentrate on its most profitable business by unlocking cash of underperforming assets to improve shareholder value</w:t>
      </w:r>
      <w:r w:rsidR="00D715E3">
        <w:rPr>
          <w:rFonts w:ascii="Arial" w:hAnsi="Arial" w:cs="Arial"/>
        </w:rPr>
        <w:t xml:space="preserve"> </w:t>
      </w:r>
      <w:r w:rsidR="00D715E3" w:rsidRPr="00D715E3">
        <w:rPr>
          <w:rFonts w:ascii="Arial" w:hAnsi="Arial" w:cs="Arial"/>
        </w:rPr>
        <w:t>(Chen, 2019)</w:t>
      </w:r>
      <w:r w:rsidRPr="00EE07E2">
        <w:rPr>
          <w:rFonts w:ascii="Arial" w:hAnsi="Arial" w:cs="Arial"/>
        </w:rPr>
        <w:t>. The funds can be used in settling debts making it better financially. Nevertheless, as it increases operational efficiency, selling off non-core business might decrease diversification which exposes the company to more risks in their core business.</w:t>
      </w:r>
    </w:p>
    <w:p w14:paraId="6DD7F90E" w14:textId="77777777" w:rsidR="000B5222" w:rsidRPr="00A110C5" w:rsidRDefault="000B5222" w:rsidP="009A13E4">
      <w:pPr>
        <w:pStyle w:val="Heading3"/>
        <w:rPr>
          <w:rFonts w:cs="Arial"/>
        </w:rPr>
      </w:pPr>
      <w:bookmarkStart w:id="35" w:name="_Toc217080778"/>
      <w:r w:rsidRPr="00A110C5">
        <w:rPr>
          <w:rFonts w:cs="Arial"/>
        </w:rPr>
        <w:t>4.1.2 Mergers</w:t>
      </w:r>
      <w:bookmarkEnd w:id="35"/>
    </w:p>
    <w:p w14:paraId="5EB1D357" w14:textId="0D88BA27" w:rsidR="000B5222" w:rsidRPr="00A110C5" w:rsidRDefault="00EE07E2" w:rsidP="009606E6">
      <w:pPr>
        <w:spacing w:before="120" w:after="120" w:line="360" w:lineRule="auto"/>
        <w:jc w:val="both"/>
        <w:rPr>
          <w:rFonts w:ascii="Arial" w:hAnsi="Arial" w:cs="Arial"/>
        </w:rPr>
      </w:pPr>
      <w:r w:rsidRPr="00EE07E2">
        <w:rPr>
          <w:rFonts w:ascii="Arial" w:hAnsi="Arial" w:cs="Arial"/>
        </w:rPr>
        <w:t>A merger is a collaboration of General Electronics with another company to form a bigger and more competitive one. Mergers have a potential to increase shareholder value due to economies of scale, cost reductions, and increased market shares but integration is very important</w:t>
      </w:r>
      <w:r w:rsidR="00361E81">
        <w:rPr>
          <w:rFonts w:ascii="Arial" w:hAnsi="Arial" w:cs="Arial"/>
        </w:rPr>
        <w:t xml:space="preserve"> </w:t>
      </w:r>
      <w:r w:rsidR="00361E81" w:rsidRPr="00361E81">
        <w:rPr>
          <w:rFonts w:ascii="Arial" w:hAnsi="Arial" w:cs="Arial"/>
        </w:rPr>
        <w:t xml:space="preserve">(Bauer and </w:t>
      </w:r>
      <w:proofErr w:type="spellStart"/>
      <w:r w:rsidR="00361E81" w:rsidRPr="00361E81">
        <w:rPr>
          <w:rFonts w:ascii="Arial" w:hAnsi="Arial" w:cs="Arial"/>
        </w:rPr>
        <w:t>Friesl</w:t>
      </w:r>
      <w:proofErr w:type="spellEnd"/>
      <w:r w:rsidR="00361E81" w:rsidRPr="00361E81">
        <w:rPr>
          <w:rFonts w:ascii="Arial" w:hAnsi="Arial" w:cs="Arial"/>
        </w:rPr>
        <w:t>, 2022)</w:t>
      </w:r>
      <w:r w:rsidRPr="00EE07E2">
        <w:rPr>
          <w:rFonts w:ascii="Arial" w:hAnsi="Arial" w:cs="Arial"/>
        </w:rPr>
        <w:t>. The combination with a company that is financially sound would increase the balance sheet and access a lower-cost financing</w:t>
      </w:r>
      <w:r w:rsidR="00D715E3">
        <w:rPr>
          <w:rFonts w:ascii="Arial" w:hAnsi="Arial" w:cs="Arial"/>
        </w:rPr>
        <w:t xml:space="preserve"> </w:t>
      </w:r>
      <w:r w:rsidR="00D715E3" w:rsidRPr="00D715E3">
        <w:rPr>
          <w:rFonts w:ascii="Arial" w:hAnsi="Arial" w:cs="Arial"/>
        </w:rPr>
        <w:t>(Hargrave, 2024)</w:t>
      </w:r>
      <w:r w:rsidRPr="00EE07E2">
        <w:rPr>
          <w:rFonts w:ascii="Arial" w:hAnsi="Arial" w:cs="Arial"/>
        </w:rPr>
        <w:t>. But the presence of the other company liability might add to the debt and operational restructuring might make the company less flexible when it comes to integration.</w:t>
      </w:r>
    </w:p>
    <w:p w14:paraId="3D474501" w14:textId="77777777" w:rsidR="000B5222" w:rsidRPr="00A110C5" w:rsidRDefault="000B5222" w:rsidP="009A13E4">
      <w:pPr>
        <w:pStyle w:val="Heading3"/>
        <w:rPr>
          <w:rFonts w:cs="Arial"/>
        </w:rPr>
      </w:pPr>
      <w:bookmarkStart w:id="36" w:name="_Toc217080779"/>
      <w:r w:rsidRPr="00A110C5">
        <w:rPr>
          <w:rFonts w:cs="Arial"/>
        </w:rPr>
        <w:t>4.1.3 Equity Injections</w:t>
      </w:r>
      <w:bookmarkEnd w:id="36"/>
    </w:p>
    <w:p w14:paraId="70ECE60E" w14:textId="2A9C3F8E" w:rsidR="008F1A46" w:rsidRPr="00A110C5" w:rsidRDefault="00EE07E2" w:rsidP="009606E6">
      <w:pPr>
        <w:spacing w:before="120" w:after="120" w:line="360" w:lineRule="auto"/>
        <w:jc w:val="both"/>
        <w:rPr>
          <w:rFonts w:ascii="Arial" w:hAnsi="Arial" w:cs="Arial"/>
        </w:rPr>
      </w:pPr>
      <w:r w:rsidRPr="00EE07E2">
        <w:rPr>
          <w:rFonts w:ascii="Arial" w:hAnsi="Arial" w:cs="Arial"/>
        </w:rPr>
        <w:t>An equity injection is the process of raising funds through issue of new shares or acquisition of strategic investors. Although it will dilute the ownership of existing shareholders, and thus decrease the short-term EPS and stock prices, it enhances liquidity and decreases the dependency on debt generating long-term value</w:t>
      </w:r>
      <w:r w:rsidR="00361E81">
        <w:rPr>
          <w:rFonts w:ascii="Arial" w:hAnsi="Arial" w:cs="Arial"/>
        </w:rPr>
        <w:t xml:space="preserve"> </w:t>
      </w:r>
      <w:r w:rsidR="00361E81" w:rsidRPr="00361E81">
        <w:rPr>
          <w:rFonts w:ascii="Arial" w:hAnsi="Arial" w:cs="Arial"/>
        </w:rPr>
        <w:t xml:space="preserve">(Xiong, </w:t>
      </w:r>
      <w:r w:rsidR="00361E81" w:rsidRPr="00361E81">
        <w:rPr>
          <w:rFonts w:ascii="Arial" w:hAnsi="Arial" w:cs="Arial"/>
        </w:rPr>
        <w:lastRenderedPageBreak/>
        <w:t>Liu and Wang, 2022)</w:t>
      </w:r>
      <w:r w:rsidRPr="00EE07E2">
        <w:rPr>
          <w:rFonts w:ascii="Arial" w:hAnsi="Arial" w:cs="Arial"/>
        </w:rPr>
        <w:t>. Equity issuance improves the balance sheet as the debt-equity ratio is decreased and increases creditworthiness. Nevertheless, it can change the system of government, affecting the way of decision-making and flexibility of operations because of the participation of new investors and the determination of the strategic direction of the company.</w:t>
      </w:r>
    </w:p>
    <w:p w14:paraId="08B10611" w14:textId="2290C1A5" w:rsidR="0000335D" w:rsidRPr="00A110C5" w:rsidRDefault="00DD44D9" w:rsidP="00112D41">
      <w:pPr>
        <w:pStyle w:val="Heading2"/>
      </w:pPr>
      <w:bookmarkStart w:id="37" w:name="_Toc217080780"/>
      <w:r w:rsidRPr="00A110C5">
        <w:t>4</w:t>
      </w:r>
      <w:r w:rsidR="0000335D" w:rsidRPr="00A110C5">
        <w:t>.2 Impact on Shareholder Value</w:t>
      </w:r>
      <w:bookmarkEnd w:id="37"/>
    </w:p>
    <w:p w14:paraId="0A42602B" w14:textId="1BBD0E92" w:rsidR="0000335D" w:rsidRPr="00A110C5" w:rsidRDefault="0000335D" w:rsidP="009606E6">
      <w:pPr>
        <w:spacing w:before="120" w:after="120" w:line="360" w:lineRule="auto"/>
        <w:jc w:val="both"/>
        <w:rPr>
          <w:rFonts w:ascii="Arial" w:hAnsi="Arial" w:cs="Arial"/>
          <w:b/>
          <w:bCs/>
        </w:rPr>
      </w:pPr>
      <w:r w:rsidRPr="00A110C5">
        <w:rPr>
          <w:rFonts w:ascii="Arial" w:hAnsi="Arial" w:cs="Arial"/>
          <w:b/>
          <w:bCs/>
        </w:rPr>
        <w:t>Shareholder Return</w:t>
      </w:r>
    </w:p>
    <w:p w14:paraId="5220735D" w14:textId="36B8FB9F" w:rsidR="0000335D" w:rsidRPr="00A110C5" w:rsidRDefault="00EE07E2" w:rsidP="009606E6">
      <w:pPr>
        <w:spacing w:before="120" w:after="120" w:line="360" w:lineRule="auto"/>
        <w:jc w:val="both"/>
        <w:rPr>
          <w:rFonts w:ascii="Arial" w:hAnsi="Arial" w:cs="Arial"/>
        </w:rPr>
      </w:pPr>
      <w:r w:rsidRPr="00EE07E2">
        <w:rPr>
          <w:rFonts w:ascii="Arial" w:hAnsi="Arial" w:cs="Arial"/>
        </w:rPr>
        <w:t>Restructuring has a different effect on the shareholder value depending on the strategy. A divestiture may provide liquidity and debt relief in the short term which is beneficial to the shareholders in the short term, however, the sale of important assets can impair future growth and revenue, which is detrimental to long-term returns. A merger can bring value in form of cost savings, greater market penetration and efficiencies and this offers the shareholders more value should the synergies be achieved</w:t>
      </w:r>
      <w:r w:rsidR="00361E81">
        <w:rPr>
          <w:rFonts w:ascii="Arial" w:hAnsi="Arial" w:cs="Arial"/>
        </w:rPr>
        <w:t xml:space="preserve"> </w:t>
      </w:r>
      <w:r w:rsidR="00361E81" w:rsidRPr="00361E81">
        <w:rPr>
          <w:rFonts w:ascii="Arial" w:hAnsi="Arial" w:cs="Arial"/>
        </w:rPr>
        <w:t>(</w:t>
      </w:r>
      <w:proofErr w:type="spellStart"/>
      <w:r w:rsidR="00361E81" w:rsidRPr="00361E81">
        <w:rPr>
          <w:rFonts w:ascii="Arial" w:hAnsi="Arial" w:cs="Arial"/>
        </w:rPr>
        <w:t>Partacz</w:t>
      </w:r>
      <w:proofErr w:type="spellEnd"/>
      <w:r w:rsidR="00361E81" w:rsidRPr="00361E81">
        <w:rPr>
          <w:rFonts w:ascii="Arial" w:hAnsi="Arial" w:cs="Arial"/>
        </w:rPr>
        <w:t>, 2022)</w:t>
      </w:r>
      <w:r w:rsidRPr="00EE07E2">
        <w:rPr>
          <w:rFonts w:ascii="Arial" w:hAnsi="Arial" w:cs="Arial"/>
        </w:rPr>
        <w:t>. Nonetheless, the issue of integration can be detrimental to profitability and confidence in the market. Issuance of equity lowers the debt and enhances liquidity increasing financial stability in the long run, but dilutes ownership and lowers the EPS and the stock price in the short run. When channeled in a strategic manner, it may increase shareholder value in the long term.</w:t>
      </w:r>
    </w:p>
    <w:p w14:paraId="41F6969E" w14:textId="1F550567" w:rsidR="0000335D" w:rsidRPr="00A110C5" w:rsidRDefault="0000335D" w:rsidP="009606E6">
      <w:pPr>
        <w:spacing w:before="120" w:after="120" w:line="360" w:lineRule="auto"/>
        <w:jc w:val="both"/>
        <w:rPr>
          <w:rFonts w:ascii="Arial" w:hAnsi="Arial" w:cs="Arial"/>
          <w:b/>
          <w:bCs/>
        </w:rPr>
      </w:pPr>
      <w:r w:rsidRPr="00A110C5">
        <w:rPr>
          <w:rFonts w:ascii="Arial" w:hAnsi="Arial" w:cs="Arial"/>
          <w:b/>
          <w:bCs/>
        </w:rPr>
        <w:t>Stock Price Impact</w:t>
      </w:r>
    </w:p>
    <w:p w14:paraId="000B9212" w14:textId="022F24E8" w:rsidR="00EE07E2" w:rsidRPr="00EE07E2" w:rsidRDefault="00EE07E2" w:rsidP="00EE07E2">
      <w:pPr>
        <w:spacing w:before="120" w:after="120" w:line="360" w:lineRule="auto"/>
        <w:jc w:val="both"/>
        <w:rPr>
          <w:rFonts w:ascii="Arial" w:hAnsi="Arial" w:cs="Arial"/>
        </w:rPr>
      </w:pPr>
      <w:r w:rsidRPr="00EE07E2">
        <w:rPr>
          <w:rFonts w:ascii="Arial" w:hAnsi="Arial" w:cs="Arial"/>
        </w:rPr>
        <w:t>The success of restructuring in the market will be determined by perceived effectiveness. An example of a divestiture that may result in high stock prices is the sale of non-core assets so that a company can concentrate on its profitable operations. Nonetheless, selling the crucial assets may be negatively perceived by the market and, hence, the share prices will decrease</w:t>
      </w:r>
      <w:r w:rsidR="00D715E3">
        <w:rPr>
          <w:rFonts w:ascii="Arial" w:hAnsi="Arial" w:cs="Arial"/>
        </w:rPr>
        <w:t xml:space="preserve"> </w:t>
      </w:r>
      <w:r w:rsidR="00D715E3" w:rsidRPr="00D715E3">
        <w:rPr>
          <w:rFonts w:ascii="Arial" w:hAnsi="Arial" w:cs="Arial"/>
        </w:rPr>
        <w:t>(Munsanje, Abednego Nchimunya, 2021)</w:t>
      </w:r>
      <w:r w:rsidRPr="00EE07E2">
        <w:rPr>
          <w:rFonts w:ascii="Arial" w:hAnsi="Arial" w:cs="Arial"/>
        </w:rPr>
        <w:t>.</w:t>
      </w:r>
    </w:p>
    <w:p w14:paraId="7CB41EF1" w14:textId="56EF6DC4" w:rsidR="0000335D" w:rsidRPr="00A110C5" w:rsidRDefault="00EE07E2" w:rsidP="00EE07E2">
      <w:pPr>
        <w:spacing w:before="120" w:after="120" w:line="360" w:lineRule="auto"/>
        <w:jc w:val="both"/>
        <w:rPr>
          <w:rFonts w:ascii="Arial" w:hAnsi="Arial" w:cs="Arial"/>
        </w:rPr>
      </w:pPr>
      <w:r w:rsidRPr="00EE07E2">
        <w:rPr>
          <w:rFonts w:ascii="Arial" w:hAnsi="Arial" w:cs="Arial"/>
        </w:rPr>
        <w:t xml:space="preserve">As share prices may increase in case there are synergies and higher profitability which merger may bring, integration problems or doubt may lead to share prices decline. Issuance of equity typically causes a short-term decline in the price of shares because of dilution. Nevertheless, in an event where the reorganization increases the financial </w:t>
      </w:r>
      <w:proofErr w:type="spellStart"/>
      <w:r w:rsidRPr="00EE07E2">
        <w:rPr>
          <w:rFonts w:ascii="Arial" w:hAnsi="Arial" w:cs="Arial"/>
        </w:rPr>
        <w:t>well being</w:t>
      </w:r>
      <w:proofErr w:type="spellEnd"/>
      <w:r w:rsidRPr="00EE07E2">
        <w:rPr>
          <w:rFonts w:ascii="Arial" w:hAnsi="Arial" w:cs="Arial"/>
        </w:rPr>
        <w:t xml:space="preserve"> of the company, the share prices would eventually increase as the market will regain some form of confidence.</w:t>
      </w:r>
    </w:p>
    <w:p w14:paraId="25140ED8" w14:textId="45F4C8A3" w:rsidR="0000335D" w:rsidRPr="00A110C5" w:rsidRDefault="00DD44D9" w:rsidP="00112D41">
      <w:pPr>
        <w:pStyle w:val="Heading2"/>
      </w:pPr>
      <w:bookmarkStart w:id="38" w:name="_Toc217080781"/>
      <w:r w:rsidRPr="00A110C5">
        <w:t>4</w:t>
      </w:r>
      <w:r w:rsidR="0000335D" w:rsidRPr="00A110C5">
        <w:t>.3 Debt Structure and Operational Flexibility</w:t>
      </w:r>
      <w:bookmarkEnd w:id="38"/>
    </w:p>
    <w:p w14:paraId="0D8A41B9" w14:textId="77777777" w:rsidR="0000335D" w:rsidRPr="00A110C5" w:rsidRDefault="0000335D" w:rsidP="009606E6">
      <w:pPr>
        <w:spacing w:before="120" w:after="120" w:line="360" w:lineRule="auto"/>
        <w:jc w:val="both"/>
        <w:rPr>
          <w:rFonts w:ascii="Arial" w:hAnsi="Arial" w:cs="Arial"/>
          <w:b/>
          <w:bCs/>
        </w:rPr>
      </w:pPr>
      <w:r w:rsidRPr="00A110C5">
        <w:rPr>
          <w:rFonts w:ascii="Arial" w:hAnsi="Arial" w:cs="Arial"/>
          <w:b/>
          <w:bCs/>
        </w:rPr>
        <w:lastRenderedPageBreak/>
        <w:t>Debt-to-Equity Ratio</w:t>
      </w:r>
    </w:p>
    <w:p w14:paraId="0C08141A" w14:textId="2A30AA17" w:rsidR="0000335D" w:rsidRPr="00A110C5" w:rsidRDefault="00EE07E2" w:rsidP="009606E6">
      <w:pPr>
        <w:spacing w:before="120" w:after="120" w:line="360" w:lineRule="auto"/>
        <w:jc w:val="both"/>
        <w:rPr>
          <w:rFonts w:ascii="Arial" w:hAnsi="Arial" w:cs="Arial"/>
        </w:rPr>
      </w:pPr>
      <w:r w:rsidRPr="00EE07E2">
        <w:rPr>
          <w:rFonts w:ascii="Arial" w:hAnsi="Arial" w:cs="Arial"/>
        </w:rPr>
        <w:t>Restructuring, especially through debt reduction/equity issuance will have an effect on the debt-equity ratio of General Electronics. Debt reduction enhances the financial flexibility and reduces the ratio, which is simpler to finance in the future</w:t>
      </w:r>
      <w:r w:rsidR="00D715E3">
        <w:rPr>
          <w:rFonts w:ascii="Arial" w:hAnsi="Arial" w:cs="Arial"/>
        </w:rPr>
        <w:t xml:space="preserve"> </w:t>
      </w:r>
      <w:r w:rsidR="00D715E3" w:rsidRPr="00F94AF5">
        <w:rPr>
          <w:rFonts w:ascii="Arial" w:hAnsi="Arial" w:cs="Arial"/>
        </w:rPr>
        <w:t>(Islam, 2023)</w:t>
      </w:r>
      <w:r w:rsidRPr="00EE07E2">
        <w:rPr>
          <w:rFonts w:ascii="Arial" w:hAnsi="Arial" w:cs="Arial"/>
        </w:rPr>
        <w:t>. Issuing equity also reduces the ratio since it increases equity however, the issue is that dilution will occur, which may not be very good to the current shareholders.</w:t>
      </w:r>
    </w:p>
    <w:p w14:paraId="2CF7DE45" w14:textId="77777777" w:rsidR="0000335D" w:rsidRPr="00A110C5" w:rsidRDefault="0000335D" w:rsidP="009606E6">
      <w:pPr>
        <w:spacing w:before="120" w:after="120" w:line="360" w:lineRule="auto"/>
        <w:jc w:val="both"/>
        <w:rPr>
          <w:rFonts w:ascii="Arial" w:hAnsi="Arial" w:cs="Arial"/>
          <w:b/>
          <w:bCs/>
        </w:rPr>
      </w:pPr>
      <w:r w:rsidRPr="00A110C5">
        <w:rPr>
          <w:rFonts w:ascii="Arial" w:hAnsi="Arial" w:cs="Arial"/>
          <w:b/>
          <w:bCs/>
        </w:rPr>
        <w:t>Operational Flexibility</w:t>
      </w:r>
    </w:p>
    <w:p w14:paraId="21483C1E" w14:textId="5CE03959" w:rsidR="0011243F" w:rsidRPr="00A110C5" w:rsidRDefault="00EE07E2" w:rsidP="009606E6">
      <w:pPr>
        <w:spacing w:before="120" w:after="120" w:line="360" w:lineRule="auto"/>
        <w:jc w:val="both"/>
        <w:rPr>
          <w:rFonts w:ascii="Arial" w:hAnsi="Arial" w:cs="Arial"/>
        </w:rPr>
      </w:pPr>
      <w:r w:rsidRPr="00EE07E2">
        <w:rPr>
          <w:rFonts w:ascii="Arial" w:hAnsi="Arial" w:cs="Arial"/>
        </w:rPr>
        <w:t>Restructuring can result in greater flexibility of operation. A merger provides new resources and markets to enhance decision making. The process of integration, however, can disturb operations and cause lack of flexibility</w:t>
      </w:r>
      <w:r w:rsidR="0024569B">
        <w:rPr>
          <w:rFonts w:ascii="Arial" w:hAnsi="Arial" w:cs="Arial"/>
        </w:rPr>
        <w:t xml:space="preserve"> </w:t>
      </w:r>
      <w:r w:rsidR="0024569B" w:rsidRPr="0024569B">
        <w:rPr>
          <w:rFonts w:ascii="Arial" w:hAnsi="Arial" w:cs="Arial"/>
        </w:rPr>
        <w:t xml:space="preserve">(Thomas and </w:t>
      </w:r>
      <w:proofErr w:type="spellStart"/>
      <w:r w:rsidR="0024569B" w:rsidRPr="0024569B">
        <w:rPr>
          <w:rFonts w:ascii="Arial" w:hAnsi="Arial" w:cs="Arial"/>
        </w:rPr>
        <w:t>Louisgrand</w:t>
      </w:r>
      <w:proofErr w:type="spellEnd"/>
      <w:r w:rsidR="0024569B" w:rsidRPr="0024569B">
        <w:rPr>
          <w:rFonts w:ascii="Arial" w:hAnsi="Arial" w:cs="Arial"/>
        </w:rPr>
        <w:t>, 2022)</w:t>
      </w:r>
      <w:r w:rsidRPr="00EE07E2">
        <w:rPr>
          <w:rFonts w:ascii="Arial" w:hAnsi="Arial" w:cs="Arial"/>
        </w:rPr>
        <w:t>. A divestiture will enable General Electronics to concentrate on operations that it is in, and efficiency will be enhanced but there will be less diversification. The minimization of debt enhances cash flow which gives a greater leeway to invest in growth opportunities which increases operational agility further.</w:t>
      </w:r>
    </w:p>
    <w:p w14:paraId="7DAD79E3" w14:textId="5D4D3A23" w:rsidR="0000335D" w:rsidRPr="00A110C5" w:rsidRDefault="0000335D" w:rsidP="00112D41">
      <w:pPr>
        <w:pStyle w:val="Heading2"/>
      </w:pPr>
      <w:bookmarkStart w:id="39" w:name="_Toc217080782"/>
      <w:r w:rsidRPr="00A110C5">
        <w:t>4.</w:t>
      </w:r>
      <w:r w:rsidR="00DD44D9" w:rsidRPr="00A110C5">
        <w:t>4</w:t>
      </w:r>
      <w:r w:rsidRPr="00A110C5">
        <w:t xml:space="preserve"> International and Ethical Considerations</w:t>
      </w:r>
      <w:bookmarkEnd w:id="39"/>
    </w:p>
    <w:p w14:paraId="032A0762" w14:textId="6DB1D088" w:rsidR="0000335D" w:rsidRPr="00A110C5" w:rsidRDefault="00EE07E2" w:rsidP="009606E6">
      <w:pPr>
        <w:spacing w:before="120" w:after="120" w:line="360" w:lineRule="auto"/>
        <w:jc w:val="both"/>
        <w:rPr>
          <w:rFonts w:ascii="Arial" w:hAnsi="Arial" w:cs="Arial"/>
        </w:rPr>
      </w:pPr>
      <w:r w:rsidRPr="00EE07E2">
        <w:rPr>
          <w:rFonts w:ascii="Arial" w:hAnsi="Arial" w:cs="Arial"/>
        </w:rPr>
        <w:t>Financial restructuring of General Electric needs to deal with several international and ethical challenges as the company works across different countries.</w:t>
      </w:r>
    </w:p>
    <w:p w14:paraId="7E69EF46" w14:textId="6B89C4EF" w:rsidR="0000335D" w:rsidRPr="00A110C5" w:rsidRDefault="0000335D" w:rsidP="009606E6">
      <w:pPr>
        <w:spacing w:before="120" w:after="120" w:line="360" w:lineRule="auto"/>
        <w:jc w:val="both"/>
        <w:rPr>
          <w:rFonts w:ascii="Arial" w:hAnsi="Arial" w:cs="Arial"/>
          <w:b/>
          <w:bCs/>
        </w:rPr>
      </w:pPr>
      <w:r w:rsidRPr="00A110C5">
        <w:rPr>
          <w:rFonts w:ascii="Arial" w:hAnsi="Arial" w:cs="Arial"/>
          <w:b/>
          <w:bCs/>
        </w:rPr>
        <w:t>International Tax Issues</w:t>
      </w:r>
    </w:p>
    <w:p w14:paraId="410D44DF" w14:textId="4A0349EA" w:rsidR="0000335D" w:rsidRPr="00A110C5" w:rsidRDefault="00EE07E2" w:rsidP="009606E6">
      <w:pPr>
        <w:spacing w:before="120" w:after="120" w:line="360" w:lineRule="auto"/>
        <w:jc w:val="both"/>
        <w:rPr>
          <w:rFonts w:ascii="Arial" w:hAnsi="Arial" w:cs="Arial"/>
        </w:rPr>
      </w:pPr>
      <w:r w:rsidRPr="00EE07E2">
        <w:rPr>
          <w:rFonts w:ascii="Arial" w:hAnsi="Arial" w:cs="Arial"/>
        </w:rPr>
        <w:t>Although restructuring can be done through asset sales or merger, these are cross border transactions, which are taxed differently. General Electronics should also take into account the tax effects, such as capital gains tax amounts on the asset sales and there may be some tax avoidance issues in international mergers. It is essential to consult the international tax specialists to prevent serious debts.</w:t>
      </w:r>
    </w:p>
    <w:p w14:paraId="3517F3E8" w14:textId="4327DE59" w:rsidR="0000335D" w:rsidRPr="00A110C5" w:rsidRDefault="0000335D" w:rsidP="009606E6">
      <w:pPr>
        <w:spacing w:before="120" w:after="120" w:line="360" w:lineRule="auto"/>
        <w:jc w:val="both"/>
        <w:rPr>
          <w:rFonts w:ascii="Arial" w:hAnsi="Arial" w:cs="Arial"/>
          <w:b/>
          <w:bCs/>
        </w:rPr>
      </w:pPr>
      <w:r w:rsidRPr="00A110C5">
        <w:rPr>
          <w:rFonts w:ascii="Arial" w:hAnsi="Arial" w:cs="Arial"/>
          <w:b/>
          <w:bCs/>
        </w:rPr>
        <w:t>Currency Risk</w:t>
      </w:r>
    </w:p>
    <w:p w14:paraId="72F4DD66" w14:textId="74F0C1E7" w:rsidR="0000335D" w:rsidRPr="00A110C5" w:rsidRDefault="00EE07E2" w:rsidP="009606E6">
      <w:pPr>
        <w:spacing w:before="120" w:after="120" w:line="360" w:lineRule="auto"/>
        <w:jc w:val="both"/>
        <w:rPr>
          <w:rFonts w:ascii="Arial" w:hAnsi="Arial" w:cs="Arial"/>
        </w:rPr>
      </w:pPr>
      <w:r w:rsidRPr="00EE07E2">
        <w:rPr>
          <w:rFonts w:ascii="Arial" w:hAnsi="Arial" w:cs="Arial"/>
        </w:rPr>
        <w:t>Foreign exchange risks may have a profound effect on restructuring, especially international mergers or divestitures. Change of exchange rate can impact the asset values, liabilities, future cash flows. In order to address this risk, General electronics may apply hedging in managing its financial position through the use of forward contracts or currency options.</w:t>
      </w:r>
    </w:p>
    <w:p w14:paraId="36DE9541" w14:textId="322EA976" w:rsidR="0000335D" w:rsidRPr="00A110C5" w:rsidRDefault="0000335D" w:rsidP="009606E6">
      <w:pPr>
        <w:spacing w:before="120" w:after="120" w:line="360" w:lineRule="auto"/>
        <w:jc w:val="both"/>
        <w:rPr>
          <w:rFonts w:ascii="Arial" w:hAnsi="Arial" w:cs="Arial"/>
          <w:b/>
          <w:bCs/>
        </w:rPr>
      </w:pPr>
      <w:r w:rsidRPr="00A110C5">
        <w:rPr>
          <w:rFonts w:ascii="Arial" w:hAnsi="Arial" w:cs="Arial"/>
          <w:b/>
          <w:bCs/>
        </w:rPr>
        <w:t>Inflation</w:t>
      </w:r>
    </w:p>
    <w:p w14:paraId="1410BA8E" w14:textId="28996FE7" w:rsidR="0000335D" w:rsidRPr="00A110C5" w:rsidRDefault="00EE07E2" w:rsidP="009606E6">
      <w:pPr>
        <w:spacing w:before="120" w:after="120" w:line="360" w:lineRule="auto"/>
        <w:jc w:val="both"/>
        <w:rPr>
          <w:rFonts w:ascii="Arial" w:hAnsi="Arial" w:cs="Arial"/>
        </w:rPr>
      </w:pPr>
      <w:r w:rsidRPr="00EE07E2">
        <w:rPr>
          <w:rFonts w:ascii="Arial" w:hAnsi="Arial" w:cs="Arial"/>
        </w:rPr>
        <w:lastRenderedPageBreak/>
        <w:t xml:space="preserve">The markets that General Electronics operates in might experience inflation that can pressure the cost of the raw materials, </w:t>
      </w:r>
      <w:proofErr w:type="spellStart"/>
      <w:r w:rsidRPr="00EE07E2">
        <w:rPr>
          <w:rFonts w:ascii="Arial" w:hAnsi="Arial" w:cs="Arial"/>
        </w:rPr>
        <w:t>labour</w:t>
      </w:r>
      <w:proofErr w:type="spellEnd"/>
      <w:r w:rsidRPr="00EE07E2">
        <w:rPr>
          <w:rFonts w:ascii="Arial" w:hAnsi="Arial" w:cs="Arial"/>
        </w:rPr>
        <w:t xml:space="preserve"> and energy, and this will diminish the profit margins. The company will be forced to change their pricing strategies and cost management practices so as to remain profitable in an inflationary environment.</w:t>
      </w:r>
    </w:p>
    <w:p w14:paraId="60D18831" w14:textId="2B9C9C8D" w:rsidR="0000335D" w:rsidRPr="00A110C5" w:rsidRDefault="0000335D" w:rsidP="009606E6">
      <w:pPr>
        <w:spacing w:before="120" w:after="120" w:line="360" w:lineRule="auto"/>
        <w:jc w:val="both"/>
        <w:rPr>
          <w:rFonts w:ascii="Arial" w:hAnsi="Arial" w:cs="Arial"/>
          <w:b/>
          <w:bCs/>
        </w:rPr>
      </w:pPr>
      <w:r w:rsidRPr="00A110C5">
        <w:rPr>
          <w:rFonts w:ascii="Arial" w:hAnsi="Arial" w:cs="Arial"/>
          <w:b/>
          <w:bCs/>
        </w:rPr>
        <w:t>Corporate Social Responsibility (CSR)</w:t>
      </w:r>
    </w:p>
    <w:p w14:paraId="616298E4" w14:textId="3809845E" w:rsidR="0000335D" w:rsidRPr="00A110C5" w:rsidRDefault="00EE07E2" w:rsidP="009606E6">
      <w:pPr>
        <w:spacing w:before="120" w:after="120" w:line="360" w:lineRule="auto"/>
        <w:jc w:val="both"/>
        <w:rPr>
          <w:rFonts w:ascii="Arial" w:hAnsi="Arial" w:cs="Arial"/>
        </w:rPr>
      </w:pPr>
      <w:r w:rsidRPr="00EE07E2">
        <w:rPr>
          <w:rFonts w:ascii="Arial" w:hAnsi="Arial" w:cs="Arial"/>
        </w:rPr>
        <w:t>General Electronics should place in mind ethical consequences of restructuring, especially regarding layoffs of employees, relations with suppliers and environmental issues</w:t>
      </w:r>
      <w:r w:rsidR="00D715E3">
        <w:rPr>
          <w:rFonts w:ascii="Arial" w:hAnsi="Arial" w:cs="Arial"/>
        </w:rPr>
        <w:t xml:space="preserve"> </w:t>
      </w:r>
      <w:r w:rsidR="00D715E3" w:rsidRPr="00D715E3">
        <w:rPr>
          <w:rFonts w:ascii="Arial" w:hAnsi="Arial" w:cs="Arial"/>
        </w:rPr>
        <w:t>(</w:t>
      </w:r>
      <w:proofErr w:type="spellStart"/>
      <w:r w:rsidR="00D715E3" w:rsidRPr="00D715E3">
        <w:rPr>
          <w:rFonts w:ascii="Arial" w:hAnsi="Arial" w:cs="Arial"/>
        </w:rPr>
        <w:t>Porcuna</w:t>
      </w:r>
      <w:proofErr w:type="spellEnd"/>
      <w:r w:rsidR="00D715E3" w:rsidRPr="00D715E3">
        <w:rPr>
          <w:rFonts w:ascii="Arial" w:hAnsi="Arial" w:cs="Arial"/>
        </w:rPr>
        <w:t xml:space="preserve"> </w:t>
      </w:r>
      <w:proofErr w:type="spellStart"/>
      <w:r w:rsidR="00D715E3" w:rsidRPr="00D715E3">
        <w:rPr>
          <w:rFonts w:ascii="Arial" w:hAnsi="Arial" w:cs="Arial"/>
        </w:rPr>
        <w:t>Enguix</w:t>
      </w:r>
      <w:proofErr w:type="spellEnd"/>
      <w:r w:rsidR="00D715E3" w:rsidRPr="00D715E3">
        <w:rPr>
          <w:rFonts w:ascii="Arial" w:hAnsi="Arial" w:cs="Arial"/>
        </w:rPr>
        <w:t>, 2021)</w:t>
      </w:r>
      <w:r w:rsidRPr="00EE07E2">
        <w:rPr>
          <w:rFonts w:ascii="Arial" w:hAnsi="Arial" w:cs="Arial"/>
        </w:rPr>
        <w:t>. Such activities like layoffs or selling off company assets ought to be managed in a responsible manner and so, individuals should be compensated and helped to cope with the situation without imposing on the high standards of CSR.</w:t>
      </w:r>
    </w:p>
    <w:p w14:paraId="1E903B8C" w14:textId="76BC29CD" w:rsidR="0000335D" w:rsidRPr="00A110C5" w:rsidRDefault="0000335D" w:rsidP="009606E6">
      <w:pPr>
        <w:spacing w:before="120" w:after="120" w:line="360" w:lineRule="auto"/>
        <w:jc w:val="both"/>
        <w:rPr>
          <w:rFonts w:ascii="Arial" w:hAnsi="Arial" w:cs="Arial"/>
          <w:b/>
          <w:bCs/>
        </w:rPr>
      </w:pPr>
      <w:r w:rsidRPr="00A110C5">
        <w:rPr>
          <w:rFonts w:ascii="Arial" w:hAnsi="Arial" w:cs="Arial"/>
          <w:b/>
          <w:bCs/>
        </w:rPr>
        <w:t>Ethical Implications of Proposed Restructuring</w:t>
      </w:r>
    </w:p>
    <w:p w14:paraId="1E491FBC" w14:textId="60CACE5D" w:rsidR="0000335D" w:rsidRPr="00A110C5" w:rsidRDefault="00EE07E2" w:rsidP="009606E6">
      <w:pPr>
        <w:spacing w:before="120" w:after="120" w:line="360" w:lineRule="auto"/>
        <w:jc w:val="both"/>
        <w:rPr>
          <w:rFonts w:ascii="Arial" w:hAnsi="Arial" w:cs="Arial"/>
        </w:rPr>
      </w:pPr>
      <w:r w:rsidRPr="00EE07E2">
        <w:rPr>
          <w:rFonts w:ascii="Arial" w:hAnsi="Arial" w:cs="Arial"/>
        </w:rPr>
        <w:t>All the three restructuring approaches viz. divestitures, mergers and equity injection have ethical issues. General Electronics will have to consider such implications to ensure that all decisions made by the company are in line with the ethical values and responsibilities of the company.</w:t>
      </w:r>
    </w:p>
    <w:p w14:paraId="3207F7CA" w14:textId="4CD6DECC" w:rsidR="00B44FB8" w:rsidRPr="00A110C5" w:rsidRDefault="00B44FB8" w:rsidP="00112D41">
      <w:pPr>
        <w:pStyle w:val="Heading1"/>
      </w:pPr>
      <w:bookmarkStart w:id="40" w:name="_Toc217080783"/>
      <w:r w:rsidRPr="00A110C5">
        <w:t>5.0 Investment Appraisal and Capital Budgetin</w:t>
      </w:r>
      <w:r w:rsidR="009A13E4" w:rsidRPr="00A110C5">
        <w:t>g.</w:t>
      </w:r>
      <w:bookmarkEnd w:id="40"/>
    </w:p>
    <w:p w14:paraId="5C69C952" w14:textId="630DE929" w:rsidR="00EF17D7" w:rsidRPr="00A110C5" w:rsidRDefault="00B44FB8" w:rsidP="00112D41">
      <w:pPr>
        <w:pStyle w:val="Heading2"/>
      </w:pPr>
      <w:bookmarkStart w:id="41" w:name="_Toc217080784"/>
      <w:r w:rsidRPr="00A110C5">
        <w:t xml:space="preserve">5.1 </w:t>
      </w:r>
      <w:r w:rsidR="00EF17D7" w:rsidRPr="00A110C5">
        <w:t>Financial Evaluation Techniques</w:t>
      </w:r>
      <w:bookmarkEnd w:id="41"/>
    </w:p>
    <w:p w14:paraId="615D30F2" w14:textId="7CBEAB75" w:rsidR="00EF17D7" w:rsidRPr="00A110C5" w:rsidRDefault="00B44FB8" w:rsidP="009A13E4">
      <w:pPr>
        <w:pStyle w:val="Heading3"/>
        <w:rPr>
          <w:rFonts w:cs="Arial"/>
        </w:rPr>
      </w:pPr>
      <w:bookmarkStart w:id="42" w:name="_Toc217080785"/>
      <w:r w:rsidRPr="00A110C5">
        <w:rPr>
          <w:rFonts w:cs="Arial"/>
        </w:rPr>
        <w:t xml:space="preserve">5.1.1 </w:t>
      </w:r>
      <w:r w:rsidR="00EF17D7" w:rsidRPr="00A110C5">
        <w:rPr>
          <w:rFonts w:cs="Arial"/>
        </w:rPr>
        <w:t>Payback Period (PBP)</w:t>
      </w:r>
      <w:bookmarkEnd w:id="42"/>
    </w:p>
    <w:p w14:paraId="4F2B8BCE" w14:textId="32CD2EE5" w:rsidR="00EF17D7" w:rsidRPr="00A110C5" w:rsidRDefault="00EE07E2" w:rsidP="009606E6">
      <w:pPr>
        <w:spacing w:before="120" w:after="120" w:line="360" w:lineRule="auto"/>
        <w:jc w:val="both"/>
        <w:rPr>
          <w:rFonts w:ascii="Arial" w:hAnsi="Arial" w:cs="Arial"/>
        </w:rPr>
      </w:pPr>
      <w:r w:rsidRPr="00EE07E2">
        <w:rPr>
          <w:rFonts w:ascii="Arial" w:hAnsi="Arial" w:cs="Arial"/>
        </w:rPr>
        <w:t>Calculation of Payback Period (PBP) involves adding up all the annual cash inflows up to the time the initial investment is recouped.</w:t>
      </w:r>
    </w:p>
    <w:p w14:paraId="549F3A26" w14:textId="278A3923" w:rsidR="00EF17D7" w:rsidRPr="00A110C5" w:rsidRDefault="00EF17D7" w:rsidP="009606E6">
      <w:pPr>
        <w:spacing w:before="120" w:after="120" w:line="360" w:lineRule="auto"/>
        <w:jc w:val="both"/>
        <w:rPr>
          <w:rFonts w:ascii="Arial" w:hAnsi="Arial" w:cs="Arial"/>
          <w:b/>
          <w:bCs/>
        </w:rPr>
      </w:pPr>
      <w:r w:rsidRPr="00A110C5">
        <w:rPr>
          <w:rFonts w:ascii="Arial" w:hAnsi="Arial" w:cs="Arial"/>
          <w:b/>
          <w:bCs/>
        </w:rPr>
        <w:t>Project A</w:t>
      </w:r>
    </w:p>
    <w:tbl>
      <w:tblPr>
        <w:tblStyle w:val="GridTable1Light-Accent3"/>
        <w:tblW w:w="0" w:type="auto"/>
        <w:jc w:val="center"/>
        <w:tblLook w:val="04A0" w:firstRow="1" w:lastRow="0" w:firstColumn="1" w:lastColumn="0" w:noHBand="0" w:noVBand="1"/>
      </w:tblPr>
      <w:tblGrid>
        <w:gridCol w:w="724"/>
        <w:gridCol w:w="2270"/>
        <w:gridCol w:w="3630"/>
      </w:tblGrid>
      <w:tr w:rsidR="00EF17D7" w:rsidRPr="00A110C5" w14:paraId="2498E0EE" w14:textId="77777777" w:rsidTr="003A5B2C">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B869540" w14:textId="77777777" w:rsidR="00EF17D7" w:rsidRPr="00A110C5" w:rsidRDefault="00EF17D7" w:rsidP="003A5B2C">
            <w:pPr>
              <w:spacing w:before="120" w:after="120" w:line="360" w:lineRule="auto"/>
              <w:jc w:val="center"/>
              <w:rPr>
                <w:rFonts w:ascii="Arial" w:hAnsi="Arial" w:cs="Arial"/>
                <w:b w:val="0"/>
                <w:bCs w:val="0"/>
              </w:rPr>
            </w:pPr>
            <w:r w:rsidRPr="00A110C5">
              <w:rPr>
                <w:rFonts w:ascii="Arial" w:hAnsi="Arial" w:cs="Arial"/>
              </w:rPr>
              <w:t>Year</w:t>
            </w:r>
          </w:p>
        </w:tc>
        <w:tc>
          <w:tcPr>
            <w:tcW w:w="0" w:type="auto"/>
            <w:hideMark/>
          </w:tcPr>
          <w:p w14:paraId="7518A318" w14:textId="77777777" w:rsidR="00EF17D7" w:rsidRPr="00A110C5" w:rsidRDefault="00EF17D7" w:rsidP="003A5B2C">
            <w:pPr>
              <w:spacing w:before="120" w:after="12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A110C5">
              <w:rPr>
                <w:rFonts w:ascii="Arial" w:hAnsi="Arial" w:cs="Arial"/>
              </w:rPr>
              <w:t>Cash Inflows (£m)</w:t>
            </w:r>
          </w:p>
        </w:tc>
        <w:tc>
          <w:tcPr>
            <w:tcW w:w="0" w:type="auto"/>
            <w:hideMark/>
          </w:tcPr>
          <w:p w14:paraId="4D35D0D2" w14:textId="77777777" w:rsidR="00EF17D7" w:rsidRPr="00A110C5" w:rsidRDefault="00EF17D7" w:rsidP="003A5B2C">
            <w:pPr>
              <w:spacing w:before="120" w:after="12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A110C5">
              <w:rPr>
                <w:rFonts w:ascii="Arial" w:hAnsi="Arial" w:cs="Arial"/>
              </w:rPr>
              <w:t>Cumulative Cash Inflows (£m)</w:t>
            </w:r>
          </w:p>
        </w:tc>
      </w:tr>
      <w:tr w:rsidR="00EF17D7" w:rsidRPr="00A110C5" w14:paraId="06B2BCBD" w14:textId="77777777" w:rsidTr="003A5B2C">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7F9DFBB" w14:textId="77777777" w:rsidR="00EF17D7" w:rsidRPr="00A110C5" w:rsidRDefault="00EF17D7" w:rsidP="009606E6">
            <w:pPr>
              <w:spacing w:before="120" w:after="120" w:line="360" w:lineRule="auto"/>
              <w:jc w:val="both"/>
              <w:rPr>
                <w:rFonts w:ascii="Arial" w:hAnsi="Arial" w:cs="Arial"/>
              </w:rPr>
            </w:pPr>
            <w:r w:rsidRPr="00A110C5">
              <w:rPr>
                <w:rFonts w:ascii="Arial" w:hAnsi="Arial" w:cs="Arial"/>
              </w:rPr>
              <w:t>1</w:t>
            </w:r>
          </w:p>
        </w:tc>
        <w:tc>
          <w:tcPr>
            <w:tcW w:w="0" w:type="auto"/>
            <w:hideMark/>
          </w:tcPr>
          <w:p w14:paraId="6808D788" w14:textId="77777777" w:rsidR="00EF17D7" w:rsidRPr="00A110C5" w:rsidRDefault="00EF17D7" w:rsidP="009606E6">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10</w:t>
            </w:r>
          </w:p>
        </w:tc>
        <w:tc>
          <w:tcPr>
            <w:tcW w:w="0" w:type="auto"/>
            <w:hideMark/>
          </w:tcPr>
          <w:p w14:paraId="36416B00" w14:textId="77777777" w:rsidR="00EF17D7" w:rsidRPr="00A110C5" w:rsidRDefault="00EF17D7" w:rsidP="009606E6">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10</w:t>
            </w:r>
          </w:p>
        </w:tc>
      </w:tr>
      <w:tr w:rsidR="00EF17D7" w:rsidRPr="00A110C5" w14:paraId="07A7766B" w14:textId="77777777" w:rsidTr="003A5B2C">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1FF5B0E" w14:textId="77777777" w:rsidR="00EF17D7" w:rsidRPr="00A110C5" w:rsidRDefault="00EF17D7" w:rsidP="009606E6">
            <w:pPr>
              <w:spacing w:before="120" w:after="120" w:line="360" w:lineRule="auto"/>
              <w:jc w:val="both"/>
              <w:rPr>
                <w:rFonts w:ascii="Arial" w:hAnsi="Arial" w:cs="Arial"/>
              </w:rPr>
            </w:pPr>
            <w:r w:rsidRPr="00A110C5">
              <w:rPr>
                <w:rFonts w:ascii="Arial" w:hAnsi="Arial" w:cs="Arial"/>
              </w:rPr>
              <w:t>2</w:t>
            </w:r>
          </w:p>
        </w:tc>
        <w:tc>
          <w:tcPr>
            <w:tcW w:w="0" w:type="auto"/>
            <w:hideMark/>
          </w:tcPr>
          <w:p w14:paraId="0C54EB00" w14:textId="77777777" w:rsidR="00EF17D7" w:rsidRPr="00A110C5" w:rsidRDefault="00EF17D7" w:rsidP="009606E6">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12</w:t>
            </w:r>
          </w:p>
        </w:tc>
        <w:tc>
          <w:tcPr>
            <w:tcW w:w="0" w:type="auto"/>
            <w:hideMark/>
          </w:tcPr>
          <w:p w14:paraId="30C81A58" w14:textId="77777777" w:rsidR="00EF17D7" w:rsidRPr="00A110C5" w:rsidRDefault="00EF17D7" w:rsidP="009606E6">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22</w:t>
            </w:r>
          </w:p>
        </w:tc>
      </w:tr>
      <w:tr w:rsidR="00EF17D7" w:rsidRPr="00A110C5" w14:paraId="2F041921" w14:textId="77777777" w:rsidTr="003A5B2C">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E768F2F" w14:textId="77777777" w:rsidR="00EF17D7" w:rsidRPr="00A110C5" w:rsidRDefault="00EF17D7" w:rsidP="009606E6">
            <w:pPr>
              <w:spacing w:before="120" w:after="120" w:line="360" w:lineRule="auto"/>
              <w:jc w:val="both"/>
              <w:rPr>
                <w:rFonts w:ascii="Arial" w:hAnsi="Arial" w:cs="Arial"/>
              </w:rPr>
            </w:pPr>
            <w:r w:rsidRPr="00A110C5">
              <w:rPr>
                <w:rFonts w:ascii="Arial" w:hAnsi="Arial" w:cs="Arial"/>
              </w:rPr>
              <w:t>3</w:t>
            </w:r>
          </w:p>
        </w:tc>
        <w:tc>
          <w:tcPr>
            <w:tcW w:w="0" w:type="auto"/>
            <w:hideMark/>
          </w:tcPr>
          <w:p w14:paraId="655FCD45" w14:textId="77777777" w:rsidR="00EF17D7" w:rsidRPr="00A110C5" w:rsidRDefault="00EF17D7" w:rsidP="009606E6">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14</w:t>
            </w:r>
          </w:p>
        </w:tc>
        <w:tc>
          <w:tcPr>
            <w:tcW w:w="0" w:type="auto"/>
            <w:hideMark/>
          </w:tcPr>
          <w:p w14:paraId="2752D00C" w14:textId="77777777" w:rsidR="00EF17D7" w:rsidRPr="00A110C5" w:rsidRDefault="00EF17D7" w:rsidP="009606E6">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36</w:t>
            </w:r>
          </w:p>
        </w:tc>
      </w:tr>
      <w:tr w:rsidR="00EF17D7" w:rsidRPr="00A110C5" w14:paraId="50ACA82A" w14:textId="77777777" w:rsidTr="003A5B2C">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B44C661" w14:textId="77777777" w:rsidR="00EF17D7" w:rsidRPr="00A110C5" w:rsidRDefault="00EF17D7" w:rsidP="009606E6">
            <w:pPr>
              <w:spacing w:before="120" w:after="120" w:line="360" w:lineRule="auto"/>
              <w:jc w:val="both"/>
              <w:rPr>
                <w:rFonts w:ascii="Arial" w:hAnsi="Arial" w:cs="Arial"/>
              </w:rPr>
            </w:pPr>
            <w:r w:rsidRPr="00A110C5">
              <w:rPr>
                <w:rFonts w:ascii="Arial" w:hAnsi="Arial" w:cs="Arial"/>
              </w:rPr>
              <w:t>4</w:t>
            </w:r>
          </w:p>
        </w:tc>
        <w:tc>
          <w:tcPr>
            <w:tcW w:w="0" w:type="auto"/>
            <w:hideMark/>
          </w:tcPr>
          <w:p w14:paraId="287B4457" w14:textId="77777777" w:rsidR="00EF17D7" w:rsidRPr="00A110C5" w:rsidRDefault="00EF17D7" w:rsidP="009606E6">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10</w:t>
            </w:r>
          </w:p>
        </w:tc>
        <w:tc>
          <w:tcPr>
            <w:tcW w:w="0" w:type="auto"/>
            <w:hideMark/>
          </w:tcPr>
          <w:p w14:paraId="1BF993ED" w14:textId="77777777" w:rsidR="00EF17D7" w:rsidRPr="00A110C5" w:rsidRDefault="00EF17D7" w:rsidP="009606E6">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46</w:t>
            </w:r>
          </w:p>
        </w:tc>
      </w:tr>
      <w:tr w:rsidR="00EF17D7" w:rsidRPr="00A110C5" w14:paraId="255A98F1" w14:textId="77777777" w:rsidTr="003A5B2C">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ABC2E86" w14:textId="77777777" w:rsidR="00EF17D7" w:rsidRPr="00A110C5" w:rsidRDefault="00EF17D7" w:rsidP="009606E6">
            <w:pPr>
              <w:spacing w:before="120" w:after="120" w:line="360" w:lineRule="auto"/>
              <w:jc w:val="both"/>
              <w:rPr>
                <w:rFonts w:ascii="Arial" w:hAnsi="Arial" w:cs="Arial"/>
              </w:rPr>
            </w:pPr>
            <w:r w:rsidRPr="00A110C5">
              <w:rPr>
                <w:rFonts w:ascii="Arial" w:hAnsi="Arial" w:cs="Arial"/>
              </w:rPr>
              <w:lastRenderedPageBreak/>
              <w:t>5</w:t>
            </w:r>
          </w:p>
        </w:tc>
        <w:tc>
          <w:tcPr>
            <w:tcW w:w="0" w:type="auto"/>
            <w:hideMark/>
          </w:tcPr>
          <w:p w14:paraId="7051874B" w14:textId="77777777" w:rsidR="00EF17D7" w:rsidRPr="00A110C5" w:rsidRDefault="00EF17D7" w:rsidP="009606E6">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8</w:t>
            </w:r>
          </w:p>
        </w:tc>
        <w:tc>
          <w:tcPr>
            <w:tcW w:w="0" w:type="auto"/>
            <w:hideMark/>
          </w:tcPr>
          <w:p w14:paraId="02C0466E" w14:textId="77777777" w:rsidR="00EF17D7" w:rsidRPr="00A110C5" w:rsidRDefault="00EF17D7" w:rsidP="009606E6">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54</w:t>
            </w:r>
          </w:p>
        </w:tc>
      </w:tr>
    </w:tbl>
    <w:p w14:paraId="39F9E6A6" w14:textId="2FCF0AAE" w:rsidR="00C901DC" w:rsidRDefault="00C901DC" w:rsidP="00C901DC">
      <w:pPr>
        <w:pStyle w:val="Caption"/>
        <w:jc w:val="center"/>
        <w:rPr>
          <w:rFonts w:ascii="Arial" w:hAnsi="Arial" w:cs="Arial"/>
        </w:rPr>
      </w:pPr>
      <w:bookmarkStart w:id="43" w:name="_Toc217080806"/>
      <w:r>
        <w:t xml:space="preserve">Table </w:t>
      </w:r>
      <w:fldSimple w:instr=" SEQ Table \* ARABIC ">
        <w:r>
          <w:rPr>
            <w:noProof/>
          </w:rPr>
          <w:t>2</w:t>
        </w:r>
      </w:fldSimple>
      <w:r>
        <w:t xml:space="preserve"> </w:t>
      </w:r>
      <w:r w:rsidRPr="00650AD7">
        <w:t>Cash Inflows</w:t>
      </w:r>
      <w:bookmarkEnd w:id="43"/>
    </w:p>
    <w:p w14:paraId="1FAA2B20" w14:textId="57BD32A4" w:rsidR="00EF17D7" w:rsidRPr="00A110C5" w:rsidRDefault="00EE07E2" w:rsidP="009606E6">
      <w:pPr>
        <w:spacing w:before="120" w:after="120" w:line="360" w:lineRule="auto"/>
        <w:jc w:val="both"/>
        <w:rPr>
          <w:rFonts w:ascii="Arial" w:hAnsi="Arial" w:cs="Arial"/>
        </w:rPr>
      </w:pPr>
      <w:r w:rsidRPr="00EE07E2">
        <w:rPr>
          <w:rFonts w:ascii="Arial" w:hAnsi="Arial" w:cs="Arial"/>
        </w:rPr>
        <w:t>The original costs of the project (40 million) are paid back at Years 3 and 4. Particularly, the recovery of £36m is realized during Year 3, and the rest of the recovery is realized during Year 4 through the inflow of a £10m.</w:t>
      </w:r>
    </w:p>
    <w:p w14:paraId="5E451F5F" w14:textId="77777777" w:rsidR="00EF17D7" w:rsidRPr="00A110C5" w:rsidRDefault="00EF17D7" w:rsidP="009606E6">
      <w:pPr>
        <w:spacing w:before="120" w:after="120" w:line="360" w:lineRule="auto"/>
        <w:jc w:val="both"/>
        <w:rPr>
          <w:rFonts w:ascii="Arial" w:hAnsi="Arial" w:cs="Arial"/>
        </w:rPr>
      </w:pPr>
      <w:r w:rsidRPr="00A110C5">
        <w:rPr>
          <w:rFonts w:ascii="Arial" w:hAnsi="Arial" w:cs="Arial"/>
          <w:b/>
          <w:bCs/>
        </w:rPr>
        <w:t>Payback Period</w:t>
      </w:r>
      <w:r w:rsidRPr="00A110C5">
        <w:rPr>
          <w:rFonts w:ascii="Arial" w:hAnsi="Arial" w:cs="Arial"/>
        </w:rPr>
        <w:t xml:space="preserve"> = 3 + (4/10) = </w:t>
      </w:r>
      <w:r w:rsidRPr="00A110C5">
        <w:rPr>
          <w:rFonts w:ascii="Arial" w:hAnsi="Arial" w:cs="Arial"/>
          <w:b/>
          <w:bCs/>
        </w:rPr>
        <w:t>3.4 years</w:t>
      </w:r>
    </w:p>
    <w:p w14:paraId="1CD17AEC" w14:textId="0E5D2CBE" w:rsidR="00EF17D7" w:rsidRPr="00A110C5" w:rsidRDefault="00EF17D7" w:rsidP="009606E6">
      <w:pPr>
        <w:spacing w:before="120" w:after="120" w:line="360" w:lineRule="auto"/>
        <w:jc w:val="both"/>
        <w:rPr>
          <w:rFonts w:ascii="Arial" w:hAnsi="Arial" w:cs="Arial"/>
          <w:b/>
          <w:bCs/>
        </w:rPr>
      </w:pPr>
      <w:r w:rsidRPr="00A110C5">
        <w:rPr>
          <w:rFonts w:ascii="Arial" w:hAnsi="Arial" w:cs="Arial"/>
          <w:b/>
          <w:bCs/>
        </w:rPr>
        <w:t>Project B</w:t>
      </w:r>
    </w:p>
    <w:tbl>
      <w:tblPr>
        <w:tblStyle w:val="GridTable1Light-Accent3"/>
        <w:tblW w:w="0" w:type="auto"/>
        <w:jc w:val="center"/>
        <w:tblLook w:val="04A0" w:firstRow="1" w:lastRow="0" w:firstColumn="1" w:lastColumn="0" w:noHBand="0" w:noVBand="1"/>
      </w:tblPr>
      <w:tblGrid>
        <w:gridCol w:w="724"/>
        <w:gridCol w:w="2270"/>
        <w:gridCol w:w="3630"/>
      </w:tblGrid>
      <w:tr w:rsidR="00EF17D7" w:rsidRPr="00A110C5" w14:paraId="43EA5C7C" w14:textId="77777777" w:rsidTr="003A5B2C">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B65696E" w14:textId="77777777" w:rsidR="00EF17D7" w:rsidRPr="00A110C5" w:rsidRDefault="00EF17D7" w:rsidP="009606E6">
            <w:pPr>
              <w:spacing w:before="120" w:after="120" w:line="360" w:lineRule="auto"/>
              <w:jc w:val="both"/>
              <w:rPr>
                <w:rFonts w:ascii="Arial" w:hAnsi="Arial" w:cs="Arial"/>
                <w:b w:val="0"/>
                <w:bCs w:val="0"/>
              </w:rPr>
            </w:pPr>
            <w:r w:rsidRPr="00A110C5">
              <w:rPr>
                <w:rFonts w:ascii="Arial" w:hAnsi="Arial" w:cs="Arial"/>
              </w:rPr>
              <w:t>Year</w:t>
            </w:r>
          </w:p>
        </w:tc>
        <w:tc>
          <w:tcPr>
            <w:tcW w:w="0" w:type="auto"/>
            <w:hideMark/>
          </w:tcPr>
          <w:p w14:paraId="6C8A758D" w14:textId="77777777" w:rsidR="00EF17D7" w:rsidRPr="00A110C5" w:rsidRDefault="00EF17D7" w:rsidP="009606E6">
            <w:pPr>
              <w:spacing w:before="120" w:after="12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A110C5">
              <w:rPr>
                <w:rFonts w:ascii="Arial" w:hAnsi="Arial" w:cs="Arial"/>
              </w:rPr>
              <w:t>Cash Inflows (£m)</w:t>
            </w:r>
          </w:p>
        </w:tc>
        <w:tc>
          <w:tcPr>
            <w:tcW w:w="0" w:type="auto"/>
            <w:hideMark/>
          </w:tcPr>
          <w:p w14:paraId="16CCA533" w14:textId="77777777" w:rsidR="00EF17D7" w:rsidRPr="00A110C5" w:rsidRDefault="00EF17D7" w:rsidP="009606E6">
            <w:pPr>
              <w:spacing w:before="120" w:after="12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A110C5">
              <w:rPr>
                <w:rFonts w:ascii="Arial" w:hAnsi="Arial" w:cs="Arial"/>
              </w:rPr>
              <w:t>Cumulative Cash Inflows (£m)</w:t>
            </w:r>
          </w:p>
        </w:tc>
      </w:tr>
      <w:tr w:rsidR="00EF17D7" w:rsidRPr="00A110C5" w14:paraId="49F40B74" w14:textId="77777777" w:rsidTr="003A5B2C">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0EADB6A" w14:textId="77777777" w:rsidR="00EF17D7" w:rsidRPr="00A110C5" w:rsidRDefault="00EF17D7" w:rsidP="009606E6">
            <w:pPr>
              <w:spacing w:before="120" w:after="120" w:line="360" w:lineRule="auto"/>
              <w:jc w:val="both"/>
              <w:rPr>
                <w:rFonts w:ascii="Arial" w:hAnsi="Arial" w:cs="Arial"/>
              </w:rPr>
            </w:pPr>
            <w:r w:rsidRPr="00A110C5">
              <w:rPr>
                <w:rFonts w:ascii="Arial" w:hAnsi="Arial" w:cs="Arial"/>
              </w:rPr>
              <w:t>1</w:t>
            </w:r>
          </w:p>
        </w:tc>
        <w:tc>
          <w:tcPr>
            <w:tcW w:w="0" w:type="auto"/>
            <w:hideMark/>
          </w:tcPr>
          <w:p w14:paraId="1CF0273C" w14:textId="77777777" w:rsidR="00EF17D7" w:rsidRPr="00A110C5" w:rsidRDefault="00EF17D7" w:rsidP="009606E6">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6</w:t>
            </w:r>
          </w:p>
        </w:tc>
        <w:tc>
          <w:tcPr>
            <w:tcW w:w="0" w:type="auto"/>
            <w:hideMark/>
          </w:tcPr>
          <w:p w14:paraId="441DE557" w14:textId="77777777" w:rsidR="00EF17D7" w:rsidRPr="00A110C5" w:rsidRDefault="00EF17D7" w:rsidP="009606E6">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6</w:t>
            </w:r>
          </w:p>
        </w:tc>
      </w:tr>
      <w:tr w:rsidR="00EF17D7" w:rsidRPr="00A110C5" w14:paraId="10ADE97E" w14:textId="77777777" w:rsidTr="003A5B2C">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2683A9B" w14:textId="77777777" w:rsidR="00EF17D7" w:rsidRPr="00A110C5" w:rsidRDefault="00EF17D7" w:rsidP="009606E6">
            <w:pPr>
              <w:spacing w:before="120" w:after="120" w:line="360" w:lineRule="auto"/>
              <w:jc w:val="both"/>
              <w:rPr>
                <w:rFonts w:ascii="Arial" w:hAnsi="Arial" w:cs="Arial"/>
              </w:rPr>
            </w:pPr>
            <w:r w:rsidRPr="00A110C5">
              <w:rPr>
                <w:rFonts w:ascii="Arial" w:hAnsi="Arial" w:cs="Arial"/>
              </w:rPr>
              <w:t>2</w:t>
            </w:r>
          </w:p>
        </w:tc>
        <w:tc>
          <w:tcPr>
            <w:tcW w:w="0" w:type="auto"/>
            <w:hideMark/>
          </w:tcPr>
          <w:p w14:paraId="639D2180" w14:textId="77777777" w:rsidR="00EF17D7" w:rsidRPr="00A110C5" w:rsidRDefault="00EF17D7" w:rsidP="009606E6">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6</w:t>
            </w:r>
          </w:p>
        </w:tc>
        <w:tc>
          <w:tcPr>
            <w:tcW w:w="0" w:type="auto"/>
            <w:hideMark/>
          </w:tcPr>
          <w:p w14:paraId="1E1B197F" w14:textId="77777777" w:rsidR="00EF17D7" w:rsidRPr="00A110C5" w:rsidRDefault="00EF17D7" w:rsidP="009606E6">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12</w:t>
            </w:r>
          </w:p>
        </w:tc>
      </w:tr>
      <w:tr w:rsidR="00EF17D7" w:rsidRPr="00A110C5" w14:paraId="5FE4F853" w14:textId="77777777" w:rsidTr="003A5B2C">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AE33DC4" w14:textId="77777777" w:rsidR="00EF17D7" w:rsidRPr="00A110C5" w:rsidRDefault="00EF17D7" w:rsidP="009606E6">
            <w:pPr>
              <w:spacing w:before="120" w:after="120" w:line="360" w:lineRule="auto"/>
              <w:jc w:val="both"/>
              <w:rPr>
                <w:rFonts w:ascii="Arial" w:hAnsi="Arial" w:cs="Arial"/>
              </w:rPr>
            </w:pPr>
            <w:r w:rsidRPr="00A110C5">
              <w:rPr>
                <w:rFonts w:ascii="Arial" w:hAnsi="Arial" w:cs="Arial"/>
              </w:rPr>
              <w:t>3</w:t>
            </w:r>
          </w:p>
        </w:tc>
        <w:tc>
          <w:tcPr>
            <w:tcW w:w="0" w:type="auto"/>
            <w:hideMark/>
          </w:tcPr>
          <w:p w14:paraId="7AC594D7" w14:textId="77777777" w:rsidR="00EF17D7" w:rsidRPr="00A110C5" w:rsidRDefault="00EF17D7" w:rsidP="009606E6">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6</w:t>
            </w:r>
          </w:p>
        </w:tc>
        <w:tc>
          <w:tcPr>
            <w:tcW w:w="0" w:type="auto"/>
            <w:hideMark/>
          </w:tcPr>
          <w:p w14:paraId="08EBFA10" w14:textId="77777777" w:rsidR="00EF17D7" w:rsidRPr="00A110C5" w:rsidRDefault="00EF17D7" w:rsidP="009606E6">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18</w:t>
            </w:r>
          </w:p>
        </w:tc>
      </w:tr>
      <w:tr w:rsidR="00EF17D7" w:rsidRPr="00A110C5" w14:paraId="04786E31" w14:textId="77777777" w:rsidTr="003A5B2C">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E17710D" w14:textId="77777777" w:rsidR="00EF17D7" w:rsidRPr="00A110C5" w:rsidRDefault="00EF17D7" w:rsidP="009606E6">
            <w:pPr>
              <w:spacing w:before="120" w:after="120" w:line="360" w:lineRule="auto"/>
              <w:jc w:val="both"/>
              <w:rPr>
                <w:rFonts w:ascii="Arial" w:hAnsi="Arial" w:cs="Arial"/>
              </w:rPr>
            </w:pPr>
            <w:r w:rsidRPr="00A110C5">
              <w:rPr>
                <w:rFonts w:ascii="Arial" w:hAnsi="Arial" w:cs="Arial"/>
              </w:rPr>
              <w:t>4</w:t>
            </w:r>
          </w:p>
        </w:tc>
        <w:tc>
          <w:tcPr>
            <w:tcW w:w="0" w:type="auto"/>
            <w:hideMark/>
          </w:tcPr>
          <w:p w14:paraId="1458E4F4" w14:textId="77777777" w:rsidR="00EF17D7" w:rsidRPr="00A110C5" w:rsidRDefault="00EF17D7" w:rsidP="009606E6">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6</w:t>
            </w:r>
          </w:p>
        </w:tc>
        <w:tc>
          <w:tcPr>
            <w:tcW w:w="0" w:type="auto"/>
            <w:hideMark/>
          </w:tcPr>
          <w:p w14:paraId="31542767" w14:textId="77777777" w:rsidR="00EF17D7" w:rsidRPr="00A110C5" w:rsidRDefault="00EF17D7" w:rsidP="009606E6">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24</w:t>
            </w:r>
          </w:p>
        </w:tc>
      </w:tr>
      <w:tr w:rsidR="00EF17D7" w:rsidRPr="00A110C5" w14:paraId="7DCDA1B0" w14:textId="77777777" w:rsidTr="003A5B2C">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B280420" w14:textId="77777777" w:rsidR="00EF17D7" w:rsidRPr="00A110C5" w:rsidRDefault="00EF17D7" w:rsidP="009606E6">
            <w:pPr>
              <w:spacing w:before="120" w:after="120" w:line="360" w:lineRule="auto"/>
              <w:jc w:val="both"/>
              <w:rPr>
                <w:rFonts w:ascii="Arial" w:hAnsi="Arial" w:cs="Arial"/>
              </w:rPr>
            </w:pPr>
            <w:r w:rsidRPr="00A110C5">
              <w:rPr>
                <w:rFonts w:ascii="Arial" w:hAnsi="Arial" w:cs="Arial"/>
              </w:rPr>
              <w:t>5</w:t>
            </w:r>
          </w:p>
        </w:tc>
        <w:tc>
          <w:tcPr>
            <w:tcW w:w="0" w:type="auto"/>
            <w:hideMark/>
          </w:tcPr>
          <w:p w14:paraId="69330D8C" w14:textId="77777777" w:rsidR="00EF17D7" w:rsidRPr="00A110C5" w:rsidRDefault="00EF17D7" w:rsidP="009606E6">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6</w:t>
            </w:r>
          </w:p>
        </w:tc>
        <w:tc>
          <w:tcPr>
            <w:tcW w:w="0" w:type="auto"/>
            <w:hideMark/>
          </w:tcPr>
          <w:p w14:paraId="669BB077" w14:textId="77777777" w:rsidR="00EF17D7" w:rsidRPr="00A110C5" w:rsidRDefault="00EF17D7" w:rsidP="009606E6">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30</w:t>
            </w:r>
          </w:p>
        </w:tc>
      </w:tr>
    </w:tbl>
    <w:p w14:paraId="255DDF09" w14:textId="0591B211" w:rsidR="00C901DC" w:rsidRDefault="00C901DC" w:rsidP="00C901DC">
      <w:pPr>
        <w:pStyle w:val="Caption"/>
        <w:jc w:val="center"/>
        <w:rPr>
          <w:rFonts w:ascii="Arial" w:hAnsi="Arial" w:cs="Arial"/>
        </w:rPr>
      </w:pPr>
      <w:bookmarkStart w:id="44" w:name="_Toc217080807"/>
      <w:r>
        <w:t xml:space="preserve">Table </w:t>
      </w:r>
      <w:fldSimple w:instr=" SEQ Table \* ARABIC ">
        <w:r>
          <w:rPr>
            <w:noProof/>
          </w:rPr>
          <w:t>3</w:t>
        </w:r>
      </w:fldSimple>
      <w:r>
        <w:t xml:space="preserve"> </w:t>
      </w:r>
      <w:r w:rsidRPr="00244B03">
        <w:t>Cash Inflows</w:t>
      </w:r>
      <w:bookmarkEnd w:id="44"/>
    </w:p>
    <w:p w14:paraId="54C0E2AF" w14:textId="451B9B4B" w:rsidR="00EF17D7" w:rsidRPr="00A110C5" w:rsidRDefault="00EE07E2" w:rsidP="009606E6">
      <w:pPr>
        <w:spacing w:before="120" w:after="120" w:line="360" w:lineRule="auto"/>
        <w:jc w:val="both"/>
        <w:rPr>
          <w:rFonts w:ascii="Arial" w:hAnsi="Arial" w:cs="Arial"/>
        </w:rPr>
      </w:pPr>
      <w:r w:rsidRPr="00EE07E2">
        <w:rPr>
          <w:rFonts w:ascii="Arial" w:hAnsi="Arial" w:cs="Arial"/>
        </w:rPr>
        <w:t>The initial capital of £30 million is completely recouped in the Year 5.</w:t>
      </w:r>
    </w:p>
    <w:p w14:paraId="06C53642" w14:textId="77777777" w:rsidR="00EF17D7" w:rsidRPr="00A110C5" w:rsidRDefault="00EF17D7" w:rsidP="009606E6">
      <w:pPr>
        <w:spacing w:before="120" w:after="120" w:line="360" w:lineRule="auto"/>
        <w:jc w:val="both"/>
        <w:rPr>
          <w:rFonts w:ascii="Arial" w:hAnsi="Arial" w:cs="Arial"/>
        </w:rPr>
      </w:pPr>
      <w:r w:rsidRPr="00A110C5">
        <w:rPr>
          <w:rFonts w:ascii="Arial" w:hAnsi="Arial" w:cs="Arial"/>
          <w:b/>
          <w:bCs/>
        </w:rPr>
        <w:t>Payback Period</w:t>
      </w:r>
      <w:r w:rsidRPr="00A110C5">
        <w:rPr>
          <w:rFonts w:ascii="Arial" w:hAnsi="Arial" w:cs="Arial"/>
        </w:rPr>
        <w:t xml:space="preserve"> = </w:t>
      </w:r>
      <w:r w:rsidRPr="00A110C5">
        <w:rPr>
          <w:rFonts w:ascii="Arial" w:hAnsi="Arial" w:cs="Arial"/>
          <w:b/>
          <w:bCs/>
        </w:rPr>
        <w:t>5 years</w:t>
      </w:r>
    </w:p>
    <w:p w14:paraId="56BF3DEB" w14:textId="75A6782C" w:rsidR="00EF17D7" w:rsidRPr="00A110C5" w:rsidRDefault="00EF17D7" w:rsidP="009606E6">
      <w:pPr>
        <w:spacing w:before="120" w:after="120" w:line="360" w:lineRule="auto"/>
        <w:jc w:val="both"/>
        <w:rPr>
          <w:rFonts w:ascii="Arial" w:hAnsi="Arial" w:cs="Arial"/>
          <w:b/>
          <w:bCs/>
        </w:rPr>
      </w:pPr>
      <w:r w:rsidRPr="00A110C5">
        <w:rPr>
          <w:rFonts w:ascii="Arial" w:hAnsi="Arial" w:cs="Arial"/>
          <w:b/>
          <w:bCs/>
        </w:rPr>
        <w:t>Project C</w:t>
      </w:r>
    </w:p>
    <w:tbl>
      <w:tblPr>
        <w:tblStyle w:val="GridTable1Light-Accent3"/>
        <w:tblW w:w="0" w:type="auto"/>
        <w:jc w:val="center"/>
        <w:tblLook w:val="04A0" w:firstRow="1" w:lastRow="0" w:firstColumn="1" w:lastColumn="0" w:noHBand="0" w:noVBand="1"/>
      </w:tblPr>
      <w:tblGrid>
        <w:gridCol w:w="724"/>
        <w:gridCol w:w="2270"/>
        <w:gridCol w:w="3630"/>
      </w:tblGrid>
      <w:tr w:rsidR="00EF17D7" w:rsidRPr="00A110C5" w14:paraId="166FC61A" w14:textId="77777777" w:rsidTr="003A5B2C">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1B74634" w14:textId="77777777" w:rsidR="00EF17D7" w:rsidRPr="00A110C5" w:rsidRDefault="00EF17D7" w:rsidP="009606E6">
            <w:pPr>
              <w:spacing w:before="120" w:after="120" w:line="360" w:lineRule="auto"/>
              <w:jc w:val="both"/>
              <w:rPr>
                <w:rFonts w:ascii="Arial" w:hAnsi="Arial" w:cs="Arial"/>
                <w:b w:val="0"/>
                <w:bCs w:val="0"/>
              </w:rPr>
            </w:pPr>
            <w:r w:rsidRPr="00A110C5">
              <w:rPr>
                <w:rFonts w:ascii="Arial" w:hAnsi="Arial" w:cs="Arial"/>
              </w:rPr>
              <w:t>Year</w:t>
            </w:r>
          </w:p>
        </w:tc>
        <w:tc>
          <w:tcPr>
            <w:tcW w:w="0" w:type="auto"/>
            <w:hideMark/>
          </w:tcPr>
          <w:p w14:paraId="6F0CE698" w14:textId="77777777" w:rsidR="00EF17D7" w:rsidRPr="00A110C5" w:rsidRDefault="00EF17D7" w:rsidP="009606E6">
            <w:pPr>
              <w:spacing w:before="120" w:after="12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A110C5">
              <w:rPr>
                <w:rFonts w:ascii="Arial" w:hAnsi="Arial" w:cs="Arial"/>
              </w:rPr>
              <w:t>Cash Inflows (£m)</w:t>
            </w:r>
          </w:p>
        </w:tc>
        <w:tc>
          <w:tcPr>
            <w:tcW w:w="0" w:type="auto"/>
            <w:hideMark/>
          </w:tcPr>
          <w:p w14:paraId="5CF74DC7" w14:textId="77777777" w:rsidR="00EF17D7" w:rsidRPr="00A110C5" w:rsidRDefault="00EF17D7" w:rsidP="009606E6">
            <w:pPr>
              <w:spacing w:before="120" w:after="12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A110C5">
              <w:rPr>
                <w:rFonts w:ascii="Arial" w:hAnsi="Arial" w:cs="Arial"/>
              </w:rPr>
              <w:t>Cumulative Cash Inflows (£m)</w:t>
            </w:r>
          </w:p>
        </w:tc>
      </w:tr>
      <w:tr w:rsidR="00EF17D7" w:rsidRPr="00A110C5" w14:paraId="269CF7D1" w14:textId="77777777" w:rsidTr="003A5B2C">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90FA21E" w14:textId="77777777" w:rsidR="00EF17D7" w:rsidRPr="00A110C5" w:rsidRDefault="00EF17D7" w:rsidP="009606E6">
            <w:pPr>
              <w:spacing w:before="120" w:after="120" w:line="360" w:lineRule="auto"/>
              <w:jc w:val="both"/>
              <w:rPr>
                <w:rFonts w:ascii="Arial" w:hAnsi="Arial" w:cs="Arial"/>
              </w:rPr>
            </w:pPr>
            <w:r w:rsidRPr="00A110C5">
              <w:rPr>
                <w:rFonts w:ascii="Arial" w:hAnsi="Arial" w:cs="Arial"/>
              </w:rPr>
              <w:t>1</w:t>
            </w:r>
          </w:p>
        </w:tc>
        <w:tc>
          <w:tcPr>
            <w:tcW w:w="0" w:type="auto"/>
            <w:hideMark/>
          </w:tcPr>
          <w:p w14:paraId="47CB4E76" w14:textId="77777777" w:rsidR="00EF17D7" w:rsidRPr="00A110C5" w:rsidRDefault="00EF17D7" w:rsidP="009606E6">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5</w:t>
            </w:r>
          </w:p>
        </w:tc>
        <w:tc>
          <w:tcPr>
            <w:tcW w:w="0" w:type="auto"/>
            <w:hideMark/>
          </w:tcPr>
          <w:p w14:paraId="5D8DDE7B" w14:textId="77777777" w:rsidR="00EF17D7" w:rsidRPr="00A110C5" w:rsidRDefault="00EF17D7" w:rsidP="009606E6">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5</w:t>
            </w:r>
          </w:p>
        </w:tc>
      </w:tr>
      <w:tr w:rsidR="00EF17D7" w:rsidRPr="00A110C5" w14:paraId="241625BA" w14:textId="77777777" w:rsidTr="003A5B2C">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EDBCC50" w14:textId="77777777" w:rsidR="00EF17D7" w:rsidRPr="00A110C5" w:rsidRDefault="00EF17D7" w:rsidP="009606E6">
            <w:pPr>
              <w:spacing w:before="120" w:after="120" w:line="360" w:lineRule="auto"/>
              <w:jc w:val="both"/>
              <w:rPr>
                <w:rFonts w:ascii="Arial" w:hAnsi="Arial" w:cs="Arial"/>
              </w:rPr>
            </w:pPr>
            <w:r w:rsidRPr="00A110C5">
              <w:rPr>
                <w:rFonts w:ascii="Arial" w:hAnsi="Arial" w:cs="Arial"/>
              </w:rPr>
              <w:t>2</w:t>
            </w:r>
          </w:p>
        </w:tc>
        <w:tc>
          <w:tcPr>
            <w:tcW w:w="0" w:type="auto"/>
            <w:hideMark/>
          </w:tcPr>
          <w:p w14:paraId="013A0C88" w14:textId="77777777" w:rsidR="00EF17D7" w:rsidRPr="00A110C5" w:rsidRDefault="00EF17D7" w:rsidP="009606E6">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10</w:t>
            </w:r>
          </w:p>
        </w:tc>
        <w:tc>
          <w:tcPr>
            <w:tcW w:w="0" w:type="auto"/>
            <w:hideMark/>
          </w:tcPr>
          <w:p w14:paraId="2AFF6D70" w14:textId="77777777" w:rsidR="00EF17D7" w:rsidRPr="00A110C5" w:rsidRDefault="00EF17D7" w:rsidP="009606E6">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15</w:t>
            </w:r>
          </w:p>
        </w:tc>
      </w:tr>
      <w:tr w:rsidR="00EF17D7" w:rsidRPr="00A110C5" w14:paraId="163B8B2A" w14:textId="77777777" w:rsidTr="003A5B2C">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0B20CDB" w14:textId="77777777" w:rsidR="00EF17D7" w:rsidRPr="00A110C5" w:rsidRDefault="00EF17D7" w:rsidP="009606E6">
            <w:pPr>
              <w:spacing w:before="120" w:after="120" w:line="360" w:lineRule="auto"/>
              <w:jc w:val="both"/>
              <w:rPr>
                <w:rFonts w:ascii="Arial" w:hAnsi="Arial" w:cs="Arial"/>
              </w:rPr>
            </w:pPr>
            <w:r w:rsidRPr="00A110C5">
              <w:rPr>
                <w:rFonts w:ascii="Arial" w:hAnsi="Arial" w:cs="Arial"/>
              </w:rPr>
              <w:t>3</w:t>
            </w:r>
          </w:p>
        </w:tc>
        <w:tc>
          <w:tcPr>
            <w:tcW w:w="0" w:type="auto"/>
            <w:hideMark/>
          </w:tcPr>
          <w:p w14:paraId="49A3D2D6" w14:textId="77777777" w:rsidR="00EF17D7" w:rsidRPr="00A110C5" w:rsidRDefault="00EF17D7" w:rsidP="009606E6">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20</w:t>
            </w:r>
          </w:p>
        </w:tc>
        <w:tc>
          <w:tcPr>
            <w:tcW w:w="0" w:type="auto"/>
            <w:hideMark/>
          </w:tcPr>
          <w:p w14:paraId="2CDC3074" w14:textId="77777777" w:rsidR="00EF17D7" w:rsidRPr="00A110C5" w:rsidRDefault="00EF17D7" w:rsidP="009606E6">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35</w:t>
            </w:r>
          </w:p>
        </w:tc>
      </w:tr>
      <w:tr w:rsidR="00EF17D7" w:rsidRPr="00A110C5" w14:paraId="76ED37FE" w14:textId="77777777" w:rsidTr="003A5B2C">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5568681" w14:textId="77777777" w:rsidR="00EF17D7" w:rsidRPr="00A110C5" w:rsidRDefault="00EF17D7" w:rsidP="009606E6">
            <w:pPr>
              <w:spacing w:before="120" w:after="120" w:line="360" w:lineRule="auto"/>
              <w:jc w:val="both"/>
              <w:rPr>
                <w:rFonts w:ascii="Arial" w:hAnsi="Arial" w:cs="Arial"/>
              </w:rPr>
            </w:pPr>
            <w:r w:rsidRPr="00A110C5">
              <w:rPr>
                <w:rFonts w:ascii="Arial" w:hAnsi="Arial" w:cs="Arial"/>
              </w:rPr>
              <w:t>4</w:t>
            </w:r>
          </w:p>
        </w:tc>
        <w:tc>
          <w:tcPr>
            <w:tcW w:w="0" w:type="auto"/>
            <w:hideMark/>
          </w:tcPr>
          <w:p w14:paraId="6372B7D6" w14:textId="77777777" w:rsidR="00EF17D7" w:rsidRPr="00A110C5" w:rsidRDefault="00EF17D7" w:rsidP="009606E6">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25</w:t>
            </w:r>
          </w:p>
        </w:tc>
        <w:tc>
          <w:tcPr>
            <w:tcW w:w="0" w:type="auto"/>
            <w:hideMark/>
          </w:tcPr>
          <w:p w14:paraId="430376B1" w14:textId="77777777" w:rsidR="00EF17D7" w:rsidRPr="00A110C5" w:rsidRDefault="00EF17D7" w:rsidP="009606E6">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60</w:t>
            </w:r>
          </w:p>
        </w:tc>
      </w:tr>
      <w:tr w:rsidR="00EF17D7" w:rsidRPr="00A110C5" w14:paraId="42FF89D5" w14:textId="77777777" w:rsidTr="003A5B2C">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58A075C" w14:textId="77777777" w:rsidR="00EF17D7" w:rsidRPr="00A110C5" w:rsidRDefault="00EF17D7" w:rsidP="009606E6">
            <w:pPr>
              <w:spacing w:before="120" w:after="120" w:line="360" w:lineRule="auto"/>
              <w:jc w:val="both"/>
              <w:rPr>
                <w:rFonts w:ascii="Arial" w:hAnsi="Arial" w:cs="Arial"/>
              </w:rPr>
            </w:pPr>
            <w:r w:rsidRPr="00A110C5">
              <w:rPr>
                <w:rFonts w:ascii="Arial" w:hAnsi="Arial" w:cs="Arial"/>
              </w:rPr>
              <w:t>5</w:t>
            </w:r>
          </w:p>
        </w:tc>
        <w:tc>
          <w:tcPr>
            <w:tcW w:w="0" w:type="auto"/>
            <w:hideMark/>
          </w:tcPr>
          <w:p w14:paraId="1B49001C" w14:textId="77777777" w:rsidR="00EF17D7" w:rsidRPr="00A110C5" w:rsidRDefault="00EF17D7" w:rsidP="009606E6">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15</w:t>
            </w:r>
          </w:p>
        </w:tc>
        <w:tc>
          <w:tcPr>
            <w:tcW w:w="0" w:type="auto"/>
            <w:hideMark/>
          </w:tcPr>
          <w:p w14:paraId="5A95E1AD" w14:textId="77777777" w:rsidR="00EF17D7" w:rsidRPr="00A110C5" w:rsidRDefault="00EF17D7" w:rsidP="009606E6">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75</w:t>
            </w:r>
          </w:p>
        </w:tc>
      </w:tr>
    </w:tbl>
    <w:p w14:paraId="0016E178" w14:textId="4BBC0177" w:rsidR="00C901DC" w:rsidRDefault="00C901DC" w:rsidP="00C901DC">
      <w:pPr>
        <w:pStyle w:val="Caption"/>
        <w:jc w:val="center"/>
        <w:rPr>
          <w:rFonts w:ascii="Arial" w:hAnsi="Arial" w:cs="Arial"/>
        </w:rPr>
      </w:pPr>
      <w:bookmarkStart w:id="45" w:name="_Toc217080808"/>
      <w:r>
        <w:t xml:space="preserve">Table </w:t>
      </w:r>
      <w:fldSimple w:instr=" SEQ Table \* ARABIC ">
        <w:r>
          <w:rPr>
            <w:noProof/>
          </w:rPr>
          <w:t>4</w:t>
        </w:r>
      </w:fldSimple>
      <w:r>
        <w:t xml:space="preserve"> </w:t>
      </w:r>
      <w:r w:rsidRPr="000A6519">
        <w:t>Cash Inflows</w:t>
      </w:r>
      <w:bookmarkEnd w:id="45"/>
    </w:p>
    <w:p w14:paraId="60577E01" w14:textId="1826C2DF" w:rsidR="00EF17D7" w:rsidRPr="00A110C5" w:rsidRDefault="004525EC" w:rsidP="009606E6">
      <w:pPr>
        <w:spacing w:before="120" w:after="120" w:line="360" w:lineRule="auto"/>
        <w:jc w:val="both"/>
        <w:rPr>
          <w:rFonts w:ascii="Arial" w:hAnsi="Arial" w:cs="Arial"/>
        </w:rPr>
      </w:pPr>
      <w:r w:rsidRPr="004525EC">
        <w:rPr>
          <w:rFonts w:ascii="Arial" w:hAnsi="Arial" w:cs="Arial"/>
        </w:rPr>
        <w:lastRenderedPageBreak/>
        <w:t>The initial investment of £50 million is paid back in Year 3-4. Namely, in Year 3, the payback of the expenditure is achieved at 35m, and the recoup in Year 4 is done at 25m.</w:t>
      </w:r>
    </w:p>
    <w:p w14:paraId="1C8DFEAB" w14:textId="63A88787" w:rsidR="00EF17D7" w:rsidRPr="00A110C5" w:rsidRDefault="00EF17D7" w:rsidP="009606E6">
      <w:pPr>
        <w:spacing w:before="120" w:after="120" w:line="360" w:lineRule="auto"/>
        <w:jc w:val="both"/>
        <w:rPr>
          <w:rFonts w:ascii="Arial" w:hAnsi="Arial" w:cs="Arial"/>
        </w:rPr>
      </w:pPr>
      <w:r w:rsidRPr="00A110C5">
        <w:rPr>
          <w:rFonts w:ascii="Arial" w:hAnsi="Arial" w:cs="Arial"/>
          <w:b/>
          <w:bCs/>
        </w:rPr>
        <w:t>Payback Period</w:t>
      </w:r>
      <w:r w:rsidRPr="00A110C5">
        <w:rPr>
          <w:rFonts w:ascii="Arial" w:hAnsi="Arial" w:cs="Arial"/>
        </w:rPr>
        <w:t xml:space="preserve"> = 3 + (15/25) = </w:t>
      </w:r>
      <w:r w:rsidRPr="00A110C5">
        <w:rPr>
          <w:rFonts w:ascii="Arial" w:hAnsi="Arial" w:cs="Arial"/>
          <w:b/>
          <w:bCs/>
        </w:rPr>
        <w:t>3.6 years</w:t>
      </w:r>
    </w:p>
    <w:p w14:paraId="0E6F9DA5" w14:textId="72B55A5C" w:rsidR="00EF17D7" w:rsidRPr="00A110C5" w:rsidRDefault="007F59A4" w:rsidP="009A13E4">
      <w:pPr>
        <w:pStyle w:val="Heading3"/>
        <w:rPr>
          <w:rFonts w:cs="Arial"/>
        </w:rPr>
      </w:pPr>
      <w:bookmarkStart w:id="46" w:name="_Toc217080786"/>
      <w:r w:rsidRPr="00A110C5">
        <w:rPr>
          <w:rFonts w:cs="Arial"/>
        </w:rPr>
        <w:t xml:space="preserve">5.1.2 </w:t>
      </w:r>
      <w:r w:rsidR="00EF17D7" w:rsidRPr="00A110C5">
        <w:rPr>
          <w:rFonts w:cs="Arial"/>
        </w:rPr>
        <w:t>Accounting Rate of Return (ARR)</w:t>
      </w:r>
      <w:bookmarkEnd w:id="46"/>
    </w:p>
    <w:p w14:paraId="6AFF8D45" w14:textId="1979B868" w:rsidR="00EF17D7" w:rsidRPr="00A110C5" w:rsidRDefault="004525EC" w:rsidP="009606E6">
      <w:pPr>
        <w:spacing w:before="120" w:after="120" w:line="360" w:lineRule="auto"/>
        <w:jc w:val="both"/>
        <w:rPr>
          <w:rFonts w:ascii="Arial" w:hAnsi="Arial" w:cs="Arial"/>
        </w:rPr>
      </w:pPr>
      <w:r w:rsidRPr="004525EC">
        <w:rPr>
          <w:rFonts w:ascii="Arial" w:hAnsi="Arial" w:cs="Arial"/>
        </w:rPr>
        <w:t>Accounting rate of return (ARR) is a ratio that compares the returns obtained on a given investment to the investment itself.</w:t>
      </w:r>
    </w:p>
    <w:p w14:paraId="68DB7119" w14:textId="39C4AD1A" w:rsidR="00EF17D7" w:rsidRPr="00A110C5" w:rsidRDefault="00EF17D7" w:rsidP="009606E6">
      <w:pPr>
        <w:spacing w:before="120" w:after="120" w:line="360" w:lineRule="auto"/>
        <w:jc w:val="both"/>
        <w:rPr>
          <w:rFonts w:ascii="Arial" w:hAnsi="Arial" w:cs="Arial"/>
          <w:b/>
          <w:bCs/>
        </w:rPr>
      </w:pPr>
      <w:r w:rsidRPr="00A110C5">
        <w:rPr>
          <w:rFonts w:ascii="Arial" w:hAnsi="Arial" w:cs="Arial"/>
          <w:b/>
          <w:bCs/>
        </w:rPr>
        <w:t>Project A</w:t>
      </w:r>
    </w:p>
    <w:tbl>
      <w:tblPr>
        <w:tblStyle w:val="GridTable1Light-Accent3"/>
        <w:tblW w:w="0" w:type="auto"/>
        <w:jc w:val="center"/>
        <w:tblLook w:val="04A0" w:firstRow="1" w:lastRow="0" w:firstColumn="1" w:lastColumn="0" w:noHBand="0" w:noVBand="1"/>
      </w:tblPr>
      <w:tblGrid>
        <w:gridCol w:w="3439"/>
        <w:gridCol w:w="5053"/>
      </w:tblGrid>
      <w:tr w:rsidR="00EF17D7" w:rsidRPr="00A110C5" w14:paraId="22500A7D" w14:textId="77777777" w:rsidTr="003A5B2C">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58EAE9D" w14:textId="77777777" w:rsidR="00EF17D7" w:rsidRPr="00A110C5" w:rsidRDefault="00EF17D7" w:rsidP="009606E6">
            <w:pPr>
              <w:spacing w:before="120" w:after="120" w:line="360" w:lineRule="auto"/>
              <w:jc w:val="both"/>
              <w:rPr>
                <w:rFonts w:ascii="Arial" w:hAnsi="Arial" w:cs="Arial"/>
                <w:b w:val="0"/>
                <w:bCs w:val="0"/>
              </w:rPr>
            </w:pPr>
            <w:r w:rsidRPr="00A110C5">
              <w:rPr>
                <w:rFonts w:ascii="Arial" w:hAnsi="Arial" w:cs="Arial"/>
              </w:rPr>
              <w:t>Description</w:t>
            </w:r>
          </w:p>
        </w:tc>
        <w:tc>
          <w:tcPr>
            <w:tcW w:w="0" w:type="auto"/>
            <w:hideMark/>
          </w:tcPr>
          <w:p w14:paraId="0DCD9168" w14:textId="77777777" w:rsidR="00EF17D7" w:rsidRPr="00A110C5" w:rsidRDefault="00EF17D7" w:rsidP="009606E6">
            <w:pPr>
              <w:spacing w:before="120" w:after="12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A110C5">
              <w:rPr>
                <w:rFonts w:ascii="Arial" w:hAnsi="Arial" w:cs="Arial"/>
              </w:rPr>
              <w:t>Value</w:t>
            </w:r>
          </w:p>
        </w:tc>
      </w:tr>
      <w:tr w:rsidR="00EF17D7" w:rsidRPr="00A110C5" w14:paraId="050331B7" w14:textId="77777777" w:rsidTr="003A5B2C">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3AF30BA" w14:textId="77777777" w:rsidR="00EF17D7" w:rsidRPr="00A110C5" w:rsidRDefault="00EF17D7" w:rsidP="009606E6">
            <w:pPr>
              <w:spacing w:before="120" w:after="120" w:line="360" w:lineRule="auto"/>
              <w:jc w:val="both"/>
              <w:rPr>
                <w:rFonts w:ascii="Arial" w:hAnsi="Arial" w:cs="Arial"/>
              </w:rPr>
            </w:pPr>
            <w:r w:rsidRPr="00A110C5">
              <w:rPr>
                <w:rFonts w:ascii="Arial" w:hAnsi="Arial" w:cs="Arial"/>
              </w:rPr>
              <w:t>Total Cash Inflows</w:t>
            </w:r>
          </w:p>
        </w:tc>
        <w:tc>
          <w:tcPr>
            <w:tcW w:w="0" w:type="auto"/>
            <w:hideMark/>
          </w:tcPr>
          <w:p w14:paraId="22ED4F2D" w14:textId="77777777" w:rsidR="00EF17D7" w:rsidRPr="00A110C5" w:rsidRDefault="00EF17D7" w:rsidP="009606E6">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£10m + £12m + £14m + £10m + £8m = £54m</w:t>
            </w:r>
          </w:p>
        </w:tc>
      </w:tr>
      <w:tr w:rsidR="00EF17D7" w:rsidRPr="00A110C5" w14:paraId="5930AE99" w14:textId="77777777" w:rsidTr="003A5B2C">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696EE14" w14:textId="77777777" w:rsidR="00EF17D7" w:rsidRPr="00A110C5" w:rsidRDefault="00EF17D7" w:rsidP="009606E6">
            <w:pPr>
              <w:spacing w:before="120" w:after="120" w:line="360" w:lineRule="auto"/>
              <w:jc w:val="both"/>
              <w:rPr>
                <w:rFonts w:ascii="Arial" w:hAnsi="Arial" w:cs="Arial"/>
              </w:rPr>
            </w:pPr>
            <w:r w:rsidRPr="00A110C5">
              <w:rPr>
                <w:rFonts w:ascii="Arial" w:hAnsi="Arial" w:cs="Arial"/>
              </w:rPr>
              <w:t>Average Annual Cash Inflow</w:t>
            </w:r>
          </w:p>
        </w:tc>
        <w:tc>
          <w:tcPr>
            <w:tcW w:w="0" w:type="auto"/>
            <w:hideMark/>
          </w:tcPr>
          <w:p w14:paraId="473862BC" w14:textId="77777777" w:rsidR="00EF17D7" w:rsidRPr="00A110C5" w:rsidRDefault="00EF17D7" w:rsidP="009606E6">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£54m / 5 = £10.8m</w:t>
            </w:r>
          </w:p>
        </w:tc>
      </w:tr>
      <w:tr w:rsidR="00EF17D7" w:rsidRPr="00A110C5" w14:paraId="2E9D2B6B" w14:textId="77777777" w:rsidTr="003A5B2C">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BA6F76D" w14:textId="77777777" w:rsidR="00EF17D7" w:rsidRPr="00A110C5" w:rsidRDefault="00EF17D7" w:rsidP="009606E6">
            <w:pPr>
              <w:spacing w:before="120" w:after="120" w:line="360" w:lineRule="auto"/>
              <w:jc w:val="both"/>
              <w:rPr>
                <w:rFonts w:ascii="Arial" w:hAnsi="Arial" w:cs="Arial"/>
              </w:rPr>
            </w:pPr>
            <w:r w:rsidRPr="00A110C5">
              <w:rPr>
                <w:rFonts w:ascii="Arial" w:hAnsi="Arial" w:cs="Arial"/>
              </w:rPr>
              <w:t>Initial Investment</w:t>
            </w:r>
          </w:p>
        </w:tc>
        <w:tc>
          <w:tcPr>
            <w:tcW w:w="0" w:type="auto"/>
            <w:hideMark/>
          </w:tcPr>
          <w:p w14:paraId="0F6EF441" w14:textId="77777777" w:rsidR="00EF17D7" w:rsidRPr="00A110C5" w:rsidRDefault="00EF17D7" w:rsidP="009606E6">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£40m</w:t>
            </w:r>
          </w:p>
        </w:tc>
      </w:tr>
      <w:tr w:rsidR="00EF17D7" w:rsidRPr="00A110C5" w14:paraId="4482F979" w14:textId="77777777" w:rsidTr="003A5B2C">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E977E7D" w14:textId="77777777" w:rsidR="00EF17D7" w:rsidRPr="00A110C5" w:rsidRDefault="00EF17D7" w:rsidP="009606E6">
            <w:pPr>
              <w:spacing w:before="120" w:after="120" w:line="360" w:lineRule="auto"/>
              <w:jc w:val="both"/>
              <w:rPr>
                <w:rFonts w:ascii="Arial" w:hAnsi="Arial" w:cs="Arial"/>
              </w:rPr>
            </w:pPr>
            <w:r w:rsidRPr="00A110C5">
              <w:rPr>
                <w:rFonts w:ascii="Arial" w:hAnsi="Arial" w:cs="Arial"/>
              </w:rPr>
              <w:t>ARR</w:t>
            </w:r>
          </w:p>
        </w:tc>
        <w:tc>
          <w:tcPr>
            <w:tcW w:w="0" w:type="auto"/>
            <w:hideMark/>
          </w:tcPr>
          <w:p w14:paraId="74DC5A59" w14:textId="77777777" w:rsidR="00EF17D7" w:rsidRPr="00A110C5" w:rsidRDefault="00EF17D7" w:rsidP="009606E6">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 xml:space="preserve">(£10.8m / £40m) × 100 = </w:t>
            </w:r>
            <w:r w:rsidRPr="00A110C5">
              <w:rPr>
                <w:rFonts w:ascii="Arial" w:hAnsi="Arial" w:cs="Arial"/>
                <w:b/>
                <w:bCs/>
              </w:rPr>
              <w:t>27%</w:t>
            </w:r>
          </w:p>
        </w:tc>
      </w:tr>
    </w:tbl>
    <w:p w14:paraId="5B01FF38" w14:textId="40732CD1" w:rsidR="00C901DC" w:rsidRDefault="00C901DC" w:rsidP="00C901DC">
      <w:pPr>
        <w:pStyle w:val="Caption"/>
        <w:jc w:val="center"/>
        <w:rPr>
          <w:rFonts w:ascii="Arial" w:hAnsi="Arial" w:cs="Arial"/>
          <w:b/>
          <w:bCs/>
        </w:rPr>
      </w:pPr>
      <w:bookmarkStart w:id="47" w:name="_Toc217080809"/>
      <w:r>
        <w:t xml:space="preserve">Table </w:t>
      </w:r>
      <w:fldSimple w:instr=" SEQ Table \* ARABIC ">
        <w:r>
          <w:rPr>
            <w:noProof/>
          </w:rPr>
          <w:t>5</w:t>
        </w:r>
      </w:fldSimple>
      <w:r>
        <w:t xml:space="preserve"> </w:t>
      </w:r>
      <w:r w:rsidRPr="00BA6355">
        <w:t>Accounting Rate of Return</w:t>
      </w:r>
      <w:bookmarkEnd w:id="47"/>
    </w:p>
    <w:p w14:paraId="6FA97B95" w14:textId="0ABBA051" w:rsidR="00EF17D7" w:rsidRPr="00A110C5" w:rsidRDefault="00EF17D7" w:rsidP="009606E6">
      <w:pPr>
        <w:spacing w:before="120" w:after="120" w:line="360" w:lineRule="auto"/>
        <w:jc w:val="both"/>
        <w:rPr>
          <w:rFonts w:ascii="Arial" w:hAnsi="Arial" w:cs="Arial"/>
          <w:b/>
          <w:bCs/>
        </w:rPr>
      </w:pPr>
      <w:r w:rsidRPr="00A110C5">
        <w:rPr>
          <w:rFonts w:ascii="Arial" w:hAnsi="Arial" w:cs="Arial"/>
          <w:b/>
          <w:bCs/>
        </w:rPr>
        <w:t>Project B</w:t>
      </w:r>
    </w:p>
    <w:tbl>
      <w:tblPr>
        <w:tblStyle w:val="GridTable1Light-Accent3"/>
        <w:tblW w:w="0" w:type="auto"/>
        <w:jc w:val="center"/>
        <w:tblLook w:val="04A0" w:firstRow="1" w:lastRow="0" w:firstColumn="1" w:lastColumn="0" w:noHBand="0" w:noVBand="1"/>
      </w:tblPr>
      <w:tblGrid>
        <w:gridCol w:w="3439"/>
        <w:gridCol w:w="3071"/>
      </w:tblGrid>
      <w:tr w:rsidR="00EF17D7" w:rsidRPr="00A110C5" w14:paraId="47B2AC86" w14:textId="77777777" w:rsidTr="003A5B2C">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3F70128" w14:textId="77777777" w:rsidR="00EF17D7" w:rsidRPr="00A110C5" w:rsidRDefault="00EF17D7" w:rsidP="009606E6">
            <w:pPr>
              <w:spacing w:before="120" w:after="120" w:line="360" w:lineRule="auto"/>
              <w:jc w:val="both"/>
              <w:rPr>
                <w:rFonts w:ascii="Arial" w:hAnsi="Arial" w:cs="Arial"/>
                <w:b w:val="0"/>
                <w:bCs w:val="0"/>
              </w:rPr>
            </w:pPr>
            <w:r w:rsidRPr="00A110C5">
              <w:rPr>
                <w:rFonts w:ascii="Arial" w:hAnsi="Arial" w:cs="Arial"/>
              </w:rPr>
              <w:t>Description</w:t>
            </w:r>
          </w:p>
        </w:tc>
        <w:tc>
          <w:tcPr>
            <w:tcW w:w="0" w:type="auto"/>
            <w:hideMark/>
          </w:tcPr>
          <w:p w14:paraId="45F44973" w14:textId="77777777" w:rsidR="00EF17D7" w:rsidRPr="00A110C5" w:rsidRDefault="00EF17D7" w:rsidP="009606E6">
            <w:pPr>
              <w:spacing w:before="120" w:after="12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A110C5">
              <w:rPr>
                <w:rFonts w:ascii="Arial" w:hAnsi="Arial" w:cs="Arial"/>
              </w:rPr>
              <w:t>Value</w:t>
            </w:r>
          </w:p>
        </w:tc>
      </w:tr>
      <w:tr w:rsidR="00EF17D7" w:rsidRPr="00A110C5" w14:paraId="31EE9126" w14:textId="77777777" w:rsidTr="003A5B2C">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C91722A" w14:textId="77777777" w:rsidR="00EF17D7" w:rsidRPr="00A110C5" w:rsidRDefault="00EF17D7" w:rsidP="009606E6">
            <w:pPr>
              <w:spacing w:before="120" w:after="120" w:line="360" w:lineRule="auto"/>
              <w:jc w:val="both"/>
              <w:rPr>
                <w:rFonts w:ascii="Arial" w:hAnsi="Arial" w:cs="Arial"/>
              </w:rPr>
            </w:pPr>
            <w:r w:rsidRPr="00A110C5">
              <w:rPr>
                <w:rFonts w:ascii="Arial" w:hAnsi="Arial" w:cs="Arial"/>
              </w:rPr>
              <w:t>Total Cash Inflows</w:t>
            </w:r>
          </w:p>
        </w:tc>
        <w:tc>
          <w:tcPr>
            <w:tcW w:w="0" w:type="auto"/>
            <w:hideMark/>
          </w:tcPr>
          <w:p w14:paraId="62D574CC" w14:textId="77777777" w:rsidR="00EF17D7" w:rsidRPr="00A110C5" w:rsidRDefault="00EF17D7" w:rsidP="009606E6">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£6m × 5 = £30m</w:t>
            </w:r>
          </w:p>
        </w:tc>
      </w:tr>
      <w:tr w:rsidR="00EF17D7" w:rsidRPr="00A110C5" w14:paraId="6E59E697" w14:textId="77777777" w:rsidTr="003A5B2C">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8432CE2" w14:textId="77777777" w:rsidR="00EF17D7" w:rsidRPr="00A110C5" w:rsidRDefault="00EF17D7" w:rsidP="009606E6">
            <w:pPr>
              <w:spacing w:before="120" w:after="120" w:line="360" w:lineRule="auto"/>
              <w:jc w:val="both"/>
              <w:rPr>
                <w:rFonts w:ascii="Arial" w:hAnsi="Arial" w:cs="Arial"/>
              </w:rPr>
            </w:pPr>
            <w:r w:rsidRPr="00A110C5">
              <w:rPr>
                <w:rFonts w:ascii="Arial" w:hAnsi="Arial" w:cs="Arial"/>
              </w:rPr>
              <w:t>Average Annual Cash Inflow</w:t>
            </w:r>
          </w:p>
        </w:tc>
        <w:tc>
          <w:tcPr>
            <w:tcW w:w="0" w:type="auto"/>
            <w:hideMark/>
          </w:tcPr>
          <w:p w14:paraId="341D97EB" w14:textId="77777777" w:rsidR="00EF17D7" w:rsidRPr="00A110C5" w:rsidRDefault="00EF17D7" w:rsidP="009606E6">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£30m / 5 = £6m</w:t>
            </w:r>
          </w:p>
        </w:tc>
      </w:tr>
      <w:tr w:rsidR="00EF17D7" w:rsidRPr="00A110C5" w14:paraId="7FA26951" w14:textId="77777777" w:rsidTr="003A5B2C">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9F00EFE" w14:textId="77777777" w:rsidR="00EF17D7" w:rsidRPr="00A110C5" w:rsidRDefault="00EF17D7" w:rsidP="009606E6">
            <w:pPr>
              <w:spacing w:before="120" w:after="120" w:line="360" w:lineRule="auto"/>
              <w:jc w:val="both"/>
              <w:rPr>
                <w:rFonts w:ascii="Arial" w:hAnsi="Arial" w:cs="Arial"/>
              </w:rPr>
            </w:pPr>
            <w:r w:rsidRPr="00A110C5">
              <w:rPr>
                <w:rFonts w:ascii="Arial" w:hAnsi="Arial" w:cs="Arial"/>
              </w:rPr>
              <w:t>Initial Investment</w:t>
            </w:r>
          </w:p>
        </w:tc>
        <w:tc>
          <w:tcPr>
            <w:tcW w:w="0" w:type="auto"/>
            <w:hideMark/>
          </w:tcPr>
          <w:p w14:paraId="597BDB8C" w14:textId="77777777" w:rsidR="00EF17D7" w:rsidRPr="00A110C5" w:rsidRDefault="00EF17D7" w:rsidP="009606E6">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£30m</w:t>
            </w:r>
          </w:p>
        </w:tc>
      </w:tr>
      <w:tr w:rsidR="00EF17D7" w:rsidRPr="00A110C5" w14:paraId="3A24652D" w14:textId="77777777" w:rsidTr="003A5B2C">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4AF3201" w14:textId="77777777" w:rsidR="00EF17D7" w:rsidRPr="00A110C5" w:rsidRDefault="00EF17D7" w:rsidP="009606E6">
            <w:pPr>
              <w:spacing w:before="120" w:after="120" w:line="360" w:lineRule="auto"/>
              <w:jc w:val="both"/>
              <w:rPr>
                <w:rFonts w:ascii="Arial" w:hAnsi="Arial" w:cs="Arial"/>
              </w:rPr>
            </w:pPr>
            <w:r w:rsidRPr="00A110C5">
              <w:rPr>
                <w:rFonts w:ascii="Arial" w:hAnsi="Arial" w:cs="Arial"/>
              </w:rPr>
              <w:t>ARR</w:t>
            </w:r>
          </w:p>
        </w:tc>
        <w:tc>
          <w:tcPr>
            <w:tcW w:w="0" w:type="auto"/>
            <w:hideMark/>
          </w:tcPr>
          <w:p w14:paraId="201E014B" w14:textId="77777777" w:rsidR="00EF17D7" w:rsidRPr="00A110C5" w:rsidRDefault="00EF17D7" w:rsidP="009606E6">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 xml:space="preserve">(£6m / £30m) × 100 = </w:t>
            </w:r>
            <w:r w:rsidRPr="00A110C5">
              <w:rPr>
                <w:rFonts w:ascii="Arial" w:hAnsi="Arial" w:cs="Arial"/>
                <w:b/>
                <w:bCs/>
              </w:rPr>
              <w:t>20%</w:t>
            </w:r>
          </w:p>
        </w:tc>
      </w:tr>
    </w:tbl>
    <w:p w14:paraId="7D5BD716" w14:textId="2B20CAFC" w:rsidR="00C901DC" w:rsidRDefault="00C901DC" w:rsidP="00C901DC">
      <w:pPr>
        <w:pStyle w:val="Caption"/>
        <w:jc w:val="center"/>
        <w:rPr>
          <w:rFonts w:ascii="Arial" w:hAnsi="Arial" w:cs="Arial"/>
          <w:b/>
          <w:bCs/>
        </w:rPr>
      </w:pPr>
      <w:bookmarkStart w:id="48" w:name="_Toc217080810"/>
      <w:r>
        <w:t xml:space="preserve">Table </w:t>
      </w:r>
      <w:fldSimple w:instr=" SEQ Table \* ARABIC ">
        <w:r>
          <w:rPr>
            <w:noProof/>
          </w:rPr>
          <w:t>6</w:t>
        </w:r>
      </w:fldSimple>
      <w:r>
        <w:t xml:space="preserve"> </w:t>
      </w:r>
      <w:r w:rsidRPr="00360F6B">
        <w:t>Accounting Rate of Return</w:t>
      </w:r>
      <w:bookmarkEnd w:id="48"/>
    </w:p>
    <w:p w14:paraId="214A3B67" w14:textId="54F60648" w:rsidR="00EF17D7" w:rsidRPr="00A110C5" w:rsidRDefault="00EF17D7" w:rsidP="009606E6">
      <w:pPr>
        <w:spacing w:before="120" w:after="120" w:line="360" w:lineRule="auto"/>
        <w:jc w:val="both"/>
        <w:rPr>
          <w:rFonts w:ascii="Arial" w:hAnsi="Arial" w:cs="Arial"/>
          <w:b/>
          <w:bCs/>
        </w:rPr>
      </w:pPr>
      <w:r w:rsidRPr="00A110C5">
        <w:rPr>
          <w:rFonts w:ascii="Arial" w:hAnsi="Arial" w:cs="Arial"/>
          <w:b/>
          <w:bCs/>
        </w:rPr>
        <w:t>Project C</w:t>
      </w:r>
    </w:p>
    <w:tbl>
      <w:tblPr>
        <w:tblStyle w:val="GridTable1Light-Accent3"/>
        <w:tblW w:w="0" w:type="auto"/>
        <w:jc w:val="center"/>
        <w:tblLook w:val="04A0" w:firstRow="1" w:lastRow="0" w:firstColumn="1" w:lastColumn="0" w:noHBand="0" w:noVBand="1"/>
      </w:tblPr>
      <w:tblGrid>
        <w:gridCol w:w="3439"/>
        <w:gridCol w:w="5053"/>
      </w:tblGrid>
      <w:tr w:rsidR="00EF17D7" w:rsidRPr="00A110C5" w14:paraId="3984843B" w14:textId="77777777" w:rsidTr="003A5B2C">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7D59FE8" w14:textId="77777777" w:rsidR="00EF17D7" w:rsidRPr="00A110C5" w:rsidRDefault="00EF17D7" w:rsidP="009606E6">
            <w:pPr>
              <w:spacing w:before="120" w:after="120" w:line="360" w:lineRule="auto"/>
              <w:jc w:val="both"/>
              <w:rPr>
                <w:rFonts w:ascii="Arial" w:hAnsi="Arial" w:cs="Arial"/>
                <w:b w:val="0"/>
                <w:bCs w:val="0"/>
              </w:rPr>
            </w:pPr>
            <w:r w:rsidRPr="00A110C5">
              <w:rPr>
                <w:rFonts w:ascii="Arial" w:hAnsi="Arial" w:cs="Arial"/>
              </w:rPr>
              <w:t>Description</w:t>
            </w:r>
          </w:p>
        </w:tc>
        <w:tc>
          <w:tcPr>
            <w:tcW w:w="0" w:type="auto"/>
            <w:hideMark/>
          </w:tcPr>
          <w:p w14:paraId="196457AF" w14:textId="77777777" w:rsidR="00EF17D7" w:rsidRPr="00A110C5" w:rsidRDefault="00EF17D7" w:rsidP="009606E6">
            <w:pPr>
              <w:spacing w:before="120" w:after="12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A110C5">
              <w:rPr>
                <w:rFonts w:ascii="Arial" w:hAnsi="Arial" w:cs="Arial"/>
              </w:rPr>
              <w:t>Value</w:t>
            </w:r>
          </w:p>
        </w:tc>
      </w:tr>
      <w:tr w:rsidR="00EF17D7" w:rsidRPr="00A110C5" w14:paraId="16911184" w14:textId="77777777" w:rsidTr="003A5B2C">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BD192FE" w14:textId="77777777" w:rsidR="00EF17D7" w:rsidRPr="00A110C5" w:rsidRDefault="00EF17D7" w:rsidP="009606E6">
            <w:pPr>
              <w:spacing w:before="120" w:after="120" w:line="360" w:lineRule="auto"/>
              <w:jc w:val="both"/>
              <w:rPr>
                <w:rFonts w:ascii="Arial" w:hAnsi="Arial" w:cs="Arial"/>
              </w:rPr>
            </w:pPr>
            <w:r w:rsidRPr="00A110C5">
              <w:rPr>
                <w:rFonts w:ascii="Arial" w:hAnsi="Arial" w:cs="Arial"/>
              </w:rPr>
              <w:t>Total Cash Inflows</w:t>
            </w:r>
          </w:p>
        </w:tc>
        <w:tc>
          <w:tcPr>
            <w:tcW w:w="0" w:type="auto"/>
            <w:hideMark/>
          </w:tcPr>
          <w:p w14:paraId="2200DFA9" w14:textId="77777777" w:rsidR="00EF17D7" w:rsidRPr="00A110C5" w:rsidRDefault="00EF17D7" w:rsidP="009606E6">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£5m + £10m + £20m + £25m + £15m = £75m</w:t>
            </w:r>
          </w:p>
        </w:tc>
      </w:tr>
      <w:tr w:rsidR="00EF17D7" w:rsidRPr="00A110C5" w14:paraId="7DED99A2" w14:textId="77777777" w:rsidTr="003A5B2C">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659B47E" w14:textId="77777777" w:rsidR="00EF17D7" w:rsidRPr="00A110C5" w:rsidRDefault="00EF17D7" w:rsidP="009606E6">
            <w:pPr>
              <w:spacing w:before="120" w:after="120" w:line="360" w:lineRule="auto"/>
              <w:jc w:val="both"/>
              <w:rPr>
                <w:rFonts w:ascii="Arial" w:hAnsi="Arial" w:cs="Arial"/>
              </w:rPr>
            </w:pPr>
            <w:r w:rsidRPr="00A110C5">
              <w:rPr>
                <w:rFonts w:ascii="Arial" w:hAnsi="Arial" w:cs="Arial"/>
              </w:rPr>
              <w:lastRenderedPageBreak/>
              <w:t>Average Annual Cash Inflow</w:t>
            </w:r>
          </w:p>
        </w:tc>
        <w:tc>
          <w:tcPr>
            <w:tcW w:w="0" w:type="auto"/>
            <w:hideMark/>
          </w:tcPr>
          <w:p w14:paraId="4A6E20D0" w14:textId="77777777" w:rsidR="00EF17D7" w:rsidRPr="00A110C5" w:rsidRDefault="00EF17D7" w:rsidP="009606E6">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£75m / 5 = £15m</w:t>
            </w:r>
          </w:p>
        </w:tc>
      </w:tr>
      <w:tr w:rsidR="00EF17D7" w:rsidRPr="00A110C5" w14:paraId="17249EA7" w14:textId="77777777" w:rsidTr="003A5B2C">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F2BE665" w14:textId="77777777" w:rsidR="00EF17D7" w:rsidRPr="00A110C5" w:rsidRDefault="00EF17D7" w:rsidP="009606E6">
            <w:pPr>
              <w:spacing w:before="120" w:after="120" w:line="360" w:lineRule="auto"/>
              <w:jc w:val="both"/>
              <w:rPr>
                <w:rFonts w:ascii="Arial" w:hAnsi="Arial" w:cs="Arial"/>
              </w:rPr>
            </w:pPr>
            <w:r w:rsidRPr="00A110C5">
              <w:rPr>
                <w:rFonts w:ascii="Arial" w:hAnsi="Arial" w:cs="Arial"/>
              </w:rPr>
              <w:t>Initial Investment</w:t>
            </w:r>
          </w:p>
        </w:tc>
        <w:tc>
          <w:tcPr>
            <w:tcW w:w="0" w:type="auto"/>
            <w:hideMark/>
          </w:tcPr>
          <w:p w14:paraId="723284FC" w14:textId="77777777" w:rsidR="00EF17D7" w:rsidRPr="00A110C5" w:rsidRDefault="00EF17D7" w:rsidP="009606E6">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£50m</w:t>
            </w:r>
          </w:p>
        </w:tc>
      </w:tr>
      <w:tr w:rsidR="00EF17D7" w:rsidRPr="00A110C5" w14:paraId="1BD5DE93" w14:textId="77777777" w:rsidTr="003A5B2C">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2E71DBE" w14:textId="77777777" w:rsidR="00EF17D7" w:rsidRPr="00A110C5" w:rsidRDefault="00EF17D7" w:rsidP="009606E6">
            <w:pPr>
              <w:spacing w:before="120" w:after="120" w:line="360" w:lineRule="auto"/>
              <w:jc w:val="both"/>
              <w:rPr>
                <w:rFonts w:ascii="Arial" w:hAnsi="Arial" w:cs="Arial"/>
              </w:rPr>
            </w:pPr>
            <w:r w:rsidRPr="00A110C5">
              <w:rPr>
                <w:rFonts w:ascii="Arial" w:hAnsi="Arial" w:cs="Arial"/>
              </w:rPr>
              <w:t>ARR</w:t>
            </w:r>
          </w:p>
        </w:tc>
        <w:tc>
          <w:tcPr>
            <w:tcW w:w="0" w:type="auto"/>
            <w:hideMark/>
          </w:tcPr>
          <w:p w14:paraId="276D0141" w14:textId="77777777" w:rsidR="00EF17D7" w:rsidRPr="00A110C5" w:rsidRDefault="00EF17D7" w:rsidP="009606E6">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 xml:space="preserve">(£15m / £50m) × 100 = </w:t>
            </w:r>
            <w:r w:rsidRPr="00A110C5">
              <w:rPr>
                <w:rFonts w:ascii="Arial" w:hAnsi="Arial" w:cs="Arial"/>
                <w:b/>
                <w:bCs/>
              </w:rPr>
              <w:t>30%</w:t>
            </w:r>
          </w:p>
        </w:tc>
      </w:tr>
    </w:tbl>
    <w:p w14:paraId="07DDCA30" w14:textId="1A7AF421" w:rsidR="00C901DC" w:rsidRDefault="00C901DC" w:rsidP="00C901DC">
      <w:pPr>
        <w:pStyle w:val="Caption"/>
        <w:jc w:val="center"/>
      </w:pPr>
      <w:bookmarkStart w:id="49" w:name="_Toc217080811"/>
      <w:r>
        <w:t xml:space="preserve">Table </w:t>
      </w:r>
      <w:fldSimple w:instr=" SEQ Table \* ARABIC ">
        <w:r>
          <w:rPr>
            <w:noProof/>
          </w:rPr>
          <w:t>7</w:t>
        </w:r>
      </w:fldSimple>
      <w:r>
        <w:t xml:space="preserve"> </w:t>
      </w:r>
      <w:r w:rsidRPr="00BD073A">
        <w:t>Accounting Rate of Return</w:t>
      </w:r>
      <w:bookmarkEnd w:id="49"/>
    </w:p>
    <w:p w14:paraId="048657E2" w14:textId="2588B03D" w:rsidR="00EF17D7" w:rsidRPr="00A110C5" w:rsidRDefault="007F59A4" w:rsidP="009A13E4">
      <w:pPr>
        <w:pStyle w:val="Heading3"/>
        <w:rPr>
          <w:rFonts w:cs="Arial"/>
        </w:rPr>
      </w:pPr>
      <w:bookmarkStart w:id="50" w:name="_Toc217080787"/>
      <w:r w:rsidRPr="00A110C5">
        <w:rPr>
          <w:rFonts w:cs="Arial"/>
        </w:rPr>
        <w:t xml:space="preserve">5.1.3 </w:t>
      </w:r>
      <w:r w:rsidR="00EF17D7" w:rsidRPr="00A110C5">
        <w:rPr>
          <w:rFonts w:cs="Arial"/>
        </w:rPr>
        <w:t>Net Present Value (NPV)</w:t>
      </w:r>
      <w:bookmarkEnd w:id="50"/>
    </w:p>
    <w:p w14:paraId="30E626BC" w14:textId="7A3C4606" w:rsidR="00EF17D7" w:rsidRPr="00A110C5" w:rsidRDefault="004525EC" w:rsidP="009606E6">
      <w:pPr>
        <w:spacing w:before="120" w:after="120" w:line="360" w:lineRule="auto"/>
        <w:jc w:val="both"/>
        <w:rPr>
          <w:rFonts w:ascii="Arial" w:hAnsi="Arial" w:cs="Arial"/>
        </w:rPr>
      </w:pPr>
      <w:r w:rsidRPr="004525EC">
        <w:rPr>
          <w:rFonts w:ascii="Arial" w:hAnsi="Arial" w:cs="Arial"/>
        </w:rPr>
        <w:t>The calculation of NPV involves discounting the cash inflows at a discount rate of 10% and the discounted money is subtracted with the initial investment.</w:t>
      </w:r>
    </w:p>
    <w:p w14:paraId="0868C587" w14:textId="0E5643A0" w:rsidR="00EF17D7" w:rsidRPr="00A110C5" w:rsidRDefault="00EF17D7" w:rsidP="009606E6">
      <w:pPr>
        <w:spacing w:before="120" w:after="120" w:line="360" w:lineRule="auto"/>
        <w:jc w:val="both"/>
        <w:rPr>
          <w:rFonts w:ascii="Arial" w:hAnsi="Arial" w:cs="Arial"/>
          <w:b/>
          <w:bCs/>
        </w:rPr>
      </w:pPr>
      <w:r w:rsidRPr="00A110C5">
        <w:rPr>
          <w:rFonts w:ascii="Arial" w:hAnsi="Arial" w:cs="Arial"/>
          <w:b/>
          <w:bCs/>
        </w:rPr>
        <w:t>Project A</w:t>
      </w:r>
    </w:p>
    <w:p w14:paraId="366E8D9B" w14:textId="5FC9C25D" w:rsidR="00EF17D7" w:rsidRPr="00A110C5" w:rsidRDefault="00EF17D7" w:rsidP="009606E6">
      <w:pPr>
        <w:spacing w:before="120" w:after="120" w:line="360" w:lineRule="auto"/>
        <w:jc w:val="both"/>
        <w:rPr>
          <w:rFonts w:ascii="Arial" w:hAnsi="Arial" w:cs="Arial"/>
        </w:rPr>
      </w:pPr>
      <m:oMathPara>
        <m:oMath>
          <m:r>
            <w:rPr>
              <w:rFonts w:ascii="Cambria Math" w:hAnsi="Cambria Math" w:cs="Arial"/>
            </w:rPr>
            <m:t>NPV=</m:t>
          </m:r>
          <m:f>
            <m:fPr>
              <m:ctrlPr>
                <w:rPr>
                  <w:rFonts w:ascii="Cambria Math" w:hAnsi="Cambria Math" w:cs="Arial"/>
                </w:rPr>
              </m:ctrlPr>
            </m:fPr>
            <m:num>
              <m:r>
                <w:rPr>
                  <w:rFonts w:ascii="Cambria Math" w:hAnsi="Cambria Math" w:cs="Arial"/>
                </w:rPr>
                <m:t>10</m:t>
              </m:r>
            </m:num>
            <m:den>
              <m:d>
                <m:dPr>
                  <m:sepChr m:val="+"/>
                  <m:endChr m:val=""/>
                  <m:ctrlPr>
                    <w:rPr>
                      <w:rFonts w:ascii="Cambria Math" w:hAnsi="Cambria Math" w:cs="Arial"/>
                    </w:rPr>
                  </m:ctrlPr>
                </m:dPr>
                <m:e>
                  <m:r>
                    <w:rPr>
                      <w:rFonts w:ascii="Cambria Math" w:hAnsi="Cambria Math" w:cs="Arial"/>
                    </w:rPr>
                    <m:t>1</m:t>
                  </m:r>
                </m:e>
                <m:e>
                  <m:r>
                    <w:rPr>
                      <w:rFonts w:ascii="Cambria Math" w:hAnsi="Cambria Math" w:cs="Arial"/>
                    </w:rPr>
                    <m:t>0.10</m:t>
                  </m:r>
                  <m:sSup>
                    <m:sSupPr>
                      <m:ctrlPr>
                        <w:rPr>
                          <w:rFonts w:ascii="Cambria Math" w:hAnsi="Cambria Math" w:cs="Arial"/>
                        </w:rPr>
                      </m:ctrlPr>
                    </m:sSupPr>
                    <m:e>
                      <m:r>
                        <w:rPr>
                          <w:rFonts w:ascii="Cambria Math" w:hAnsi="Cambria Math" w:cs="Arial"/>
                        </w:rPr>
                        <m:t>)</m:t>
                      </m:r>
                    </m:e>
                    <m:sup>
                      <m:r>
                        <w:rPr>
                          <w:rFonts w:ascii="Cambria Math" w:hAnsi="Cambria Math" w:cs="Arial"/>
                        </w:rPr>
                        <m:t>1</m:t>
                      </m:r>
                    </m:sup>
                  </m:sSup>
                </m:e>
              </m:d>
            </m:den>
          </m:f>
          <m:r>
            <w:rPr>
              <w:rFonts w:ascii="Cambria Math" w:hAnsi="Cambria Math" w:cs="Arial"/>
            </w:rPr>
            <m:t>+</m:t>
          </m:r>
          <m:f>
            <m:fPr>
              <m:ctrlPr>
                <w:rPr>
                  <w:rFonts w:ascii="Cambria Math" w:hAnsi="Cambria Math" w:cs="Arial"/>
                </w:rPr>
              </m:ctrlPr>
            </m:fPr>
            <m:num>
              <m:r>
                <w:rPr>
                  <w:rFonts w:ascii="Cambria Math" w:hAnsi="Cambria Math" w:cs="Arial"/>
                </w:rPr>
                <m:t>12</m:t>
              </m:r>
            </m:num>
            <m:den>
              <m:d>
                <m:dPr>
                  <m:sepChr m:val="+"/>
                  <m:endChr m:val=""/>
                  <m:ctrlPr>
                    <w:rPr>
                      <w:rFonts w:ascii="Cambria Math" w:hAnsi="Cambria Math" w:cs="Arial"/>
                    </w:rPr>
                  </m:ctrlPr>
                </m:dPr>
                <m:e>
                  <m:r>
                    <w:rPr>
                      <w:rFonts w:ascii="Cambria Math" w:hAnsi="Cambria Math" w:cs="Arial"/>
                    </w:rPr>
                    <m:t>1</m:t>
                  </m:r>
                </m:e>
                <m:e>
                  <m:r>
                    <w:rPr>
                      <w:rFonts w:ascii="Cambria Math" w:hAnsi="Cambria Math" w:cs="Arial"/>
                    </w:rPr>
                    <m:t>0.10</m:t>
                  </m:r>
                  <m:sSup>
                    <m:sSupPr>
                      <m:ctrlPr>
                        <w:rPr>
                          <w:rFonts w:ascii="Cambria Math" w:hAnsi="Cambria Math" w:cs="Arial"/>
                        </w:rPr>
                      </m:ctrlPr>
                    </m:sSupPr>
                    <m:e>
                      <m:r>
                        <w:rPr>
                          <w:rFonts w:ascii="Cambria Math" w:hAnsi="Cambria Math" w:cs="Arial"/>
                        </w:rPr>
                        <m:t>)</m:t>
                      </m:r>
                    </m:e>
                    <m:sup>
                      <m:r>
                        <w:rPr>
                          <w:rFonts w:ascii="Cambria Math" w:hAnsi="Cambria Math" w:cs="Arial"/>
                        </w:rPr>
                        <m:t>2</m:t>
                      </m:r>
                    </m:sup>
                  </m:sSup>
                </m:e>
              </m:d>
            </m:den>
          </m:f>
          <m:r>
            <w:rPr>
              <w:rFonts w:ascii="Cambria Math" w:hAnsi="Cambria Math" w:cs="Arial"/>
            </w:rPr>
            <m:t>+</m:t>
          </m:r>
          <m:f>
            <m:fPr>
              <m:ctrlPr>
                <w:rPr>
                  <w:rFonts w:ascii="Cambria Math" w:hAnsi="Cambria Math" w:cs="Arial"/>
                </w:rPr>
              </m:ctrlPr>
            </m:fPr>
            <m:num>
              <m:r>
                <w:rPr>
                  <w:rFonts w:ascii="Cambria Math" w:hAnsi="Cambria Math" w:cs="Arial"/>
                </w:rPr>
                <m:t>14</m:t>
              </m:r>
            </m:num>
            <m:den>
              <m:d>
                <m:dPr>
                  <m:sepChr m:val="+"/>
                  <m:endChr m:val=""/>
                  <m:ctrlPr>
                    <w:rPr>
                      <w:rFonts w:ascii="Cambria Math" w:hAnsi="Cambria Math" w:cs="Arial"/>
                    </w:rPr>
                  </m:ctrlPr>
                </m:dPr>
                <m:e>
                  <m:r>
                    <w:rPr>
                      <w:rFonts w:ascii="Cambria Math" w:hAnsi="Cambria Math" w:cs="Arial"/>
                    </w:rPr>
                    <m:t>1</m:t>
                  </m:r>
                </m:e>
                <m:e>
                  <m:r>
                    <w:rPr>
                      <w:rFonts w:ascii="Cambria Math" w:hAnsi="Cambria Math" w:cs="Arial"/>
                    </w:rPr>
                    <m:t>0.10</m:t>
                  </m:r>
                  <m:sSup>
                    <m:sSupPr>
                      <m:ctrlPr>
                        <w:rPr>
                          <w:rFonts w:ascii="Cambria Math" w:hAnsi="Cambria Math" w:cs="Arial"/>
                        </w:rPr>
                      </m:ctrlPr>
                    </m:sSupPr>
                    <m:e>
                      <m:r>
                        <w:rPr>
                          <w:rFonts w:ascii="Cambria Math" w:hAnsi="Cambria Math" w:cs="Arial"/>
                        </w:rPr>
                        <m:t>)</m:t>
                      </m:r>
                    </m:e>
                    <m:sup>
                      <m:r>
                        <w:rPr>
                          <w:rFonts w:ascii="Cambria Math" w:hAnsi="Cambria Math" w:cs="Arial"/>
                        </w:rPr>
                        <m:t>3</m:t>
                      </m:r>
                    </m:sup>
                  </m:sSup>
                </m:e>
              </m:d>
            </m:den>
          </m:f>
          <m:r>
            <w:rPr>
              <w:rFonts w:ascii="Cambria Math" w:hAnsi="Cambria Math" w:cs="Arial"/>
            </w:rPr>
            <m:t>+</m:t>
          </m:r>
          <m:f>
            <m:fPr>
              <m:ctrlPr>
                <w:rPr>
                  <w:rFonts w:ascii="Cambria Math" w:hAnsi="Cambria Math" w:cs="Arial"/>
                </w:rPr>
              </m:ctrlPr>
            </m:fPr>
            <m:num>
              <m:r>
                <w:rPr>
                  <w:rFonts w:ascii="Cambria Math" w:hAnsi="Cambria Math" w:cs="Arial"/>
                </w:rPr>
                <m:t>10</m:t>
              </m:r>
            </m:num>
            <m:den>
              <m:d>
                <m:dPr>
                  <m:sepChr m:val="+"/>
                  <m:endChr m:val=""/>
                  <m:ctrlPr>
                    <w:rPr>
                      <w:rFonts w:ascii="Cambria Math" w:hAnsi="Cambria Math" w:cs="Arial"/>
                    </w:rPr>
                  </m:ctrlPr>
                </m:dPr>
                <m:e>
                  <m:r>
                    <w:rPr>
                      <w:rFonts w:ascii="Cambria Math" w:hAnsi="Cambria Math" w:cs="Arial"/>
                    </w:rPr>
                    <m:t>1</m:t>
                  </m:r>
                </m:e>
                <m:e>
                  <m:r>
                    <w:rPr>
                      <w:rFonts w:ascii="Cambria Math" w:hAnsi="Cambria Math" w:cs="Arial"/>
                    </w:rPr>
                    <m:t>0.10</m:t>
                  </m:r>
                  <m:sSup>
                    <m:sSupPr>
                      <m:ctrlPr>
                        <w:rPr>
                          <w:rFonts w:ascii="Cambria Math" w:hAnsi="Cambria Math" w:cs="Arial"/>
                        </w:rPr>
                      </m:ctrlPr>
                    </m:sSupPr>
                    <m:e>
                      <m:r>
                        <w:rPr>
                          <w:rFonts w:ascii="Cambria Math" w:hAnsi="Cambria Math" w:cs="Arial"/>
                        </w:rPr>
                        <m:t>)</m:t>
                      </m:r>
                    </m:e>
                    <m:sup>
                      <m:r>
                        <w:rPr>
                          <w:rFonts w:ascii="Cambria Math" w:hAnsi="Cambria Math" w:cs="Arial"/>
                        </w:rPr>
                        <m:t>4</m:t>
                      </m:r>
                    </m:sup>
                  </m:sSup>
                </m:e>
              </m:d>
            </m:den>
          </m:f>
          <m:r>
            <w:rPr>
              <w:rFonts w:ascii="Cambria Math" w:hAnsi="Cambria Math" w:cs="Arial"/>
            </w:rPr>
            <m:t>+</m:t>
          </m:r>
          <m:f>
            <m:fPr>
              <m:ctrlPr>
                <w:rPr>
                  <w:rFonts w:ascii="Cambria Math" w:hAnsi="Cambria Math" w:cs="Arial"/>
                </w:rPr>
              </m:ctrlPr>
            </m:fPr>
            <m:num>
              <m:r>
                <w:rPr>
                  <w:rFonts w:ascii="Cambria Math" w:hAnsi="Cambria Math" w:cs="Arial"/>
                </w:rPr>
                <m:t>8</m:t>
              </m:r>
            </m:num>
            <m:den>
              <m:d>
                <m:dPr>
                  <m:sepChr m:val="+"/>
                  <m:endChr m:val=""/>
                  <m:ctrlPr>
                    <w:rPr>
                      <w:rFonts w:ascii="Cambria Math" w:hAnsi="Cambria Math" w:cs="Arial"/>
                    </w:rPr>
                  </m:ctrlPr>
                </m:dPr>
                <m:e>
                  <m:r>
                    <w:rPr>
                      <w:rFonts w:ascii="Cambria Math" w:hAnsi="Cambria Math" w:cs="Arial"/>
                    </w:rPr>
                    <m:t>1</m:t>
                  </m:r>
                </m:e>
                <m:e>
                  <m:r>
                    <w:rPr>
                      <w:rFonts w:ascii="Cambria Math" w:hAnsi="Cambria Math" w:cs="Arial"/>
                    </w:rPr>
                    <m:t>0.10</m:t>
                  </m:r>
                  <m:sSup>
                    <m:sSupPr>
                      <m:ctrlPr>
                        <w:rPr>
                          <w:rFonts w:ascii="Cambria Math" w:hAnsi="Cambria Math" w:cs="Arial"/>
                        </w:rPr>
                      </m:ctrlPr>
                    </m:sSupPr>
                    <m:e>
                      <m:r>
                        <w:rPr>
                          <w:rFonts w:ascii="Cambria Math" w:hAnsi="Cambria Math" w:cs="Arial"/>
                        </w:rPr>
                        <m:t>)</m:t>
                      </m:r>
                    </m:e>
                    <m:sup>
                      <m:r>
                        <w:rPr>
                          <w:rFonts w:ascii="Cambria Math" w:hAnsi="Cambria Math" w:cs="Arial"/>
                        </w:rPr>
                        <m:t>5</m:t>
                      </m:r>
                    </m:sup>
                  </m:sSup>
                </m:e>
              </m:d>
            </m:den>
          </m:f>
          <m:r>
            <w:rPr>
              <w:rFonts w:ascii="Cambria Math" w:hAnsi="Cambria Math" w:cs="Arial"/>
            </w:rPr>
            <m:t>-40</m:t>
          </m:r>
          <m:r>
            <m:rPr>
              <m:sty m:val="p"/>
            </m:rPr>
            <w:rPr>
              <w:rFonts w:ascii="Cambria Math" w:hAnsi="Cambria Math" w:cs="Arial"/>
            </w:rPr>
            <w:br/>
          </m:r>
        </m:oMath>
        <m:oMath>
          <m:r>
            <w:rPr>
              <w:rFonts w:ascii="Cambria Math" w:hAnsi="Cambria Math" w:cs="Arial"/>
            </w:rPr>
            <m:t>NPV=9.09+9.92+10.51+6.83+4.96-40=</m:t>
          </m:r>
          <m:r>
            <m:rPr>
              <m:sty m:val="p"/>
            </m:rPr>
            <w:rPr>
              <w:rFonts w:ascii="Cambria Math" w:hAnsi="Cambria Math" w:cs="Arial"/>
            </w:rPr>
            <m:t>£</m:t>
          </m:r>
          <m:r>
            <w:rPr>
              <w:rFonts w:ascii="Cambria Math" w:hAnsi="Cambria Math" w:cs="Arial"/>
            </w:rPr>
            <m:t>1.31m</m:t>
          </m:r>
        </m:oMath>
      </m:oMathPara>
    </w:p>
    <w:p w14:paraId="4A3B4AAD" w14:textId="1E6D1816" w:rsidR="00EF17D7" w:rsidRPr="00A110C5" w:rsidRDefault="00EF17D7" w:rsidP="009606E6">
      <w:pPr>
        <w:spacing w:before="120" w:after="120" w:line="360" w:lineRule="auto"/>
        <w:jc w:val="both"/>
        <w:rPr>
          <w:rFonts w:ascii="Arial" w:hAnsi="Arial" w:cs="Arial"/>
          <w:b/>
          <w:bCs/>
        </w:rPr>
      </w:pPr>
      <w:r w:rsidRPr="00A110C5">
        <w:rPr>
          <w:rFonts w:ascii="Arial" w:hAnsi="Arial" w:cs="Arial"/>
          <w:b/>
          <w:bCs/>
        </w:rPr>
        <w:t>Project B</w:t>
      </w:r>
    </w:p>
    <w:p w14:paraId="5FACA0BE" w14:textId="76561753" w:rsidR="00EF17D7" w:rsidRPr="00A110C5" w:rsidRDefault="00EF17D7" w:rsidP="009606E6">
      <w:pPr>
        <w:spacing w:before="120" w:after="120" w:line="360" w:lineRule="auto"/>
        <w:jc w:val="both"/>
        <w:rPr>
          <w:rFonts w:ascii="Arial" w:hAnsi="Arial" w:cs="Arial"/>
        </w:rPr>
      </w:pPr>
      <m:oMathPara>
        <m:oMath>
          <m:r>
            <w:rPr>
              <w:rFonts w:ascii="Cambria Math" w:hAnsi="Cambria Math" w:cs="Arial"/>
            </w:rPr>
            <m:t>NPV=</m:t>
          </m:r>
          <m:f>
            <m:fPr>
              <m:ctrlPr>
                <w:rPr>
                  <w:rFonts w:ascii="Cambria Math" w:hAnsi="Cambria Math" w:cs="Arial"/>
                </w:rPr>
              </m:ctrlPr>
            </m:fPr>
            <m:num>
              <m:r>
                <w:rPr>
                  <w:rFonts w:ascii="Cambria Math" w:hAnsi="Cambria Math" w:cs="Arial"/>
                </w:rPr>
                <m:t>6</m:t>
              </m:r>
            </m:num>
            <m:den>
              <m:d>
                <m:dPr>
                  <m:sepChr m:val="+"/>
                  <m:endChr m:val=""/>
                  <m:ctrlPr>
                    <w:rPr>
                      <w:rFonts w:ascii="Cambria Math" w:hAnsi="Cambria Math" w:cs="Arial"/>
                    </w:rPr>
                  </m:ctrlPr>
                </m:dPr>
                <m:e>
                  <m:r>
                    <w:rPr>
                      <w:rFonts w:ascii="Cambria Math" w:hAnsi="Cambria Math" w:cs="Arial"/>
                    </w:rPr>
                    <m:t>1</m:t>
                  </m:r>
                </m:e>
                <m:e>
                  <m:r>
                    <w:rPr>
                      <w:rFonts w:ascii="Cambria Math" w:hAnsi="Cambria Math" w:cs="Arial"/>
                    </w:rPr>
                    <m:t>0.10</m:t>
                  </m:r>
                  <m:sSup>
                    <m:sSupPr>
                      <m:ctrlPr>
                        <w:rPr>
                          <w:rFonts w:ascii="Cambria Math" w:hAnsi="Cambria Math" w:cs="Arial"/>
                        </w:rPr>
                      </m:ctrlPr>
                    </m:sSupPr>
                    <m:e>
                      <m:r>
                        <w:rPr>
                          <w:rFonts w:ascii="Cambria Math" w:hAnsi="Cambria Math" w:cs="Arial"/>
                        </w:rPr>
                        <m:t>)</m:t>
                      </m:r>
                    </m:e>
                    <m:sup>
                      <m:r>
                        <w:rPr>
                          <w:rFonts w:ascii="Cambria Math" w:hAnsi="Cambria Math" w:cs="Arial"/>
                        </w:rPr>
                        <m:t>1</m:t>
                      </m:r>
                    </m:sup>
                  </m:sSup>
                </m:e>
              </m:d>
            </m:den>
          </m:f>
          <m:r>
            <w:rPr>
              <w:rFonts w:ascii="Cambria Math" w:hAnsi="Cambria Math" w:cs="Arial"/>
            </w:rPr>
            <m:t>+</m:t>
          </m:r>
          <m:f>
            <m:fPr>
              <m:ctrlPr>
                <w:rPr>
                  <w:rFonts w:ascii="Cambria Math" w:hAnsi="Cambria Math" w:cs="Arial"/>
                </w:rPr>
              </m:ctrlPr>
            </m:fPr>
            <m:num>
              <m:r>
                <w:rPr>
                  <w:rFonts w:ascii="Cambria Math" w:hAnsi="Cambria Math" w:cs="Arial"/>
                </w:rPr>
                <m:t>6</m:t>
              </m:r>
            </m:num>
            <m:den>
              <m:d>
                <m:dPr>
                  <m:sepChr m:val="+"/>
                  <m:endChr m:val=""/>
                  <m:ctrlPr>
                    <w:rPr>
                      <w:rFonts w:ascii="Cambria Math" w:hAnsi="Cambria Math" w:cs="Arial"/>
                    </w:rPr>
                  </m:ctrlPr>
                </m:dPr>
                <m:e>
                  <m:r>
                    <w:rPr>
                      <w:rFonts w:ascii="Cambria Math" w:hAnsi="Cambria Math" w:cs="Arial"/>
                    </w:rPr>
                    <m:t>1</m:t>
                  </m:r>
                </m:e>
                <m:e>
                  <m:r>
                    <w:rPr>
                      <w:rFonts w:ascii="Cambria Math" w:hAnsi="Cambria Math" w:cs="Arial"/>
                    </w:rPr>
                    <m:t>0.10</m:t>
                  </m:r>
                  <m:sSup>
                    <m:sSupPr>
                      <m:ctrlPr>
                        <w:rPr>
                          <w:rFonts w:ascii="Cambria Math" w:hAnsi="Cambria Math" w:cs="Arial"/>
                        </w:rPr>
                      </m:ctrlPr>
                    </m:sSupPr>
                    <m:e>
                      <m:r>
                        <w:rPr>
                          <w:rFonts w:ascii="Cambria Math" w:hAnsi="Cambria Math" w:cs="Arial"/>
                        </w:rPr>
                        <m:t>)</m:t>
                      </m:r>
                    </m:e>
                    <m:sup>
                      <m:r>
                        <w:rPr>
                          <w:rFonts w:ascii="Cambria Math" w:hAnsi="Cambria Math" w:cs="Arial"/>
                        </w:rPr>
                        <m:t>2</m:t>
                      </m:r>
                    </m:sup>
                  </m:sSup>
                </m:e>
              </m:d>
            </m:den>
          </m:f>
          <m:r>
            <w:rPr>
              <w:rFonts w:ascii="Cambria Math" w:hAnsi="Cambria Math" w:cs="Arial"/>
            </w:rPr>
            <m:t>+</m:t>
          </m:r>
          <m:f>
            <m:fPr>
              <m:ctrlPr>
                <w:rPr>
                  <w:rFonts w:ascii="Cambria Math" w:hAnsi="Cambria Math" w:cs="Arial"/>
                </w:rPr>
              </m:ctrlPr>
            </m:fPr>
            <m:num>
              <m:r>
                <w:rPr>
                  <w:rFonts w:ascii="Cambria Math" w:hAnsi="Cambria Math" w:cs="Arial"/>
                </w:rPr>
                <m:t>6</m:t>
              </m:r>
            </m:num>
            <m:den>
              <m:d>
                <m:dPr>
                  <m:sepChr m:val="+"/>
                  <m:endChr m:val=""/>
                  <m:ctrlPr>
                    <w:rPr>
                      <w:rFonts w:ascii="Cambria Math" w:hAnsi="Cambria Math" w:cs="Arial"/>
                    </w:rPr>
                  </m:ctrlPr>
                </m:dPr>
                <m:e>
                  <m:r>
                    <w:rPr>
                      <w:rFonts w:ascii="Cambria Math" w:hAnsi="Cambria Math" w:cs="Arial"/>
                    </w:rPr>
                    <m:t>1</m:t>
                  </m:r>
                </m:e>
                <m:e>
                  <m:r>
                    <w:rPr>
                      <w:rFonts w:ascii="Cambria Math" w:hAnsi="Cambria Math" w:cs="Arial"/>
                    </w:rPr>
                    <m:t>0.10</m:t>
                  </m:r>
                  <m:sSup>
                    <m:sSupPr>
                      <m:ctrlPr>
                        <w:rPr>
                          <w:rFonts w:ascii="Cambria Math" w:hAnsi="Cambria Math" w:cs="Arial"/>
                        </w:rPr>
                      </m:ctrlPr>
                    </m:sSupPr>
                    <m:e>
                      <m:r>
                        <w:rPr>
                          <w:rFonts w:ascii="Cambria Math" w:hAnsi="Cambria Math" w:cs="Arial"/>
                        </w:rPr>
                        <m:t>)</m:t>
                      </m:r>
                    </m:e>
                    <m:sup>
                      <m:r>
                        <w:rPr>
                          <w:rFonts w:ascii="Cambria Math" w:hAnsi="Cambria Math" w:cs="Arial"/>
                        </w:rPr>
                        <m:t>3</m:t>
                      </m:r>
                    </m:sup>
                  </m:sSup>
                </m:e>
              </m:d>
            </m:den>
          </m:f>
          <m:r>
            <w:rPr>
              <w:rFonts w:ascii="Cambria Math" w:hAnsi="Cambria Math" w:cs="Arial"/>
            </w:rPr>
            <m:t>+</m:t>
          </m:r>
          <m:f>
            <m:fPr>
              <m:ctrlPr>
                <w:rPr>
                  <w:rFonts w:ascii="Cambria Math" w:hAnsi="Cambria Math" w:cs="Arial"/>
                </w:rPr>
              </m:ctrlPr>
            </m:fPr>
            <m:num>
              <m:r>
                <w:rPr>
                  <w:rFonts w:ascii="Cambria Math" w:hAnsi="Cambria Math" w:cs="Arial"/>
                </w:rPr>
                <m:t>6</m:t>
              </m:r>
            </m:num>
            <m:den>
              <m:d>
                <m:dPr>
                  <m:sepChr m:val="+"/>
                  <m:endChr m:val=""/>
                  <m:ctrlPr>
                    <w:rPr>
                      <w:rFonts w:ascii="Cambria Math" w:hAnsi="Cambria Math" w:cs="Arial"/>
                    </w:rPr>
                  </m:ctrlPr>
                </m:dPr>
                <m:e>
                  <m:r>
                    <w:rPr>
                      <w:rFonts w:ascii="Cambria Math" w:hAnsi="Cambria Math" w:cs="Arial"/>
                    </w:rPr>
                    <m:t>1</m:t>
                  </m:r>
                </m:e>
                <m:e>
                  <m:r>
                    <w:rPr>
                      <w:rFonts w:ascii="Cambria Math" w:hAnsi="Cambria Math" w:cs="Arial"/>
                    </w:rPr>
                    <m:t>0.10</m:t>
                  </m:r>
                  <m:sSup>
                    <m:sSupPr>
                      <m:ctrlPr>
                        <w:rPr>
                          <w:rFonts w:ascii="Cambria Math" w:hAnsi="Cambria Math" w:cs="Arial"/>
                        </w:rPr>
                      </m:ctrlPr>
                    </m:sSupPr>
                    <m:e>
                      <m:r>
                        <w:rPr>
                          <w:rFonts w:ascii="Cambria Math" w:hAnsi="Cambria Math" w:cs="Arial"/>
                        </w:rPr>
                        <m:t>)</m:t>
                      </m:r>
                    </m:e>
                    <m:sup>
                      <m:r>
                        <w:rPr>
                          <w:rFonts w:ascii="Cambria Math" w:hAnsi="Cambria Math" w:cs="Arial"/>
                        </w:rPr>
                        <m:t>4</m:t>
                      </m:r>
                    </m:sup>
                  </m:sSup>
                </m:e>
              </m:d>
            </m:den>
          </m:f>
          <m:r>
            <w:rPr>
              <w:rFonts w:ascii="Cambria Math" w:hAnsi="Cambria Math" w:cs="Arial"/>
            </w:rPr>
            <m:t>+</m:t>
          </m:r>
          <m:f>
            <m:fPr>
              <m:ctrlPr>
                <w:rPr>
                  <w:rFonts w:ascii="Cambria Math" w:hAnsi="Cambria Math" w:cs="Arial"/>
                </w:rPr>
              </m:ctrlPr>
            </m:fPr>
            <m:num>
              <m:r>
                <w:rPr>
                  <w:rFonts w:ascii="Cambria Math" w:hAnsi="Cambria Math" w:cs="Arial"/>
                </w:rPr>
                <m:t>6</m:t>
              </m:r>
            </m:num>
            <m:den>
              <m:d>
                <m:dPr>
                  <m:sepChr m:val="+"/>
                  <m:endChr m:val=""/>
                  <m:ctrlPr>
                    <w:rPr>
                      <w:rFonts w:ascii="Cambria Math" w:hAnsi="Cambria Math" w:cs="Arial"/>
                    </w:rPr>
                  </m:ctrlPr>
                </m:dPr>
                <m:e>
                  <m:r>
                    <w:rPr>
                      <w:rFonts w:ascii="Cambria Math" w:hAnsi="Cambria Math" w:cs="Arial"/>
                    </w:rPr>
                    <m:t>1</m:t>
                  </m:r>
                </m:e>
                <m:e>
                  <m:r>
                    <w:rPr>
                      <w:rFonts w:ascii="Cambria Math" w:hAnsi="Cambria Math" w:cs="Arial"/>
                    </w:rPr>
                    <m:t>0.10</m:t>
                  </m:r>
                  <m:sSup>
                    <m:sSupPr>
                      <m:ctrlPr>
                        <w:rPr>
                          <w:rFonts w:ascii="Cambria Math" w:hAnsi="Cambria Math" w:cs="Arial"/>
                        </w:rPr>
                      </m:ctrlPr>
                    </m:sSupPr>
                    <m:e>
                      <m:r>
                        <w:rPr>
                          <w:rFonts w:ascii="Cambria Math" w:hAnsi="Cambria Math" w:cs="Arial"/>
                        </w:rPr>
                        <m:t>)</m:t>
                      </m:r>
                    </m:e>
                    <m:sup>
                      <m:r>
                        <w:rPr>
                          <w:rFonts w:ascii="Cambria Math" w:hAnsi="Cambria Math" w:cs="Arial"/>
                        </w:rPr>
                        <m:t>5</m:t>
                      </m:r>
                    </m:sup>
                  </m:sSup>
                </m:e>
              </m:d>
            </m:den>
          </m:f>
          <m:r>
            <w:rPr>
              <w:rFonts w:ascii="Cambria Math" w:hAnsi="Cambria Math" w:cs="Arial"/>
            </w:rPr>
            <m:t>-30</m:t>
          </m:r>
          <m:r>
            <m:rPr>
              <m:sty m:val="p"/>
            </m:rPr>
            <w:rPr>
              <w:rFonts w:ascii="Cambria Math" w:hAnsi="Cambria Math" w:cs="Arial"/>
            </w:rPr>
            <w:br/>
          </m:r>
        </m:oMath>
        <m:oMath>
          <m:r>
            <w:rPr>
              <w:rFonts w:ascii="Cambria Math" w:hAnsi="Cambria Math" w:cs="Arial"/>
            </w:rPr>
            <m:t>NPV=5.45+4.95+4.50+4.09+3.72-30=</m:t>
          </m:r>
          <m:r>
            <m:rPr>
              <m:sty m:val="p"/>
            </m:rPr>
            <w:rPr>
              <w:rFonts w:ascii="Cambria Math" w:hAnsi="Cambria Math" w:cs="Arial"/>
            </w:rPr>
            <m:t>£</m:t>
          </m:r>
          <m:r>
            <w:rPr>
              <w:rFonts w:ascii="Cambria Math" w:hAnsi="Cambria Math" w:cs="Arial"/>
            </w:rPr>
            <m:t>-7.29m</m:t>
          </m:r>
        </m:oMath>
      </m:oMathPara>
    </w:p>
    <w:p w14:paraId="7C9F8751" w14:textId="5A324353" w:rsidR="00EF17D7" w:rsidRPr="00A110C5" w:rsidRDefault="00EF17D7" w:rsidP="009606E6">
      <w:pPr>
        <w:spacing w:before="120" w:after="120" w:line="360" w:lineRule="auto"/>
        <w:jc w:val="both"/>
        <w:rPr>
          <w:rFonts w:ascii="Arial" w:hAnsi="Arial" w:cs="Arial"/>
          <w:b/>
          <w:bCs/>
        </w:rPr>
      </w:pPr>
      <w:r w:rsidRPr="00A110C5">
        <w:rPr>
          <w:rFonts w:ascii="Arial" w:hAnsi="Arial" w:cs="Arial"/>
          <w:b/>
          <w:bCs/>
        </w:rPr>
        <w:t>Project C</w:t>
      </w:r>
    </w:p>
    <w:p w14:paraId="03CCD1A0" w14:textId="554DA350" w:rsidR="00EF17D7" w:rsidRPr="00A110C5" w:rsidRDefault="00EF17D7" w:rsidP="009606E6">
      <w:pPr>
        <w:spacing w:before="120" w:after="120" w:line="360" w:lineRule="auto"/>
        <w:jc w:val="both"/>
        <w:rPr>
          <w:rFonts w:ascii="Arial" w:hAnsi="Arial" w:cs="Arial"/>
        </w:rPr>
      </w:pPr>
      <m:oMathPara>
        <m:oMath>
          <m:r>
            <w:rPr>
              <w:rFonts w:ascii="Cambria Math" w:hAnsi="Cambria Math" w:cs="Arial"/>
            </w:rPr>
            <m:t>NPV=</m:t>
          </m:r>
          <m:f>
            <m:fPr>
              <m:ctrlPr>
                <w:rPr>
                  <w:rFonts w:ascii="Cambria Math" w:hAnsi="Cambria Math" w:cs="Arial"/>
                </w:rPr>
              </m:ctrlPr>
            </m:fPr>
            <m:num>
              <m:r>
                <w:rPr>
                  <w:rFonts w:ascii="Cambria Math" w:hAnsi="Cambria Math" w:cs="Arial"/>
                </w:rPr>
                <m:t>5</m:t>
              </m:r>
            </m:num>
            <m:den>
              <m:d>
                <m:dPr>
                  <m:sepChr m:val="+"/>
                  <m:endChr m:val=""/>
                  <m:ctrlPr>
                    <w:rPr>
                      <w:rFonts w:ascii="Cambria Math" w:hAnsi="Cambria Math" w:cs="Arial"/>
                    </w:rPr>
                  </m:ctrlPr>
                </m:dPr>
                <m:e>
                  <m:r>
                    <w:rPr>
                      <w:rFonts w:ascii="Cambria Math" w:hAnsi="Cambria Math" w:cs="Arial"/>
                    </w:rPr>
                    <m:t>1</m:t>
                  </m:r>
                </m:e>
                <m:e>
                  <m:r>
                    <w:rPr>
                      <w:rFonts w:ascii="Cambria Math" w:hAnsi="Cambria Math" w:cs="Arial"/>
                    </w:rPr>
                    <m:t>0.10</m:t>
                  </m:r>
                  <m:sSup>
                    <m:sSupPr>
                      <m:ctrlPr>
                        <w:rPr>
                          <w:rFonts w:ascii="Cambria Math" w:hAnsi="Cambria Math" w:cs="Arial"/>
                        </w:rPr>
                      </m:ctrlPr>
                    </m:sSupPr>
                    <m:e>
                      <m:r>
                        <w:rPr>
                          <w:rFonts w:ascii="Cambria Math" w:hAnsi="Cambria Math" w:cs="Arial"/>
                        </w:rPr>
                        <m:t>)</m:t>
                      </m:r>
                    </m:e>
                    <m:sup>
                      <m:r>
                        <w:rPr>
                          <w:rFonts w:ascii="Cambria Math" w:hAnsi="Cambria Math" w:cs="Arial"/>
                        </w:rPr>
                        <m:t>1</m:t>
                      </m:r>
                    </m:sup>
                  </m:sSup>
                </m:e>
              </m:d>
            </m:den>
          </m:f>
          <m:r>
            <w:rPr>
              <w:rFonts w:ascii="Cambria Math" w:hAnsi="Cambria Math" w:cs="Arial"/>
            </w:rPr>
            <m:t>+</m:t>
          </m:r>
          <m:f>
            <m:fPr>
              <m:ctrlPr>
                <w:rPr>
                  <w:rFonts w:ascii="Cambria Math" w:hAnsi="Cambria Math" w:cs="Arial"/>
                </w:rPr>
              </m:ctrlPr>
            </m:fPr>
            <m:num>
              <m:r>
                <w:rPr>
                  <w:rFonts w:ascii="Cambria Math" w:hAnsi="Cambria Math" w:cs="Arial"/>
                </w:rPr>
                <m:t>10</m:t>
              </m:r>
            </m:num>
            <m:den>
              <m:d>
                <m:dPr>
                  <m:sepChr m:val="+"/>
                  <m:endChr m:val=""/>
                  <m:ctrlPr>
                    <w:rPr>
                      <w:rFonts w:ascii="Cambria Math" w:hAnsi="Cambria Math" w:cs="Arial"/>
                    </w:rPr>
                  </m:ctrlPr>
                </m:dPr>
                <m:e>
                  <m:r>
                    <w:rPr>
                      <w:rFonts w:ascii="Cambria Math" w:hAnsi="Cambria Math" w:cs="Arial"/>
                    </w:rPr>
                    <m:t>1</m:t>
                  </m:r>
                </m:e>
                <m:e>
                  <m:r>
                    <w:rPr>
                      <w:rFonts w:ascii="Cambria Math" w:hAnsi="Cambria Math" w:cs="Arial"/>
                    </w:rPr>
                    <m:t>0.10</m:t>
                  </m:r>
                  <m:sSup>
                    <m:sSupPr>
                      <m:ctrlPr>
                        <w:rPr>
                          <w:rFonts w:ascii="Cambria Math" w:hAnsi="Cambria Math" w:cs="Arial"/>
                        </w:rPr>
                      </m:ctrlPr>
                    </m:sSupPr>
                    <m:e>
                      <m:r>
                        <w:rPr>
                          <w:rFonts w:ascii="Cambria Math" w:hAnsi="Cambria Math" w:cs="Arial"/>
                        </w:rPr>
                        <m:t>)</m:t>
                      </m:r>
                    </m:e>
                    <m:sup>
                      <m:r>
                        <w:rPr>
                          <w:rFonts w:ascii="Cambria Math" w:hAnsi="Cambria Math" w:cs="Arial"/>
                        </w:rPr>
                        <m:t>2</m:t>
                      </m:r>
                    </m:sup>
                  </m:sSup>
                </m:e>
              </m:d>
            </m:den>
          </m:f>
          <m:r>
            <w:rPr>
              <w:rFonts w:ascii="Cambria Math" w:hAnsi="Cambria Math" w:cs="Arial"/>
            </w:rPr>
            <m:t>+</m:t>
          </m:r>
          <m:f>
            <m:fPr>
              <m:ctrlPr>
                <w:rPr>
                  <w:rFonts w:ascii="Cambria Math" w:hAnsi="Cambria Math" w:cs="Arial"/>
                </w:rPr>
              </m:ctrlPr>
            </m:fPr>
            <m:num>
              <m:r>
                <w:rPr>
                  <w:rFonts w:ascii="Cambria Math" w:hAnsi="Cambria Math" w:cs="Arial"/>
                </w:rPr>
                <m:t>20</m:t>
              </m:r>
            </m:num>
            <m:den>
              <m:d>
                <m:dPr>
                  <m:sepChr m:val="+"/>
                  <m:endChr m:val=""/>
                  <m:ctrlPr>
                    <w:rPr>
                      <w:rFonts w:ascii="Cambria Math" w:hAnsi="Cambria Math" w:cs="Arial"/>
                    </w:rPr>
                  </m:ctrlPr>
                </m:dPr>
                <m:e>
                  <m:r>
                    <w:rPr>
                      <w:rFonts w:ascii="Cambria Math" w:hAnsi="Cambria Math" w:cs="Arial"/>
                    </w:rPr>
                    <m:t>1</m:t>
                  </m:r>
                </m:e>
                <m:e>
                  <m:r>
                    <w:rPr>
                      <w:rFonts w:ascii="Cambria Math" w:hAnsi="Cambria Math" w:cs="Arial"/>
                    </w:rPr>
                    <m:t>0.10</m:t>
                  </m:r>
                  <m:sSup>
                    <m:sSupPr>
                      <m:ctrlPr>
                        <w:rPr>
                          <w:rFonts w:ascii="Cambria Math" w:hAnsi="Cambria Math" w:cs="Arial"/>
                        </w:rPr>
                      </m:ctrlPr>
                    </m:sSupPr>
                    <m:e>
                      <m:r>
                        <w:rPr>
                          <w:rFonts w:ascii="Cambria Math" w:hAnsi="Cambria Math" w:cs="Arial"/>
                        </w:rPr>
                        <m:t>)</m:t>
                      </m:r>
                    </m:e>
                    <m:sup>
                      <m:r>
                        <w:rPr>
                          <w:rFonts w:ascii="Cambria Math" w:hAnsi="Cambria Math" w:cs="Arial"/>
                        </w:rPr>
                        <m:t>3</m:t>
                      </m:r>
                    </m:sup>
                  </m:sSup>
                </m:e>
              </m:d>
            </m:den>
          </m:f>
          <m:r>
            <w:rPr>
              <w:rFonts w:ascii="Cambria Math" w:hAnsi="Cambria Math" w:cs="Arial"/>
            </w:rPr>
            <m:t>+</m:t>
          </m:r>
          <m:f>
            <m:fPr>
              <m:ctrlPr>
                <w:rPr>
                  <w:rFonts w:ascii="Cambria Math" w:hAnsi="Cambria Math" w:cs="Arial"/>
                </w:rPr>
              </m:ctrlPr>
            </m:fPr>
            <m:num>
              <m:r>
                <w:rPr>
                  <w:rFonts w:ascii="Cambria Math" w:hAnsi="Cambria Math" w:cs="Arial"/>
                </w:rPr>
                <m:t>25</m:t>
              </m:r>
            </m:num>
            <m:den>
              <m:d>
                <m:dPr>
                  <m:sepChr m:val="+"/>
                  <m:endChr m:val=""/>
                  <m:ctrlPr>
                    <w:rPr>
                      <w:rFonts w:ascii="Cambria Math" w:hAnsi="Cambria Math" w:cs="Arial"/>
                    </w:rPr>
                  </m:ctrlPr>
                </m:dPr>
                <m:e>
                  <m:r>
                    <w:rPr>
                      <w:rFonts w:ascii="Cambria Math" w:hAnsi="Cambria Math" w:cs="Arial"/>
                    </w:rPr>
                    <m:t>1</m:t>
                  </m:r>
                </m:e>
                <m:e>
                  <m:r>
                    <w:rPr>
                      <w:rFonts w:ascii="Cambria Math" w:hAnsi="Cambria Math" w:cs="Arial"/>
                    </w:rPr>
                    <m:t>0.10</m:t>
                  </m:r>
                  <m:sSup>
                    <m:sSupPr>
                      <m:ctrlPr>
                        <w:rPr>
                          <w:rFonts w:ascii="Cambria Math" w:hAnsi="Cambria Math" w:cs="Arial"/>
                        </w:rPr>
                      </m:ctrlPr>
                    </m:sSupPr>
                    <m:e>
                      <m:r>
                        <w:rPr>
                          <w:rFonts w:ascii="Cambria Math" w:hAnsi="Cambria Math" w:cs="Arial"/>
                        </w:rPr>
                        <m:t>)</m:t>
                      </m:r>
                    </m:e>
                    <m:sup>
                      <m:r>
                        <w:rPr>
                          <w:rFonts w:ascii="Cambria Math" w:hAnsi="Cambria Math" w:cs="Arial"/>
                        </w:rPr>
                        <m:t>4</m:t>
                      </m:r>
                    </m:sup>
                  </m:sSup>
                </m:e>
              </m:d>
            </m:den>
          </m:f>
          <m:r>
            <w:rPr>
              <w:rFonts w:ascii="Cambria Math" w:hAnsi="Cambria Math" w:cs="Arial"/>
            </w:rPr>
            <m:t>+</m:t>
          </m:r>
          <m:f>
            <m:fPr>
              <m:ctrlPr>
                <w:rPr>
                  <w:rFonts w:ascii="Cambria Math" w:hAnsi="Cambria Math" w:cs="Arial"/>
                </w:rPr>
              </m:ctrlPr>
            </m:fPr>
            <m:num>
              <m:r>
                <w:rPr>
                  <w:rFonts w:ascii="Cambria Math" w:hAnsi="Cambria Math" w:cs="Arial"/>
                </w:rPr>
                <m:t>15</m:t>
              </m:r>
            </m:num>
            <m:den>
              <m:d>
                <m:dPr>
                  <m:sepChr m:val="+"/>
                  <m:endChr m:val=""/>
                  <m:ctrlPr>
                    <w:rPr>
                      <w:rFonts w:ascii="Cambria Math" w:hAnsi="Cambria Math" w:cs="Arial"/>
                    </w:rPr>
                  </m:ctrlPr>
                </m:dPr>
                <m:e>
                  <m:r>
                    <w:rPr>
                      <w:rFonts w:ascii="Cambria Math" w:hAnsi="Cambria Math" w:cs="Arial"/>
                    </w:rPr>
                    <m:t>1</m:t>
                  </m:r>
                </m:e>
                <m:e>
                  <m:r>
                    <w:rPr>
                      <w:rFonts w:ascii="Cambria Math" w:hAnsi="Cambria Math" w:cs="Arial"/>
                    </w:rPr>
                    <m:t>0.10</m:t>
                  </m:r>
                  <m:sSup>
                    <m:sSupPr>
                      <m:ctrlPr>
                        <w:rPr>
                          <w:rFonts w:ascii="Cambria Math" w:hAnsi="Cambria Math" w:cs="Arial"/>
                        </w:rPr>
                      </m:ctrlPr>
                    </m:sSupPr>
                    <m:e>
                      <m:r>
                        <w:rPr>
                          <w:rFonts w:ascii="Cambria Math" w:hAnsi="Cambria Math" w:cs="Arial"/>
                        </w:rPr>
                        <m:t>)</m:t>
                      </m:r>
                    </m:e>
                    <m:sup>
                      <m:r>
                        <w:rPr>
                          <w:rFonts w:ascii="Cambria Math" w:hAnsi="Cambria Math" w:cs="Arial"/>
                        </w:rPr>
                        <m:t>5</m:t>
                      </m:r>
                    </m:sup>
                  </m:sSup>
                </m:e>
              </m:d>
            </m:den>
          </m:f>
          <m:r>
            <w:rPr>
              <w:rFonts w:ascii="Cambria Math" w:hAnsi="Cambria Math" w:cs="Arial"/>
            </w:rPr>
            <m:t>-50</m:t>
          </m:r>
          <m:r>
            <m:rPr>
              <m:sty m:val="p"/>
            </m:rPr>
            <w:rPr>
              <w:rFonts w:ascii="Cambria Math" w:hAnsi="Cambria Math" w:cs="Arial"/>
            </w:rPr>
            <w:br/>
          </m:r>
        </m:oMath>
        <m:oMath>
          <m:r>
            <w:rPr>
              <w:rFonts w:ascii="Cambria Math" w:hAnsi="Cambria Math" w:cs="Arial"/>
            </w:rPr>
            <m:t>NPV=4.55+8.26+15.03+17.07+9.32-50=</m:t>
          </m:r>
          <m:r>
            <m:rPr>
              <m:sty m:val="p"/>
            </m:rPr>
            <w:rPr>
              <w:rFonts w:ascii="Cambria Math" w:hAnsi="Cambria Math" w:cs="Arial"/>
            </w:rPr>
            <m:t>£</m:t>
          </m:r>
          <m:r>
            <w:rPr>
              <w:rFonts w:ascii="Cambria Math" w:hAnsi="Cambria Math" w:cs="Arial"/>
            </w:rPr>
            <m:t>4.23m</m:t>
          </m:r>
        </m:oMath>
      </m:oMathPara>
    </w:p>
    <w:p w14:paraId="63928924" w14:textId="35591CD5" w:rsidR="00EF17D7" w:rsidRPr="00A110C5" w:rsidRDefault="007F59A4" w:rsidP="009A13E4">
      <w:pPr>
        <w:pStyle w:val="Heading3"/>
        <w:rPr>
          <w:rFonts w:cs="Arial"/>
        </w:rPr>
      </w:pPr>
      <w:bookmarkStart w:id="51" w:name="_Toc217080788"/>
      <w:r w:rsidRPr="00A110C5">
        <w:rPr>
          <w:rFonts w:cs="Arial"/>
        </w:rPr>
        <w:t xml:space="preserve">5.1.4 </w:t>
      </w:r>
      <w:r w:rsidR="00EF17D7" w:rsidRPr="00A110C5">
        <w:rPr>
          <w:rFonts w:cs="Arial"/>
        </w:rPr>
        <w:t>Profitability Index (PI)</w:t>
      </w:r>
      <w:bookmarkEnd w:id="51"/>
    </w:p>
    <w:p w14:paraId="07A415C1" w14:textId="44F1D70E" w:rsidR="00EF17D7" w:rsidRPr="00A110C5" w:rsidRDefault="004525EC" w:rsidP="009606E6">
      <w:pPr>
        <w:spacing w:before="120" w:after="120" w:line="360" w:lineRule="auto"/>
        <w:jc w:val="both"/>
        <w:rPr>
          <w:rFonts w:ascii="Arial" w:hAnsi="Arial" w:cs="Arial"/>
        </w:rPr>
      </w:pPr>
      <w:r w:rsidRPr="004525EC">
        <w:rPr>
          <w:rFonts w:ascii="Arial" w:hAnsi="Arial" w:cs="Arial"/>
        </w:rPr>
        <w:t>PI is computed by division of the present value of cash inflows in the future by the original investment.</w:t>
      </w:r>
    </w:p>
    <w:p w14:paraId="3CE34144" w14:textId="1E7F1DF0" w:rsidR="00EF17D7" w:rsidRPr="00A110C5" w:rsidRDefault="00EF17D7" w:rsidP="009606E6">
      <w:pPr>
        <w:spacing w:before="120" w:after="120" w:line="360" w:lineRule="auto"/>
        <w:jc w:val="both"/>
        <w:rPr>
          <w:rFonts w:ascii="Arial" w:hAnsi="Arial" w:cs="Arial"/>
          <w:b/>
          <w:bCs/>
        </w:rPr>
      </w:pPr>
      <w:r w:rsidRPr="00A110C5">
        <w:rPr>
          <w:rFonts w:ascii="Arial" w:hAnsi="Arial" w:cs="Arial"/>
          <w:b/>
          <w:bCs/>
        </w:rPr>
        <w:t>Project A</w:t>
      </w:r>
    </w:p>
    <w:p w14:paraId="754B915C" w14:textId="260F86D9" w:rsidR="00EF17D7" w:rsidRPr="00A110C5" w:rsidRDefault="00EF17D7" w:rsidP="009606E6">
      <w:pPr>
        <w:spacing w:before="120" w:after="120" w:line="360" w:lineRule="auto"/>
        <w:jc w:val="both"/>
        <w:rPr>
          <w:rFonts w:ascii="Arial" w:hAnsi="Arial" w:cs="Arial"/>
        </w:rPr>
      </w:pPr>
      <m:oMathPara>
        <m:oMath>
          <m:r>
            <w:rPr>
              <w:rFonts w:ascii="Cambria Math" w:hAnsi="Cambria Math" w:cs="Arial"/>
            </w:rPr>
            <m:t>PI=</m:t>
          </m:r>
          <m:f>
            <m:fPr>
              <m:ctrlPr>
                <w:rPr>
                  <w:rFonts w:ascii="Cambria Math" w:hAnsi="Cambria Math" w:cs="Arial"/>
                </w:rPr>
              </m:ctrlPr>
            </m:fPr>
            <m:num>
              <m:r>
                <w:rPr>
                  <w:rFonts w:ascii="Cambria Math" w:hAnsi="Cambria Math" w:cs="Arial"/>
                </w:rPr>
                <m:t>NPV+</m:t>
              </m:r>
              <m:r>
                <m:rPr>
                  <m:nor/>
                </m:rPr>
                <w:rPr>
                  <w:rFonts w:ascii="Arial" w:hAnsi="Arial" w:cs="Arial"/>
                </w:rPr>
                <m:t>Initial Investment</m:t>
              </m:r>
            </m:num>
            <m:den>
              <m:r>
                <m:rPr>
                  <m:nor/>
                </m:rPr>
                <w:rPr>
                  <w:rFonts w:ascii="Arial" w:hAnsi="Arial" w:cs="Arial"/>
                </w:rPr>
                <m:t>Initial Investment</m:t>
              </m:r>
            </m:den>
          </m:f>
          <m:r>
            <w:rPr>
              <w:rFonts w:ascii="Cambria Math" w:hAnsi="Cambria Math" w:cs="Arial"/>
            </w:rPr>
            <m:t>=</m:t>
          </m:r>
          <m:f>
            <m:fPr>
              <m:ctrlPr>
                <w:rPr>
                  <w:rFonts w:ascii="Cambria Math" w:hAnsi="Cambria Math" w:cs="Arial"/>
                </w:rPr>
              </m:ctrlPr>
            </m:fPr>
            <m:num>
              <m:r>
                <w:rPr>
                  <w:rFonts w:ascii="Cambria Math" w:hAnsi="Cambria Math" w:cs="Arial"/>
                </w:rPr>
                <m:t>1.31+40</m:t>
              </m:r>
            </m:num>
            <m:den>
              <m:r>
                <w:rPr>
                  <w:rFonts w:ascii="Cambria Math" w:hAnsi="Cambria Math" w:cs="Arial"/>
                </w:rPr>
                <m:t>40</m:t>
              </m:r>
            </m:den>
          </m:f>
          <m:r>
            <w:rPr>
              <w:rFonts w:ascii="Cambria Math" w:hAnsi="Cambria Math" w:cs="Arial"/>
            </w:rPr>
            <m:t>=1.033</m:t>
          </m:r>
        </m:oMath>
      </m:oMathPara>
    </w:p>
    <w:p w14:paraId="6F147772" w14:textId="0DAC4CEB" w:rsidR="00EF17D7" w:rsidRPr="00A110C5" w:rsidRDefault="00EF17D7" w:rsidP="009606E6">
      <w:pPr>
        <w:spacing w:before="120" w:after="120" w:line="360" w:lineRule="auto"/>
        <w:jc w:val="both"/>
        <w:rPr>
          <w:rFonts w:ascii="Arial" w:hAnsi="Arial" w:cs="Arial"/>
          <w:b/>
          <w:bCs/>
        </w:rPr>
      </w:pPr>
      <w:r w:rsidRPr="00A110C5">
        <w:rPr>
          <w:rFonts w:ascii="Arial" w:hAnsi="Arial" w:cs="Arial"/>
          <w:b/>
          <w:bCs/>
        </w:rPr>
        <w:t>Project B</w:t>
      </w:r>
    </w:p>
    <w:p w14:paraId="7F374885" w14:textId="3CB50481" w:rsidR="00EF17D7" w:rsidRPr="00A110C5" w:rsidRDefault="00EF17D7" w:rsidP="009606E6">
      <w:pPr>
        <w:spacing w:before="120" w:after="120" w:line="360" w:lineRule="auto"/>
        <w:jc w:val="both"/>
        <w:rPr>
          <w:rFonts w:ascii="Arial" w:hAnsi="Arial" w:cs="Arial"/>
        </w:rPr>
      </w:pPr>
      <m:oMathPara>
        <m:oMath>
          <m:r>
            <w:rPr>
              <w:rFonts w:ascii="Cambria Math" w:hAnsi="Cambria Math" w:cs="Arial"/>
            </w:rPr>
            <m:t>PI=</m:t>
          </m:r>
          <m:f>
            <m:fPr>
              <m:ctrlPr>
                <w:rPr>
                  <w:rFonts w:ascii="Cambria Math" w:hAnsi="Cambria Math" w:cs="Arial"/>
                </w:rPr>
              </m:ctrlPr>
            </m:fPr>
            <m:num>
              <m:r>
                <w:rPr>
                  <w:rFonts w:ascii="Cambria Math" w:hAnsi="Cambria Math" w:cs="Arial"/>
                </w:rPr>
                <m:t>NPV+</m:t>
              </m:r>
              <m:r>
                <m:rPr>
                  <m:nor/>
                </m:rPr>
                <w:rPr>
                  <w:rFonts w:ascii="Arial" w:hAnsi="Arial" w:cs="Arial"/>
                </w:rPr>
                <m:t>Initial Investment</m:t>
              </m:r>
            </m:num>
            <m:den>
              <m:r>
                <m:rPr>
                  <m:nor/>
                </m:rPr>
                <w:rPr>
                  <w:rFonts w:ascii="Arial" w:hAnsi="Arial" w:cs="Arial"/>
                </w:rPr>
                <m:t>Initial Investment</m:t>
              </m:r>
            </m:den>
          </m:f>
          <m:r>
            <w:rPr>
              <w:rFonts w:ascii="Cambria Math" w:hAnsi="Cambria Math" w:cs="Arial"/>
            </w:rPr>
            <m:t>=</m:t>
          </m:r>
          <m:f>
            <m:fPr>
              <m:ctrlPr>
                <w:rPr>
                  <w:rFonts w:ascii="Cambria Math" w:hAnsi="Cambria Math" w:cs="Arial"/>
                </w:rPr>
              </m:ctrlPr>
            </m:fPr>
            <m:num>
              <m:r>
                <w:rPr>
                  <w:rFonts w:ascii="Cambria Math" w:hAnsi="Cambria Math" w:cs="Arial"/>
                </w:rPr>
                <m:t>-7.29+30</m:t>
              </m:r>
            </m:num>
            <m:den>
              <m:r>
                <w:rPr>
                  <w:rFonts w:ascii="Cambria Math" w:hAnsi="Cambria Math" w:cs="Arial"/>
                </w:rPr>
                <m:t>30</m:t>
              </m:r>
            </m:den>
          </m:f>
          <m:r>
            <w:rPr>
              <w:rFonts w:ascii="Cambria Math" w:hAnsi="Cambria Math" w:cs="Arial"/>
            </w:rPr>
            <m:t>=0.243</m:t>
          </m:r>
        </m:oMath>
      </m:oMathPara>
    </w:p>
    <w:p w14:paraId="06E61D1E" w14:textId="077AA242" w:rsidR="00EF17D7" w:rsidRPr="00A110C5" w:rsidRDefault="00EF17D7" w:rsidP="009606E6">
      <w:pPr>
        <w:spacing w:before="120" w:after="120" w:line="360" w:lineRule="auto"/>
        <w:jc w:val="both"/>
        <w:rPr>
          <w:rFonts w:ascii="Arial" w:hAnsi="Arial" w:cs="Arial"/>
          <w:b/>
          <w:bCs/>
        </w:rPr>
      </w:pPr>
      <w:r w:rsidRPr="00A110C5">
        <w:rPr>
          <w:rFonts w:ascii="Arial" w:hAnsi="Arial" w:cs="Arial"/>
          <w:b/>
          <w:bCs/>
        </w:rPr>
        <w:t>Project C</w:t>
      </w:r>
    </w:p>
    <w:p w14:paraId="6D8EB28C" w14:textId="414127E6" w:rsidR="00EF17D7" w:rsidRPr="00A110C5" w:rsidRDefault="00EF17D7" w:rsidP="009606E6">
      <w:pPr>
        <w:spacing w:before="120" w:after="120" w:line="360" w:lineRule="auto"/>
        <w:jc w:val="both"/>
        <w:rPr>
          <w:rFonts w:ascii="Arial" w:hAnsi="Arial" w:cs="Arial"/>
        </w:rPr>
      </w:pPr>
      <m:oMathPara>
        <m:oMath>
          <m:r>
            <w:rPr>
              <w:rFonts w:ascii="Cambria Math" w:hAnsi="Cambria Math" w:cs="Arial"/>
            </w:rPr>
            <w:lastRenderedPageBreak/>
            <m:t>PI=</m:t>
          </m:r>
          <m:f>
            <m:fPr>
              <m:ctrlPr>
                <w:rPr>
                  <w:rFonts w:ascii="Cambria Math" w:hAnsi="Cambria Math" w:cs="Arial"/>
                </w:rPr>
              </m:ctrlPr>
            </m:fPr>
            <m:num>
              <m:r>
                <w:rPr>
                  <w:rFonts w:ascii="Cambria Math" w:hAnsi="Cambria Math" w:cs="Arial"/>
                </w:rPr>
                <m:t>NPV+</m:t>
              </m:r>
              <m:r>
                <m:rPr>
                  <m:nor/>
                </m:rPr>
                <w:rPr>
                  <w:rFonts w:ascii="Arial" w:hAnsi="Arial" w:cs="Arial"/>
                </w:rPr>
                <m:t>Initial Investment</m:t>
              </m:r>
            </m:num>
            <m:den>
              <m:r>
                <m:rPr>
                  <m:nor/>
                </m:rPr>
                <w:rPr>
                  <w:rFonts w:ascii="Arial" w:hAnsi="Arial" w:cs="Arial"/>
                </w:rPr>
                <m:t>Initial Investment</m:t>
              </m:r>
            </m:den>
          </m:f>
          <m:r>
            <w:rPr>
              <w:rFonts w:ascii="Cambria Math" w:hAnsi="Cambria Math" w:cs="Arial"/>
            </w:rPr>
            <m:t>=</m:t>
          </m:r>
          <m:f>
            <m:fPr>
              <m:ctrlPr>
                <w:rPr>
                  <w:rFonts w:ascii="Cambria Math" w:hAnsi="Cambria Math" w:cs="Arial"/>
                </w:rPr>
              </m:ctrlPr>
            </m:fPr>
            <m:num>
              <m:r>
                <w:rPr>
                  <w:rFonts w:ascii="Cambria Math" w:hAnsi="Cambria Math" w:cs="Arial"/>
                </w:rPr>
                <m:t>4.23+50</m:t>
              </m:r>
            </m:num>
            <m:den>
              <m:r>
                <w:rPr>
                  <w:rFonts w:ascii="Cambria Math" w:hAnsi="Cambria Math" w:cs="Arial"/>
                </w:rPr>
                <m:t>50</m:t>
              </m:r>
            </m:den>
          </m:f>
          <m:r>
            <w:rPr>
              <w:rFonts w:ascii="Cambria Math" w:hAnsi="Cambria Math" w:cs="Arial"/>
            </w:rPr>
            <m:t>=1.085</m:t>
          </m:r>
        </m:oMath>
      </m:oMathPara>
    </w:p>
    <w:p w14:paraId="16648FEF" w14:textId="6F8A53C6" w:rsidR="00EF17D7" w:rsidRPr="00A110C5" w:rsidRDefault="00D41C63" w:rsidP="009A13E4">
      <w:pPr>
        <w:pStyle w:val="Heading3"/>
        <w:rPr>
          <w:rFonts w:cs="Arial"/>
        </w:rPr>
      </w:pPr>
      <w:bookmarkStart w:id="52" w:name="_Toc217080789"/>
      <w:r w:rsidRPr="00A110C5">
        <w:rPr>
          <w:rFonts w:cs="Arial"/>
        </w:rPr>
        <w:t xml:space="preserve">5.1.5 </w:t>
      </w:r>
      <w:r w:rsidR="00EF17D7" w:rsidRPr="00A110C5">
        <w:rPr>
          <w:rFonts w:cs="Arial"/>
        </w:rPr>
        <w:t>Internal Rate of Return (IRR)</w:t>
      </w:r>
      <w:bookmarkEnd w:id="52"/>
    </w:p>
    <w:p w14:paraId="7DB3E1DC" w14:textId="26C07E3F" w:rsidR="00D41C63" w:rsidRPr="00A110C5" w:rsidRDefault="00D41C63" w:rsidP="009606E6">
      <w:pPr>
        <w:spacing w:before="120" w:after="120" w:line="360" w:lineRule="auto"/>
        <w:jc w:val="both"/>
        <w:rPr>
          <w:rFonts w:ascii="Arial" w:hAnsi="Arial" w:cs="Arial"/>
          <w:b/>
          <w:bCs/>
        </w:rPr>
      </w:pPr>
      <w:r w:rsidRPr="00A110C5">
        <w:rPr>
          <w:rFonts w:ascii="Arial" w:hAnsi="Arial" w:cs="Arial"/>
          <w:b/>
          <w:bCs/>
        </w:rPr>
        <w:t>Project A</w:t>
      </w:r>
    </w:p>
    <w:p w14:paraId="4317F69E" w14:textId="77777777" w:rsidR="00D41C63" w:rsidRPr="00A110C5" w:rsidRDefault="00D41C63" w:rsidP="009606E6">
      <w:pPr>
        <w:spacing w:before="120" w:after="120" w:line="360" w:lineRule="auto"/>
        <w:jc w:val="both"/>
        <w:rPr>
          <w:rFonts w:ascii="Arial" w:hAnsi="Arial" w:cs="Arial"/>
        </w:rPr>
      </w:pPr>
      <w:r w:rsidRPr="00A110C5">
        <w:rPr>
          <w:rFonts w:ascii="Arial" w:hAnsi="Arial" w:cs="Arial"/>
        </w:rPr>
        <w:t xml:space="preserve">Starting with an estimated discount rate of </w:t>
      </w:r>
      <w:r w:rsidRPr="00A110C5">
        <w:rPr>
          <w:rFonts w:ascii="Arial" w:hAnsi="Arial" w:cs="Arial"/>
          <w:b/>
          <w:bCs/>
        </w:rPr>
        <w:t>12.5%</w:t>
      </w:r>
      <w:r w:rsidRPr="00A110C5">
        <w:rPr>
          <w:rFonts w:ascii="Arial" w:hAnsi="Arial" w:cs="Arial"/>
        </w:rPr>
        <w:t xml:space="preserve">, we calculate the </w:t>
      </w:r>
      <w:r w:rsidRPr="00A110C5">
        <w:rPr>
          <w:rFonts w:ascii="Arial" w:hAnsi="Arial" w:cs="Arial"/>
          <w:b/>
          <w:bCs/>
        </w:rPr>
        <w:t>NPV</w:t>
      </w:r>
      <w:r w:rsidRPr="00A110C5">
        <w:rPr>
          <w:rFonts w:ascii="Arial" w:hAnsi="Arial" w:cs="Arial"/>
        </w:rPr>
        <w:t>:</w:t>
      </w:r>
    </w:p>
    <w:p w14:paraId="095CE757" w14:textId="555966D1" w:rsidR="00D41C63" w:rsidRPr="00A110C5" w:rsidRDefault="00D41C63" w:rsidP="009606E6">
      <w:pPr>
        <w:spacing w:before="120" w:after="120" w:line="360" w:lineRule="auto"/>
        <w:jc w:val="both"/>
        <w:rPr>
          <w:rFonts w:ascii="Arial" w:hAnsi="Arial" w:cs="Arial"/>
        </w:rPr>
      </w:pPr>
      <m:oMathPara>
        <m:oMath>
          <m:r>
            <w:rPr>
              <w:rFonts w:ascii="Cambria Math" w:hAnsi="Cambria Math" w:cs="Arial"/>
            </w:rPr>
            <m:t>NPV=</m:t>
          </m:r>
          <m:f>
            <m:fPr>
              <m:ctrlPr>
                <w:rPr>
                  <w:rFonts w:ascii="Cambria Math" w:hAnsi="Cambria Math" w:cs="Arial"/>
                </w:rPr>
              </m:ctrlPr>
            </m:fPr>
            <m:num>
              <m:r>
                <w:rPr>
                  <w:rFonts w:ascii="Cambria Math" w:hAnsi="Cambria Math" w:cs="Arial"/>
                </w:rPr>
                <m:t>10</m:t>
              </m:r>
            </m:num>
            <m:den>
              <m:d>
                <m:dPr>
                  <m:sepChr m:val="+"/>
                  <m:endChr m:val=""/>
                  <m:ctrlPr>
                    <w:rPr>
                      <w:rFonts w:ascii="Cambria Math" w:hAnsi="Cambria Math" w:cs="Arial"/>
                    </w:rPr>
                  </m:ctrlPr>
                </m:dPr>
                <m:e>
                  <m:r>
                    <w:rPr>
                      <w:rFonts w:ascii="Cambria Math" w:hAnsi="Cambria Math" w:cs="Arial"/>
                    </w:rPr>
                    <m:t>1</m:t>
                  </m:r>
                </m:e>
                <m:e>
                  <m:r>
                    <w:rPr>
                      <w:rFonts w:ascii="Cambria Math" w:hAnsi="Cambria Math" w:cs="Arial"/>
                    </w:rPr>
                    <m:t>0.125</m:t>
                  </m:r>
                  <m:sSup>
                    <m:sSupPr>
                      <m:ctrlPr>
                        <w:rPr>
                          <w:rFonts w:ascii="Cambria Math" w:hAnsi="Cambria Math" w:cs="Arial"/>
                        </w:rPr>
                      </m:ctrlPr>
                    </m:sSupPr>
                    <m:e>
                      <m:r>
                        <w:rPr>
                          <w:rFonts w:ascii="Cambria Math" w:hAnsi="Cambria Math" w:cs="Arial"/>
                        </w:rPr>
                        <m:t>)</m:t>
                      </m:r>
                    </m:e>
                    <m:sup>
                      <m:r>
                        <w:rPr>
                          <w:rFonts w:ascii="Cambria Math" w:hAnsi="Cambria Math" w:cs="Arial"/>
                        </w:rPr>
                        <m:t>1</m:t>
                      </m:r>
                    </m:sup>
                  </m:sSup>
                </m:e>
              </m:d>
            </m:den>
          </m:f>
          <m:r>
            <w:rPr>
              <w:rFonts w:ascii="Cambria Math" w:hAnsi="Cambria Math" w:cs="Arial"/>
            </w:rPr>
            <m:t>+</m:t>
          </m:r>
          <m:f>
            <m:fPr>
              <m:ctrlPr>
                <w:rPr>
                  <w:rFonts w:ascii="Cambria Math" w:hAnsi="Cambria Math" w:cs="Arial"/>
                </w:rPr>
              </m:ctrlPr>
            </m:fPr>
            <m:num>
              <m:r>
                <w:rPr>
                  <w:rFonts w:ascii="Cambria Math" w:hAnsi="Cambria Math" w:cs="Arial"/>
                </w:rPr>
                <m:t>12</m:t>
              </m:r>
            </m:num>
            <m:den>
              <m:d>
                <m:dPr>
                  <m:sepChr m:val="+"/>
                  <m:endChr m:val=""/>
                  <m:ctrlPr>
                    <w:rPr>
                      <w:rFonts w:ascii="Cambria Math" w:hAnsi="Cambria Math" w:cs="Arial"/>
                    </w:rPr>
                  </m:ctrlPr>
                </m:dPr>
                <m:e>
                  <m:r>
                    <w:rPr>
                      <w:rFonts w:ascii="Cambria Math" w:hAnsi="Cambria Math" w:cs="Arial"/>
                    </w:rPr>
                    <m:t>1</m:t>
                  </m:r>
                </m:e>
                <m:e>
                  <m:r>
                    <w:rPr>
                      <w:rFonts w:ascii="Cambria Math" w:hAnsi="Cambria Math" w:cs="Arial"/>
                    </w:rPr>
                    <m:t>0.125</m:t>
                  </m:r>
                  <m:sSup>
                    <m:sSupPr>
                      <m:ctrlPr>
                        <w:rPr>
                          <w:rFonts w:ascii="Cambria Math" w:hAnsi="Cambria Math" w:cs="Arial"/>
                        </w:rPr>
                      </m:ctrlPr>
                    </m:sSupPr>
                    <m:e>
                      <m:r>
                        <w:rPr>
                          <w:rFonts w:ascii="Cambria Math" w:hAnsi="Cambria Math" w:cs="Arial"/>
                        </w:rPr>
                        <m:t>)</m:t>
                      </m:r>
                    </m:e>
                    <m:sup>
                      <m:r>
                        <w:rPr>
                          <w:rFonts w:ascii="Cambria Math" w:hAnsi="Cambria Math" w:cs="Arial"/>
                        </w:rPr>
                        <m:t>2</m:t>
                      </m:r>
                    </m:sup>
                  </m:sSup>
                </m:e>
              </m:d>
            </m:den>
          </m:f>
          <m:r>
            <w:rPr>
              <w:rFonts w:ascii="Cambria Math" w:hAnsi="Cambria Math" w:cs="Arial"/>
            </w:rPr>
            <m:t>+</m:t>
          </m:r>
          <m:f>
            <m:fPr>
              <m:ctrlPr>
                <w:rPr>
                  <w:rFonts w:ascii="Cambria Math" w:hAnsi="Cambria Math" w:cs="Arial"/>
                </w:rPr>
              </m:ctrlPr>
            </m:fPr>
            <m:num>
              <m:r>
                <w:rPr>
                  <w:rFonts w:ascii="Cambria Math" w:hAnsi="Cambria Math" w:cs="Arial"/>
                </w:rPr>
                <m:t>14</m:t>
              </m:r>
            </m:num>
            <m:den>
              <m:d>
                <m:dPr>
                  <m:sepChr m:val="+"/>
                  <m:endChr m:val=""/>
                  <m:ctrlPr>
                    <w:rPr>
                      <w:rFonts w:ascii="Cambria Math" w:hAnsi="Cambria Math" w:cs="Arial"/>
                    </w:rPr>
                  </m:ctrlPr>
                </m:dPr>
                <m:e>
                  <m:r>
                    <w:rPr>
                      <w:rFonts w:ascii="Cambria Math" w:hAnsi="Cambria Math" w:cs="Arial"/>
                    </w:rPr>
                    <m:t>1</m:t>
                  </m:r>
                </m:e>
                <m:e>
                  <m:r>
                    <w:rPr>
                      <w:rFonts w:ascii="Cambria Math" w:hAnsi="Cambria Math" w:cs="Arial"/>
                    </w:rPr>
                    <m:t>0.125</m:t>
                  </m:r>
                  <m:sSup>
                    <m:sSupPr>
                      <m:ctrlPr>
                        <w:rPr>
                          <w:rFonts w:ascii="Cambria Math" w:hAnsi="Cambria Math" w:cs="Arial"/>
                        </w:rPr>
                      </m:ctrlPr>
                    </m:sSupPr>
                    <m:e>
                      <m:r>
                        <w:rPr>
                          <w:rFonts w:ascii="Cambria Math" w:hAnsi="Cambria Math" w:cs="Arial"/>
                        </w:rPr>
                        <m:t>)</m:t>
                      </m:r>
                    </m:e>
                    <m:sup>
                      <m:r>
                        <w:rPr>
                          <w:rFonts w:ascii="Cambria Math" w:hAnsi="Cambria Math" w:cs="Arial"/>
                        </w:rPr>
                        <m:t>3</m:t>
                      </m:r>
                    </m:sup>
                  </m:sSup>
                </m:e>
              </m:d>
            </m:den>
          </m:f>
          <m:r>
            <w:rPr>
              <w:rFonts w:ascii="Cambria Math" w:hAnsi="Cambria Math" w:cs="Arial"/>
            </w:rPr>
            <m:t>+</m:t>
          </m:r>
          <m:f>
            <m:fPr>
              <m:ctrlPr>
                <w:rPr>
                  <w:rFonts w:ascii="Cambria Math" w:hAnsi="Cambria Math" w:cs="Arial"/>
                </w:rPr>
              </m:ctrlPr>
            </m:fPr>
            <m:num>
              <m:r>
                <w:rPr>
                  <w:rFonts w:ascii="Cambria Math" w:hAnsi="Cambria Math" w:cs="Arial"/>
                </w:rPr>
                <m:t>10</m:t>
              </m:r>
            </m:num>
            <m:den>
              <m:d>
                <m:dPr>
                  <m:sepChr m:val="+"/>
                  <m:endChr m:val=""/>
                  <m:ctrlPr>
                    <w:rPr>
                      <w:rFonts w:ascii="Cambria Math" w:hAnsi="Cambria Math" w:cs="Arial"/>
                    </w:rPr>
                  </m:ctrlPr>
                </m:dPr>
                <m:e>
                  <m:r>
                    <w:rPr>
                      <w:rFonts w:ascii="Cambria Math" w:hAnsi="Cambria Math" w:cs="Arial"/>
                    </w:rPr>
                    <m:t>1</m:t>
                  </m:r>
                </m:e>
                <m:e>
                  <m:r>
                    <w:rPr>
                      <w:rFonts w:ascii="Cambria Math" w:hAnsi="Cambria Math" w:cs="Arial"/>
                    </w:rPr>
                    <m:t>0.125</m:t>
                  </m:r>
                  <m:sSup>
                    <m:sSupPr>
                      <m:ctrlPr>
                        <w:rPr>
                          <w:rFonts w:ascii="Cambria Math" w:hAnsi="Cambria Math" w:cs="Arial"/>
                        </w:rPr>
                      </m:ctrlPr>
                    </m:sSupPr>
                    <m:e>
                      <m:r>
                        <w:rPr>
                          <w:rFonts w:ascii="Cambria Math" w:hAnsi="Cambria Math" w:cs="Arial"/>
                        </w:rPr>
                        <m:t>)</m:t>
                      </m:r>
                    </m:e>
                    <m:sup>
                      <m:r>
                        <w:rPr>
                          <w:rFonts w:ascii="Cambria Math" w:hAnsi="Cambria Math" w:cs="Arial"/>
                        </w:rPr>
                        <m:t>4</m:t>
                      </m:r>
                    </m:sup>
                  </m:sSup>
                </m:e>
              </m:d>
            </m:den>
          </m:f>
          <m:r>
            <w:rPr>
              <w:rFonts w:ascii="Cambria Math" w:hAnsi="Cambria Math" w:cs="Arial"/>
            </w:rPr>
            <m:t>+</m:t>
          </m:r>
          <m:f>
            <m:fPr>
              <m:ctrlPr>
                <w:rPr>
                  <w:rFonts w:ascii="Cambria Math" w:hAnsi="Cambria Math" w:cs="Arial"/>
                </w:rPr>
              </m:ctrlPr>
            </m:fPr>
            <m:num>
              <m:r>
                <w:rPr>
                  <w:rFonts w:ascii="Cambria Math" w:hAnsi="Cambria Math" w:cs="Arial"/>
                </w:rPr>
                <m:t>8</m:t>
              </m:r>
            </m:num>
            <m:den>
              <m:d>
                <m:dPr>
                  <m:sepChr m:val="+"/>
                  <m:endChr m:val=""/>
                  <m:ctrlPr>
                    <w:rPr>
                      <w:rFonts w:ascii="Cambria Math" w:hAnsi="Cambria Math" w:cs="Arial"/>
                    </w:rPr>
                  </m:ctrlPr>
                </m:dPr>
                <m:e>
                  <m:r>
                    <w:rPr>
                      <w:rFonts w:ascii="Cambria Math" w:hAnsi="Cambria Math" w:cs="Arial"/>
                    </w:rPr>
                    <m:t>1</m:t>
                  </m:r>
                </m:e>
                <m:e>
                  <m:r>
                    <w:rPr>
                      <w:rFonts w:ascii="Cambria Math" w:hAnsi="Cambria Math" w:cs="Arial"/>
                    </w:rPr>
                    <m:t>0.125</m:t>
                  </m:r>
                  <m:sSup>
                    <m:sSupPr>
                      <m:ctrlPr>
                        <w:rPr>
                          <w:rFonts w:ascii="Cambria Math" w:hAnsi="Cambria Math" w:cs="Arial"/>
                        </w:rPr>
                      </m:ctrlPr>
                    </m:sSupPr>
                    <m:e>
                      <m:r>
                        <w:rPr>
                          <w:rFonts w:ascii="Cambria Math" w:hAnsi="Cambria Math" w:cs="Arial"/>
                        </w:rPr>
                        <m:t>)</m:t>
                      </m:r>
                    </m:e>
                    <m:sup>
                      <m:r>
                        <w:rPr>
                          <w:rFonts w:ascii="Cambria Math" w:hAnsi="Cambria Math" w:cs="Arial"/>
                        </w:rPr>
                        <m:t>5</m:t>
                      </m:r>
                    </m:sup>
                  </m:sSup>
                </m:e>
              </m:d>
            </m:den>
          </m:f>
          <m:r>
            <w:rPr>
              <w:rFonts w:ascii="Cambria Math" w:hAnsi="Cambria Math" w:cs="Arial"/>
            </w:rPr>
            <m:t>-40</m:t>
          </m:r>
        </m:oMath>
      </m:oMathPara>
    </w:p>
    <w:p w14:paraId="4C23A336" w14:textId="77777777" w:rsidR="00D41C63" w:rsidRPr="00A110C5" w:rsidRDefault="00D41C63" w:rsidP="009606E6">
      <w:pPr>
        <w:spacing w:before="120" w:after="120" w:line="360" w:lineRule="auto"/>
        <w:jc w:val="both"/>
        <w:rPr>
          <w:rFonts w:ascii="Arial" w:hAnsi="Arial" w:cs="Arial"/>
        </w:rPr>
      </w:pPr>
      <w:r w:rsidRPr="00A110C5">
        <w:rPr>
          <w:rFonts w:ascii="Arial" w:hAnsi="Arial" w:cs="Arial"/>
        </w:rPr>
        <w:t>By trial and error or using financial calculator functions, we find that:</w:t>
      </w:r>
    </w:p>
    <w:p w14:paraId="0E3927B6" w14:textId="025C25ED" w:rsidR="00D41C63" w:rsidRPr="00A110C5" w:rsidRDefault="00D41C63" w:rsidP="009606E6">
      <w:pPr>
        <w:spacing w:before="120" w:after="120" w:line="360" w:lineRule="auto"/>
        <w:jc w:val="both"/>
        <w:rPr>
          <w:rFonts w:ascii="Arial" w:hAnsi="Arial" w:cs="Arial"/>
        </w:rPr>
      </w:pPr>
      <m:oMathPara>
        <m:oMath>
          <m:r>
            <w:rPr>
              <w:rFonts w:ascii="Cambria Math" w:hAnsi="Cambria Math" w:cs="Arial"/>
            </w:rPr>
            <m:t>IRR≈12.5</m:t>
          </m:r>
          <m:r>
            <m:rPr>
              <m:sty m:val="p"/>
            </m:rPr>
            <w:rPr>
              <w:rFonts w:ascii="Cambria Math" w:hAnsi="Cambria Math" w:cs="Arial"/>
            </w:rPr>
            <m:t>%</m:t>
          </m:r>
        </m:oMath>
      </m:oMathPara>
    </w:p>
    <w:p w14:paraId="41B52378" w14:textId="6EC53F02" w:rsidR="00D41C63" w:rsidRPr="00A110C5" w:rsidRDefault="00D41C63" w:rsidP="009606E6">
      <w:pPr>
        <w:spacing w:before="120" w:after="120" w:line="360" w:lineRule="auto"/>
        <w:jc w:val="both"/>
        <w:rPr>
          <w:rFonts w:ascii="Arial" w:hAnsi="Arial" w:cs="Arial"/>
          <w:b/>
          <w:bCs/>
        </w:rPr>
      </w:pPr>
      <w:r w:rsidRPr="00A110C5">
        <w:rPr>
          <w:rFonts w:ascii="Arial" w:hAnsi="Arial" w:cs="Arial"/>
          <w:b/>
          <w:bCs/>
        </w:rPr>
        <w:t>Project B</w:t>
      </w:r>
    </w:p>
    <w:p w14:paraId="724369FF" w14:textId="3472C5DF" w:rsidR="00D41C63" w:rsidRPr="00A110C5" w:rsidRDefault="004525EC" w:rsidP="009606E6">
      <w:pPr>
        <w:spacing w:before="120" w:after="120" w:line="360" w:lineRule="auto"/>
        <w:jc w:val="both"/>
        <w:rPr>
          <w:rFonts w:ascii="Arial" w:hAnsi="Arial" w:cs="Arial"/>
        </w:rPr>
      </w:pPr>
      <w:r w:rsidRPr="004525EC">
        <w:rPr>
          <w:rFonts w:ascii="Arial" w:hAnsi="Arial" w:cs="Arial"/>
        </w:rPr>
        <w:t>We begin by assuming IRR of 10 per cent and find NPV is negative. Since the inflows of the cash are equal in every year, since the NPV is negative even under the discount rate of 10, the IRR will be less than 10. The IRR is less than 0 since its value is negative at 10.</w:t>
      </w:r>
    </w:p>
    <w:p w14:paraId="1F4642AA" w14:textId="59F740F2" w:rsidR="00D41C63" w:rsidRPr="00A110C5" w:rsidRDefault="00D41C63" w:rsidP="009606E6">
      <w:pPr>
        <w:spacing w:before="120" w:after="120" w:line="360" w:lineRule="auto"/>
        <w:jc w:val="both"/>
        <w:rPr>
          <w:rFonts w:ascii="Arial" w:hAnsi="Arial" w:cs="Arial"/>
          <w:b/>
          <w:bCs/>
        </w:rPr>
      </w:pPr>
      <w:r w:rsidRPr="00A110C5">
        <w:rPr>
          <w:rFonts w:ascii="Arial" w:hAnsi="Arial" w:cs="Arial"/>
          <w:b/>
          <w:bCs/>
        </w:rPr>
        <w:t>Project C</w:t>
      </w:r>
    </w:p>
    <w:p w14:paraId="6578444E" w14:textId="77777777" w:rsidR="00D41C63" w:rsidRPr="00A110C5" w:rsidRDefault="00D41C63" w:rsidP="009606E6">
      <w:pPr>
        <w:numPr>
          <w:ilvl w:val="0"/>
          <w:numId w:val="39"/>
        </w:numPr>
        <w:spacing w:before="120" w:after="120" w:line="360" w:lineRule="auto"/>
        <w:jc w:val="both"/>
        <w:rPr>
          <w:rFonts w:ascii="Arial" w:hAnsi="Arial" w:cs="Arial"/>
        </w:rPr>
      </w:pPr>
      <w:r w:rsidRPr="00A110C5">
        <w:rPr>
          <w:rFonts w:ascii="Arial" w:hAnsi="Arial" w:cs="Arial"/>
        </w:rPr>
        <w:t>Cash inflows: £5m, £10m, £20m, £25m, £15m</w:t>
      </w:r>
    </w:p>
    <w:p w14:paraId="51E1484A" w14:textId="77777777" w:rsidR="00D41C63" w:rsidRPr="00A110C5" w:rsidRDefault="00D41C63" w:rsidP="009606E6">
      <w:pPr>
        <w:numPr>
          <w:ilvl w:val="0"/>
          <w:numId w:val="39"/>
        </w:numPr>
        <w:spacing w:before="120" w:after="120" w:line="360" w:lineRule="auto"/>
        <w:jc w:val="both"/>
        <w:rPr>
          <w:rFonts w:ascii="Arial" w:hAnsi="Arial" w:cs="Arial"/>
        </w:rPr>
      </w:pPr>
      <w:r w:rsidRPr="00A110C5">
        <w:rPr>
          <w:rFonts w:ascii="Arial" w:hAnsi="Arial" w:cs="Arial"/>
          <w:b/>
          <w:bCs/>
        </w:rPr>
        <w:t>Initial Investment</w:t>
      </w:r>
      <w:r w:rsidRPr="00A110C5">
        <w:rPr>
          <w:rFonts w:ascii="Arial" w:hAnsi="Arial" w:cs="Arial"/>
        </w:rPr>
        <w:t>: £50m</w:t>
      </w:r>
    </w:p>
    <w:p w14:paraId="4A9F248F" w14:textId="77777777" w:rsidR="00D41C63" w:rsidRPr="00A110C5" w:rsidRDefault="00D41C63" w:rsidP="009606E6">
      <w:pPr>
        <w:spacing w:before="120" w:after="120" w:line="360" w:lineRule="auto"/>
        <w:jc w:val="both"/>
        <w:rPr>
          <w:rFonts w:ascii="Arial" w:hAnsi="Arial" w:cs="Arial"/>
        </w:rPr>
      </w:pPr>
      <w:r w:rsidRPr="00A110C5">
        <w:rPr>
          <w:rFonts w:ascii="Arial" w:hAnsi="Arial" w:cs="Arial"/>
        </w:rPr>
        <w:t xml:space="preserve">Starting with an estimated </w:t>
      </w:r>
      <w:r w:rsidRPr="00A110C5">
        <w:rPr>
          <w:rFonts w:ascii="Arial" w:hAnsi="Arial" w:cs="Arial"/>
          <w:b/>
          <w:bCs/>
        </w:rPr>
        <w:t>IRR</w:t>
      </w:r>
      <w:r w:rsidRPr="00A110C5">
        <w:rPr>
          <w:rFonts w:ascii="Arial" w:hAnsi="Arial" w:cs="Arial"/>
        </w:rPr>
        <w:t xml:space="preserve"> of 14%, we calculate the </w:t>
      </w:r>
      <w:r w:rsidRPr="00A110C5">
        <w:rPr>
          <w:rFonts w:ascii="Arial" w:hAnsi="Arial" w:cs="Arial"/>
          <w:b/>
          <w:bCs/>
        </w:rPr>
        <w:t>NPV</w:t>
      </w:r>
      <w:r w:rsidRPr="00A110C5">
        <w:rPr>
          <w:rFonts w:ascii="Arial" w:hAnsi="Arial" w:cs="Arial"/>
        </w:rPr>
        <w:t xml:space="preserve"> and find that:</w:t>
      </w:r>
    </w:p>
    <w:p w14:paraId="363D096E" w14:textId="2A3C84F4" w:rsidR="00D41C63" w:rsidRPr="00A110C5" w:rsidRDefault="00D41C63" w:rsidP="009606E6">
      <w:pPr>
        <w:spacing w:before="120" w:after="120" w:line="360" w:lineRule="auto"/>
        <w:jc w:val="both"/>
        <w:rPr>
          <w:rFonts w:ascii="Arial" w:hAnsi="Arial" w:cs="Arial"/>
          <w:iCs/>
        </w:rPr>
      </w:pPr>
      <m:oMathPara>
        <m:oMath>
          <m:r>
            <w:rPr>
              <w:rFonts w:ascii="Cambria Math" w:hAnsi="Cambria Math" w:cs="Arial"/>
            </w:rPr>
            <m:t>NPV=</m:t>
          </m:r>
          <m:f>
            <m:fPr>
              <m:ctrlPr>
                <w:rPr>
                  <w:rFonts w:ascii="Cambria Math" w:hAnsi="Cambria Math" w:cs="Arial"/>
                </w:rPr>
              </m:ctrlPr>
            </m:fPr>
            <m:num>
              <m:r>
                <w:rPr>
                  <w:rFonts w:ascii="Cambria Math" w:hAnsi="Cambria Math" w:cs="Arial"/>
                </w:rPr>
                <m:t>5</m:t>
              </m:r>
            </m:num>
            <m:den>
              <m:d>
                <m:dPr>
                  <m:sepChr m:val="+"/>
                  <m:endChr m:val=""/>
                  <m:ctrlPr>
                    <w:rPr>
                      <w:rFonts w:ascii="Cambria Math" w:hAnsi="Cambria Math" w:cs="Arial"/>
                    </w:rPr>
                  </m:ctrlPr>
                </m:dPr>
                <m:e>
                  <m:r>
                    <w:rPr>
                      <w:rFonts w:ascii="Cambria Math" w:hAnsi="Cambria Math" w:cs="Arial"/>
                    </w:rPr>
                    <m:t>1</m:t>
                  </m:r>
                </m:e>
                <m:e>
                  <m:r>
                    <w:rPr>
                      <w:rFonts w:ascii="Cambria Math" w:hAnsi="Cambria Math" w:cs="Arial"/>
                    </w:rPr>
                    <m:t>0.14</m:t>
                  </m:r>
                  <m:sSup>
                    <m:sSupPr>
                      <m:ctrlPr>
                        <w:rPr>
                          <w:rFonts w:ascii="Cambria Math" w:hAnsi="Cambria Math" w:cs="Arial"/>
                        </w:rPr>
                      </m:ctrlPr>
                    </m:sSupPr>
                    <m:e>
                      <m:r>
                        <w:rPr>
                          <w:rFonts w:ascii="Cambria Math" w:hAnsi="Cambria Math" w:cs="Arial"/>
                        </w:rPr>
                        <m:t>)</m:t>
                      </m:r>
                    </m:e>
                    <m:sup>
                      <m:r>
                        <w:rPr>
                          <w:rFonts w:ascii="Cambria Math" w:hAnsi="Cambria Math" w:cs="Arial"/>
                        </w:rPr>
                        <m:t>1</m:t>
                      </m:r>
                    </m:sup>
                  </m:sSup>
                </m:e>
              </m:d>
            </m:den>
          </m:f>
          <m:r>
            <w:rPr>
              <w:rFonts w:ascii="Cambria Math" w:hAnsi="Cambria Math" w:cs="Arial"/>
            </w:rPr>
            <m:t>+</m:t>
          </m:r>
          <m:f>
            <m:fPr>
              <m:ctrlPr>
                <w:rPr>
                  <w:rFonts w:ascii="Cambria Math" w:hAnsi="Cambria Math" w:cs="Arial"/>
                </w:rPr>
              </m:ctrlPr>
            </m:fPr>
            <m:num>
              <m:r>
                <w:rPr>
                  <w:rFonts w:ascii="Cambria Math" w:hAnsi="Cambria Math" w:cs="Arial"/>
                </w:rPr>
                <m:t>10</m:t>
              </m:r>
            </m:num>
            <m:den>
              <m:d>
                <m:dPr>
                  <m:sepChr m:val="+"/>
                  <m:endChr m:val=""/>
                  <m:ctrlPr>
                    <w:rPr>
                      <w:rFonts w:ascii="Cambria Math" w:hAnsi="Cambria Math" w:cs="Arial"/>
                    </w:rPr>
                  </m:ctrlPr>
                </m:dPr>
                <m:e>
                  <m:r>
                    <w:rPr>
                      <w:rFonts w:ascii="Cambria Math" w:hAnsi="Cambria Math" w:cs="Arial"/>
                    </w:rPr>
                    <m:t>1</m:t>
                  </m:r>
                </m:e>
                <m:e>
                  <m:r>
                    <w:rPr>
                      <w:rFonts w:ascii="Cambria Math" w:hAnsi="Cambria Math" w:cs="Arial"/>
                    </w:rPr>
                    <m:t>0.14</m:t>
                  </m:r>
                  <m:sSup>
                    <m:sSupPr>
                      <m:ctrlPr>
                        <w:rPr>
                          <w:rFonts w:ascii="Cambria Math" w:hAnsi="Cambria Math" w:cs="Arial"/>
                        </w:rPr>
                      </m:ctrlPr>
                    </m:sSupPr>
                    <m:e>
                      <m:r>
                        <w:rPr>
                          <w:rFonts w:ascii="Cambria Math" w:hAnsi="Cambria Math" w:cs="Arial"/>
                        </w:rPr>
                        <m:t>)</m:t>
                      </m:r>
                    </m:e>
                    <m:sup>
                      <m:r>
                        <w:rPr>
                          <w:rFonts w:ascii="Cambria Math" w:hAnsi="Cambria Math" w:cs="Arial"/>
                        </w:rPr>
                        <m:t>2</m:t>
                      </m:r>
                    </m:sup>
                  </m:sSup>
                </m:e>
              </m:d>
            </m:den>
          </m:f>
          <m:r>
            <w:rPr>
              <w:rFonts w:ascii="Cambria Math" w:hAnsi="Cambria Math" w:cs="Arial"/>
            </w:rPr>
            <m:t>+</m:t>
          </m:r>
          <m:f>
            <m:fPr>
              <m:ctrlPr>
                <w:rPr>
                  <w:rFonts w:ascii="Cambria Math" w:hAnsi="Cambria Math" w:cs="Arial"/>
                </w:rPr>
              </m:ctrlPr>
            </m:fPr>
            <m:num>
              <m:r>
                <w:rPr>
                  <w:rFonts w:ascii="Cambria Math" w:hAnsi="Cambria Math" w:cs="Arial"/>
                </w:rPr>
                <m:t>20</m:t>
              </m:r>
            </m:num>
            <m:den>
              <m:d>
                <m:dPr>
                  <m:sepChr m:val="+"/>
                  <m:endChr m:val=""/>
                  <m:ctrlPr>
                    <w:rPr>
                      <w:rFonts w:ascii="Cambria Math" w:hAnsi="Cambria Math" w:cs="Arial"/>
                    </w:rPr>
                  </m:ctrlPr>
                </m:dPr>
                <m:e>
                  <m:r>
                    <w:rPr>
                      <w:rFonts w:ascii="Cambria Math" w:hAnsi="Cambria Math" w:cs="Arial"/>
                    </w:rPr>
                    <m:t>1</m:t>
                  </m:r>
                </m:e>
                <m:e>
                  <m:r>
                    <w:rPr>
                      <w:rFonts w:ascii="Cambria Math" w:hAnsi="Cambria Math" w:cs="Arial"/>
                    </w:rPr>
                    <m:t>0.14</m:t>
                  </m:r>
                  <m:sSup>
                    <m:sSupPr>
                      <m:ctrlPr>
                        <w:rPr>
                          <w:rFonts w:ascii="Cambria Math" w:hAnsi="Cambria Math" w:cs="Arial"/>
                        </w:rPr>
                      </m:ctrlPr>
                    </m:sSupPr>
                    <m:e>
                      <m:r>
                        <w:rPr>
                          <w:rFonts w:ascii="Cambria Math" w:hAnsi="Cambria Math" w:cs="Arial"/>
                        </w:rPr>
                        <m:t>)</m:t>
                      </m:r>
                    </m:e>
                    <m:sup>
                      <m:r>
                        <w:rPr>
                          <w:rFonts w:ascii="Cambria Math" w:hAnsi="Cambria Math" w:cs="Arial"/>
                        </w:rPr>
                        <m:t>3</m:t>
                      </m:r>
                    </m:sup>
                  </m:sSup>
                </m:e>
              </m:d>
            </m:den>
          </m:f>
          <m:r>
            <w:rPr>
              <w:rFonts w:ascii="Cambria Math" w:hAnsi="Cambria Math" w:cs="Arial"/>
            </w:rPr>
            <m:t>+</m:t>
          </m:r>
          <m:f>
            <m:fPr>
              <m:ctrlPr>
                <w:rPr>
                  <w:rFonts w:ascii="Cambria Math" w:hAnsi="Cambria Math" w:cs="Arial"/>
                </w:rPr>
              </m:ctrlPr>
            </m:fPr>
            <m:num>
              <m:r>
                <w:rPr>
                  <w:rFonts w:ascii="Cambria Math" w:hAnsi="Cambria Math" w:cs="Arial"/>
                </w:rPr>
                <m:t>25</m:t>
              </m:r>
            </m:num>
            <m:den>
              <m:d>
                <m:dPr>
                  <m:sepChr m:val="+"/>
                  <m:endChr m:val=""/>
                  <m:ctrlPr>
                    <w:rPr>
                      <w:rFonts w:ascii="Cambria Math" w:hAnsi="Cambria Math" w:cs="Arial"/>
                    </w:rPr>
                  </m:ctrlPr>
                </m:dPr>
                <m:e>
                  <m:r>
                    <w:rPr>
                      <w:rFonts w:ascii="Cambria Math" w:hAnsi="Cambria Math" w:cs="Arial"/>
                    </w:rPr>
                    <m:t>1</m:t>
                  </m:r>
                </m:e>
                <m:e>
                  <m:r>
                    <w:rPr>
                      <w:rFonts w:ascii="Cambria Math" w:hAnsi="Cambria Math" w:cs="Arial"/>
                    </w:rPr>
                    <m:t>0.14</m:t>
                  </m:r>
                  <m:sSup>
                    <m:sSupPr>
                      <m:ctrlPr>
                        <w:rPr>
                          <w:rFonts w:ascii="Cambria Math" w:hAnsi="Cambria Math" w:cs="Arial"/>
                        </w:rPr>
                      </m:ctrlPr>
                    </m:sSupPr>
                    <m:e>
                      <m:r>
                        <w:rPr>
                          <w:rFonts w:ascii="Cambria Math" w:hAnsi="Cambria Math" w:cs="Arial"/>
                        </w:rPr>
                        <m:t>)</m:t>
                      </m:r>
                    </m:e>
                    <m:sup>
                      <m:r>
                        <w:rPr>
                          <w:rFonts w:ascii="Cambria Math" w:hAnsi="Cambria Math" w:cs="Arial"/>
                        </w:rPr>
                        <m:t>4</m:t>
                      </m:r>
                    </m:sup>
                  </m:sSup>
                </m:e>
              </m:d>
            </m:den>
          </m:f>
          <m:r>
            <w:rPr>
              <w:rFonts w:ascii="Cambria Math" w:hAnsi="Cambria Math" w:cs="Arial"/>
            </w:rPr>
            <m:t>+</m:t>
          </m:r>
          <m:f>
            <m:fPr>
              <m:ctrlPr>
                <w:rPr>
                  <w:rFonts w:ascii="Cambria Math" w:hAnsi="Cambria Math" w:cs="Arial"/>
                </w:rPr>
              </m:ctrlPr>
            </m:fPr>
            <m:num>
              <m:r>
                <w:rPr>
                  <w:rFonts w:ascii="Cambria Math" w:hAnsi="Cambria Math" w:cs="Arial"/>
                </w:rPr>
                <m:t>15</m:t>
              </m:r>
            </m:num>
            <m:den>
              <m:d>
                <m:dPr>
                  <m:sepChr m:val="+"/>
                  <m:endChr m:val=""/>
                  <m:ctrlPr>
                    <w:rPr>
                      <w:rFonts w:ascii="Cambria Math" w:hAnsi="Cambria Math" w:cs="Arial"/>
                    </w:rPr>
                  </m:ctrlPr>
                </m:dPr>
                <m:e>
                  <m:r>
                    <w:rPr>
                      <w:rFonts w:ascii="Cambria Math" w:hAnsi="Cambria Math" w:cs="Arial"/>
                    </w:rPr>
                    <m:t>1</m:t>
                  </m:r>
                </m:e>
                <m:e>
                  <m:r>
                    <w:rPr>
                      <w:rFonts w:ascii="Cambria Math" w:hAnsi="Cambria Math" w:cs="Arial"/>
                    </w:rPr>
                    <m:t>0.14</m:t>
                  </m:r>
                  <m:sSup>
                    <m:sSupPr>
                      <m:ctrlPr>
                        <w:rPr>
                          <w:rFonts w:ascii="Cambria Math" w:hAnsi="Cambria Math" w:cs="Arial"/>
                        </w:rPr>
                      </m:ctrlPr>
                    </m:sSupPr>
                    <m:e>
                      <m:r>
                        <w:rPr>
                          <w:rFonts w:ascii="Cambria Math" w:hAnsi="Cambria Math" w:cs="Arial"/>
                        </w:rPr>
                        <m:t>)</m:t>
                      </m:r>
                    </m:e>
                    <m:sup>
                      <m:r>
                        <w:rPr>
                          <w:rFonts w:ascii="Cambria Math" w:hAnsi="Cambria Math" w:cs="Arial"/>
                        </w:rPr>
                        <m:t>5</m:t>
                      </m:r>
                    </m:sup>
                  </m:sSup>
                </m:e>
              </m:d>
            </m:den>
          </m:f>
          <m:r>
            <w:rPr>
              <w:rFonts w:ascii="Cambria Math" w:hAnsi="Cambria Math" w:cs="Arial"/>
            </w:rPr>
            <m:t>-50</m:t>
          </m:r>
          <m:r>
            <m:rPr>
              <m:sty m:val="p"/>
            </m:rPr>
            <w:rPr>
              <w:rFonts w:ascii="Cambria Math" w:hAnsi="Cambria Math" w:cs="Arial"/>
            </w:rPr>
            <w:br/>
          </m:r>
        </m:oMath>
      </m:oMathPara>
      <w:r w:rsidRPr="00A110C5">
        <w:rPr>
          <w:rFonts w:ascii="Arial" w:hAnsi="Arial" w:cs="Arial"/>
        </w:rPr>
        <w:t>By trial and error or using financial calculator functions, we find that:</w:t>
      </w:r>
    </w:p>
    <w:p w14:paraId="56A47DE6" w14:textId="7D836EC2" w:rsidR="00EF17D7" w:rsidRPr="00A110C5" w:rsidRDefault="00D41C63" w:rsidP="009606E6">
      <w:pPr>
        <w:spacing w:before="120" w:after="120" w:line="360" w:lineRule="auto"/>
        <w:jc w:val="both"/>
        <w:rPr>
          <w:rFonts w:ascii="Arial" w:hAnsi="Arial" w:cs="Arial"/>
        </w:rPr>
      </w:pPr>
      <m:oMathPara>
        <m:oMath>
          <m:r>
            <w:rPr>
              <w:rFonts w:ascii="Cambria Math" w:hAnsi="Cambria Math" w:cs="Arial"/>
            </w:rPr>
            <m:t>IRR≈14</m:t>
          </m:r>
          <m:r>
            <m:rPr>
              <m:sty m:val="p"/>
            </m:rPr>
            <w:rPr>
              <w:rFonts w:ascii="Cambria Math" w:hAnsi="Cambria Math" w:cs="Arial"/>
            </w:rPr>
            <m:t>%</m:t>
          </m:r>
        </m:oMath>
      </m:oMathPara>
    </w:p>
    <w:p w14:paraId="662FEB45" w14:textId="379FBE69" w:rsidR="00B44FB8" w:rsidRPr="00A110C5" w:rsidRDefault="00D41C63" w:rsidP="00112D41">
      <w:pPr>
        <w:pStyle w:val="Heading2"/>
      </w:pPr>
      <w:bookmarkStart w:id="53" w:name="_Toc217080790"/>
      <w:r w:rsidRPr="00A110C5">
        <w:t xml:space="preserve">5.2 </w:t>
      </w:r>
      <w:r w:rsidR="00B44FB8" w:rsidRPr="00A110C5">
        <w:t>Comparative Analysis of Projects</w:t>
      </w:r>
      <w:bookmarkEnd w:id="53"/>
    </w:p>
    <w:p w14:paraId="57619C7E" w14:textId="17D5D186" w:rsidR="00B44FB8" w:rsidRPr="00A110C5" w:rsidRDefault="00D41C63" w:rsidP="009A13E4">
      <w:pPr>
        <w:pStyle w:val="Heading3"/>
        <w:rPr>
          <w:rFonts w:cs="Arial"/>
        </w:rPr>
      </w:pPr>
      <w:bookmarkStart w:id="54" w:name="_Toc217080791"/>
      <w:r w:rsidRPr="00A110C5">
        <w:rPr>
          <w:rFonts w:cs="Arial"/>
        </w:rPr>
        <w:t xml:space="preserve">5.2.1 </w:t>
      </w:r>
      <w:r w:rsidR="00B44FB8" w:rsidRPr="00A110C5">
        <w:rPr>
          <w:rFonts w:cs="Arial"/>
        </w:rPr>
        <w:t>Financial Performance Comparison</w:t>
      </w:r>
      <w:bookmarkEnd w:id="54"/>
    </w:p>
    <w:p w14:paraId="40E94A77" w14:textId="77777777" w:rsidR="004525EC" w:rsidRPr="004525EC" w:rsidRDefault="004525EC" w:rsidP="004525EC">
      <w:pPr>
        <w:spacing w:before="120" w:after="120" w:line="360" w:lineRule="auto"/>
        <w:jc w:val="both"/>
        <w:rPr>
          <w:rFonts w:ascii="Arial" w:hAnsi="Arial" w:cs="Arial"/>
        </w:rPr>
      </w:pPr>
      <w:r w:rsidRPr="004525EC">
        <w:rPr>
          <w:rFonts w:ascii="Arial" w:hAnsi="Arial" w:cs="Arial"/>
        </w:rPr>
        <w:t>The financial analysis of the three projects proposed is conducted with the help of the main metrics, which include Payback Period (PBP), Accounting Rate of Return (ARR), Net Present Value (NPV), Profitability Index (PI), and Internal Rate of Return (IRR).</w:t>
      </w:r>
    </w:p>
    <w:p w14:paraId="50DA945E" w14:textId="77777777" w:rsidR="004525EC" w:rsidRPr="004525EC" w:rsidRDefault="004525EC" w:rsidP="004525EC">
      <w:pPr>
        <w:spacing w:before="120" w:after="120" w:line="360" w:lineRule="auto"/>
        <w:jc w:val="both"/>
        <w:rPr>
          <w:rFonts w:ascii="Arial" w:hAnsi="Arial" w:cs="Arial"/>
        </w:rPr>
      </w:pPr>
      <w:r w:rsidRPr="004525EC">
        <w:rPr>
          <w:rFonts w:ascii="Arial" w:hAnsi="Arial" w:cs="Arial"/>
        </w:rPr>
        <w:t xml:space="preserve">Project A has a comparatively low-Payback Period (PBP) of 3.4 years implying that the initial investment in the project of £40 million is paid back within a very short period </w:t>
      </w:r>
      <w:r w:rsidRPr="004525EC">
        <w:rPr>
          <w:rFonts w:ascii="Arial" w:hAnsi="Arial" w:cs="Arial"/>
        </w:rPr>
        <w:lastRenderedPageBreak/>
        <w:t>of time, which is positive in a capital-constrained setting. ARR 27 that is good but not as high as Project C. The NPV of the project is positive of 1.31 million, which represents value creation, but being less than the Project C project. The PI of 1.033 indicates that each pound of investment will yield 1.033 in proceeds thus making it profitable. The IRR of 12.5 is not bad but on the middle compared to other projects.</w:t>
      </w:r>
    </w:p>
    <w:p w14:paraId="6C7AAB85" w14:textId="77777777" w:rsidR="004525EC" w:rsidRPr="004525EC" w:rsidRDefault="004525EC" w:rsidP="004525EC">
      <w:pPr>
        <w:spacing w:before="120" w:after="120" w:line="360" w:lineRule="auto"/>
        <w:jc w:val="both"/>
        <w:rPr>
          <w:rFonts w:ascii="Arial" w:hAnsi="Arial" w:cs="Arial"/>
        </w:rPr>
      </w:pPr>
      <w:r w:rsidRPr="004525EC">
        <w:rPr>
          <w:rFonts w:ascii="Arial" w:hAnsi="Arial" w:cs="Arial"/>
        </w:rPr>
        <w:t>Project B, however, includes the longest Payback Period of 5 years when compared to the other two projects. This increases the time frame of earning back the initial cost of the investment of £30 million making it less appealing particularly in the light of liquidity requirements. ARR is minimal 20% compared to the other two projects, and NPV is negative = -7.29 million which implies that the project will be non-creative. The PI of 0.243 implies that the investment will not be worth the returns it will be generating. Furthermore, it has a negative value of IRR, which strengthens its financial infeasibility.</w:t>
      </w:r>
    </w:p>
    <w:p w14:paraId="426E7918" w14:textId="3912F132" w:rsidR="00B44FB8" w:rsidRPr="00A110C5" w:rsidRDefault="004525EC" w:rsidP="004525EC">
      <w:pPr>
        <w:spacing w:before="120" w:after="120" w:line="360" w:lineRule="auto"/>
        <w:jc w:val="both"/>
        <w:rPr>
          <w:rFonts w:ascii="Arial" w:hAnsi="Arial" w:cs="Arial"/>
        </w:rPr>
      </w:pPr>
      <w:r w:rsidRPr="004525EC">
        <w:rPr>
          <w:rFonts w:ascii="Arial" w:hAnsi="Arial" w:cs="Arial"/>
        </w:rPr>
        <w:t>Project C is the best in terms of financial profile. It has Payback Period of 3.6 years which is a little bit longer than Project A although it is rather short. The ARR of 30 is the highest meaning the highest payback. NPV is the highest of the projects and is 4.23 million, which indicates that it will make the company of much value. The PI of 1.085 implies that project C will yield back 1.085 at each £1 of the investment, hence it is very profitable. Project C is also the most financially appealing in terms of IRR which is 14% and the best in comparison to the discount rate.</w:t>
      </w:r>
    </w:p>
    <w:p w14:paraId="23287712" w14:textId="0A7F9450" w:rsidR="00B44FB8" w:rsidRPr="00A110C5" w:rsidRDefault="00D41C63" w:rsidP="009A13E4">
      <w:pPr>
        <w:pStyle w:val="Heading3"/>
        <w:rPr>
          <w:rFonts w:cs="Arial"/>
        </w:rPr>
      </w:pPr>
      <w:bookmarkStart w:id="55" w:name="_Toc217080792"/>
      <w:r w:rsidRPr="00A110C5">
        <w:rPr>
          <w:rFonts w:cs="Arial"/>
        </w:rPr>
        <w:t>5.2.2</w:t>
      </w:r>
      <w:r w:rsidR="00B44FB8" w:rsidRPr="00A110C5">
        <w:rPr>
          <w:rFonts w:cs="Arial"/>
        </w:rPr>
        <w:t>Risk and Cash Flow Volatility</w:t>
      </w:r>
      <w:bookmarkEnd w:id="55"/>
    </w:p>
    <w:p w14:paraId="6DCAF234" w14:textId="77777777" w:rsidR="004525EC" w:rsidRPr="004525EC" w:rsidRDefault="004525EC" w:rsidP="004525EC">
      <w:pPr>
        <w:spacing w:before="120" w:after="120" w:line="360" w:lineRule="auto"/>
        <w:jc w:val="both"/>
        <w:rPr>
          <w:rFonts w:ascii="Arial" w:hAnsi="Arial" w:cs="Arial"/>
        </w:rPr>
      </w:pPr>
      <w:r w:rsidRPr="004525EC">
        <w:rPr>
          <w:rFonts w:ascii="Arial" w:hAnsi="Arial" w:cs="Arial"/>
        </w:rPr>
        <w:t>Volatility of the cash flows is also a significant issue to be taken into account when determining the risk profile of each project.</w:t>
      </w:r>
    </w:p>
    <w:p w14:paraId="1DBAA390" w14:textId="77777777" w:rsidR="004525EC" w:rsidRPr="004525EC" w:rsidRDefault="004525EC" w:rsidP="004525EC">
      <w:pPr>
        <w:spacing w:before="120" w:after="120" w:line="360" w:lineRule="auto"/>
        <w:jc w:val="both"/>
        <w:rPr>
          <w:rFonts w:ascii="Arial" w:hAnsi="Arial" w:cs="Arial"/>
        </w:rPr>
      </w:pPr>
      <w:r w:rsidRPr="004525EC">
        <w:rPr>
          <w:rFonts w:ascii="Arial" w:hAnsi="Arial" w:cs="Arial"/>
        </w:rPr>
        <w:t xml:space="preserve">Project A cash flows are </w:t>
      </w:r>
      <w:proofErr w:type="gramStart"/>
      <w:r w:rsidRPr="004525EC">
        <w:rPr>
          <w:rFonts w:ascii="Arial" w:hAnsi="Arial" w:cs="Arial"/>
        </w:rPr>
        <w:t>fairly predictable</w:t>
      </w:r>
      <w:proofErr w:type="gramEnd"/>
      <w:r w:rsidRPr="004525EC">
        <w:rPr>
          <w:rFonts w:ascii="Arial" w:hAnsi="Arial" w:cs="Arial"/>
        </w:rPr>
        <w:t xml:space="preserve"> with a maximum of £8 million to a minimum of £14 million in 5 years. This is a good consistency, albeit that the cash inflows decline drastically in Year 5 and this begs the question of its long-term sustainability. Although the payback duration is relatively short, the project might have certain risks posed by volatility in the later years, which will interfere with the financial stability of the project.</w:t>
      </w:r>
    </w:p>
    <w:p w14:paraId="1C2189BB" w14:textId="77777777" w:rsidR="004525EC" w:rsidRPr="004525EC" w:rsidRDefault="004525EC" w:rsidP="004525EC">
      <w:pPr>
        <w:spacing w:before="120" w:after="120" w:line="360" w:lineRule="auto"/>
        <w:jc w:val="both"/>
        <w:rPr>
          <w:rFonts w:ascii="Arial" w:hAnsi="Arial" w:cs="Arial"/>
        </w:rPr>
      </w:pPr>
      <w:r w:rsidRPr="004525EC">
        <w:rPr>
          <w:rFonts w:ascii="Arial" w:hAnsi="Arial" w:cs="Arial"/>
        </w:rPr>
        <w:t xml:space="preserve">Project B has predictable cash flows of £6 million annually within a period of five years. Although this stability is generally </w:t>
      </w:r>
      <w:proofErr w:type="spellStart"/>
      <w:r w:rsidRPr="004525EC">
        <w:rPr>
          <w:rFonts w:ascii="Arial" w:hAnsi="Arial" w:cs="Arial"/>
        </w:rPr>
        <w:t>favourable</w:t>
      </w:r>
      <w:proofErr w:type="spellEnd"/>
      <w:r w:rsidRPr="004525EC">
        <w:rPr>
          <w:rFonts w:ascii="Arial" w:hAnsi="Arial" w:cs="Arial"/>
        </w:rPr>
        <w:t>, negative NPV and IRR render it invalid. Although cash flows are steady, it is not enough to warrant investment and thus Project B is a risky project that was not suitable to invest in in the end.</w:t>
      </w:r>
    </w:p>
    <w:p w14:paraId="2D4A34E1" w14:textId="4DAD8A2C" w:rsidR="00B44FB8" w:rsidRPr="00A110C5" w:rsidRDefault="004525EC" w:rsidP="004525EC">
      <w:pPr>
        <w:spacing w:before="120" w:after="120" w:line="360" w:lineRule="auto"/>
        <w:jc w:val="both"/>
        <w:rPr>
          <w:rFonts w:ascii="Arial" w:hAnsi="Arial" w:cs="Arial"/>
        </w:rPr>
      </w:pPr>
      <w:r w:rsidRPr="004525EC">
        <w:rPr>
          <w:rFonts w:ascii="Arial" w:hAnsi="Arial" w:cs="Arial"/>
        </w:rPr>
        <w:lastRenderedPageBreak/>
        <w:t>Although Project C has the greatest volatility of cash flows, it has the greatest potential returns. The cash inflows will vary between the years, with a high of 5M during the Year 1 and a low of 25M during the Year 4, and subsequently to 15M during the Year 5. The increased volatility provides a level of risk, however, the NPV and IRR are great enough to warrant the risk. The overall high returns counterbalance the ups and downs of the cash flows and therefore the Project C is the most attractive due to the volatility.</w:t>
      </w:r>
    </w:p>
    <w:p w14:paraId="12DB66D2" w14:textId="308E339D" w:rsidR="00B44FB8" w:rsidRPr="00A110C5" w:rsidRDefault="00D41C63" w:rsidP="00112D41">
      <w:pPr>
        <w:pStyle w:val="Heading2"/>
      </w:pPr>
      <w:bookmarkStart w:id="56" w:name="_Toc217080793"/>
      <w:r w:rsidRPr="00A110C5">
        <w:t xml:space="preserve">5.3 </w:t>
      </w:r>
      <w:r w:rsidR="00B44FB8" w:rsidRPr="00A110C5">
        <w:t>Final Investment Recommendation</w:t>
      </w:r>
      <w:bookmarkEnd w:id="56"/>
    </w:p>
    <w:p w14:paraId="060439EB" w14:textId="1A065867" w:rsidR="00B44FB8" w:rsidRPr="00A110C5" w:rsidRDefault="00D41C63" w:rsidP="009A13E4">
      <w:pPr>
        <w:pStyle w:val="Heading3"/>
        <w:rPr>
          <w:rFonts w:cs="Arial"/>
        </w:rPr>
      </w:pPr>
      <w:bookmarkStart w:id="57" w:name="_Toc217080794"/>
      <w:r w:rsidRPr="00A110C5">
        <w:rPr>
          <w:rFonts w:cs="Arial"/>
        </w:rPr>
        <w:t xml:space="preserve">5.3.1 </w:t>
      </w:r>
      <w:r w:rsidR="00B44FB8" w:rsidRPr="00A110C5">
        <w:rPr>
          <w:rFonts w:cs="Arial"/>
        </w:rPr>
        <w:t>Decision on the Project to Invest</w:t>
      </w:r>
      <w:r w:rsidRPr="00A110C5">
        <w:rPr>
          <w:rFonts w:cs="Arial"/>
        </w:rPr>
        <w:t>ment</w:t>
      </w:r>
      <w:bookmarkEnd w:id="57"/>
      <w:r w:rsidRPr="00A110C5">
        <w:rPr>
          <w:rFonts w:cs="Arial"/>
        </w:rPr>
        <w:t xml:space="preserve"> </w:t>
      </w:r>
    </w:p>
    <w:p w14:paraId="6B2EA59D" w14:textId="78B5DD45" w:rsidR="00B44FB8" w:rsidRPr="00A110C5" w:rsidRDefault="004525EC" w:rsidP="009606E6">
      <w:pPr>
        <w:spacing w:before="120" w:after="120" w:line="360" w:lineRule="auto"/>
        <w:jc w:val="both"/>
        <w:rPr>
          <w:rFonts w:ascii="Arial" w:hAnsi="Arial" w:cs="Arial"/>
        </w:rPr>
      </w:pPr>
      <w:r w:rsidRPr="004525EC">
        <w:rPr>
          <w:rFonts w:ascii="Arial" w:hAnsi="Arial" w:cs="Arial"/>
        </w:rPr>
        <w:t>Project C ought to be chosen to be invested in considering the capital rationing limit of 60 million. The initial capital base of 50 million is comfortably within budgetary limits and project has the highest NPV (£4.23 million), ARR (30</w:t>
      </w:r>
      <w:r>
        <w:rPr>
          <w:rFonts w:ascii="Arial" w:hAnsi="Arial" w:cs="Arial"/>
        </w:rPr>
        <w:t>%</w:t>
      </w:r>
      <w:r w:rsidRPr="004525EC">
        <w:rPr>
          <w:rFonts w:ascii="Arial" w:hAnsi="Arial" w:cs="Arial"/>
        </w:rPr>
        <w:t>) and IRR (14</w:t>
      </w:r>
      <w:r>
        <w:rPr>
          <w:rFonts w:ascii="Arial" w:hAnsi="Arial" w:cs="Arial"/>
        </w:rPr>
        <w:t>%</w:t>
      </w:r>
      <w:r w:rsidRPr="004525EC">
        <w:rPr>
          <w:rFonts w:ascii="Arial" w:hAnsi="Arial" w:cs="Arial"/>
        </w:rPr>
        <w:t>). The positive financial indicators indicate that Project C will yield maximum value to the General Electronics and is the most appropriate to revive the company in the long term.</w:t>
      </w:r>
    </w:p>
    <w:p w14:paraId="77946F8B" w14:textId="04D7EA44" w:rsidR="00B44FB8" w:rsidRPr="00A110C5" w:rsidRDefault="00D41C63" w:rsidP="009A13E4">
      <w:pPr>
        <w:pStyle w:val="Heading3"/>
        <w:rPr>
          <w:rFonts w:cs="Arial"/>
        </w:rPr>
      </w:pPr>
      <w:bookmarkStart w:id="58" w:name="_Toc217080795"/>
      <w:r w:rsidRPr="00A110C5">
        <w:rPr>
          <w:rFonts w:cs="Arial"/>
        </w:rPr>
        <w:t xml:space="preserve">5.3.2 </w:t>
      </w:r>
      <w:r w:rsidR="00B44FB8" w:rsidRPr="00A110C5">
        <w:rPr>
          <w:rFonts w:cs="Arial"/>
        </w:rPr>
        <w:t>Justification of the Recommendation</w:t>
      </w:r>
      <w:bookmarkEnd w:id="58"/>
    </w:p>
    <w:p w14:paraId="14881CE9" w14:textId="1D76A1AE" w:rsidR="00B44FB8" w:rsidRPr="004525EC" w:rsidRDefault="004525EC" w:rsidP="009606E6">
      <w:pPr>
        <w:spacing w:before="120" w:after="120" w:line="360" w:lineRule="auto"/>
        <w:jc w:val="both"/>
        <w:rPr>
          <w:rFonts w:ascii="Arial" w:hAnsi="Arial" w:cs="Arial"/>
        </w:rPr>
      </w:pPr>
      <w:r w:rsidRPr="004525EC">
        <w:rPr>
          <w:rFonts w:ascii="Arial" w:hAnsi="Arial" w:cs="Arial"/>
        </w:rPr>
        <w:t>Project C is the most profitable and value-generating in the long-term. The NPV and IRR values which are 4.23 million and 14 percent respectively indicate strong financial returns and the ARR of 30 percent depicts high returns on investment. Despite the fact that the project has more volatility in terms of cash flow, the high returns outweigh the risk, and hence it is the most appealing project in terms of capital rationing. The importance of investing in Project C will help General Electronics achieve its strategic objectives and will result in the most promising financial recuperation and future growth. Project A is a good alternative, but it is not as profitable and valuable in the long term and should not be included in the investment portfolio.</w:t>
      </w:r>
    </w:p>
    <w:p w14:paraId="2BD62779" w14:textId="4F5589AD" w:rsidR="009606E6" w:rsidRPr="00A110C5" w:rsidRDefault="009606E6" w:rsidP="00112D41">
      <w:pPr>
        <w:pStyle w:val="Heading1"/>
      </w:pPr>
      <w:bookmarkStart w:id="59" w:name="_Toc217080796"/>
      <w:r w:rsidRPr="00A110C5">
        <w:t>6.0 Conclusion</w:t>
      </w:r>
      <w:bookmarkEnd w:id="59"/>
    </w:p>
    <w:p w14:paraId="51B51C9B" w14:textId="0F768BDA" w:rsidR="009606E6" w:rsidRPr="00A110C5" w:rsidRDefault="007A1E89" w:rsidP="009606E6">
      <w:pPr>
        <w:spacing w:before="120" w:after="120" w:line="360" w:lineRule="auto"/>
        <w:jc w:val="both"/>
        <w:rPr>
          <w:rFonts w:ascii="Arial" w:hAnsi="Arial" w:cs="Arial"/>
        </w:rPr>
      </w:pPr>
      <w:r w:rsidRPr="007A1E89">
        <w:rPr>
          <w:rFonts w:ascii="Arial" w:hAnsi="Arial" w:cs="Arial"/>
        </w:rPr>
        <w:t xml:space="preserve">To sum up, General Electronic is in dire need of strategic financial restructuring to recover its stability and profitability. All the three restructuring alternatives such as divestiture, mergers, and equity injections can increase shareholder value, decrease debt, and more operational flexibility; however, they all come with their share of challenges. Divestitures would enhance the liquidity and concentrate on the core activities, and mergers have a potential of synergies and market expansion. Equity injections would be dilutive in the short run, but would ensure that sufficient capital is available to cut down debt and enhance financial status. These alternatives, however, </w:t>
      </w:r>
      <w:r w:rsidRPr="007A1E89">
        <w:rPr>
          <w:rFonts w:ascii="Arial" w:hAnsi="Arial" w:cs="Arial"/>
        </w:rPr>
        <w:lastRenderedPageBreak/>
        <w:t>should be weighed with great care considering taxation issues across the borders, currency risks, inflationary forces and ethical issues. With an appropriate strategy of choosing the most appropriate restructuring strategy, General Electronics is able to overcome its financial setbacks, strengthen its competitive position and develop long-term shareholder value ensuring sustainable growth in the competitive international market.</w:t>
      </w:r>
    </w:p>
    <w:p w14:paraId="29DFD2D8" w14:textId="77777777" w:rsidR="009A13E4" w:rsidRPr="00A110C5" w:rsidRDefault="009A13E4" w:rsidP="009606E6">
      <w:pPr>
        <w:spacing w:before="120" w:after="120" w:line="360" w:lineRule="auto"/>
        <w:jc w:val="both"/>
        <w:rPr>
          <w:rFonts w:ascii="Arial" w:hAnsi="Arial" w:cs="Arial"/>
        </w:rPr>
      </w:pPr>
    </w:p>
    <w:p w14:paraId="7DA778DA" w14:textId="77777777" w:rsidR="009A13E4" w:rsidRPr="00A110C5" w:rsidRDefault="009A13E4" w:rsidP="009606E6">
      <w:pPr>
        <w:spacing w:before="120" w:after="120" w:line="360" w:lineRule="auto"/>
        <w:jc w:val="both"/>
        <w:rPr>
          <w:rFonts w:ascii="Arial" w:hAnsi="Arial" w:cs="Arial"/>
        </w:rPr>
      </w:pPr>
    </w:p>
    <w:p w14:paraId="06282EDC" w14:textId="77777777" w:rsidR="009A13E4" w:rsidRPr="00A110C5" w:rsidRDefault="009A13E4" w:rsidP="009606E6">
      <w:pPr>
        <w:spacing w:before="120" w:after="120" w:line="360" w:lineRule="auto"/>
        <w:jc w:val="both"/>
        <w:rPr>
          <w:rFonts w:ascii="Arial" w:hAnsi="Arial" w:cs="Arial"/>
        </w:rPr>
        <w:sectPr w:rsidR="009A13E4" w:rsidRPr="00A110C5" w:rsidSect="009A13E4">
          <w:footerReference w:type="default" r:id="rId17"/>
          <w:pgSz w:w="11906" w:h="16838" w:code="9"/>
          <w:pgMar w:top="1440" w:right="1440" w:bottom="1440" w:left="1440" w:header="720" w:footer="720" w:gutter="0"/>
          <w:pgNumType w:start="1"/>
          <w:cols w:space="720"/>
          <w:docGrid w:linePitch="360"/>
        </w:sectPr>
      </w:pPr>
    </w:p>
    <w:p w14:paraId="66BDBBBB" w14:textId="29BDB422" w:rsidR="0024569B" w:rsidRPr="0024569B" w:rsidRDefault="009A13E4" w:rsidP="0024569B">
      <w:pPr>
        <w:pStyle w:val="Heading1"/>
      </w:pPr>
      <w:bookmarkStart w:id="60" w:name="_Toc217080797"/>
      <w:r w:rsidRPr="00A110C5">
        <w:lastRenderedPageBreak/>
        <w:t>References</w:t>
      </w:r>
      <w:bookmarkEnd w:id="60"/>
    </w:p>
    <w:p w14:paraId="17D7D3CC" w14:textId="77777777" w:rsidR="0024569B" w:rsidRPr="0024569B" w:rsidRDefault="0024569B" w:rsidP="0024569B">
      <w:pPr>
        <w:spacing w:before="120" w:after="0" w:line="360" w:lineRule="auto"/>
        <w:jc w:val="both"/>
        <w:rPr>
          <w:rFonts w:ascii="Arial" w:hAnsi="Arial" w:cs="Arial"/>
        </w:rPr>
      </w:pPr>
      <w:r w:rsidRPr="0024569B">
        <w:rPr>
          <w:rFonts w:ascii="Arial" w:hAnsi="Arial" w:cs="Arial"/>
        </w:rPr>
        <w:t xml:space="preserve">Amini, M., Zayeri, F. and Salehi, M. (2021). Trend analysis of cardiovascular disease mortality, incidence, and mortality-to-incidence ratio: results from global burden of disease study 2017. </w:t>
      </w:r>
      <w:r w:rsidRPr="0024569B">
        <w:rPr>
          <w:rFonts w:ascii="Arial" w:hAnsi="Arial" w:cs="Arial"/>
          <w:i/>
          <w:iCs/>
        </w:rPr>
        <w:t>BMC Public Health</w:t>
      </w:r>
      <w:r w:rsidRPr="0024569B">
        <w:rPr>
          <w:rFonts w:ascii="Arial" w:hAnsi="Arial" w:cs="Arial"/>
        </w:rPr>
        <w:t xml:space="preserve">, [online] 21(1). </w:t>
      </w:r>
      <w:proofErr w:type="spellStart"/>
      <w:r w:rsidRPr="0024569B">
        <w:rPr>
          <w:rFonts w:ascii="Arial" w:hAnsi="Arial" w:cs="Arial"/>
        </w:rPr>
        <w:t>doi:https</w:t>
      </w:r>
      <w:proofErr w:type="spellEnd"/>
      <w:r w:rsidRPr="0024569B">
        <w:rPr>
          <w:rFonts w:ascii="Arial" w:hAnsi="Arial" w:cs="Arial"/>
        </w:rPr>
        <w:t>://doi.org/10.1186/s12889-021-10429-0.</w:t>
      </w:r>
    </w:p>
    <w:p w14:paraId="4DE4EAF0" w14:textId="77777777" w:rsidR="0024569B" w:rsidRPr="007111BB" w:rsidRDefault="0024569B" w:rsidP="00D715E3">
      <w:pPr>
        <w:spacing w:before="120" w:after="0" w:line="360" w:lineRule="auto"/>
        <w:jc w:val="both"/>
        <w:rPr>
          <w:rFonts w:ascii="Arial" w:hAnsi="Arial" w:cs="Arial"/>
        </w:rPr>
      </w:pPr>
      <w:r w:rsidRPr="007111BB">
        <w:rPr>
          <w:rFonts w:ascii="Arial" w:hAnsi="Arial" w:cs="Arial"/>
        </w:rPr>
        <w:t xml:space="preserve">Asman, F.N., Fernandez, D., Nurul Atasha Jamaludin, Zaki, H.O. and Ghazali, A.W. (2022). Cash Conversion Cycle and Firm’s Performance. </w:t>
      </w:r>
      <w:r w:rsidRPr="007111BB">
        <w:rPr>
          <w:rFonts w:ascii="Arial" w:hAnsi="Arial" w:cs="Arial"/>
          <w:i/>
          <w:iCs/>
        </w:rPr>
        <w:t>International Journal of Academic Research in Business and Social Sciences</w:t>
      </w:r>
      <w:r w:rsidRPr="007111BB">
        <w:rPr>
          <w:rFonts w:ascii="Arial" w:hAnsi="Arial" w:cs="Arial"/>
        </w:rPr>
        <w:t>, [online] 12(11), pp.2682–2692. Available at: http://dx.doi.org/10.6007/IJARBSS/v12-i11/15276.</w:t>
      </w:r>
    </w:p>
    <w:p w14:paraId="6215CB02" w14:textId="77777777" w:rsidR="0024569B" w:rsidRPr="0024569B" w:rsidRDefault="0024569B" w:rsidP="0024569B">
      <w:pPr>
        <w:spacing w:before="120" w:after="0" w:line="360" w:lineRule="auto"/>
        <w:jc w:val="both"/>
        <w:rPr>
          <w:rFonts w:ascii="Arial" w:hAnsi="Arial" w:cs="Arial"/>
        </w:rPr>
      </w:pPr>
      <w:r w:rsidRPr="0024569B">
        <w:rPr>
          <w:rFonts w:ascii="Arial" w:hAnsi="Arial" w:cs="Arial"/>
        </w:rPr>
        <w:t>Bauer, F. and Friesl, M. (2022). Synergy Evaluation in Mergers and Acquisitions – an Attention</w:t>
      </w:r>
      <w:r w:rsidRPr="0024569B">
        <w:rPr>
          <w:rFonts w:ascii="Cambria Math" w:hAnsi="Cambria Math" w:cs="Cambria Math"/>
        </w:rPr>
        <w:t>‐</w:t>
      </w:r>
      <w:r w:rsidRPr="0024569B">
        <w:rPr>
          <w:rFonts w:ascii="Arial" w:hAnsi="Arial" w:cs="Arial"/>
        </w:rPr>
        <w:t>Based</w:t>
      </w:r>
      <w:r w:rsidRPr="0024569B">
        <w:rPr>
          <w:rFonts w:ascii="Cambria Math" w:hAnsi="Cambria Math" w:cs="Cambria Math"/>
        </w:rPr>
        <w:t>‐</w:t>
      </w:r>
      <w:r w:rsidRPr="0024569B">
        <w:rPr>
          <w:rFonts w:ascii="Arial" w:hAnsi="Arial" w:cs="Arial"/>
        </w:rPr>
        <w:t xml:space="preserve">View. </w:t>
      </w:r>
      <w:r w:rsidRPr="0024569B">
        <w:rPr>
          <w:rFonts w:ascii="Arial" w:hAnsi="Arial" w:cs="Arial"/>
          <w:i/>
          <w:iCs/>
        </w:rPr>
        <w:t>Journal of Management Studies</w:t>
      </w:r>
      <w:r w:rsidRPr="0024569B">
        <w:rPr>
          <w:rFonts w:ascii="Arial" w:hAnsi="Arial" w:cs="Arial"/>
        </w:rPr>
        <w:t xml:space="preserve">, [online] 1(1), pp.37–68. </w:t>
      </w:r>
      <w:proofErr w:type="spellStart"/>
      <w:r w:rsidRPr="0024569B">
        <w:rPr>
          <w:rFonts w:ascii="Arial" w:hAnsi="Arial" w:cs="Arial"/>
        </w:rPr>
        <w:t>doi:https</w:t>
      </w:r>
      <w:proofErr w:type="spellEnd"/>
      <w:r w:rsidRPr="0024569B">
        <w:rPr>
          <w:rFonts w:ascii="Arial" w:hAnsi="Arial" w:cs="Arial"/>
        </w:rPr>
        <w:t>://doi.org/10.1111/joms.12804.</w:t>
      </w:r>
    </w:p>
    <w:p w14:paraId="7919F30D" w14:textId="77777777" w:rsidR="0024569B" w:rsidRPr="007111BB" w:rsidRDefault="0024569B" w:rsidP="00D715E3">
      <w:pPr>
        <w:spacing w:before="120" w:after="0" w:line="360" w:lineRule="auto"/>
        <w:jc w:val="both"/>
        <w:rPr>
          <w:rFonts w:ascii="Arial" w:hAnsi="Arial" w:cs="Arial"/>
        </w:rPr>
      </w:pPr>
      <w:r w:rsidRPr="007111BB">
        <w:rPr>
          <w:rFonts w:ascii="Arial" w:hAnsi="Arial" w:cs="Arial"/>
        </w:rPr>
        <w:t xml:space="preserve">Chen, J. (2019). </w:t>
      </w:r>
      <w:r w:rsidRPr="007111BB">
        <w:rPr>
          <w:rFonts w:ascii="Arial" w:hAnsi="Arial" w:cs="Arial"/>
          <w:i/>
          <w:iCs/>
        </w:rPr>
        <w:t>What Happens in Divestitures</w:t>
      </w:r>
      <w:r w:rsidRPr="007111BB">
        <w:rPr>
          <w:rFonts w:ascii="Arial" w:hAnsi="Arial" w:cs="Arial"/>
        </w:rPr>
        <w:t>. [online] Investopedia. Available at: https://www.investopedia.com/terms/d/divestiture.asp.</w:t>
      </w:r>
    </w:p>
    <w:p w14:paraId="738E2611" w14:textId="77777777" w:rsidR="0024569B" w:rsidRPr="00F94AF5" w:rsidRDefault="0024569B" w:rsidP="00D715E3">
      <w:pPr>
        <w:spacing w:before="120" w:after="0" w:line="360" w:lineRule="auto"/>
        <w:jc w:val="both"/>
        <w:rPr>
          <w:rFonts w:ascii="Arial" w:hAnsi="Arial" w:cs="Arial"/>
        </w:rPr>
      </w:pPr>
      <w:r w:rsidRPr="00F94AF5">
        <w:rPr>
          <w:rFonts w:ascii="Arial" w:hAnsi="Arial" w:cs="Arial"/>
        </w:rPr>
        <w:t xml:space="preserve">Hargrave, M. (2024). </w:t>
      </w:r>
      <w:r w:rsidRPr="00F94AF5">
        <w:rPr>
          <w:rFonts w:ascii="Arial" w:hAnsi="Arial" w:cs="Arial"/>
          <w:i/>
          <w:iCs/>
        </w:rPr>
        <w:t>Merger: Definition, How It Works With Types and Examples</w:t>
      </w:r>
      <w:r w:rsidRPr="00F94AF5">
        <w:rPr>
          <w:rFonts w:ascii="Arial" w:hAnsi="Arial" w:cs="Arial"/>
        </w:rPr>
        <w:t>. [online] Investopedia. Available at: https://www.investopedia.com/terms/m/merger.asp.</w:t>
      </w:r>
    </w:p>
    <w:p w14:paraId="2F574D31" w14:textId="77777777" w:rsidR="0024569B" w:rsidRPr="007111BB" w:rsidRDefault="0024569B" w:rsidP="00D715E3">
      <w:pPr>
        <w:spacing w:before="120" w:after="0" w:line="360" w:lineRule="auto"/>
        <w:jc w:val="both"/>
        <w:rPr>
          <w:rFonts w:ascii="Arial" w:hAnsi="Arial" w:cs="Arial"/>
        </w:rPr>
      </w:pPr>
      <w:proofErr w:type="spellStart"/>
      <w:r w:rsidRPr="007111BB">
        <w:rPr>
          <w:rFonts w:ascii="Arial" w:hAnsi="Arial" w:cs="Arial"/>
        </w:rPr>
        <w:t>Heliani</w:t>
      </w:r>
      <w:proofErr w:type="spellEnd"/>
      <w:r w:rsidRPr="007111BB">
        <w:rPr>
          <w:rFonts w:ascii="Arial" w:hAnsi="Arial" w:cs="Arial"/>
        </w:rPr>
        <w:t xml:space="preserve">, Mareta, F., Ulhaq, A., </w:t>
      </w:r>
      <w:proofErr w:type="spellStart"/>
      <w:r w:rsidRPr="007111BB">
        <w:rPr>
          <w:rFonts w:ascii="Arial" w:hAnsi="Arial" w:cs="Arial"/>
        </w:rPr>
        <w:t>Resfitasari</w:t>
      </w:r>
      <w:proofErr w:type="spellEnd"/>
      <w:r w:rsidRPr="007111BB">
        <w:rPr>
          <w:rFonts w:ascii="Arial" w:hAnsi="Arial" w:cs="Arial"/>
        </w:rPr>
        <w:t xml:space="preserve">, E., </w:t>
      </w:r>
      <w:proofErr w:type="spellStart"/>
      <w:r w:rsidRPr="007111BB">
        <w:rPr>
          <w:rFonts w:ascii="Arial" w:hAnsi="Arial" w:cs="Arial"/>
        </w:rPr>
        <w:t>Febriani</w:t>
      </w:r>
      <w:proofErr w:type="spellEnd"/>
      <w:r w:rsidRPr="007111BB">
        <w:rPr>
          <w:rFonts w:ascii="Arial" w:hAnsi="Arial" w:cs="Arial"/>
        </w:rPr>
        <w:t xml:space="preserve">, I. and Elisah, S. (2022). Effect of Debt to Equity Ratio, Current Ratio, Total Assets Turnover, Earning Per Share, Price Earning-Ratio, Sales Growth, and Net Profit Margin on Return on Equity. </w:t>
      </w:r>
      <w:r w:rsidRPr="007111BB">
        <w:rPr>
          <w:rFonts w:ascii="Arial" w:hAnsi="Arial" w:cs="Arial"/>
          <w:i/>
          <w:iCs/>
        </w:rPr>
        <w:t>Proceedings of the International Conference on Economics, Management and Accounting (ICEMAC 2021)</w:t>
      </w:r>
      <w:r w:rsidRPr="007111BB">
        <w:rPr>
          <w:rFonts w:ascii="Arial" w:hAnsi="Arial" w:cs="Arial"/>
        </w:rPr>
        <w:t xml:space="preserve">. </w:t>
      </w:r>
      <w:proofErr w:type="spellStart"/>
      <w:r w:rsidRPr="007111BB">
        <w:rPr>
          <w:rFonts w:ascii="Arial" w:hAnsi="Arial" w:cs="Arial"/>
        </w:rPr>
        <w:t>doi:https</w:t>
      </w:r>
      <w:proofErr w:type="spellEnd"/>
      <w:r w:rsidRPr="007111BB">
        <w:rPr>
          <w:rFonts w:ascii="Arial" w:hAnsi="Arial" w:cs="Arial"/>
        </w:rPr>
        <w:t>://doi.org/10.2991/aebmr.k.220204.047.</w:t>
      </w:r>
    </w:p>
    <w:p w14:paraId="433923BF" w14:textId="77777777" w:rsidR="0024569B" w:rsidRPr="00F94AF5" w:rsidRDefault="0024569B" w:rsidP="00D715E3">
      <w:pPr>
        <w:spacing w:before="120" w:after="0" w:line="360" w:lineRule="auto"/>
        <w:jc w:val="both"/>
        <w:rPr>
          <w:rFonts w:ascii="Arial" w:hAnsi="Arial" w:cs="Arial"/>
        </w:rPr>
      </w:pPr>
      <w:r w:rsidRPr="00F94AF5">
        <w:rPr>
          <w:rFonts w:ascii="Arial" w:hAnsi="Arial" w:cs="Arial"/>
        </w:rPr>
        <w:t xml:space="preserve">Islam, </w:t>
      </w:r>
      <w:proofErr w:type="spellStart"/>
      <w:r w:rsidRPr="00F94AF5">
        <w:rPr>
          <w:rFonts w:ascii="Arial" w:hAnsi="Arial" w:cs="Arial"/>
        </w:rPr>
        <w:t>Md.R</w:t>
      </w:r>
      <w:proofErr w:type="spellEnd"/>
      <w:r w:rsidRPr="00F94AF5">
        <w:rPr>
          <w:rFonts w:ascii="Arial" w:hAnsi="Arial" w:cs="Arial"/>
        </w:rPr>
        <w:t xml:space="preserve">. (2023). How to Achieve Financial Flexibility: the Role of Corporate Governance. </w:t>
      </w:r>
      <w:r w:rsidRPr="00F94AF5">
        <w:rPr>
          <w:rFonts w:ascii="Arial" w:hAnsi="Arial" w:cs="Arial"/>
          <w:i/>
          <w:iCs/>
        </w:rPr>
        <w:t>Journal of the Knowledge Economy</w:t>
      </w:r>
      <w:r w:rsidRPr="00F94AF5">
        <w:rPr>
          <w:rFonts w:ascii="Arial" w:hAnsi="Arial" w:cs="Arial"/>
        </w:rPr>
        <w:t xml:space="preserve">. </w:t>
      </w:r>
      <w:proofErr w:type="spellStart"/>
      <w:r w:rsidRPr="00F94AF5">
        <w:rPr>
          <w:rFonts w:ascii="Arial" w:hAnsi="Arial" w:cs="Arial"/>
        </w:rPr>
        <w:t>doi:https</w:t>
      </w:r>
      <w:proofErr w:type="spellEnd"/>
      <w:r w:rsidRPr="00F94AF5">
        <w:rPr>
          <w:rFonts w:ascii="Arial" w:hAnsi="Arial" w:cs="Arial"/>
        </w:rPr>
        <w:t>://doi.org/10.1007/s13132-023-01182-3.</w:t>
      </w:r>
    </w:p>
    <w:p w14:paraId="021D3327" w14:textId="77777777" w:rsidR="0024569B" w:rsidRPr="007111BB" w:rsidRDefault="0024569B" w:rsidP="00D715E3">
      <w:pPr>
        <w:spacing w:before="120" w:after="0" w:line="360" w:lineRule="auto"/>
        <w:jc w:val="both"/>
        <w:rPr>
          <w:rFonts w:ascii="Arial" w:hAnsi="Arial" w:cs="Arial"/>
        </w:rPr>
      </w:pPr>
      <w:proofErr w:type="spellStart"/>
      <w:r w:rsidRPr="007111BB">
        <w:rPr>
          <w:rFonts w:ascii="Arial" w:hAnsi="Arial" w:cs="Arial"/>
        </w:rPr>
        <w:t>Lufiyandi</w:t>
      </w:r>
      <w:proofErr w:type="spellEnd"/>
      <w:r w:rsidRPr="007111BB">
        <w:rPr>
          <w:rFonts w:ascii="Arial" w:hAnsi="Arial" w:cs="Arial"/>
        </w:rPr>
        <w:t xml:space="preserve"> </w:t>
      </w:r>
      <w:proofErr w:type="spellStart"/>
      <w:r w:rsidRPr="007111BB">
        <w:rPr>
          <w:rFonts w:ascii="Arial" w:hAnsi="Arial" w:cs="Arial"/>
        </w:rPr>
        <w:t>Supriatman</w:t>
      </w:r>
      <w:proofErr w:type="spellEnd"/>
      <w:r w:rsidRPr="007111BB">
        <w:rPr>
          <w:rFonts w:ascii="Arial" w:hAnsi="Arial" w:cs="Arial"/>
        </w:rPr>
        <w:t xml:space="preserve"> and </w:t>
      </w:r>
      <w:proofErr w:type="spellStart"/>
      <w:r w:rsidRPr="007111BB">
        <w:rPr>
          <w:rFonts w:ascii="Arial" w:hAnsi="Arial" w:cs="Arial"/>
        </w:rPr>
        <w:t>Judiarni</w:t>
      </w:r>
      <w:proofErr w:type="spellEnd"/>
      <w:r w:rsidRPr="007111BB">
        <w:rPr>
          <w:rFonts w:ascii="Arial" w:hAnsi="Arial" w:cs="Arial"/>
        </w:rPr>
        <w:t xml:space="preserve">, J.A. (2023). The Impact of Quick Ratio, Debt to Equity Ratio, Firm Size, and COVID-19 Toward Return on Equity: A Case Study of Tourism, Restaurant, and Hotel Companies Listed on the Indonesia Stock Exchange (IDX). </w:t>
      </w:r>
      <w:proofErr w:type="gramStart"/>
      <w:r w:rsidRPr="007111BB">
        <w:rPr>
          <w:rFonts w:ascii="Arial" w:hAnsi="Arial" w:cs="Arial"/>
          <w:i/>
          <w:iCs/>
        </w:rPr>
        <w:t xml:space="preserve">ECOBESTHA </w:t>
      </w:r>
      <w:r w:rsidRPr="007111BB">
        <w:rPr>
          <w:rFonts w:ascii="Arial" w:hAnsi="Arial" w:cs="Arial"/>
        </w:rPr>
        <w:t>,</w:t>
      </w:r>
      <w:proofErr w:type="gramEnd"/>
      <w:r w:rsidRPr="007111BB">
        <w:rPr>
          <w:rFonts w:ascii="Arial" w:hAnsi="Arial" w:cs="Arial"/>
        </w:rPr>
        <w:t xml:space="preserve"> [online] 2, pp.272–289. Available at: https://conference.univpancasila.ac.id/index.php/ecobestha/article/view/78.</w:t>
      </w:r>
    </w:p>
    <w:p w14:paraId="35400DB3" w14:textId="77777777" w:rsidR="0024569B" w:rsidRPr="00F94AF5" w:rsidRDefault="0024569B" w:rsidP="00D715E3">
      <w:pPr>
        <w:spacing w:before="120" w:after="0" w:line="360" w:lineRule="auto"/>
        <w:jc w:val="both"/>
        <w:rPr>
          <w:rFonts w:ascii="Arial" w:hAnsi="Arial" w:cs="Arial"/>
        </w:rPr>
      </w:pPr>
      <w:r w:rsidRPr="00F94AF5">
        <w:rPr>
          <w:rFonts w:ascii="Arial" w:hAnsi="Arial" w:cs="Arial"/>
        </w:rPr>
        <w:lastRenderedPageBreak/>
        <w:t xml:space="preserve">Munsanje, Abednego Nchimunya (2021). </w:t>
      </w:r>
      <w:r w:rsidRPr="00F94AF5">
        <w:rPr>
          <w:rFonts w:ascii="Arial" w:hAnsi="Arial" w:cs="Arial"/>
          <w:i/>
          <w:iCs/>
        </w:rPr>
        <w:t>The performance of non-core property assets held by a state owned enterprise: a case study of Transnet</w:t>
      </w:r>
      <w:r w:rsidRPr="00F94AF5">
        <w:rPr>
          <w:rFonts w:ascii="Arial" w:hAnsi="Arial" w:cs="Arial"/>
        </w:rPr>
        <w:t>. [online] Handle.net. Available at: http://hdl.handle.net/11427/33860 [Accessed 19 Dec. 2025].</w:t>
      </w:r>
    </w:p>
    <w:p w14:paraId="755A5E26" w14:textId="77777777" w:rsidR="0024569B" w:rsidRPr="007111BB" w:rsidRDefault="0024569B" w:rsidP="00D715E3">
      <w:pPr>
        <w:spacing w:before="120" w:after="0" w:line="360" w:lineRule="auto"/>
        <w:jc w:val="both"/>
        <w:rPr>
          <w:rFonts w:ascii="Arial" w:hAnsi="Arial" w:cs="Arial"/>
        </w:rPr>
      </w:pPr>
      <w:r w:rsidRPr="007111BB">
        <w:rPr>
          <w:rFonts w:ascii="Arial" w:hAnsi="Arial" w:cs="Arial"/>
        </w:rPr>
        <w:t xml:space="preserve">Nicolas, T. (2021). Short-term financial constraints and SMEs’ investment decision: evidence from the working capital channel. </w:t>
      </w:r>
      <w:r w:rsidRPr="007111BB">
        <w:rPr>
          <w:rFonts w:ascii="Arial" w:hAnsi="Arial" w:cs="Arial"/>
          <w:i/>
          <w:iCs/>
        </w:rPr>
        <w:t>Small Business Economics</w:t>
      </w:r>
      <w:r w:rsidRPr="007111BB">
        <w:rPr>
          <w:rFonts w:ascii="Arial" w:hAnsi="Arial" w:cs="Arial"/>
        </w:rPr>
        <w:t xml:space="preserve">, [online] 58(4). </w:t>
      </w:r>
      <w:proofErr w:type="spellStart"/>
      <w:r w:rsidRPr="007111BB">
        <w:rPr>
          <w:rFonts w:ascii="Arial" w:hAnsi="Arial" w:cs="Arial"/>
        </w:rPr>
        <w:t>doi:https</w:t>
      </w:r>
      <w:proofErr w:type="spellEnd"/>
      <w:r w:rsidRPr="007111BB">
        <w:rPr>
          <w:rFonts w:ascii="Arial" w:hAnsi="Arial" w:cs="Arial"/>
        </w:rPr>
        <w:t>://doi.org/10.1007/s11187-021-00488-3.</w:t>
      </w:r>
    </w:p>
    <w:p w14:paraId="26DACBA5" w14:textId="77777777" w:rsidR="0024569B" w:rsidRPr="0024569B" w:rsidRDefault="0024569B" w:rsidP="0024569B">
      <w:pPr>
        <w:spacing w:before="120" w:after="0" w:line="360" w:lineRule="auto"/>
        <w:jc w:val="both"/>
        <w:rPr>
          <w:rFonts w:ascii="Arial" w:hAnsi="Arial" w:cs="Arial"/>
        </w:rPr>
      </w:pPr>
      <w:proofErr w:type="spellStart"/>
      <w:r w:rsidRPr="0024569B">
        <w:rPr>
          <w:rFonts w:ascii="Arial" w:hAnsi="Arial" w:cs="Arial"/>
        </w:rPr>
        <w:t>Partacz</w:t>
      </w:r>
      <w:proofErr w:type="spellEnd"/>
      <w:r w:rsidRPr="0024569B">
        <w:rPr>
          <w:rFonts w:ascii="Arial" w:hAnsi="Arial" w:cs="Arial"/>
        </w:rPr>
        <w:t xml:space="preserve">, K. (2022). Creating value through synergy in mergers and acquisitions. </w:t>
      </w:r>
      <w:r w:rsidRPr="0024569B">
        <w:rPr>
          <w:rFonts w:ascii="Arial" w:hAnsi="Arial" w:cs="Arial"/>
          <w:i/>
          <w:iCs/>
        </w:rPr>
        <w:t>Scientific Journal of Bielsko-Biala School of Finance and Law</w:t>
      </w:r>
      <w:r w:rsidRPr="0024569B">
        <w:rPr>
          <w:rFonts w:ascii="Arial" w:hAnsi="Arial" w:cs="Arial"/>
        </w:rPr>
        <w:t xml:space="preserve">, [online] 26(4), pp.18–25. </w:t>
      </w:r>
      <w:proofErr w:type="spellStart"/>
      <w:r w:rsidRPr="0024569B">
        <w:rPr>
          <w:rFonts w:ascii="Arial" w:hAnsi="Arial" w:cs="Arial"/>
        </w:rPr>
        <w:t>doi:https</w:t>
      </w:r>
      <w:proofErr w:type="spellEnd"/>
      <w:r w:rsidRPr="0024569B">
        <w:rPr>
          <w:rFonts w:ascii="Arial" w:hAnsi="Arial" w:cs="Arial"/>
        </w:rPr>
        <w:t>://doi.org/10.19192/wsfip.sj4.2022.3.</w:t>
      </w:r>
    </w:p>
    <w:p w14:paraId="32C34BE3" w14:textId="77777777" w:rsidR="0024569B" w:rsidRPr="00F94AF5" w:rsidRDefault="0024569B" w:rsidP="00D715E3">
      <w:pPr>
        <w:spacing w:before="120" w:after="0" w:line="360" w:lineRule="auto"/>
        <w:jc w:val="both"/>
        <w:rPr>
          <w:rFonts w:ascii="Arial" w:hAnsi="Arial" w:cs="Arial"/>
        </w:rPr>
      </w:pPr>
      <w:proofErr w:type="spellStart"/>
      <w:r w:rsidRPr="00F94AF5">
        <w:rPr>
          <w:rFonts w:ascii="Arial" w:hAnsi="Arial" w:cs="Arial"/>
        </w:rPr>
        <w:t>Porcuna</w:t>
      </w:r>
      <w:proofErr w:type="spellEnd"/>
      <w:r w:rsidRPr="00F94AF5">
        <w:rPr>
          <w:rFonts w:ascii="Arial" w:hAnsi="Arial" w:cs="Arial"/>
        </w:rPr>
        <w:t xml:space="preserve"> </w:t>
      </w:r>
      <w:proofErr w:type="spellStart"/>
      <w:r w:rsidRPr="00F94AF5">
        <w:rPr>
          <w:rFonts w:ascii="Arial" w:hAnsi="Arial" w:cs="Arial"/>
        </w:rPr>
        <w:t>Enguix</w:t>
      </w:r>
      <w:proofErr w:type="spellEnd"/>
      <w:r w:rsidRPr="00F94AF5">
        <w:rPr>
          <w:rFonts w:ascii="Arial" w:hAnsi="Arial" w:cs="Arial"/>
        </w:rPr>
        <w:t xml:space="preserve">, L. (2021). The New EU Remuneration Policy as Good but Not Desired Corporate Governance Mechanism and the Role of CSR Disclosing. </w:t>
      </w:r>
      <w:r w:rsidRPr="00F94AF5">
        <w:rPr>
          <w:rFonts w:ascii="Arial" w:hAnsi="Arial" w:cs="Arial"/>
          <w:i/>
          <w:iCs/>
        </w:rPr>
        <w:t>Sustainability</w:t>
      </w:r>
      <w:r w:rsidRPr="00F94AF5">
        <w:rPr>
          <w:rFonts w:ascii="Arial" w:hAnsi="Arial" w:cs="Arial"/>
        </w:rPr>
        <w:t xml:space="preserve">, 13(10), p.5476. </w:t>
      </w:r>
      <w:proofErr w:type="spellStart"/>
      <w:r w:rsidRPr="00F94AF5">
        <w:rPr>
          <w:rFonts w:ascii="Arial" w:hAnsi="Arial" w:cs="Arial"/>
        </w:rPr>
        <w:t>doi:https</w:t>
      </w:r>
      <w:proofErr w:type="spellEnd"/>
      <w:r w:rsidRPr="00F94AF5">
        <w:rPr>
          <w:rFonts w:ascii="Arial" w:hAnsi="Arial" w:cs="Arial"/>
        </w:rPr>
        <w:t>://doi.org/10.3390/su13105476.</w:t>
      </w:r>
    </w:p>
    <w:p w14:paraId="0943203B" w14:textId="77777777" w:rsidR="0024569B" w:rsidRPr="007111BB" w:rsidRDefault="0024569B" w:rsidP="00D715E3">
      <w:pPr>
        <w:spacing w:before="120" w:after="0" w:line="360" w:lineRule="auto"/>
        <w:jc w:val="both"/>
        <w:rPr>
          <w:rFonts w:ascii="Arial" w:hAnsi="Arial" w:cs="Arial"/>
        </w:rPr>
      </w:pPr>
      <w:r w:rsidRPr="007111BB">
        <w:rPr>
          <w:rFonts w:ascii="Arial" w:hAnsi="Arial" w:cs="Arial"/>
        </w:rPr>
        <w:t xml:space="preserve">Rachman, S., </w:t>
      </w:r>
      <w:proofErr w:type="spellStart"/>
      <w:r w:rsidRPr="007111BB">
        <w:rPr>
          <w:rFonts w:ascii="Arial" w:hAnsi="Arial" w:cs="Arial"/>
        </w:rPr>
        <w:t>Karyatun</w:t>
      </w:r>
      <w:proofErr w:type="spellEnd"/>
      <w:r w:rsidRPr="007111BB">
        <w:rPr>
          <w:rFonts w:ascii="Arial" w:hAnsi="Arial" w:cs="Arial"/>
        </w:rPr>
        <w:t xml:space="preserve">, S. and </w:t>
      </w:r>
      <w:proofErr w:type="spellStart"/>
      <w:r w:rsidRPr="007111BB">
        <w:rPr>
          <w:rFonts w:ascii="Arial" w:hAnsi="Arial" w:cs="Arial"/>
        </w:rPr>
        <w:t>Digdowiseiso</w:t>
      </w:r>
      <w:proofErr w:type="spellEnd"/>
      <w:r w:rsidRPr="007111BB">
        <w:rPr>
          <w:rFonts w:ascii="Arial" w:hAnsi="Arial" w:cs="Arial"/>
        </w:rPr>
        <w:t xml:space="preserve">, K. (2023). The Effect of Current Ratio, Debt to Equity Ratio, Debt to Asset Ratio, and Total Asset Turnover on The Financial Performance of Property and Real Estate Companies Listed in The </w:t>
      </w:r>
      <w:proofErr w:type="spellStart"/>
      <w:r w:rsidRPr="007111BB">
        <w:rPr>
          <w:rFonts w:ascii="Arial" w:hAnsi="Arial" w:cs="Arial"/>
        </w:rPr>
        <w:t>Idx</w:t>
      </w:r>
      <w:proofErr w:type="spellEnd"/>
      <w:r w:rsidRPr="007111BB">
        <w:rPr>
          <w:rFonts w:ascii="Arial" w:hAnsi="Arial" w:cs="Arial"/>
        </w:rPr>
        <w:t xml:space="preserve"> For The 20162020 Period. </w:t>
      </w:r>
      <w:proofErr w:type="spellStart"/>
      <w:r w:rsidRPr="007111BB">
        <w:rPr>
          <w:rFonts w:ascii="Arial" w:hAnsi="Arial" w:cs="Arial"/>
          <w:i/>
          <w:iCs/>
        </w:rPr>
        <w:t>Jurnal</w:t>
      </w:r>
      <w:proofErr w:type="spellEnd"/>
      <w:r w:rsidRPr="007111BB">
        <w:rPr>
          <w:rFonts w:ascii="Arial" w:hAnsi="Arial" w:cs="Arial"/>
          <w:i/>
          <w:iCs/>
        </w:rPr>
        <w:t xml:space="preserve"> Syntax Admiration</w:t>
      </w:r>
      <w:r w:rsidRPr="007111BB">
        <w:rPr>
          <w:rFonts w:ascii="Arial" w:hAnsi="Arial" w:cs="Arial"/>
        </w:rPr>
        <w:t xml:space="preserve">, [online] 4(2), pp.361–377. </w:t>
      </w:r>
      <w:proofErr w:type="spellStart"/>
      <w:r w:rsidRPr="007111BB">
        <w:rPr>
          <w:rFonts w:ascii="Arial" w:hAnsi="Arial" w:cs="Arial"/>
        </w:rPr>
        <w:t>doi:https</w:t>
      </w:r>
      <w:proofErr w:type="spellEnd"/>
      <w:r w:rsidRPr="007111BB">
        <w:rPr>
          <w:rFonts w:ascii="Arial" w:hAnsi="Arial" w:cs="Arial"/>
        </w:rPr>
        <w:t>://doi.org/10.46799/jsa.v4i2.904.</w:t>
      </w:r>
    </w:p>
    <w:p w14:paraId="6F3825F6" w14:textId="77777777" w:rsidR="0024569B" w:rsidRPr="007111BB" w:rsidRDefault="0024569B" w:rsidP="00D715E3">
      <w:pPr>
        <w:spacing w:before="120" w:after="0" w:line="360" w:lineRule="auto"/>
        <w:jc w:val="both"/>
        <w:rPr>
          <w:rFonts w:ascii="Arial" w:hAnsi="Arial" w:cs="Arial"/>
        </w:rPr>
      </w:pPr>
      <w:proofErr w:type="spellStart"/>
      <w:r w:rsidRPr="007111BB">
        <w:rPr>
          <w:rFonts w:ascii="Arial" w:hAnsi="Arial" w:cs="Arial"/>
        </w:rPr>
        <w:t>Sunmola</w:t>
      </w:r>
      <w:proofErr w:type="spellEnd"/>
      <w:r w:rsidRPr="007111BB">
        <w:rPr>
          <w:rFonts w:ascii="Arial" w:hAnsi="Arial" w:cs="Arial"/>
        </w:rPr>
        <w:t xml:space="preserve">, P. (2021). </w:t>
      </w:r>
      <w:r w:rsidRPr="007111BB">
        <w:rPr>
          <w:rFonts w:ascii="Arial" w:hAnsi="Arial" w:cs="Arial"/>
          <w:i/>
          <w:iCs/>
        </w:rPr>
        <w:t>THE USE OF CASH FLOW RATIOS FOR RISK EVALUATION IN AN ORGANISATION</w:t>
      </w:r>
      <w:r w:rsidRPr="007111BB">
        <w:rPr>
          <w:rFonts w:ascii="Arial" w:hAnsi="Arial" w:cs="Arial"/>
        </w:rPr>
        <w:t>. [online] Available at: https://digikogu.taltech.ee/en/Download/851f7a87-f40e-440d-8614-6f8990b216f9/Rahavoogudesuhtarvudekasutamineorganisatsiooni.pdf.</w:t>
      </w:r>
    </w:p>
    <w:p w14:paraId="581546DA" w14:textId="77777777" w:rsidR="0024569B" w:rsidRPr="0024569B" w:rsidRDefault="0024569B" w:rsidP="0024569B">
      <w:pPr>
        <w:spacing w:before="120" w:after="0" w:line="360" w:lineRule="auto"/>
        <w:jc w:val="both"/>
        <w:rPr>
          <w:rFonts w:ascii="Arial" w:hAnsi="Arial" w:cs="Arial"/>
        </w:rPr>
      </w:pPr>
      <w:r w:rsidRPr="0024569B">
        <w:rPr>
          <w:rFonts w:ascii="Arial" w:hAnsi="Arial" w:cs="Arial"/>
        </w:rPr>
        <w:t xml:space="preserve">Thomas, M. and </w:t>
      </w:r>
      <w:proofErr w:type="spellStart"/>
      <w:r w:rsidRPr="0024569B">
        <w:rPr>
          <w:rFonts w:ascii="Arial" w:hAnsi="Arial" w:cs="Arial"/>
        </w:rPr>
        <w:t>Louisgrand</w:t>
      </w:r>
      <w:proofErr w:type="spellEnd"/>
      <w:r w:rsidRPr="0024569B">
        <w:rPr>
          <w:rFonts w:ascii="Arial" w:hAnsi="Arial" w:cs="Arial"/>
        </w:rPr>
        <w:t xml:space="preserve">, N. (2022). How does decision-making involvement affect perceptions of speed during post-merger integration? </w:t>
      </w:r>
      <w:r w:rsidRPr="0024569B">
        <w:rPr>
          <w:rFonts w:ascii="Arial" w:hAnsi="Arial" w:cs="Arial"/>
          <w:i/>
          <w:iCs/>
        </w:rPr>
        <w:t>European Management Journal</w:t>
      </w:r>
      <w:r w:rsidRPr="0024569B">
        <w:rPr>
          <w:rFonts w:ascii="Arial" w:hAnsi="Arial" w:cs="Arial"/>
        </w:rPr>
        <w:t xml:space="preserve">. </w:t>
      </w:r>
      <w:proofErr w:type="spellStart"/>
      <w:r w:rsidRPr="0024569B">
        <w:rPr>
          <w:rFonts w:ascii="Arial" w:hAnsi="Arial" w:cs="Arial"/>
        </w:rPr>
        <w:t>doi:https</w:t>
      </w:r>
      <w:proofErr w:type="spellEnd"/>
      <w:r w:rsidRPr="0024569B">
        <w:rPr>
          <w:rFonts w:ascii="Arial" w:hAnsi="Arial" w:cs="Arial"/>
        </w:rPr>
        <w:t>://doi.org/10.1016/j.emj.2022.10.005.</w:t>
      </w:r>
    </w:p>
    <w:p w14:paraId="434BF608" w14:textId="77777777" w:rsidR="0024569B" w:rsidRDefault="0024569B" w:rsidP="00D715E3">
      <w:pPr>
        <w:spacing w:before="120" w:after="0" w:line="360" w:lineRule="auto"/>
        <w:jc w:val="both"/>
        <w:rPr>
          <w:rFonts w:ascii="Arial" w:hAnsi="Arial" w:cs="Arial"/>
        </w:rPr>
      </w:pPr>
      <w:r w:rsidRPr="007111BB">
        <w:rPr>
          <w:rFonts w:ascii="Arial" w:hAnsi="Arial" w:cs="Arial"/>
        </w:rPr>
        <w:t xml:space="preserve">Utami, R., Muslih, M. and </w:t>
      </w:r>
      <w:proofErr w:type="spellStart"/>
      <w:r w:rsidRPr="007111BB">
        <w:rPr>
          <w:rFonts w:ascii="Arial" w:hAnsi="Arial" w:cs="Arial"/>
        </w:rPr>
        <w:t>Csra</w:t>
      </w:r>
      <w:proofErr w:type="spellEnd"/>
      <w:r w:rsidRPr="007111BB">
        <w:rPr>
          <w:rFonts w:ascii="Arial" w:hAnsi="Arial" w:cs="Arial"/>
        </w:rPr>
        <w:t xml:space="preserve">, M. (2022). </w:t>
      </w:r>
      <w:r w:rsidRPr="007111BB">
        <w:rPr>
          <w:rFonts w:ascii="Arial" w:hAnsi="Arial" w:cs="Arial"/>
          <w:i/>
          <w:iCs/>
        </w:rPr>
        <w:t>The Effect of Total Asset Turnover Ratio, Return on Asset, and Dividend Policy on The Investment Opportunity Set (IOS)</w:t>
      </w:r>
      <w:r w:rsidRPr="007111BB">
        <w:rPr>
          <w:rFonts w:ascii="Arial" w:hAnsi="Arial" w:cs="Arial"/>
        </w:rPr>
        <w:t xml:space="preserve">. [online] Available at: </w:t>
      </w:r>
      <w:hyperlink r:id="rId18" w:history="1">
        <w:r w:rsidRPr="00A92BA6">
          <w:rPr>
            <w:rStyle w:val="Hyperlink"/>
            <w:rFonts w:ascii="Arial" w:hAnsi="Arial" w:cs="Arial"/>
          </w:rPr>
          <w:t>https://ieomsociety.org/proceedings/2022malaysia/644.pdf</w:t>
        </w:r>
      </w:hyperlink>
      <w:r w:rsidRPr="007111BB">
        <w:rPr>
          <w:rFonts w:ascii="Arial" w:hAnsi="Arial" w:cs="Arial"/>
        </w:rPr>
        <w:t>.</w:t>
      </w:r>
    </w:p>
    <w:p w14:paraId="542A6CC4" w14:textId="77777777" w:rsidR="0024569B" w:rsidRPr="0024569B" w:rsidRDefault="0024569B" w:rsidP="0024569B">
      <w:pPr>
        <w:spacing w:before="120" w:after="0" w:line="360" w:lineRule="auto"/>
        <w:jc w:val="both"/>
        <w:rPr>
          <w:rFonts w:ascii="Arial" w:hAnsi="Arial" w:cs="Arial"/>
        </w:rPr>
      </w:pPr>
      <w:r w:rsidRPr="0024569B">
        <w:rPr>
          <w:rFonts w:ascii="Arial" w:hAnsi="Arial" w:cs="Arial"/>
        </w:rPr>
        <w:t xml:space="preserve">Xiong, H., Liu, T. and Wang, Z. (2022). Financial effect of long-term policy equity injection: evidence from special construction funds in China. </w:t>
      </w:r>
      <w:r w:rsidRPr="0024569B">
        <w:rPr>
          <w:rFonts w:ascii="Arial" w:hAnsi="Arial" w:cs="Arial"/>
          <w:i/>
          <w:iCs/>
        </w:rPr>
        <w:t>Applied Economics</w:t>
      </w:r>
      <w:r w:rsidRPr="0024569B">
        <w:rPr>
          <w:rFonts w:ascii="Arial" w:hAnsi="Arial" w:cs="Arial"/>
        </w:rPr>
        <w:t xml:space="preserve">, 55(19), pp.2129–2145. </w:t>
      </w:r>
      <w:proofErr w:type="spellStart"/>
      <w:r w:rsidRPr="0024569B">
        <w:rPr>
          <w:rFonts w:ascii="Arial" w:hAnsi="Arial" w:cs="Arial"/>
        </w:rPr>
        <w:t>doi:https</w:t>
      </w:r>
      <w:proofErr w:type="spellEnd"/>
      <w:r w:rsidRPr="0024569B">
        <w:rPr>
          <w:rFonts w:ascii="Arial" w:hAnsi="Arial" w:cs="Arial"/>
        </w:rPr>
        <w:t>://doi.org/10.1080/00036846.2022.2102128.</w:t>
      </w:r>
    </w:p>
    <w:p w14:paraId="447C496B" w14:textId="618617E0" w:rsidR="001B49D2" w:rsidRDefault="001B49D2" w:rsidP="00A110C5">
      <w:pPr>
        <w:spacing w:before="120" w:after="0" w:line="360" w:lineRule="auto"/>
        <w:jc w:val="both"/>
        <w:rPr>
          <w:rFonts w:ascii="Arial" w:hAnsi="Arial" w:cs="Arial"/>
          <w:b/>
          <w:bCs/>
        </w:rPr>
        <w:sectPr w:rsidR="001B49D2" w:rsidSect="009A13E4">
          <w:footerReference w:type="default" r:id="rId19"/>
          <w:pgSz w:w="11906" w:h="16838" w:code="9"/>
          <w:pgMar w:top="1440" w:right="1440" w:bottom="1440" w:left="1440" w:header="720" w:footer="720" w:gutter="0"/>
          <w:pgNumType w:start="1"/>
          <w:cols w:space="720"/>
          <w:docGrid w:linePitch="360"/>
        </w:sectPr>
      </w:pPr>
    </w:p>
    <w:p w14:paraId="78A2C2F9" w14:textId="2668CB83" w:rsidR="00A110C5" w:rsidRDefault="00A110C5" w:rsidP="00112D41">
      <w:pPr>
        <w:pStyle w:val="Heading1"/>
      </w:pPr>
      <w:bookmarkStart w:id="61" w:name="_Toc217080798"/>
      <w:r w:rsidRPr="00A110C5">
        <w:lastRenderedPageBreak/>
        <w:t>Appendices</w:t>
      </w:r>
      <w:bookmarkEnd w:id="61"/>
    </w:p>
    <w:p w14:paraId="554F582D" w14:textId="134FEF43" w:rsidR="00A110C5" w:rsidRPr="00A110C5" w:rsidRDefault="00A110C5" w:rsidP="00112D41">
      <w:pPr>
        <w:pStyle w:val="Heading2"/>
      </w:pPr>
      <w:bookmarkStart w:id="62" w:name="_Toc217080799"/>
      <w:r>
        <w:t>Appendix-</w:t>
      </w:r>
      <w:r w:rsidR="00773554">
        <w:t xml:space="preserve"> </w:t>
      </w:r>
      <w:r w:rsidRPr="00A110C5">
        <w:t>1 Profitability Ratios</w:t>
      </w:r>
      <w:bookmarkEnd w:id="62"/>
    </w:p>
    <w:p w14:paraId="0FE907F8" w14:textId="77777777" w:rsidR="00A110C5" w:rsidRPr="00A110C5" w:rsidRDefault="00A110C5" w:rsidP="00A110C5">
      <w:pPr>
        <w:spacing w:before="120" w:after="0" w:line="360" w:lineRule="auto"/>
        <w:jc w:val="both"/>
        <w:rPr>
          <w:rFonts w:ascii="Arial" w:hAnsi="Arial" w:cs="Arial"/>
        </w:rPr>
      </w:pPr>
      <w:r w:rsidRPr="00A110C5">
        <w:rPr>
          <w:rFonts w:ascii="Arial" w:hAnsi="Arial" w:cs="Arial"/>
          <w:b/>
          <w:bCs/>
        </w:rPr>
        <w:t>Gross Profit Margin (GPM)</w:t>
      </w:r>
    </w:p>
    <w:p w14:paraId="79E35CE1" w14:textId="77777777" w:rsidR="00A110C5" w:rsidRPr="00A110C5" w:rsidRDefault="00A110C5" w:rsidP="00A110C5">
      <w:pPr>
        <w:spacing w:before="120" w:after="0" w:line="360" w:lineRule="auto"/>
        <w:jc w:val="both"/>
        <w:rPr>
          <w:rFonts w:ascii="Arial" w:hAnsi="Arial" w:cs="Arial"/>
        </w:rPr>
      </w:pPr>
      <m:oMathPara>
        <m:oMath>
          <m:r>
            <m:rPr>
              <m:nor/>
            </m:rPr>
            <w:rPr>
              <w:rFonts w:ascii="Arial" w:hAnsi="Arial" w:cs="Arial"/>
            </w:rPr>
            <m:t>GPM</m:t>
          </m:r>
          <m:r>
            <w:rPr>
              <w:rFonts w:ascii="Cambria Math" w:hAnsi="Cambria Math" w:cs="Arial"/>
            </w:rPr>
            <m:t>=</m:t>
          </m:r>
          <m:f>
            <m:fPr>
              <m:ctrlPr>
                <w:rPr>
                  <w:rFonts w:ascii="Cambria Math" w:hAnsi="Cambria Math" w:cs="Arial"/>
                </w:rPr>
              </m:ctrlPr>
            </m:fPr>
            <m:num>
              <m:r>
                <m:rPr>
                  <m:nor/>
                </m:rPr>
                <w:rPr>
                  <w:rFonts w:ascii="Arial" w:hAnsi="Arial" w:cs="Arial"/>
                </w:rPr>
                <m:t>Gross Profit</m:t>
              </m:r>
            </m:num>
            <m:den>
              <m:r>
                <m:rPr>
                  <m:nor/>
                </m:rPr>
                <w:rPr>
                  <w:rFonts w:ascii="Arial" w:hAnsi="Arial" w:cs="Arial"/>
                </w:rPr>
                <m:t>Net Sales</m:t>
              </m:r>
            </m:den>
          </m:f>
          <m:r>
            <w:rPr>
              <w:rFonts w:ascii="Cambria Math" w:hAnsi="Cambria Math" w:cs="Arial"/>
            </w:rPr>
            <m:t>×100</m:t>
          </m:r>
        </m:oMath>
      </m:oMathPara>
    </w:p>
    <w:tbl>
      <w:tblPr>
        <w:tblStyle w:val="GridTable1Light-Accent3"/>
        <w:tblW w:w="0" w:type="auto"/>
        <w:jc w:val="center"/>
        <w:tblLook w:val="04A0" w:firstRow="1" w:lastRow="0" w:firstColumn="1" w:lastColumn="0" w:noHBand="0" w:noVBand="1"/>
      </w:tblPr>
      <w:tblGrid>
        <w:gridCol w:w="750"/>
        <w:gridCol w:w="2177"/>
        <w:gridCol w:w="1870"/>
        <w:gridCol w:w="2897"/>
      </w:tblGrid>
      <w:tr w:rsidR="00A110C5" w:rsidRPr="00A110C5" w14:paraId="4332D72B" w14:textId="77777777" w:rsidTr="003A5B2C">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26F0EE3" w14:textId="77777777" w:rsidR="00A110C5" w:rsidRPr="00A110C5" w:rsidRDefault="00A110C5" w:rsidP="00DD45CD">
            <w:pPr>
              <w:spacing w:before="120" w:line="360" w:lineRule="auto"/>
              <w:jc w:val="center"/>
              <w:rPr>
                <w:rFonts w:ascii="Arial" w:hAnsi="Arial" w:cs="Arial"/>
                <w:b w:val="0"/>
                <w:bCs w:val="0"/>
              </w:rPr>
            </w:pPr>
            <w:r w:rsidRPr="00A110C5">
              <w:rPr>
                <w:rFonts w:ascii="Arial" w:hAnsi="Arial" w:cs="Arial"/>
              </w:rPr>
              <w:t>Year</w:t>
            </w:r>
          </w:p>
        </w:tc>
        <w:tc>
          <w:tcPr>
            <w:tcW w:w="0" w:type="auto"/>
            <w:hideMark/>
          </w:tcPr>
          <w:p w14:paraId="199AEAB7" w14:textId="77777777" w:rsidR="00A110C5" w:rsidRPr="00A110C5" w:rsidRDefault="00A110C5" w:rsidP="00DD45CD">
            <w:pPr>
              <w:spacing w:before="12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A110C5">
              <w:rPr>
                <w:rFonts w:ascii="Arial" w:hAnsi="Arial" w:cs="Arial"/>
              </w:rPr>
              <w:t>Gross Profit (£m)</w:t>
            </w:r>
          </w:p>
        </w:tc>
        <w:tc>
          <w:tcPr>
            <w:tcW w:w="0" w:type="auto"/>
            <w:hideMark/>
          </w:tcPr>
          <w:p w14:paraId="672B368F" w14:textId="77777777" w:rsidR="00A110C5" w:rsidRPr="00A110C5" w:rsidRDefault="00A110C5" w:rsidP="00DD45CD">
            <w:pPr>
              <w:spacing w:before="12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A110C5">
              <w:rPr>
                <w:rFonts w:ascii="Arial" w:hAnsi="Arial" w:cs="Arial"/>
              </w:rPr>
              <w:t>Net Sales (£m)</w:t>
            </w:r>
          </w:p>
        </w:tc>
        <w:tc>
          <w:tcPr>
            <w:tcW w:w="0" w:type="auto"/>
            <w:hideMark/>
          </w:tcPr>
          <w:p w14:paraId="7FD9021C" w14:textId="77777777" w:rsidR="00A110C5" w:rsidRPr="00A110C5" w:rsidRDefault="00A110C5" w:rsidP="00DD45CD">
            <w:pPr>
              <w:spacing w:before="12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A110C5">
              <w:rPr>
                <w:rFonts w:ascii="Arial" w:hAnsi="Arial" w:cs="Arial"/>
              </w:rPr>
              <w:t>Gross Profit Margin (%)</w:t>
            </w:r>
          </w:p>
        </w:tc>
      </w:tr>
      <w:tr w:rsidR="00A110C5" w:rsidRPr="00A110C5" w14:paraId="794B535B" w14:textId="77777777" w:rsidTr="003A5B2C">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0757526" w14:textId="77777777" w:rsidR="00A110C5" w:rsidRPr="00A110C5" w:rsidRDefault="00A110C5" w:rsidP="00DD45CD">
            <w:pPr>
              <w:spacing w:before="120" w:line="360" w:lineRule="auto"/>
              <w:jc w:val="center"/>
              <w:rPr>
                <w:rFonts w:ascii="Arial" w:hAnsi="Arial" w:cs="Arial"/>
              </w:rPr>
            </w:pPr>
            <w:r w:rsidRPr="00A110C5">
              <w:rPr>
                <w:rFonts w:ascii="Arial" w:hAnsi="Arial" w:cs="Arial"/>
              </w:rPr>
              <w:t>2024</w:t>
            </w:r>
          </w:p>
        </w:tc>
        <w:tc>
          <w:tcPr>
            <w:tcW w:w="0" w:type="auto"/>
            <w:hideMark/>
          </w:tcPr>
          <w:p w14:paraId="051BF532"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113,994</w:t>
            </w:r>
          </w:p>
        </w:tc>
        <w:tc>
          <w:tcPr>
            <w:tcW w:w="0" w:type="auto"/>
            <w:hideMark/>
          </w:tcPr>
          <w:p w14:paraId="1C9A3018"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394,879</w:t>
            </w:r>
          </w:p>
        </w:tc>
        <w:tc>
          <w:tcPr>
            <w:tcW w:w="0" w:type="auto"/>
            <w:hideMark/>
          </w:tcPr>
          <w:p w14:paraId="6233D3A5"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28.9%</w:t>
            </w:r>
          </w:p>
        </w:tc>
      </w:tr>
      <w:tr w:rsidR="00A110C5" w:rsidRPr="00A110C5" w14:paraId="6CBA99E0" w14:textId="77777777" w:rsidTr="003A5B2C">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9C9B1E8" w14:textId="77777777" w:rsidR="00A110C5" w:rsidRPr="00A110C5" w:rsidRDefault="00A110C5" w:rsidP="00DD45CD">
            <w:pPr>
              <w:spacing w:before="120" w:line="360" w:lineRule="auto"/>
              <w:jc w:val="center"/>
              <w:rPr>
                <w:rFonts w:ascii="Arial" w:hAnsi="Arial" w:cs="Arial"/>
              </w:rPr>
            </w:pPr>
            <w:r w:rsidRPr="00A110C5">
              <w:rPr>
                <w:rFonts w:ascii="Arial" w:hAnsi="Arial" w:cs="Arial"/>
              </w:rPr>
              <w:t>2023</w:t>
            </w:r>
          </w:p>
        </w:tc>
        <w:tc>
          <w:tcPr>
            <w:tcW w:w="0" w:type="auto"/>
            <w:hideMark/>
          </w:tcPr>
          <w:p w14:paraId="29BB0832"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97,560</w:t>
            </w:r>
          </w:p>
        </w:tc>
        <w:tc>
          <w:tcPr>
            <w:tcW w:w="0" w:type="auto"/>
            <w:hideMark/>
          </w:tcPr>
          <w:p w14:paraId="073623C2"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420,457</w:t>
            </w:r>
          </w:p>
        </w:tc>
        <w:tc>
          <w:tcPr>
            <w:tcW w:w="0" w:type="auto"/>
            <w:hideMark/>
          </w:tcPr>
          <w:p w14:paraId="430688CB"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23.2%</w:t>
            </w:r>
          </w:p>
        </w:tc>
      </w:tr>
      <w:tr w:rsidR="00A110C5" w:rsidRPr="00A110C5" w14:paraId="51DA64AE" w14:textId="77777777" w:rsidTr="003A5B2C">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DAE272D" w14:textId="77777777" w:rsidR="00A110C5" w:rsidRPr="00A110C5" w:rsidRDefault="00A110C5" w:rsidP="00DD45CD">
            <w:pPr>
              <w:spacing w:before="120" w:line="360" w:lineRule="auto"/>
              <w:jc w:val="center"/>
              <w:rPr>
                <w:rFonts w:ascii="Arial" w:hAnsi="Arial" w:cs="Arial"/>
              </w:rPr>
            </w:pPr>
            <w:r w:rsidRPr="00A110C5">
              <w:rPr>
                <w:rFonts w:ascii="Arial" w:hAnsi="Arial" w:cs="Arial"/>
              </w:rPr>
              <w:t>2022</w:t>
            </w:r>
          </w:p>
        </w:tc>
        <w:tc>
          <w:tcPr>
            <w:tcW w:w="0" w:type="auto"/>
            <w:hideMark/>
          </w:tcPr>
          <w:p w14:paraId="2D21CC7B"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152,292</w:t>
            </w:r>
          </w:p>
        </w:tc>
        <w:tc>
          <w:tcPr>
            <w:tcW w:w="0" w:type="auto"/>
            <w:hideMark/>
          </w:tcPr>
          <w:p w14:paraId="04AE4A14"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542,751</w:t>
            </w:r>
          </w:p>
        </w:tc>
        <w:tc>
          <w:tcPr>
            <w:tcW w:w="0" w:type="auto"/>
            <w:hideMark/>
          </w:tcPr>
          <w:p w14:paraId="2D5C8801"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28.1%</w:t>
            </w:r>
          </w:p>
        </w:tc>
      </w:tr>
      <w:tr w:rsidR="00A110C5" w:rsidRPr="00A110C5" w14:paraId="45A6548B" w14:textId="77777777" w:rsidTr="003A5B2C">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2554AA4" w14:textId="77777777" w:rsidR="00A110C5" w:rsidRPr="00A110C5" w:rsidRDefault="00A110C5" w:rsidP="00DD45CD">
            <w:pPr>
              <w:spacing w:before="120" w:line="360" w:lineRule="auto"/>
              <w:jc w:val="center"/>
              <w:rPr>
                <w:rFonts w:ascii="Arial" w:hAnsi="Arial" w:cs="Arial"/>
              </w:rPr>
            </w:pPr>
            <w:r w:rsidRPr="00A110C5">
              <w:rPr>
                <w:rFonts w:ascii="Arial" w:hAnsi="Arial" w:cs="Arial"/>
              </w:rPr>
              <w:t>2021</w:t>
            </w:r>
          </w:p>
        </w:tc>
        <w:tc>
          <w:tcPr>
            <w:tcW w:w="0" w:type="auto"/>
            <w:hideMark/>
          </w:tcPr>
          <w:p w14:paraId="5D1D50D7"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173,016</w:t>
            </w:r>
          </w:p>
        </w:tc>
        <w:tc>
          <w:tcPr>
            <w:tcW w:w="0" w:type="auto"/>
            <w:hideMark/>
          </w:tcPr>
          <w:p w14:paraId="48B32B16"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601,602</w:t>
            </w:r>
          </w:p>
        </w:tc>
        <w:tc>
          <w:tcPr>
            <w:tcW w:w="0" w:type="auto"/>
            <w:hideMark/>
          </w:tcPr>
          <w:p w14:paraId="1C88C2D0"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28.8%</w:t>
            </w:r>
          </w:p>
        </w:tc>
      </w:tr>
      <w:tr w:rsidR="00A110C5" w:rsidRPr="00A110C5" w14:paraId="18940CE1" w14:textId="77777777" w:rsidTr="003A5B2C">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9062E11" w14:textId="77777777" w:rsidR="00A110C5" w:rsidRPr="00A110C5" w:rsidRDefault="00A110C5" w:rsidP="00DD45CD">
            <w:pPr>
              <w:spacing w:before="120" w:line="360" w:lineRule="auto"/>
              <w:jc w:val="center"/>
              <w:rPr>
                <w:rFonts w:ascii="Arial" w:hAnsi="Arial" w:cs="Arial"/>
              </w:rPr>
            </w:pPr>
            <w:r w:rsidRPr="00A110C5">
              <w:rPr>
                <w:rFonts w:ascii="Arial" w:hAnsi="Arial" w:cs="Arial"/>
              </w:rPr>
              <w:t>2020</w:t>
            </w:r>
          </w:p>
        </w:tc>
        <w:tc>
          <w:tcPr>
            <w:tcW w:w="0" w:type="auto"/>
            <w:hideMark/>
          </w:tcPr>
          <w:p w14:paraId="1D22064A"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176,256</w:t>
            </w:r>
          </w:p>
        </w:tc>
        <w:tc>
          <w:tcPr>
            <w:tcW w:w="0" w:type="auto"/>
            <w:hideMark/>
          </w:tcPr>
          <w:p w14:paraId="3D57FCA1"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614,680</w:t>
            </w:r>
          </w:p>
        </w:tc>
        <w:tc>
          <w:tcPr>
            <w:tcW w:w="0" w:type="auto"/>
            <w:hideMark/>
          </w:tcPr>
          <w:p w14:paraId="73838BB8"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28.6%</w:t>
            </w:r>
          </w:p>
        </w:tc>
      </w:tr>
    </w:tbl>
    <w:p w14:paraId="6D68C994" w14:textId="77777777" w:rsidR="00A110C5" w:rsidRPr="00A110C5" w:rsidRDefault="00A110C5" w:rsidP="00A110C5">
      <w:pPr>
        <w:spacing w:before="120" w:after="0" w:line="360" w:lineRule="auto"/>
        <w:jc w:val="both"/>
        <w:rPr>
          <w:rFonts w:ascii="Arial" w:hAnsi="Arial" w:cs="Arial"/>
        </w:rPr>
      </w:pPr>
      <w:r w:rsidRPr="00A110C5">
        <w:rPr>
          <w:rFonts w:ascii="Arial" w:hAnsi="Arial" w:cs="Arial"/>
          <w:b/>
          <w:bCs/>
        </w:rPr>
        <w:t>Return on Assets (ROA)</w:t>
      </w:r>
    </w:p>
    <w:p w14:paraId="680A2BA0" w14:textId="77777777" w:rsidR="00A110C5" w:rsidRPr="00A110C5" w:rsidRDefault="00A110C5" w:rsidP="00A110C5">
      <w:pPr>
        <w:spacing w:before="120" w:after="0" w:line="360" w:lineRule="auto"/>
        <w:jc w:val="both"/>
        <w:rPr>
          <w:rFonts w:ascii="Arial" w:hAnsi="Arial" w:cs="Arial"/>
        </w:rPr>
      </w:pPr>
      <m:oMathPara>
        <m:oMath>
          <m:r>
            <m:rPr>
              <m:nor/>
            </m:rPr>
            <w:rPr>
              <w:rFonts w:ascii="Arial" w:hAnsi="Arial" w:cs="Arial"/>
            </w:rPr>
            <m:t>ROA</m:t>
          </m:r>
          <m:r>
            <w:rPr>
              <w:rFonts w:ascii="Cambria Math" w:hAnsi="Cambria Math" w:cs="Arial"/>
            </w:rPr>
            <m:t>=</m:t>
          </m:r>
          <m:f>
            <m:fPr>
              <m:ctrlPr>
                <w:rPr>
                  <w:rFonts w:ascii="Cambria Math" w:hAnsi="Cambria Math" w:cs="Arial"/>
                </w:rPr>
              </m:ctrlPr>
            </m:fPr>
            <m:num>
              <m:r>
                <m:rPr>
                  <m:nor/>
                </m:rPr>
                <w:rPr>
                  <w:rFonts w:ascii="Arial" w:hAnsi="Arial" w:cs="Arial"/>
                </w:rPr>
                <m:t>Net Income</m:t>
              </m:r>
            </m:num>
            <m:den>
              <m:r>
                <m:rPr>
                  <m:nor/>
                </m:rPr>
                <w:rPr>
                  <w:rFonts w:ascii="Arial" w:hAnsi="Arial" w:cs="Arial"/>
                </w:rPr>
                <m:t>Total Assets</m:t>
              </m:r>
            </m:den>
          </m:f>
          <m:r>
            <w:rPr>
              <w:rFonts w:ascii="Cambria Math" w:hAnsi="Cambria Math" w:cs="Arial"/>
            </w:rPr>
            <m:t>×100</m:t>
          </m:r>
        </m:oMath>
      </m:oMathPara>
    </w:p>
    <w:tbl>
      <w:tblPr>
        <w:tblStyle w:val="GridTable1Light-Accent3"/>
        <w:tblW w:w="0" w:type="auto"/>
        <w:jc w:val="center"/>
        <w:tblLook w:val="04A0" w:firstRow="1" w:lastRow="0" w:firstColumn="1" w:lastColumn="0" w:noHBand="0" w:noVBand="1"/>
      </w:tblPr>
      <w:tblGrid>
        <w:gridCol w:w="750"/>
        <w:gridCol w:w="2084"/>
        <w:gridCol w:w="2190"/>
        <w:gridCol w:w="1181"/>
      </w:tblGrid>
      <w:tr w:rsidR="00A110C5" w:rsidRPr="00A110C5" w14:paraId="0487EE0E" w14:textId="77777777" w:rsidTr="003A5B2C">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9388971" w14:textId="77777777" w:rsidR="00A110C5" w:rsidRPr="00A110C5" w:rsidRDefault="00A110C5" w:rsidP="00DD45CD">
            <w:pPr>
              <w:spacing w:before="120" w:line="360" w:lineRule="auto"/>
              <w:rPr>
                <w:rFonts w:ascii="Arial" w:hAnsi="Arial" w:cs="Arial"/>
                <w:b w:val="0"/>
                <w:bCs w:val="0"/>
              </w:rPr>
            </w:pPr>
            <w:r w:rsidRPr="00A110C5">
              <w:rPr>
                <w:rFonts w:ascii="Arial" w:hAnsi="Arial" w:cs="Arial"/>
              </w:rPr>
              <w:t>Year</w:t>
            </w:r>
          </w:p>
        </w:tc>
        <w:tc>
          <w:tcPr>
            <w:tcW w:w="0" w:type="auto"/>
            <w:hideMark/>
          </w:tcPr>
          <w:p w14:paraId="38FD989B" w14:textId="77777777" w:rsidR="00A110C5" w:rsidRPr="00A110C5" w:rsidRDefault="00A110C5" w:rsidP="00DD45CD">
            <w:pPr>
              <w:spacing w:before="120"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A110C5">
              <w:rPr>
                <w:rFonts w:ascii="Arial" w:hAnsi="Arial" w:cs="Arial"/>
              </w:rPr>
              <w:t>Net Income (£m)</w:t>
            </w:r>
          </w:p>
        </w:tc>
        <w:tc>
          <w:tcPr>
            <w:tcW w:w="0" w:type="auto"/>
            <w:hideMark/>
          </w:tcPr>
          <w:p w14:paraId="73D44301" w14:textId="77777777" w:rsidR="00A110C5" w:rsidRPr="00A110C5" w:rsidRDefault="00A110C5" w:rsidP="00DD45CD">
            <w:pPr>
              <w:spacing w:before="120"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A110C5">
              <w:rPr>
                <w:rFonts w:ascii="Arial" w:hAnsi="Arial" w:cs="Arial"/>
              </w:rPr>
              <w:t>Total Assets (£m)</w:t>
            </w:r>
          </w:p>
        </w:tc>
        <w:tc>
          <w:tcPr>
            <w:tcW w:w="0" w:type="auto"/>
            <w:hideMark/>
          </w:tcPr>
          <w:p w14:paraId="311B6F41" w14:textId="77777777" w:rsidR="00A110C5" w:rsidRPr="00A110C5" w:rsidRDefault="00A110C5" w:rsidP="00DD45CD">
            <w:pPr>
              <w:spacing w:before="120"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A110C5">
              <w:rPr>
                <w:rFonts w:ascii="Arial" w:hAnsi="Arial" w:cs="Arial"/>
              </w:rPr>
              <w:t>ROA (%)</w:t>
            </w:r>
          </w:p>
        </w:tc>
      </w:tr>
      <w:tr w:rsidR="00A110C5" w:rsidRPr="00A110C5" w14:paraId="2FA827CC" w14:textId="77777777" w:rsidTr="003A5B2C">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DC42F9A" w14:textId="77777777" w:rsidR="00A110C5" w:rsidRPr="00A110C5" w:rsidRDefault="00A110C5" w:rsidP="00DD45CD">
            <w:pPr>
              <w:spacing w:before="120" w:line="360" w:lineRule="auto"/>
              <w:rPr>
                <w:rFonts w:ascii="Arial" w:hAnsi="Arial" w:cs="Arial"/>
              </w:rPr>
            </w:pPr>
            <w:r w:rsidRPr="00A110C5">
              <w:rPr>
                <w:rFonts w:ascii="Arial" w:hAnsi="Arial" w:cs="Arial"/>
              </w:rPr>
              <w:t>2024</w:t>
            </w:r>
          </w:p>
        </w:tc>
        <w:tc>
          <w:tcPr>
            <w:tcW w:w="0" w:type="auto"/>
            <w:hideMark/>
          </w:tcPr>
          <w:p w14:paraId="1A6320B5" w14:textId="77777777" w:rsidR="00A110C5" w:rsidRPr="00A110C5" w:rsidRDefault="00A110C5" w:rsidP="00DD45CD">
            <w:pPr>
              <w:spacing w:before="12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-24,029</w:t>
            </w:r>
          </w:p>
        </w:tc>
        <w:tc>
          <w:tcPr>
            <w:tcW w:w="0" w:type="auto"/>
            <w:hideMark/>
          </w:tcPr>
          <w:p w14:paraId="67EA79AC" w14:textId="77777777" w:rsidR="00A110C5" w:rsidRPr="00A110C5" w:rsidRDefault="00A110C5" w:rsidP="00DD45CD">
            <w:pPr>
              <w:spacing w:before="12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323,354</w:t>
            </w:r>
          </w:p>
        </w:tc>
        <w:tc>
          <w:tcPr>
            <w:tcW w:w="0" w:type="auto"/>
            <w:hideMark/>
          </w:tcPr>
          <w:p w14:paraId="294AA4FC" w14:textId="77777777" w:rsidR="00A110C5" w:rsidRPr="00A110C5" w:rsidRDefault="00A110C5" w:rsidP="00DD45CD">
            <w:pPr>
              <w:spacing w:before="12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-7.4%</w:t>
            </w:r>
          </w:p>
        </w:tc>
      </w:tr>
      <w:tr w:rsidR="00A110C5" w:rsidRPr="00A110C5" w14:paraId="017EEDA3" w14:textId="77777777" w:rsidTr="003A5B2C">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10B8530" w14:textId="77777777" w:rsidR="00A110C5" w:rsidRPr="00A110C5" w:rsidRDefault="00A110C5" w:rsidP="00DD45CD">
            <w:pPr>
              <w:spacing w:before="120" w:line="360" w:lineRule="auto"/>
              <w:rPr>
                <w:rFonts w:ascii="Arial" w:hAnsi="Arial" w:cs="Arial"/>
              </w:rPr>
            </w:pPr>
            <w:r w:rsidRPr="00A110C5">
              <w:rPr>
                <w:rFonts w:ascii="Arial" w:hAnsi="Arial" w:cs="Arial"/>
              </w:rPr>
              <w:t>2023</w:t>
            </w:r>
          </w:p>
        </w:tc>
        <w:tc>
          <w:tcPr>
            <w:tcW w:w="0" w:type="auto"/>
            <w:hideMark/>
          </w:tcPr>
          <w:p w14:paraId="1201789A" w14:textId="77777777" w:rsidR="00A110C5" w:rsidRPr="00A110C5" w:rsidRDefault="00A110C5" w:rsidP="00DD45CD">
            <w:pPr>
              <w:spacing w:before="12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-98,238</w:t>
            </w:r>
          </w:p>
        </w:tc>
        <w:tc>
          <w:tcPr>
            <w:tcW w:w="0" w:type="auto"/>
            <w:hideMark/>
          </w:tcPr>
          <w:p w14:paraId="5D7C7094" w14:textId="77777777" w:rsidR="00A110C5" w:rsidRPr="00A110C5" w:rsidRDefault="00A110C5" w:rsidP="00DD45CD">
            <w:pPr>
              <w:spacing w:before="12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355,872</w:t>
            </w:r>
          </w:p>
        </w:tc>
        <w:tc>
          <w:tcPr>
            <w:tcW w:w="0" w:type="auto"/>
            <w:hideMark/>
          </w:tcPr>
          <w:p w14:paraId="09F7C64B" w14:textId="77777777" w:rsidR="00A110C5" w:rsidRPr="00A110C5" w:rsidRDefault="00A110C5" w:rsidP="00DD45CD">
            <w:pPr>
              <w:spacing w:before="12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-27.6%</w:t>
            </w:r>
          </w:p>
        </w:tc>
      </w:tr>
      <w:tr w:rsidR="00A110C5" w:rsidRPr="00A110C5" w14:paraId="63F7B7D1" w14:textId="77777777" w:rsidTr="003A5B2C">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D6F3724" w14:textId="77777777" w:rsidR="00A110C5" w:rsidRPr="00A110C5" w:rsidRDefault="00A110C5" w:rsidP="00DD45CD">
            <w:pPr>
              <w:spacing w:before="120" w:line="360" w:lineRule="auto"/>
              <w:rPr>
                <w:rFonts w:ascii="Arial" w:hAnsi="Arial" w:cs="Arial"/>
              </w:rPr>
            </w:pPr>
            <w:r w:rsidRPr="00A110C5">
              <w:rPr>
                <w:rFonts w:ascii="Arial" w:hAnsi="Arial" w:cs="Arial"/>
              </w:rPr>
              <w:t>2022</w:t>
            </w:r>
          </w:p>
        </w:tc>
        <w:tc>
          <w:tcPr>
            <w:tcW w:w="0" w:type="auto"/>
            <w:hideMark/>
          </w:tcPr>
          <w:p w14:paraId="2EA3515F" w14:textId="77777777" w:rsidR="00A110C5" w:rsidRPr="00A110C5" w:rsidRDefault="00A110C5" w:rsidP="00DD45CD">
            <w:pPr>
              <w:spacing w:before="12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407</w:t>
            </w:r>
          </w:p>
        </w:tc>
        <w:tc>
          <w:tcPr>
            <w:tcW w:w="0" w:type="auto"/>
            <w:hideMark/>
          </w:tcPr>
          <w:p w14:paraId="4A75811A" w14:textId="77777777" w:rsidR="00A110C5" w:rsidRPr="00A110C5" w:rsidRDefault="00A110C5" w:rsidP="00DD45CD">
            <w:pPr>
              <w:spacing w:before="12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504,163</w:t>
            </w:r>
          </w:p>
        </w:tc>
        <w:tc>
          <w:tcPr>
            <w:tcW w:w="0" w:type="auto"/>
            <w:hideMark/>
          </w:tcPr>
          <w:p w14:paraId="18E6A940" w14:textId="77777777" w:rsidR="00A110C5" w:rsidRPr="00A110C5" w:rsidRDefault="00A110C5" w:rsidP="00DD45CD">
            <w:pPr>
              <w:spacing w:before="12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0.08%</w:t>
            </w:r>
          </w:p>
        </w:tc>
      </w:tr>
      <w:tr w:rsidR="00A110C5" w:rsidRPr="00A110C5" w14:paraId="04467619" w14:textId="77777777" w:rsidTr="003A5B2C">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153B647" w14:textId="77777777" w:rsidR="00A110C5" w:rsidRPr="00A110C5" w:rsidRDefault="00A110C5" w:rsidP="00DD45CD">
            <w:pPr>
              <w:spacing w:before="120" w:line="360" w:lineRule="auto"/>
              <w:rPr>
                <w:rFonts w:ascii="Arial" w:hAnsi="Arial" w:cs="Arial"/>
              </w:rPr>
            </w:pPr>
            <w:r w:rsidRPr="00A110C5">
              <w:rPr>
                <w:rFonts w:ascii="Arial" w:hAnsi="Arial" w:cs="Arial"/>
              </w:rPr>
              <w:t>2021</w:t>
            </w:r>
          </w:p>
        </w:tc>
        <w:tc>
          <w:tcPr>
            <w:tcW w:w="0" w:type="auto"/>
            <w:hideMark/>
          </w:tcPr>
          <w:p w14:paraId="7384841A" w14:textId="77777777" w:rsidR="00A110C5" w:rsidRPr="00A110C5" w:rsidRDefault="00A110C5" w:rsidP="00DD45CD">
            <w:pPr>
              <w:spacing w:before="12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5,301</w:t>
            </w:r>
          </w:p>
        </w:tc>
        <w:tc>
          <w:tcPr>
            <w:tcW w:w="0" w:type="auto"/>
            <w:hideMark/>
          </w:tcPr>
          <w:p w14:paraId="3DCCD022" w14:textId="77777777" w:rsidR="00A110C5" w:rsidRPr="00A110C5" w:rsidRDefault="00A110C5" w:rsidP="00DD45CD">
            <w:pPr>
              <w:spacing w:before="12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510,348</w:t>
            </w:r>
          </w:p>
        </w:tc>
        <w:tc>
          <w:tcPr>
            <w:tcW w:w="0" w:type="auto"/>
            <w:hideMark/>
          </w:tcPr>
          <w:p w14:paraId="75597766" w14:textId="77777777" w:rsidR="00A110C5" w:rsidRPr="00A110C5" w:rsidRDefault="00A110C5" w:rsidP="00DD45CD">
            <w:pPr>
              <w:spacing w:before="12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1.0%</w:t>
            </w:r>
          </w:p>
        </w:tc>
      </w:tr>
      <w:tr w:rsidR="00A110C5" w:rsidRPr="00A110C5" w14:paraId="5C632787" w14:textId="77777777" w:rsidTr="003A5B2C">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E2D623E" w14:textId="77777777" w:rsidR="00A110C5" w:rsidRPr="00A110C5" w:rsidRDefault="00A110C5" w:rsidP="00DD45CD">
            <w:pPr>
              <w:spacing w:before="120" w:line="360" w:lineRule="auto"/>
              <w:rPr>
                <w:rFonts w:ascii="Arial" w:hAnsi="Arial" w:cs="Arial"/>
              </w:rPr>
            </w:pPr>
            <w:r w:rsidRPr="00A110C5">
              <w:rPr>
                <w:rFonts w:ascii="Arial" w:hAnsi="Arial" w:cs="Arial"/>
              </w:rPr>
              <w:t>2020</w:t>
            </w:r>
          </w:p>
        </w:tc>
        <w:tc>
          <w:tcPr>
            <w:tcW w:w="0" w:type="auto"/>
            <w:hideMark/>
          </w:tcPr>
          <w:p w14:paraId="4E1EB11A" w14:textId="77777777" w:rsidR="00A110C5" w:rsidRPr="00A110C5" w:rsidRDefault="00A110C5" w:rsidP="00DD45CD">
            <w:pPr>
              <w:spacing w:before="12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38,572</w:t>
            </w:r>
          </w:p>
        </w:tc>
        <w:tc>
          <w:tcPr>
            <w:tcW w:w="0" w:type="auto"/>
            <w:hideMark/>
          </w:tcPr>
          <w:p w14:paraId="0A7CFE5A" w14:textId="77777777" w:rsidR="00A110C5" w:rsidRPr="00A110C5" w:rsidRDefault="00A110C5" w:rsidP="00DD45CD">
            <w:pPr>
              <w:spacing w:before="12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510,290</w:t>
            </w:r>
          </w:p>
        </w:tc>
        <w:tc>
          <w:tcPr>
            <w:tcW w:w="0" w:type="auto"/>
            <w:hideMark/>
          </w:tcPr>
          <w:p w14:paraId="7836763E" w14:textId="77777777" w:rsidR="00A110C5" w:rsidRPr="00A110C5" w:rsidRDefault="00A110C5" w:rsidP="00DD45CD">
            <w:pPr>
              <w:spacing w:before="12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7.6%</w:t>
            </w:r>
          </w:p>
        </w:tc>
      </w:tr>
    </w:tbl>
    <w:p w14:paraId="62F03B62" w14:textId="60F0DCB5" w:rsidR="00A110C5" w:rsidRPr="00A110C5" w:rsidRDefault="00A110C5" w:rsidP="00112D41">
      <w:pPr>
        <w:pStyle w:val="Heading2"/>
      </w:pPr>
      <w:bookmarkStart w:id="63" w:name="_Toc217080800"/>
      <w:r>
        <w:t>Appendix</w:t>
      </w:r>
      <w:r w:rsidR="00773554">
        <w:t xml:space="preserve">- </w:t>
      </w:r>
      <w:r w:rsidRPr="00A110C5">
        <w:t>2 Liquidity Ratios</w:t>
      </w:r>
      <w:bookmarkEnd w:id="63"/>
    </w:p>
    <w:p w14:paraId="1EBDBDE2" w14:textId="77777777" w:rsidR="00A110C5" w:rsidRPr="00A110C5" w:rsidRDefault="00A110C5" w:rsidP="00A110C5">
      <w:pPr>
        <w:spacing w:before="120" w:after="0" w:line="360" w:lineRule="auto"/>
        <w:jc w:val="both"/>
        <w:rPr>
          <w:rFonts w:ascii="Arial" w:hAnsi="Arial" w:cs="Arial"/>
        </w:rPr>
      </w:pPr>
      <w:r w:rsidRPr="00A110C5">
        <w:rPr>
          <w:rFonts w:ascii="Arial" w:hAnsi="Arial" w:cs="Arial"/>
          <w:b/>
          <w:bCs/>
        </w:rPr>
        <w:t>Current Ratio</w:t>
      </w:r>
    </w:p>
    <w:p w14:paraId="702A3ED8" w14:textId="77777777" w:rsidR="00A110C5" w:rsidRPr="00A110C5" w:rsidRDefault="00A110C5" w:rsidP="00A110C5">
      <w:pPr>
        <w:spacing w:before="120" w:after="0" w:line="360" w:lineRule="auto"/>
        <w:jc w:val="both"/>
        <w:rPr>
          <w:rFonts w:ascii="Arial" w:hAnsi="Arial" w:cs="Arial"/>
        </w:rPr>
      </w:pPr>
      <m:oMathPara>
        <m:oMath>
          <m:r>
            <m:rPr>
              <m:nor/>
            </m:rPr>
            <w:rPr>
              <w:rFonts w:ascii="Arial" w:hAnsi="Arial" w:cs="Arial"/>
            </w:rPr>
            <m:t>Current Ratio</m:t>
          </m:r>
          <m:r>
            <w:rPr>
              <w:rFonts w:ascii="Cambria Math" w:hAnsi="Cambria Math" w:cs="Arial"/>
            </w:rPr>
            <m:t>=</m:t>
          </m:r>
          <m:f>
            <m:fPr>
              <m:ctrlPr>
                <w:rPr>
                  <w:rFonts w:ascii="Cambria Math" w:hAnsi="Cambria Math" w:cs="Arial"/>
                </w:rPr>
              </m:ctrlPr>
            </m:fPr>
            <m:num>
              <m:r>
                <m:rPr>
                  <m:nor/>
                </m:rPr>
                <w:rPr>
                  <w:rFonts w:ascii="Arial" w:hAnsi="Arial" w:cs="Arial"/>
                </w:rPr>
                <m:t>Current Assets</m:t>
              </m:r>
            </m:num>
            <m:den>
              <m:r>
                <m:rPr>
                  <m:nor/>
                </m:rPr>
                <w:rPr>
                  <w:rFonts w:ascii="Arial" w:hAnsi="Arial" w:cs="Arial"/>
                </w:rPr>
                <m:t>Current Liabilities</m:t>
              </m:r>
            </m:den>
          </m:f>
        </m:oMath>
      </m:oMathPara>
    </w:p>
    <w:tbl>
      <w:tblPr>
        <w:tblStyle w:val="GridTable1Light-Accent3"/>
        <w:tblW w:w="0" w:type="auto"/>
        <w:jc w:val="center"/>
        <w:tblLook w:val="04A0" w:firstRow="1" w:lastRow="0" w:firstColumn="1" w:lastColumn="0" w:noHBand="0" w:noVBand="1"/>
      </w:tblPr>
      <w:tblGrid>
        <w:gridCol w:w="750"/>
        <w:gridCol w:w="2502"/>
        <w:gridCol w:w="2830"/>
        <w:gridCol w:w="1750"/>
      </w:tblGrid>
      <w:tr w:rsidR="00A110C5" w:rsidRPr="00A110C5" w14:paraId="3E2215F7" w14:textId="77777777" w:rsidTr="003A5B2C">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FB9EA11" w14:textId="77777777" w:rsidR="00A110C5" w:rsidRPr="00A110C5" w:rsidRDefault="00A110C5" w:rsidP="00DD45CD">
            <w:pPr>
              <w:spacing w:before="120" w:line="360" w:lineRule="auto"/>
              <w:jc w:val="center"/>
              <w:rPr>
                <w:rFonts w:ascii="Arial" w:hAnsi="Arial" w:cs="Arial"/>
                <w:b w:val="0"/>
                <w:bCs w:val="0"/>
              </w:rPr>
            </w:pPr>
            <w:r w:rsidRPr="00A110C5">
              <w:rPr>
                <w:rFonts w:ascii="Arial" w:hAnsi="Arial" w:cs="Arial"/>
              </w:rPr>
              <w:t>Year</w:t>
            </w:r>
          </w:p>
        </w:tc>
        <w:tc>
          <w:tcPr>
            <w:tcW w:w="0" w:type="auto"/>
            <w:hideMark/>
          </w:tcPr>
          <w:p w14:paraId="3A5562EC" w14:textId="77777777" w:rsidR="00A110C5" w:rsidRPr="00A110C5" w:rsidRDefault="00A110C5" w:rsidP="00DD45CD">
            <w:pPr>
              <w:spacing w:before="12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A110C5">
              <w:rPr>
                <w:rFonts w:ascii="Arial" w:hAnsi="Arial" w:cs="Arial"/>
              </w:rPr>
              <w:t>Current Assets (£m)</w:t>
            </w:r>
          </w:p>
        </w:tc>
        <w:tc>
          <w:tcPr>
            <w:tcW w:w="0" w:type="auto"/>
            <w:hideMark/>
          </w:tcPr>
          <w:p w14:paraId="78C0BBEA" w14:textId="77777777" w:rsidR="00A110C5" w:rsidRPr="00A110C5" w:rsidRDefault="00A110C5" w:rsidP="00DD45CD">
            <w:pPr>
              <w:spacing w:before="12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A110C5">
              <w:rPr>
                <w:rFonts w:ascii="Arial" w:hAnsi="Arial" w:cs="Arial"/>
              </w:rPr>
              <w:t>Current Liabilities (£m)</w:t>
            </w:r>
          </w:p>
        </w:tc>
        <w:tc>
          <w:tcPr>
            <w:tcW w:w="0" w:type="auto"/>
            <w:hideMark/>
          </w:tcPr>
          <w:p w14:paraId="14F60B74" w14:textId="77777777" w:rsidR="00A110C5" w:rsidRPr="00A110C5" w:rsidRDefault="00A110C5" w:rsidP="00DD45CD">
            <w:pPr>
              <w:spacing w:before="12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A110C5">
              <w:rPr>
                <w:rFonts w:ascii="Arial" w:hAnsi="Arial" w:cs="Arial"/>
              </w:rPr>
              <w:t>Current Ratio</w:t>
            </w:r>
          </w:p>
        </w:tc>
      </w:tr>
      <w:tr w:rsidR="00A110C5" w:rsidRPr="00A110C5" w14:paraId="22A1D30F" w14:textId="77777777" w:rsidTr="003A5B2C">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CB180BE" w14:textId="77777777" w:rsidR="00A110C5" w:rsidRPr="00A110C5" w:rsidRDefault="00A110C5" w:rsidP="00DD45CD">
            <w:pPr>
              <w:spacing w:before="120" w:line="360" w:lineRule="auto"/>
              <w:jc w:val="center"/>
              <w:rPr>
                <w:rFonts w:ascii="Arial" w:hAnsi="Arial" w:cs="Arial"/>
              </w:rPr>
            </w:pPr>
            <w:r w:rsidRPr="00A110C5">
              <w:rPr>
                <w:rFonts w:ascii="Arial" w:hAnsi="Arial" w:cs="Arial"/>
              </w:rPr>
              <w:t>2024</w:t>
            </w:r>
          </w:p>
        </w:tc>
        <w:tc>
          <w:tcPr>
            <w:tcW w:w="0" w:type="auto"/>
            <w:hideMark/>
          </w:tcPr>
          <w:p w14:paraId="00A4D4F7"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242,494</w:t>
            </w:r>
          </w:p>
        </w:tc>
        <w:tc>
          <w:tcPr>
            <w:tcW w:w="0" w:type="auto"/>
            <w:hideMark/>
          </w:tcPr>
          <w:p w14:paraId="4E8AB656"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158,291</w:t>
            </w:r>
          </w:p>
        </w:tc>
        <w:tc>
          <w:tcPr>
            <w:tcW w:w="0" w:type="auto"/>
            <w:hideMark/>
          </w:tcPr>
          <w:p w14:paraId="3A81DA55"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1.53</w:t>
            </w:r>
          </w:p>
        </w:tc>
      </w:tr>
      <w:tr w:rsidR="00A110C5" w:rsidRPr="00A110C5" w14:paraId="68B9F86F" w14:textId="77777777" w:rsidTr="003A5B2C">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52ABAAB" w14:textId="77777777" w:rsidR="00A110C5" w:rsidRPr="00A110C5" w:rsidRDefault="00A110C5" w:rsidP="00DD45CD">
            <w:pPr>
              <w:spacing w:before="120" w:line="360" w:lineRule="auto"/>
              <w:jc w:val="center"/>
              <w:rPr>
                <w:rFonts w:ascii="Arial" w:hAnsi="Arial" w:cs="Arial"/>
              </w:rPr>
            </w:pPr>
            <w:r w:rsidRPr="00A110C5">
              <w:rPr>
                <w:rFonts w:ascii="Arial" w:hAnsi="Arial" w:cs="Arial"/>
              </w:rPr>
              <w:t>2023</w:t>
            </w:r>
          </w:p>
        </w:tc>
        <w:tc>
          <w:tcPr>
            <w:tcW w:w="0" w:type="auto"/>
            <w:hideMark/>
          </w:tcPr>
          <w:p w14:paraId="43481241"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258,851</w:t>
            </w:r>
          </w:p>
        </w:tc>
        <w:tc>
          <w:tcPr>
            <w:tcW w:w="0" w:type="auto"/>
            <w:hideMark/>
          </w:tcPr>
          <w:p w14:paraId="3EF1232D"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161,148</w:t>
            </w:r>
          </w:p>
        </w:tc>
        <w:tc>
          <w:tcPr>
            <w:tcW w:w="0" w:type="auto"/>
            <w:hideMark/>
          </w:tcPr>
          <w:p w14:paraId="43DF4DD7"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1.60</w:t>
            </w:r>
          </w:p>
        </w:tc>
      </w:tr>
      <w:tr w:rsidR="00A110C5" w:rsidRPr="00A110C5" w14:paraId="79734126" w14:textId="77777777" w:rsidTr="003A5B2C">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17CB788" w14:textId="77777777" w:rsidR="00A110C5" w:rsidRPr="00A110C5" w:rsidRDefault="00A110C5" w:rsidP="00DD45CD">
            <w:pPr>
              <w:spacing w:before="120" w:line="360" w:lineRule="auto"/>
              <w:jc w:val="center"/>
              <w:rPr>
                <w:rFonts w:ascii="Arial" w:hAnsi="Arial" w:cs="Arial"/>
              </w:rPr>
            </w:pPr>
            <w:r w:rsidRPr="00A110C5">
              <w:rPr>
                <w:rFonts w:ascii="Arial" w:hAnsi="Arial" w:cs="Arial"/>
              </w:rPr>
              <w:lastRenderedPageBreak/>
              <w:t>2022</w:t>
            </w:r>
          </w:p>
        </w:tc>
        <w:tc>
          <w:tcPr>
            <w:tcW w:w="0" w:type="auto"/>
            <w:hideMark/>
          </w:tcPr>
          <w:p w14:paraId="6899A3E3"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338,040</w:t>
            </w:r>
          </w:p>
        </w:tc>
        <w:tc>
          <w:tcPr>
            <w:tcW w:w="0" w:type="auto"/>
            <w:hideMark/>
          </w:tcPr>
          <w:p w14:paraId="6931203E"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216,473</w:t>
            </w:r>
          </w:p>
        </w:tc>
        <w:tc>
          <w:tcPr>
            <w:tcW w:w="0" w:type="auto"/>
            <w:hideMark/>
          </w:tcPr>
          <w:p w14:paraId="1CAED021"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1.56</w:t>
            </w:r>
          </w:p>
        </w:tc>
      </w:tr>
      <w:tr w:rsidR="00A110C5" w:rsidRPr="00A110C5" w14:paraId="1B133DFC" w14:textId="77777777" w:rsidTr="003A5B2C">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59753BA" w14:textId="77777777" w:rsidR="00A110C5" w:rsidRPr="00A110C5" w:rsidRDefault="00A110C5" w:rsidP="00DD45CD">
            <w:pPr>
              <w:spacing w:before="120" w:line="360" w:lineRule="auto"/>
              <w:jc w:val="center"/>
              <w:rPr>
                <w:rFonts w:ascii="Arial" w:hAnsi="Arial" w:cs="Arial"/>
              </w:rPr>
            </w:pPr>
            <w:r w:rsidRPr="00A110C5">
              <w:rPr>
                <w:rFonts w:ascii="Arial" w:hAnsi="Arial" w:cs="Arial"/>
              </w:rPr>
              <w:t>2021</w:t>
            </w:r>
          </w:p>
        </w:tc>
        <w:tc>
          <w:tcPr>
            <w:tcW w:w="0" w:type="auto"/>
            <w:hideMark/>
          </w:tcPr>
          <w:p w14:paraId="2973E967"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337,146</w:t>
            </w:r>
          </w:p>
        </w:tc>
        <w:tc>
          <w:tcPr>
            <w:tcW w:w="0" w:type="auto"/>
            <w:hideMark/>
          </w:tcPr>
          <w:p w14:paraId="5ECDDE4C"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216,787</w:t>
            </w:r>
          </w:p>
        </w:tc>
        <w:tc>
          <w:tcPr>
            <w:tcW w:w="0" w:type="auto"/>
            <w:hideMark/>
          </w:tcPr>
          <w:p w14:paraId="1AD5E733"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1.56</w:t>
            </w:r>
          </w:p>
        </w:tc>
      </w:tr>
      <w:tr w:rsidR="00A110C5" w:rsidRPr="00A110C5" w14:paraId="6C531611" w14:textId="77777777" w:rsidTr="003A5B2C">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C3DB7B3" w14:textId="77777777" w:rsidR="00A110C5" w:rsidRPr="00A110C5" w:rsidRDefault="00A110C5" w:rsidP="00DD45CD">
            <w:pPr>
              <w:spacing w:before="120" w:line="360" w:lineRule="auto"/>
              <w:jc w:val="center"/>
              <w:rPr>
                <w:rFonts w:ascii="Arial" w:hAnsi="Arial" w:cs="Arial"/>
              </w:rPr>
            </w:pPr>
            <w:r w:rsidRPr="00A110C5">
              <w:rPr>
                <w:rFonts w:ascii="Arial" w:hAnsi="Arial" w:cs="Arial"/>
              </w:rPr>
              <w:t>2020</w:t>
            </w:r>
          </w:p>
        </w:tc>
        <w:tc>
          <w:tcPr>
            <w:tcW w:w="0" w:type="auto"/>
            <w:hideMark/>
          </w:tcPr>
          <w:p w14:paraId="76BD2EFB"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326,843</w:t>
            </w:r>
          </w:p>
        </w:tc>
        <w:tc>
          <w:tcPr>
            <w:tcW w:w="0" w:type="auto"/>
            <w:hideMark/>
          </w:tcPr>
          <w:p w14:paraId="52C05509"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179,510</w:t>
            </w:r>
          </w:p>
        </w:tc>
        <w:tc>
          <w:tcPr>
            <w:tcW w:w="0" w:type="auto"/>
            <w:hideMark/>
          </w:tcPr>
          <w:p w14:paraId="378B0BDE"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1.82</w:t>
            </w:r>
          </w:p>
        </w:tc>
      </w:tr>
    </w:tbl>
    <w:p w14:paraId="0BE409EC" w14:textId="77777777" w:rsidR="00A110C5" w:rsidRPr="00A110C5" w:rsidRDefault="00A110C5" w:rsidP="00A110C5">
      <w:pPr>
        <w:spacing w:before="120" w:after="0" w:line="360" w:lineRule="auto"/>
        <w:jc w:val="both"/>
        <w:rPr>
          <w:rFonts w:ascii="Arial" w:hAnsi="Arial" w:cs="Arial"/>
        </w:rPr>
      </w:pPr>
      <w:r w:rsidRPr="00A110C5">
        <w:rPr>
          <w:rFonts w:ascii="Arial" w:hAnsi="Arial" w:cs="Arial"/>
          <w:b/>
          <w:bCs/>
        </w:rPr>
        <w:t>Quick Ratio</w:t>
      </w:r>
    </w:p>
    <w:p w14:paraId="465D52D7" w14:textId="77777777" w:rsidR="00A110C5" w:rsidRPr="00A110C5" w:rsidRDefault="00A110C5" w:rsidP="00A110C5">
      <w:pPr>
        <w:spacing w:before="120" w:after="0" w:line="360" w:lineRule="auto"/>
        <w:jc w:val="both"/>
        <w:rPr>
          <w:rFonts w:ascii="Arial" w:hAnsi="Arial" w:cs="Arial"/>
        </w:rPr>
      </w:pPr>
      <m:oMathPara>
        <m:oMath>
          <m:r>
            <m:rPr>
              <m:nor/>
            </m:rPr>
            <w:rPr>
              <w:rFonts w:ascii="Arial" w:hAnsi="Arial" w:cs="Arial"/>
            </w:rPr>
            <m:t>Quick Ratio</m:t>
          </m:r>
          <m:r>
            <w:rPr>
              <w:rFonts w:ascii="Cambria Math" w:hAnsi="Cambria Math" w:cs="Arial"/>
            </w:rPr>
            <m:t>=</m:t>
          </m:r>
          <m:f>
            <m:fPr>
              <m:ctrlPr>
                <w:rPr>
                  <w:rFonts w:ascii="Cambria Math" w:hAnsi="Cambria Math" w:cs="Arial"/>
                </w:rPr>
              </m:ctrlPr>
            </m:fPr>
            <m:num>
              <m:r>
                <m:rPr>
                  <m:nor/>
                </m:rPr>
                <w:rPr>
                  <w:rFonts w:ascii="Arial" w:hAnsi="Arial" w:cs="Arial"/>
                </w:rPr>
                <m:t>Current Assets</m:t>
              </m:r>
              <m:r>
                <w:rPr>
                  <w:rFonts w:ascii="Cambria Math" w:hAnsi="Cambria Math" w:cs="Arial"/>
                </w:rPr>
                <m:t>-</m:t>
              </m:r>
              <m:r>
                <m:rPr>
                  <m:nor/>
                </m:rPr>
                <w:rPr>
                  <w:rFonts w:ascii="Arial" w:hAnsi="Arial" w:cs="Arial"/>
                </w:rPr>
                <m:t>Inventories</m:t>
              </m:r>
            </m:num>
            <m:den>
              <m:r>
                <m:rPr>
                  <m:nor/>
                </m:rPr>
                <w:rPr>
                  <w:rFonts w:ascii="Arial" w:hAnsi="Arial" w:cs="Arial"/>
                </w:rPr>
                <m:t>Current Liabilities</m:t>
              </m:r>
            </m:den>
          </m:f>
        </m:oMath>
      </m:oMathPara>
    </w:p>
    <w:tbl>
      <w:tblPr>
        <w:tblStyle w:val="GridTable1Light-Accent3"/>
        <w:tblW w:w="0" w:type="auto"/>
        <w:tblLook w:val="04A0" w:firstRow="1" w:lastRow="0" w:firstColumn="1" w:lastColumn="0" w:noHBand="0" w:noVBand="1"/>
      </w:tblPr>
      <w:tblGrid>
        <w:gridCol w:w="750"/>
        <w:gridCol w:w="2268"/>
        <w:gridCol w:w="1976"/>
        <w:gridCol w:w="2582"/>
        <w:gridCol w:w="1440"/>
      </w:tblGrid>
      <w:tr w:rsidR="00A110C5" w:rsidRPr="00A110C5" w14:paraId="7EAAF675" w14:textId="77777777" w:rsidTr="003A5B2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53FCD1D" w14:textId="77777777" w:rsidR="00A110C5" w:rsidRPr="00A110C5" w:rsidRDefault="00A110C5" w:rsidP="00DD45CD">
            <w:pPr>
              <w:spacing w:before="120" w:line="360" w:lineRule="auto"/>
              <w:jc w:val="center"/>
              <w:rPr>
                <w:rFonts w:ascii="Arial" w:hAnsi="Arial" w:cs="Arial"/>
                <w:b w:val="0"/>
                <w:bCs w:val="0"/>
              </w:rPr>
            </w:pPr>
            <w:r w:rsidRPr="00A110C5">
              <w:rPr>
                <w:rFonts w:ascii="Arial" w:hAnsi="Arial" w:cs="Arial"/>
              </w:rPr>
              <w:t>Year</w:t>
            </w:r>
          </w:p>
        </w:tc>
        <w:tc>
          <w:tcPr>
            <w:tcW w:w="0" w:type="auto"/>
            <w:hideMark/>
          </w:tcPr>
          <w:p w14:paraId="7BAC7E30" w14:textId="77777777" w:rsidR="00A110C5" w:rsidRPr="00A110C5" w:rsidRDefault="00A110C5" w:rsidP="00DD45CD">
            <w:pPr>
              <w:spacing w:before="12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A110C5">
              <w:rPr>
                <w:rFonts w:ascii="Arial" w:hAnsi="Arial" w:cs="Arial"/>
              </w:rPr>
              <w:t>Current Assets (£m)</w:t>
            </w:r>
          </w:p>
        </w:tc>
        <w:tc>
          <w:tcPr>
            <w:tcW w:w="0" w:type="auto"/>
            <w:hideMark/>
          </w:tcPr>
          <w:p w14:paraId="23720188" w14:textId="77777777" w:rsidR="00A110C5" w:rsidRPr="00A110C5" w:rsidRDefault="00A110C5" w:rsidP="00DD45CD">
            <w:pPr>
              <w:spacing w:before="12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A110C5">
              <w:rPr>
                <w:rFonts w:ascii="Arial" w:hAnsi="Arial" w:cs="Arial"/>
              </w:rPr>
              <w:t>Inventories (£m)</w:t>
            </w:r>
          </w:p>
        </w:tc>
        <w:tc>
          <w:tcPr>
            <w:tcW w:w="0" w:type="auto"/>
            <w:hideMark/>
          </w:tcPr>
          <w:p w14:paraId="67B18F40" w14:textId="77777777" w:rsidR="00A110C5" w:rsidRPr="00A110C5" w:rsidRDefault="00A110C5" w:rsidP="00DD45CD">
            <w:pPr>
              <w:spacing w:before="12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A110C5">
              <w:rPr>
                <w:rFonts w:ascii="Arial" w:hAnsi="Arial" w:cs="Arial"/>
              </w:rPr>
              <w:t>Current Liabilities (£m)</w:t>
            </w:r>
          </w:p>
        </w:tc>
        <w:tc>
          <w:tcPr>
            <w:tcW w:w="0" w:type="auto"/>
            <w:hideMark/>
          </w:tcPr>
          <w:p w14:paraId="21D18A14" w14:textId="77777777" w:rsidR="00A110C5" w:rsidRPr="00A110C5" w:rsidRDefault="00A110C5" w:rsidP="00DD45CD">
            <w:pPr>
              <w:spacing w:before="12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A110C5">
              <w:rPr>
                <w:rFonts w:ascii="Arial" w:hAnsi="Arial" w:cs="Arial"/>
              </w:rPr>
              <w:t>Quick Ratio</w:t>
            </w:r>
          </w:p>
        </w:tc>
      </w:tr>
      <w:tr w:rsidR="00A110C5" w:rsidRPr="00A110C5" w14:paraId="23D84483" w14:textId="77777777" w:rsidTr="003A5B2C">
        <w:tc>
          <w:tcPr>
            <w:cnfStyle w:val="001000000000" w:firstRow="0" w:lastRow="0" w:firstColumn="1" w:lastColumn="0" w:oddVBand="0" w:evenVBand="0" w:oddHBand="0" w:evenHBand="0" w:firstRowFirstColumn="0" w:firstRowLastColumn="0" w:lastRowFirstColumn="0" w:lastRowLastColumn="0"/>
            <w:tcW w:w="0" w:type="auto"/>
            <w:hideMark/>
          </w:tcPr>
          <w:p w14:paraId="7FBDD47F" w14:textId="77777777" w:rsidR="00A110C5" w:rsidRPr="00A110C5" w:rsidRDefault="00A110C5" w:rsidP="00DD45CD">
            <w:pPr>
              <w:spacing w:before="120" w:line="360" w:lineRule="auto"/>
              <w:jc w:val="center"/>
              <w:rPr>
                <w:rFonts w:ascii="Arial" w:hAnsi="Arial" w:cs="Arial"/>
              </w:rPr>
            </w:pPr>
            <w:r w:rsidRPr="00A110C5">
              <w:rPr>
                <w:rFonts w:ascii="Arial" w:hAnsi="Arial" w:cs="Arial"/>
              </w:rPr>
              <w:t>2024</w:t>
            </w:r>
          </w:p>
        </w:tc>
        <w:tc>
          <w:tcPr>
            <w:tcW w:w="0" w:type="auto"/>
            <w:hideMark/>
          </w:tcPr>
          <w:p w14:paraId="308DFEDA"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242,494</w:t>
            </w:r>
          </w:p>
        </w:tc>
        <w:tc>
          <w:tcPr>
            <w:tcW w:w="0" w:type="auto"/>
            <w:hideMark/>
          </w:tcPr>
          <w:p w14:paraId="5276CEA1"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79,355</w:t>
            </w:r>
          </w:p>
        </w:tc>
        <w:tc>
          <w:tcPr>
            <w:tcW w:w="0" w:type="auto"/>
            <w:hideMark/>
          </w:tcPr>
          <w:p w14:paraId="32E1E3BC"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158,291</w:t>
            </w:r>
          </w:p>
        </w:tc>
        <w:tc>
          <w:tcPr>
            <w:tcW w:w="0" w:type="auto"/>
            <w:hideMark/>
          </w:tcPr>
          <w:p w14:paraId="1EEA76B2"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1.03</w:t>
            </w:r>
          </w:p>
        </w:tc>
      </w:tr>
      <w:tr w:rsidR="00A110C5" w:rsidRPr="00A110C5" w14:paraId="350626E4" w14:textId="77777777" w:rsidTr="003A5B2C">
        <w:tc>
          <w:tcPr>
            <w:cnfStyle w:val="001000000000" w:firstRow="0" w:lastRow="0" w:firstColumn="1" w:lastColumn="0" w:oddVBand="0" w:evenVBand="0" w:oddHBand="0" w:evenHBand="0" w:firstRowFirstColumn="0" w:firstRowLastColumn="0" w:lastRowFirstColumn="0" w:lastRowLastColumn="0"/>
            <w:tcW w:w="0" w:type="auto"/>
            <w:hideMark/>
          </w:tcPr>
          <w:p w14:paraId="3AC911C2" w14:textId="77777777" w:rsidR="00A110C5" w:rsidRPr="00A110C5" w:rsidRDefault="00A110C5" w:rsidP="00DD45CD">
            <w:pPr>
              <w:spacing w:before="120" w:line="360" w:lineRule="auto"/>
              <w:jc w:val="center"/>
              <w:rPr>
                <w:rFonts w:ascii="Arial" w:hAnsi="Arial" w:cs="Arial"/>
              </w:rPr>
            </w:pPr>
            <w:r w:rsidRPr="00A110C5">
              <w:rPr>
                <w:rFonts w:ascii="Arial" w:hAnsi="Arial" w:cs="Arial"/>
              </w:rPr>
              <w:t>2023</w:t>
            </w:r>
          </w:p>
        </w:tc>
        <w:tc>
          <w:tcPr>
            <w:tcW w:w="0" w:type="auto"/>
            <w:hideMark/>
          </w:tcPr>
          <w:p w14:paraId="4EBB13D8"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258,851</w:t>
            </w:r>
          </w:p>
        </w:tc>
        <w:tc>
          <w:tcPr>
            <w:tcW w:w="0" w:type="auto"/>
            <w:hideMark/>
          </w:tcPr>
          <w:p w14:paraId="79F53389"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88,273</w:t>
            </w:r>
          </w:p>
        </w:tc>
        <w:tc>
          <w:tcPr>
            <w:tcW w:w="0" w:type="auto"/>
            <w:hideMark/>
          </w:tcPr>
          <w:p w14:paraId="4EC70874"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161,148</w:t>
            </w:r>
          </w:p>
        </w:tc>
        <w:tc>
          <w:tcPr>
            <w:tcW w:w="0" w:type="auto"/>
            <w:hideMark/>
          </w:tcPr>
          <w:p w14:paraId="449C2361"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1.06</w:t>
            </w:r>
          </w:p>
        </w:tc>
      </w:tr>
      <w:tr w:rsidR="00A110C5" w:rsidRPr="00A110C5" w14:paraId="702298A6" w14:textId="77777777" w:rsidTr="003A5B2C">
        <w:tc>
          <w:tcPr>
            <w:cnfStyle w:val="001000000000" w:firstRow="0" w:lastRow="0" w:firstColumn="1" w:lastColumn="0" w:oddVBand="0" w:evenVBand="0" w:oddHBand="0" w:evenHBand="0" w:firstRowFirstColumn="0" w:firstRowLastColumn="0" w:lastRowFirstColumn="0" w:lastRowLastColumn="0"/>
            <w:tcW w:w="0" w:type="auto"/>
            <w:hideMark/>
          </w:tcPr>
          <w:p w14:paraId="480ECCD3" w14:textId="77777777" w:rsidR="00A110C5" w:rsidRPr="00A110C5" w:rsidRDefault="00A110C5" w:rsidP="00DD45CD">
            <w:pPr>
              <w:spacing w:before="120" w:line="360" w:lineRule="auto"/>
              <w:jc w:val="center"/>
              <w:rPr>
                <w:rFonts w:ascii="Arial" w:hAnsi="Arial" w:cs="Arial"/>
              </w:rPr>
            </w:pPr>
            <w:r w:rsidRPr="00A110C5">
              <w:rPr>
                <w:rFonts w:ascii="Arial" w:hAnsi="Arial" w:cs="Arial"/>
              </w:rPr>
              <w:t>2022</w:t>
            </w:r>
          </w:p>
        </w:tc>
        <w:tc>
          <w:tcPr>
            <w:tcW w:w="0" w:type="auto"/>
            <w:hideMark/>
          </w:tcPr>
          <w:p w14:paraId="7AD485E1"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338,040</w:t>
            </w:r>
          </w:p>
        </w:tc>
        <w:tc>
          <w:tcPr>
            <w:tcW w:w="0" w:type="auto"/>
            <w:hideMark/>
          </w:tcPr>
          <w:p w14:paraId="4620F0AA"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140,181</w:t>
            </w:r>
          </w:p>
        </w:tc>
        <w:tc>
          <w:tcPr>
            <w:tcW w:w="0" w:type="auto"/>
            <w:hideMark/>
          </w:tcPr>
          <w:p w14:paraId="78BD8132"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216,473</w:t>
            </w:r>
          </w:p>
        </w:tc>
        <w:tc>
          <w:tcPr>
            <w:tcW w:w="0" w:type="auto"/>
            <w:hideMark/>
          </w:tcPr>
          <w:p w14:paraId="19125A65"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0.92</w:t>
            </w:r>
          </w:p>
        </w:tc>
      </w:tr>
      <w:tr w:rsidR="00A110C5" w:rsidRPr="00A110C5" w14:paraId="068F655F" w14:textId="77777777" w:rsidTr="003A5B2C">
        <w:tc>
          <w:tcPr>
            <w:cnfStyle w:val="001000000000" w:firstRow="0" w:lastRow="0" w:firstColumn="1" w:lastColumn="0" w:oddVBand="0" w:evenVBand="0" w:oddHBand="0" w:evenHBand="0" w:firstRowFirstColumn="0" w:firstRowLastColumn="0" w:lastRowFirstColumn="0" w:lastRowLastColumn="0"/>
            <w:tcW w:w="0" w:type="auto"/>
            <w:hideMark/>
          </w:tcPr>
          <w:p w14:paraId="7A470ED7" w14:textId="77777777" w:rsidR="00A110C5" w:rsidRPr="00A110C5" w:rsidRDefault="00A110C5" w:rsidP="00DD45CD">
            <w:pPr>
              <w:spacing w:before="120" w:line="360" w:lineRule="auto"/>
              <w:jc w:val="center"/>
              <w:rPr>
                <w:rFonts w:ascii="Arial" w:hAnsi="Arial" w:cs="Arial"/>
              </w:rPr>
            </w:pPr>
            <w:r w:rsidRPr="00A110C5">
              <w:rPr>
                <w:rFonts w:ascii="Arial" w:hAnsi="Arial" w:cs="Arial"/>
              </w:rPr>
              <w:t>2021</w:t>
            </w:r>
          </w:p>
        </w:tc>
        <w:tc>
          <w:tcPr>
            <w:tcW w:w="0" w:type="auto"/>
            <w:hideMark/>
          </w:tcPr>
          <w:p w14:paraId="131135BC"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337,146</w:t>
            </w:r>
          </w:p>
        </w:tc>
        <w:tc>
          <w:tcPr>
            <w:tcW w:w="0" w:type="auto"/>
            <w:hideMark/>
          </w:tcPr>
          <w:p w14:paraId="164728DE"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134,469</w:t>
            </w:r>
          </w:p>
        </w:tc>
        <w:tc>
          <w:tcPr>
            <w:tcW w:w="0" w:type="auto"/>
            <w:hideMark/>
          </w:tcPr>
          <w:p w14:paraId="42F78FA2"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216,787</w:t>
            </w:r>
          </w:p>
        </w:tc>
        <w:tc>
          <w:tcPr>
            <w:tcW w:w="0" w:type="auto"/>
            <w:hideMark/>
          </w:tcPr>
          <w:p w14:paraId="2E4E2287"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0.94</w:t>
            </w:r>
          </w:p>
        </w:tc>
      </w:tr>
      <w:tr w:rsidR="00A110C5" w:rsidRPr="00A110C5" w14:paraId="7E0B28B2" w14:textId="77777777" w:rsidTr="003A5B2C">
        <w:tc>
          <w:tcPr>
            <w:cnfStyle w:val="001000000000" w:firstRow="0" w:lastRow="0" w:firstColumn="1" w:lastColumn="0" w:oddVBand="0" w:evenVBand="0" w:oddHBand="0" w:evenHBand="0" w:firstRowFirstColumn="0" w:firstRowLastColumn="0" w:lastRowFirstColumn="0" w:lastRowLastColumn="0"/>
            <w:tcW w:w="0" w:type="auto"/>
            <w:hideMark/>
          </w:tcPr>
          <w:p w14:paraId="46309633" w14:textId="77777777" w:rsidR="00A110C5" w:rsidRPr="00A110C5" w:rsidRDefault="00A110C5" w:rsidP="00DD45CD">
            <w:pPr>
              <w:spacing w:before="120" w:line="360" w:lineRule="auto"/>
              <w:jc w:val="center"/>
              <w:rPr>
                <w:rFonts w:ascii="Arial" w:hAnsi="Arial" w:cs="Arial"/>
              </w:rPr>
            </w:pPr>
            <w:r w:rsidRPr="00A110C5">
              <w:rPr>
                <w:rFonts w:ascii="Arial" w:hAnsi="Arial" w:cs="Arial"/>
              </w:rPr>
              <w:t>2020</w:t>
            </w:r>
          </w:p>
        </w:tc>
        <w:tc>
          <w:tcPr>
            <w:tcW w:w="0" w:type="auto"/>
            <w:hideMark/>
          </w:tcPr>
          <w:p w14:paraId="50FEEE34"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326,843</w:t>
            </w:r>
          </w:p>
        </w:tc>
        <w:tc>
          <w:tcPr>
            <w:tcW w:w="0" w:type="auto"/>
            <w:hideMark/>
          </w:tcPr>
          <w:p w14:paraId="5F052C43"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120,430</w:t>
            </w:r>
          </w:p>
        </w:tc>
        <w:tc>
          <w:tcPr>
            <w:tcW w:w="0" w:type="auto"/>
            <w:hideMark/>
          </w:tcPr>
          <w:p w14:paraId="647FEB57"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179,510</w:t>
            </w:r>
          </w:p>
        </w:tc>
        <w:tc>
          <w:tcPr>
            <w:tcW w:w="0" w:type="auto"/>
            <w:hideMark/>
          </w:tcPr>
          <w:p w14:paraId="1A74631E"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1.14</w:t>
            </w:r>
          </w:p>
        </w:tc>
      </w:tr>
    </w:tbl>
    <w:p w14:paraId="684A304E" w14:textId="69CC62A2" w:rsidR="00A110C5" w:rsidRPr="00A110C5" w:rsidRDefault="00773554" w:rsidP="00112D41">
      <w:pPr>
        <w:pStyle w:val="Heading2"/>
      </w:pPr>
      <w:bookmarkStart w:id="64" w:name="_Toc217080801"/>
      <w:r>
        <w:t xml:space="preserve">Appendix- </w:t>
      </w:r>
      <w:r w:rsidR="00A110C5" w:rsidRPr="00A110C5">
        <w:t>3 Efficiency Ratios</w:t>
      </w:r>
      <w:bookmarkEnd w:id="64"/>
    </w:p>
    <w:p w14:paraId="13B58DA5" w14:textId="77777777" w:rsidR="00A110C5" w:rsidRPr="00A110C5" w:rsidRDefault="00A110C5" w:rsidP="00A110C5">
      <w:pPr>
        <w:spacing w:before="120" w:after="0" w:line="360" w:lineRule="auto"/>
        <w:jc w:val="both"/>
        <w:rPr>
          <w:rFonts w:ascii="Arial" w:hAnsi="Arial" w:cs="Arial"/>
        </w:rPr>
      </w:pPr>
      <w:r w:rsidRPr="00A110C5">
        <w:rPr>
          <w:rFonts w:ascii="Arial" w:hAnsi="Arial" w:cs="Arial"/>
          <w:b/>
          <w:bCs/>
        </w:rPr>
        <w:t>Asset Turnover</w:t>
      </w:r>
    </w:p>
    <w:p w14:paraId="3707B8ED" w14:textId="77777777" w:rsidR="00A110C5" w:rsidRPr="00A110C5" w:rsidRDefault="00A110C5" w:rsidP="00A110C5">
      <w:pPr>
        <w:spacing w:before="120" w:after="0" w:line="360" w:lineRule="auto"/>
        <w:jc w:val="both"/>
        <w:rPr>
          <w:rFonts w:ascii="Arial" w:hAnsi="Arial" w:cs="Arial"/>
        </w:rPr>
      </w:pPr>
      <m:oMathPara>
        <m:oMath>
          <m:r>
            <m:rPr>
              <m:nor/>
            </m:rPr>
            <w:rPr>
              <w:rFonts w:ascii="Arial" w:hAnsi="Arial" w:cs="Arial"/>
            </w:rPr>
            <m:t>Asset Turnover</m:t>
          </m:r>
          <m:r>
            <w:rPr>
              <w:rFonts w:ascii="Cambria Math" w:hAnsi="Cambria Math" w:cs="Arial"/>
            </w:rPr>
            <m:t>=</m:t>
          </m:r>
          <m:f>
            <m:fPr>
              <m:ctrlPr>
                <w:rPr>
                  <w:rFonts w:ascii="Cambria Math" w:hAnsi="Cambria Math" w:cs="Arial"/>
                </w:rPr>
              </m:ctrlPr>
            </m:fPr>
            <m:num>
              <m:r>
                <m:rPr>
                  <m:nor/>
                </m:rPr>
                <w:rPr>
                  <w:rFonts w:ascii="Arial" w:hAnsi="Arial" w:cs="Arial"/>
                </w:rPr>
                <m:t>Net Sales</m:t>
              </m:r>
            </m:num>
            <m:den>
              <m:r>
                <m:rPr>
                  <m:nor/>
                </m:rPr>
                <w:rPr>
                  <w:rFonts w:ascii="Arial" w:hAnsi="Arial" w:cs="Arial"/>
                </w:rPr>
                <m:t>Total Assets</m:t>
              </m:r>
            </m:den>
          </m:f>
        </m:oMath>
      </m:oMathPara>
    </w:p>
    <w:tbl>
      <w:tblPr>
        <w:tblStyle w:val="GridTable1Light-Accent3"/>
        <w:tblW w:w="0" w:type="auto"/>
        <w:jc w:val="center"/>
        <w:tblLook w:val="04A0" w:firstRow="1" w:lastRow="0" w:firstColumn="1" w:lastColumn="0" w:noHBand="0" w:noVBand="1"/>
      </w:tblPr>
      <w:tblGrid>
        <w:gridCol w:w="750"/>
        <w:gridCol w:w="1870"/>
        <w:gridCol w:w="2190"/>
        <w:gridCol w:w="1959"/>
      </w:tblGrid>
      <w:tr w:rsidR="00A110C5" w:rsidRPr="00A110C5" w14:paraId="4B237332" w14:textId="77777777" w:rsidTr="003A5B2C">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E4E341A" w14:textId="77777777" w:rsidR="00A110C5" w:rsidRPr="00A110C5" w:rsidRDefault="00A110C5" w:rsidP="00DD45CD">
            <w:pPr>
              <w:spacing w:before="120" w:line="360" w:lineRule="auto"/>
              <w:jc w:val="center"/>
              <w:rPr>
                <w:rFonts w:ascii="Arial" w:hAnsi="Arial" w:cs="Arial"/>
                <w:b w:val="0"/>
                <w:bCs w:val="0"/>
              </w:rPr>
            </w:pPr>
            <w:r w:rsidRPr="00A110C5">
              <w:rPr>
                <w:rFonts w:ascii="Arial" w:hAnsi="Arial" w:cs="Arial"/>
              </w:rPr>
              <w:t>Year</w:t>
            </w:r>
          </w:p>
        </w:tc>
        <w:tc>
          <w:tcPr>
            <w:tcW w:w="0" w:type="auto"/>
            <w:hideMark/>
          </w:tcPr>
          <w:p w14:paraId="59319D10" w14:textId="77777777" w:rsidR="00A110C5" w:rsidRPr="00A110C5" w:rsidRDefault="00A110C5" w:rsidP="00DD45CD">
            <w:pPr>
              <w:spacing w:before="12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A110C5">
              <w:rPr>
                <w:rFonts w:ascii="Arial" w:hAnsi="Arial" w:cs="Arial"/>
              </w:rPr>
              <w:t>Net Sales (£m)</w:t>
            </w:r>
          </w:p>
        </w:tc>
        <w:tc>
          <w:tcPr>
            <w:tcW w:w="0" w:type="auto"/>
            <w:hideMark/>
          </w:tcPr>
          <w:p w14:paraId="5F6363EC" w14:textId="77777777" w:rsidR="00A110C5" w:rsidRPr="00A110C5" w:rsidRDefault="00A110C5" w:rsidP="00DD45CD">
            <w:pPr>
              <w:spacing w:before="12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A110C5">
              <w:rPr>
                <w:rFonts w:ascii="Arial" w:hAnsi="Arial" w:cs="Arial"/>
              </w:rPr>
              <w:t>Total Assets (£m)</w:t>
            </w:r>
          </w:p>
        </w:tc>
        <w:tc>
          <w:tcPr>
            <w:tcW w:w="0" w:type="auto"/>
            <w:hideMark/>
          </w:tcPr>
          <w:p w14:paraId="02FD5145" w14:textId="77777777" w:rsidR="00A110C5" w:rsidRPr="00A110C5" w:rsidRDefault="00A110C5" w:rsidP="00DD45CD">
            <w:pPr>
              <w:spacing w:before="12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A110C5">
              <w:rPr>
                <w:rFonts w:ascii="Arial" w:hAnsi="Arial" w:cs="Arial"/>
              </w:rPr>
              <w:t>Asset Turnover</w:t>
            </w:r>
          </w:p>
        </w:tc>
      </w:tr>
      <w:tr w:rsidR="00A110C5" w:rsidRPr="00A110C5" w14:paraId="11D19A3D" w14:textId="77777777" w:rsidTr="003A5B2C">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A0728AC" w14:textId="77777777" w:rsidR="00A110C5" w:rsidRPr="00A110C5" w:rsidRDefault="00A110C5" w:rsidP="00DD45CD">
            <w:pPr>
              <w:spacing w:before="120" w:line="360" w:lineRule="auto"/>
              <w:jc w:val="center"/>
              <w:rPr>
                <w:rFonts w:ascii="Arial" w:hAnsi="Arial" w:cs="Arial"/>
              </w:rPr>
            </w:pPr>
            <w:r w:rsidRPr="00A110C5">
              <w:rPr>
                <w:rFonts w:ascii="Arial" w:hAnsi="Arial" w:cs="Arial"/>
              </w:rPr>
              <w:t>2024</w:t>
            </w:r>
          </w:p>
        </w:tc>
        <w:tc>
          <w:tcPr>
            <w:tcW w:w="0" w:type="auto"/>
            <w:hideMark/>
          </w:tcPr>
          <w:p w14:paraId="6FB0215A"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394,879</w:t>
            </w:r>
          </w:p>
        </w:tc>
        <w:tc>
          <w:tcPr>
            <w:tcW w:w="0" w:type="auto"/>
            <w:hideMark/>
          </w:tcPr>
          <w:p w14:paraId="52FC75DA"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323,354</w:t>
            </w:r>
          </w:p>
        </w:tc>
        <w:tc>
          <w:tcPr>
            <w:tcW w:w="0" w:type="auto"/>
            <w:hideMark/>
          </w:tcPr>
          <w:p w14:paraId="3A420549"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1.22</w:t>
            </w:r>
          </w:p>
        </w:tc>
      </w:tr>
      <w:tr w:rsidR="00A110C5" w:rsidRPr="00A110C5" w14:paraId="010A6D96" w14:textId="77777777" w:rsidTr="003A5B2C">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116CC09" w14:textId="77777777" w:rsidR="00A110C5" w:rsidRPr="00A110C5" w:rsidRDefault="00A110C5" w:rsidP="00A110C5">
            <w:pPr>
              <w:spacing w:before="120" w:after="120" w:line="360" w:lineRule="auto"/>
              <w:jc w:val="center"/>
              <w:rPr>
                <w:rFonts w:ascii="Arial" w:hAnsi="Arial" w:cs="Arial"/>
              </w:rPr>
            </w:pPr>
            <w:r w:rsidRPr="00A110C5">
              <w:rPr>
                <w:rFonts w:ascii="Arial" w:hAnsi="Arial" w:cs="Arial"/>
              </w:rPr>
              <w:t>2023</w:t>
            </w:r>
          </w:p>
        </w:tc>
        <w:tc>
          <w:tcPr>
            <w:tcW w:w="0" w:type="auto"/>
            <w:hideMark/>
          </w:tcPr>
          <w:p w14:paraId="529E3FBF" w14:textId="77777777" w:rsidR="00A110C5" w:rsidRPr="00A110C5" w:rsidRDefault="00A110C5" w:rsidP="00A110C5">
            <w:pPr>
              <w:spacing w:before="120" w:after="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420,457</w:t>
            </w:r>
          </w:p>
        </w:tc>
        <w:tc>
          <w:tcPr>
            <w:tcW w:w="0" w:type="auto"/>
            <w:hideMark/>
          </w:tcPr>
          <w:p w14:paraId="1C00715C" w14:textId="77777777" w:rsidR="00A110C5" w:rsidRPr="00A110C5" w:rsidRDefault="00A110C5" w:rsidP="00A110C5">
            <w:pPr>
              <w:spacing w:before="120" w:after="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355,872</w:t>
            </w:r>
          </w:p>
        </w:tc>
        <w:tc>
          <w:tcPr>
            <w:tcW w:w="0" w:type="auto"/>
            <w:hideMark/>
          </w:tcPr>
          <w:p w14:paraId="58098A45" w14:textId="77777777" w:rsidR="00A110C5" w:rsidRPr="00A110C5" w:rsidRDefault="00A110C5" w:rsidP="00A110C5">
            <w:pPr>
              <w:spacing w:before="120" w:after="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1.18</w:t>
            </w:r>
          </w:p>
        </w:tc>
      </w:tr>
      <w:tr w:rsidR="00A110C5" w:rsidRPr="00A110C5" w14:paraId="77EAB5A8" w14:textId="77777777" w:rsidTr="003A5B2C">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81AB1EB" w14:textId="77777777" w:rsidR="00A110C5" w:rsidRPr="00A110C5" w:rsidRDefault="00A110C5" w:rsidP="00DD45CD">
            <w:pPr>
              <w:spacing w:before="120" w:line="360" w:lineRule="auto"/>
              <w:jc w:val="center"/>
              <w:rPr>
                <w:rFonts w:ascii="Arial" w:hAnsi="Arial" w:cs="Arial"/>
              </w:rPr>
            </w:pPr>
            <w:r w:rsidRPr="00A110C5">
              <w:rPr>
                <w:rFonts w:ascii="Arial" w:hAnsi="Arial" w:cs="Arial"/>
              </w:rPr>
              <w:t>2022</w:t>
            </w:r>
          </w:p>
        </w:tc>
        <w:tc>
          <w:tcPr>
            <w:tcW w:w="0" w:type="auto"/>
            <w:hideMark/>
          </w:tcPr>
          <w:p w14:paraId="03282E1D"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542,751</w:t>
            </w:r>
          </w:p>
        </w:tc>
        <w:tc>
          <w:tcPr>
            <w:tcW w:w="0" w:type="auto"/>
            <w:hideMark/>
          </w:tcPr>
          <w:p w14:paraId="377DADD2"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504,163</w:t>
            </w:r>
          </w:p>
        </w:tc>
        <w:tc>
          <w:tcPr>
            <w:tcW w:w="0" w:type="auto"/>
            <w:hideMark/>
          </w:tcPr>
          <w:p w14:paraId="6B82119D"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1.08</w:t>
            </w:r>
          </w:p>
        </w:tc>
      </w:tr>
      <w:tr w:rsidR="00A110C5" w:rsidRPr="00A110C5" w14:paraId="300F0BF0" w14:textId="77777777" w:rsidTr="003A5B2C">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247F787" w14:textId="77777777" w:rsidR="00A110C5" w:rsidRPr="00A110C5" w:rsidRDefault="00A110C5" w:rsidP="00DD45CD">
            <w:pPr>
              <w:spacing w:before="120" w:line="360" w:lineRule="auto"/>
              <w:jc w:val="center"/>
              <w:rPr>
                <w:rFonts w:ascii="Arial" w:hAnsi="Arial" w:cs="Arial"/>
              </w:rPr>
            </w:pPr>
            <w:r w:rsidRPr="00A110C5">
              <w:rPr>
                <w:rFonts w:ascii="Arial" w:hAnsi="Arial" w:cs="Arial"/>
              </w:rPr>
              <w:t>2021</w:t>
            </w:r>
          </w:p>
        </w:tc>
        <w:tc>
          <w:tcPr>
            <w:tcW w:w="0" w:type="auto"/>
            <w:hideMark/>
          </w:tcPr>
          <w:p w14:paraId="1DEFB582"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601,602</w:t>
            </w:r>
          </w:p>
        </w:tc>
        <w:tc>
          <w:tcPr>
            <w:tcW w:w="0" w:type="auto"/>
            <w:hideMark/>
          </w:tcPr>
          <w:p w14:paraId="1013104D"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510,348</w:t>
            </w:r>
          </w:p>
        </w:tc>
        <w:tc>
          <w:tcPr>
            <w:tcW w:w="0" w:type="auto"/>
            <w:hideMark/>
          </w:tcPr>
          <w:p w14:paraId="46651CCF"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1.18</w:t>
            </w:r>
          </w:p>
        </w:tc>
      </w:tr>
      <w:tr w:rsidR="00A110C5" w:rsidRPr="00A110C5" w14:paraId="56FBA823" w14:textId="77777777" w:rsidTr="003A5B2C">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C49CEC1" w14:textId="77777777" w:rsidR="00A110C5" w:rsidRPr="00A110C5" w:rsidRDefault="00A110C5" w:rsidP="00DD45CD">
            <w:pPr>
              <w:spacing w:before="120" w:line="360" w:lineRule="auto"/>
              <w:jc w:val="center"/>
              <w:rPr>
                <w:rFonts w:ascii="Arial" w:hAnsi="Arial" w:cs="Arial"/>
              </w:rPr>
            </w:pPr>
            <w:r w:rsidRPr="00A110C5">
              <w:rPr>
                <w:rFonts w:ascii="Arial" w:hAnsi="Arial" w:cs="Arial"/>
              </w:rPr>
              <w:t>2020</w:t>
            </w:r>
          </w:p>
        </w:tc>
        <w:tc>
          <w:tcPr>
            <w:tcW w:w="0" w:type="auto"/>
            <w:hideMark/>
          </w:tcPr>
          <w:p w14:paraId="468D906A"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614,680</w:t>
            </w:r>
          </w:p>
        </w:tc>
        <w:tc>
          <w:tcPr>
            <w:tcW w:w="0" w:type="auto"/>
            <w:hideMark/>
          </w:tcPr>
          <w:p w14:paraId="3FEA053B"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510,290</w:t>
            </w:r>
          </w:p>
        </w:tc>
        <w:tc>
          <w:tcPr>
            <w:tcW w:w="0" w:type="auto"/>
            <w:hideMark/>
          </w:tcPr>
          <w:p w14:paraId="0FD7704B"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1.20</w:t>
            </w:r>
          </w:p>
        </w:tc>
      </w:tr>
    </w:tbl>
    <w:p w14:paraId="1350464E" w14:textId="77777777" w:rsidR="00A110C5" w:rsidRPr="00A110C5" w:rsidRDefault="00A110C5" w:rsidP="00A110C5">
      <w:pPr>
        <w:spacing w:before="120" w:after="0" w:line="360" w:lineRule="auto"/>
        <w:jc w:val="both"/>
        <w:rPr>
          <w:rFonts w:ascii="Arial" w:hAnsi="Arial" w:cs="Arial"/>
        </w:rPr>
      </w:pPr>
      <w:r w:rsidRPr="00A110C5">
        <w:rPr>
          <w:rFonts w:ascii="Arial" w:hAnsi="Arial" w:cs="Arial"/>
          <w:b/>
          <w:bCs/>
        </w:rPr>
        <w:t>Inventory Turnover</w:t>
      </w:r>
    </w:p>
    <w:p w14:paraId="09A5EB4A" w14:textId="77777777" w:rsidR="00A110C5" w:rsidRPr="00A110C5" w:rsidRDefault="00A110C5" w:rsidP="00A110C5">
      <w:pPr>
        <w:spacing w:before="120" w:after="0" w:line="360" w:lineRule="auto"/>
        <w:jc w:val="both"/>
        <w:rPr>
          <w:rFonts w:ascii="Arial" w:hAnsi="Arial" w:cs="Arial"/>
        </w:rPr>
      </w:pPr>
      <m:oMathPara>
        <m:oMath>
          <m:r>
            <m:rPr>
              <m:nor/>
            </m:rPr>
            <w:rPr>
              <w:rFonts w:ascii="Arial" w:hAnsi="Arial" w:cs="Arial"/>
            </w:rPr>
            <m:t>Inventory Turnover</m:t>
          </m:r>
          <m:r>
            <w:rPr>
              <w:rFonts w:ascii="Cambria Math" w:hAnsi="Cambria Math" w:cs="Arial"/>
            </w:rPr>
            <m:t>=</m:t>
          </m:r>
          <m:f>
            <m:fPr>
              <m:ctrlPr>
                <w:rPr>
                  <w:rFonts w:ascii="Cambria Math" w:hAnsi="Cambria Math" w:cs="Arial"/>
                </w:rPr>
              </m:ctrlPr>
            </m:fPr>
            <m:num>
              <m:r>
                <m:rPr>
                  <m:nor/>
                </m:rPr>
                <w:rPr>
                  <w:rFonts w:ascii="Arial" w:hAnsi="Arial" w:cs="Arial"/>
                </w:rPr>
                <m:t>Cost of Sales</m:t>
              </m:r>
            </m:num>
            <m:den>
              <m:r>
                <m:rPr>
                  <m:nor/>
                </m:rPr>
                <w:rPr>
                  <w:rFonts w:ascii="Arial" w:hAnsi="Arial" w:cs="Arial"/>
                </w:rPr>
                <m:t>Average Inventory</m:t>
              </m:r>
            </m:den>
          </m:f>
        </m:oMath>
      </m:oMathPara>
    </w:p>
    <w:tbl>
      <w:tblPr>
        <w:tblStyle w:val="GridTable1Light-Accent3"/>
        <w:tblW w:w="0" w:type="auto"/>
        <w:jc w:val="center"/>
        <w:tblLook w:val="04A0" w:firstRow="1" w:lastRow="0" w:firstColumn="1" w:lastColumn="0" w:noHBand="0" w:noVBand="1"/>
      </w:tblPr>
      <w:tblGrid>
        <w:gridCol w:w="750"/>
        <w:gridCol w:w="2310"/>
        <w:gridCol w:w="2875"/>
        <w:gridCol w:w="2386"/>
      </w:tblGrid>
      <w:tr w:rsidR="00A110C5" w:rsidRPr="00A110C5" w14:paraId="2524CEC2" w14:textId="77777777" w:rsidTr="003A5B2C">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D403E44" w14:textId="77777777" w:rsidR="00A110C5" w:rsidRPr="00A110C5" w:rsidRDefault="00A110C5" w:rsidP="00DD45CD">
            <w:pPr>
              <w:spacing w:before="120" w:line="360" w:lineRule="auto"/>
              <w:jc w:val="center"/>
              <w:rPr>
                <w:rFonts w:ascii="Arial" w:hAnsi="Arial" w:cs="Arial"/>
                <w:b w:val="0"/>
                <w:bCs w:val="0"/>
              </w:rPr>
            </w:pPr>
            <w:r w:rsidRPr="00A110C5">
              <w:rPr>
                <w:rFonts w:ascii="Arial" w:hAnsi="Arial" w:cs="Arial"/>
              </w:rPr>
              <w:lastRenderedPageBreak/>
              <w:t>Year</w:t>
            </w:r>
          </w:p>
        </w:tc>
        <w:tc>
          <w:tcPr>
            <w:tcW w:w="0" w:type="auto"/>
            <w:hideMark/>
          </w:tcPr>
          <w:p w14:paraId="64A17C03" w14:textId="77777777" w:rsidR="00A110C5" w:rsidRPr="00A110C5" w:rsidRDefault="00A110C5" w:rsidP="00DD45CD">
            <w:pPr>
              <w:spacing w:before="12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A110C5">
              <w:rPr>
                <w:rFonts w:ascii="Arial" w:hAnsi="Arial" w:cs="Arial"/>
              </w:rPr>
              <w:t>Cost of Sales (£m)</w:t>
            </w:r>
          </w:p>
        </w:tc>
        <w:tc>
          <w:tcPr>
            <w:tcW w:w="0" w:type="auto"/>
            <w:hideMark/>
          </w:tcPr>
          <w:p w14:paraId="221F599B" w14:textId="77777777" w:rsidR="00A110C5" w:rsidRPr="00A110C5" w:rsidRDefault="00A110C5" w:rsidP="00DD45CD">
            <w:pPr>
              <w:spacing w:before="12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A110C5">
              <w:rPr>
                <w:rFonts w:ascii="Arial" w:hAnsi="Arial" w:cs="Arial"/>
              </w:rPr>
              <w:t>Average Inventory (£m)</w:t>
            </w:r>
          </w:p>
        </w:tc>
        <w:tc>
          <w:tcPr>
            <w:tcW w:w="0" w:type="auto"/>
            <w:hideMark/>
          </w:tcPr>
          <w:p w14:paraId="27BD52F8" w14:textId="77777777" w:rsidR="00A110C5" w:rsidRPr="00A110C5" w:rsidRDefault="00A110C5" w:rsidP="00DD45CD">
            <w:pPr>
              <w:spacing w:before="12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A110C5">
              <w:rPr>
                <w:rFonts w:ascii="Arial" w:hAnsi="Arial" w:cs="Arial"/>
              </w:rPr>
              <w:t>Inventory Turnover</w:t>
            </w:r>
          </w:p>
        </w:tc>
      </w:tr>
      <w:tr w:rsidR="00A110C5" w:rsidRPr="00A110C5" w14:paraId="0B80FF3E" w14:textId="77777777" w:rsidTr="003A5B2C">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01CBA14" w14:textId="77777777" w:rsidR="00A110C5" w:rsidRPr="00A110C5" w:rsidRDefault="00A110C5" w:rsidP="00DD45CD">
            <w:pPr>
              <w:spacing w:before="120" w:line="360" w:lineRule="auto"/>
              <w:jc w:val="center"/>
              <w:rPr>
                <w:rFonts w:ascii="Arial" w:hAnsi="Arial" w:cs="Arial"/>
              </w:rPr>
            </w:pPr>
            <w:r w:rsidRPr="00A110C5">
              <w:rPr>
                <w:rFonts w:ascii="Arial" w:hAnsi="Arial" w:cs="Arial"/>
              </w:rPr>
              <w:t>2024</w:t>
            </w:r>
          </w:p>
        </w:tc>
        <w:tc>
          <w:tcPr>
            <w:tcW w:w="0" w:type="auto"/>
            <w:hideMark/>
          </w:tcPr>
          <w:p w14:paraId="391B3D53"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280,885</w:t>
            </w:r>
          </w:p>
        </w:tc>
        <w:tc>
          <w:tcPr>
            <w:tcW w:w="0" w:type="auto"/>
            <w:hideMark/>
          </w:tcPr>
          <w:p w14:paraId="650C6B7F"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79,355</w:t>
            </w:r>
          </w:p>
        </w:tc>
        <w:tc>
          <w:tcPr>
            <w:tcW w:w="0" w:type="auto"/>
            <w:hideMark/>
          </w:tcPr>
          <w:p w14:paraId="2884D8E1"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3.54</w:t>
            </w:r>
          </w:p>
        </w:tc>
      </w:tr>
      <w:tr w:rsidR="00A110C5" w:rsidRPr="00A110C5" w14:paraId="4498DBF9" w14:textId="77777777" w:rsidTr="003A5B2C">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ECC9648" w14:textId="77777777" w:rsidR="00A110C5" w:rsidRPr="00A110C5" w:rsidRDefault="00A110C5" w:rsidP="00DD45CD">
            <w:pPr>
              <w:spacing w:before="120" w:line="360" w:lineRule="auto"/>
              <w:jc w:val="center"/>
              <w:rPr>
                <w:rFonts w:ascii="Arial" w:hAnsi="Arial" w:cs="Arial"/>
              </w:rPr>
            </w:pPr>
            <w:r w:rsidRPr="00A110C5">
              <w:rPr>
                <w:rFonts w:ascii="Arial" w:hAnsi="Arial" w:cs="Arial"/>
              </w:rPr>
              <w:t>2023</w:t>
            </w:r>
          </w:p>
        </w:tc>
        <w:tc>
          <w:tcPr>
            <w:tcW w:w="0" w:type="auto"/>
            <w:hideMark/>
          </w:tcPr>
          <w:p w14:paraId="39AE412B"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322,897</w:t>
            </w:r>
          </w:p>
        </w:tc>
        <w:tc>
          <w:tcPr>
            <w:tcW w:w="0" w:type="auto"/>
            <w:hideMark/>
          </w:tcPr>
          <w:p w14:paraId="6D06CF95"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88,273</w:t>
            </w:r>
          </w:p>
        </w:tc>
        <w:tc>
          <w:tcPr>
            <w:tcW w:w="0" w:type="auto"/>
            <w:hideMark/>
          </w:tcPr>
          <w:p w14:paraId="3956737A"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3.65</w:t>
            </w:r>
          </w:p>
        </w:tc>
      </w:tr>
      <w:tr w:rsidR="00A110C5" w:rsidRPr="00A110C5" w14:paraId="46B5EC81" w14:textId="77777777" w:rsidTr="003A5B2C">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73BB254" w14:textId="77777777" w:rsidR="00A110C5" w:rsidRPr="00A110C5" w:rsidRDefault="00A110C5" w:rsidP="00DD45CD">
            <w:pPr>
              <w:spacing w:before="120" w:line="360" w:lineRule="auto"/>
              <w:jc w:val="center"/>
              <w:rPr>
                <w:rFonts w:ascii="Arial" w:hAnsi="Arial" w:cs="Arial"/>
              </w:rPr>
            </w:pPr>
            <w:r w:rsidRPr="00A110C5">
              <w:rPr>
                <w:rFonts w:ascii="Arial" w:hAnsi="Arial" w:cs="Arial"/>
              </w:rPr>
              <w:t>2022</w:t>
            </w:r>
          </w:p>
        </w:tc>
        <w:tc>
          <w:tcPr>
            <w:tcW w:w="0" w:type="auto"/>
            <w:hideMark/>
          </w:tcPr>
          <w:p w14:paraId="08351650"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390,459</w:t>
            </w:r>
          </w:p>
        </w:tc>
        <w:tc>
          <w:tcPr>
            <w:tcW w:w="0" w:type="auto"/>
            <w:hideMark/>
          </w:tcPr>
          <w:p w14:paraId="77A5ADB6"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140,181</w:t>
            </w:r>
          </w:p>
        </w:tc>
        <w:tc>
          <w:tcPr>
            <w:tcW w:w="0" w:type="auto"/>
            <w:hideMark/>
          </w:tcPr>
          <w:p w14:paraId="2A06173B"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2.78</w:t>
            </w:r>
          </w:p>
        </w:tc>
      </w:tr>
      <w:tr w:rsidR="00A110C5" w:rsidRPr="00A110C5" w14:paraId="391DE97B" w14:textId="77777777" w:rsidTr="003A5B2C">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C3EE1EF" w14:textId="77777777" w:rsidR="00A110C5" w:rsidRPr="00A110C5" w:rsidRDefault="00A110C5" w:rsidP="00DD45CD">
            <w:pPr>
              <w:spacing w:before="120" w:line="360" w:lineRule="auto"/>
              <w:jc w:val="center"/>
              <w:rPr>
                <w:rFonts w:ascii="Arial" w:hAnsi="Arial" w:cs="Arial"/>
              </w:rPr>
            </w:pPr>
            <w:r w:rsidRPr="00A110C5">
              <w:rPr>
                <w:rFonts w:ascii="Arial" w:hAnsi="Arial" w:cs="Arial"/>
              </w:rPr>
              <w:t>2021</w:t>
            </w:r>
          </w:p>
        </w:tc>
        <w:tc>
          <w:tcPr>
            <w:tcW w:w="0" w:type="auto"/>
            <w:hideMark/>
          </w:tcPr>
          <w:p w14:paraId="236E7C32"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428,586</w:t>
            </w:r>
          </w:p>
        </w:tc>
        <w:tc>
          <w:tcPr>
            <w:tcW w:w="0" w:type="auto"/>
            <w:hideMark/>
          </w:tcPr>
          <w:p w14:paraId="609F52FE"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134,469</w:t>
            </w:r>
          </w:p>
        </w:tc>
        <w:tc>
          <w:tcPr>
            <w:tcW w:w="0" w:type="auto"/>
            <w:hideMark/>
          </w:tcPr>
          <w:p w14:paraId="5B3FC964"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3.18</w:t>
            </w:r>
          </w:p>
        </w:tc>
      </w:tr>
      <w:tr w:rsidR="00A110C5" w:rsidRPr="00A110C5" w14:paraId="11795AF2" w14:textId="77777777" w:rsidTr="003A5B2C">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B92D997" w14:textId="77777777" w:rsidR="00A110C5" w:rsidRPr="00A110C5" w:rsidRDefault="00A110C5" w:rsidP="00DD45CD">
            <w:pPr>
              <w:spacing w:before="120" w:line="360" w:lineRule="auto"/>
              <w:jc w:val="center"/>
              <w:rPr>
                <w:rFonts w:ascii="Arial" w:hAnsi="Arial" w:cs="Arial"/>
              </w:rPr>
            </w:pPr>
            <w:r w:rsidRPr="00A110C5">
              <w:rPr>
                <w:rFonts w:ascii="Arial" w:hAnsi="Arial" w:cs="Arial"/>
              </w:rPr>
              <w:t>2020</w:t>
            </w:r>
          </w:p>
        </w:tc>
        <w:tc>
          <w:tcPr>
            <w:tcW w:w="0" w:type="auto"/>
            <w:hideMark/>
          </w:tcPr>
          <w:p w14:paraId="5BB261C0"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438,424</w:t>
            </w:r>
          </w:p>
        </w:tc>
        <w:tc>
          <w:tcPr>
            <w:tcW w:w="0" w:type="auto"/>
            <w:hideMark/>
          </w:tcPr>
          <w:p w14:paraId="655CF22B"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120,430</w:t>
            </w:r>
          </w:p>
        </w:tc>
        <w:tc>
          <w:tcPr>
            <w:tcW w:w="0" w:type="auto"/>
            <w:hideMark/>
          </w:tcPr>
          <w:p w14:paraId="39C33948"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3.64</w:t>
            </w:r>
          </w:p>
        </w:tc>
      </w:tr>
    </w:tbl>
    <w:p w14:paraId="3937713F" w14:textId="73E315E8" w:rsidR="00A110C5" w:rsidRPr="00A110C5" w:rsidRDefault="00773554" w:rsidP="00112D41">
      <w:pPr>
        <w:pStyle w:val="Heading2"/>
      </w:pPr>
      <w:bookmarkStart w:id="65" w:name="_Toc217080802"/>
      <w:r>
        <w:t>Appendix</w:t>
      </w:r>
      <w:proofErr w:type="gramStart"/>
      <w:r>
        <w:t xml:space="preserve">-  </w:t>
      </w:r>
      <w:r w:rsidR="00A110C5" w:rsidRPr="00A110C5">
        <w:t>4</w:t>
      </w:r>
      <w:proofErr w:type="gramEnd"/>
      <w:r w:rsidR="00A110C5" w:rsidRPr="00A110C5">
        <w:t xml:space="preserve"> Gearing Ratios</w:t>
      </w:r>
      <w:bookmarkEnd w:id="65"/>
    </w:p>
    <w:p w14:paraId="6AED4F58" w14:textId="77777777" w:rsidR="00A110C5" w:rsidRPr="00A110C5" w:rsidRDefault="00A110C5" w:rsidP="00A110C5">
      <w:pPr>
        <w:spacing w:before="120" w:after="0" w:line="360" w:lineRule="auto"/>
        <w:jc w:val="both"/>
        <w:rPr>
          <w:rFonts w:ascii="Arial" w:hAnsi="Arial" w:cs="Arial"/>
        </w:rPr>
      </w:pPr>
      <w:r w:rsidRPr="00A110C5">
        <w:rPr>
          <w:rFonts w:ascii="Arial" w:hAnsi="Arial" w:cs="Arial"/>
          <w:b/>
          <w:bCs/>
        </w:rPr>
        <w:t>Debt to Equity Ratio</w:t>
      </w:r>
    </w:p>
    <w:p w14:paraId="2D09D28A" w14:textId="77777777" w:rsidR="00A110C5" w:rsidRPr="00A110C5" w:rsidRDefault="00A110C5" w:rsidP="00A110C5">
      <w:pPr>
        <w:spacing w:before="120" w:after="0" w:line="360" w:lineRule="auto"/>
        <w:jc w:val="both"/>
        <w:rPr>
          <w:rFonts w:ascii="Arial" w:hAnsi="Arial" w:cs="Arial"/>
        </w:rPr>
      </w:pPr>
      <m:oMathPara>
        <m:oMath>
          <m:r>
            <m:rPr>
              <m:nor/>
            </m:rPr>
            <w:rPr>
              <w:rFonts w:ascii="Arial" w:hAnsi="Arial" w:cs="Arial"/>
            </w:rPr>
            <m:t>Debt to Equity</m:t>
          </m:r>
          <m:r>
            <w:rPr>
              <w:rFonts w:ascii="Cambria Math" w:hAnsi="Cambria Math" w:cs="Arial"/>
            </w:rPr>
            <m:t>=</m:t>
          </m:r>
          <m:f>
            <m:fPr>
              <m:ctrlPr>
                <w:rPr>
                  <w:rFonts w:ascii="Cambria Math" w:hAnsi="Cambria Math" w:cs="Arial"/>
                </w:rPr>
              </m:ctrlPr>
            </m:fPr>
            <m:num>
              <m:r>
                <m:rPr>
                  <m:nor/>
                </m:rPr>
                <w:rPr>
                  <w:rFonts w:ascii="Arial" w:hAnsi="Arial" w:cs="Arial"/>
                </w:rPr>
                <m:t>Total Liabilities</m:t>
              </m:r>
            </m:num>
            <m:den>
              <m:r>
                <m:rPr>
                  <m:nor/>
                </m:rPr>
                <w:rPr>
                  <w:rFonts w:ascii="Arial" w:hAnsi="Arial" w:cs="Arial"/>
                </w:rPr>
                <m:t>Shareholders’ Equity</m:t>
              </m:r>
            </m:den>
          </m:f>
        </m:oMath>
      </m:oMathPara>
    </w:p>
    <w:tbl>
      <w:tblPr>
        <w:tblStyle w:val="GridTable1Light-Accent3"/>
        <w:tblW w:w="0" w:type="auto"/>
        <w:jc w:val="center"/>
        <w:tblLook w:val="04A0" w:firstRow="1" w:lastRow="0" w:firstColumn="1" w:lastColumn="0" w:noHBand="0" w:noVBand="1"/>
      </w:tblPr>
      <w:tblGrid>
        <w:gridCol w:w="750"/>
        <w:gridCol w:w="2519"/>
        <w:gridCol w:w="3181"/>
        <w:gridCol w:w="2510"/>
      </w:tblGrid>
      <w:tr w:rsidR="00A110C5" w:rsidRPr="00A110C5" w14:paraId="243266E1" w14:textId="77777777" w:rsidTr="003A5B2C">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CDEBD70" w14:textId="77777777" w:rsidR="00A110C5" w:rsidRPr="00A110C5" w:rsidRDefault="00A110C5" w:rsidP="00DD45CD">
            <w:pPr>
              <w:spacing w:before="120" w:line="360" w:lineRule="auto"/>
              <w:jc w:val="center"/>
              <w:rPr>
                <w:rFonts w:ascii="Arial" w:hAnsi="Arial" w:cs="Arial"/>
                <w:b w:val="0"/>
                <w:bCs w:val="0"/>
              </w:rPr>
            </w:pPr>
            <w:r w:rsidRPr="00A110C5">
              <w:rPr>
                <w:rFonts w:ascii="Arial" w:hAnsi="Arial" w:cs="Arial"/>
              </w:rPr>
              <w:t>Year</w:t>
            </w:r>
          </w:p>
        </w:tc>
        <w:tc>
          <w:tcPr>
            <w:tcW w:w="0" w:type="auto"/>
            <w:hideMark/>
          </w:tcPr>
          <w:p w14:paraId="38167291" w14:textId="77777777" w:rsidR="00A110C5" w:rsidRPr="00A110C5" w:rsidRDefault="00A110C5" w:rsidP="00DD45CD">
            <w:pPr>
              <w:spacing w:before="12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A110C5">
              <w:rPr>
                <w:rFonts w:ascii="Arial" w:hAnsi="Arial" w:cs="Arial"/>
              </w:rPr>
              <w:t>Total Liabilities (£m)</w:t>
            </w:r>
          </w:p>
        </w:tc>
        <w:tc>
          <w:tcPr>
            <w:tcW w:w="0" w:type="auto"/>
            <w:hideMark/>
          </w:tcPr>
          <w:p w14:paraId="5035E856" w14:textId="77777777" w:rsidR="00A110C5" w:rsidRPr="00A110C5" w:rsidRDefault="00A110C5" w:rsidP="00DD45CD">
            <w:pPr>
              <w:spacing w:before="12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A110C5">
              <w:rPr>
                <w:rFonts w:ascii="Arial" w:hAnsi="Arial" w:cs="Arial"/>
              </w:rPr>
              <w:t>Shareholders' Equity (£m)</w:t>
            </w:r>
          </w:p>
        </w:tc>
        <w:tc>
          <w:tcPr>
            <w:tcW w:w="0" w:type="auto"/>
            <w:hideMark/>
          </w:tcPr>
          <w:p w14:paraId="3F1F05E8" w14:textId="77777777" w:rsidR="00A110C5" w:rsidRPr="00A110C5" w:rsidRDefault="00A110C5" w:rsidP="00DD45CD">
            <w:pPr>
              <w:spacing w:before="12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A110C5">
              <w:rPr>
                <w:rFonts w:ascii="Arial" w:hAnsi="Arial" w:cs="Arial"/>
              </w:rPr>
              <w:t>Debt to Equity Ratio</w:t>
            </w:r>
          </w:p>
        </w:tc>
      </w:tr>
      <w:tr w:rsidR="00A110C5" w:rsidRPr="00A110C5" w14:paraId="33C8D8FF" w14:textId="77777777" w:rsidTr="003A5B2C">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CA19829" w14:textId="77777777" w:rsidR="00A110C5" w:rsidRPr="00A110C5" w:rsidRDefault="00A110C5" w:rsidP="00DD45CD">
            <w:pPr>
              <w:spacing w:before="120" w:line="360" w:lineRule="auto"/>
              <w:jc w:val="center"/>
              <w:rPr>
                <w:rFonts w:ascii="Arial" w:hAnsi="Arial" w:cs="Arial"/>
              </w:rPr>
            </w:pPr>
            <w:r w:rsidRPr="00A110C5">
              <w:rPr>
                <w:rFonts w:ascii="Arial" w:hAnsi="Arial" w:cs="Arial"/>
              </w:rPr>
              <w:t>2024</w:t>
            </w:r>
          </w:p>
        </w:tc>
        <w:tc>
          <w:tcPr>
            <w:tcW w:w="0" w:type="auto"/>
            <w:hideMark/>
          </w:tcPr>
          <w:p w14:paraId="1E572F3E"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170,249</w:t>
            </w:r>
          </w:p>
        </w:tc>
        <w:tc>
          <w:tcPr>
            <w:tcW w:w="0" w:type="auto"/>
            <w:hideMark/>
          </w:tcPr>
          <w:p w14:paraId="11BC28E8"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153,105</w:t>
            </w:r>
          </w:p>
        </w:tc>
        <w:tc>
          <w:tcPr>
            <w:tcW w:w="0" w:type="auto"/>
            <w:hideMark/>
          </w:tcPr>
          <w:p w14:paraId="7A79F56A"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1.11</w:t>
            </w:r>
          </w:p>
        </w:tc>
      </w:tr>
      <w:tr w:rsidR="00A110C5" w:rsidRPr="00A110C5" w14:paraId="60250CE0" w14:textId="77777777" w:rsidTr="003A5B2C">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B398149" w14:textId="77777777" w:rsidR="00A110C5" w:rsidRPr="00A110C5" w:rsidRDefault="00A110C5" w:rsidP="00DD45CD">
            <w:pPr>
              <w:spacing w:before="120" w:line="360" w:lineRule="auto"/>
              <w:jc w:val="center"/>
              <w:rPr>
                <w:rFonts w:ascii="Arial" w:hAnsi="Arial" w:cs="Arial"/>
              </w:rPr>
            </w:pPr>
            <w:r w:rsidRPr="00A110C5">
              <w:rPr>
                <w:rFonts w:ascii="Arial" w:hAnsi="Arial" w:cs="Arial"/>
              </w:rPr>
              <w:t>2023</w:t>
            </w:r>
          </w:p>
        </w:tc>
        <w:tc>
          <w:tcPr>
            <w:tcW w:w="0" w:type="auto"/>
            <w:hideMark/>
          </w:tcPr>
          <w:p w14:paraId="28218E69"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176,952</w:t>
            </w:r>
          </w:p>
        </w:tc>
        <w:tc>
          <w:tcPr>
            <w:tcW w:w="0" w:type="auto"/>
            <w:hideMark/>
          </w:tcPr>
          <w:p w14:paraId="2A611129"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178,920</w:t>
            </w:r>
          </w:p>
        </w:tc>
        <w:tc>
          <w:tcPr>
            <w:tcW w:w="0" w:type="auto"/>
            <w:hideMark/>
          </w:tcPr>
          <w:p w14:paraId="68DC2284"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0.99</w:t>
            </w:r>
          </w:p>
        </w:tc>
      </w:tr>
      <w:tr w:rsidR="00A110C5" w:rsidRPr="00A110C5" w14:paraId="328FBA9C" w14:textId="77777777" w:rsidTr="003A5B2C">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86BCEEF" w14:textId="77777777" w:rsidR="00A110C5" w:rsidRPr="00A110C5" w:rsidRDefault="00A110C5" w:rsidP="00DD45CD">
            <w:pPr>
              <w:spacing w:before="120" w:line="360" w:lineRule="auto"/>
              <w:jc w:val="center"/>
              <w:rPr>
                <w:rFonts w:ascii="Arial" w:hAnsi="Arial" w:cs="Arial"/>
              </w:rPr>
            </w:pPr>
            <w:r w:rsidRPr="00A110C5">
              <w:rPr>
                <w:rFonts w:ascii="Arial" w:hAnsi="Arial" w:cs="Arial"/>
              </w:rPr>
              <w:t>2022</w:t>
            </w:r>
          </w:p>
        </w:tc>
        <w:tc>
          <w:tcPr>
            <w:tcW w:w="0" w:type="auto"/>
            <w:hideMark/>
          </w:tcPr>
          <w:p w14:paraId="2AEE6D55"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235,757</w:t>
            </w:r>
          </w:p>
        </w:tc>
        <w:tc>
          <w:tcPr>
            <w:tcW w:w="0" w:type="auto"/>
            <w:hideMark/>
          </w:tcPr>
          <w:p w14:paraId="17E52CCC"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268,406</w:t>
            </w:r>
          </w:p>
        </w:tc>
        <w:tc>
          <w:tcPr>
            <w:tcW w:w="0" w:type="auto"/>
            <w:hideMark/>
          </w:tcPr>
          <w:p w14:paraId="4DF45C8F"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0.88</w:t>
            </w:r>
          </w:p>
        </w:tc>
      </w:tr>
      <w:tr w:rsidR="00A110C5" w:rsidRPr="00A110C5" w14:paraId="6E1387A5" w14:textId="77777777" w:rsidTr="003A5B2C">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EF6B249" w14:textId="77777777" w:rsidR="00A110C5" w:rsidRPr="00A110C5" w:rsidRDefault="00A110C5" w:rsidP="00DD45CD">
            <w:pPr>
              <w:spacing w:before="120" w:line="360" w:lineRule="auto"/>
              <w:jc w:val="center"/>
              <w:rPr>
                <w:rFonts w:ascii="Arial" w:hAnsi="Arial" w:cs="Arial"/>
              </w:rPr>
            </w:pPr>
            <w:r w:rsidRPr="00A110C5">
              <w:rPr>
                <w:rFonts w:ascii="Arial" w:hAnsi="Arial" w:cs="Arial"/>
              </w:rPr>
              <w:t>2021</w:t>
            </w:r>
          </w:p>
        </w:tc>
        <w:tc>
          <w:tcPr>
            <w:tcW w:w="0" w:type="auto"/>
            <w:hideMark/>
          </w:tcPr>
          <w:p w14:paraId="69227C86"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234,399</w:t>
            </w:r>
          </w:p>
        </w:tc>
        <w:tc>
          <w:tcPr>
            <w:tcW w:w="0" w:type="auto"/>
            <w:hideMark/>
          </w:tcPr>
          <w:p w14:paraId="6B1010FF"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275,949</w:t>
            </w:r>
          </w:p>
        </w:tc>
        <w:tc>
          <w:tcPr>
            <w:tcW w:w="0" w:type="auto"/>
            <w:hideMark/>
          </w:tcPr>
          <w:p w14:paraId="6268EB30"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0.85</w:t>
            </w:r>
          </w:p>
        </w:tc>
      </w:tr>
      <w:tr w:rsidR="00A110C5" w:rsidRPr="00A110C5" w14:paraId="1C18FA5C" w14:textId="77777777" w:rsidTr="003A5B2C">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E47C4C4" w14:textId="77777777" w:rsidR="00A110C5" w:rsidRPr="00A110C5" w:rsidRDefault="00A110C5" w:rsidP="00DD45CD">
            <w:pPr>
              <w:spacing w:before="120" w:line="360" w:lineRule="auto"/>
              <w:jc w:val="center"/>
              <w:rPr>
                <w:rFonts w:ascii="Arial" w:hAnsi="Arial" w:cs="Arial"/>
              </w:rPr>
            </w:pPr>
            <w:r w:rsidRPr="00A110C5">
              <w:rPr>
                <w:rFonts w:ascii="Arial" w:hAnsi="Arial" w:cs="Arial"/>
              </w:rPr>
              <w:t>2020</w:t>
            </w:r>
          </w:p>
        </w:tc>
        <w:tc>
          <w:tcPr>
            <w:tcW w:w="0" w:type="auto"/>
            <w:hideMark/>
          </w:tcPr>
          <w:p w14:paraId="22548EE9"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196,989</w:t>
            </w:r>
          </w:p>
        </w:tc>
        <w:tc>
          <w:tcPr>
            <w:tcW w:w="0" w:type="auto"/>
            <w:hideMark/>
          </w:tcPr>
          <w:p w14:paraId="20FB564A"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313,301</w:t>
            </w:r>
          </w:p>
        </w:tc>
        <w:tc>
          <w:tcPr>
            <w:tcW w:w="0" w:type="auto"/>
            <w:hideMark/>
          </w:tcPr>
          <w:p w14:paraId="652A1FF6"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0.63</w:t>
            </w:r>
          </w:p>
        </w:tc>
      </w:tr>
    </w:tbl>
    <w:p w14:paraId="6941F544" w14:textId="68AD65E2" w:rsidR="00A110C5" w:rsidRPr="00A110C5" w:rsidRDefault="00773554" w:rsidP="00112D41">
      <w:pPr>
        <w:pStyle w:val="Heading2"/>
      </w:pPr>
      <w:bookmarkStart w:id="66" w:name="_Toc217080803"/>
      <w:r>
        <w:t xml:space="preserve">Appendix- </w:t>
      </w:r>
      <w:r w:rsidR="00A110C5" w:rsidRPr="00A110C5">
        <w:t>5 Investment Ratios</w:t>
      </w:r>
      <w:bookmarkEnd w:id="66"/>
    </w:p>
    <w:p w14:paraId="03C595B6" w14:textId="77777777" w:rsidR="00A110C5" w:rsidRPr="00A110C5" w:rsidRDefault="00A110C5" w:rsidP="00A110C5">
      <w:pPr>
        <w:spacing w:before="120" w:after="0" w:line="360" w:lineRule="auto"/>
        <w:jc w:val="both"/>
        <w:rPr>
          <w:rFonts w:ascii="Arial" w:hAnsi="Arial" w:cs="Arial"/>
        </w:rPr>
      </w:pPr>
      <w:r w:rsidRPr="00A110C5">
        <w:rPr>
          <w:rFonts w:ascii="Arial" w:hAnsi="Arial" w:cs="Arial"/>
          <w:b/>
          <w:bCs/>
        </w:rPr>
        <w:t>Earnings Per Share (EPS)</w:t>
      </w:r>
    </w:p>
    <w:p w14:paraId="4E0D09E2" w14:textId="77777777" w:rsidR="00A110C5" w:rsidRPr="00A110C5" w:rsidRDefault="00A110C5" w:rsidP="00A110C5">
      <w:pPr>
        <w:spacing w:before="120" w:after="0" w:line="360" w:lineRule="auto"/>
        <w:jc w:val="both"/>
        <w:rPr>
          <w:rFonts w:ascii="Arial" w:hAnsi="Arial" w:cs="Arial"/>
        </w:rPr>
      </w:pPr>
      <m:oMathPara>
        <m:oMath>
          <m:r>
            <m:rPr>
              <m:nor/>
            </m:rPr>
            <w:rPr>
              <w:rFonts w:ascii="Arial" w:hAnsi="Arial" w:cs="Arial"/>
            </w:rPr>
            <m:t>EPS</m:t>
          </m:r>
          <m:r>
            <w:rPr>
              <w:rFonts w:ascii="Cambria Math" w:hAnsi="Cambria Math" w:cs="Arial"/>
            </w:rPr>
            <m:t>=</m:t>
          </m:r>
          <m:f>
            <m:fPr>
              <m:ctrlPr>
                <w:rPr>
                  <w:rFonts w:ascii="Cambria Math" w:hAnsi="Cambria Math" w:cs="Arial"/>
                </w:rPr>
              </m:ctrlPr>
            </m:fPr>
            <m:num>
              <m:r>
                <m:rPr>
                  <m:nor/>
                </m:rPr>
                <w:rPr>
                  <w:rFonts w:ascii="Arial" w:hAnsi="Arial" w:cs="Arial"/>
                </w:rPr>
                <m:t>Net Income</m:t>
              </m:r>
            </m:num>
            <m:den>
              <m:r>
                <m:rPr>
                  <m:nor/>
                </m:rPr>
                <w:rPr>
                  <w:rFonts w:ascii="Arial" w:hAnsi="Arial" w:cs="Arial"/>
                </w:rPr>
                <m:t>Shares Outstanding</m:t>
              </m:r>
            </m:den>
          </m:f>
        </m:oMath>
      </m:oMathPara>
    </w:p>
    <w:tbl>
      <w:tblPr>
        <w:tblStyle w:val="GridTable1Light-Accent3"/>
        <w:tblW w:w="7776" w:type="dxa"/>
        <w:jc w:val="center"/>
        <w:tblLook w:val="04A0" w:firstRow="1" w:lastRow="0" w:firstColumn="1" w:lastColumn="0" w:noHBand="0" w:noVBand="1"/>
      </w:tblPr>
      <w:tblGrid>
        <w:gridCol w:w="790"/>
        <w:gridCol w:w="2198"/>
        <w:gridCol w:w="3673"/>
        <w:gridCol w:w="1115"/>
      </w:tblGrid>
      <w:tr w:rsidR="00A110C5" w:rsidRPr="00A110C5" w14:paraId="5940EB96" w14:textId="77777777" w:rsidTr="003A5B2C">
        <w:trPr>
          <w:cnfStyle w:val="100000000000" w:firstRow="1" w:lastRow="0" w:firstColumn="0" w:lastColumn="0" w:oddVBand="0" w:evenVBand="0" w:oddHBand="0" w:evenHBand="0" w:firstRowFirstColumn="0" w:firstRowLastColumn="0" w:lastRowFirstColumn="0" w:lastRowLastColumn="0"/>
          <w:trHeight w:val="657"/>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54107BA" w14:textId="77777777" w:rsidR="00A110C5" w:rsidRPr="00A110C5" w:rsidRDefault="00A110C5" w:rsidP="00DD45CD">
            <w:pPr>
              <w:spacing w:before="120" w:line="360" w:lineRule="auto"/>
              <w:jc w:val="center"/>
              <w:rPr>
                <w:rFonts w:ascii="Arial" w:hAnsi="Arial" w:cs="Arial"/>
                <w:b w:val="0"/>
                <w:bCs w:val="0"/>
              </w:rPr>
            </w:pPr>
            <w:r w:rsidRPr="00A110C5">
              <w:rPr>
                <w:rFonts w:ascii="Arial" w:hAnsi="Arial" w:cs="Arial"/>
              </w:rPr>
              <w:t>Year</w:t>
            </w:r>
          </w:p>
        </w:tc>
        <w:tc>
          <w:tcPr>
            <w:tcW w:w="0" w:type="auto"/>
            <w:hideMark/>
          </w:tcPr>
          <w:p w14:paraId="0AD2689A" w14:textId="77777777" w:rsidR="00A110C5" w:rsidRPr="00A110C5" w:rsidRDefault="00A110C5" w:rsidP="00DD45CD">
            <w:pPr>
              <w:spacing w:before="12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A110C5">
              <w:rPr>
                <w:rFonts w:ascii="Arial" w:hAnsi="Arial" w:cs="Arial"/>
              </w:rPr>
              <w:t>Net Income (£m)</w:t>
            </w:r>
          </w:p>
        </w:tc>
        <w:tc>
          <w:tcPr>
            <w:tcW w:w="0" w:type="auto"/>
            <w:hideMark/>
          </w:tcPr>
          <w:p w14:paraId="4503A35A" w14:textId="77777777" w:rsidR="00A110C5" w:rsidRPr="00A110C5" w:rsidRDefault="00A110C5" w:rsidP="00DD45CD">
            <w:pPr>
              <w:spacing w:before="12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A110C5">
              <w:rPr>
                <w:rFonts w:ascii="Arial" w:hAnsi="Arial" w:cs="Arial"/>
              </w:rPr>
              <w:t>Shares Outstanding (Million)</w:t>
            </w:r>
          </w:p>
        </w:tc>
        <w:tc>
          <w:tcPr>
            <w:tcW w:w="0" w:type="auto"/>
            <w:hideMark/>
          </w:tcPr>
          <w:p w14:paraId="379E9182" w14:textId="77777777" w:rsidR="00A110C5" w:rsidRPr="00A110C5" w:rsidRDefault="00A110C5" w:rsidP="00DD45CD">
            <w:pPr>
              <w:spacing w:before="12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A110C5">
              <w:rPr>
                <w:rFonts w:ascii="Arial" w:hAnsi="Arial" w:cs="Arial"/>
              </w:rPr>
              <w:t>EPS (£)</w:t>
            </w:r>
          </w:p>
        </w:tc>
      </w:tr>
      <w:tr w:rsidR="00A110C5" w:rsidRPr="00A110C5" w14:paraId="1CC6F2D0" w14:textId="77777777" w:rsidTr="003A5B2C">
        <w:trPr>
          <w:trHeight w:val="645"/>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A9ABEA6" w14:textId="77777777" w:rsidR="00A110C5" w:rsidRPr="00A110C5" w:rsidRDefault="00A110C5" w:rsidP="00DD45CD">
            <w:pPr>
              <w:spacing w:before="120" w:line="360" w:lineRule="auto"/>
              <w:jc w:val="center"/>
              <w:rPr>
                <w:rFonts w:ascii="Arial" w:hAnsi="Arial" w:cs="Arial"/>
              </w:rPr>
            </w:pPr>
            <w:r w:rsidRPr="00A110C5">
              <w:rPr>
                <w:rFonts w:ascii="Arial" w:hAnsi="Arial" w:cs="Arial"/>
              </w:rPr>
              <w:t>2024</w:t>
            </w:r>
          </w:p>
        </w:tc>
        <w:tc>
          <w:tcPr>
            <w:tcW w:w="0" w:type="auto"/>
            <w:hideMark/>
          </w:tcPr>
          <w:p w14:paraId="0D90A207"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-24,029</w:t>
            </w:r>
          </w:p>
        </w:tc>
        <w:tc>
          <w:tcPr>
            <w:tcW w:w="0" w:type="auto"/>
            <w:hideMark/>
          </w:tcPr>
          <w:p w14:paraId="00A4911B"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12,959</w:t>
            </w:r>
          </w:p>
        </w:tc>
        <w:tc>
          <w:tcPr>
            <w:tcW w:w="0" w:type="auto"/>
            <w:hideMark/>
          </w:tcPr>
          <w:p w14:paraId="445F72E1"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-1.85</w:t>
            </w:r>
          </w:p>
        </w:tc>
      </w:tr>
      <w:tr w:rsidR="00A110C5" w:rsidRPr="00A110C5" w14:paraId="144FB06D" w14:textId="77777777" w:rsidTr="003A5B2C">
        <w:trPr>
          <w:trHeight w:val="657"/>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75DE909" w14:textId="77777777" w:rsidR="00A110C5" w:rsidRPr="00A110C5" w:rsidRDefault="00A110C5" w:rsidP="00DD45CD">
            <w:pPr>
              <w:spacing w:before="120" w:line="360" w:lineRule="auto"/>
              <w:jc w:val="center"/>
              <w:rPr>
                <w:rFonts w:ascii="Arial" w:hAnsi="Arial" w:cs="Arial"/>
              </w:rPr>
            </w:pPr>
            <w:r w:rsidRPr="00A110C5">
              <w:rPr>
                <w:rFonts w:ascii="Arial" w:hAnsi="Arial" w:cs="Arial"/>
              </w:rPr>
              <w:t>2023</w:t>
            </w:r>
          </w:p>
        </w:tc>
        <w:tc>
          <w:tcPr>
            <w:tcW w:w="0" w:type="auto"/>
            <w:hideMark/>
          </w:tcPr>
          <w:p w14:paraId="08C1BF16"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-98,238</w:t>
            </w:r>
          </w:p>
        </w:tc>
        <w:tc>
          <w:tcPr>
            <w:tcW w:w="0" w:type="auto"/>
            <w:hideMark/>
          </w:tcPr>
          <w:p w14:paraId="0BCC670B"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12,855</w:t>
            </w:r>
          </w:p>
        </w:tc>
        <w:tc>
          <w:tcPr>
            <w:tcW w:w="0" w:type="auto"/>
            <w:hideMark/>
          </w:tcPr>
          <w:p w14:paraId="3B99BF61"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-7.64</w:t>
            </w:r>
          </w:p>
        </w:tc>
      </w:tr>
      <w:tr w:rsidR="00A110C5" w:rsidRPr="00A110C5" w14:paraId="3AD37D8F" w14:textId="77777777" w:rsidTr="003A5B2C">
        <w:trPr>
          <w:trHeight w:val="645"/>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0300450" w14:textId="77777777" w:rsidR="00A110C5" w:rsidRPr="00A110C5" w:rsidRDefault="00A110C5" w:rsidP="00DD45CD">
            <w:pPr>
              <w:spacing w:before="120" w:line="360" w:lineRule="auto"/>
              <w:jc w:val="center"/>
              <w:rPr>
                <w:rFonts w:ascii="Arial" w:hAnsi="Arial" w:cs="Arial"/>
              </w:rPr>
            </w:pPr>
            <w:r w:rsidRPr="00A110C5">
              <w:rPr>
                <w:rFonts w:ascii="Arial" w:hAnsi="Arial" w:cs="Arial"/>
              </w:rPr>
              <w:t>2022</w:t>
            </w:r>
          </w:p>
        </w:tc>
        <w:tc>
          <w:tcPr>
            <w:tcW w:w="0" w:type="auto"/>
            <w:hideMark/>
          </w:tcPr>
          <w:p w14:paraId="5D224C2D"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407</w:t>
            </w:r>
          </w:p>
        </w:tc>
        <w:tc>
          <w:tcPr>
            <w:tcW w:w="0" w:type="auto"/>
            <w:hideMark/>
          </w:tcPr>
          <w:p w14:paraId="07D12F65"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12,779</w:t>
            </w:r>
          </w:p>
        </w:tc>
        <w:tc>
          <w:tcPr>
            <w:tcW w:w="0" w:type="auto"/>
            <w:hideMark/>
          </w:tcPr>
          <w:p w14:paraId="7F13EF62"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0.03</w:t>
            </w:r>
          </w:p>
        </w:tc>
      </w:tr>
      <w:tr w:rsidR="00A110C5" w:rsidRPr="00A110C5" w14:paraId="17E9E1A3" w14:textId="77777777" w:rsidTr="003A5B2C">
        <w:trPr>
          <w:trHeight w:val="657"/>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E84B3A2" w14:textId="77777777" w:rsidR="00A110C5" w:rsidRPr="00A110C5" w:rsidRDefault="00A110C5" w:rsidP="00DD45CD">
            <w:pPr>
              <w:spacing w:before="120" w:line="360" w:lineRule="auto"/>
              <w:jc w:val="center"/>
              <w:rPr>
                <w:rFonts w:ascii="Arial" w:hAnsi="Arial" w:cs="Arial"/>
              </w:rPr>
            </w:pPr>
            <w:r w:rsidRPr="00A110C5">
              <w:rPr>
                <w:rFonts w:ascii="Arial" w:hAnsi="Arial" w:cs="Arial"/>
              </w:rPr>
              <w:t>2021</w:t>
            </w:r>
          </w:p>
        </w:tc>
        <w:tc>
          <w:tcPr>
            <w:tcW w:w="0" w:type="auto"/>
            <w:hideMark/>
          </w:tcPr>
          <w:p w14:paraId="23EC4224"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5,301</w:t>
            </w:r>
          </w:p>
        </w:tc>
        <w:tc>
          <w:tcPr>
            <w:tcW w:w="0" w:type="auto"/>
            <w:hideMark/>
          </w:tcPr>
          <w:p w14:paraId="39B23552"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13,742</w:t>
            </w:r>
          </w:p>
        </w:tc>
        <w:tc>
          <w:tcPr>
            <w:tcW w:w="0" w:type="auto"/>
            <w:hideMark/>
          </w:tcPr>
          <w:p w14:paraId="04B46741"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0.39</w:t>
            </w:r>
          </w:p>
        </w:tc>
      </w:tr>
      <w:tr w:rsidR="00A110C5" w:rsidRPr="00A110C5" w14:paraId="1E2169AC" w14:textId="77777777" w:rsidTr="003A5B2C">
        <w:trPr>
          <w:trHeight w:val="645"/>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281E676" w14:textId="77777777" w:rsidR="00A110C5" w:rsidRPr="00A110C5" w:rsidRDefault="00A110C5" w:rsidP="00DD45CD">
            <w:pPr>
              <w:spacing w:before="120" w:line="360" w:lineRule="auto"/>
              <w:jc w:val="center"/>
              <w:rPr>
                <w:rFonts w:ascii="Arial" w:hAnsi="Arial" w:cs="Arial"/>
              </w:rPr>
            </w:pPr>
            <w:r w:rsidRPr="00A110C5">
              <w:rPr>
                <w:rFonts w:ascii="Arial" w:hAnsi="Arial" w:cs="Arial"/>
              </w:rPr>
              <w:lastRenderedPageBreak/>
              <w:t>2020</w:t>
            </w:r>
          </w:p>
        </w:tc>
        <w:tc>
          <w:tcPr>
            <w:tcW w:w="0" w:type="auto"/>
            <w:hideMark/>
          </w:tcPr>
          <w:p w14:paraId="4C72F1D7"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38,572</w:t>
            </w:r>
          </w:p>
        </w:tc>
        <w:tc>
          <w:tcPr>
            <w:tcW w:w="0" w:type="auto"/>
            <w:hideMark/>
          </w:tcPr>
          <w:p w14:paraId="70B4AF0E"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14,166</w:t>
            </w:r>
          </w:p>
        </w:tc>
        <w:tc>
          <w:tcPr>
            <w:tcW w:w="0" w:type="auto"/>
            <w:hideMark/>
          </w:tcPr>
          <w:p w14:paraId="5EAC96C8"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2.72</w:t>
            </w:r>
          </w:p>
        </w:tc>
      </w:tr>
    </w:tbl>
    <w:p w14:paraId="02DFBE5C" w14:textId="1A63ADBB" w:rsidR="00A110C5" w:rsidRPr="00A110C5" w:rsidRDefault="00773554" w:rsidP="00112D41">
      <w:pPr>
        <w:pStyle w:val="Heading2"/>
      </w:pPr>
      <w:bookmarkStart w:id="67" w:name="_Toc217080804"/>
      <w:r>
        <w:t xml:space="preserve">Appendix- </w:t>
      </w:r>
      <w:r w:rsidR="00A110C5" w:rsidRPr="00A110C5">
        <w:t>6. Cash Flow Ratios</w:t>
      </w:r>
      <w:bookmarkEnd w:id="67"/>
    </w:p>
    <w:p w14:paraId="148D4A37" w14:textId="77777777" w:rsidR="00A110C5" w:rsidRPr="00A110C5" w:rsidRDefault="00A110C5" w:rsidP="00A110C5">
      <w:pPr>
        <w:spacing w:before="120" w:after="0" w:line="360" w:lineRule="auto"/>
        <w:jc w:val="both"/>
        <w:rPr>
          <w:rFonts w:ascii="Arial" w:hAnsi="Arial" w:cs="Arial"/>
        </w:rPr>
      </w:pPr>
      <w:r w:rsidRPr="00A110C5">
        <w:rPr>
          <w:rFonts w:ascii="Arial" w:hAnsi="Arial" w:cs="Arial"/>
          <w:b/>
          <w:bCs/>
        </w:rPr>
        <w:t>Operating Cash Flow to Debt Ratio</w:t>
      </w:r>
    </w:p>
    <w:p w14:paraId="0B64E25F" w14:textId="77777777" w:rsidR="00A110C5" w:rsidRPr="00A110C5" w:rsidRDefault="00A110C5" w:rsidP="00A110C5">
      <w:pPr>
        <w:spacing w:before="120" w:after="0" w:line="360" w:lineRule="auto"/>
        <w:jc w:val="both"/>
        <w:rPr>
          <w:rFonts w:ascii="Arial" w:hAnsi="Arial" w:cs="Arial"/>
        </w:rPr>
      </w:pPr>
      <m:oMathPara>
        <m:oMath>
          <m:r>
            <m:rPr>
              <m:nor/>
            </m:rPr>
            <w:rPr>
              <w:rFonts w:ascii="Arial" w:hAnsi="Arial" w:cs="Arial"/>
            </w:rPr>
            <m:t>Operating Cash Flow to Debt</m:t>
          </m:r>
          <m:r>
            <w:rPr>
              <w:rFonts w:ascii="Cambria Math" w:hAnsi="Cambria Math" w:cs="Arial"/>
            </w:rPr>
            <m:t>=</m:t>
          </m:r>
          <m:f>
            <m:fPr>
              <m:ctrlPr>
                <w:rPr>
                  <w:rFonts w:ascii="Cambria Math" w:hAnsi="Cambria Math" w:cs="Arial"/>
                </w:rPr>
              </m:ctrlPr>
            </m:fPr>
            <m:num>
              <m:r>
                <m:rPr>
                  <m:nor/>
                </m:rPr>
                <w:rPr>
                  <w:rFonts w:ascii="Arial" w:hAnsi="Arial" w:cs="Arial"/>
                </w:rPr>
                <m:t>Net Cash from Operating Activities</m:t>
              </m:r>
            </m:num>
            <m:den>
              <m:r>
                <m:rPr>
                  <m:nor/>
                </m:rPr>
                <w:rPr>
                  <w:rFonts w:ascii="Arial" w:hAnsi="Arial" w:cs="Arial"/>
                </w:rPr>
                <m:t>Total Liabilities</m:t>
              </m:r>
            </m:den>
          </m:f>
        </m:oMath>
      </m:oMathPara>
    </w:p>
    <w:tbl>
      <w:tblPr>
        <w:tblStyle w:val="GridTable1Light-Accent3"/>
        <w:tblW w:w="0" w:type="auto"/>
        <w:tblLook w:val="04A0" w:firstRow="1" w:lastRow="0" w:firstColumn="1" w:lastColumn="0" w:noHBand="0" w:noVBand="1"/>
      </w:tblPr>
      <w:tblGrid>
        <w:gridCol w:w="750"/>
        <w:gridCol w:w="3486"/>
        <w:gridCol w:w="2074"/>
        <w:gridCol w:w="2706"/>
      </w:tblGrid>
      <w:tr w:rsidR="00A110C5" w:rsidRPr="00A110C5" w14:paraId="2B048693" w14:textId="77777777" w:rsidTr="003A5B2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84D0771" w14:textId="77777777" w:rsidR="00A110C5" w:rsidRPr="00A110C5" w:rsidRDefault="00A110C5" w:rsidP="00DD45CD">
            <w:pPr>
              <w:spacing w:before="120" w:line="360" w:lineRule="auto"/>
              <w:jc w:val="center"/>
              <w:rPr>
                <w:rFonts w:ascii="Arial" w:hAnsi="Arial" w:cs="Arial"/>
                <w:b w:val="0"/>
                <w:bCs w:val="0"/>
              </w:rPr>
            </w:pPr>
            <w:r w:rsidRPr="00A110C5">
              <w:rPr>
                <w:rFonts w:ascii="Arial" w:hAnsi="Arial" w:cs="Arial"/>
              </w:rPr>
              <w:t>Year</w:t>
            </w:r>
          </w:p>
        </w:tc>
        <w:tc>
          <w:tcPr>
            <w:tcW w:w="0" w:type="auto"/>
            <w:hideMark/>
          </w:tcPr>
          <w:p w14:paraId="7E2344FA" w14:textId="77777777" w:rsidR="00A110C5" w:rsidRPr="00A110C5" w:rsidRDefault="00A110C5" w:rsidP="00DD45CD">
            <w:pPr>
              <w:spacing w:before="12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A110C5">
              <w:rPr>
                <w:rFonts w:ascii="Arial" w:hAnsi="Arial" w:cs="Arial"/>
              </w:rPr>
              <w:t>Net Cash from Operating Activities (£m)</w:t>
            </w:r>
          </w:p>
        </w:tc>
        <w:tc>
          <w:tcPr>
            <w:tcW w:w="0" w:type="auto"/>
            <w:hideMark/>
          </w:tcPr>
          <w:p w14:paraId="2A1A1D3D" w14:textId="77777777" w:rsidR="00A110C5" w:rsidRPr="00A110C5" w:rsidRDefault="00A110C5" w:rsidP="00DD45CD">
            <w:pPr>
              <w:spacing w:before="12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A110C5">
              <w:rPr>
                <w:rFonts w:ascii="Arial" w:hAnsi="Arial" w:cs="Arial"/>
              </w:rPr>
              <w:t>Total Liabilities (£m)</w:t>
            </w:r>
          </w:p>
        </w:tc>
        <w:tc>
          <w:tcPr>
            <w:tcW w:w="0" w:type="auto"/>
            <w:hideMark/>
          </w:tcPr>
          <w:p w14:paraId="46E06EB9" w14:textId="77777777" w:rsidR="00A110C5" w:rsidRPr="00A110C5" w:rsidRDefault="00A110C5" w:rsidP="00DD45CD">
            <w:pPr>
              <w:spacing w:before="12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A110C5">
              <w:rPr>
                <w:rFonts w:ascii="Arial" w:hAnsi="Arial" w:cs="Arial"/>
              </w:rPr>
              <w:t>Operating Cash Flow to Debt</w:t>
            </w:r>
          </w:p>
        </w:tc>
      </w:tr>
      <w:tr w:rsidR="00A110C5" w:rsidRPr="00A110C5" w14:paraId="622D0533" w14:textId="77777777" w:rsidTr="003A5B2C">
        <w:tc>
          <w:tcPr>
            <w:cnfStyle w:val="001000000000" w:firstRow="0" w:lastRow="0" w:firstColumn="1" w:lastColumn="0" w:oddVBand="0" w:evenVBand="0" w:oddHBand="0" w:evenHBand="0" w:firstRowFirstColumn="0" w:firstRowLastColumn="0" w:lastRowFirstColumn="0" w:lastRowLastColumn="0"/>
            <w:tcW w:w="0" w:type="auto"/>
            <w:hideMark/>
          </w:tcPr>
          <w:p w14:paraId="67AB874C" w14:textId="77777777" w:rsidR="00A110C5" w:rsidRPr="00A110C5" w:rsidRDefault="00A110C5" w:rsidP="00DD45CD">
            <w:pPr>
              <w:spacing w:before="120" w:line="360" w:lineRule="auto"/>
              <w:jc w:val="center"/>
              <w:rPr>
                <w:rFonts w:ascii="Arial" w:hAnsi="Arial" w:cs="Arial"/>
              </w:rPr>
            </w:pPr>
            <w:r w:rsidRPr="00A110C5">
              <w:rPr>
                <w:rFonts w:ascii="Arial" w:hAnsi="Arial" w:cs="Arial"/>
              </w:rPr>
              <w:t>2024</w:t>
            </w:r>
          </w:p>
        </w:tc>
        <w:tc>
          <w:tcPr>
            <w:tcW w:w="0" w:type="auto"/>
            <w:hideMark/>
          </w:tcPr>
          <w:p w14:paraId="3A725CE8"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14,822</w:t>
            </w:r>
          </w:p>
        </w:tc>
        <w:tc>
          <w:tcPr>
            <w:tcW w:w="0" w:type="auto"/>
            <w:hideMark/>
          </w:tcPr>
          <w:p w14:paraId="5062F224"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170,249</w:t>
            </w:r>
          </w:p>
        </w:tc>
        <w:tc>
          <w:tcPr>
            <w:tcW w:w="0" w:type="auto"/>
            <w:hideMark/>
          </w:tcPr>
          <w:p w14:paraId="7EF04250"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0.087</w:t>
            </w:r>
          </w:p>
        </w:tc>
      </w:tr>
      <w:tr w:rsidR="00A110C5" w:rsidRPr="00A110C5" w14:paraId="3BB842ED" w14:textId="77777777" w:rsidTr="003A5B2C">
        <w:tc>
          <w:tcPr>
            <w:cnfStyle w:val="001000000000" w:firstRow="0" w:lastRow="0" w:firstColumn="1" w:lastColumn="0" w:oddVBand="0" w:evenVBand="0" w:oddHBand="0" w:evenHBand="0" w:firstRowFirstColumn="0" w:firstRowLastColumn="0" w:lastRowFirstColumn="0" w:lastRowLastColumn="0"/>
            <w:tcW w:w="0" w:type="auto"/>
            <w:hideMark/>
          </w:tcPr>
          <w:p w14:paraId="742D6564" w14:textId="77777777" w:rsidR="00A110C5" w:rsidRPr="00A110C5" w:rsidRDefault="00A110C5" w:rsidP="00DD45CD">
            <w:pPr>
              <w:spacing w:before="120" w:line="360" w:lineRule="auto"/>
              <w:jc w:val="center"/>
              <w:rPr>
                <w:rFonts w:ascii="Arial" w:hAnsi="Arial" w:cs="Arial"/>
              </w:rPr>
            </w:pPr>
            <w:r w:rsidRPr="00A110C5">
              <w:rPr>
                <w:rFonts w:ascii="Arial" w:hAnsi="Arial" w:cs="Arial"/>
              </w:rPr>
              <w:t>2023</w:t>
            </w:r>
          </w:p>
        </w:tc>
        <w:tc>
          <w:tcPr>
            <w:tcW w:w="0" w:type="auto"/>
            <w:hideMark/>
          </w:tcPr>
          <w:p w14:paraId="0C97B4CD"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25,190</w:t>
            </w:r>
          </w:p>
        </w:tc>
        <w:tc>
          <w:tcPr>
            <w:tcW w:w="0" w:type="auto"/>
            <w:hideMark/>
          </w:tcPr>
          <w:p w14:paraId="32FFDF89"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176,952</w:t>
            </w:r>
          </w:p>
        </w:tc>
        <w:tc>
          <w:tcPr>
            <w:tcW w:w="0" w:type="auto"/>
            <w:hideMark/>
          </w:tcPr>
          <w:p w14:paraId="1D2F540D"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0.142</w:t>
            </w:r>
          </w:p>
        </w:tc>
      </w:tr>
      <w:tr w:rsidR="00A110C5" w:rsidRPr="00A110C5" w14:paraId="5B54B958" w14:textId="77777777" w:rsidTr="003A5B2C">
        <w:tc>
          <w:tcPr>
            <w:cnfStyle w:val="001000000000" w:firstRow="0" w:lastRow="0" w:firstColumn="1" w:lastColumn="0" w:oddVBand="0" w:evenVBand="0" w:oddHBand="0" w:evenHBand="0" w:firstRowFirstColumn="0" w:firstRowLastColumn="0" w:lastRowFirstColumn="0" w:lastRowLastColumn="0"/>
            <w:tcW w:w="0" w:type="auto"/>
            <w:hideMark/>
          </w:tcPr>
          <w:p w14:paraId="26EC4D86" w14:textId="77777777" w:rsidR="00A110C5" w:rsidRPr="00A110C5" w:rsidRDefault="00A110C5" w:rsidP="00DD45CD">
            <w:pPr>
              <w:spacing w:before="120" w:line="360" w:lineRule="auto"/>
              <w:jc w:val="center"/>
              <w:rPr>
                <w:rFonts w:ascii="Arial" w:hAnsi="Arial" w:cs="Arial"/>
              </w:rPr>
            </w:pPr>
            <w:r w:rsidRPr="00A110C5">
              <w:rPr>
                <w:rFonts w:ascii="Arial" w:hAnsi="Arial" w:cs="Arial"/>
              </w:rPr>
              <w:t>2022</w:t>
            </w:r>
          </w:p>
        </w:tc>
        <w:tc>
          <w:tcPr>
            <w:tcW w:w="0" w:type="auto"/>
            <w:hideMark/>
          </w:tcPr>
          <w:p w14:paraId="5266D5D6"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10,926</w:t>
            </w:r>
          </w:p>
        </w:tc>
        <w:tc>
          <w:tcPr>
            <w:tcW w:w="0" w:type="auto"/>
            <w:hideMark/>
          </w:tcPr>
          <w:p w14:paraId="4E264982"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235,757</w:t>
            </w:r>
          </w:p>
        </w:tc>
        <w:tc>
          <w:tcPr>
            <w:tcW w:w="0" w:type="auto"/>
            <w:hideMark/>
          </w:tcPr>
          <w:p w14:paraId="2DDEE71B"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0.046</w:t>
            </w:r>
          </w:p>
        </w:tc>
      </w:tr>
      <w:tr w:rsidR="00A110C5" w:rsidRPr="00A110C5" w14:paraId="36B3BEC8" w14:textId="77777777" w:rsidTr="003A5B2C">
        <w:tc>
          <w:tcPr>
            <w:cnfStyle w:val="001000000000" w:firstRow="0" w:lastRow="0" w:firstColumn="1" w:lastColumn="0" w:oddVBand="0" w:evenVBand="0" w:oddHBand="0" w:evenHBand="0" w:firstRowFirstColumn="0" w:firstRowLastColumn="0" w:lastRowFirstColumn="0" w:lastRowLastColumn="0"/>
            <w:tcW w:w="0" w:type="auto"/>
            <w:hideMark/>
          </w:tcPr>
          <w:p w14:paraId="5C574A32" w14:textId="77777777" w:rsidR="00A110C5" w:rsidRPr="00A110C5" w:rsidRDefault="00A110C5" w:rsidP="00DD45CD">
            <w:pPr>
              <w:spacing w:before="120" w:line="360" w:lineRule="auto"/>
              <w:jc w:val="center"/>
              <w:rPr>
                <w:rFonts w:ascii="Arial" w:hAnsi="Arial" w:cs="Arial"/>
              </w:rPr>
            </w:pPr>
            <w:r w:rsidRPr="00A110C5">
              <w:rPr>
                <w:rFonts w:ascii="Arial" w:hAnsi="Arial" w:cs="Arial"/>
              </w:rPr>
              <w:t>2021</w:t>
            </w:r>
          </w:p>
        </w:tc>
        <w:tc>
          <w:tcPr>
            <w:tcW w:w="0" w:type="auto"/>
            <w:hideMark/>
          </w:tcPr>
          <w:p w14:paraId="1BC64937"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40,283</w:t>
            </w:r>
          </w:p>
        </w:tc>
        <w:tc>
          <w:tcPr>
            <w:tcW w:w="0" w:type="auto"/>
            <w:hideMark/>
          </w:tcPr>
          <w:p w14:paraId="20F38FC9"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234,399</w:t>
            </w:r>
          </w:p>
        </w:tc>
        <w:tc>
          <w:tcPr>
            <w:tcW w:w="0" w:type="auto"/>
            <w:hideMark/>
          </w:tcPr>
          <w:p w14:paraId="3ADFCC77"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0.172</w:t>
            </w:r>
          </w:p>
        </w:tc>
      </w:tr>
      <w:tr w:rsidR="00A110C5" w:rsidRPr="00A110C5" w14:paraId="41A95016" w14:textId="77777777" w:rsidTr="003A5B2C">
        <w:tc>
          <w:tcPr>
            <w:cnfStyle w:val="001000000000" w:firstRow="0" w:lastRow="0" w:firstColumn="1" w:lastColumn="0" w:oddVBand="0" w:evenVBand="0" w:oddHBand="0" w:evenHBand="0" w:firstRowFirstColumn="0" w:firstRowLastColumn="0" w:lastRowFirstColumn="0" w:lastRowLastColumn="0"/>
            <w:tcW w:w="0" w:type="auto"/>
            <w:hideMark/>
          </w:tcPr>
          <w:p w14:paraId="28AAD86C" w14:textId="77777777" w:rsidR="00A110C5" w:rsidRPr="00A110C5" w:rsidRDefault="00A110C5" w:rsidP="00DD45CD">
            <w:pPr>
              <w:spacing w:before="120" w:line="360" w:lineRule="auto"/>
              <w:jc w:val="center"/>
              <w:rPr>
                <w:rFonts w:ascii="Arial" w:hAnsi="Arial" w:cs="Arial"/>
              </w:rPr>
            </w:pPr>
            <w:r w:rsidRPr="00A110C5">
              <w:rPr>
                <w:rFonts w:ascii="Arial" w:hAnsi="Arial" w:cs="Arial"/>
              </w:rPr>
              <w:t>2020</w:t>
            </w:r>
          </w:p>
        </w:tc>
        <w:tc>
          <w:tcPr>
            <w:tcW w:w="0" w:type="auto"/>
            <w:hideMark/>
          </w:tcPr>
          <w:p w14:paraId="3D3D71F0"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73,392</w:t>
            </w:r>
          </w:p>
        </w:tc>
        <w:tc>
          <w:tcPr>
            <w:tcW w:w="0" w:type="auto"/>
            <w:hideMark/>
          </w:tcPr>
          <w:p w14:paraId="7948E1B2"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196,989</w:t>
            </w:r>
          </w:p>
        </w:tc>
        <w:tc>
          <w:tcPr>
            <w:tcW w:w="0" w:type="auto"/>
            <w:hideMark/>
          </w:tcPr>
          <w:p w14:paraId="7C075DE0" w14:textId="77777777" w:rsidR="00A110C5" w:rsidRPr="00A110C5" w:rsidRDefault="00A110C5" w:rsidP="00DD45CD">
            <w:pPr>
              <w:spacing w:before="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110C5">
              <w:rPr>
                <w:rFonts w:ascii="Arial" w:hAnsi="Arial" w:cs="Arial"/>
              </w:rPr>
              <w:t>0.373</w:t>
            </w:r>
          </w:p>
        </w:tc>
      </w:tr>
    </w:tbl>
    <w:p w14:paraId="65A0DB35" w14:textId="77777777" w:rsidR="001642A1" w:rsidRPr="00A110C5" w:rsidRDefault="001642A1" w:rsidP="009606E6">
      <w:pPr>
        <w:spacing w:before="120" w:after="120" w:line="360" w:lineRule="auto"/>
        <w:jc w:val="both"/>
        <w:rPr>
          <w:rFonts w:ascii="Arial" w:hAnsi="Arial" w:cs="Arial"/>
        </w:rPr>
      </w:pPr>
    </w:p>
    <w:sectPr w:rsidR="001642A1" w:rsidRPr="00A110C5" w:rsidSect="009A13E4">
      <w:footerReference w:type="default" r:id="rId20"/>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25A659" w14:textId="77777777" w:rsidR="003109C8" w:rsidRDefault="003109C8" w:rsidP="009A13E4">
      <w:pPr>
        <w:spacing w:after="0" w:line="240" w:lineRule="auto"/>
      </w:pPr>
      <w:r>
        <w:separator/>
      </w:r>
    </w:p>
  </w:endnote>
  <w:endnote w:type="continuationSeparator" w:id="0">
    <w:p w14:paraId="49900C4F" w14:textId="77777777" w:rsidR="003109C8" w:rsidRDefault="003109C8" w:rsidP="009A13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等线 Light">
    <w:panose1 w:val="00000000000000000000"/>
    <w:charset w:val="80"/>
    <w:family w:val="roman"/>
    <w:notTrueType/>
    <w:pitch w:val="default"/>
  </w:font>
  <w:font w:name="Aptos Display">
    <w:charset w:val="00"/>
    <w:family w:val="swiss"/>
    <w:pitch w:val="variable"/>
    <w:sig w:usb0="20000287" w:usb1="00000003" w:usb2="00000000" w:usb3="00000000" w:csb0="0000019F" w:csb1="00000000"/>
  </w:font>
  <w:font w:name="Shonar Bangla">
    <w:charset w:val="00"/>
    <w:family w:val="roman"/>
    <w:pitch w:val="variable"/>
    <w:sig w:usb0="0001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06ECD5" w14:textId="6C151DD2" w:rsidR="009A13E4" w:rsidRDefault="009A13E4">
    <w:pPr>
      <w:pStyle w:val="Footer"/>
      <w:jc w:val="right"/>
    </w:pPr>
  </w:p>
  <w:p w14:paraId="629900B2" w14:textId="77777777" w:rsidR="009A13E4" w:rsidRDefault="009A13E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9864063"/>
      <w:docPartObj>
        <w:docPartGallery w:val="Page Numbers (Bottom of Page)"/>
        <w:docPartUnique/>
      </w:docPartObj>
    </w:sdtPr>
    <w:sdtEndPr>
      <w:rPr>
        <w:noProof/>
      </w:rPr>
    </w:sdtEndPr>
    <w:sdtContent>
      <w:p w14:paraId="7F74D851" w14:textId="29DFA191" w:rsidR="00866F9E" w:rsidRDefault="00866F9E">
        <w:pPr>
          <w:pStyle w:val="Footer"/>
          <w:jc w:val="center"/>
        </w:pPr>
        <w:r>
          <w:fldChar w:fldCharType="begin"/>
        </w:r>
        <w:r>
          <w:instrText xml:space="preserve"> PAGE   \* MERGEFORMAT </w:instrText>
        </w:r>
        <w:r>
          <w:fldChar w:fldCharType="separate"/>
        </w:r>
        <w:r w:rsidR="0068159C">
          <w:rPr>
            <w:noProof/>
          </w:rPr>
          <w:t>17</w:t>
        </w:r>
        <w:r>
          <w:rPr>
            <w:noProof/>
          </w:rPr>
          <w:fldChar w:fldCharType="end"/>
        </w:r>
      </w:p>
    </w:sdtContent>
  </w:sdt>
  <w:p w14:paraId="0B52175E" w14:textId="77777777" w:rsidR="009A13E4" w:rsidRDefault="009A13E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8169EF" w14:textId="43D752A8" w:rsidR="00773554" w:rsidRDefault="00773554">
    <w:pPr>
      <w:pStyle w:val="Footer"/>
      <w:jc w:val="right"/>
    </w:pPr>
  </w:p>
  <w:p w14:paraId="1CC9D8CF" w14:textId="77777777" w:rsidR="00773554" w:rsidRDefault="00773554">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0298EF" w14:textId="77777777" w:rsidR="00773554" w:rsidRDefault="00773554">
    <w:pPr>
      <w:pStyle w:val="Footer"/>
      <w:jc w:val="right"/>
    </w:pPr>
  </w:p>
  <w:p w14:paraId="76B1DF70" w14:textId="77777777" w:rsidR="00773554" w:rsidRDefault="007735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2F75BC" w14:textId="77777777" w:rsidR="003109C8" w:rsidRDefault="003109C8" w:rsidP="009A13E4">
      <w:pPr>
        <w:spacing w:after="0" w:line="240" w:lineRule="auto"/>
      </w:pPr>
      <w:r>
        <w:separator/>
      </w:r>
    </w:p>
  </w:footnote>
  <w:footnote w:type="continuationSeparator" w:id="0">
    <w:p w14:paraId="23FF132B" w14:textId="77777777" w:rsidR="003109C8" w:rsidRDefault="003109C8" w:rsidP="009A13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4010C"/>
    <w:multiLevelType w:val="multilevel"/>
    <w:tmpl w:val="8F3C59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11275A"/>
    <w:multiLevelType w:val="multilevel"/>
    <w:tmpl w:val="CA1883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C60963"/>
    <w:multiLevelType w:val="multilevel"/>
    <w:tmpl w:val="B008B7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3C1570"/>
    <w:multiLevelType w:val="multilevel"/>
    <w:tmpl w:val="C79059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FAD2166"/>
    <w:multiLevelType w:val="multilevel"/>
    <w:tmpl w:val="F2B838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0AC47DA"/>
    <w:multiLevelType w:val="multilevel"/>
    <w:tmpl w:val="50A8A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8536F15"/>
    <w:multiLevelType w:val="multilevel"/>
    <w:tmpl w:val="802698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16567D7"/>
    <w:multiLevelType w:val="multilevel"/>
    <w:tmpl w:val="FD60FC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C53D7D"/>
    <w:multiLevelType w:val="multilevel"/>
    <w:tmpl w:val="290892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4EA4EAD"/>
    <w:multiLevelType w:val="multilevel"/>
    <w:tmpl w:val="119ABA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74D6CB0"/>
    <w:multiLevelType w:val="multilevel"/>
    <w:tmpl w:val="C338E1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B89567F"/>
    <w:multiLevelType w:val="multilevel"/>
    <w:tmpl w:val="301E5A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D402442"/>
    <w:multiLevelType w:val="multilevel"/>
    <w:tmpl w:val="66F8CF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E21710D"/>
    <w:multiLevelType w:val="multilevel"/>
    <w:tmpl w:val="A8AE9FD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40F632D"/>
    <w:multiLevelType w:val="multilevel"/>
    <w:tmpl w:val="E97AA8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58B5DA0"/>
    <w:multiLevelType w:val="multilevel"/>
    <w:tmpl w:val="23B64A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7F876D5"/>
    <w:multiLevelType w:val="multilevel"/>
    <w:tmpl w:val="512A1D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8430FC1"/>
    <w:multiLevelType w:val="multilevel"/>
    <w:tmpl w:val="1F9618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A0E58CD"/>
    <w:multiLevelType w:val="multilevel"/>
    <w:tmpl w:val="C79059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B8103E0"/>
    <w:multiLevelType w:val="multilevel"/>
    <w:tmpl w:val="9036F6A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CDB5BDD"/>
    <w:multiLevelType w:val="multilevel"/>
    <w:tmpl w:val="FD6263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45958FD"/>
    <w:multiLevelType w:val="multilevel"/>
    <w:tmpl w:val="545CCC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473218F"/>
    <w:multiLevelType w:val="multilevel"/>
    <w:tmpl w:val="3022F6B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A363347"/>
    <w:multiLevelType w:val="multilevel"/>
    <w:tmpl w:val="C344A4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AD105BB"/>
    <w:multiLevelType w:val="multilevel"/>
    <w:tmpl w:val="EB9C45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EC47BCF"/>
    <w:multiLevelType w:val="multilevel"/>
    <w:tmpl w:val="2392FF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68F7249"/>
    <w:multiLevelType w:val="multilevel"/>
    <w:tmpl w:val="6AD4C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78D17DF"/>
    <w:multiLevelType w:val="multilevel"/>
    <w:tmpl w:val="C79059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A8D1968"/>
    <w:multiLevelType w:val="multilevel"/>
    <w:tmpl w:val="C79059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CC37D2C"/>
    <w:multiLevelType w:val="multilevel"/>
    <w:tmpl w:val="BDA4F4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7B607BD"/>
    <w:multiLevelType w:val="multilevel"/>
    <w:tmpl w:val="18C6A7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70402851"/>
    <w:multiLevelType w:val="multilevel"/>
    <w:tmpl w:val="C79059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0913810"/>
    <w:multiLevelType w:val="multilevel"/>
    <w:tmpl w:val="C79059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1B87D04"/>
    <w:multiLevelType w:val="multilevel"/>
    <w:tmpl w:val="9982BE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3640372"/>
    <w:multiLevelType w:val="multilevel"/>
    <w:tmpl w:val="D438180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75616E4B"/>
    <w:multiLevelType w:val="multilevel"/>
    <w:tmpl w:val="107CCB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72939AA"/>
    <w:multiLevelType w:val="multilevel"/>
    <w:tmpl w:val="EF38DE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74036EC"/>
    <w:multiLevelType w:val="multilevel"/>
    <w:tmpl w:val="6D2E11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CE400AF"/>
    <w:multiLevelType w:val="multilevel"/>
    <w:tmpl w:val="CD84D0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56130436">
    <w:abstractNumId w:val="24"/>
  </w:num>
  <w:num w:numId="2" w16cid:durableId="851840584">
    <w:abstractNumId w:val="30"/>
  </w:num>
  <w:num w:numId="3" w16cid:durableId="345442331">
    <w:abstractNumId w:val="22"/>
  </w:num>
  <w:num w:numId="4" w16cid:durableId="1085111840">
    <w:abstractNumId w:val="19"/>
  </w:num>
  <w:num w:numId="5" w16cid:durableId="244387989">
    <w:abstractNumId w:val="34"/>
  </w:num>
  <w:num w:numId="6" w16cid:durableId="1351838041">
    <w:abstractNumId w:val="13"/>
  </w:num>
  <w:num w:numId="7" w16cid:durableId="744692294">
    <w:abstractNumId w:val="4"/>
  </w:num>
  <w:num w:numId="8" w16cid:durableId="1819875851">
    <w:abstractNumId w:val="8"/>
  </w:num>
  <w:num w:numId="9" w16cid:durableId="819462883">
    <w:abstractNumId w:val="26"/>
  </w:num>
  <w:num w:numId="10" w16cid:durableId="769937681">
    <w:abstractNumId w:val="16"/>
  </w:num>
  <w:num w:numId="11" w16cid:durableId="1426876938">
    <w:abstractNumId w:val="33"/>
  </w:num>
  <w:num w:numId="12" w16cid:durableId="655426364">
    <w:abstractNumId w:val="9"/>
  </w:num>
  <w:num w:numId="13" w16cid:durableId="673580571">
    <w:abstractNumId w:val="10"/>
  </w:num>
  <w:num w:numId="14" w16cid:durableId="1754550965">
    <w:abstractNumId w:val="17"/>
  </w:num>
  <w:num w:numId="15" w16cid:durableId="762847907">
    <w:abstractNumId w:val="0"/>
  </w:num>
  <w:num w:numId="16" w16cid:durableId="1983459123">
    <w:abstractNumId w:val="5"/>
  </w:num>
  <w:num w:numId="17" w16cid:durableId="1442872066">
    <w:abstractNumId w:val="11"/>
  </w:num>
  <w:num w:numId="18" w16cid:durableId="1642727713">
    <w:abstractNumId w:val="29"/>
  </w:num>
  <w:num w:numId="19" w16cid:durableId="1392315934">
    <w:abstractNumId w:val="25"/>
  </w:num>
  <w:num w:numId="20" w16cid:durableId="573786600">
    <w:abstractNumId w:val="1"/>
  </w:num>
  <w:num w:numId="21" w16cid:durableId="316080790">
    <w:abstractNumId w:val="12"/>
  </w:num>
  <w:num w:numId="22" w16cid:durableId="1687974758">
    <w:abstractNumId w:val="35"/>
  </w:num>
  <w:num w:numId="23" w16cid:durableId="1781685763">
    <w:abstractNumId w:val="21"/>
  </w:num>
  <w:num w:numId="24" w16cid:durableId="110974301">
    <w:abstractNumId w:val="36"/>
  </w:num>
  <w:num w:numId="25" w16cid:durableId="597910392">
    <w:abstractNumId w:val="2"/>
  </w:num>
  <w:num w:numId="26" w16cid:durableId="154498785">
    <w:abstractNumId w:val="7"/>
  </w:num>
  <w:num w:numId="27" w16cid:durableId="942421840">
    <w:abstractNumId w:val="15"/>
  </w:num>
  <w:num w:numId="28" w16cid:durableId="961616542">
    <w:abstractNumId w:val="20"/>
  </w:num>
  <w:num w:numId="29" w16cid:durableId="856621094">
    <w:abstractNumId w:val="23"/>
  </w:num>
  <w:num w:numId="30" w16cid:durableId="1422097392">
    <w:abstractNumId w:val="37"/>
  </w:num>
  <w:num w:numId="31" w16cid:durableId="2132279693">
    <w:abstractNumId w:val="14"/>
  </w:num>
  <w:num w:numId="32" w16cid:durableId="221647656">
    <w:abstractNumId w:val="6"/>
  </w:num>
  <w:num w:numId="33" w16cid:durableId="1572042087">
    <w:abstractNumId w:val="38"/>
  </w:num>
  <w:num w:numId="34" w16cid:durableId="549459207">
    <w:abstractNumId w:val="31"/>
  </w:num>
  <w:num w:numId="35" w16cid:durableId="1256784674">
    <w:abstractNumId w:val="27"/>
  </w:num>
  <w:num w:numId="36" w16cid:durableId="1970550596">
    <w:abstractNumId w:val="32"/>
  </w:num>
  <w:num w:numId="37" w16cid:durableId="1533373243">
    <w:abstractNumId w:val="28"/>
  </w:num>
  <w:num w:numId="38" w16cid:durableId="1851260939">
    <w:abstractNumId w:val="18"/>
  </w:num>
  <w:num w:numId="39" w16cid:durableId="184328054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642A1"/>
    <w:rsid w:val="0000335D"/>
    <w:rsid w:val="00010381"/>
    <w:rsid w:val="00037D72"/>
    <w:rsid w:val="00052A1E"/>
    <w:rsid w:val="000B5222"/>
    <w:rsid w:val="0011243F"/>
    <w:rsid w:val="00112D41"/>
    <w:rsid w:val="00155966"/>
    <w:rsid w:val="001642A1"/>
    <w:rsid w:val="001954C7"/>
    <w:rsid w:val="001B49D2"/>
    <w:rsid w:val="002063F5"/>
    <w:rsid w:val="00210540"/>
    <w:rsid w:val="00235F42"/>
    <w:rsid w:val="00242A38"/>
    <w:rsid w:val="00244C04"/>
    <w:rsid w:val="0024569B"/>
    <w:rsid w:val="00255D98"/>
    <w:rsid w:val="00270E5A"/>
    <w:rsid w:val="002E20A3"/>
    <w:rsid w:val="003109C8"/>
    <w:rsid w:val="00361E81"/>
    <w:rsid w:val="00362344"/>
    <w:rsid w:val="003A5B2C"/>
    <w:rsid w:val="003F3758"/>
    <w:rsid w:val="00416D17"/>
    <w:rsid w:val="004525EC"/>
    <w:rsid w:val="00472FAA"/>
    <w:rsid w:val="004D43F6"/>
    <w:rsid w:val="004E26F5"/>
    <w:rsid w:val="00522C43"/>
    <w:rsid w:val="00535A78"/>
    <w:rsid w:val="00573083"/>
    <w:rsid w:val="005D4C1E"/>
    <w:rsid w:val="00634D85"/>
    <w:rsid w:val="006617C4"/>
    <w:rsid w:val="0068159C"/>
    <w:rsid w:val="006D242A"/>
    <w:rsid w:val="006E6575"/>
    <w:rsid w:val="006F6A9F"/>
    <w:rsid w:val="00702685"/>
    <w:rsid w:val="00773554"/>
    <w:rsid w:val="007A1E89"/>
    <w:rsid w:val="007F4F6B"/>
    <w:rsid w:val="007F59A4"/>
    <w:rsid w:val="00816316"/>
    <w:rsid w:val="0083256D"/>
    <w:rsid w:val="00866F9E"/>
    <w:rsid w:val="008F1A46"/>
    <w:rsid w:val="00924791"/>
    <w:rsid w:val="009404E4"/>
    <w:rsid w:val="009606E6"/>
    <w:rsid w:val="0096481A"/>
    <w:rsid w:val="009A13E4"/>
    <w:rsid w:val="009C4C84"/>
    <w:rsid w:val="00A110C5"/>
    <w:rsid w:val="00AA47E5"/>
    <w:rsid w:val="00AB29DD"/>
    <w:rsid w:val="00AC05BA"/>
    <w:rsid w:val="00B06EF3"/>
    <w:rsid w:val="00B10C8C"/>
    <w:rsid w:val="00B44FB8"/>
    <w:rsid w:val="00BE6439"/>
    <w:rsid w:val="00BF59E6"/>
    <w:rsid w:val="00C13487"/>
    <w:rsid w:val="00C63332"/>
    <w:rsid w:val="00C901DC"/>
    <w:rsid w:val="00CA36C0"/>
    <w:rsid w:val="00D41C63"/>
    <w:rsid w:val="00D5108B"/>
    <w:rsid w:val="00D715E3"/>
    <w:rsid w:val="00DD2C83"/>
    <w:rsid w:val="00DD44D9"/>
    <w:rsid w:val="00EC1CCD"/>
    <w:rsid w:val="00EC45AB"/>
    <w:rsid w:val="00EE07E2"/>
    <w:rsid w:val="00EF17D7"/>
    <w:rsid w:val="00F2504F"/>
    <w:rsid w:val="00F45B19"/>
    <w:rsid w:val="00F551D1"/>
  </w:rsids>
  <m:mathPr>
    <m:mathFont m:val="Cambria Math"/>
    <m:brkBin m:val="before"/>
    <m:brkBinSub m:val="--"/>
    <m:smallFrac m:val="0"/>
    <m:dispDef/>
    <m:lMargin m:val="0"/>
    <m:rMargin m:val="0"/>
    <m:defJc m:val="centerGroup"/>
    <m:wrapIndent m:val="1440"/>
    <m:intLim m:val="subSup"/>
    <m:naryLim m:val="undOvr"/>
  </m:mathPr>
  <w:themeFontLang w:val="en-US"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394CD4"/>
  <w15:chartTrackingRefBased/>
  <w15:docId w15:val="{EF1C77A3-7A92-4B45-B130-4ECA401B52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112D41"/>
    <w:pPr>
      <w:keepNext/>
      <w:keepLines/>
      <w:spacing w:before="120" w:after="120" w:line="360" w:lineRule="auto"/>
      <w:jc w:val="both"/>
      <w:outlineLvl w:val="0"/>
    </w:pPr>
    <w:rPr>
      <w:rFonts w:ascii="Arial" w:eastAsiaTheme="majorEastAsia" w:hAnsi="Arial" w:cs="Times New Roman"/>
      <w:b/>
      <w:color w:val="0F4761" w:themeColor="accent1" w:themeShade="BF"/>
    </w:rPr>
  </w:style>
  <w:style w:type="paragraph" w:styleId="Heading2">
    <w:name w:val="heading 2"/>
    <w:basedOn w:val="Normal"/>
    <w:next w:val="Normal"/>
    <w:link w:val="Heading2Char"/>
    <w:autoRedefine/>
    <w:uiPriority w:val="9"/>
    <w:unhideWhenUsed/>
    <w:qFormat/>
    <w:rsid w:val="00112D41"/>
    <w:pPr>
      <w:spacing w:before="120" w:after="120" w:line="360" w:lineRule="auto"/>
      <w:jc w:val="both"/>
      <w:outlineLvl w:val="1"/>
    </w:pPr>
    <w:rPr>
      <w:rFonts w:ascii="Arial" w:hAnsi="Arial" w:cs="Arial"/>
      <w:b/>
      <w:bCs/>
      <w:color w:val="0F4761" w:themeColor="accent1" w:themeShade="BF"/>
    </w:rPr>
  </w:style>
  <w:style w:type="paragraph" w:styleId="Heading3">
    <w:name w:val="heading 3"/>
    <w:basedOn w:val="Normal"/>
    <w:next w:val="Normal"/>
    <w:link w:val="Heading3Char"/>
    <w:autoRedefine/>
    <w:uiPriority w:val="9"/>
    <w:unhideWhenUsed/>
    <w:qFormat/>
    <w:rsid w:val="00112D41"/>
    <w:pPr>
      <w:keepNext/>
      <w:keepLines/>
      <w:spacing w:before="120" w:after="120" w:line="360" w:lineRule="auto"/>
      <w:jc w:val="both"/>
      <w:outlineLvl w:val="2"/>
    </w:pPr>
    <w:rPr>
      <w:rFonts w:ascii="Arial" w:eastAsiaTheme="majorEastAsia" w:hAnsi="Arial" w:cs="Times New Roman"/>
      <w:color w:val="0F4761" w:themeColor="accent1" w:themeShade="BF"/>
    </w:rPr>
  </w:style>
  <w:style w:type="paragraph" w:styleId="Heading4">
    <w:name w:val="heading 4"/>
    <w:basedOn w:val="Normal"/>
    <w:next w:val="Normal"/>
    <w:link w:val="Heading4Char"/>
    <w:uiPriority w:val="9"/>
    <w:unhideWhenUsed/>
    <w:qFormat/>
    <w:rsid w:val="001642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642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642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642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642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642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Heading3"/>
    <w:next w:val="Heading3"/>
    <w:link w:val="TitleChar"/>
    <w:autoRedefine/>
    <w:uiPriority w:val="10"/>
    <w:qFormat/>
    <w:rsid w:val="00010381"/>
    <w:pPr>
      <w:spacing w:line="240" w:lineRule="auto"/>
      <w:contextualSpacing/>
    </w:pPr>
    <w:rPr>
      <w:rFonts w:asciiTheme="majorHAnsi" w:hAnsiTheme="majorHAnsi"/>
      <w:spacing w:val="-10"/>
      <w:kern w:val="28"/>
      <w:sz w:val="56"/>
      <w:szCs w:val="56"/>
    </w:rPr>
  </w:style>
  <w:style w:type="character" w:customStyle="1" w:styleId="TitleChar">
    <w:name w:val="Title Char"/>
    <w:basedOn w:val="DefaultParagraphFont"/>
    <w:link w:val="Title"/>
    <w:uiPriority w:val="10"/>
    <w:rsid w:val="00010381"/>
    <w:rPr>
      <w:rFonts w:asciiTheme="majorHAnsi" w:eastAsiaTheme="majorEastAsia" w:hAnsiTheme="majorHAnsi" w:cstheme="majorBidi"/>
      <w:color w:val="0F4761" w:themeColor="accent1" w:themeShade="BF"/>
      <w:spacing w:val="-10"/>
      <w:kern w:val="28"/>
      <w:sz w:val="56"/>
      <w:szCs w:val="56"/>
    </w:rPr>
  </w:style>
  <w:style w:type="character" w:customStyle="1" w:styleId="Heading3Char">
    <w:name w:val="Heading 3 Char"/>
    <w:basedOn w:val="DefaultParagraphFont"/>
    <w:link w:val="Heading3"/>
    <w:uiPriority w:val="9"/>
    <w:rsid w:val="00112D41"/>
    <w:rPr>
      <w:rFonts w:ascii="Arial" w:eastAsiaTheme="majorEastAsia" w:hAnsi="Arial" w:cs="Times New Roman"/>
      <w:color w:val="0F4761" w:themeColor="accent1" w:themeShade="BF"/>
    </w:rPr>
  </w:style>
  <w:style w:type="paragraph" w:customStyle="1" w:styleId="Style1">
    <w:name w:val="Style1"/>
    <w:basedOn w:val="Heading1"/>
    <w:autoRedefine/>
    <w:qFormat/>
    <w:rsid w:val="00010381"/>
    <w:pPr>
      <w:spacing w:line="480" w:lineRule="auto"/>
    </w:pPr>
    <w:rPr>
      <w:rFonts w:cs="Arial"/>
      <w:b w:val="0"/>
    </w:rPr>
  </w:style>
  <w:style w:type="character" w:customStyle="1" w:styleId="Heading1Char">
    <w:name w:val="Heading 1 Char"/>
    <w:basedOn w:val="DefaultParagraphFont"/>
    <w:link w:val="Heading1"/>
    <w:uiPriority w:val="9"/>
    <w:rsid w:val="00112D41"/>
    <w:rPr>
      <w:rFonts w:ascii="Arial" w:eastAsiaTheme="majorEastAsia" w:hAnsi="Arial" w:cs="Times New Roman"/>
      <w:b/>
      <w:color w:val="0F4761" w:themeColor="accent1" w:themeShade="BF"/>
    </w:rPr>
  </w:style>
  <w:style w:type="paragraph" w:customStyle="1" w:styleId="Style2">
    <w:name w:val="Style2"/>
    <w:basedOn w:val="Heading2"/>
    <w:next w:val="Style1"/>
    <w:link w:val="Style2Char"/>
    <w:autoRedefine/>
    <w:qFormat/>
    <w:rsid w:val="00010381"/>
    <w:pPr>
      <w:spacing w:line="480" w:lineRule="auto"/>
    </w:pPr>
    <w:rPr>
      <w:b w:val="0"/>
      <w:bCs w:val="0"/>
      <w:szCs w:val="22"/>
    </w:rPr>
  </w:style>
  <w:style w:type="character" w:customStyle="1" w:styleId="Style2Char">
    <w:name w:val="Style2 Char"/>
    <w:basedOn w:val="DefaultParagraphFont"/>
    <w:link w:val="Style2"/>
    <w:rsid w:val="00010381"/>
    <w:rPr>
      <w:rFonts w:ascii="Arial" w:eastAsiaTheme="majorEastAsia" w:hAnsi="Arial" w:cs="Arial"/>
      <w:b/>
      <w:bCs/>
      <w:color w:val="0F4761" w:themeColor="accent1" w:themeShade="BF"/>
      <w:sz w:val="28"/>
      <w:szCs w:val="22"/>
    </w:rPr>
  </w:style>
  <w:style w:type="character" w:customStyle="1" w:styleId="Heading2Char">
    <w:name w:val="Heading 2 Char"/>
    <w:basedOn w:val="DefaultParagraphFont"/>
    <w:link w:val="Heading2"/>
    <w:uiPriority w:val="9"/>
    <w:rsid w:val="00112D41"/>
    <w:rPr>
      <w:rFonts w:ascii="Arial" w:hAnsi="Arial" w:cs="Arial"/>
      <w:b/>
      <w:bCs/>
      <w:color w:val="0F4761" w:themeColor="accent1" w:themeShade="BF"/>
    </w:rPr>
  </w:style>
  <w:style w:type="character" w:customStyle="1" w:styleId="Heading4Char">
    <w:name w:val="Heading 4 Char"/>
    <w:basedOn w:val="DefaultParagraphFont"/>
    <w:link w:val="Heading4"/>
    <w:uiPriority w:val="9"/>
    <w:rsid w:val="001642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642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642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642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642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642A1"/>
    <w:rPr>
      <w:rFonts w:eastAsiaTheme="majorEastAsia" w:cstheme="majorBidi"/>
      <w:color w:val="272727" w:themeColor="text1" w:themeTint="D8"/>
    </w:rPr>
  </w:style>
  <w:style w:type="paragraph" w:styleId="Subtitle">
    <w:name w:val="Subtitle"/>
    <w:basedOn w:val="Normal"/>
    <w:next w:val="Normal"/>
    <w:link w:val="SubtitleChar"/>
    <w:uiPriority w:val="11"/>
    <w:qFormat/>
    <w:rsid w:val="001642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642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642A1"/>
    <w:pPr>
      <w:spacing w:before="160"/>
      <w:jc w:val="center"/>
    </w:pPr>
    <w:rPr>
      <w:i/>
      <w:iCs/>
      <w:color w:val="404040" w:themeColor="text1" w:themeTint="BF"/>
    </w:rPr>
  </w:style>
  <w:style w:type="character" w:customStyle="1" w:styleId="QuoteChar">
    <w:name w:val="Quote Char"/>
    <w:basedOn w:val="DefaultParagraphFont"/>
    <w:link w:val="Quote"/>
    <w:uiPriority w:val="29"/>
    <w:rsid w:val="001642A1"/>
    <w:rPr>
      <w:i/>
      <w:iCs/>
      <w:color w:val="404040" w:themeColor="text1" w:themeTint="BF"/>
    </w:rPr>
  </w:style>
  <w:style w:type="paragraph" w:styleId="ListParagraph">
    <w:name w:val="List Paragraph"/>
    <w:basedOn w:val="Normal"/>
    <w:uiPriority w:val="34"/>
    <w:qFormat/>
    <w:rsid w:val="001642A1"/>
    <w:pPr>
      <w:ind w:left="720"/>
      <w:contextualSpacing/>
    </w:pPr>
  </w:style>
  <w:style w:type="character" w:styleId="IntenseEmphasis">
    <w:name w:val="Intense Emphasis"/>
    <w:basedOn w:val="DefaultParagraphFont"/>
    <w:uiPriority w:val="21"/>
    <w:qFormat/>
    <w:rsid w:val="001642A1"/>
    <w:rPr>
      <w:i/>
      <w:iCs/>
      <w:color w:val="0F4761" w:themeColor="accent1" w:themeShade="BF"/>
    </w:rPr>
  </w:style>
  <w:style w:type="paragraph" w:styleId="IntenseQuote">
    <w:name w:val="Intense Quote"/>
    <w:basedOn w:val="Normal"/>
    <w:next w:val="Normal"/>
    <w:link w:val="IntenseQuoteChar"/>
    <w:uiPriority w:val="30"/>
    <w:qFormat/>
    <w:rsid w:val="001642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642A1"/>
    <w:rPr>
      <w:i/>
      <w:iCs/>
      <w:color w:val="0F4761" w:themeColor="accent1" w:themeShade="BF"/>
    </w:rPr>
  </w:style>
  <w:style w:type="character" w:styleId="IntenseReference">
    <w:name w:val="Intense Reference"/>
    <w:basedOn w:val="DefaultParagraphFont"/>
    <w:uiPriority w:val="32"/>
    <w:qFormat/>
    <w:rsid w:val="001642A1"/>
    <w:rPr>
      <w:b/>
      <w:bCs/>
      <w:smallCaps/>
      <w:color w:val="0F4761" w:themeColor="accent1" w:themeShade="BF"/>
      <w:spacing w:val="5"/>
    </w:rPr>
  </w:style>
  <w:style w:type="table" w:styleId="TableGrid">
    <w:name w:val="Table Grid"/>
    <w:basedOn w:val="TableNormal"/>
    <w:uiPriority w:val="39"/>
    <w:rsid w:val="001124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3">
    <w:name w:val="Grid Table 5 Dark Accent 3"/>
    <w:basedOn w:val="TableNormal"/>
    <w:uiPriority w:val="50"/>
    <w:rsid w:val="00F45B1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F0C7"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96B24"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96B24"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96B24"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96B24" w:themeFill="accent3"/>
      </w:tcPr>
    </w:tblStylePr>
    <w:tblStylePr w:type="band1Vert">
      <w:tblPr/>
      <w:tcPr>
        <w:shd w:val="clear" w:color="auto" w:fill="84E290" w:themeFill="accent3" w:themeFillTint="66"/>
      </w:tcPr>
    </w:tblStylePr>
    <w:tblStylePr w:type="band1Horz">
      <w:tblPr/>
      <w:tcPr>
        <w:shd w:val="clear" w:color="auto" w:fill="84E290" w:themeFill="accent3" w:themeFillTint="66"/>
      </w:tcPr>
    </w:tblStylePr>
  </w:style>
  <w:style w:type="table" w:styleId="GridTable5Dark-Accent4">
    <w:name w:val="Grid Table 5 Dark Accent 4"/>
    <w:basedOn w:val="TableNormal"/>
    <w:uiPriority w:val="50"/>
    <w:rsid w:val="00F45B1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table" w:styleId="GridTable1Light">
    <w:name w:val="Grid Table 1 Light"/>
    <w:basedOn w:val="TableNormal"/>
    <w:uiPriority w:val="46"/>
    <w:rsid w:val="00F45B19"/>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NoSpacing">
    <w:name w:val="No Spacing"/>
    <w:uiPriority w:val="1"/>
    <w:qFormat/>
    <w:rsid w:val="009606E6"/>
    <w:pPr>
      <w:spacing w:after="0" w:line="240" w:lineRule="auto"/>
    </w:pPr>
  </w:style>
  <w:style w:type="paragraph" w:styleId="TOCHeading">
    <w:name w:val="TOC Heading"/>
    <w:basedOn w:val="Heading1"/>
    <w:next w:val="Normal"/>
    <w:uiPriority w:val="39"/>
    <w:unhideWhenUsed/>
    <w:qFormat/>
    <w:rsid w:val="003A5B2C"/>
    <w:pPr>
      <w:spacing w:before="240" w:after="0" w:line="259" w:lineRule="auto"/>
      <w:jc w:val="left"/>
      <w:outlineLvl w:val="9"/>
    </w:pPr>
    <w:rPr>
      <w:rFonts w:cstheme="majorBidi"/>
      <w:color w:val="45B0E1" w:themeColor="accent1" w:themeTint="99"/>
      <w:kern w:val="0"/>
      <w:sz w:val="36"/>
      <w:szCs w:val="32"/>
      <w:lang w:eastAsia="en-US"/>
      <w14:ligatures w14:val="none"/>
    </w:rPr>
  </w:style>
  <w:style w:type="paragraph" w:styleId="TOC1">
    <w:name w:val="toc 1"/>
    <w:basedOn w:val="Normal"/>
    <w:next w:val="Normal"/>
    <w:autoRedefine/>
    <w:uiPriority w:val="39"/>
    <w:unhideWhenUsed/>
    <w:rsid w:val="003A5B2C"/>
    <w:pPr>
      <w:spacing w:after="100"/>
    </w:pPr>
    <w:rPr>
      <w:rFonts w:ascii="Arial" w:hAnsi="Arial"/>
      <w:b/>
      <w:color w:val="0F4761" w:themeColor="accent1" w:themeShade="BF"/>
      <w:sz w:val="28"/>
    </w:rPr>
  </w:style>
  <w:style w:type="paragraph" w:styleId="TOC2">
    <w:name w:val="toc 2"/>
    <w:basedOn w:val="Normal"/>
    <w:next w:val="Normal"/>
    <w:autoRedefine/>
    <w:uiPriority w:val="39"/>
    <w:unhideWhenUsed/>
    <w:rsid w:val="003A5B2C"/>
    <w:pPr>
      <w:spacing w:after="100"/>
      <w:ind w:left="240"/>
    </w:pPr>
    <w:rPr>
      <w:rFonts w:ascii="Arial" w:hAnsi="Arial"/>
      <w:b/>
      <w:color w:val="0F4761" w:themeColor="accent1" w:themeShade="BF"/>
    </w:rPr>
  </w:style>
  <w:style w:type="paragraph" w:styleId="TOC3">
    <w:name w:val="toc 3"/>
    <w:basedOn w:val="Normal"/>
    <w:next w:val="Normal"/>
    <w:autoRedefine/>
    <w:uiPriority w:val="39"/>
    <w:unhideWhenUsed/>
    <w:rsid w:val="003A5B2C"/>
    <w:pPr>
      <w:spacing w:after="100"/>
      <w:ind w:left="480"/>
    </w:pPr>
    <w:rPr>
      <w:rFonts w:ascii="Arial" w:hAnsi="Arial"/>
      <w:color w:val="0F4761" w:themeColor="accent1" w:themeShade="BF"/>
    </w:rPr>
  </w:style>
  <w:style w:type="character" w:styleId="Hyperlink">
    <w:name w:val="Hyperlink"/>
    <w:basedOn w:val="DefaultParagraphFont"/>
    <w:uiPriority w:val="99"/>
    <w:unhideWhenUsed/>
    <w:rsid w:val="009A13E4"/>
    <w:rPr>
      <w:color w:val="467886" w:themeColor="hyperlink"/>
      <w:u w:val="single"/>
    </w:rPr>
  </w:style>
  <w:style w:type="paragraph" w:styleId="Header">
    <w:name w:val="header"/>
    <w:basedOn w:val="Normal"/>
    <w:link w:val="HeaderChar"/>
    <w:uiPriority w:val="99"/>
    <w:unhideWhenUsed/>
    <w:rsid w:val="009A13E4"/>
    <w:pPr>
      <w:tabs>
        <w:tab w:val="center" w:pos="4680"/>
        <w:tab w:val="right" w:pos="9360"/>
      </w:tabs>
      <w:spacing w:after="0" w:line="240" w:lineRule="auto"/>
    </w:pPr>
  </w:style>
  <w:style w:type="character" w:customStyle="1" w:styleId="HeaderChar">
    <w:name w:val="Header Char"/>
    <w:basedOn w:val="DefaultParagraphFont"/>
    <w:link w:val="Header"/>
    <w:uiPriority w:val="99"/>
    <w:rsid w:val="009A13E4"/>
  </w:style>
  <w:style w:type="paragraph" w:styleId="Footer">
    <w:name w:val="footer"/>
    <w:basedOn w:val="Normal"/>
    <w:link w:val="FooterChar"/>
    <w:uiPriority w:val="99"/>
    <w:unhideWhenUsed/>
    <w:rsid w:val="009A13E4"/>
    <w:pPr>
      <w:tabs>
        <w:tab w:val="center" w:pos="4680"/>
        <w:tab w:val="right" w:pos="9360"/>
      </w:tabs>
      <w:spacing w:after="0" w:line="240" w:lineRule="auto"/>
    </w:pPr>
  </w:style>
  <w:style w:type="character" w:customStyle="1" w:styleId="FooterChar">
    <w:name w:val="Footer Char"/>
    <w:basedOn w:val="DefaultParagraphFont"/>
    <w:link w:val="Footer"/>
    <w:uiPriority w:val="99"/>
    <w:rsid w:val="009A13E4"/>
  </w:style>
  <w:style w:type="paragraph" w:styleId="Caption">
    <w:name w:val="caption"/>
    <w:basedOn w:val="Normal"/>
    <w:next w:val="Normal"/>
    <w:uiPriority w:val="35"/>
    <w:unhideWhenUsed/>
    <w:qFormat/>
    <w:rsid w:val="00112D41"/>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C901DC"/>
    <w:pPr>
      <w:spacing w:after="0"/>
    </w:pPr>
    <w:rPr>
      <w:i/>
      <w:iCs/>
      <w:sz w:val="20"/>
      <w:szCs w:val="20"/>
    </w:rPr>
  </w:style>
  <w:style w:type="table" w:styleId="GridTable1Light-Accent3">
    <w:name w:val="Grid Table 1 Light Accent 3"/>
    <w:basedOn w:val="TableNormal"/>
    <w:uiPriority w:val="46"/>
    <w:rsid w:val="003A5B2C"/>
    <w:pPr>
      <w:spacing w:after="0" w:line="240" w:lineRule="auto"/>
    </w:pPr>
    <w:tblPr>
      <w:tblStyleRowBandSize w:val="1"/>
      <w:tblStyleColBandSize w:val="1"/>
      <w:tblBorders>
        <w:top w:val="single" w:sz="4" w:space="0" w:color="84E290" w:themeColor="accent3" w:themeTint="66"/>
        <w:left w:val="single" w:sz="4" w:space="0" w:color="84E290" w:themeColor="accent3" w:themeTint="66"/>
        <w:bottom w:val="single" w:sz="4" w:space="0" w:color="84E290" w:themeColor="accent3" w:themeTint="66"/>
        <w:right w:val="single" w:sz="4" w:space="0" w:color="84E290" w:themeColor="accent3" w:themeTint="66"/>
        <w:insideH w:val="single" w:sz="4" w:space="0" w:color="84E290" w:themeColor="accent3" w:themeTint="66"/>
        <w:insideV w:val="single" w:sz="4" w:space="0" w:color="84E290" w:themeColor="accent3" w:themeTint="66"/>
      </w:tblBorders>
    </w:tblPr>
    <w:tblStylePr w:type="firstRow">
      <w:rPr>
        <w:b/>
        <w:bCs/>
      </w:rPr>
      <w:tblPr/>
      <w:tcPr>
        <w:tcBorders>
          <w:bottom w:val="single" w:sz="12" w:space="0" w:color="47D459" w:themeColor="accent3" w:themeTint="99"/>
        </w:tcBorders>
      </w:tcPr>
    </w:tblStylePr>
    <w:tblStylePr w:type="lastRow">
      <w:rPr>
        <w:b/>
        <w:bCs/>
      </w:rPr>
      <w:tblPr/>
      <w:tcPr>
        <w:tcBorders>
          <w:top w:val="double" w:sz="2" w:space="0" w:color="47D459" w:themeColor="accent3" w:themeTint="99"/>
        </w:tcBorders>
      </w:tcPr>
    </w:tblStylePr>
    <w:tblStylePr w:type="firstCol">
      <w:rPr>
        <w:b/>
        <w:bCs/>
      </w:rPr>
    </w:tblStylePr>
    <w:tblStylePr w:type="lastCol">
      <w:rPr>
        <w:b/>
        <w:bCs/>
      </w:rPr>
    </w:tblStylePr>
  </w:style>
  <w:style w:type="character" w:customStyle="1" w:styleId="UnresolvedMention1">
    <w:name w:val="Unresolved Mention1"/>
    <w:basedOn w:val="DefaultParagraphFont"/>
    <w:uiPriority w:val="99"/>
    <w:semiHidden/>
    <w:unhideWhenUsed/>
    <w:rsid w:val="0024569B"/>
    <w:rPr>
      <w:color w:val="605E5C"/>
      <w:shd w:val="clear" w:color="auto" w:fill="E1DFDD"/>
    </w:rPr>
  </w:style>
  <w:style w:type="table" w:customStyle="1" w:styleId="TableGrid1">
    <w:name w:val="Table Grid1"/>
    <w:basedOn w:val="TableNormal"/>
    <w:next w:val="TableGrid"/>
    <w:uiPriority w:val="39"/>
    <w:rsid w:val="00866F9E"/>
    <w:pPr>
      <w:spacing w:after="0" w:line="240" w:lineRule="auto"/>
    </w:pPr>
    <w:rPr>
      <w:rFonts w:ascii="Aptos" w:eastAsia="DengXian" w:hAnsi="Aptos" w:cs="Vrind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866F9E"/>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4.xml"/><Relationship Id="rId18" Type="http://schemas.openxmlformats.org/officeDocument/2006/relationships/hyperlink" Target="https://ieomsociety.org/proceedings/2022malaysia/644.pdf"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chart" Target="charts/chart7.xml"/><Relationship Id="rId20"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5" Type="http://schemas.openxmlformats.org/officeDocument/2006/relationships/webSettings" Target="webSettings.xml"/><Relationship Id="rId15" Type="http://schemas.openxmlformats.org/officeDocument/2006/relationships/chart" Target="charts/chart6.xml"/><Relationship Id="rId10" Type="http://schemas.openxmlformats.org/officeDocument/2006/relationships/chart" Target="charts/chart1.xml"/><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chart" Target="charts/chart5.xm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r>
              <a:rPr lang="en-US"/>
              <a:t>Operating Income (£m)</a:t>
            </a:r>
          </a:p>
        </c:rich>
      </c:tx>
      <c:overlay val="0"/>
      <c:spPr>
        <a:noFill/>
        <a:ln>
          <a:noFill/>
        </a:ln>
        <a:effectLst/>
      </c:spPr>
      <c:txPr>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endParaRPr lang="en-US"/>
        </a:p>
      </c:txPr>
    </c:title>
    <c:autoTitleDeleted val="0"/>
    <c:plotArea>
      <c:layout/>
      <c:lineChart>
        <c:grouping val="standard"/>
        <c:varyColors val="0"/>
        <c:ser>
          <c:idx val="0"/>
          <c:order val="0"/>
          <c:tx>
            <c:strRef>
              <c:f>Sheet1!$H$1</c:f>
              <c:strCache>
                <c:ptCount val="1"/>
                <c:pt idx="0">
                  <c:v>Operating Income (Loss) (£m)</c:v>
                </c:pt>
              </c:strCache>
            </c:strRef>
          </c:tx>
          <c:spPr>
            <a:ln w="38100"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Sheet1!$A$2:$A$6</c:f>
              <c:numCache>
                <c:formatCode>General</c:formatCode>
                <c:ptCount val="5"/>
                <c:pt idx="0">
                  <c:v>2024</c:v>
                </c:pt>
                <c:pt idx="1">
                  <c:v>2023</c:v>
                </c:pt>
                <c:pt idx="2">
                  <c:v>2022</c:v>
                </c:pt>
                <c:pt idx="3">
                  <c:v>2021</c:v>
                </c:pt>
                <c:pt idx="4">
                  <c:v>2020</c:v>
                </c:pt>
              </c:numCache>
            </c:numRef>
          </c:cat>
          <c:val>
            <c:numRef>
              <c:f>Sheet1!$H$2:$H$6</c:f>
              <c:numCache>
                <c:formatCode>#,##0</c:formatCode>
                <c:ptCount val="5"/>
                <c:pt idx="0">
                  <c:v>-15297</c:v>
                </c:pt>
                <c:pt idx="1">
                  <c:v>-85301</c:v>
                </c:pt>
                <c:pt idx="2">
                  <c:v>14548</c:v>
                </c:pt>
                <c:pt idx="3">
                  <c:v>23253</c:v>
                </c:pt>
                <c:pt idx="4">
                  <c:v>37267</c:v>
                </c:pt>
              </c:numCache>
            </c:numRef>
          </c:val>
          <c:smooth val="0"/>
          <c:extLst>
            <c:ext xmlns:c16="http://schemas.microsoft.com/office/drawing/2014/chart" uri="{C3380CC4-5D6E-409C-BE32-E72D297353CC}">
              <c16:uniqueId val="{00000000-C8D5-4771-A631-160E500BB481}"/>
            </c:ext>
          </c:extLst>
        </c:ser>
        <c:dLbls>
          <c:dLblPos val="ctr"/>
          <c:showLegendKey val="0"/>
          <c:showVal val="1"/>
          <c:showCatName val="0"/>
          <c:showSerName val="0"/>
          <c:showPercent val="0"/>
          <c:showBubbleSize val="0"/>
        </c:dLbls>
        <c:smooth val="0"/>
        <c:axId val="478710992"/>
        <c:axId val="478713736"/>
      </c:lineChart>
      <c:catAx>
        <c:axId val="478710992"/>
        <c:scaling>
          <c:orientation val="maxMin"/>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lumMod val="65000"/>
                    <a:lumOff val="35000"/>
                  </a:schemeClr>
                </a:solidFill>
                <a:latin typeface="+mn-lt"/>
                <a:ea typeface="+mn-ea"/>
                <a:cs typeface="+mn-cs"/>
              </a:defRPr>
            </a:pPr>
            <a:endParaRPr lang="en-US"/>
          </a:p>
        </c:txPr>
        <c:crossAx val="478713736"/>
        <c:crosses val="autoZero"/>
        <c:auto val="1"/>
        <c:lblAlgn val="ctr"/>
        <c:lblOffset val="100"/>
        <c:noMultiLvlLbl val="0"/>
      </c:catAx>
      <c:valAx>
        <c:axId val="478713736"/>
        <c:scaling>
          <c:orientation val="minMax"/>
        </c:scaling>
        <c:delete val="0"/>
        <c:axPos val="r"/>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8710992"/>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endParaRPr lang="en-US"/>
        </a:p>
      </c:txPr>
    </c:title>
    <c:autoTitleDeleted val="0"/>
    <c:plotArea>
      <c:layout/>
      <c:lineChart>
        <c:grouping val="standard"/>
        <c:varyColors val="0"/>
        <c:ser>
          <c:idx val="0"/>
          <c:order val="0"/>
          <c:tx>
            <c:strRef>
              <c:f>Sheet1!$B$1</c:f>
              <c:strCache>
                <c:ptCount val="1"/>
                <c:pt idx="0">
                  <c:v>Current Ratio</c:v>
                </c:pt>
              </c:strCache>
            </c:strRef>
          </c:tx>
          <c:spPr>
            <a:ln w="38100"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Sheet1!$A$2:$A$6</c:f>
              <c:numCache>
                <c:formatCode>General</c:formatCode>
                <c:ptCount val="5"/>
                <c:pt idx="0">
                  <c:v>2024</c:v>
                </c:pt>
                <c:pt idx="1">
                  <c:v>2023</c:v>
                </c:pt>
                <c:pt idx="2">
                  <c:v>2022</c:v>
                </c:pt>
                <c:pt idx="3">
                  <c:v>2021</c:v>
                </c:pt>
                <c:pt idx="4">
                  <c:v>2020</c:v>
                </c:pt>
              </c:numCache>
            </c:numRef>
          </c:cat>
          <c:val>
            <c:numRef>
              <c:f>Sheet1!$B$2:$B$6</c:f>
              <c:numCache>
                <c:formatCode>General</c:formatCode>
                <c:ptCount val="5"/>
                <c:pt idx="0">
                  <c:v>1.53</c:v>
                </c:pt>
                <c:pt idx="1">
                  <c:v>1.6</c:v>
                </c:pt>
                <c:pt idx="2">
                  <c:v>1.56</c:v>
                </c:pt>
                <c:pt idx="3">
                  <c:v>1.56</c:v>
                </c:pt>
                <c:pt idx="4">
                  <c:v>1.82</c:v>
                </c:pt>
              </c:numCache>
            </c:numRef>
          </c:val>
          <c:smooth val="0"/>
          <c:extLst>
            <c:ext xmlns:c16="http://schemas.microsoft.com/office/drawing/2014/chart" uri="{C3380CC4-5D6E-409C-BE32-E72D297353CC}">
              <c16:uniqueId val="{00000000-AADF-4285-9CE4-82C20138CF3F}"/>
            </c:ext>
          </c:extLst>
        </c:ser>
        <c:dLbls>
          <c:dLblPos val="ctr"/>
          <c:showLegendKey val="0"/>
          <c:showVal val="1"/>
          <c:showCatName val="0"/>
          <c:showSerName val="0"/>
          <c:showPercent val="0"/>
          <c:showBubbleSize val="0"/>
        </c:dLbls>
        <c:smooth val="0"/>
        <c:axId val="478709816"/>
        <c:axId val="478715696"/>
      </c:lineChart>
      <c:catAx>
        <c:axId val="478709816"/>
        <c:scaling>
          <c:orientation val="maxMin"/>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lumMod val="65000"/>
                    <a:lumOff val="35000"/>
                  </a:schemeClr>
                </a:solidFill>
                <a:latin typeface="+mn-lt"/>
                <a:ea typeface="+mn-ea"/>
                <a:cs typeface="+mn-cs"/>
              </a:defRPr>
            </a:pPr>
            <a:endParaRPr lang="en-US"/>
          </a:p>
        </c:txPr>
        <c:crossAx val="478715696"/>
        <c:crosses val="autoZero"/>
        <c:auto val="1"/>
        <c:lblAlgn val="ctr"/>
        <c:lblOffset val="100"/>
        <c:noMultiLvlLbl val="0"/>
      </c:catAx>
      <c:valAx>
        <c:axId val="478715696"/>
        <c:scaling>
          <c:orientation val="minMax"/>
          <c:min val="1.5"/>
        </c:scaling>
        <c:delete val="0"/>
        <c:axPos val="r"/>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8709816"/>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endParaRPr lang="en-US"/>
        </a:p>
      </c:txPr>
    </c:title>
    <c:autoTitleDeleted val="0"/>
    <c:plotArea>
      <c:layout/>
      <c:lineChart>
        <c:grouping val="standard"/>
        <c:varyColors val="0"/>
        <c:ser>
          <c:idx val="0"/>
          <c:order val="0"/>
          <c:tx>
            <c:strRef>
              <c:f>Sheet1!$C$1</c:f>
              <c:strCache>
                <c:ptCount val="1"/>
                <c:pt idx="0">
                  <c:v>Quick Ratio</c:v>
                </c:pt>
              </c:strCache>
            </c:strRef>
          </c:tx>
          <c:spPr>
            <a:ln w="38100"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Sheet1!$A$2:$A$6</c:f>
              <c:numCache>
                <c:formatCode>General</c:formatCode>
                <c:ptCount val="5"/>
                <c:pt idx="0">
                  <c:v>2024</c:v>
                </c:pt>
                <c:pt idx="1">
                  <c:v>2023</c:v>
                </c:pt>
                <c:pt idx="2">
                  <c:v>2022</c:v>
                </c:pt>
                <c:pt idx="3">
                  <c:v>2021</c:v>
                </c:pt>
                <c:pt idx="4">
                  <c:v>2020</c:v>
                </c:pt>
              </c:numCache>
            </c:numRef>
          </c:cat>
          <c:val>
            <c:numRef>
              <c:f>Sheet1!$C$2:$C$6</c:f>
              <c:numCache>
                <c:formatCode>General</c:formatCode>
                <c:ptCount val="5"/>
                <c:pt idx="0">
                  <c:v>1.03</c:v>
                </c:pt>
                <c:pt idx="1">
                  <c:v>1.06</c:v>
                </c:pt>
                <c:pt idx="2">
                  <c:v>0.92</c:v>
                </c:pt>
                <c:pt idx="3">
                  <c:v>0.94</c:v>
                </c:pt>
                <c:pt idx="4">
                  <c:v>1.1399999999999999</c:v>
                </c:pt>
              </c:numCache>
            </c:numRef>
          </c:val>
          <c:smooth val="0"/>
          <c:extLst>
            <c:ext xmlns:c16="http://schemas.microsoft.com/office/drawing/2014/chart" uri="{C3380CC4-5D6E-409C-BE32-E72D297353CC}">
              <c16:uniqueId val="{00000000-2509-4976-8EA4-A1D06E1AFB77}"/>
            </c:ext>
          </c:extLst>
        </c:ser>
        <c:dLbls>
          <c:dLblPos val="ctr"/>
          <c:showLegendKey val="0"/>
          <c:showVal val="1"/>
          <c:showCatName val="0"/>
          <c:showSerName val="0"/>
          <c:showPercent val="0"/>
          <c:showBubbleSize val="0"/>
        </c:dLbls>
        <c:smooth val="0"/>
        <c:axId val="478716088"/>
        <c:axId val="478712168"/>
      </c:lineChart>
      <c:catAx>
        <c:axId val="478716088"/>
        <c:scaling>
          <c:orientation val="maxMin"/>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lumMod val="65000"/>
                    <a:lumOff val="35000"/>
                  </a:schemeClr>
                </a:solidFill>
                <a:latin typeface="+mn-lt"/>
                <a:ea typeface="+mn-ea"/>
                <a:cs typeface="+mn-cs"/>
              </a:defRPr>
            </a:pPr>
            <a:endParaRPr lang="en-US"/>
          </a:p>
        </c:txPr>
        <c:crossAx val="478712168"/>
        <c:crosses val="autoZero"/>
        <c:auto val="1"/>
        <c:lblAlgn val="ctr"/>
        <c:lblOffset val="100"/>
        <c:noMultiLvlLbl val="0"/>
      </c:catAx>
      <c:valAx>
        <c:axId val="478712168"/>
        <c:scaling>
          <c:orientation val="minMax"/>
          <c:min val="0.9"/>
        </c:scaling>
        <c:delete val="0"/>
        <c:axPos val="r"/>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8716088"/>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endParaRPr lang="en-US"/>
        </a:p>
      </c:txPr>
    </c:title>
    <c:autoTitleDeleted val="0"/>
    <c:plotArea>
      <c:layout/>
      <c:lineChart>
        <c:grouping val="standard"/>
        <c:varyColors val="0"/>
        <c:ser>
          <c:idx val="0"/>
          <c:order val="0"/>
          <c:tx>
            <c:strRef>
              <c:f>Sheet1!$E$1</c:f>
              <c:strCache>
                <c:ptCount val="1"/>
                <c:pt idx="0">
                  <c:v>Inventory Turnover</c:v>
                </c:pt>
              </c:strCache>
            </c:strRef>
          </c:tx>
          <c:spPr>
            <a:ln w="38100"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Sheet1!$A$2:$A$6</c:f>
              <c:numCache>
                <c:formatCode>General</c:formatCode>
                <c:ptCount val="5"/>
                <c:pt idx="0">
                  <c:v>2024</c:v>
                </c:pt>
                <c:pt idx="1">
                  <c:v>2023</c:v>
                </c:pt>
                <c:pt idx="2">
                  <c:v>2022</c:v>
                </c:pt>
                <c:pt idx="3">
                  <c:v>2021</c:v>
                </c:pt>
                <c:pt idx="4">
                  <c:v>2020</c:v>
                </c:pt>
              </c:numCache>
            </c:numRef>
          </c:cat>
          <c:val>
            <c:numRef>
              <c:f>Sheet1!$E$2:$E$6</c:f>
              <c:numCache>
                <c:formatCode>General</c:formatCode>
                <c:ptCount val="5"/>
                <c:pt idx="0">
                  <c:v>3.54</c:v>
                </c:pt>
                <c:pt idx="1">
                  <c:v>3.65</c:v>
                </c:pt>
                <c:pt idx="2">
                  <c:v>2.78</c:v>
                </c:pt>
                <c:pt idx="3">
                  <c:v>3.18</c:v>
                </c:pt>
                <c:pt idx="4">
                  <c:v>3.64</c:v>
                </c:pt>
              </c:numCache>
            </c:numRef>
          </c:val>
          <c:smooth val="0"/>
          <c:extLst>
            <c:ext xmlns:c16="http://schemas.microsoft.com/office/drawing/2014/chart" uri="{C3380CC4-5D6E-409C-BE32-E72D297353CC}">
              <c16:uniqueId val="{00000000-940A-445D-9949-9901C7B50575}"/>
            </c:ext>
          </c:extLst>
        </c:ser>
        <c:dLbls>
          <c:dLblPos val="ctr"/>
          <c:showLegendKey val="0"/>
          <c:showVal val="1"/>
          <c:showCatName val="0"/>
          <c:showSerName val="0"/>
          <c:showPercent val="0"/>
          <c:showBubbleSize val="0"/>
        </c:dLbls>
        <c:smooth val="0"/>
        <c:axId val="478716480"/>
        <c:axId val="478710600"/>
      </c:lineChart>
      <c:catAx>
        <c:axId val="478716480"/>
        <c:scaling>
          <c:orientation val="maxMin"/>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lumMod val="65000"/>
                    <a:lumOff val="35000"/>
                  </a:schemeClr>
                </a:solidFill>
                <a:latin typeface="+mn-lt"/>
                <a:ea typeface="+mn-ea"/>
                <a:cs typeface="+mn-cs"/>
              </a:defRPr>
            </a:pPr>
            <a:endParaRPr lang="en-US"/>
          </a:p>
        </c:txPr>
        <c:crossAx val="478710600"/>
        <c:crosses val="autoZero"/>
        <c:auto val="1"/>
        <c:lblAlgn val="ctr"/>
        <c:lblOffset val="100"/>
        <c:noMultiLvlLbl val="0"/>
      </c:catAx>
      <c:valAx>
        <c:axId val="478710600"/>
        <c:scaling>
          <c:orientation val="minMax"/>
          <c:min val="2.5"/>
        </c:scaling>
        <c:delete val="0"/>
        <c:axPos val="r"/>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8716480"/>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endParaRPr lang="en-US"/>
        </a:p>
      </c:txPr>
    </c:title>
    <c:autoTitleDeleted val="0"/>
    <c:plotArea>
      <c:layout/>
      <c:lineChart>
        <c:grouping val="standard"/>
        <c:varyColors val="0"/>
        <c:ser>
          <c:idx val="0"/>
          <c:order val="0"/>
          <c:tx>
            <c:strRef>
              <c:f>Sheet1!$D$1</c:f>
              <c:strCache>
                <c:ptCount val="1"/>
                <c:pt idx="0">
                  <c:v>Asset Turnover</c:v>
                </c:pt>
              </c:strCache>
            </c:strRef>
          </c:tx>
          <c:spPr>
            <a:ln w="38100"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Sheet1!$A$2:$A$6</c:f>
              <c:numCache>
                <c:formatCode>General</c:formatCode>
                <c:ptCount val="5"/>
                <c:pt idx="0">
                  <c:v>2024</c:v>
                </c:pt>
                <c:pt idx="1">
                  <c:v>2023</c:v>
                </c:pt>
                <c:pt idx="2">
                  <c:v>2022</c:v>
                </c:pt>
                <c:pt idx="3">
                  <c:v>2021</c:v>
                </c:pt>
                <c:pt idx="4">
                  <c:v>2020</c:v>
                </c:pt>
              </c:numCache>
            </c:numRef>
          </c:cat>
          <c:val>
            <c:numRef>
              <c:f>Sheet1!$D$2:$D$6</c:f>
              <c:numCache>
                <c:formatCode>General</c:formatCode>
                <c:ptCount val="5"/>
                <c:pt idx="0">
                  <c:v>1.22</c:v>
                </c:pt>
                <c:pt idx="1">
                  <c:v>1.18</c:v>
                </c:pt>
                <c:pt idx="2">
                  <c:v>1.08</c:v>
                </c:pt>
                <c:pt idx="3">
                  <c:v>1.18</c:v>
                </c:pt>
                <c:pt idx="4">
                  <c:v>1.2</c:v>
                </c:pt>
              </c:numCache>
            </c:numRef>
          </c:val>
          <c:smooth val="0"/>
          <c:extLst>
            <c:ext xmlns:c16="http://schemas.microsoft.com/office/drawing/2014/chart" uri="{C3380CC4-5D6E-409C-BE32-E72D297353CC}">
              <c16:uniqueId val="{00000000-6EC6-46F3-BCE2-4D708360AE1A}"/>
            </c:ext>
          </c:extLst>
        </c:ser>
        <c:dLbls>
          <c:dLblPos val="ctr"/>
          <c:showLegendKey val="0"/>
          <c:showVal val="1"/>
          <c:showCatName val="0"/>
          <c:showSerName val="0"/>
          <c:showPercent val="0"/>
          <c:showBubbleSize val="0"/>
        </c:dLbls>
        <c:smooth val="0"/>
        <c:axId val="471572416"/>
        <c:axId val="471571240"/>
      </c:lineChart>
      <c:catAx>
        <c:axId val="471572416"/>
        <c:scaling>
          <c:orientation val="maxMin"/>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lumMod val="65000"/>
                    <a:lumOff val="35000"/>
                  </a:schemeClr>
                </a:solidFill>
                <a:latin typeface="+mn-lt"/>
                <a:ea typeface="+mn-ea"/>
                <a:cs typeface="+mn-cs"/>
              </a:defRPr>
            </a:pPr>
            <a:endParaRPr lang="en-US"/>
          </a:p>
        </c:txPr>
        <c:crossAx val="471571240"/>
        <c:crosses val="autoZero"/>
        <c:auto val="1"/>
        <c:lblAlgn val="ctr"/>
        <c:lblOffset val="100"/>
        <c:noMultiLvlLbl val="0"/>
      </c:catAx>
      <c:valAx>
        <c:axId val="471571240"/>
        <c:scaling>
          <c:orientation val="minMax"/>
          <c:min val="1.05"/>
        </c:scaling>
        <c:delete val="0"/>
        <c:axPos val="r"/>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1572416"/>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endParaRPr lang="en-US"/>
        </a:p>
      </c:txPr>
    </c:title>
    <c:autoTitleDeleted val="0"/>
    <c:plotArea>
      <c:layout/>
      <c:lineChart>
        <c:grouping val="standard"/>
        <c:varyColors val="0"/>
        <c:ser>
          <c:idx val="0"/>
          <c:order val="0"/>
          <c:tx>
            <c:strRef>
              <c:f>Sheet1!$F$1</c:f>
              <c:strCache>
                <c:ptCount val="1"/>
                <c:pt idx="0">
                  <c:v>Debt to Equity Ratio</c:v>
                </c:pt>
              </c:strCache>
            </c:strRef>
          </c:tx>
          <c:spPr>
            <a:ln w="38100"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Sheet1!$A$2:$A$6</c:f>
              <c:numCache>
                <c:formatCode>General</c:formatCode>
                <c:ptCount val="5"/>
                <c:pt idx="0">
                  <c:v>2024</c:v>
                </c:pt>
                <c:pt idx="1">
                  <c:v>2023</c:v>
                </c:pt>
                <c:pt idx="2">
                  <c:v>2022</c:v>
                </c:pt>
                <c:pt idx="3">
                  <c:v>2021</c:v>
                </c:pt>
                <c:pt idx="4">
                  <c:v>2020</c:v>
                </c:pt>
              </c:numCache>
            </c:numRef>
          </c:cat>
          <c:val>
            <c:numRef>
              <c:f>Sheet1!$F$2:$F$6</c:f>
              <c:numCache>
                <c:formatCode>General</c:formatCode>
                <c:ptCount val="5"/>
                <c:pt idx="0">
                  <c:v>1.1100000000000001</c:v>
                </c:pt>
                <c:pt idx="1">
                  <c:v>0.99</c:v>
                </c:pt>
                <c:pt idx="2">
                  <c:v>0.88</c:v>
                </c:pt>
                <c:pt idx="3">
                  <c:v>0.85</c:v>
                </c:pt>
                <c:pt idx="4">
                  <c:v>0.63</c:v>
                </c:pt>
              </c:numCache>
            </c:numRef>
          </c:val>
          <c:smooth val="0"/>
          <c:extLst>
            <c:ext xmlns:c16="http://schemas.microsoft.com/office/drawing/2014/chart" uri="{C3380CC4-5D6E-409C-BE32-E72D297353CC}">
              <c16:uniqueId val="{00000000-04C1-409D-97A4-5817BF5F2653}"/>
            </c:ext>
          </c:extLst>
        </c:ser>
        <c:dLbls>
          <c:dLblPos val="ctr"/>
          <c:showLegendKey val="0"/>
          <c:showVal val="1"/>
          <c:showCatName val="0"/>
          <c:showSerName val="0"/>
          <c:showPercent val="0"/>
          <c:showBubbleSize val="0"/>
        </c:dLbls>
        <c:smooth val="0"/>
        <c:axId val="471567320"/>
        <c:axId val="471567712"/>
      </c:lineChart>
      <c:catAx>
        <c:axId val="471567320"/>
        <c:scaling>
          <c:orientation val="maxMin"/>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lumMod val="65000"/>
                    <a:lumOff val="35000"/>
                  </a:schemeClr>
                </a:solidFill>
                <a:latin typeface="+mn-lt"/>
                <a:ea typeface="+mn-ea"/>
                <a:cs typeface="+mn-cs"/>
              </a:defRPr>
            </a:pPr>
            <a:endParaRPr lang="en-US"/>
          </a:p>
        </c:txPr>
        <c:crossAx val="471567712"/>
        <c:crosses val="autoZero"/>
        <c:auto val="1"/>
        <c:lblAlgn val="ctr"/>
        <c:lblOffset val="100"/>
        <c:noMultiLvlLbl val="0"/>
      </c:catAx>
      <c:valAx>
        <c:axId val="471567712"/>
        <c:scaling>
          <c:orientation val="minMax"/>
          <c:min val="0.60000000000000009"/>
        </c:scaling>
        <c:delete val="0"/>
        <c:axPos val="r"/>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1567320"/>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endParaRPr lang="en-US"/>
        </a:p>
      </c:txPr>
    </c:title>
    <c:autoTitleDeleted val="0"/>
    <c:plotArea>
      <c:layout/>
      <c:lineChart>
        <c:grouping val="standard"/>
        <c:varyColors val="0"/>
        <c:ser>
          <c:idx val="0"/>
          <c:order val="0"/>
          <c:tx>
            <c:strRef>
              <c:f>Sheet1!$G$1</c:f>
              <c:strCache>
                <c:ptCount val="1"/>
                <c:pt idx="0">
                  <c:v>Operating Cash Flow to Debt</c:v>
                </c:pt>
              </c:strCache>
            </c:strRef>
          </c:tx>
          <c:spPr>
            <a:ln w="38100"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Sheet1!$A$2:$A$6</c:f>
              <c:numCache>
                <c:formatCode>General</c:formatCode>
                <c:ptCount val="5"/>
                <c:pt idx="0">
                  <c:v>2024</c:v>
                </c:pt>
                <c:pt idx="1">
                  <c:v>2023</c:v>
                </c:pt>
                <c:pt idx="2">
                  <c:v>2022</c:v>
                </c:pt>
                <c:pt idx="3">
                  <c:v>2021</c:v>
                </c:pt>
                <c:pt idx="4">
                  <c:v>2020</c:v>
                </c:pt>
              </c:numCache>
            </c:numRef>
          </c:cat>
          <c:val>
            <c:numRef>
              <c:f>Sheet1!$G$2:$G$6</c:f>
              <c:numCache>
                <c:formatCode>General</c:formatCode>
                <c:ptCount val="5"/>
                <c:pt idx="0">
                  <c:v>8.6999999999999994E-2</c:v>
                </c:pt>
                <c:pt idx="1">
                  <c:v>0.14199999999999999</c:v>
                </c:pt>
                <c:pt idx="2">
                  <c:v>4.5999999999999999E-2</c:v>
                </c:pt>
                <c:pt idx="3">
                  <c:v>0.17199999999999999</c:v>
                </c:pt>
                <c:pt idx="4">
                  <c:v>0.373</c:v>
                </c:pt>
              </c:numCache>
            </c:numRef>
          </c:val>
          <c:smooth val="0"/>
          <c:extLst>
            <c:ext xmlns:c16="http://schemas.microsoft.com/office/drawing/2014/chart" uri="{C3380CC4-5D6E-409C-BE32-E72D297353CC}">
              <c16:uniqueId val="{00000000-6812-436E-93C8-7E643BA4FC99}"/>
            </c:ext>
          </c:extLst>
        </c:ser>
        <c:dLbls>
          <c:dLblPos val="ctr"/>
          <c:showLegendKey val="0"/>
          <c:showVal val="1"/>
          <c:showCatName val="0"/>
          <c:showSerName val="0"/>
          <c:showPercent val="0"/>
          <c:showBubbleSize val="0"/>
        </c:dLbls>
        <c:smooth val="0"/>
        <c:axId val="471570456"/>
        <c:axId val="355989720"/>
      </c:lineChart>
      <c:catAx>
        <c:axId val="471570456"/>
        <c:scaling>
          <c:orientation val="maxMin"/>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lumMod val="65000"/>
                    <a:lumOff val="35000"/>
                  </a:schemeClr>
                </a:solidFill>
                <a:latin typeface="+mn-lt"/>
                <a:ea typeface="+mn-ea"/>
                <a:cs typeface="+mn-cs"/>
              </a:defRPr>
            </a:pPr>
            <a:endParaRPr lang="en-US"/>
          </a:p>
        </c:txPr>
        <c:crossAx val="355989720"/>
        <c:crosses val="autoZero"/>
        <c:auto val="1"/>
        <c:lblAlgn val="ctr"/>
        <c:lblOffset val="100"/>
        <c:noMultiLvlLbl val="0"/>
      </c:catAx>
      <c:valAx>
        <c:axId val="355989720"/>
        <c:scaling>
          <c:orientation val="minMax"/>
        </c:scaling>
        <c:delete val="0"/>
        <c:axPos val="r"/>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1570456"/>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5">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35">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35">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35">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35">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35">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35">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CAA119-AEC0-483A-93BB-E748FA94B6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33</Pages>
  <Words>7080</Words>
  <Characters>40357</Characters>
  <Application>Microsoft Office Word</Application>
  <DocSecurity>0</DocSecurity>
  <Lines>336</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Gulam Kibria (2431573)</cp:lastModifiedBy>
  <cp:revision>2</cp:revision>
  <dcterms:created xsi:type="dcterms:W3CDTF">2025-12-20T20:04:00Z</dcterms:created>
  <dcterms:modified xsi:type="dcterms:W3CDTF">2025-12-22T00:50:00Z</dcterms:modified>
</cp:coreProperties>
</file>