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93C8D5" wp14:paraId="5E5787A5" wp14:textId="1285B28D">
      <w:pPr>
        <w:rPr>
          <w:rFonts w:ascii="Arial Nova" w:hAnsi="Arial Nova" w:eastAsia="Arial Nova" w:cs="Arial Nova" w:asciiTheme="minorAscii" w:hAnsiTheme="minorAscii" w:eastAsiaTheme="minorAscii" w:cstheme="minorAscii"/>
          <w:b w:val="0"/>
          <w:bCs w:val="0"/>
        </w:rPr>
      </w:pPr>
      <w:r w:rsidR="7FD74E4E">
        <w:rPr/>
        <w:t xml:space="preserve">                                      </w:t>
      </w:r>
      <w:r w:rsidR="1494B643">
        <w:rPr/>
        <w:t xml:space="preserve">  </w:t>
      </w:r>
      <w:r w:rsidR="1999D888">
        <w:rPr/>
        <w:t xml:space="preserve">    </w:t>
      </w:r>
      <w:r w:rsidR="1494B643">
        <w:rPr/>
        <w:t xml:space="preserve">   </w:t>
      </w:r>
      <w:r w:rsidR="7FD74E4E">
        <w:rPr/>
        <w:t xml:space="preserve">   </w:t>
      </w:r>
      <w:r w:rsidRPr="5F93C8D5" w:rsidR="7FD74E4E">
        <w:rPr>
          <w:rFonts w:ascii="Arial Nova" w:hAnsi="Arial Nova" w:eastAsia="Arial Nova" w:cs="Arial Nova" w:asciiTheme="minorAscii" w:hAnsiTheme="minorAscii" w:eastAsiaTheme="minorAscii" w:cstheme="minorAscii"/>
          <w:b w:val="0"/>
          <w:bCs w:val="0"/>
        </w:rPr>
        <w:t xml:space="preserve">Shaliea Younis </w:t>
      </w:r>
    </w:p>
    <w:p w:rsidR="7FD74E4E" w:rsidP="5F93C8D5" w:rsidRDefault="7FD74E4E" w14:paraId="71960983" w14:textId="3FF97C9B">
      <w:pPr>
        <w:rPr>
          <w:rFonts w:ascii="Arial Nova" w:hAnsi="Arial Nova" w:eastAsia="Arial Nova" w:cs="Arial Nova" w:asciiTheme="minorAscii" w:hAnsiTheme="minorAscii" w:eastAsiaTheme="minorAscii" w:cstheme="minorAscii"/>
          <w:b w:val="0"/>
          <w:bCs w:val="0"/>
        </w:rPr>
      </w:pPr>
      <w:r w:rsidRPr="5F93C8D5" w:rsidR="7FD74E4E">
        <w:rPr>
          <w:rFonts w:ascii="Arial Nova" w:hAnsi="Arial Nova" w:eastAsia="Arial Nova" w:cs="Arial Nova" w:asciiTheme="minorAscii" w:hAnsiTheme="minorAscii" w:eastAsiaTheme="minorAscii" w:cstheme="minorAscii"/>
          <w:b w:val="0"/>
          <w:bCs w:val="0"/>
        </w:rPr>
        <w:t xml:space="preserve">                                        </w:t>
      </w:r>
      <w:r w:rsidRPr="5F93C8D5" w:rsidR="275A1977">
        <w:rPr>
          <w:rFonts w:ascii="Arial Nova" w:hAnsi="Arial Nova" w:eastAsia="Arial Nova" w:cs="Arial Nova" w:asciiTheme="minorAscii" w:hAnsiTheme="minorAscii" w:eastAsiaTheme="minorAscii" w:cstheme="minorAscii"/>
          <w:b w:val="0"/>
          <w:bCs w:val="0"/>
        </w:rPr>
        <w:t xml:space="preserve">     </w:t>
      </w:r>
      <w:r w:rsidRPr="5F93C8D5" w:rsidR="7FD74E4E">
        <w:rPr>
          <w:rFonts w:ascii="Arial Nova" w:hAnsi="Arial Nova" w:eastAsia="Arial Nova" w:cs="Arial Nova" w:asciiTheme="minorAscii" w:hAnsiTheme="minorAscii" w:eastAsiaTheme="minorAscii" w:cstheme="minorAscii"/>
          <w:b w:val="0"/>
          <w:bCs w:val="0"/>
        </w:rPr>
        <w:t xml:space="preserve"> </w:t>
      </w:r>
      <w:r w:rsidRPr="5F93C8D5" w:rsidR="72B72426">
        <w:rPr>
          <w:rFonts w:ascii="Arial Nova" w:hAnsi="Arial Nova" w:eastAsia="Arial Nova" w:cs="Arial Nova" w:asciiTheme="minorAscii" w:hAnsiTheme="minorAscii" w:eastAsiaTheme="minorAscii" w:cstheme="minorAscii"/>
          <w:b w:val="0"/>
          <w:bCs w:val="0"/>
        </w:rPr>
        <w:t xml:space="preserve">    </w:t>
      </w:r>
      <w:r w:rsidRPr="5F93C8D5" w:rsidR="7FD74E4E">
        <w:rPr>
          <w:rFonts w:ascii="Arial Nova" w:hAnsi="Arial Nova" w:eastAsia="Arial Nova" w:cs="Arial Nova" w:asciiTheme="minorAscii" w:hAnsiTheme="minorAscii" w:eastAsiaTheme="minorAscii" w:cstheme="minorAscii"/>
          <w:b w:val="0"/>
          <w:bCs w:val="0"/>
        </w:rPr>
        <w:t xml:space="preserve">   2222115 </w:t>
      </w:r>
    </w:p>
    <w:p w:rsidR="74EC4087" w:rsidP="5F93C8D5" w:rsidRDefault="74EC4087" w14:paraId="5858D14D" w14:textId="0AE53FA8">
      <w:pPr>
        <w:rPr>
          <w:rFonts w:ascii="Arial Nova" w:hAnsi="Arial Nova" w:eastAsia="Arial Nova" w:cs="Arial Nova" w:asciiTheme="minorAscii" w:hAnsiTheme="minorAscii" w:eastAsiaTheme="minorAscii" w:cstheme="minorAscii"/>
          <w:b w:val="0"/>
          <w:bCs w:val="0"/>
        </w:rPr>
      </w:pPr>
      <w:r w:rsidRPr="5F93C8D5" w:rsidR="74EC4087">
        <w:rPr>
          <w:rFonts w:ascii="Arial Nova" w:hAnsi="Arial Nova" w:eastAsia="Arial Nova" w:cs="Arial Nova" w:asciiTheme="minorAscii" w:hAnsiTheme="minorAscii" w:eastAsiaTheme="minorAscii" w:cstheme="minorAscii"/>
          <w:b w:val="0"/>
          <w:bCs w:val="0"/>
        </w:rPr>
        <w:t xml:space="preserve">                              </w:t>
      </w:r>
      <w:r w:rsidRPr="5F93C8D5" w:rsidR="20D60991">
        <w:rPr>
          <w:rFonts w:ascii="Arial Nova" w:hAnsi="Arial Nova" w:eastAsia="Arial Nova" w:cs="Arial Nova" w:asciiTheme="minorAscii" w:hAnsiTheme="minorAscii" w:eastAsiaTheme="minorAscii" w:cstheme="minorAscii"/>
          <w:b w:val="0"/>
          <w:bCs w:val="0"/>
        </w:rPr>
        <w:t xml:space="preserve">    </w:t>
      </w:r>
      <w:r w:rsidRPr="5F93C8D5" w:rsidR="74EC4087">
        <w:rPr>
          <w:rFonts w:ascii="Arial Nova" w:hAnsi="Arial Nova" w:eastAsia="Arial Nova" w:cs="Arial Nova" w:asciiTheme="minorAscii" w:hAnsiTheme="minorAscii" w:eastAsiaTheme="minorAscii" w:cstheme="minorAscii"/>
          <w:b w:val="0"/>
          <w:bCs w:val="0"/>
        </w:rPr>
        <w:t xml:space="preserve">      BSc Health and Social Care</w:t>
      </w:r>
    </w:p>
    <w:p w:rsidR="6F8E8097" w:rsidP="5F93C8D5" w:rsidRDefault="6F8E8097" w14:paraId="15053AE8" w14:textId="37CF5FE8">
      <w:pPr>
        <w:rPr>
          <w:rFonts w:ascii="Arial Nova" w:hAnsi="Arial Nova" w:eastAsia="Arial Nova" w:cs="Arial Nova" w:asciiTheme="minorAscii" w:hAnsiTheme="minorAscii" w:eastAsiaTheme="minorAscii" w:cstheme="minorAscii"/>
          <w:b w:val="0"/>
          <w:bCs w:val="0"/>
        </w:rPr>
      </w:pPr>
      <w:r w:rsidRPr="5F93C8D5" w:rsidR="6F8E8097">
        <w:rPr>
          <w:rFonts w:ascii="Arial Nova" w:hAnsi="Arial Nova" w:eastAsia="Arial Nova" w:cs="Arial Nova" w:asciiTheme="minorAscii" w:hAnsiTheme="minorAscii" w:eastAsiaTheme="minorAscii" w:cstheme="minorAscii"/>
          <w:b w:val="0"/>
          <w:bCs w:val="0"/>
        </w:rPr>
        <w:t xml:space="preserve">             </w:t>
      </w:r>
      <w:r w:rsidRPr="5F93C8D5" w:rsidR="51E9145D">
        <w:rPr>
          <w:rFonts w:ascii="Arial Nova" w:hAnsi="Arial Nova" w:eastAsia="Arial Nova" w:cs="Arial Nova" w:asciiTheme="minorAscii" w:hAnsiTheme="minorAscii" w:eastAsiaTheme="minorAscii" w:cstheme="minorAscii"/>
          <w:b w:val="0"/>
          <w:bCs w:val="0"/>
        </w:rPr>
        <w:t xml:space="preserve">       </w:t>
      </w:r>
      <w:r w:rsidRPr="5F93C8D5" w:rsidR="6F8E8097">
        <w:rPr>
          <w:rFonts w:ascii="Arial Nova" w:hAnsi="Arial Nova" w:eastAsia="Arial Nova" w:cs="Arial Nova" w:asciiTheme="minorAscii" w:hAnsiTheme="minorAscii" w:eastAsiaTheme="minorAscii" w:cstheme="minorAscii"/>
          <w:b w:val="0"/>
          <w:bCs w:val="0"/>
        </w:rPr>
        <w:t xml:space="preserve"> </w:t>
      </w:r>
      <w:r w:rsidRPr="5F93C8D5" w:rsidR="39074C1E">
        <w:rPr>
          <w:rFonts w:ascii="Arial Nova" w:hAnsi="Arial Nova" w:eastAsia="Arial Nova" w:cs="Arial Nova" w:asciiTheme="minorAscii" w:hAnsiTheme="minorAscii" w:eastAsiaTheme="minorAscii" w:cstheme="minorAscii"/>
          <w:b w:val="0"/>
          <w:bCs w:val="0"/>
        </w:rPr>
        <w:t xml:space="preserve">     </w:t>
      </w:r>
      <w:r w:rsidRPr="5F93C8D5" w:rsidR="6F8E8097">
        <w:rPr>
          <w:rFonts w:ascii="Arial Nova" w:hAnsi="Arial Nova" w:eastAsia="Arial Nova" w:cs="Arial Nova" w:asciiTheme="minorAscii" w:hAnsiTheme="minorAscii" w:eastAsiaTheme="minorAscii" w:cstheme="minorAscii"/>
          <w:b w:val="0"/>
          <w:bCs w:val="0"/>
        </w:rPr>
        <w:t xml:space="preserve">   Principles of Health and Social Care Practice </w:t>
      </w:r>
    </w:p>
    <w:p w:rsidR="6F8E8097" w:rsidP="5F93C8D5" w:rsidRDefault="6F8E8097" w14:paraId="53CB998C" w14:textId="5E15D273">
      <w:pPr>
        <w:rPr>
          <w:rFonts w:ascii="Arial Nova" w:hAnsi="Arial Nova" w:eastAsia="Arial Nova" w:cs="Arial Nova" w:asciiTheme="minorAscii" w:hAnsiTheme="minorAscii" w:eastAsiaTheme="minorAscii" w:cstheme="minorAscii"/>
          <w:b w:val="0"/>
          <w:bCs w:val="0"/>
        </w:rPr>
      </w:pPr>
      <w:r w:rsidRPr="5F93C8D5" w:rsidR="6F8E8097">
        <w:rPr>
          <w:rFonts w:ascii="Arial Nova" w:hAnsi="Arial Nova" w:eastAsia="Arial Nova" w:cs="Arial Nova" w:asciiTheme="minorAscii" w:hAnsiTheme="minorAscii" w:eastAsiaTheme="minorAscii" w:cstheme="minorAscii"/>
          <w:b w:val="0"/>
          <w:bCs w:val="0"/>
        </w:rPr>
        <w:t xml:space="preserve">                                           </w:t>
      </w:r>
      <w:r w:rsidRPr="5F93C8D5" w:rsidR="49E57BFC">
        <w:rPr>
          <w:rFonts w:ascii="Arial Nova" w:hAnsi="Arial Nova" w:eastAsia="Arial Nova" w:cs="Arial Nova" w:asciiTheme="minorAscii" w:hAnsiTheme="minorAscii" w:eastAsiaTheme="minorAscii" w:cstheme="minorAscii"/>
          <w:b w:val="0"/>
          <w:bCs w:val="0"/>
        </w:rPr>
        <w:t xml:space="preserve">     </w:t>
      </w:r>
      <w:r w:rsidRPr="5F93C8D5" w:rsidR="6F8E8097">
        <w:rPr>
          <w:rFonts w:ascii="Arial Nova" w:hAnsi="Arial Nova" w:eastAsia="Arial Nova" w:cs="Arial Nova" w:asciiTheme="minorAscii" w:hAnsiTheme="minorAscii" w:eastAsiaTheme="minorAscii" w:cstheme="minorAscii"/>
          <w:b w:val="0"/>
          <w:bCs w:val="0"/>
        </w:rPr>
        <w:t xml:space="preserve">    BMHP5016</w:t>
      </w:r>
      <w:r w:rsidRPr="5F93C8D5" w:rsidR="6ECA1EA5">
        <w:rPr>
          <w:rFonts w:ascii="Arial Nova" w:hAnsi="Arial Nova" w:eastAsia="Arial Nova" w:cs="Arial Nova" w:asciiTheme="minorAscii" w:hAnsiTheme="minorAscii" w:eastAsiaTheme="minorAscii" w:cstheme="minorAscii"/>
          <w:b w:val="0"/>
          <w:bCs w:val="0"/>
        </w:rPr>
        <w:t xml:space="preserve"> </w:t>
      </w:r>
    </w:p>
    <w:p w:rsidR="6ECA1EA5" w:rsidP="5F93C8D5" w:rsidRDefault="6ECA1EA5" w14:paraId="7A68DA20" w14:textId="6299DD83">
      <w:pPr>
        <w:rPr>
          <w:rFonts w:ascii="Arial Nova" w:hAnsi="Arial Nova" w:eastAsia="Arial Nova" w:cs="Arial Nova" w:asciiTheme="minorAscii" w:hAnsiTheme="minorAscii" w:eastAsiaTheme="minorAscii" w:cstheme="minorAscii"/>
          <w:b w:val="0"/>
          <w:bCs w:val="0"/>
        </w:rPr>
      </w:pPr>
      <w:r w:rsidRPr="5F93C8D5" w:rsidR="6ECA1EA5">
        <w:rPr>
          <w:rFonts w:ascii="Arial Nova" w:hAnsi="Arial Nova" w:eastAsia="Arial Nova" w:cs="Arial Nova" w:asciiTheme="minorAscii" w:hAnsiTheme="minorAscii" w:eastAsiaTheme="minorAscii" w:cstheme="minorAscii"/>
          <w:b w:val="0"/>
          <w:bCs w:val="0"/>
        </w:rPr>
        <w:t xml:space="preserve">                                       </w:t>
      </w:r>
      <w:r w:rsidRPr="5F93C8D5" w:rsidR="5657A07B">
        <w:rPr>
          <w:rFonts w:ascii="Arial Nova" w:hAnsi="Arial Nova" w:eastAsia="Arial Nova" w:cs="Arial Nova" w:asciiTheme="minorAscii" w:hAnsiTheme="minorAscii" w:eastAsiaTheme="minorAscii" w:cstheme="minorAscii"/>
          <w:b w:val="0"/>
          <w:bCs w:val="0"/>
        </w:rPr>
        <w:t xml:space="preserve">     </w:t>
      </w:r>
      <w:r w:rsidRPr="5F93C8D5" w:rsidR="6ECA1EA5">
        <w:rPr>
          <w:rFonts w:ascii="Arial Nova" w:hAnsi="Arial Nova" w:eastAsia="Arial Nova" w:cs="Arial Nova" w:asciiTheme="minorAscii" w:hAnsiTheme="minorAscii" w:eastAsiaTheme="minorAscii" w:cstheme="minorAscii"/>
          <w:b w:val="0"/>
          <w:bCs w:val="0"/>
        </w:rPr>
        <w:t xml:space="preserve">  </w:t>
      </w:r>
      <w:r w:rsidRPr="5F93C8D5" w:rsidR="6ECA1EA5">
        <w:rPr>
          <w:rFonts w:ascii="Arial Nova" w:hAnsi="Arial Nova" w:eastAsia="Arial Nova" w:cs="Arial Nova" w:asciiTheme="minorAscii" w:hAnsiTheme="minorAscii" w:eastAsiaTheme="minorAscii" w:cstheme="minorAscii"/>
          <w:b w:val="0"/>
          <w:bCs w:val="0"/>
        </w:rPr>
        <w:t>Component</w:t>
      </w:r>
      <w:r w:rsidRPr="5F93C8D5" w:rsidR="6ECA1EA5">
        <w:rPr>
          <w:rFonts w:ascii="Arial Nova" w:hAnsi="Arial Nova" w:eastAsia="Arial Nova" w:cs="Arial Nova" w:asciiTheme="minorAscii" w:hAnsiTheme="minorAscii" w:eastAsiaTheme="minorAscii" w:cstheme="minorAscii"/>
          <w:b w:val="0"/>
          <w:bCs w:val="0"/>
        </w:rPr>
        <w:t xml:space="preserve"> 2 Report   </w:t>
      </w:r>
    </w:p>
    <w:p w:rsidR="5F93C8D5" w:rsidP="5F93C8D5" w:rsidRDefault="5F93C8D5" w14:paraId="07CE369C" w14:textId="5BCC36BF">
      <w:pPr>
        <w:rPr>
          <w:rFonts w:ascii="Arial Nova" w:hAnsi="Arial Nova" w:eastAsia="Arial Nova" w:cs="Arial Nova" w:asciiTheme="minorAscii" w:hAnsiTheme="minorAscii" w:eastAsiaTheme="minorAscii" w:cstheme="minorAscii"/>
          <w:b w:val="0"/>
          <w:bCs w:val="0"/>
        </w:rPr>
      </w:pPr>
    </w:p>
    <w:p w:rsidR="5F93C8D5" w:rsidP="5F93C8D5" w:rsidRDefault="5F93C8D5" w14:paraId="14AA56BC" w14:textId="72645151">
      <w:pPr>
        <w:rPr>
          <w:rFonts w:ascii="Arial Nova" w:hAnsi="Arial Nova" w:eastAsia="Arial Nova" w:cs="Arial Nova" w:asciiTheme="minorAscii" w:hAnsiTheme="minorAscii" w:eastAsiaTheme="minorAscii" w:cstheme="minorAscii"/>
          <w:b w:val="0"/>
          <w:bCs w:val="0"/>
        </w:rPr>
      </w:pPr>
    </w:p>
    <w:p w:rsidR="5F93C8D5" w:rsidP="5F93C8D5" w:rsidRDefault="5F93C8D5" w14:paraId="7F0479BD" w14:textId="4137FAF6">
      <w:pPr>
        <w:rPr>
          <w:rFonts w:ascii="Arial Nova" w:hAnsi="Arial Nova" w:eastAsia="Arial Nova" w:cs="Arial Nova" w:asciiTheme="minorAscii" w:hAnsiTheme="minorAscii" w:eastAsiaTheme="minorAscii" w:cstheme="minorAscii"/>
          <w:b w:val="0"/>
          <w:bCs w:val="0"/>
        </w:rPr>
      </w:pPr>
    </w:p>
    <w:p w:rsidR="5F93C8D5" w:rsidP="5F93C8D5" w:rsidRDefault="5F93C8D5" w14:paraId="12A00D4D" w14:textId="6E7E0DC0">
      <w:pPr>
        <w:rPr>
          <w:rFonts w:ascii="Arial Nova" w:hAnsi="Arial Nova" w:eastAsia="Arial Nova" w:cs="Arial Nova" w:asciiTheme="minorAscii" w:hAnsiTheme="minorAscii" w:eastAsiaTheme="minorAscii" w:cstheme="minorAscii"/>
          <w:b w:val="0"/>
          <w:bCs w:val="0"/>
        </w:rPr>
      </w:pPr>
    </w:p>
    <w:p w:rsidR="5F93C8D5" w:rsidP="5F93C8D5" w:rsidRDefault="5F93C8D5" w14:paraId="2CD264C5" w14:textId="5F6A2129">
      <w:pPr>
        <w:rPr>
          <w:rFonts w:ascii="Arial Nova" w:hAnsi="Arial Nova" w:eastAsia="Arial Nova" w:cs="Arial Nova" w:asciiTheme="minorAscii" w:hAnsiTheme="minorAscii" w:eastAsiaTheme="minorAscii" w:cstheme="minorAscii"/>
          <w:b w:val="0"/>
          <w:bCs w:val="0"/>
        </w:rPr>
      </w:pPr>
    </w:p>
    <w:p w:rsidR="5F93C8D5" w:rsidP="5F93C8D5" w:rsidRDefault="5F93C8D5" w14:paraId="5669ED68" w14:textId="3CE392C0">
      <w:pPr>
        <w:rPr>
          <w:rFonts w:ascii="Arial Nova" w:hAnsi="Arial Nova" w:eastAsia="Arial Nova" w:cs="Arial Nova" w:asciiTheme="minorAscii" w:hAnsiTheme="minorAscii" w:eastAsiaTheme="minorAscii" w:cstheme="minorAscii"/>
          <w:b w:val="0"/>
          <w:bCs w:val="0"/>
        </w:rPr>
      </w:pPr>
    </w:p>
    <w:p w:rsidR="5F93C8D5" w:rsidP="5F93C8D5" w:rsidRDefault="5F93C8D5" w14:paraId="52E229C7" w14:textId="74681EDD">
      <w:pPr>
        <w:rPr>
          <w:rFonts w:ascii="Arial Nova" w:hAnsi="Arial Nova" w:eastAsia="Arial Nova" w:cs="Arial Nova" w:asciiTheme="minorAscii" w:hAnsiTheme="minorAscii" w:eastAsiaTheme="minorAscii" w:cstheme="minorAscii"/>
          <w:b w:val="0"/>
          <w:bCs w:val="0"/>
        </w:rPr>
      </w:pPr>
    </w:p>
    <w:p w:rsidR="5F93C8D5" w:rsidP="5F93C8D5" w:rsidRDefault="5F93C8D5" w14:paraId="18D80C4C" w14:textId="3B533E8D">
      <w:pPr>
        <w:rPr>
          <w:rFonts w:ascii="Arial Nova" w:hAnsi="Arial Nova" w:eastAsia="Arial Nova" w:cs="Arial Nova" w:asciiTheme="minorAscii" w:hAnsiTheme="minorAscii" w:eastAsiaTheme="minorAscii" w:cstheme="minorAscii"/>
          <w:b w:val="0"/>
          <w:bCs w:val="0"/>
        </w:rPr>
      </w:pPr>
    </w:p>
    <w:p w:rsidR="5F93C8D5" w:rsidP="5F93C8D5" w:rsidRDefault="5F93C8D5" w14:paraId="7F2760CB" w14:textId="7C1D9AC4">
      <w:pPr>
        <w:rPr>
          <w:rFonts w:ascii="Arial Nova" w:hAnsi="Arial Nova" w:eastAsia="Arial Nova" w:cs="Arial Nova" w:asciiTheme="minorAscii" w:hAnsiTheme="minorAscii" w:eastAsiaTheme="minorAscii" w:cstheme="minorAscii"/>
          <w:b w:val="0"/>
          <w:bCs w:val="0"/>
        </w:rPr>
      </w:pPr>
    </w:p>
    <w:p w:rsidR="5F93C8D5" w:rsidP="5F93C8D5" w:rsidRDefault="5F93C8D5" w14:paraId="247E6503" w14:textId="35D3B632">
      <w:pPr>
        <w:rPr>
          <w:rFonts w:ascii="Arial Nova" w:hAnsi="Arial Nova" w:eastAsia="Arial Nova" w:cs="Arial Nova" w:asciiTheme="minorAscii" w:hAnsiTheme="minorAscii" w:eastAsiaTheme="minorAscii" w:cstheme="minorAscii"/>
          <w:b w:val="0"/>
          <w:bCs w:val="0"/>
        </w:rPr>
      </w:pPr>
    </w:p>
    <w:p w:rsidR="5F93C8D5" w:rsidP="5F93C8D5" w:rsidRDefault="5F93C8D5" w14:paraId="197B09A3" w14:textId="74BBD623">
      <w:pPr>
        <w:rPr>
          <w:rFonts w:ascii="Arial Nova" w:hAnsi="Arial Nova" w:eastAsia="Arial Nova" w:cs="Arial Nova" w:asciiTheme="minorAscii" w:hAnsiTheme="minorAscii" w:eastAsiaTheme="minorAscii" w:cstheme="minorAscii"/>
          <w:b w:val="0"/>
          <w:bCs w:val="0"/>
        </w:rPr>
      </w:pPr>
    </w:p>
    <w:p w:rsidR="5F93C8D5" w:rsidP="5F93C8D5" w:rsidRDefault="5F93C8D5" w14:paraId="59427C4D" w14:textId="73D2736E">
      <w:pPr>
        <w:rPr>
          <w:rFonts w:ascii="Arial Nova" w:hAnsi="Arial Nova" w:eastAsia="Arial Nova" w:cs="Arial Nova" w:asciiTheme="minorAscii" w:hAnsiTheme="minorAscii" w:eastAsiaTheme="minorAscii" w:cstheme="minorAscii"/>
          <w:b w:val="0"/>
          <w:bCs w:val="0"/>
        </w:rPr>
      </w:pPr>
    </w:p>
    <w:p w:rsidR="5F93C8D5" w:rsidP="5F93C8D5" w:rsidRDefault="5F93C8D5" w14:paraId="78F25DFF" w14:textId="6AA471A7">
      <w:pPr>
        <w:rPr>
          <w:rFonts w:ascii="Arial Nova" w:hAnsi="Arial Nova" w:eastAsia="Arial Nova" w:cs="Arial Nova" w:asciiTheme="minorAscii" w:hAnsiTheme="minorAscii" w:eastAsiaTheme="minorAscii" w:cstheme="minorAscii"/>
          <w:b w:val="0"/>
          <w:bCs w:val="0"/>
        </w:rPr>
      </w:pPr>
    </w:p>
    <w:p w:rsidR="5F93C8D5" w:rsidP="5F93C8D5" w:rsidRDefault="5F93C8D5" w14:paraId="433C0AF6" w14:textId="15E6A40A">
      <w:pPr>
        <w:rPr>
          <w:rFonts w:ascii="Arial Nova" w:hAnsi="Arial Nova" w:eastAsia="Arial Nova" w:cs="Arial Nova" w:asciiTheme="minorAscii" w:hAnsiTheme="minorAscii" w:eastAsiaTheme="minorAscii" w:cstheme="minorAscii"/>
          <w:b w:val="0"/>
          <w:bCs w:val="0"/>
        </w:rPr>
      </w:pPr>
    </w:p>
    <w:p w:rsidR="5F93C8D5" w:rsidP="5F93C8D5" w:rsidRDefault="5F93C8D5" w14:paraId="0565EAD8" w14:textId="53FE3695">
      <w:pPr>
        <w:rPr>
          <w:rFonts w:ascii="Arial Nova" w:hAnsi="Arial Nova" w:eastAsia="Arial Nova" w:cs="Arial Nova" w:asciiTheme="minorAscii" w:hAnsiTheme="minorAscii" w:eastAsiaTheme="minorAscii" w:cstheme="minorAscii"/>
          <w:b w:val="0"/>
          <w:bCs w:val="0"/>
        </w:rPr>
      </w:pPr>
    </w:p>
    <w:p w:rsidR="5F93C8D5" w:rsidP="5F93C8D5" w:rsidRDefault="5F93C8D5" w14:paraId="7E261A1F" w14:textId="31E10A83">
      <w:pPr>
        <w:rPr>
          <w:rFonts w:ascii="Arial Nova" w:hAnsi="Arial Nova" w:eastAsia="Arial Nova" w:cs="Arial Nova" w:asciiTheme="minorAscii" w:hAnsiTheme="minorAscii" w:eastAsiaTheme="minorAscii" w:cstheme="minorAscii"/>
          <w:b w:val="0"/>
          <w:bCs w:val="0"/>
        </w:rPr>
      </w:pPr>
    </w:p>
    <w:p w:rsidR="5F93C8D5" w:rsidP="5F93C8D5" w:rsidRDefault="5F93C8D5" w14:paraId="252F7AF7" w14:textId="700287B6">
      <w:pPr>
        <w:rPr>
          <w:rFonts w:ascii="Arial Nova" w:hAnsi="Arial Nova" w:eastAsia="Arial Nova" w:cs="Arial Nova" w:asciiTheme="minorAscii" w:hAnsiTheme="minorAscii" w:eastAsiaTheme="minorAscii" w:cstheme="minorAscii"/>
          <w:b w:val="0"/>
          <w:bCs w:val="0"/>
        </w:rPr>
      </w:pPr>
    </w:p>
    <w:p w:rsidR="5F93C8D5" w:rsidP="5F93C8D5" w:rsidRDefault="5F93C8D5" w14:paraId="56FE2354" w14:textId="1E3F186B">
      <w:pPr>
        <w:rPr>
          <w:rFonts w:ascii="Arial Nova" w:hAnsi="Arial Nova" w:eastAsia="Arial Nova" w:cs="Arial Nova" w:asciiTheme="minorAscii" w:hAnsiTheme="minorAscii" w:eastAsiaTheme="minorAscii" w:cstheme="minorAscii"/>
          <w:b w:val="0"/>
          <w:bCs w:val="0"/>
        </w:rPr>
      </w:pPr>
    </w:p>
    <w:p w:rsidR="5F93C8D5" w:rsidP="5F93C8D5" w:rsidRDefault="5F93C8D5" w14:paraId="38F795B8" w14:textId="5882A7DA">
      <w:pPr>
        <w:rPr>
          <w:rFonts w:ascii="Arial Nova" w:hAnsi="Arial Nova" w:eastAsia="Arial Nova" w:cs="Arial Nova" w:asciiTheme="minorAscii" w:hAnsiTheme="minorAscii" w:eastAsiaTheme="minorAscii" w:cstheme="minorAscii"/>
          <w:b w:val="0"/>
          <w:bCs w:val="0"/>
        </w:rPr>
      </w:pPr>
    </w:p>
    <w:p w:rsidR="5F93C8D5" w:rsidP="5F93C8D5" w:rsidRDefault="5F93C8D5" w14:paraId="53084D10" w14:textId="742155FD">
      <w:pPr>
        <w:rPr>
          <w:rFonts w:ascii="Arial Nova" w:hAnsi="Arial Nova" w:eastAsia="Arial Nova" w:cs="Arial Nova" w:asciiTheme="minorAscii" w:hAnsiTheme="minorAscii" w:eastAsiaTheme="minorAscii" w:cstheme="minorAscii"/>
          <w:b w:val="0"/>
          <w:bCs w:val="0"/>
        </w:rPr>
      </w:pPr>
    </w:p>
    <w:p w:rsidR="5F93C8D5" w:rsidP="5F93C8D5" w:rsidRDefault="5F93C8D5" w14:paraId="238B3882" w14:textId="1348ABD1">
      <w:pPr>
        <w:rPr>
          <w:rFonts w:ascii="Arial Nova" w:hAnsi="Arial Nova" w:eastAsia="Arial Nova" w:cs="Arial Nova" w:asciiTheme="minorAscii" w:hAnsiTheme="minorAscii" w:eastAsiaTheme="minorAscii" w:cstheme="minorAscii"/>
          <w:b w:val="0"/>
          <w:bCs w:val="0"/>
        </w:rPr>
      </w:pPr>
    </w:p>
    <w:p w:rsidR="5F93C8D5" w:rsidP="5F93C8D5" w:rsidRDefault="5F93C8D5" w14:paraId="4CFC96EE" w14:textId="43BD04E3">
      <w:pPr>
        <w:rPr>
          <w:rFonts w:ascii="Arial Nova" w:hAnsi="Arial Nova" w:eastAsia="Arial Nova" w:cs="Arial Nova" w:asciiTheme="minorAscii" w:hAnsiTheme="minorAscii" w:eastAsiaTheme="minorAscii" w:cstheme="minorAscii"/>
          <w:b w:val="0"/>
          <w:bCs w:val="0"/>
        </w:rPr>
      </w:pPr>
    </w:p>
    <w:p w:rsidR="5F93C8D5" w:rsidP="5F93C8D5" w:rsidRDefault="5F93C8D5" w14:paraId="61D39002" w14:textId="21523AAB">
      <w:pPr>
        <w:pStyle w:val="Normal"/>
        <w:rPr>
          <w:rFonts w:ascii="Arial Nova" w:hAnsi="Arial Nova" w:eastAsia="Arial Nova" w:cs="Arial Nova" w:asciiTheme="minorAscii" w:hAnsiTheme="minorAscii" w:eastAsiaTheme="minorAscii" w:cstheme="minorAscii"/>
          <w:b w:val="0"/>
          <w:bCs w:val="0"/>
        </w:rPr>
      </w:pPr>
    </w:p>
    <w:p w:rsidR="6ECA1EA5" w:rsidP="5F93C8D5" w:rsidRDefault="6ECA1EA5" w14:paraId="78C232E2" w14:textId="2D6E91A1">
      <w:pPr>
        <w:pStyle w:val="Normal"/>
        <w:rPr>
          <w:rFonts w:ascii="Arial Nova" w:hAnsi="Arial Nova" w:eastAsia="Arial Nova" w:cs="Arial Nova" w:asciiTheme="minorAscii" w:hAnsiTheme="minorAscii" w:eastAsiaTheme="minorAscii" w:cstheme="minorAscii"/>
          <w:b w:val="1"/>
          <w:bCs w:val="1"/>
        </w:rPr>
      </w:pPr>
      <w:r w:rsidRPr="5F93C8D5" w:rsidR="6ECA1EA5">
        <w:rPr>
          <w:rFonts w:ascii="Arial Nova" w:hAnsi="Arial Nova" w:eastAsia="Arial Nova" w:cs="Arial Nova" w:asciiTheme="minorAscii" w:hAnsiTheme="minorAscii" w:eastAsiaTheme="minorAscii" w:cstheme="minorAscii"/>
          <w:b w:val="1"/>
          <w:bCs w:val="1"/>
        </w:rPr>
        <w:t>Content Page</w:t>
      </w:r>
      <w:r w:rsidRPr="5F93C8D5" w:rsidR="3BAF0189">
        <w:rPr>
          <w:rFonts w:ascii="Arial Nova" w:hAnsi="Arial Nova" w:eastAsia="Arial Nova" w:cs="Arial Nova" w:asciiTheme="minorAscii" w:hAnsiTheme="minorAscii" w:eastAsiaTheme="minorAscii" w:cstheme="minorAscii"/>
          <w:b w:val="1"/>
          <w:bCs w:val="1"/>
        </w:rPr>
        <w:t xml:space="preserve"> </w:t>
      </w:r>
    </w:p>
    <w:p w:rsidR="3BAF0189" w:rsidP="5F93C8D5" w:rsidRDefault="3BAF0189" w14:paraId="01D1DCCF" w14:textId="5213AD6F">
      <w:pPr>
        <w:pStyle w:val="Normal"/>
        <w:rPr>
          <w:rFonts w:ascii="Arial Nova" w:hAnsi="Arial Nova" w:eastAsia="Arial Nova" w:cs="Arial Nova" w:asciiTheme="minorAscii" w:hAnsiTheme="minorAscii" w:eastAsiaTheme="minorAscii" w:cstheme="minorAscii"/>
          <w:b w:val="0"/>
          <w:bCs w:val="0"/>
          <w:sz w:val="22"/>
          <w:szCs w:val="22"/>
        </w:rPr>
      </w:pPr>
      <w:r w:rsidRPr="5F93C8D5" w:rsidR="3BAF0189">
        <w:rPr>
          <w:rFonts w:ascii="Arial Nova" w:hAnsi="Arial Nova" w:eastAsia="Arial Nova" w:cs="Arial Nova" w:asciiTheme="minorAscii" w:hAnsiTheme="minorAscii" w:eastAsiaTheme="minorAscii" w:cstheme="minorAscii"/>
          <w:b w:val="0"/>
          <w:bCs w:val="0"/>
          <w:sz w:val="22"/>
          <w:szCs w:val="22"/>
        </w:rPr>
        <w:t>Introduction .............................................................................................................p,3</w:t>
      </w:r>
    </w:p>
    <w:p w:rsidR="719EEE85" w:rsidP="5F93C8D5" w:rsidRDefault="719EEE85" w14:paraId="11C5E375" w14:textId="262E7946">
      <w:pPr>
        <w:pStyle w:val="Normal"/>
        <w:rPr>
          <w:rFonts w:ascii="Arial Nova" w:hAnsi="Arial Nova" w:eastAsia="Arial Nova" w:cs="Arial Nova" w:asciiTheme="minorAscii" w:hAnsiTheme="minorAscii" w:eastAsiaTheme="minorAscii" w:cstheme="minorAscii"/>
          <w:b w:val="0"/>
          <w:bCs w:val="0"/>
          <w:sz w:val="22"/>
          <w:szCs w:val="22"/>
        </w:rPr>
      </w:pPr>
      <w:r w:rsidRPr="5F93C8D5" w:rsidR="719EEE85">
        <w:rPr>
          <w:rFonts w:ascii="Arial Nova" w:hAnsi="Arial Nova" w:eastAsia="Arial Nova" w:cs="Arial Nova" w:asciiTheme="minorAscii" w:hAnsiTheme="minorAscii" w:eastAsiaTheme="minorAscii" w:cstheme="minorAscii"/>
          <w:b w:val="0"/>
          <w:bCs w:val="0"/>
          <w:sz w:val="22"/>
          <w:szCs w:val="22"/>
        </w:rPr>
        <w:t xml:space="preserve">Person </w:t>
      </w:r>
      <w:r w:rsidRPr="5F93C8D5" w:rsidR="719EEE85">
        <w:rPr>
          <w:rFonts w:ascii="Arial Nova" w:hAnsi="Arial Nova" w:eastAsia="Arial Nova" w:cs="Arial Nova" w:asciiTheme="minorAscii" w:hAnsiTheme="minorAscii" w:eastAsiaTheme="minorAscii" w:cstheme="minorAscii"/>
          <w:b w:val="0"/>
          <w:bCs w:val="0"/>
          <w:sz w:val="22"/>
          <w:szCs w:val="22"/>
        </w:rPr>
        <w:t>centered</w:t>
      </w:r>
      <w:r w:rsidRPr="5F93C8D5" w:rsidR="719EEE85">
        <w:rPr>
          <w:rFonts w:ascii="Arial Nova" w:hAnsi="Arial Nova" w:eastAsia="Arial Nova" w:cs="Arial Nova" w:asciiTheme="minorAscii" w:hAnsiTheme="minorAscii" w:eastAsiaTheme="minorAscii" w:cstheme="minorAscii"/>
          <w:b w:val="0"/>
          <w:bCs w:val="0"/>
          <w:sz w:val="22"/>
          <w:szCs w:val="22"/>
        </w:rPr>
        <w:t xml:space="preserve"> Practice Framework.................................................................p,4</w:t>
      </w:r>
      <w:r w:rsidRPr="5F93C8D5" w:rsidR="4F833998">
        <w:rPr>
          <w:rFonts w:ascii="Arial Nova" w:hAnsi="Arial Nova" w:eastAsia="Arial Nova" w:cs="Arial Nova" w:asciiTheme="minorAscii" w:hAnsiTheme="minorAscii" w:eastAsiaTheme="minorAscii" w:cstheme="minorAscii"/>
          <w:b w:val="0"/>
          <w:bCs w:val="0"/>
          <w:sz w:val="22"/>
          <w:szCs w:val="22"/>
        </w:rPr>
        <w:t xml:space="preserve">,5 </w:t>
      </w:r>
    </w:p>
    <w:p w:rsidR="4F833998" w:rsidP="5F93C8D5" w:rsidRDefault="4F833998" w14:paraId="2FE29CBD" w14:textId="2A873F5E">
      <w:pPr>
        <w:pStyle w:val="Normal"/>
        <w:rPr>
          <w:rFonts w:ascii="Arial Nova" w:hAnsi="Arial Nova" w:eastAsia="Arial Nova" w:cs="Arial Nova" w:asciiTheme="minorAscii" w:hAnsiTheme="minorAscii" w:eastAsiaTheme="minorAscii" w:cstheme="minorAscii"/>
          <w:b w:val="0"/>
          <w:bCs w:val="0"/>
          <w:sz w:val="22"/>
          <w:szCs w:val="22"/>
        </w:rPr>
      </w:pPr>
      <w:r w:rsidRPr="5F93C8D5" w:rsidR="4F833998">
        <w:rPr>
          <w:rFonts w:ascii="Arial Nova" w:hAnsi="Arial Nova" w:eastAsia="Arial Nova" w:cs="Arial Nova" w:asciiTheme="minorAscii" w:hAnsiTheme="minorAscii" w:eastAsiaTheme="minorAscii" w:cstheme="minorAscii"/>
          <w:b w:val="0"/>
          <w:bCs w:val="0"/>
          <w:sz w:val="22"/>
          <w:szCs w:val="22"/>
        </w:rPr>
        <w:t>Ethical Fundamentals.............................................................................................</w:t>
      </w:r>
      <w:r w:rsidRPr="5F93C8D5" w:rsidR="790962C2">
        <w:rPr>
          <w:rFonts w:ascii="Arial Nova" w:hAnsi="Arial Nova" w:eastAsia="Arial Nova" w:cs="Arial Nova" w:asciiTheme="minorAscii" w:hAnsiTheme="minorAscii" w:eastAsiaTheme="minorAscii" w:cstheme="minorAscii"/>
          <w:b w:val="0"/>
          <w:bCs w:val="0"/>
          <w:sz w:val="22"/>
          <w:szCs w:val="22"/>
        </w:rPr>
        <w:t xml:space="preserve">p,5,6 </w:t>
      </w:r>
    </w:p>
    <w:p w:rsidR="790962C2" w:rsidP="5F93C8D5" w:rsidRDefault="790962C2" w14:paraId="5767F9BC" w14:textId="1A2FDB02">
      <w:pPr>
        <w:pStyle w:val="Normal"/>
        <w:rPr>
          <w:rFonts w:ascii="Arial Nova" w:hAnsi="Arial Nova" w:eastAsia="Arial Nova" w:cs="Arial Nova" w:asciiTheme="minorAscii" w:hAnsiTheme="minorAscii" w:eastAsiaTheme="minorAscii" w:cstheme="minorAscii"/>
          <w:b w:val="0"/>
          <w:bCs w:val="0"/>
          <w:sz w:val="22"/>
          <w:szCs w:val="22"/>
        </w:rPr>
      </w:pPr>
      <w:r w:rsidRPr="5F93C8D5" w:rsidR="790962C2">
        <w:rPr>
          <w:rFonts w:ascii="Arial Nova" w:hAnsi="Arial Nova" w:eastAsia="Arial Nova" w:cs="Arial Nova" w:asciiTheme="minorAscii" w:hAnsiTheme="minorAscii" w:eastAsiaTheme="minorAscii" w:cstheme="minorAscii"/>
          <w:b w:val="0"/>
          <w:bCs w:val="0"/>
          <w:sz w:val="22"/>
          <w:szCs w:val="22"/>
        </w:rPr>
        <w:t>Partnership Working...............................................................................................p,6,7</w:t>
      </w:r>
    </w:p>
    <w:p w:rsidR="302472E0" w:rsidP="5F93C8D5" w:rsidRDefault="302472E0" w14:paraId="56B2F2B8" w14:textId="3E75C8B7">
      <w:pPr>
        <w:pStyle w:val="Normal"/>
        <w:rPr>
          <w:rFonts w:ascii="Arial Nova" w:hAnsi="Arial Nova" w:eastAsia="Arial Nova" w:cs="Arial Nova" w:asciiTheme="minorAscii" w:hAnsiTheme="minorAscii" w:eastAsiaTheme="minorAscii" w:cstheme="minorAscii"/>
          <w:b w:val="0"/>
          <w:bCs w:val="0"/>
          <w:sz w:val="22"/>
          <w:szCs w:val="22"/>
        </w:rPr>
      </w:pPr>
      <w:r w:rsidRPr="5F93C8D5" w:rsidR="302472E0">
        <w:rPr>
          <w:rFonts w:ascii="Arial Nova" w:hAnsi="Arial Nova" w:eastAsia="Arial Nova" w:cs="Arial Nova" w:asciiTheme="minorAscii" w:hAnsiTheme="minorAscii" w:eastAsiaTheme="minorAscii" w:cstheme="minorAscii"/>
          <w:b w:val="0"/>
          <w:bCs w:val="0"/>
          <w:sz w:val="22"/>
          <w:szCs w:val="22"/>
        </w:rPr>
        <w:t>Policy and Legislation.............................................................................................p,7,8</w:t>
      </w:r>
    </w:p>
    <w:p w:rsidR="302472E0" w:rsidP="5F93C8D5" w:rsidRDefault="302472E0" w14:paraId="65865181" w14:textId="79747FE5">
      <w:pPr>
        <w:pStyle w:val="Normal"/>
        <w:rPr>
          <w:rFonts w:ascii="Arial Nova" w:hAnsi="Arial Nova" w:eastAsia="Arial Nova" w:cs="Arial Nova" w:asciiTheme="minorAscii" w:hAnsiTheme="minorAscii" w:eastAsiaTheme="minorAscii" w:cstheme="minorAscii"/>
          <w:b w:val="0"/>
          <w:bCs w:val="0"/>
          <w:sz w:val="22"/>
          <w:szCs w:val="22"/>
        </w:rPr>
      </w:pPr>
      <w:r w:rsidRPr="5F93C8D5" w:rsidR="302472E0">
        <w:rPr>
          <w:rFonts w:ascii="Arial Nova" w:hAnsi="Arial Nova" w:eastAsia="Arial Nova" w:cs="Arial Nova" w:asciiTheme="minorAscii" w:hAnsiTheme="minorAscii" w:eastAsiaTheme="minorAscii" w:cstheme="minorAscii"/>
          <w:b w:val="0"/>
          <w:bCs w:val="0"/>
          <w:sz w:val="22"/>
          <w:szCs w:val="22"/>
        </w:rPr>
        <w:t>Recommendations...................................................................................................</w:t>
      </w:r>
      <w:r w:rsidRPr="5F93C8D5" w:rsidR="02C1DDEF">
        <w:rPr>
          <w:rFonts w:ascii="Arial Nova" w:hAnsi="Arial Nova" w:eastAsia="Arial Nova" w:cs="Arial Nova" w:asciiTheme="minorAscii" w:hAnsiTheme="minorAscii" w:eastAsiaTheme="minorAscii" w:cstheme="minorAscii"/>
          <w:b w:val="0"/>
          <w:bCs w:val="0"/>
          <w:sz w:val="22"/>
          <w:szCs w:val="22"/>
        </w:rPr>
        <w:t>p</w:t>
      </w:r>
      <w:r w:rsidRPr="5F93C8D5" w:rsidR="71FAB1EE">
        <w:rPr>
          <w:rFonts w:ascii="Arial Nova" w:hAnsi="Arial Nova" w:eastAsia="Arial Nova" w:cs="Arial Nova" w:asciiTheme="minorAscii" w:hAnsiTheme="minorAscii" w:eastAsiaTheme="minorAscii" w:cstheme="minorAscii"/>
          <w:b w:val="0"/>
          <w:bCs w:val="0"/>
          <w:sz w:val="22"/>
          <w:szCs w:val="22"/>
        </w:rPr>
        <w:t>,8,9</w:t>
      </w:r>
    </w:p>
    <w:p w:rsidR="02C1DDEF" w:rsidP="5F93C8D5" w:rsidRDefault="02C1DDEF" w14:paraId="07282768" w14:textId="13292B7C">
      <w:pPr>
        <w:pStyle w:val="Normal"/>
        <w:rPr>
          <w:rFonts w:ascii="Arial Nova" w:hAnsi="Arial Nova" w:eastAsia="Arial Nova" w:cs="Arial Nova" w:asciiTheme="minorAscii" w:hAnsiTheme="minorAscii" w:eastAsiaTheme="minorAscii" w:cstheme="minorAscii"/>
          <w:b w:val="0"/>
          <w:bCs w:val="0"/>
          <w:sz w:val="22"/>
          <w:szCs w:val="22"/>
        </w:rPr>
      </w:pPr>
      <w:r w:rsidRPr="5F93C8D5" w:rsidR="02C1DDEF">
        <w:rPr>
          <w:rFonts w:ascii="Arial Nova" w:hAnsi="Arial Nova" w:eastAsia="Arial Nova" w:cs="Arial Nova" w:asciiTheme="minorAscii" w:hAnsiTheme="minorAscii" w:eastAsiaTheme="minorAscii" w:cstheme="minorAscii"/>
          <w:b w:val="0"/>
          <w:bCs w:val="0"/>
          <w:sz w:val="22"/>
          <w:szCs w:val="22"/>
        </w:rPr>
        <w:t>Conclusion................................................................................................................p.9</w:t>
      </w:r>
    </w:p>
    <w:p w:rsidR="02C1DDEF" w:rsidP="5F93C8D5" w:rsidRDefault="02C1DDEF" w14:paraId="27A47932" w14:textId="768F287D">
      <w:pPr>
        <w:pStyle w:val="Normal"/>
        <w:rPr>
          <w:rFonts w:ascii="Arial Nova" w:hAnsi="Arial Nova" w:eastAsia="Arial Nova" w:cs="Arial Nova" w:asciiTheme="minorAscii" w:hAnsiTheme="minorAscii" w:eastAsiaTheme="minorAscii" w:cstheme="minorAscii"/>
          <w:b w:val="0"/>
          <w:bCs w:val="0"/>
          <w:sz w:val="22"/>
          <w:szCs w:val="22"/>
        </w:rPr>
      </w:pPr>
      <w:r w:rsidRPr="5F93C8D5" w:rsidR="02C1DDEF">
        <w:rPr>
          <w:rFonts w:ascii="Arial Nova" w:hAnsi="Arial Nova" w:eastAsia="Arial Nova" w:cs="Arial Nova" w:asciiTheme="minorAscii" w:hAnsiTheme="minorAscii" w:eastAsiaTheme="minorAscii" w:cstheme="minorAscii"/>
          <w:b w:val="0"/>
          <w:bCs w:val="0"/>
          <w:sz w:val="22"/>
          <w:szCs w:val="22"/>
        </w:rPr>
        <w:t>References................................................................................................................p</w:t>
      </w:r>
      <w:r w:rsidRPr="5F93C8D5" w:rsidR="3567F704">
        <w:rPr>
          <w:rFonts w:ascii="Arial Nova" w:hAnsi="Arial Nova" w:eastAsia="Arial Nova" w:cs="Arial Nova" w:asciiTheme="minorAscii" w:hAnsiTheme="minorAscii" w:eastAsiaTheme="minorAscii" w:cstheme="minorAscii"/>
          <w:b w:val="0"/>
          <w:bCs w:val="0"/>
          <w:sz w:val="22"/>
          <w:szCs w:val="22"/>
        </w:rPr>
        <w:t>,10,11,12</w:t>
      </w:r>
    </w:p>
    <w:p w:rsidR="5F93C8D5" w:rsidP="5F93C8D5" w:rsidRDefault="5F93C8D5" w14:paraId="39CB1A2A" w14:textId="17D33990">
      <w:pPr>
        <w:pStyle w:val="Normal"/>
        <w:rPr>
          <w:rFonts w:ascii="Arial Nova" w:hAnsi="Arial Nova" w:eastAsia="Arial Nova" w:cs="Arial Nova" w:asciiTheme="minorAscii" w:hAnsiTheme="minorAscii" w:eastAsiaTheme="minorAscii" w:cstheme="minorAscii"/>
          <w:b w:val="0"/>
          <w:bCs w:val="0"/>
          <w:sz w:val="22"/>
          <w:szCs w:val="22"/>
        </w:rPr>
      </w:pPr>
    </w:p>
    <w:p w:rsidR="5F93C8D5" w:rsidP="5F93C8D5" w:rsidRDefault="5F93C8D5" w14:paraId="35E2E484" w14:textId="1E4B94D3">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74A16B1D" w14:textId="25AE8B7A">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3E1A4029" w14:textId="4AB8B1EB">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35C15C2A" w14:textId="407014A0">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0D89AB3D" w14:textId="13829903">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3D681D1F" w14:textId="6FA1B262">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37B66193" w14:textId="24D8927D">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56073984" w14:textId="65B1E179">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7D01E811" w14:textId="4FAE55C4">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5CC9ECFD" w14:textId="026569C5">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465AE371" w14:textId="713CD9EA">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369A4AE5" w14:textId="0A4BAD2A">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1863C18D" w14:textId="39E07DA9">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00955649" w14:textId="49FC93A0">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740710DE" w14:textId="56938B16">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1B9CE234" w14:textId="530E82E1">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6F72E27B" w14:textId="364D3DC8">
      <w:pPr>
        <w:pStyle w:val="Normal"/>
        <w:rPr>
          <w:rFonts w:ascii="Arial Nova" w:hAnsi="Arial Nova" w:eastAsia="Arial Nova" w:cs="Arial Nova" w:asciiTheme="minorAscii" w:hAnsiTheme="minorAscii" w:eastAsiaTheme="minorAscii" w:cstheme="minorAscii"/>
          <w:b w:val="0"/>
          <w:bCs w:val="0"/>
        </w:rPr>
      </w:pPr>
    </w:p>
    <w:p w:rsidR="5F93C8D5" w:rsidP="5F93C8D5" w:rsidRDefault="5F93C8D5" w14:paraId="1CE8A8D1" w14:textId="46A23D4F">
      <w:pPr>
        <w:pStyle w:val="Normal"/>
        <w:rPr>
          <w:rFonts w:ascii="Arial Nova" w:hAnsi="Arial Nova" w:eastAsia="Arial Nova" w:cs="Arial Nova"/>
          <w:b w:val="1"/>
          <w:bCs w:val="1"/>
          <w:noProof w:val="0"/>
          <w:sz w:val="24"/>
          <w:szCs w:val="24"/>
          <w:lang w:val="en-GB"/>
        </w:rPr>
      </w:pPr>
    </w:p>
    <w:p w:rsidR="77D7A363" w:rsidP="5F93C8D5" w:rsidRDefault="77D7A363" w14:paraId="6E2B1DE0" w14:textId="535F3951">
      <w:pPr>
        <w:pStyle w:val="Normal"/>
        <w:rPr>
          <w:rFonts w:ascii="Arial Nova" w:hAnsi="Arial Nova" w:eastAsia="Arial Nova" w:cs="Arial Nova" w:asciiTheme="minorAscii" w:hAnsiTheme="minorAscii" w:eastAsiaTheme="minorAscii" w:cstheme="minorAscii"/>
          <w:b w:val="0"/>
          <w:bCs w:val="0"/>
        </w:rPr>
      </w:pPr>
      <w:r w:rsidRPr="5F93C8D5" w:rsidR="77D7A363">
        <w:rPr>
          <w:rFonts w:ascii="Arial Nova" w:hAnsi="Arial Nova" w:eastAsia="Arial Nova" w:cs="Arial Nova"/>
          <w:b w:val="1"/>
          <w:bCs w:val="1"/>
          <w:noProof w:val="0"/>
          <w:sz w:val="24"/>
          <w:szCs w:val="24"/>
          <w:lang w:val="en-GB"/>
        </w:rPr>
        <w:t xml:space="preserve">Introduction   </w:t>
      </w:r>
    </w:p>
    <w:p w:rsidR="2AAC2E46" w:rsidP="5F93C8D5" w:rsidRDefault="2AAC2E46" w14:paraId="7D93FB23" w14:textId="1F92E9FF">
      <w:pPr>
        <w:spacing w:before="240" w:beforeAutospacing="off" w:after="240" w:afterAutospacing="off" w:line="360" w:lineRule="auto"/>
        <w:rPr>
          <w:rFonts w:ascii="Arial Nova" w:hAnsi="Arial Nova" w:eastAsia="Arial Nova" w:cs="Arial Nova"/>
          <w:i w:val="0"/>
          <w:iCs w:val="0"/>
          <w:noProof w:val="0"/>
          <w:sz w:val="22"/>
          <w:szCs w:val="22"/>
          <w:lang w:val="en-GB"/>
        </w:rPr>
      </w:pPr>
      <w:r w:rsidRPr="5F93C8D5" w:rsidR="2AAC2E46">
        <w:rPr>
          <w:rFonts w:ascii="Arial Nova" w:hAnsi="Arial Nova" w:eastAsia="Arial Nova" w:cs="Arial Nova"/>
          <w:i w:val="0"/>
          <w:iCs w:val="0"/>
          <w:noProof w:val="0"/>
          <w:sz w:val="22"/>
          <w:szCs w:val="22"/>
          <w:lang w:val="en-GB"/>
        </w:rPr>
        <w:t xml:space="preserve">Person-centred care has become a defining principle of contemporary health and social care within the United Kingdom. It reflects a paradigmatic shift away from paternalistic and professionally dominated traditions toward a model that emphasises autonomy, </w:t>
      </w:r>
      <w:r w:rsidRPr="5F93C8D5" w:rsidR="683F189E">
        <w:rPr>
          <w:rFonts w:ascii="Arial Nova" w:hAnsi="Arial Nova" w:eastAsia="Arial Nova" w:cs="Arial Nova"/>
          <w:i w:val="0"/>
          <w:iCs w:val="0"/>
          <w:noProof w:val="0"/>
          <w:sz w:val="22"/>
          <w:szCs w:val="22"/>
          <w:lang w:val="en-GB"/>
        </w:rPr>
        <w:t>individuality,</w:t>
      </w:r>
      <w:r w:rsidRPr="5F93C8D5" w:rsidR="2AAC2E46">
        <w:rPr>
          <w:rFonts w:ascii="Arial Nova" w:hAnsi="Arial Nova" w:eastAsia="Arial Nova" w:cs="Arial Nova"/>
          <w:i w:val="0"/>
          <w:iCs w:val="0"/>
          <w:noProof w:val="0"/>
          <w:sz w:val="22"/>
          <w:szCs w:val="22"/>
          <w:lang w:val="en-GB"/>
        </w:rPr>
        <w:t xml:space="preserve"> and shared decision-making. At its core, person-centred care recognises individuals as experts in their own lives, ensuring that care is shaped not only around clinical needs but also around personal values, lived experiences and aspirations (McCormack &amp; McCance, 2017). This philosophical shift is reinforced by key national policy developments, including the No Decision About Me, Without Me agenda, which reframes service users as active partners rather than passive recipients of care.</w:t>
      </w:r>
    </w:p>
    <w:p w:rsidR="2AAC2E46" w:rsidP="5F93C8D5" w:rsidRDefault="2AAC2E46" w14:paraId="58D9FA9A" w14:textId="6919E8C1">
      <w:pPr>
        <w:spacing w:before="240" w:beforeAutospacing="off" w:after="240" w:afterAutospacing="off" w:line="360" w:lineRule="auto"/>
      </w:pPr>
      <w:r w:rsidRPr="5F93C8D5" w:rsidR="2AAC2E46">
        <w:rPr>
          <w:rFonts w:ascii="Arial Nova" w:hAnsi="Arial Nova" w:eastAsia="Arial Nova" w:cs="Arial Nova"/>
          <w:noProof w:val="0"/>
          <w:sz w:val="22"/>
          <w:szCs w:val="22"/>
          <w:lang w:val="en-GB"/>
        </w:rPr>
        <w:t xml:space="preserve">In parallel, partnership working has become an essential mechanism for improving the coordination and quality of support delivered across diverse health and social care systems. The increasing complexity of service user needs, coupled with demographic pressures and the rise of long-term conditions, has highlighted the necessity of collaborative, multi-agency approaches. Partnership working aims to integrate </w:t>
      </w:r>
      <w:r w:rsidRPr="5F93C8D5" w:rsidR="2AAC2E46">
        <w:rPr>
          <w:rFonts w:ascii="Arial Nova" w:hAnsi="Arial Nova" w:eastAsia="Arial Nova" w:cs="Arial Nova"/>
          <w:noProof w:val="0"/>
          <w:sz w:val="22"/>
          <w:szCs w:val="22"/>
          <w:lang w:val="en-GB"/>
        </w:rPr>
        <w:t>expertise</w:t>
      </w:r>
      <w:r w:rsidRPr="5F93C8D5" w:rsidR="2AAC2E46">
        <w:rPr>
          <w:rFonts w:ascii="Arial Nova" w:hAnsi="Arial Nova" w:eastAsia="Arial Nova" w:cs="Arial Nova"/>
          <w:noProof w:val="0"/>
          <w:sz w:val="22"/>
          <w:szCs w:val="22"/>
          <w:lang w:val="en-GB"/>
        </w:rPr>
        <w:t xml:space="preserve"> across organisational and professional boundaries to deliver holistic support that aligns with the principles of person-centred care (Glasby &amp; Dickinson, 2014). </w:t>
      </w:r>
    </w:p>
    <w:p w:rsidR="2AAC2E46" w:rsidP="5F93C8D5" w:rsidRDefault="2AAC2E46" w14:paraId="37149EA4" w14:textId="162A0A4F">
      <w:pPr>
        <w:spacing w:before="240" w:beforeAutospacing="off" w:after="240" w:afterAutospacing="off" w:line="360" w:lineRule="auto"/>
      </w:pPr>
      <w:r w:rsidRPr="5F93C8D5" w:rsidR="2AAC2E46">
        <w:rPr>
          <w:rFonts w:ascii="Arial Nova" w:hAnsi="Arial Nova" w:eastAsia="Arial Nova" w:cs="Arial Nova"/>
          <w:noProof w:val="0"/>
          <w:sz w:val="22"/>
          <w:szCs w:val="22"/>
          <w:lang w:val="en-GB"/>
        </w:rPr>
        <w:t xml:space="preserve">Despite strong policy endorsement, both person-centred care and partnership working remain contested concepts in practice. Person-centred care is </w:t>
      </w:r>
      <w:r w:rsidRPr="5F93C8D5" w:rsidR="2AAC2E46">
        <w:rPr>
          <w:rFonts w:ascii="Arial Nova" w:hAnsi="Arial Nova" w:eastAsia="Arial Nova" w:cs="Arial Nova"/>
          <w:noProof w:val="0"/>
          <w:sz w:val="22"/>
          <w:szCs w:val="22"/>
          <w:lang w:val="en-GB"/>
        </w:rPr>
        <w:t>frequently</w:t>
      </w:r>
      <w:r w:rsidRPr="5F93C8D5" w:rsidR="2AAC2E46">
        <w:rPr>
          <w:rFonts w:ascii="Arial Nova" w:hAnsi="Arial Nova" w:eastAsia="Arial Nova" w:cs="Arial Nova"/>
          <w:noProof w:val="0"/>
          <w:sz w:val="22"/>
          <w:szCs w:val="22"/>
          <w:lang w:val="en-GB"/>
        </w:rPr>
        <w:t xml:space="preserve"> criticised for being vaguely defined, operationally inconsistent, and difficult to measure in meaningful ways (Entwistle &amp; Watt, 2013). Similarly, although partnership working is widely promoted in policy contexts, evidence suggests that the quality and depth of multi-agency collaboration vary </w:t>
      </w:r>
      <w:r w:rsidRPr="5F93C8D5" w:rsidR="2AAC2E46">
        <w:rPr>
          <w:rFonts w:ascii="Arial Nova" w:hAnsi="Arial Nova" w:eastAsia="Arial Nova" w:cs="Arial Nova"/>
          <w:noProof w:val="0"/>
          <w:sz w:val="22"/>
          <w:szCs w:val="22"/>
          <w:lang w:val="en-GB"/>
        </w:rPr>
        <w:t>significantly and</w:t>
      </w:r>
      <w:r w:rsidRPr="5F93C8D5" w:rsidR="2AAC2E46">
        <w:rPr>
          <w:rFonts w:ascii="Arial Nova" w:hAnsi="Arial Nova" w:eastAsia="Arial Nova" w:cs="Arial Nova"/>
          <w:noProof w:val="0"/>
          <w:sz w:val="22"/>
          <w:szCs w:val="22"/>
          <w:lang w:val="en-GB"/>
        </w:rPr>
        <w:t xml:space="preserve"> may at times be superficial or symbolic rather than transformative (Crawford et al., 2002). These concerns highlight the need for critical evaluation to </w:t>
      </w:r>
      <w:r w:rsidRPr="5F93C8D5" w:rsidR="2AAC2E46">
        <w:rPr>
          <w:rFonts w:ascii="Arial Nova" w:hAnsi="Arial Nova" w:eastAsia="Arial Nova" w:cs="Arial Nova"/>
          <w:noProof w:val="0"/>
          <w:sz w:val="22"/>
          <w:szCs w:val="22"/>
          <w:lang w:val="en-GB"/>
        </w:rPr>
        <w:t>determine</w:t>
      </w:r>
      <w:r w:rsidRPr="5F93C8D5" w:rsidR="2AAC2E46">
        <w:rPr>
          <w:rFonts w:ascii="Arial Nova" w:hAnsi="Arial Nova" w:eastAsia="Arial Nova" w:cs="Arial Nova"/>
          <w:noProof w:val="0"/>
          <w:sz w:val="22"/>
          <w:szCs w:val="22"/>
          <w:lang w:val="en-GB"/>
        </w:rPr>
        <w:t xml:space="preserve"> whether current approaches genuinely enhance care quality or whether they risk becoming rhetorical aspirations constrained by resource limitations and organisational fragmentation.</w:t>
      </w:r>
    </w:p>
    <w:p w:rsidR="2AAC2E46" w:rsidP="5F93C8D5" w:rsidRDefault="2AAC2E46" w14:paraId="64462A34" w14:textId="35769981">
      <w:pPr>
        <w:spacing w:before="240" w:beforeAutospacing="off" w:after="240" w:afterAutospacing="off" w:line="360" w:lineRule="auto"/>
        <w:rPr>
          <w:rFonts w:ascii="Arial Nova" w:hAnsi="Arial Nova" w:eastAsia="Arial Nova" w:cs="Arial Nova"/>
          <w:noProof w:val="0"/>
          <w:sz w:val="22"/>
          <w:szCs w:val="22"/>
          <w:lang w:val="en-GB"/>
        </w:rPr>
      </w:pPr>
      <w:r w:rsidRPr="5F93C8D5" w:rsidR="2AAC2E46">
        <w:rPr>
          <w:rFonts w:ascii="Arial Nova" w:hAnsi="Arial Nova" w:eastAsia="Arial Nova" w:cs="Arial Nova"/>
          <w:noProof w:val="0"/>
          <w:sz w:val="22"/>
          <w:szCs w:val="22"/>
          <w:lang w:val="en-GB"/>
        </w:rPr>
        <w:t xml:space="preserve">This report critically analyses the conceptual, </w:t>
      </w:r>
      <w:r w:rsidRPr="5F93C8D5" w:rsidR="6A31D412">
        <w:rPr>
          <w:rFonts w:ascii="Arial Nova" w:hAnsi="Arial Nova" w:eastAsia="Arial Nova" w:cs="Arial Nova"/>
          <w:noProof w:val="0"/>
          <w:sz w:val="22"/>
          <w:szCs w:val="22"/>
          <w:lang w:val="en-GB"/>
        </w:rPr>
        <w:t>ethical,</w:t>
      </w:r>
      <w:r w:rsidRPr="5F93C8D5" w:rsidR="2AAC2E46">
        <w:rPr>
          <w:rFonts w:ascii="Arial Nova" w:hAnsi="Arial Nova" w:eastAsia="Arial Nova" w:cs="Arial Nova"/>
          <w:noProof w:val="0"/>
          <w:sz w:val="22"/>
          <w:szCs w:val="22"/>
          <w:lang w:val="en-GB"/>
        </w:rPr>
        <w:t xml:space="preserve"> and practical foundations of person-centred care and partnership working. It examines the theoretical models underpinning these approaches, evaluates their application within real-world health and social care settings, and explores their alignment with current UK policy and legislation. The report concludes with recommendations aimed at strengthening the future implementation of both person-centred care and partnership working in the UK</w:t>
      </w:r>
      <w:r w:rsidRPr="5F93C8D5" w:rsidR="18DAE000">
        <w:rPr>
          <w:rFonts w:ascii="Arial Nova" w:hAnsi="Arial Nova" w:eastAsia="Arial Nova" w:cs="Arial Nova"/>
          <w:noProof w:val="0"/>
          <w:sz w:val="22"/>
          <w:szCs w:val="22"/>
          <w:lang w:val="en-GB"/>
        </w:rPr>
        <w:t xml:space="preserve">. </w:t>
      </w:r>
    </w:p>
    <w:p w:rsidR="65F4B37D" w:rsidP="5F93C8D5" w:rsidRDefault="65F4B37D" w14:paraId="150F2F99" w14:textId="1316178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F93C8D5" w:rsidR="65F4B37D">
        <w:rPr>
          <w:rFonts w:ascii="Arial Nova" w:hAnsi="Arial Nova" w:eastAsia="Arial Nova" w:cs="Arial Nova"/>
          <w:b w:val="1"/>
          <w:bCs w:val="1"/>
          <w:noProof w:val="0"/>
          <w:sz w:val="24"/>
          <w:szCs w:val="24"/>
          <w:lang w:val="en-GB"/>
        </w:rPr>
        <w:t xml:space="preserve">Person-Centred Practice Framework </w:t>
      </w:r>
    </w:p>
    <w:p w:rsidR="65F4B37D" w:rsidP="5F93C8D5" w:rsidRDefault="65F4B37D" w14:paraId="1492977A" w14:textId="6EB86CE6">
      <w:pPr>
        <w:spacing w:before="240" w:beforeAutospacing="off" w:after="240" w:afterAutospacing="off" w:line="360" w:lineRule="auto"/>
        <w:rPr>
          <w:rFonts w:ascii="Arial Nova" w:hAnsi="Arial Nova" w:eastAsia="Arial Nova" w:cs="Arial Nova"/>
          <w:noProof w:val="0"/>
          <w:sz w:val="22"/>
          <w:szCs w:val="22"/>
          <w:lang w:val="en-GB"/>
        </w:rPr>
      </w:pPr>
      <w:r w:rsidRPr="5F93C8D5" w:rsidR="65F4B37D">
        <w:rPr>
          <w:rFonts w:ascii="Arial Nova" w:hAnsi="Arial Nova" w:eastAsia="Arial Nova" w:cs="Arial Nova"/>
          <w:noProof w:val="0"/>
          <w:sz w:val="22"/>
          <w:szCs w:val="22"/>
          <w:lang w:val="en-GB"/>
        </w:rPr>
        <w:t xml:space="preserve">The McCormack and McCance Person-Centred Practice Framework (PCPF) is one of the most influential theoretical models underpinning person-centred care within UK health and social care settings. The framework conceptualises person-centred care as a complex interaction between individual practitioner attributes, care processes, and the wider organisational environment (McCormack &amp; McCance, 2017). Unlike earlier models focused primarily on interpersonal communication, the PCPF emphasises that person-centred care is dependent on systemic conditions such as leadership, workplace culture, team </w:t>
      </w:r>
      <w:r w:rsidRPr="5F93C8D5" w:rsidR="1FC81FB9">
        <w:rPr>
          <w:rFonts w:ascii="Arial Nova" w:hAnsi="Arial Nova" w:eastAsia="Arial Nova" w:cs="Arial Nova"/>
          <w:noProof w:val="0"/>
          <w:sz w:val="22"/>
          <w:szCs w:val="22"/>
          <w:lang w:val="en-GB"/>
        </w:rPr>
        <w:t>relationships,</w:t>
      </w:r>
      <w:r w:rsidRPr="5F93C8D5" w:rsidR="65F4B37D">
        <w:rPr>
          <w:rFonts w:ascii="Arial Nova" w:hAnsi="Arial Nova" w:eastAsia="Arial Nova" w:cs="Arial Nova"/>
          <w:noProof w:val="0"/>
          <w:sz w:val="22"/>
          <w:szCs w:val="22"/>
          <w:lang w:val="en-GB"/>
        </w:rPr>
        <w:t xml:space="preserve"> and shared decision-making.</w:t>
      </w:r>
    </w:p>
    <w:p w:rsidR="65F4B37D" w:rsidP="5F93C8D5" w:rsidRDefault="65F4B37D" w14:paraId="6169573E" w14:textId="71E26AF6">
      <w:pPr>
        <w:spacing w:before="240" w:beforeAutospacing="off" w:after="240" w:afterAutospacing="off" w:line="360" w:lineRule="auto"/>
        <w:rPr>
          <w:rFonts w:ascii="Arial Nova" w:hAnsi="Arial Nova" w:eastAsia="Arial Nova" w:cs="Arial Nova"/>
          <w:noProof w:val="0"/>
          <w:sz w:val="22"/>
          <w:szCs w:val="22"/>
          <w:lang w:val="en-GB"/>
        </w:rPr>
      </w:pPr>
      <w:r w:rsidRPr="5F93C8D5" w:rsidR="65F4B37D">
        <w:rPr>
          <w:rFonts w:ascii="Arial Nova" w:hAnsi="Arial Nova" w:eastAsia="Arial Nova" w:cs="Arial Nova"/>
          <w:noProof w:val="0"/>
          <w:sz w:val="22"/>
          <w:szCs w:val="22"/>
          <w:lang w:val="en-GB"/>
        </w:rPr>
        <w:t>A key strength of the PCPF is its recognition that person-centred care cannot be delivered through practitioner skill alone. Preconditions such as professional competence, personhood, clarity of beliefs and values, and effective interprofessional relationships are central to its implementation (McCormack &amp; McCance, 2017). This aligns with research showing that workplace culture significantly shapes the extent to which person-centred practices can be embedded. Manley et al. (2011) highlight that cultures characterised by shared values, open communication and supportive leadership are more likely to sustain person-centred practice, supporting the PCPF’s emphasis on organisational context.</w:t>
      </w:r>
    </w:p>
    <w:p w:rsidR="65F4B37D" w:rsidP="5F93C8D5" w:rsidRDefault="65F4B37D" w14:paraId="4F9529DF" w14:textId="4EEE45CF">
      <w:pPr>
        <w:spacing w:before="240" w:beforeAutospacing="off" w:after="240" w:afterAutospacing="off" w:line="360" w:lineRule="auto"/>
        <w:rPr>
          <w:rFonts w:ascii="Arial Nova" w:hAnsi="Arial Nova" w:eastAsia="Arial Nova" w:cs="Arial Nova"/>
          <w:noProof w:val="0"/>
          <w:sz w:val="22"/>
          <w:szCs w:val="22"/>
          <w:lang w:val="en-GB"/>
        </w:rPr>
      </w:pPr>
      <w:r w:rsidRPr="5F93C8D5" w:rsidR="65F4B37D">
        <w:rPr>
          <w:rFonts w:ascii="Arial Nova" w:hAnsi="Arial Nova" w:eastAsia="Arial Nova" w:cs="Arial Nova"/>
          <w:noProof w:val="0"/>
          <w:sz w:val="22"/>
          <w:szCs w:val="22"/>
          <w:lang w:val="en-GB"/>
        </w:rPr>
        <w:t xml:space="preserve">The framework is also supported by empirical evidence </w:t>
      </w:r>
      <w:r w:rsidRPr="5F93C8D5" w:rsidR="65F4B37D">
        <w:rPr>
          <w:rFonts w:ascii="Arial Nova" w:hAnsi="Arial Nova" w:eastAsia="Arial Nova" w:cs="Arial Nova"/>
          <w:noProof w:val="0"/>
          <w:sz w:val="22"/>
          <w:szCs w:val="22"/>
          <w:lang w:val="en-GB"/>
        </w:rPr>
        <w:t>demonstrating</w:t>
      </w:r>
      <w:r w:rsidRPr="5F93C8D5" w:rsidR="65F4B37D">
        <w:rPr>
          <w:rFonts w:ascii="Arial Nova" w:hAnsi="Arial Nova" w:eastAsia="Arial Nova" w:cs="Arial Nova"/>
          <w:noProof w:val="0"/>
          <w:sz w:val="22"/>
          <w:szCs w:val="22"/>
          <w:lang w:val="en-GB"/>
        </w:rPr>
        <w:t xml:space="preserve"> that person-centred care can improve outcomes for individuals and staff. Systematic reviews </w:t>
      </w:r>
      <w:r w:rsidRPr="5F93C8D5" w:rsidR="65F4B37D">
        <w:rPr>
          <w:rFonts w:ascii="Arial Nova" w:hAnsi="Arial Nova" w:eastAsia="Arial Nova" w:cs="Arial Nova"/>
          <w:noProof w:val="0"/>
          <w:sz w:val="22"/>
          <w:szCs w:val="22"/>
          <w:lang w:val="en-GB"/>
        </w:rPr>
        <w:t>indicate</w:t>
      </w:r>
      <w:r w:rsidRPr="5F93C8D5" w:rsidR="65F4B37D">
        <w:rPr>
          <w:rFonts w:ascii="Arial Nova" w:hAnsi="Arial Nova" w:eastAsia="Arial Nova" w:cs="Arial Nova"/>
          <w:noProof w:val="0"/>
          <w:sz w:val="22"/>
          <w:szCs w:val="22"/>
          <w:lang w:val="en-GB"/>
        </w:rPr>
        <w:t xml:space="preserve"> positive impacts on wellbeing, </w:t>
      </w:r>
      <w:r w:rsidRPr="5F93C8D5" w:rsidR="72C33C32">
        <w:rPr>
          <w:rFonts w:ascii="Arial Nova" w:hAnsi="Arial Nova" w:eastAsia="Arial Nova" w:cs="Arial Nova"/>
          <w:noProof w:val="0"/>
          <w:sz w:val="22"/>
          <w:szCs w:val="22"/>
          <w:lang w:val="en-GB"/>
        </w:rPr>
        <w:t>satisfaction,</w:t>
      </w:r>
      <w:r w:rsidRPr="5F93C8D5" w:rsidR="65F4B37D">
        <w:rPr>
          <w:rFonts w:ascii="Arial Nova" w:hAnsi="Arial Nova" w:eastAsia="Arial Nova" w:cs="Arial Nova"/>
          <w:noProof w:val="0"/>
          <w:sz w:val="22"/>
          <w:szCs w:val="22"/>
          <w:lang w:val="en-GB"/>
        </w:rPr>
        <w:t xml:space="preserve"> and staff morale when person-centred practices are implemented effectively (Brownie &amp; Nancarrow, 2013). Additionally, the framework’s focus on collaborative and respectful relationships aligns with broader literature on patient engagement, which argues that meaningful involvement enhances care quality and supports shared decision-making (Mead &amp; Bower, 2000).</w:t>
      </w:r>
    </w:p>
    <w:p w:rsidR="65F4B37D" w:rsidP="5F93C8D5" w:rsidRDefault="65F4B37D" w14:paraId="46D8B1D1" w14:textId="6F6D441F">
      <w:pPr>
        <w:spacing w:before="240" w:beforeAutospacing="off" w:after="240" w:afterAutospacing="off" w:line="360" w:lineRule="auto"/>
        <w:rPr>
          <w:rFonts w:ascii="Arial Nova" w:hAnsi="Arial Nova" w:eastAsia="Arial Nova" w:cs="Arial Nova"/>
          <w:noProof w:val="0"/>
          <w:sz w:val="22"/>
          <w:szCs w:val="22"/>
          <w:lang w:val="en-GB"/>
        </w:rPr>
      </w:pPr>
      <w:r w:rsidRPr="5F93C8D5" w:rsidR="65F4B37D">
        <w:rPr>
          <w:rFonts w:ascii="Arial Nova" w:hAnsi="Arial Nova" w:eastAsia="Arial Nova" w:cs="Arial Nova"/>
          <w:noProof w:val="0"/>
          <w:sz w:val="22"/>
          <w:szCs w:val="22"/>
          <w:lang w:val="en-GB"/>
        </w:rPr>
        <w:t>However, the PCPF has also been criticised for lacking practical specificity. The model outlines what person-centred care requires but gives limited guidance on how to operationalise these components within busy and resource-constrained environments. This concern is echoed by Luxford, Safran and Delbanco (2011), who found that organisational barriers such as poor leadership, fragmented systems and time pressures often obstruct attempts to embed person-centred approaches. Such findings highlight a gap between the theoretical aspirations of the PCPF and the realities of implementing it in overstretched services.</w:t>
      </w:r>
    </w:p>
    <w:p w:rsidR="65F4B37D" w:rsidP="5F93C8D5" w:rsidRDefault="65F4B37D" w14:paraId="6834C886" w14:textId="5ADF3FFE">
      <w:pPr>
        <w:spacing w:before="240" w:beforeAutospacing="off" w:after="240" w:afterAutospacing="off" w:line="360" w:lineRule="auto"/>
        <w:rPr>
          <w:rFonts w:ascii="Arial Nova" w:hAnsi="Arial Nova" w:eastAsia="Arial Nova" w:cs="Arial Nova"/>
          <w:noProof w:val="0"/>
          <w:sz w:val="22"/>
          <w:szCs w:val="22"/>
          <w:lang w:val="en-GB"/>
        </w:rPr>
      </w:pPr>
      <w:r w:rsidRPr="5F93C8D5" w:rsidR="65F4B37D">
        <w:rPr>
          <w:rFonts w:ascii="Arial Nova" w:hAnsi="Arial Nova" w:eastAsia="Arial Nova" w:cs="Arial Nova"/>
          <w:noProof w:val="0"/>
          <w:sz w:val="22"/>
          <w:szCs w:val="22"/>
          <w:lang w:val="en-GB"/>
        </w:rPr>
        <w:t>Additionally, some scholars argue that the framework assumes organisations have the capacity and stability to reform their cultures and processes. Yet chronic workforce shortages, high caseloads and financial pressures within UK health and social care systems often limit opportunities for the reflective practice and relational engagement required for person-centred care (Bridges et al., 2010). These constraints raise questions about the feasibility of fully implementing the PCPF without broader structural support and policy investment.</w:t>
      </w:r>
    </w:p>
    <w:p w:rsidR="7D51CA44" w:rsidP="5F93C8D5" w:rsidRDefault="7D51CA44" w14:paraId="09568F31" w14:textId="37810887">
      <w:pPr>
        <w:pStyle w:val="Normal"/>
        <w:spacing w:before="240" w:beforeAutospacing="off" w:after="240" w:afterAutospacing="off" w:line="360" w:lineRule="auto"/>
        <w:rPr>
          <w:rFonts w:ascii="Arial Nova" w:hAnsi="Arial Nova" w:eastAsia="Arial Nova" w:cs="Arial Nova"/>
          <w:noProof w:val="0"/>
          <w:sz w:val="22"/>
          <w:szCs w:val="22"/>
          <w:lang w:val="en-GB"/>
        </w:rPr>
      </w:pPr>
      <w:r w:rsidRPr="5F93C8D5" w:rsidR="7D51CA44">
        <w:rPr>
          <w:rFonts w:ascii="Arial Nova" w:hAnsi="Arial Nova" w:eastAsia="Arial Nova" w:cs="Arial Nova"/>
          <w:b w:val="1"/>
          <w:bCs w:val="1"/>
          <w:noProof w:val="0"/>
          <w:sz w:val="24"/>
          <w:szCs w:val="24"/>
          <w:lang w:val="en-GB"/>
        </w:rPr>
        <w:t>Ethical Fundamentals</w:t>
      </w:r>
      <w:r w:rsidRPr="5F93C8D5" w:rsidR="7D51CA44">
        <w:rPr>
          <w:rFonts w:ascii="Arial Nova" w:hAnsi="Arial Nova" w:eastAsia="Arial Nova" w:cs="Arial Nova"/>
          <w:noProof w:val="0"/>
          <w:sz w:val="24"/>
          <w:szCs w:val="24"/>
          <w:lang w:val="en-GB"/>
        </w:rPr>
        <w:t xml:space="preserve"> </w:t>
      </w:r>
    </w:p>
    <w:p w:rsidR="7D51CA44" w:rsidP="5F93C8D5" w:rsidRDefault="7D51CA44" w14:paraId="7389293D" w14:textId="11D5037F">
      <w:pPr>
        <w:spacing w:before="240" w:beforeAutospacing="off" w:after="240" w:afterAutospacing="off" w:line="360" w:lineRule="auto"/>
        <w:rPr>
          <w:rFonts w:ascii="Arial Nova" w:hAnsi="Arial Nova" w:eastAsia="Arial Nova" w:cs="Arial Nova"/>
          <w:noProof w:val="0"/>
          <w:sz w:val="22"/>
          <w:szCs w:val="22"/>
          <w:lang w:val="en-GB"/>
        </w:rPr>
      </w:pPr>
      <w:r w:rsidRPr="5F93C8D5" w:rsidR="7D51CA44">
        <w:rPr>
          <w:rFonts w:ascii="Arial Nova" w:hAnsi="Arial Nova" w:eastAsia="Arial Nova" w:cs="Arial Nova"/>
          <w:noProof w:val="0"/>
          <w:sz w:val="22"/>
          <w:szCs w:val="22"/>
          <w:lang w:val="en-GB"/>
        </w:rPr>
        <w:t xml:space="preserve">Ethical principles form the foundation of effective health and social care practice, shaping professional judgement, organisational </w:t>
      </w:r>
      <w:r w:rsidRPr="5F93C8D5" w:rsidR="57E22958">
        <w:rPr>
          <w:rFonts w:ascii="Arial Nova" w:hAnsi="Arial Nova" w:eastAsia="Arial Nova" w:cs="Arial Nova"/>
          <w:noProof w:val="0"/>
          <w:sz w:val="22"/>
          <w:szCs w:val="22"/>
          <w:lang w:val="en-GB"/>
        </w:rPr>
        <w:t>behaviour,</w:t>
      </w:r>
      <w:r w:rsidRPr="5F93C8D5" w:rsidR="7D51CA44">
        <w:rPr>
          <w:rFonts w:ascii="Arial Nova" w:hAnsi="Arial Nova" w:eastAsia="Arial Nova" w:cs="Arial Nova"/>
          <w:noProof w:val="0"/>
          <w:sz w:val="22"/>
          <w:szCs w:val="22"/>
          <w:lang w:val="en-GB"/>
        </w:rPr>
        <w:t xml:space="preserve"> and the protection of service users’ rights. Central to ethical care are the four widely recognised principles of autonomy, beneficence, non-</w:t>
      </w:r>
      <w:r w:rsidRPr="5F93C8D5" w:rsidR="6A474F2A">
        <w:rPr>
          <w:rFonts w:ascii="Arial Nova" w:hAnsi="Arial Nova" w:eastAsia="Arial Nova" w:cs="Arial Nova"/>
          <w:noProof w:val="0"/>
          <w:sz w:val="22"/>
          <w:szCs w:val="22"/>
          <w:lang w:val="en-GB"/>
        </w:rPr>
        <w:t>maleficence,</w:t>
      </w:r>
      <w:r w:rsidRPr="5F93C8D5" w:rsidR="7D51CA44">
        <w:rPr>
          <w:rFonts w:ascii="Arial Nova" w:hAnsi="Arial Nova" w:eastAsia="Arial Nova" w:cs="Arial Nova"/>
          <w:noProof w:val="0"/>
          <w:sz w:val="22"/>
          <w:szCs w:val="22"/>
          <w:lang w:val="en-GB"/>
        </w:rPr>
        <w:t xml:space="preserve"> and justice (Beauchamp &amp; Childress, 2019). These principles inform both the philosophy and practice of person-centred care by emphasising respect for individual preferences, the promotion of wellbeing, the avoidance of harm, and </w:t>
      </w:r>
      <w:r w:rsidRPr="5F93C8D5" w:rsidR="7D51CA44">
        <w:rPr>
          <w:rFonts w:ascii="Arial Nova" w:hAnsi="Arial Nova" w:eastAsia="Arial Nova" w:cs="Arial Nova"/>
          <w:noProof w:val="0"/>
          <w:sz w:val="22"/>
          <w:szCs w:val="22"/>
          <w:lang w:val="en-GB"/>
        </w:rPr>
        <w:t>equitable</w:t>
      </w:r>
      <w:r w:rsidRPr="5F93C8D5" w:rsidR="7D51CA44">
        <w:rPr>
          <w:rFonts w:ascii="Arial Nova" w:hAnsi="Arial Nova" w:eastAsia="Arial Nova" w:cs="Arial Nova"/>
          <w:noProof w:val="0"/>
          <w:sz w:val="22"/>
          <w:szCs w:val="22"/>
          <w:lang w:val="en-GB"/>
        </w:rPr>
        <w:t xml:space="preserve"> access to support.</w:t>
      </w:r>
    </w:p>
    <w:p w:rsidR="7D51CA44" w:rsidP="5F93C8D5" w:rsidRDefault="7D51CA44" w14:paraId="55F689BF" w14:textId="5FAC212D">
      <w:pPr>
        <w:spacing w:before="240" w:beforeAutospacing="off" w:after="240" w:afterAutospacing="off" w:line="360" w:lineRule="auto"/>
        <w:rPr>
          <w:rFonts w:ascii="Arial Nova" w:hAnsi="Arial Nova" w:eastAsia="Arial Nova" w:cs="Arial Nova"/>
          <w:noProof w:val="0"/>
          <w:sz w:val="22"/>
          <w:szCs w:val="22"/>
          <w:lang w:val="en-GB"/>
        </w:rPr>
      </w:pPr>
      <w:r w:rsidRPr="5F93C8D5" w:rsidR="7D51CA44">
        <w:rPr>
          <w:rFonts w:ascii="Arial Nova" w:hAnsi="Arial Nova" w:eastAsia="Arial Nova" w:cs="Arial Nova"/>
          <w:noProof w:val="0"/>
          <w:sz w:val="22"/>
          <w:szCs w:val="22"/>
          <w:lang w:val="en-GB"/>
        </w:rPr>
        <w:t>Autonomy is especially significant within person-centred care, as it supports the individual’s right to make informed choices about their care. Contemporary UK policy, including shared decision-making initiatives, is closely aligned with this principle (Coulter, 2011). However, difficulties arise when individuals lack the capacity to make certain decisions. In such cases, practitioners must act in the person’s best interests under frameworks such as the Mental Capacity Act (2005). Yet research shows that “best interests” decisions can still reflect professional biases or risk-averse cultures rather than genuine person-centred values (Dunn, Clare &amp; Holland, 2008).</w:t>
      </w:r>
    </w:p>
    <w:p w:rsidR="7D51CA44" w:rsidP="5F93C8D5" w:rsidRDefault="7D51CA44" w14:paraId="4F794CCA" w14:textId="45D506CB">
      <w:pPr>
        <w:spacing w:before="240" w:beforeAutospacing="off" w:after="240" w:afterAutospacing="off" w:line="360" w:lineRule="auto"/>
        <w:rPr>
          <w:rFonts w:ascii="Arial Nova" w:hAnsi="Arial Nova" w:eastAsia="Arial Nova" w:cs="Arial Nova"/>
          <w:noProof w:val="0"/>
          <w:sz w:val="22"/>
          <w:szCs w:val="22"/>
          <w:lang w:val="en-GB"/>
        </w:rPr>
      </w:pPr>
      <w:r w:rsidRPr="5F93C8D5" w:rsidR="7D51CA44">
        <w:rPr>
          <w:rFonts w:ascii="Arial Nova" w:hAnsi="Arial Nova" w:eastAsia="Arial Nova" w:cs="Arial Nova"/>
          <w:noProof w:val="0"/>
          <w:sz w:val="22"/>
          <w:szCs w:val="22"/>
          <w:lang w:val="en-GB"/>
        </w:rPr>
        <w:t xml:space="preserve">Beneficence and non-maleficence further emphasise the need to act for the person’s good and avoid harm. While these principles appear straightforward, they become complex within resource-pressured services. Evidence </w:t>
      </w:r>
      <w:r w:rsidRPr="5F93C8D5" w:rsidR="7D51CA44">
        <w:rPr>
          <w:rFonts w:ascii="Arial Nova" w:hAnsi="Arial Nova" w:eastAsia="Arial Nova" w:cs="Arial Nova"/>
          <w:noProof w:val="0"/>
          <w:sz w:val="22"/>
          <w:szCs w:val="22"/>
          <w:lang w:val="en-GB"/>
        </w:rPr>
        <w:t>indicates</w:t>
      </w:r>
      <w:r w:rsidRPr="5F93C8D5" w:rsidR="7D51CA44">
        <w:rPr>
          <w:rFonts w:ascii="Arial Nova" w:hAnsi="Arial Nova" w:eastAsia="Arial Nova" w:cs="Arial Nova"/>
          <w:noProof w:val="0"/>
          <w:sz w:val="22"/>
          <w:szCs w:val="22"/>
          <w:lang w:val="en-GB"/>
        </w:rPr>
        <w:t xml:space="preserve"> that heavy workloads, emotional </w:t>
      </w:r>
      <w:r w:rsidRPr="5F93C8D5" w:rsidR="786A5F5A">
        <w:rPr>
          <w:rFonts w:ascii="Arial Nova" w:hAnsi="Arial Nova" w:eastAsia="Arial Nova" w:cs="Arial Nova"/>
          <w:noProof w:val="0"/>
          <w:sz w:val="22"/>
          <w:szCs w:val="22"/>
          <w:lang w:val="en-GB"/>
        </w:rPr>
        <w:t>strain,</w:t>
      </w:r>
      <w:r w:rsidRPr="5F93C8D5" w:rsidR="7D51CA44">
        <w:rPr>
          <w:rFonts w:ascii="Arial Nova" w:hAnsi="Arial Nova" w:eastAsia="Arial Nova" w:cs="Arial Nova"/>
          <w:noProof w:val="0"/>
          <w:sz w:val="22"/>
          <w:szCs w:val="22"/>
          <w:lang w:val="en-GB"/>
        </w:rPr>
        <w:t xml:space="preserve"> and organisational constraints often limit practitioners’ ability to deliver compassionate, person-centred support (Manley et al., 2011). Tadd et al. (2011) found that dignity an ethical cornerstone of person-centred care was sometimes compromised in acute NHS settings due to time pressures, competing priorities and systemic failings. Such findings highlight that ethical practice is heavily influenced by the organisational context, not simply individual behaviour.</w:t>
      </w:r>
    </w:p>
    <w:p w:rsidR="7D51CA44" w:rsidP="5F93C8D5" w:rsidRDefault="7D51CA44" w14:paraId="0007B8A7" w14:textId="4FDBAFC2">
      <w:pPr>
        <w:spacing w:before="240" w:beforeAutospacing="off" w:after="240" w:afterAutospacing="off" w:line="360" w:lineRule="auto"/>
        <w:rPr>
          <w:rFonts w:ascii="Arial Nova" w:hAnsi="Arial Nova" w:eastAsia="Arial Nova" w:cs="Arial Nova"/>
          <w:noProof w:val="0"/>
          <w:sz w:val="22"/>
          <w:szCs w:val="22"/>
          <w:lang w:val="en-GB"/>
        </w:rPr>
      </w:pPr>
      <w:r w:rsidRPr="5F93C8D5" w:rsidR="7D51CA44">
        <w:rPr>
          <w:rFonts w:ascii="Arial Nova" w:hAnsi="Arial Nova" w:eastAsia="Arial Nova" w:cs="Arial Nova"/>
          <w:noProof w:val="0"/>
          <w:sz w:val="22"/>
          <w:szCs w:val="22"/>
          <w:lang w:val="en-GB"/>
        </w:rPr>
        <w:t xml:space="preserve">Justice, the principle concerned with fairness and equality, is equally important. Ethical care requires that individuals receive </w:t>
      </w:r>
      <w:r w:rsidRPr="5F93C8D5" w:rsidR="7D51CA44">
        <w:rPr>
          <w:rFonts w:ascii="Arial Nova" w:hAnsi="Arial Nova" w:eastAsia="Arial Nova" w:cs="Arial Nova"/>
          <w:noProof w:val="0"/>
          <w:sz w:val="22"/>
          <w:szCs w:val="22"/>
          <w:lang w:val="en-GB"/>
        </w:rPr>
        <w:t>equitable</w:t>
      </w:r>
      <w:r w:rsidRPr="5F93C8D5" w:rsidR="7D51CA44">
        <w:rPr>
          <w:rFonts w:ascii="Arial Nova" w:hAnsi="Arial Nova" w:eastAsia="Arial Nova" w:cs="Arial Nova"/>
          <w:noProof w:val="0"/>
          <w:sz w:val="22"/>
          <w:szCs w:val="22"/>
          <w:lang w:val="en-GB"/>
        </w:rPr>
        <w:t xml:space="preserve"> treatment regardless of disability, ethnicity, </w:t>
      </w:r>
      <w:r w:rsidRPr="5F93C8D5" w:rsidR="43C55C77">
        <w:rPr>
          <w:rFonts w:ascii="Arial Nova" w:hAnsi="Arial Nova" w:eastAsia="Arial Nova" w:cs="Arial Nova"/>
          <w:noProof w:val="0"/>
          <w:sz w:val="22"/>
          <w:szCs w:val="22"/>
          <w:lang w:val="en-GB"/>
        </w:rPr>
        <w:t>age,</w:t>
      </w:r>
      <w:r w:rsidRPr="5F93C8D5" w:rsidR="7D51CA44">
        <w:rPr>
          <w:rFonts w:ascii="Arial Nova" w:hAnsi="Arial Nova" w:eastAsia="Arial Nova" w:cs="Arial Nova"/>
          <w:noProof w:val="0"/>
          <w:sz w:val="22"/>
          <w:szCs w:val="22"/>
          <w:lang w:val="en-GB"/>
        </w:rPr>
        <w:t xml:space="preserve"> or socioeconomic background. However, persistent inequalities within UK health and social care suggest that this principle is not consistently upheld in practice (Braveman et al., 2011). Ethical decision-making therefore demands an awareness of structural disadvantage and the willingness to challenge discriminatory practices.</w:t>
      </w:r>
    </w:p>
    <w:p w:rsidR="7D51CA44" w:rsidP="5F93C8D5" w:rsidRDefault="7D51CA44" w14:paraId="23214CD8" w14:textId="7A87D982">
      <w:pPr>
        <w:spacing w:before="240" w:beforeAutospacing="off" w:after="240" w:afterAutospacing="off" w:line="360" w:lineRule="auto"/>
        <w:rPr>
          <w:rFonts w:ascii="Arial Nova" w:hAnsi="Arial Nova" w:eastAsia="Arial Nova" w:cs="Arial Nova"/>
          <w:noProof w:val="0"/>
          <w:sz w:val="22"/>
          <w:szCs w:val="22"/>
          <w:lang w:val="en-GB"/>
        </w:rPr>
      </w:pPr>
      <w:r w:rsidRPr="5F93C8D5" w:rsidR="7D51CA44">
        <w:rPr>
          <w:rFonts w:ascii="Arial Nova" w:hAnsi="Arial Nova" w:eastAsia="Arial Nova" w:cs="Arial Nova"/>
          <w:noProof w:val="0"/>
          <w:sz w:val="22"/>
          <w:szCs w:val="22"/>
          <w:lang w:val="en-GB"/>
        </w:rPr>
        <w:t xml:space="preserve">Beyond principles, virtue ethics also plays </w:t>
      </w:r>
      <w:r w:rsidRPr="5F93C8D5" w:rsidR="7166DE69">
        <w:rPr>
          <w:rFonts w:ascii="Arial Nova" w:hAnsi="Arial Nova" w:eastAsia="Arial Nova" w:cs="Arial Nova"/>
          <w:noProof w:val="0"/>
          <w:sz w:val="22"/>
          <w:szCs w:val="22"/>
          <w:lang w:val="en-GB"/>
        </w:rPr>
        <w:t>a significant role</w:t>
      </w:r>
      <w:r w:rsidRPr="5F93C8D5" w:rsidR="7D51CA44">
        <w:rPr>
          <w:rFonts w:ascii="Arial Nova" w:hAnsi="Arial Nova" w:eastAsia="Arial Nova" w:cs="Arial Nova"/>
          <w:noProof w:val="0"/>
          <w:sz w:val="22"/>
          <w:szCs w:val="22"/>
          <w:lang w:val="en-GB"/>
        </w:rPr>
        <w:t xml:space="preserve"> in health and social care. Gallagher (2013) argues that ethical practice depends on the character and moral virtues of practitioners</w:t>
      </w:r>
      <w:r w:rsidRPr="5F93C8D5" w:rsidR="11A2ABDF">
        <w:rPr>
          <w:rFonts w:ascii="Arial Nova" w:hAnsi="Arial Nova" w:eastAsia="Arial Nova" w:cs="Arial Nova"/>
          <w:noProof w:val="0"/>
          <w:sz w:val="22"/>
          <w:szCs w:val="22"/>
          <w:lang w:val="en-GB"/>
        </w:rPr>
        <w:t xml:space="preserve"> </w:t>
      </w:r>
      <w:r w:rsidRPr="5F93C8D5" w:rsidR="7D51CA44">
        <w:rPr>
          <w:rFonts w:ascii="Arial Nova" w:hAnsi="Arial Nova" w:eastAsia="Arial Nova" w:cs="Arial Nova"/>
          <w:noProof w:val="0"/>
          <w:sz w:val="22"/>
          <w:szCs w:val="22"/>
          <w:lang w:val="en-GB"/>
        </w:rPr>
        <w:t>such as compassion, honesty and integrity</w:t>
      </w:r>
      <w:r w:rsidRPr="5F93C8D5" w:rsidR="61CBBD76">
        <w:rPr>
          <w:rFonts w:ascii="Arial Nova" w:hAnsi="Arial Nova" w:eastAsia="Arial Nova" w:cs="Arial Nova"/>
          <w:noProof w:val="0"/>
          <w:sz w:val="22"/>
          <w:szCs w:val="22"/>
          <w:lang w:val="en-GB"/>
        </w:rPr>
        <w:t xml:space="preserve"> </w:t>
      </w:r>
      <w:r w:rsidRPr="5F93C8D5" w:rsidR="7D51CA44">
        <w:rPr>
          <w:rFonts w:ascii="Arial Nova" w:hAnsi="Arial Nova" w:eastAsia="Arial Nova" w:cs="Arial Nova"/>
          <w:noProof w:val="0"/>
          <w:sz w:val="22"/>
          <w:szCs w:val="22"/>
          <w:lang w:val="en-GB"/>
        </w:rPr>
        <w:t>which shape how ethical principles are enacted in everyday interactions. This reinforces the idea that ethical, person-centred care requires not only policies and guidelines but also moral commitment and reflective practice.</w:t>
      </w:r>
    </w:p>
    <w:p w:rsidR="3DF9EB7C" w:rsidP="5F93C8D5" w:rsidRDefault="3DF9EB7C" w14:paraId="36D9C51F" w14:textId="78BF6880">
      <w:pPr>
        <w:pStyle w:val="Normal"/>
        <w:spacing w:before="240" w:beforeAutospacing="off" w:after="240" w:afterAutospacing="off" w:line="360" w:lineRule="auto"/>
        <w:rPr>
          <w:rFonts w:ascii="Arial Nova" w:hAnsi="Arial Nova" w:eastAsia="Arial Nova" w:cs="Arial Nova"/>
          <w:noProof w:val="0"/>
          <w:sz w:val="22"/>
          <w:szCs w:val="22"/>
          <w:lang w:val="en-GB"/>
        </w:rPr>
      </w:pPr>
      <w:r w:rsidRPr="5F93C8D5" w:rsidR="3DF9EB7C">
        <w:rPr>
          <w:rFonts w:ascii="Arial Nova" w:hAnsi="Arial Nova" w:eastAsia="Arial Nova" w:cs="Arial Nova"/>
          <w:b w:val="1"/>
          <w:bCs w:val="1"/>
          <w:noProof w:val="0"/>
          <w:sz w:val="24"/>
          <w:szCs w:val="24"/>
          <w:lang w:val="en-GB"/>
        </w:rPr>
        <w:t xml:space="preserve">Partnership Working </w:t>
      </w:r>
    </w:p>
    <w:p w:rsidR="6A3F393F" w:rsidP="5F93C8D5" w:rsidRDefault="6A3F393F" w14:paraId="08E6B295" w14:textId="218C0C1D">
      <w:pPr>
        <w:spacing w:before="240" w:beforeAutospacing="off" w:after="240" w:afterAutospacing="off" w:line="360" w:lineRule="auto"/>
      </w:pPr>
      <w:r w:rsidRPr="5F93C8D5" w:rsidR="6A3F393F">
        <w:rPr>
          <w:rFonts w:ascii="Arial Nova" w:hAnsi="Arial Nova" w:eastAsia="Arial Nova" w:cs="Arial Nova"/>
          <w:noProof w:val="0"/>
          <w:sz w:val="22"/>
          <w:szCs w:val="22"/>
          <w:lang w:val="en-GB"/>
        </w:rPr>
        <w:t xml:space="preserve">Partnership working has become a central expectation within UK health and social care policy, driven by the increasing complexity of service user needs, the rise in long-term conditions and the demand for coordinated, integrated support. Partnership working refers to collaborative arrangements between professionals, agencies, </w:t>
      </w:r>
      <w:r w:rsidRPr="5F93C8D5" w:rsidR="58425641">
        <w:rPr>
          <w:rFonts w:ascii="Arial Nova" w:hAnsi="Arial Nova" w:eastAsia="Arial Nova" w:cs="Arial Nova"/>
          <w:noProof w:val="0"/>
          <w:sz w:val="22"/>
          <w:szCs w:val="22"/>
          <w:lang w:val="en-GB"/>
        </w:rPr>
        <w:t>sectors,</w:t>
      </w:r>
      <w:r w:rsidRPr="5F93C8D5" w:rsidR="6A3F393F">
        <w:rPr>
          <w:rFonts w:ascii="Arial Nova" w:hAnsi="Arial Nova" w:eastAsia="Arial Nova" w:cs="Arial Nova"/>
          <w:noProof w:val="0"/>
          <w:sz w:val="22"/>
          <w:szCs w:val="22"/>
          <w:lang w:val="en-GB"/>
        </w:rPr>
        <w:t xml:space="preserve"> and service users aimed at improving outcomes through shared responsibility, mutual </w:t>
      </w:r>
      <w:r w:rsidRPr="5F93C8D5" w:rsidR="285885EF">
        <w:rPr>
          <w:rFonts w:ascii="Arial Nova" w:hAnsi="Arial Nova" w:eastAsia="Arial Nova" w:cs="Arial Nova"/>
          <w:noProof w:val="0"/>
          <w:sz w:val="22"/>
          <w:szCs w:val="22"/>
          <w:lang w:val="en-GB"/>
        </w:rPr>
        <w:t>respect,</w:t>
      </w:r>
      <w:r w:rsidRPr="5F93C8D5" w:rsidR="6A3F393F">
        <w:rPr>
          <w:rFonts w:ascii="Arial Nova" w:hAnsi="Arial Nova" w:eastAsia="Arial Nova" w:cs="Arial Nova"/>
          <w:noProof w:val="0"/>
          <w:sz w:val="22"/>
          <w:szCs w:val="22"/>
          <w:lang w:val="en-GB"/>
        </w:rPr>
        <w:t xml:space="preserve"> and joint decision-making (Glasby &amp; Dickinson, 2014). While the concept is widely promoted in policy, its practical effectiveness is mixed, with benefits often accompanied by significant challenges.</w:t>
      </w:r>
    </w:p>
    <w:p w:rsidR="6A3F393F" w:rsidP="5F93C8D5" w:rsidRDefault="6A3F393F" w14:paraId="182A2276" w14:textId="4B95AFBA">
      <w:pPr>
        <w:spacing w:before="240" w:beforeAutospacing="off" w:after="240" w:afterAutospacing="off" w:line="360" w:lineRule="auto"/>
      </w:pPr>
      <w:r w:rsidRPr="5F93C8D5" w:rsidR="6A3F393F">
        <w:rPr>
          <w:rFonts w:ascii="Arial Nova" w:hAnsi="Arial Nova" w:eastAsia="Arial Nova" w:cs="Arial Nova"/>
          <w:noProof w:val="0"/>
          <w:sz w:val="22"/>
          <w:szCs w:val="22"/>
          <w:lang w:val="en-GB"/>
        </w:rPr>
        <w:t xml:space="preserve">A key strength of partnership working is its potential to deliver more holistic and person-centred care. When agencies collaborate effectively, individuals experience smoother transitions, reduced fragmentation and greater continuity in their care (Clarke et al., 2015). Research shows that interprofessional working can enhance communication, reduce duplication of </w:t>
      </w:r>
      <w:r w:rsidRPr="5F93C8D5" w:rsidR="720EE374">
        <w:rPr>
          <w:rFonts w:ascii="Arial Nova" w:hAnsi="Arial Nova" w:eastAsia="Arial Nova" w:cs="Arial Nova"/>
          <w:noProof w:val="0"/>
          <w:sz w:val="22"/>
          <w:szCs w:val="22"/>
          <w:lang w:val="en-GB"/>
        </w:rPr>
        <w:t>services,</w:t>
      </w:r>
      <w:r w:rsidRPr="5F93C8D5" w:rsidR="6A3F393F">
        <w:rPr>
          <w:rFonts w:ascii="Arial Nova" w:hAnsi="Arial Nova" w:eastAsia="Arial Nova" w:cs="Arial Nova"/>
          <w:noProof w:val="0"/>
          <w:sz w:val="22"/>
          <w:szCs w:val="22"/>
          <w:lang w:val="en-GB"/>
        </w:rPr>
        <w:t xml:space="preserve"> and promote better health outcomes, particularly for individuals with complex or long-term needs (Atwal &amp; Caldwell, 2006). These benefits align closely with the principles of person-centred care, as coordinated efforts enable practitioners to consider service users’ values and preferences across settings.</w:t>
      </w:r>
    </w:p>
    <w:p w:rsidR="6A3F393F" w:rsidP="5F93C8D5" w:rsidRDefault="6A3F393F" w14:paraId="6EC5413C" w14:textId="0FC0A0E7">
      <w:pPr>
        <w:spacing w:before="240" w:beforeAutospacing="off" w:after="240" w:afterAutospacing="off" w:line="360" w:lineRule="auto"/>
      </w:pPr>
      <w:r w:rsidRPr="5F93C8D5" w:rsidR="6A3F393F">
        <w:rPr>
          <w:rFonts w:ascii="Arial Nova" w:hAnsi="Arial Nova" w:eastAsia="Arial Nova" w:cs="Arial Nova"/>
          <w:noProof w:val="0"/>
          <w:sz w:val="22"/>
          <w:szCs w:val="22"/>
          <w:lang w:val="en-GB"/>
        </w:rPr>
        <w:t>However, despite these strengths, achieving meaningful partnership working remains challenging. Evidence consistently highlights power imbalances between professions and organisations as a major barrier (Hudson, 2002). Medical dominance, hierarchical cultures and differing professional identities can hinder open communication and equitable decision-making within teams. Savage and Moore (2004) argue that interprofessional collaboration often fails when professions maintain rigid boundaries, resulting in conflict or resistance rather than cooperative practice.</w:t>
      </w:r>
    </w:p>
    <w:p w:rsidR="6A3F393F" w:rsidP="5F93C8D5" w:rsidRDefault="6A3F393F" w14:paraId="3089987C" w14:textId="097BCBCE">
      <w:pPr>
        <w:spacing w:before="240" w:beforeAutospacing="off" w:after="240" w:afterAutospacing="off" w:line="360" w:lineRule="auto"/>
      </w:pPr>
      <w:r w:rsidRPr="5F93C8D5" w:rsidR="6A3F393F">
        <w:rPr>
          <w:rFonts w:ascii="Arial Nova" w:hAnsi="Arial Nova" w:eastAsia="Arial Nova" w:cs="Arial Nova"/>
          <w:noProof w:val="0"/>
          <w:sz w:val="22"/>
          <w:szCs w:val="22"/>
          <w:lang w:val="en-GB"/>
        </w:rPr>
        <w:t xml:space="preserve">Structural and organisational barriers further undermine effective partnership working. Fragmented commissioning, incompatible information </w:t>
      </w:r>
      <w:r w:rsidRPr="5F93C8D5" w:rsidR="644277C4">
        <w:rPr>
          <w:rFonts w:ascii="Arial Nova" w:hAnsi="Arial Nova" w:eastAsia="Arial Nova" w:cs="Arial Nova"/>
          <w:noProof w:val="0"/>
          <w:sz w:val="22"/>
          <w:szCs w:val="22"/>
          <w:lang w:val="en-GB"/>
        </w:rPr>
        <w:t>systems,</w:t>
      </w:r>
      <w:r w:rsidRPr="5F93C8D5" w:rsidR="6A3F393F">
        <w:rPr>
          <w:rFonts w:ascii="Arial Nova" w:hAnsi="Arial Nova" w:eastAsia="Arial Nova" w:cs="Arial Nova"/>
          <w:noProof w:val="0"/>
          <w:sz w:val="22"/>
          <w:szCs w:val="22"/>
          <w:lang w:val="en-GB"/>
        </w:rPr>
        <w:t xml:space="preserve"> and variable resource levels between agencies can create tensions and limit shared working (Glasby &amp; Dickinson, 2014). Atwal and Caldwell (2006) found that time pressures and unclear role definitions </w:t>
      </w:r>
      <w:r w:rsidRPr="5F93C8D5" w:rsidR="6A3F393F">
        <w:rPr>
          <w:rFonts w:ascii="Arial Nova" w:hAnsi="Arial Nova" w:eastAsia="Arial Nova" w:cs="Arial Nova"/>
          <w:noProof w:val="0"/>
          <w:sz w:val="22"/>
          <w:szCs w:val="22"/>
          <w:lang w:val="en-GB"/>
        </w:rPr>
        <w:t>frequently</w:t>
      </w:r>
      <w:r w:rsidRPr="5F93C8D5" w:rsidR="6A3F393F">
        <w:rPr>
          <w:rFonts w:ascii="Arial Nova" w:hAnsi="Arial Nova" w:eastAsia="Arial Nova" w:cs="Arial Nova"/>
          <w:noProof w:val="0"/>
          <w:sz w:val="22"/>
          <w:szCs w:val="22"/>
          <w:lang w:val="en-GB"/>
        </w:rPr>
        <w:t xml:space="preserve"> impede teamwork, leading to confusion and reduced accountability. These issues can result in superficial forms of partnership working in which collaboration is promoted rhetorically but not consistently enacted in practice.</w:t>
      </w:r>
    </w:p>
    <w:p w:rsidR="6A3F393F" w:rsidP="5F93C8D5" w:rsidRDefault="6A3F393F" w14:paraId="4F3C5D1B" w14:textId="3E3B5DC5">
      <w:pPr>
        <w:spacing w:before="240" w:beforeAutospacing="off" w:after="240" w:afterAutospacing="off" w:line="360" w:lineRule="auto"/>
      </w:pPr>
      <w:r w:rsidRPr="5F93C8D5" w:rsidR="6A3F393F">
        <w:rPr>
          <w:rFonts w:ascii="Arial Nova" w:hAnsi="Arial Nova" w:eastAsia="Arial Nova" w:cs="Arial Nova"/>
          <w:noProof w:val="0"/>
          <w:sz w:val="22"/>
          <w:szCs w:val="22"/>
          <w:lang w:val="en-GB"/>
        </w:rPr>
        <w:t xml:space="preserve">Cultural differences between organisations also contribute to inconsistent collaboration. Health services, social care, voluntary </w:t>
      </w:r>
      <w:r w:rsidRPr="5F93C8D5" w:rsidR="2F3C52E1">
        <w:rPr>
          <w:rFonts w:ascii="Arial Nova" w:hAnsi="Arial Nova" w:eastAsia="Arial Nova" w:cs="Arial Nova"/>
          <w:noProof w:val="0"/>
          <w:sz w:val="22"/>
          <w:szCs w:val="22"/>
          <w:lang w:val="en-GB"/>
        </w:rPr>
        <w:t>organisations,</w:t>
      </w:r>
      <w:r w:rsidRPr="5F93C8D5" w:rsidR="6A3F393F">
        <w:rPr>
          <w:rFonts w:ascii="Arial Nova" w:hAnsi="Arial Nova" w:eastAsia="Arial Nova" w:cs="Arial Nova"/>
          <w:noProof w:val="0"/>
          <w:sz w:val="22"/>
          <w:szCs w:val="22"/>
          <w:lang w:val="en-GB"/>
        </w:rPr>
        <w:t xml:space="preserve"> and private providers often </w:t>
      </w:r>
      <w:r w:rsidRPr="5F93C8D5" w:rsidR="6A3F393F">
        <w:rPr>
          <w:rFonts w:ascii="Arial Nova" w:hAnsi="Arial Nova" w:eastAsia="Arial Nova" w:cs="Arial Nova"/>
          <w:noProof w:val="0"/>
          <w:sz w:val="22"/>
          <w:szCs w:val="22"/>
          <w:lang w:val="en-GB"/>
        </w:rPr>
        <w:t>operate</w:t>
      </w:r>
      <w:r w:rsidRPr="5F93C8D5" w:rsidR="6A3F393F">
        <w:rPr>
          <w:rFonts w:ascii="Arial Nova" w:hAnsi="Arial Nova" w:eastAsia="Arial Nova" w:cs="Arial Nova"/>
          <w:noProof w:val="0"/>
          <w:sz w:val="22"/>
          <w:szCs w:val="22"/>
          <w:lang w:val="en-GB"/>
        </w:rPr>
        <w:t xml:space="preserve"> with distinct philosophies, </w:t>
      </w:r>
      <w:r w:rsidRPr="5F93C8D5" w:rsidR="7B19EE51">
        <w:rPr>
          <w:rFonts w:ascii="Arial Nova" w:hAnsi="Arial Nova" w:eastAsia="Arial Nova" w:cs="Arial Nova"/>
          <w:noProof w:val="0"/>
          <w:sz w:val="22"/>
          <w:szCs w:val="22"/>
          <w:lang w:val="en-GB"/>
        </w:rPr>
        <w:t>priorities,</w:t>
      </w:r>
      <w:r w:rsidRPr="5F93C8D5" w:rsidR="6A3F393F">
        <w:rPr>
          <w:rFonts w:ascii="Arial Nova" w:hAnsi="Arial Nova" w:eastAsia="Arial Nova" w:cs="Arial Nova"/>
          <w:noProof w:val="0"/>
          <w:sz w:val="22"/>
          <w:szCs w:val="22"/>
          <w:lang w:val="en-GB"/>
        </w:rPr>
        <w:t xml:space="preserve"> and performance expectations. Without shared goals and strong relational trust, partnership working risks becoming tokenistic, particularly when agencies </w:t>
      </w:r>
      <w:r w:rsidRPr="5F93C8D5" w:rsidR="6A3F393F">
        <w:rPr>
          <w:rFonts w:ascii="Arial Nova" w:hAnsi="Arial Nova" w:eastAsia="Arial Nova" w:cs="Arial Nova"/>
          <w:noProof w:val="0"/>
          <w:sz w:val="22"/>
          <w:szCs w:val="22"/>
          <w:lang w:val="en-GB"/>
        </w:rPr>
        <w:t>are required to</w:t>
      </w:r>
      <w:r w:rsidRPr="5F93C8D5" w:rsidR="6A3F393F">
        <w:rPr>
          <w:rFonts w:ascii="Arial Nova" w:hAnsi="Arial Nova" w:eastAsia="Arial Nova" w:cs="Arial Nova"/>
          <w:noProof w:val="0"/>
          <w:sz w:val="22"/>
          <w:szCs w:val="22"/>
          <w:lang w:val="en-GB"/>
        </w:rPr>
        <w:t xml:space="preserve"> cooperate without adequate support or shared resources (Cameron et al., 2012).</w:t>
      </w:r>
    </w:p>
    <w:p w:rsidR="6A3F393F" w:rsidP="5F93C8D5" w:rsidRDefault="6A3F393F" w14:paraId="6CA3B395" w14:textId="7179F044">
      <w:pPr>
        <w:spacing w:before="240" w:beforeAutospacing="off" w:after="240" w:afterAutospacing="off" w:line="360" w:lineRule="auto"/>
      </w:pPr>
      <w:r w:rsidRPr="5F93C8D5" w:rsidR="6A3F393F">
        <w:rPr>
          <w:rFonts w:ascii="Arial Nova" w:hAnsi="Arial Nova" w:eastAsia="Arial Nova" w:cs="Arial Nova"/>
          <w:noProof w:val="0"/>
          <w:sz w:val="22"/>
          <w:szCs w:val="22"/>
          <w:lang w:val="en-GB"/>
        </w:rPr>
        <w:t xml:space="preserve">Despite these challenges, partnership working </w:t>
      </w:r>
      <w:r w:rsidRPr="5F93C8D5" w:rsidR="6A3F393F">
        <w:rPr>
          <w:rFonts w:ascii="Arial Nova" w:hAnsi="Arial Nova" w:eastAsia="Arial Nova" w:cs="Arial Nova"/>
          <w:noProof w:val="0"/>
          <w:sz w:val="22"/>
          <w:szCs w:val="22"/>
          <w:lang w:val="en-GB"/>
        </w:rPr>
        <w:t>remains</w:t>
      </w:r>
      <w:r w:rsidRPr="5F93C8D5" w:rsidR="6A3F393F">
        <w:rPr>
          <w:rFonts w:ascii="Arial Nova" w:hAnsi="Arial Nova" w:eastAsia="Arial Nova" w:cs="Arial Nova"/>
          <w:noProof w:val="0"/>
          <w:sz w:val="22"/>
          <w:szCs w:val="22"/>
          <w:lang w:val="en-GB"/>
        </w:rPr>
        <w:t xml:space="preserve"> essential to contemporary practice. Effective collaboration depends on shared values, clear communication, supportive </w:t>
      </w:r>
      <w:r w:rsidRPr="5F93C8D5" w:rsidR="1958C848">
        <w:rPr>
          <w:rFonts w:ascii="Arial Nova" w:hAnsi="Arial Nova" w:eastAsia="Arial Nova" w:cs="Arial Nova"/>
          <w:noProof w:val="0"/>
          <w:sz w:val="22"/>
          <w:szCs w:val="22"/>
          <w:lang w:val="en-GB"/>
        </w:rPr>
        <w:t>leadership,</w:t>
      </w:r>
      <w:r w:rsidRPr="5F93C8D5" w:rsidR="6A3F393F">
        <w:rPr>
          <w:rFonts w:ascii="Arial Nova" w:hAnsi="Arial Nova" w:eastAsia="Arial Nova" w:cs="Arial Nova"/>
          <w:noProof w:val="0"/>
          <w:sz w:val="22"/>
          <w:szCs w:val="22"/>
          <w:lang w:val="en-GB"/>
        </w:rPr>
        <w:t xml:space="preserve"> and a willingness among professionals to negotiate boundaries. When organisations invest in relationship-building, joint training and integrated pathways, partnership working can significantly enhance both service quality and user experience. </w:t>
      </w:r>
    </w:p>
    <w:p w:rsidR="5DADCC3D" w:rsidP="5F93C8D5" w:rsidRDefault="5DADCC3D" w14:paraId="66BE25CF" w14:textId="42609415">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F93C8D5" w:rsidR="5DADCC3D">
        <w:rPr>
          <w:rFonts w:ascii="Arial Nova" w:hAnsi="Arial Nova" w:eastAsia="Arial Nova" w:cs="Arial Nova"/>
          <w:b w:val="1"/>
          <w:bCs w:val="1"/>
          <w:noProof w:val="0"/>
          <w:sz w:val="24"/>
          <w:szCs w:val="24"/>
          <w:lang w:val="en-GB"/>
        </w:rPr>
        <w:t xml:space="preserve">Policy and Legislation </w:t>
      </w:r>
    </w:p>
    <w:p w:rsidR="5DADCC3D" w:rsidP="5F93C8D5" w:rsidRDefault="5DADCC3D" w14:paraId="7838299F" w14:textId="7E53F303">
      <w:pPr>
        <w:spacing w:before="240" w:beforeAutospacing="off" w:after="240" w:afterAutospacing="off" w:line="360" w:lineRule="auto"/>
        <w:rPr>
          <w:rFonts w:ascii="Arial Nova" w:hAnsi="Arial Nova" w:eastAsia="Arial Nova" w:cs="Arial Nova"/>
          <w:noProof w:val="0"/>
          <w:sz w:val="22"/>
          <w:szCs w:val="22"/>
          <w:lang w:val="en-GB"/>
        </w:rPr>
      </w:pPr>
      <w:r w:rsidRPr="5F93C8D5" w:rsidR="5DADCC3D">
        <w:rPr>
          <w:rFonts w:ascii="Arial Nova" w:hAnsi="Arial Nova" w:eastAsia="Arial Nova" w:cs="Arial Nova"/>
          <w:noProof w:val="0"/>
          <w:sz w:val="22"/>
          <w:szCs w:val="22"/>
          <w:lang w:val="en-GB"/>
        </w:rPr>
        <w:t xml:space="preserve">UK health and social care policy strongly endorses person-centred care and partnership working as core principles for modern practice. The Health and Social Care Act 2012 introduced major structural reforms designed to strengthen integration, patient </w:t>
      </w:r>
      <w:r w:rsidRPr="5F93C8D5" w:rsidR="1A40CD78">
        <w:rPr>
          <w:rFonts w:ascii="Arial Nova" w:hAnsi="Arial Nova" w:eastAsia="Arial Nova" w:cs="Arial Nova"/>
          <w:noProof w:val="0"/>
          <w:sz w:val="22"/>
          <w:szCs w:val="22"/>
          <w:lang w:val="en-GB"/>
        </w:rPr>
        <w:t>choice,</w:t>
      </w:r>
      <w:r w:rsidRPr="5F93C8D5" w:rsidR="5DADCC3D">
        <w:rPr>
          <w:rFonts w:ascii="Arial Nova" w:hAnsi="Arial Nova" w:eastAsia="Arial Nova" w:cs="Arial Nova"/>
          <w:noProof w:val="0"/>
          <w:sz w:val="22"/>
          <w:szCs w:val="22"/>
          <w:lang w:val="en-GB"/>
        </w:rPr>
        <w:t xml:space="preserve"> and multi-agency collaboration. Although the Act emphasised partnership working through Health and Wellbeing Boards and integrated commissioning, critics argue that increased marketisation and organisational fragmentation sometimes hindered joined-up care (Glasby &amp; Dickinson, 2014).</w:t>
      </w:r>
    </w:p>
    <w:p w:rsidR="5DADCC3D" w:rsidP="5F93C8D5" w:rsidRDefault="5DADCC3D" w14:paraId="3BFFAD98" w14:textId="3F7F6780">
      <w:pPr>
        <w:spacing w:before="240" w:beforeAutospacing="off" w:after="240" w:afterAutospacing="off" w:line="360" w:lineRule="auto"/>
        <w:rPr>
          <w:rFonts w:ascii="Arial Nova" w:hAnsi="Arial Nova" w:eastAsia="Arial Nova" w:cs="Arial Nova"/>
          <w:noProof w:val="0"/>
          <w:sz w:val="22"/>
          <w:szCs w:val="22"/>
          <w:lang w:val="en-GB"/>
        </w:rPr>
      </w:pPr>
      <w:r w:rsidRPr="5F93C8D5" w:rsidR="5DADCC3D">
        <w:rPr>
          <w:rFonts w:ascii="Arial Nova" w:hAnsi="Arial Nova" w:eastAsia="Arial Nova" w:cs="Arial Nova"/>
          <w:noProof w:val="0"/>
          <w:sz w:val="22"/>
          <w:szCs w:val="22"/>
          <w:lang w:val="en-GB"/>
        </w:rPr>
        <w:t xml:space="preserve">The Care Act 2014 </w:t>
      </w:r>
      <w:r w:rsidRPr="5F93C8D5" w:rsidR="5DADCC3D">
        <w:rPr>
          <w:rFonts w:ascii="Arial Nova" w:hAnsi="Arial Nova" w:eastAsia="Arial Nova" w:cs="Arial Nova"/>
          <w:noProof w:val="0"/>
          <w:sz w:val="22"/>
          <w:szCs w:val="22"/>
          <w:lang w:val="en-GB"/>
        </w:rPr>
        <w:t>represents</w:t>
      </w:r>
      <w:r w:rsidRPr="5F93C8D5" w:rsidR="5DADCC3D">
        <w:rPr>
          <w:rFonts w:ascii="Arial Nova" w:hAnsi="Arial Nova" w:eastAsia="Arial Nova" w:cs="Arial Nova"/>
          <w:noProof w:val="0"/>
          <w:sz w:val="22"/>
          <w:szCs w:val="22"/>
          <w:lang w:val="en-GB"/>
        </w:rPr>
        <w:t xml:space="preserve"> one of the clearest legislative commitments to person-centred care in adult social care. It places wellbeing, choice, </w:t>
      </w:r>
      <w:r w:rsidRPr="5F93C8D5" w:rsidR="6A4AA432">
        <w:rPr>
          <w:rFonts w:ascii="Arial Nova" w:hAnsi="Arial Nova" w:eastAsia="Arial Nova" w:cs="Arial Nova"/>
          <w:noProof w:val="0"/>
          <w:sz w:val="22"/>
          <w:szCs w:val="22"/>
          <w:lang w:val="en-GB"/>
        </w:rPr>
        <w:t>prevention,</w:t>
      </w:r>
      <w:r w:rsidRPr="5F93C8D5" w:rsidR="5DADCC3D">
        <w:rPr>
          <w:rFonts w:ascii="Arial Nova" w:hAnsi="Arial Nova" w:eastAsia="Arial Nova" w:cs="Arial Nova"/>
          <w:noProof w:val="0"/>
          <w:sz w:val="22"/>
          <w:szCs w:val="22"/>
          <w:lang w:val="en-GB"/>
        </w:rPr>
        <w:t xml:space="preserve"> and involvement at the centre of assessment and support planning, requiring local authorities to adopt a collaborative and outcomes-focused approach. Importantly, the Act mandates cooperation between health, social care, </w:t>
      </w:r>
      <w:r w:rsidRPr="5F93C8D5" w:rsidR="786A1F88">
        <w:rPr>
          <w:rFonts w:ascii="Arial Nova" w:hAnsi="Arial Nova" w:eastAsia="Arial Nova" w:cs="Arial Nova"/>
          <w:noProof w:val="0"/>
          <w:sz w:val="22"/>
          <w:szCs w:val="22"/>
          <w:lang w:val="en-GB"/>
        </w:rPr>
        <w:t>housing,</w:t>
      </w:r>
      <w:r w:rsidRPr="5F93C8D5" w:rsidR="5DADCC3D">
        <w:rPr>
          <w:rFonts w:ascii="Arial Nova" w:hAnsi="Arial Nova" w:eastAsia="Arial Nova" w:cs="Arial Nova"/>
          <w:noProof w:val="0"/>
          <w:sz w:val="22"/>
          <w:szCs w:val="22"/>
          <w:lang w:val="en-GB"/>
        </w:rPr>
        <w:t xml:space="preserve"> and community agencies, providing a statutory foundation for partnership working. However, evidence suggests that financial pressures and workforce shortages have limited its consistent implementation (Wittenberg et al., 2019).</w:t>
      </w:r>
    </w:p>
    <w:p w:rsidR="5DADCC3D" w:rsidP="5F93C8D5" w:rsidRDefault="5DADCC3D" w14:paraId="302CCB58" w14:textId="6854DA7C">
      <w:pPr>
        <w:spacing w:before="240" w:beforeAutospacing="off" w:after="240" w:afterAutospacing="off" w:line="360" w:lineRule="auto"/>
        <w:rPr>
          <w:rFonts w:ascii="Arial Nova" w:hAnsi="Arial Nova" w:eastAsia="Arial Nova" w:cs="Arial Nova"/>
          <w:noProof w:val="0"/>
          <w:sz w:val="22"/>
          <w:szCs w:val="22"/>
          <w:lang w:val="en-GB"/>
        </w:rPr>
      </w:pPr>
      <w:r w:rsidRPr="5F93C8D5" w:rsidR="5DADCC3D">
        <w:rPr>
          <w:rFonts w:ascii="Arial Nova" w:hAnsi="Arial Nova" w:eastAsia="Arial Nova" w:cs="Arial Nova"/>
          <w:noProof w:val="0"/>
          <w:sz w:val="22"/>
          <w:szCs w:val="22"/>
          <w:lang w:val="en-GB"/>
        </w:rPr>
        <w:t>The Mental Capacity Act 2005 is also central to person-centred practice. It promotes autonomy through supported decision-making and the requirement to act in an individual’s best interests when capacity is impaired. The Act reinforces ethical principles of dignity and participation, although studies highlight variable understanding of the legislation and continued tensions around risk, safeguarding and empowerment (Dunn, Clare &amp; Holland, 2008).</w:t>
      </w:r>
    </w:p>
    <w:p w:rsidR="5DADCC3D" w:rsidP="5F93C8D5" w:rsidRDefault="5DADCC3D" w14:paraId="5ADEFF0A" w14:textId="7CEFF6B3">
      <w:pPr>
        <w:spacing w:before="240" w:beforeAutospacing="off" w:after="240" w:afterAutospacing="off" w:line="360" w:lineRule="auto"/>
        <w:rPr>
          <w:rFonts w:ascii="Arial Nova" w:hAnsi="Arial Nova" w:eastAsia="Arial Nova" w:cs="Arial Nova"/>
          <w:noProof w:val="0"/>
          <w:sz w:val="22"/>
          <w:szCs w:val="22"/>
          <w:lang w:val="en-GB"/>
        </w:rPr>
      </w:pPr>
      <w:r w:rsidRPr="5F93C8D5" w:rsidR="5DADCC3D">
        <w:rPr>
          <w:rFonts w:ascii="Arial Nova" w:hAnsi="Arial Nova" w:eastAsia="Arial Nova" w:cs="Arial Nova"/>
          <w:noProof w:val="0"/>
          <w:sz w:val="22"/>
          <w:szCs w:val="22"/>
          <w:lang w:val="en-GB"/>
        </w:rPr>
        <w:t>The Equality Act 2010 further underpins person-centred practice by prohibiting discrimination and requiring reasonable adjustments to ensure equitable care. This supports person-centred care by ensuring that services respond to diverse needs and protect vulnerable groups from disadvantage.</w:t>
      </w:r>
    </w:p>
    <w:p w:rsidR="5DADCC3D" w:rsidP="5F93C8D5" w:rsidRDefault="5DADCC3D" w14:paraId="74458636" w14:textId="1AD66260">
      <w:pPr>
        <w:spacing w:before="240" w:beforeAutospacing="off" w:after="240" w:afterAutospacing="off" w:line="360" w:lineRule="auto"/>
        <w:rPr>
          <w:rFonts w:ascii="Arial Nova" w:hAnsi="Arial Nova" w:eastAsia="Arial Nova" w:cs="Arial Nova"/>
          <w:noProof w:val="0"/>
          <w:sz w:val="22"/>
          <w:szCs w:val="22"/>
          <w:lang w:val="en-GB"/>
        </w:rPr>
      </w:pPr>
      <w:r w:rsidRPr="5F93C8D5" w:rsidR="5DADCC3D">
        <w:rPr>
          <w:rFonts w:ascii="Arial Nova" w:hAnsi="Arial Nova" w:eastAsia="Arial Nova" w:cs="Arial Nova"/>
          <w:noProof w:val="0"/>
          <w:sz w:val="22"/>
          <w:szCs w:val="22"/>
          <w:lang w:val="en-GB"/>
        </w:rPr>
        <w:t xml:space="preserve">At policy level, the NHS Long Term Plan (2019) emphasises personalised care, integrated neighbourhood </w:t>
      </w:r>
      <w:r w:rsidRPr="5F93C8D5" w:rsidR="7FE14C53">
        <w:rPr>
          <w:rFonts w:ascii="Arial Nova" w:hAnsi="Arial Nova" w:eastAsia="Arial Nova" w:cs="Arial Nova"/>
          <w:noProof w:val="0"/>
          <w:sz w:val="22"/>
          <w:szCs w:val="22"/>
          <w:lang w:val="en-GB"/>
        </w:rPr>
        <w:t>teams,</w:t>
      </w:r>
      <w:r w:rsidRPr="5F93C8D5" w:rsidR="5DADCC3D">
        <w:rPr>
          <w:rFonts w:ascii="Arial Nova" w:hAnsi="Arial Nova" w:eastAsia="Arial Nova" w:cs="Arial Nova"/>
          <w:noProof w:val="0"/>
          <w:sz w:val="22"/>
          <w:szCs w:val="22"/>
          <w:lang w:val="en-GB"/>
        </w:rPr>
        <w:t xml:space="preserve"> and co-production, </w:t>
      </w:r>
      <w:r w:rsidRPr="5F93C8D5" w:rsidR="5DADCC3D">
        <w:rPr>
          <w:rFonts w:ascii="Arial Nova" w:hAnsi="Arial Nova" w:eastAsia="Arial Nova" w:cs="Arial Nova"/>
          <w:noProof w:val="0"/>
          <w:sz w:val="22"/>
          <w:szCs w:val="22"/>
          <w:lang w:val="en-GB"/>
        </w:rPr>
        <w:t>demonstrating</w:t>
      </w:r>
      <w:r w:rsidRPr="5F93C8D5" w:rsidR="5DADCC3D">
        <w:rPr>
          <w:rFonts w:ascii="Arial Nova" w:hAnsi="Arial Nova" w:eastAsia="Arial Nova" w:cs="Arial Nova"/>
          <w:noProof w:val="0"/>
          <w:sz w:val="22"/>
          <w:szCs w:val="22"/>
          <w:lang w:val="en-GB"/>
        </w:rPr>
        <w:t xml:space="preserve"> a continued commitment to partnership working. NICE guidelines, such as NG97 on dementia and NG5 on personalised care, translate these aspirations into evidence-based practice standards, although their implementation is often constrained by local capacity and resourcing. Collectively, UK policy and legislation strongly endorse person-centred and collaborative care, yet persistent systemic pressures limit full realisation in practice.</w:t>
      </w:r>
    </w:p>
    <w:p w:rsidR="31EF22E2" w:rsidP="5F93C8D5" w:rsidRDefault="31EF22E2" w14:paraId="7B523672" w14:textId="7836CB4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F93C8D5" w:rsidR="31EF22E2">
        <w:rPr>
          <w:rFonts w:ascii="Arial Nova" w:hAnsi="Arial Nova" w:eastAsia="Arial Nova" w:cs="Arial Nova"/>
          <w:b w:val="1"/>
          <w:bCs w:val="1"/>
          <w:noProof w:val="0"/>
          <w:sz w:val="24"/>
          <w:szCs w:val="24"/>
          <w:lang w:val="en-GB"/>
        </w:rPr>
        <w:t xml:space="preserve">Recommendations </w:t>
      </w:r>
    </w:p>
    <w:p w:rsidR="31EF22E2" w:rsidP="5F93C8D5" w:rsidRDefault="31EF22E2" w14:paraId="2764772D" w14:textId="3BC94821">
      <w:pPr>
        <w:spacing w:before="240" w:beforeAutospacing="off" w:after="240" w:afterAutospacing="off" w:line="360" w:lineRule="auto"/>
        <w:rPr>
          <w:rFonts w:ascii="Arial Nova" w:hAnsi="Arial Nova" w:eastAsia="Arial Nova" w:cs="Arial Nova"/>
          <w:noProof w:val="0"/>
          <w:sz w:val="22"/>
          <w:szCs w:val="22"/>
          <w:lang w:val="en-GB"/>
        </w:rPr>
      </w:pPr>
      <w:r w:rsidRPr="5F93C8D5" w:rsidR="31EF22E2">
        <w:rPr>
          <w:rFonts w:ascii="Arial Nova" w:hAnsi="Arial Nova" w:eastAsia="Arial Nova" w:cs="Arial Nova"/>
          <w:noProof w:val="0"/>
          <w:sz w:val="22"/>
          <w:szCs w:val="22"/>
          <w:lang w:val="en-GB"/>
        </w:rPr>
        <w:t xml:space="preserve">Future development of person-centred care and partnership working in the UK requires stronger integration, shared </w:t>
      </w:r>
      <w:r w:rsidRPr="5F93C8D5" w:rsidR="4711B440">
        <w:rPr>
          <w:rFonts w:ascii="Arial Nova" w:hAnsi="Arial Nova" w:eastAsia="Arial Nova" w:cs="Arial Nova"/>
          <w:noProof w:val="0"/>
          <w:sz w:val="22"/>
          <w:szCs w:val="22"/>
          <w:lang w:val="en-GB"/>
        </w:rPr>
        <w:t>accountability,</w:t>
      </w:r>
      <w:r w:rsidRPr="5F93C8D5" w:rsidR="31EF22E2">
        <w:rPr>
          <w:rFonts w:ascii="Arial Nova" w:hAnsi="Arial Nova" w:eastAsia="Arial Nova" w:cs="Arial Nova"/>
          <w:noProof w:val="0"/>
          <w:sz w:val="22"/>
          <w:szCs w:val="22"/>
          <w:lang w:val="en-GB"/>
        </w:rPr>
        <w:t xml:space="preserve"> and sustained investment. First, clearer operational guidance is needed to support consistent implementation of person-centred principles. Evidence shows that without explicit frameworks, person-centred care risks becoming superficial or inconsistently applied (Kitson et al., 2013). Second, investment in the workforce is essential. Research highlights the importance of interprofessional training, reflective </w:t>
      </w:r>
      <w:r w:rsidRPr="5F93C8D5" w:rsidR="63D0566D">
        <w:rPr>
          <w:rFonts w:ascii="Arial Nova" w:hAnsi="Arial Nova" w:eastAsia="Arial Nova" w:cs="Arial Nova"/>
          <w:noProof w:val="0"/>
          <w:sz w:val="22"/>
          <w:szCs w:val="22"/>
          <w:lang w:val="en-GB"/>
        </w:rPr>
        <w:t>practice,</w:t>
      </w:r>
      <w:r w:rsidRPr="5F93C8D5" w:rsidR="31EF22E2">
        <w:rPr>
          <w:rFonts w:ascii="Arial Nova" w:hAnsi="Arial Nova" w:eastAsia="Arial Nova" w:cs="Arial Nova"/>
          <w:noProof w:val="0"/>
          <w:sz w:val="22"/>
          <w:szCs w:val="22"/>
          <w:lang w:val="en-GB"/>
        </w:rPr>
        <w:t xml:space="preserve"> and shared learning for effective collaboration (Reeves et al., 2017). Strengthening staff capacity can enhance both partnerships working and ethical, person-centred decision-making.</w:t>
      </w:r>
    </w:p>
    <w:p w:rsidR="31EF22E2" w:rsidP="5F93C8D5" w:rsidRDefault="31EF22E2" w14:paraId="17821C0C" w14:textId="392FA01C">
      <w:pPr>
        <w:spacing w:before="240" w:beforeAutospacing="off" w:after="240" w:afterAutospacing="off" w:line="360" w:lineRule="auto"/>
        <w:rPr>
          <w:rFonts w:ascii="Arial Nova" w:hAnsi="Arial Nova" w:eastAsia="Arial Nova" w:cs="Arial Nova"/>
          <w:noProof w:val="0"/>
          <w:sz w:val="22"/>
          <w:szCs w:val="22"/>
          <w:lang w:val="en-GB"/>
        </w:rPr>
      </w:pPr>
      <w:r w:rsidRPr="5F93C8D5" w:rsidR="31EF22E2">
        <w:rPr>
          <w:rFonts w:ascii="Arial Nova" w:hAnsi="Arial Nova" w:eastAsia="Arial Nova" w:cs="Arial Nova"/>
          <w:noProof w:val="0"/>
          <w:sz w:val="22"/>
          <w:szCs w:val="22"/>
          <w:lang w:val="en-GB"/>
        </w:rPr>
        <w:t xml:space="preserve">Third, digital integration must be prioritised to enable </w:t>
      </w:r>
      <w:r w:rsidRPr="5F93C8D5" w:rsidR="31EF22E2">
        <w:rPr>
          <w:rFonts w:ascii="Arial Nova" w:hAnsi="Arial Nova" w:eastAsia="Arial Nova" w:cs="Arial Nova"/>
          <w:noProof w:val="0"/>
          <w:sz w:val="22"/>
          <w:szCs w:val="22"/>
          <w:lang w:val="en-GB"/>
        </w:rPr>
        <w:t>timely</w:t>
      </w:r>
      <w:r w:rsidRPr="5F93C8D5" w:rsidR="31EF22E2">
        <w:rPr>
          <w:rFonts w:ascii="Arial Nova" w:hAnsi="Arial Nova" w:eastAsia="Arial Nova" w:cs="Arial Nova"/>
          <w:noProof w:val="0"/>
          <w:sz w:val="22"/>
          <w:szCs w:val="22"/>
          <w:lang w:val="en-GB"/>
        </w:rPr>
        <w:t xml:space="preserve"> information sharing across health, social </w:t>
      </w:r>
      <w:r w:rsidRPr="5F93C8D5" w:rsidR="10CE6C25">
        <w:rPr>
          <w:rFonts w:ascii="Arial Nova" w:hAnsi="Arial Nova" w:eastAsia="Arial Nova" w:cs="Arial Nova"/>
          <w:noProof w:val="0"/>
          <w:sz w:val="22"/>
          <w:szCs w:val="22"/>
          <w:lang w:val="en-GB"/>
        </w:rPr>
        <w:t>care,</w:t>
      </w:r>
      <w:r w:rsidRPr="5F93C8D5" w:rsidR="31EF22E2">
        <w:rPr>
          <w:rFonts w:ascii="Arial Nova" w:hAnsi="Arial Nova" w:eastAsia="Arial Nova" w:cs="Arial Nova"/>
          <w:noProof w:val="0"/>
          <w:sz w:val="22"/>
          <w:szCs w:val="22"/>
          <w:lang w:val="en-GB"/>
        </w:rPr>
        <w:t xml:space="preserve"> and voluntary sectors. Poor communication </w:t>
      </w:r>
      <w:r w:rsidRPr="5F93C8D5" w:rsidR="31EF22E2">
        <w:rPr>
          <w:rFonts w:ascii="Arial Nova" w:hAnsi="Arial Nova" w:eastAsia="Arial Nova" w:cs="Arial Nova"/>
          <w:noProof w:val="0"/>
          <w:sz w:val="22"/>
          <w:szCs w:val="22"/>
          <w:lang w:val="en-GB"/>
        </w:rPr>
        <w:t>remains</w:t>
      </w:r>
      <w:r w:rsidRPr="5F93C8D5" w:rsidR="31EF22E2">
        <w:rPr>
          <w:rFonts w:ascii="Arial Nova" w:hAnsi="Arial Nova" w:eastAsia="Arial Nova" w:cs="Arial Nova"/>
          <w:noProof w:val="0"/>
          <w:sz w:val="22"/>
          <w:szCs w:val="22"/>
          <w:lang w:val="en-GB"/>
        </w:rPr>
        <w:t xml:space="preserve"> a major barrier to seamless partnership working (Cameron et al., 2012). Fourth, commissioning models should further embrace pooled budgets and shared outcomes, supporting more coordinated and less fragmented services. Integrated funding has been shown to improve continuity of care and reduce duplication (Glasby &amp; Dickinson, 2014). Finally, co-production with service users and carers should be embedded throughout service planning. Studies </w:t>
      </w:r>
      <w:r w:rsidRPr="5F93C8D5" w:rsidR="31EF22E2">
        <w:rPr>
          <w:rFonts w:ascii="Arial Nova" w:hAnsi="Arial Nova" w:eastAsia="Arial Nova" w:cs="Arial Nova"/>
          <w:noProof w:val="0"/>
          <w:sz w:val="22"/>
          <w:szCs w:val="22"/>
          <w:lang w:val="en-GB"/>
        </w:rPr>
        <w:t>indicate</w:t>
      </w:r>
      <w:r w:rsidRPr="5F93C8D5" w:rsidR="31EF22E2">
        <w:rPr>
          <w:rFonts w:ascii="Arial Nova" w:hAnsi="Arial Nova" w:eastAsia="Arial Nova" w:cs="Arial Nova"/>
          <w:noProof w:val="0"/>
          <w:sz w:val="22"/>
          <w:szCs w:val="22"/>
          <w:lang w:val="en-GB"/>
        </w:rPr>
        <w:t xml:space="preserve"> that meaningful involvement enhances service relevance, improves </w:t>
      </w:r>
      <w:r w:rsidRPr="5F93C8D5" w:rsidR="69E95E09">
        <w:rPr>
          <w:rFonts w:ascii="Arial Nova" w:hAnsi="Arial Nova" w:eastAsia="Arial Nova" w:cs="Arial Nova"/>
          <w:noProof w:val="0"/>
          <w:sz w:val="22"/>
          <w:szCs w:val="22"/>
          <w:lang w:val="en-GB"/>
        </w:rPr>
        <w:t>outcomes,</w:t>
      </w:r>
      <w:r w:rsidRPr="5F93C8D5" w:rsidR="31EF22E2">
        <w:rPr>
          <w:rFonts w:ascii="Arial Nova" w:hAnsi="Arial Nova" w:eastAsia="Arial Nova" w:cs="Arial Nova"/>
          <w:noProof w:val="0"/>
          <w:sz w:val="22"/>
          <w:szCs w:val="22"/>
          <w:lang w:val="en-GB"/>
        </w:rPr>
        <w:t xml:space="preserve"> and strengthens trust between organisations and communities (</w:t>
      </w:r>
      <w:r w:rsidRPr="5F93C8D5" w:rsidR="31EF22E2">
        <w:rPr>
          <w:rFonts w:ascii="Arial Nova" w:hAnsi="Arial Nova" w:eastAsia="Arial Nova" w:cs="Arial Nova"/>
          <w:noProof w:val="0"/>
          <w:sz w:val="22"/>
          <w:szCs w:val="22"/>
          <w:lang w:val="en-GB"/>
        </w:rPr>
        <w:t>Ocloo</w:t>
      </w:r>
      <w:r w:rsidRPr="5F93C8D5" w:rsidR="31EF22E2">
        <w:rPr>
          <w:rFonts w:ascii="Arial Nova" w:hAnsi="Arial Nova" w:eastAsia="Arial Nova" w:cs="Arial Nova"/>
          <w:noProof w:val="0"/>
          <w:sz w:val="22"/>
          <w:szCs w:val="22"/>
          <w:lang w:val="en-GB"/>
        </w:rPr>
        <w:t xml:space="preserve"> &amp; Matthews, 2016). These strategies collectively support a more </w:t>
      </w:r>
      <w:r w:rsidRPr="5F93C8D5" w:rsidR="31EF22E2">
        <w:rPr>
          <w:rFonts w:ascii="Arial Nova" w:hAnsi="Arial Nova" w:eastAsia="Arial Nova" w:cs="Arial Nova"/>
          <w:noProof w:val="0"/>
          <w:sz w:val="22"/>
          <w:szCs w:val="22"/>
          <w:lang w:val="en-GB"/>
        </w:rPr>
        <w:t>equitable</w:t>
      </w:r>
      <w:r w:rsidRPr="5F93C8D5" w:rsidR="31EF22E2">
        <w:rPr>
          <w:rFonts w:ascii="Arial Nova" w:hAnsi="Arial Nova" w:eastAsia="Arial Nova" w:cs="Arial Nova"/>
          <w:noProof w:val="0"/>
          <w:sz w:val="22"/>
          <w:szCs w:val="22"/>
          <w:lang w:val="en-GB"/>
        </w:rPr>
        <w:t xml:space="preserve">, </w:t>
      </w:r>
      <w:r w:rsidRPr="5F93C8D5" w:rsidR="1B832D55">
        <w:rPr>
          <w:rFonts w:ascii="Arial Nova" w:hAnsi="Arial Nova" w:eastAsia="Arial Nova" w:cs="Arial Nova"/>
          <w:noProof w:val="0"/>
          <w:sz w:val="22"/>
          <w:szCs w:val="22"/>
          <w:lang w:val="en-GB"/>
        </w:rPr>
        <w:t>person-centred,</w:t>
      </w:r>
      <w:r w:rsidRPr="5F93C8D5" w:rsidR="31EF22E2">
        <w:rPr>
          <w:rFonts w:ascii="Arial Nova" w:hAnsi="Arial Nova" w:eastAsia="Arial Nova" w:cs="Arial Nova"/>
          <w:noProof w:val="0"/>
          <w:sz w:val="22"/>
          <w:szCs w:val="22"/>
          <w:lang w:val="en-GB"/>
        </w:rPr>
        <w:t xml:space="preserve"> and collaborative health and social care system.</w:t>
      </w:r>
      <w:r w:rsidRPr="5F93C8D5" w:rsidR="77DE7DA6">
        <w:rPr>
          <w:rFonts w:ascii="Arial Nova" w:hAnsi="Arial Nova" w:eastAsia="Arial Nova" w:cs="Arial Nova"/>
          <w:noProof w:val="0"/>
          <w:sz w:val="22"/>
          <w:szCs w:val="22"/>
          <w:lang w:val="en-GB"/>
        </w:rPr>
        <w:t xml:space="preserve"> </w:t>
      </w:r>
    </w:p>
    <w:p w:rsidR="77DE7DA6" w:rsidP="5F93C8D5" w:rsidRDefault="77DE7DA6" w14:paraId="7159B12D" w14:textId="6F4122BB">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F93C8D5" w:rsidR="77DE7DA6">
        <w:rPr>
          <w:rFonts w:ascii="Arial Nova" w:hAnsi="Arial Nova" w:eastAsia="Arial Nova" w:cs="Arial Nova"/>
          <w:b w:val="1"/>
          <w:bCs w:val="1"/>
          <w:noProof w:val="0"/>
          <w:sz w:val="24"/>
          <w:szCs w:val="24"/>
          <w:lang w:val="en-GB"/>
        </w:rPr>
        <w:t xml:space="preserve">Conclusion </w:t>
      </w:r>
    </w:p>
    <w:p w:rsidR="77DE7DA6" w:rsidP="5F93C8D5" w:rsidRDefault="77DE7DA6" w14:paraId="362B4848" w14:textId="79E19899">
      <w:pPr>
        <w:pStyle w:val="Normal"/>
        <w:spacing w:before="240" w:beforeAutospacing="off" w:after="240" w:afterAutospacing="off" w:line="360" w:lineRule="auto"/>
        <w:rPr>
          <w:rFonts w:ascii="Arial Nova" w:hAnsi="Arial Nova" w:eastAsia="Arial Nova" w:cs="Arial Nova"/>
          <w:noProof w:val="0"/>
          <w:sz w:val="22"/>
          <w:szCs w:val="22"/>
          <w:lang w:val="en-GB"/>
        </w:rPr>
      </w:pPr>
      <w:r w:rsidRPr="5F93C8D5" w:rsidR="77DE7DA6">
        <w:rPr>
          <w:rFonts w:ascii="Arial Nova" w:hAnsi="Arial Nova" w:eastAsia="Arial Nova" w:cs="Arial Nova"/>
          <w:noProof w:val="0"/>
          <w:sz w:val="22"/>
          <w:szCs w:val="22"/>
          <w:lang w:val="en-GB"/>
        </w:rPr>
        <w:t xml:space="preserve">Person-centred care and partnership working remain central to UK health and social care policy, yet their success depends on overcoming organisational, </w:t>
      </w:r>
      <w:r w:rsidRPr="5F93C8D5" w:rsidR="49EA8101">
        <w:rPr>
          <w:rFonts w:ascii="Arial Nova" w:hAnsi="Arial Nova" w:eastAsia="Arial Nova" w:cs="Arial Nova"/>
          <w:noProof w:val="0"/>
          <w:sz w:val="22"/>
          <w:szCs w:val="22"/>
          <w:lang w:val="en-GB"/>
        </w:rPr>
        <w:t>cultural,</w:t>
      </w:r>
      <w:r w:rsidRPr="5F93C8D5" w:rsidR="77DE7DA6">
        <w:rPr>
          <w:rFonts w:ascii="Arial Nova" w:hAnsi="Arial Nova" w:eastAsia="Arial Nova" w:cs="Arial Nova"/>
          <w:noProof w:val="0"/>
          <w:sz w:val="22"/>
          <w:szCs w:val="22"/>
          <w:lang w:val="en-GB"/>
        </w:rPr>
        <w:t xml:space="preserve"> and resource-related barriers. Evidence </w:t>
      </w:r>
      <w:r w:rsidRPr="5F93C8D5" w:rsidR="77DE7DA6">
        <w:rPr>
          <w:rFonts w:ascii="Arial Nova" w:hAnsi="Arial Nova" w:eastAsia="Arial Nova" w:cs="Arial Nova"/>
          <w:noProof w:val="0"/>
          <w:sz w:val="22"/>
          <w:szCs w:val="22"/>
          <w:lang w:val="en-GB"/>
        </w:rPr>
        <w:t>demonstrates</w:t>
      </w:r>
      <w:r w:rsidRPr="5F93C8D5" w:rsidR="77DE7DA6">
        <w:rPr>
          <w:rFonts w:ascii="Arial Nova" w:hAnsi="Arial Nova" w:eastAsia="Arial Nova" w:cs="Arial Nova"/>
          <w:noProof w:val="0"/>
          <w:sz w:val="22"/>
          <w:szCs w:val="22"/>
          <w:lang w:val="en-GB"/>
        </w:rPr>
        <w:t xml:space="preserve"> that effective collaboration, strong </w:t>
      </w:r>
      <w:r w:rsidRPr="5F93C8D5" w:rsidR="410D6906">
        <w:rPr>
          <w:rFonts w:ascii="Arial Nova" w:hAnsi="Arial Nova" w:eastAsia="Arial Nova" w:cs="Arial Nova"/>
          <w:noProof w:val="0"/>
          <w:sz w:val="22"/>
          <w:szCs w:val="22"/>
          <w:lang w:val="en-GB"/>
        </w:rPr>
        <w:t>leadership,</w:t>
      </w:r>
      <w:r w:rsidRPr="5F93C8D5" w:rsidR="77DE7DA6">
        <w:rPr>
          <w:rFonts w:ascii="Arial Nova" w:hAnsi="Arial Nova" w:eastAsia="Arial Nova" w:cs="Arial Nova"/>
          <w:noProof w:val="0"/>
          <w:sz w:val="22"/>
          <w:szCs w:val="22"/>
          <w:lang w:val="en-GB"/>
        </w:rPr>
        <w:t xml:space="preserve"> and integrated systems are essential for embedding person-centred approaches in practice (Brooker &amp; Latham, 2015). Achieving these goals requires sustained commitment to workforce development, co-production and structural reform to ensure genuinely holistic, coordinated and ethically grounded care</w:t>
      </w:r>
      <w:r w:rsidRPr="5F93C8D5" w:rsidR="26997C2E">
        <w:rPr>
          <w:rFonts w:ascii="Arial Nova" w:hAnsi="Arial Nova" w:eastAsia="Arial Nova" w:cs="Arial Nova"/>
          <w:noProof w:val="0"/>
          <w:sz w:val="22"/>
          <w:szCs w:val="22"/>
          <w:lang w:val="en-GB"/>
        </w:rPr>
        <w:t xml:space="preserve">. </w:t>
      </w:r>
    </w:p>
    <w:p w:rsidR="5F93C8D5" w:rsidP="5F93C8D5" w:rsidRDefault="5F93C8D5" w14:paraId="06BE7B6F" w14:textId="049E4EA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F93C8D5" w:rsidP="5F93C8D5" w:rsidRDefault="5F93C8D5" w14:paraId="6B671358" w14:textId="3885442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F93C8D5" w:rsidP="5F93C8D5" w:rsidRDefault="5F93C8D5" w14:paraId="0AEB3EDB" w14:textId="3388971E">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F93C8D5" w:rsidP="5F93C8D5" w:rsidRDefault="5F93C8D5" w14:paraId="3F06BF3C" w14:textId="36F6C423">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77DE7DA6" w:rsidP="5F93C8D5" w:rsidRDefault="77DE7DA6" w14:paraId="05F6310E" w14:textId="75280812">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F93C8D5" w:rsidR="77DE7DA6">
        <w:rPr>
          <w:rFonts w:ascii="Arial Nova" w:hAnsi="Arial Nova" w:eastAsia="Arial Nova" w:cs="Arial Nova"/>
          <w:b w:val="1"/>
          <w:bCs w:val="1"/>
          <w:noProof w:val="0"/>
          <w:sz w:val="24"/>
          <w:szCs w:val="24"/>
          <w:lang w:val="en-GB"/>
        </w:rPr>
        <w:t xml:space="preserve">References </w:t>
      </w:r>
    </w:p>
    <w:p w:rsidR="4073C406" w:rsidP="5F93C8D5" w:rsidRDefault="4073C406" w14:paraId="0307BDD8" w14:textId="37B6C293">
      <w:pPr>
        <w:spacing w:before="240" w:beforeAutospacing="off" w:after="240" w:afterAutospacing="off"/>
      </w:pPr>
      <w:r w:rsidRPr="5F93C8D5" w:rsidR="4073C406">
        <w:rPr>
          <w:rFonts w:ascii="Arial Nova" w:hAnsi="Arial Nova" w:eastAsia="Arial Nova" w:cs="Arial Nova"/>
          <w:noProof w:val="0"/>
          <w:sz w:val="22"/>
          <w:szCs w:val="22"/>
          <w:lang w:val="en-GB"/>
        </w:rPr>
        <w:t xml:space="preserve">Atwal, A. &amp; Caldwell, K. (2006) ‘Nurses’ perceptions of multidisciplinary </w:t>
      </w:r>
      <w:bookmarkStart w:name="_Int_GUbuAxlK" w:id="2107115597"/>
      <w:r w:rsidRPr="5F93C8D5" w:rsidR="4073C406">
        <w:rPr>
          <w:rFonts w:ascii="Arial Nova" w:hAnsi="Arial Nova" w:eastAsia="Arial Nova" w:cs="Arial Nova"/>
          <w:noProof w:val="0"/>
          <w:sz w:val="22"/>
          <w:szCs w:val="22"/>
          <w:lang w:val="en-GB"/>
        </w:rPr>
        <w:t>team work</w:t>
      </w:r>
      <w:bookmarkEnd w:id="2107115597"/>
      <w:r w:rsidRPr="5F93C8D5" w:rsidR="4073C406">
        <w:rPr>
          <w:rFonts w:ascii="Arial Nova" w:hAnsi="Arial Nova" w:eastAsia="Arial Nova" w:cs="Arial Nova"/>
          <w:noProof w:val="0"/>
          <w:sz w:val="22"/>
          <w:szCs w:val="22"/>
          <w:lang w:val="en-GB"/>
        </w:rPr>
        <w:t xml:space="preserve"> in acute </w:t>
      </w:r>
      <w:bookmarkStart w:name="_Int_GJLJLGEr" w:id="148427445"/>
      <w:r w:rsidRPr="5F93C8D5" w:rsidR="4073C406">
        <w:rPr>
          <w:rFonts w:ascii="Arial Nova" w:hAnsi="Arial Nova" w:eastAsia="Arial Nova" w:cs="Arial Nova"/>
          <w:noProof w:val="0"/>
          <w:sz w:val="22"/>
          <w:szCs w:val="22"/>
          <w:lang w:val="en-GB"/>
        </w:rPr>
        <w:t>health-care</w:t>
      </w:r>
      <w:bookmarkEnd w:id="148427445"/>
      <w:r w:rsidRPr="5F93C8D5" w:rsidR="4073C406">
        <w:rPr>
          <w:rFonts w:ascii="Arial Nova" w:hAnsi="Arial Nova" w:eastAsia="Arial Nova" w:cs="Arial Nova"/>
          <w:noProof w:val="0"/>
          <w:sz w:val="22"/>
          <w:szCs w:val="22"/>
          <w:lang w:val="en-GB"/>
        </w:rPr>
        <w:t xml:space="preserve">’, </w:t>
      </w:r>
      <w:r w:rsidRPr="5F93C8D5" w:rsidR="4073C406">
        <w:rPr>
          <w:rFonts w:ascii="Arial Nova" w:hAnsi="Arial Nova" w:eastAsia="Arial Nova" w:cs="Arial Nova"/>
          <w:i w:val="1"/>
          <w:iCs w:val="1"/>
          <w:noProof w:val="0"/>
          <w:sz w:val="22"/>
          <w:szCs w:val="22"/>
          <w:lang w:val="en-GB"/>
        </w:rPr>
        <w:t>International Journal of Nursing Practice</w:t>
      </w:r>
      <w:r w:rsidRPr="5F93C8D5" w:rsidR="4073C406">
        <w:rPr>
          <w:rFonts w:ascii="Arial Nova" w:hAnsi="Arial Nova" w:eastAsia="Arial Nova" w:cs="Arial Nova"/>
          <w:noProof w:val="0"/>
          <w:sz w:val="22"/>
          <w:szCs w:val="22"/>
          <w:lang w:val="en-GB"/>
        </w:rPr>
        <w:t>, 12(6), pp. 359–365.</w:t>
      </w:r>
    </w:p>
    <w:p w:rsidR="4073C406" w:rsidP="5F93C8D5" w:rsidRDefault="4073C406" w14:paraId="4ECD3044" w14:textId="24E72805">
      <w:pPr>
        <w:spacing w:before="240" w:beforeAutospacing="off" w:after="240" w:afterAutospacing="off"/>
      </w:pPr>
      <w:r w:rsidRPr="5F93C8D5" w:rsidR="4073C406">
        <w:rPr>
          <w:rFonts w:ascii="Arial Nova" w:hAnsi="Arial Nova" w:eastAsia="Arial Nova" w:cs="Arial Nova"/>
          <w:noProof w:val="0"/>
          <w:sz w:val="22"/>
          <w:szCs w:val="22"/>
          <w:lang w:val="en-GB"/>
        </w:rPr>
        <w:t xml:space="preserve">Batsch, N. &amp; Mittelman, M. (2012) </w:t>
      </w:r>
      <w:r w:rsidRPr="5F93C8D5" w:rsidR="4073C406">
        <w:rPr>
          <w:rFonts w:ascii="Arial Nova" w:hAnsi="Arial Nova" w:eastAsia="Arial Nova" w:cs="Arial Nova"/>
          <w:i w:val="1"/>
          <w:iCs w:val="1"/>
          <w:noProof w:val="0"/>
          <w:sz w:val="22"/>
          <w:szCs w:val="22"/>
          <w:lang w:val="en-GB"/>
        </w:rPr>
        <w:t>World Alzheimer Report 2012: Overcoming the Stigma of Dementia</w:t>
      </w:r>
      <w:r w:rsidRPr="5F93C8D5" w:rsidR="4073C406">
        <w:rPr>
          <w:rFonts w:ascii="Arial Nova" w:hAnsi="Arial Nova" w:eastAsia="Arial Nova" w:cs="Arial Nova"/>
          <w:noProof w:val="0"/>
          <w:sz w:val="22"/>
          <w:szCs w:val="22"/>
          <w:lang w:val="en-GB"/>
        </w:rPr>
        <w:t>. London: Alzheimer’s Disease International.</w:t>
      </w:r>
    </w:p>
    <w:p w:rsidR="4073C406" w:rsidP="5F93C8D5" w:rsidRDefault="4073C406" w14:paraId="551E9205" w14:textId="25EEF5D8">
      <w:pPr>
        <w:spacing w:before="240" w:beforeAutospacing="off" w:after="240" w:afterAutospacing="off"/>
      </w:pPr>
      <w:r w:rsidRPr="5F93C8D5" w:rsidR="4073C406">
        <w:rPr>
          <w:rFonts w:ascii="Arial Nova" w:hAnsi="Arial Nova" w:eastAsia="Arial Nova" w:cs="Arial Nova"/>
          <w:noProof w:val="0"/>
          <w:sz w:val="22"/>
          <w:szCs w:val="22"/>
          <w:lang w:val="en-GB"/>
        </w:rPr>
        <w:t xml:space="preserve">Beauchamp, T. &amp; Childress, J. (2019) </w:t>
      </w:r>
      <w:r w:rsidRPr="5F93C8D5" w:rsidR="4073C406">
        <w:rPr>
          <w:rFonts w:ascii="Arial Nova" w:hAnsi="Arial Nova" w:eastAsia="Arial Nova" w:cs="Arial Nova"/>
          <w:i w:val="1"/>
          <w:iCs w:val="1"/>
          <w:noProof w:val="0"/>
          <w:sz w:val="22"/>
          <w:szCs w:val="22"/>
          <w:lang w:val="en-GB"/>
        </w:rPr>
        <w:t>Principles of Biomedical Ethics</w:t>
      </w:r>
      <w:r w:rsidRPr="5F93C8D5" w:rsidR="4073C406">
        <w:rPr>
          <w:rFonts w:ascii="Arial Nova" w:hAnsi="Arial Nova" w:eastAsia="Arial Nova" w:cs="Arial Nova"/>
          <w:noProof w:val="0"/>
          <w:sz w:val="22"/>
          <w:szCs w:val="22"/>
          <w:lang w:val="en-GB"/>
        </w:rPr>
        <w:t>. 8th edn. Oxford: Oxford University Press.</w:t>
      </w:r>
    </w:p>
    <w:p w:rsidR="4073C406" w:rsidP="5F93C8D5" w:rsidRDefault="4073C406" w14:paraId="03D2D8FF" w14:textId="0D3238BD">
      <w:pPr>
        <w:spacing w:before="240" w:beforeAutospacing="off" w:after="240" w:afterAutospacing="off"/>
      </w:pPr>
      <w:r w:rsidRPr="5F93C8D5" w:rsidR="4073C406">
        <w:rPr>
          <w:rFonts w:ascii="Arial Nova" w:hAnsi="Arial Nova" w:eastAsia="Arial Nova" w:cs="Arial Nova"/>
          <w:noProof w:val="0"/>
          <w:sz w:val="22"/>
          <w:szCs w:val="22"/>
          <w:lang w:val="en-GB"/>
        </w:rPr>
        <w:t xml:space="preserve">Braveman, P., Egerter, S. &amp; Williams, D. (2011) ‘The social determinants of health: coming of age’, </w:t>
      </w:r>
      <w:r w:rsidRPr="5F93C8D5" w:rsidR="4073C406">
        <w:rPr>
          <w:rFonts w:ascii="Arial Nova" w:hAnsi="Arial Nova" w:eastAsia="Arial Nova" w:cs="Arial Nova"/>
          <w:i w:val="1"/>
          <w:iCs w:val="1"/>
          <w:noProof w:val="0"/>
          <w:sz w:val="22"/>
          <w:szCs w:val="22"/>
          <w:lang w:val="en-GB"/>
        </w:rPr>
        <w:t>Annual Review of Public Health</w:t>
      </w:r>
      <w:r w:rsidRPr="5F93C8D5" w:rsidR="4073C406">
        <w:rPr>
          <w:rFonts w:ascii="Arial Nova" w:hAnsi="Arial Nova" w:eastAsia="Arial Nova" w:cs="Arial Nova"/>
          <w:noProof w:val="0"/>
          <w:sz w:val="22"/>
          <w:szCs w:val="22"/>
          <w:lang w:val="en-GB"/>
        </w:rPr>
        <w:t>, 32, pp. 381–398.</w:t>
      </w:r>
    </w:p>
    <w:p w:rsidR="4073C406" w:rsidP="5F93C8D5" w:rsidRDefault="4073C406" w14:paraId="7E5C24C1" w14:textId="6F70E804">
      <w:pPr>
        <w:spacing w:before="240" w:beforeAutospacing="off" w:after="240" w:afterAutospacing="off"/>
      </w:pPr>
      <w:r w:rsidRPr="5F93C8D5" w:rsidR="4073C406">
        <w:rPr>
          <w:rFonts w:ascii="Arial Nova" w:hAnsi="Arial Nova" w:eastAsia="Arial Nova" w:cs="Arial Nova"/>
          <w:noProof w:val="0"/>
          <w:sz w:val="22"/>
          <w:szCs w:val="22"/>
          <w:lang w:val="en-GB"/>
        </w:rPr>
        <w:t xml:space="preserve">Bridges, J., May, C., Fuller, A., Griffiths, P., Wigley, W., Gould, L. &amp; Barker, H. (2010) ‘Optimising impact and sustainability: a qualitative process evaluation of a complex intervention targeted at compassionate care’, </w:t>
      </w:r>
      <w:r w:rsidRPr="5F93C8D5" w:rsidR="4073C406">
        <w:rPr>
          <w:rFonts w:ascii="Arial Nova" w:hAnsi="Arial Nova" w:eastAsia="Arial Nova" w:cs="Arial Nova"/>
          <w:i w:val="1"/>
          <w:iCs w:val="1"/>
          <w:noProof w:val="0"/>
          <w:sz w:val="22"/>
          <w:szCs w:val="22"/>
          <w:lang w:val="en-GB"/>
        </w:rPr>
        <w:t>BMJ Quality &amp; Safety</w:t>
      </w:r>
      <w:r w:rsidRPr="5F93C8D5" w:rsidR="4073C406">
        <w:rPr>
          <w:rFonts w:ascii="Arial Nova" w:hAnsi="Arial Nova" w:eastAsia="Arial Nova" w:cs="Arial Nova"/>
          <w:noProof w:val="0"/>
          <w:sz w:val="22"/>
          <w:szCs w:val="22"/>
          <w:lang w:val="en-GB"/>
        </w:rPr>
        <w:t>, 19(5), pp. e63–e63.</w:t>
      </w:r>
    </w:p>
    <w:p w:rsidR="4073C406" w:rsidP="5F93C8D5" w:rsidRDefault="4073C406" w14:paraId="4C740D50" w14:textId="08D3B249">
      <w:pPr>
        <w:spacing w:before="240" w:beforeAutospacing="off" w:after="240" w:afterAutospacing="off"/>
      </w:pPr>
      <w:r w:rsidRPr="5F93C8D5" w:rsidR="4073C406">
        <w:rPr>
          <w:rFonts w:ascii="Arial Nova" w:hAnsi="Arial Nova" w:eastAsia="Arial Nova" w:cs="Arial Nova"/>
          <w:noProof w:val="0"/>
          <w:sz w:val="22"/>
          <w:szCs w:val="22"/>
          <w:lang w:val="en-GB"/>
        </w:rPr>
        <w:t xml:space="preserve">Brooker, D. &amp; Latham, I. (2015) </w:t>
      </w:r>
      <w:r w:rsidRPr="5F93C8D5" w:rsidR="4073C406">
        <w:rPr>
          <w:rFonts w:ascii="Arial Nova" w:hAnsi="Arial Nova" w:eastAsia="Arial Nova" w:cs="Arial Nova"/>
          <w:i w:val="1"/>
          <w:iCs w:val="1"/>
          <w:noProof w:val="0"/>
          <w:sz w:val="22"/>
          <w:szCs w:val="22"/>
          <w:lang w:val="en-GB"/>
        </w:rPr>
        <w:t>Person-Centred Dementia Care: Making Services Better with the VIPS Framework</w:t>
      </w:r>
      <w:r w:rsidRPr="5F93C8D5" w:rsidR="4073C406">
        <w:rPr>
          <w:rFonts w:ascii="Arial Nova" w:hAnsi="Arial Nova" w:eastAsia="Arial Nova" w:cs="Arial Nova"/>
          <w:noProof w:val="0"/>
          <w:sz w:val="22"/>
          <w:szCs w:val="22"/>
          <w:lang w:val="en-GB"/>
        </w:rPr>
        <w:t>. London: Jessica Kingsley Publishers.</w:t>
      </w:r>
    </w:p>
    <w:p w:rsidR="4073C406" w:rsidP="5F93C8D5" w:rsidRDefault="4073C406" w14:paraId="214E7B60" w14:textId="5964C8D9">
      <w:pPr>
        <w:spacing w:before="240" w:beforeAutospacing="off" w:after="240" w:afterAutospacing="off"/>
      </w:pPr>
      <w:r w:rsidRPr="5F93C8D5" w:rsidR="4073C406">
        <w:rPr>
          <w:rFonts w:ascii="Arial Nova" w:hAnsi="Arial Nova" w:eastAsia="Arial Nova" w:cs="Arial Nova"/>
          <w:noProof w:val="0"/>
          <w:sz w:val="22"/>
          <w:szCs w:val="22"/>
          <w:lang w:val="en-GB"/>
        </w:rPr>
        <w:t xml:space="preserve">Brownie, S. &amp; Nancarrow, S. (2013) ‘Effects of person-centred care on residents and staff in aged-care facilities: a systematic review’, </w:t>
      </w:r>
      <w:r w:rsidRPr="5F93C8D5" w:rsidR="4073C406">
        <w:rPr>
          <w:rFonts w:ascii="Arial Nova" w:hAnsi="Arial Nova" w:eastAsia="Arial Nova" w:cs="Arial Nova"/>
          <w:i w:val="1"/>
          <w:iCs w:val="1"/>
          <w:noProof w:val="0"/>
          <w:sz w:val="22"/>
          <w:szCs w:val="22"/>
          <w:lang w:val="en-GB"/>
        </w:rPr>
        <w:t>Clinical Interventions in Aging</w:t>
      </w:r>
      <w:r w:rsidRPr="5F93C8D5" w:rsidR="4073C406">
        <w:rPr>
          <w:rFonts w:ascii="Arial Nova" w:hAnsi="Arial Nova" w:eastAsia="Arial Nova" w:cs="Arial Nova"/>
          <w:noProof w:val="0"/>
          <w:sz w:val="22"/>
          <w:szCs w:val="22"/>
          <w:lang w:val="en-GB"/>
        </w:rPr>
        <w:t>, 8, pp. 1–10.</w:t>
      </w:r>
    </w:p>
    <w:p w:rsidR="4073C406" w:rsidP="5F93C8D5" w:rsidRDefault="4073C406" w14:paraId="5B7732E2" w14:textId="1BF6324A">
      <w:pPr>
        <w:spacing w:before="240" w:beforeAutospacing="off" w:after="240" w:afterAutospacing="off"/>
      </w:pPr>
      <w:r w:rsidRPr="5F93C8D5" w:rsidR="4073C406">
        <w:rPr>
          <w:rFonts w:ascii="Arial Nova" w:hAnsi="Arial Nova" w:eastAsia="Arial Nova" w:cs="Arial Nova"/>
          <w:noProof w:val="0"/>
          <w:sz w:val="22"/>
          <w:szCs w:val="22"/>
          <w:lang w:val="en-GB"/>
        </w:rPr>
        <w:t xml:space="preserve">Cameron, A., Lart, R., Bostock, L. &amp; Coomber, C. (2012) ‘Factors that promote and hinder joint and integrated working between health and social care services’, </w:t>
      </w:r>
      <w:r w:rsidRPr="5F93C8D5" w:rsidR="4073C406">
        <w:rPr>
          <w:rFonts w:ascii="Arial Nova" w:hAnsi="Arial Nova" w:eastAsia="Arial Nova" w:cs="Arial Nova"/>
          <w:i w:val="1"/>
          <w:iCs w:val="1"/>
          <w:noProof w:val="0"/>
          <w:sz w:val="22"/>
          <w:szCs w:val="22"/>
          <w:lang w:val="en-GB"/>
        </w:rPr>
        <w:t>Health &amp; Social Care in the Community</w:t>
      </w:r>
      <w:r w:rsidRPr="5F93C8D5" w:rsidR="4073C406">
        <w:rPr>
          <w:rFonts w:ascii="Arial Nova" w:hAnsi="Arial Nova" w:eastAsia="Arial Nova" w:cs="Arial Nova"/>
          <w:noProof w:val="0"/>
          <w:sz w:val="22"/>
          <w:szCs w:val="22"/>
          <w:lang w:val="en-GB"/>
        </w:rPr>
        <w:t>, 22(3), pp. 225–233.</w:t>
      </w:r>
    </w:p>
    <w:p w:rsidR="4073C406" w:rsidP="5F93C8D5" w:rsidRDefault="4073C406" w14:paraId="4E8446E7" w14:textId="3BB566A8">
      <w:pPr>
        <w:spacing w:before="240" w:beforeAutospacing="off" w:after="240" w:afterAutospacing="off"/>
      </w:pPr>
      <w:r w:rsidRPr="5F93C8D5" w:rsidR="4073C406">
        <w:rPr>
          <w:rFonts w:ascii="Arial Nova" w:hAnsi="Arial Nova" w:eastAsia="Arial Nova" w:cs="Arial Nova"/>
          <w:noProof w:val="0"/>
          <w:sz w:val="22"/>
          <w:szCs w:val="22"/>
          <w:lang w:val="en-GB"/>
        </w:rPr>
        <w:t xml:space="preserve">Clarke, D., Jones, F., Harris, R. &amp; Robert, G. (2015) ‘What outcomes are associated with developing and implementing co-produced interventions in acute healthcare settings?’, </w:t>
      </w:r>
      <w:r w:rsidRPr="5F93C8D5" w:rsidR="4073C406">
        <w:rPr>
          <w:rFonts w:ascii="Arial Nova" w:hAnsi="Arial Nova" w:eastAsia="Arial Nova" w:cs="Arial Nova"/>
          <w:i w:val="1"/>
          <w:iCs w:val="1"/>
          <w:noProof w:val="0"/>
          <w:sz w:val="22"/>
          <w:szCs w:val="22"/>
          <w:lang w:val="en-GB"/>
        </w:rPr>
        <w:t>BMJ Open</w:t>
      </w:r>
      <w:r w:rsidRPr="5F93C8D5" w:rsidR="4073C406">
        <w:rPr>
          <w:rFonts w:ascii="Arial Nova" w:hAnsi="Arial Nova" w:eastAsia="Arial Nova" w:cs="Arial Nova"/>
          <w:noProof w:val="0"/>
          <w:sz w:val="22"/>
          <w:szCs w:val="22"/>
          <w:lang w:val="en-GB"/>
        </w:rPr>
        <w:t>, 5(7), pp. e006657.</w:t>
      </w:r>
    </w:p>
    <w:p w:rsidR="4073C406" w:rsidP="5F93C8D5" w:rsidRDefault="4073C406" w14:paraId="5F95A129" w14:textId="47A02E9E">
      <w:pPr>
        <w:spacing w:before="240" w:beforeAutospacing="off" w:after="240" w:afterAutospacing="off"/>
      </w:pPr>
      <w:r w:rsidRPr="5F93C8D5" w:rsidR="4073C406">
        <w:rPr>
          <w:rFonts w:ascii="Arial Nova" w:hAnsi="Arial Nova" w:eastAsia="Arial Nova" w:cs="Arial Nova"/>
          <w:noProof w:val="0"/>
          <w:sz w:val="22"/>
          <w:szCs w:val="22"/>
          <w:lang w:val="en-GB"/>
        </w:rPr>
        <w:t xml:space="preserve">Coulter, A. (2011) </w:t>
      </w:r>
      <w:r w:rsidRPr="5F93C8D5" w:rsidR="4073C406">
        <w:rPr>
          <w:rFonts w:ascii="Arial Nova" w:hAnsi="Arial Nova" w:eastAsia="Arial Nova" w:cs="Arial Nova"/>
          <w:i w:val="1"/>
          <w:iCs w:val="1"/>
          <w:noProof w:val="0"/>
          <w:sz w:val="22"/>
          <w:szCs w:val="22"/>
          <w:lang w:val="en-GB"/>
        </w:rPr>
        <w:t>Engaging Patients in Healthcare</w:t>
      </w:r>
      <w:r w:rsidRPr="5F93C8D5" w:rsidR="4073C406">
        <w:rPr>
          <w:rFonts w:ascii="Arial Nova" w:hAnsi="Arial Nova" w:eastAsia="Arial Nova" w:cs="Arial Nova"/>
          <w:noProof w:val="0"/>
          <w:sz w:val="22"/>
          <w:szCs w:val="22"/>
          <w:lang w:val="en-GB"/>
        </w:rPr>
        <w:t>. Maidenhead: Open University Press.</w:t>
      </w:r>
    </w:p>
    <w:p w:rsidR="4073C406" w:rsidP="5F93C8D5" w:rsidRDefault="4073C406" w14:paraId="0508BE83" w14:textId="6148AB68">
      <w:pPr>
        <w:spacing w:before="240" w:beforeAutospacing="off" w:after="240" w:afterAutospacing="off"/>
      </w:pPr>
      <w:r w:rsidRPr="5F93C8D5" w:rsidR="4073C406">
        <w:rPr>
          <w:rFonts w:ascii="Arial Nova" w:hAnsi="Arial Nova" w:eastAsia="Arial Nova" w:cs="Arial Nova"/>
          <w:noProof w:val="0"/>
          <w:sz w:val="22"/>
          <w:szCs w:val="22"/>
          <w:lang w:val="en-GB"/>
        </w:rPr>
        <w:t xml:space="preserve">Cribb, A. &amp; Gewirtz, S. (2015) </w:t>
      </w:r>
      <w:r w:rsidRPr="5F93C8D5" w:rsidR="4073C406">
        <w:rPr>
          <w:rFonts w:ascii="Arial Nova" w:hAnsi="Arial Nova" w:eastAsia="Arial Nova" w:cs="Arial Nova"/>
          <w:i w:val="1"/>
          <w:iCs w:val="1"/>
          <w:noProof w:val="0"/>
          <w:sz w:val="22"/>
          <w:szCs w:val="22"/>
          <w:lang w:val="en-GB"/>
        </w:rPr>
        <w:t>Professionalism: Values and Judgement in Health Care</w:t>
      </w:r>
      <w:r w:rsidRPr="5F93C8D5" w:rsidR="4073C406">
        <w:rPr>
          <w:rFonts w:ascii="Arial Nova" w:hAnsi="Arial Nova" w:eastAsia="Arial Nova" w:cs="Arial Nova"/>
          <w:noProof w:val="0"/>
          <w:sz w:val="22"/>
          <w:szCs w:val="22"/>
          <w:lang w:val="en-GB"/>
        </w:rPr>
        <w:t>. Cambridge: Polity Press.</w:t>
      </w:r>
    </w:p>
    <w:p w:rsidR="4073C406" w:rsidP="5F93C8D5" w:rsidRDefault="4073C406" w14:paraId="59AC7DBC" w14:textId="77440D86">
      <w:pPr>
        <w:spacing w:before="240" w:beforeAutospacing="off" w:after="240" w:afterAutospacing="off"/>
      </w:pPr>
      <w:r w:rsidRPr="5F93C8D5" w:rsidR="4073C406">
        <w:rPr>
          <w:rFonts w:ascii="Arial Nova" w:hAnsi="Arial Nova" w:eastAsia="Arial Nova" w:cs="Arial Nova"/>
          <w:noProof w:val="0"/>
          <w:sz w:val="22"/>
          <w:szCs w:val="22"/>
          <w:lang w:val="en-GB"/>
        </w:rPr>
        <w:t xml:space="preserve">Dunn, M. C., Clare, I. C. H. &amp; Holland, A. J. (2008) ‘Substitute decision-making for adults with intellectual disabilities living in residential care: learning through experience’, </w:t>
      </w:r>
      <w:r w:rsidRPr="5F93C8D5" w:rsidR="4073C406">
        <w:rPr>
          <w:rFonts w:ascii="Arial Nova" w:hAnsi="Arial Nova" w:eastAsia="Arial Nova" w:cs="Arial Nova"/>
          <w:i w:val="1"/>
          <w:iCs w:val="1"/>
          <w:noProof w:val="0"/>
          <w:sz w:val="22"/>
          <w:szCs w:val="22"/>
          <w:lang w:val="en-GB"/>
        </w:rPr>
        <w:t>Health Care Analysis</w:t>
      </w:r>
      <w:r w:rsidRPr="5F93C8D5" w:rsidR="4073C406">
        <w:rPr>
          <w:rFonts w:ascii="Arial Nova" w:hAnsi="Arial Nova" w:eastAsia="Arial Nova" w:cs="Arial Nova"/>
          <w:noProof w:val="0"/>
          <w:sz w:val="22"/>
          <w:szCs w:val="22"/>
          <w:lang w:val="en-GB"/>
        </w:rPr>
        <w:t>, 16(1), pp. 52–64.</w:t>
      </w:r>
    </w:p>
    <w:p w:rsidR="4073C406" w:rsidP="5F93C8D5" w:rsidRDefault="4073C406" w14:paraId="6479A28F" w14:textId="2F9B3091">
      <w:pPr>
        <w:spacing w:before="240" w:beforeAutospacing="off" w:after="240" w:afterAutospacing="off"/>
      </w:pPr>
      <w:r w:rsidRPr="5F93C8D5" w:rsidR="4073C406">
        <w:rPr>
          <w:rFonts w:ascii="Arial Nova" w:hAnsi="Arial Nova" w:eastAsia="Arial Nova" w:cs="Arial Nova"/>
          <w:noProof w:val="0"/>
          <w:sz w:val="22"/>
          <w:szCs w:val="22"/>
          <w:lang w:val="en-GB"/>
        </w:rPr>
        <w:t xml:space="preserve">Ekman, I., Wolf, A., Olsson, L.-E., Taft, C., Dudas, K., Schaufelberger, M. &amp; Swedberg, K. (2011) ‘Effects of person-centred care in patients with chronic heart failure: the PCC intervention’, </w:t>
      </w:r>
      <w:r w:rsidRPr="5F93C8D5" w:rsidR="4073C406">
        <w:rPr>
          <w:rFonts w:ascii="Arial Nova" w:hAnsi="Arial Nova" w:eastAsia="Arial Nova" w:cs="Arial Nova"/>
          <w:i w:val="1"/>
          <w:iCs w:val="1"/>
          <w:noProof w:val="0"/>
          <w:sz w:val="22"/>
          <w:szCs w:val="22"/>
          <w:lang w:val="en-GB"/>
        </w:rPr>
        <w:t>European Heart Journal</w:t>
      </w:r>
      <w:r w:rsidRPr="5F93C8D5" w:rsidR="4073C406">
        <w:rPr>
          <w:rFonts w:ascii="Arial Nova" w:hAnsi="Arial Nova" w:eastAsia="Arial Nova" w:cs="Arial Nova"/>
          <w:noProof w:val="0"/>
          <w:sz w:val="22"/>
          <w:szCs w:val="22"/>
          <w:lang w:val="en-GB"/>
        </w:rPr>
        <w:t>, 33(9), pp. 1112–1119.</w:t>
      </w:r>
    </w:p>
    <w:p w:rsidR="4073C406" w:rsidP="5F93C8D5" w:rsidRDefault="4073C406" w14:paraId="7E847126" w14:textId="2CC62B4D">
      <w:pPr>
        <w:spacing w:before="240" w:beforeAutospacing="off" w:after="240" w:afterAutospacing="off"/>
      </w:pPr>
      <w:r w:rsidRPr="5F93C8D5" w:rsidR="4073C406">
        <w:rPr>
          <w:rFonts w:ascii="Arial Nova" w:hAnsi="Arial Nova" w:eastAsia="Arial Nova" w:cs="Arial Nova"/>
          <w:noProof w:val="0"/>
          <w:sz w:val="22"/>
          <w:szCs w:val="22"/>
          <w:lang w:val="en-GB"/>
        </w:rPr>
        <w:t xml:space="preserve">Gallagher, A. (2013) </w:t>
      </w:r>
      <w:r w:rsidRPr="5F93C8D5" w:rsidR="4073C406">
        <w:rPr>
          <w:rFonts w:ascii="Arial Nova" w:hAnsi="Arial Nova" w:eastAsia="Arial Nova" w:cs="Arial Nova"/>
          <w:i w:val="1"/>
          <w:iCs w:val="1"/>
          <w:noProof w:val="0"/>
          <w:sz w:val="22"/>
          <w:szCs w:val="22"/>
          <w:lang w:val="en-GB"/>
        </w:rPr>
        <w:t>Ethics in Professional Life: Virtues for Health and Social Care</w:t>
      </w:r>
      <w:r w:rsidRPr="5F93C8D5" w:rsidR="4073C406">
        <w:rPr>
          <w:rFonts w:ascii="Arial Nova" w:hAnsi="Arial Nova" w:eastAsia="Arial Nova" w:cs="Arial Nova"/>
          <w:noProof w:val="0"/>
          <w:sz w:val="22"/>
          <w:szCs w:val="22"/>
          <w:lang w:val="en-GB"/>
        </w:rPr>
        <w:t>. London: McGraw-Hill.</w:t>
      </w:r>
    </w:p>
    <w:p w:rsidR="4073C406" w:rsidP="5F93C8D5" w:rsidRDefault="4073C406" w14:paraId="52817A8D" w14:textId="2445DA9E">
      <w:pPr>
        <w:spacing w:before="240" w:beforeAutospacing="off" w:after="240" w:afterAutospacing="off"/>
      </w:pPr>
      <w:r w:rsidRPr="5F93C8D5" w:rsidR="4073C406">
        <w:rPr>
          <w:rFonts w:ascii="Arial Nova" w:hAnsi="Arial Nova" w:eastAsia="Arial Nova" w:cs="Arial Nova"/>
          <w:noProof w:val="0"/>
          <w:sz w:val="22"/>
          <w:szCs w:val="22"/>
          <w:lang w:val="en-GB"/>
        </w:rPr>
        <w:t xml:space="preserve">Gladman, J., Porock, D., Griffiths, A., Clissett, P., Harwood, R. &amp; Knight, A. (2012) ‘Better mental health care for older people’, </w:t>
      </w:r>
      <w:r w:rsidRPr="5F93C8D5" w:rsidR="4073C406">
        <w:rPr>
          <w:rFonts w:ascii="Arial Nova" w:hAnsi="Arial Nova" w:eastAsia="Arial Nova" w:cs="Arial Nova"/>
          <w:i w:val="1"/>
          <w:iCs w:val="1"/>
          <w:noProof w:val="0"/>
          <w:sz w:val="22"/>
          <w:szCs w:val="22"/>
          <w:lang w:val="en-GB"/>
        </w:rPr>
        <w:t>International Journal of Geriatric Psychiatry</w:t>
      </w:r>
      <w:r w:rsidRPr="5F93C8D5" w:rsidR="4073C406">
        <w:rPr>
          <w:rFonts w:ascii="Arial Nova" w:hAnsi="Arial Nova" w:eastAsia="Arial Nova" w:cs="Arial Nova"/>
          <w:noProof w:val="0"/>
          <w:sz w:val="22"/>
          <w:szCs w:val="22"/>
          <w:lang w:val="en-GB"/>
        </w:rPr>
        <w:t>, 27(4), pp. 356–357.</w:t>
      </w:r>
    </w:p>
    <w:p w:rsidR="4073C406" w:rsidP="5F93C8D5" w:rsidRDefault="4073C406" w14:paraId="09422F18" w14:textId="013B48EE">
      <w:pPr>
        <w:spacing w:before="240" w:beforeAutospacing="off" w:after="240" w:afterAutospacing="off"/>
      </w:pPr>
      <w:r w:rsidRPr="5F93C8D5" w:rsidR="4073C406">
        <w:rPr>
          <w:rFonts w:ascii="Arial Nova" w:hAnsi="Arial Nova" w:eastAsia="Arial Nova" w:cs="Arial Nova"/>
          <w:noProof w:val="0"/>
          <w:sz w:val="22"/>
          <w:szCs w:val="22"/>
          <w:lang w:val="en-GB"/>
        </w:rPr>
        <w:t xml:space="preserve">Glasby, J. &amp; Dickinson, H. (2014) </w:t>
      </w:r>
      <w:r w:rsidRPr="5F93C8D5" w:rsidR="4073C406">
        <w:rPr>
          <w:rFonts w:ascii="Arial Nova" w:hAnsi="Arial Nova" w:eastAsia="Arial Nova" w:cs="Arial Nova"/>
          <w:i w:val="1"/>
          <w:iCs w:val="1"/>
          <w:noProof w:val="0"/>
          <w:sz w:val="22"/>
          <w:szCs w:val="22"/>
          <w:lang w:val="en-GB"/>
        </w:rPr>
        <w:t xml:space="preserve">Partnership Working in </w:t>
      </w:r>
      <w:bookmarkStart w:name="_Int_kcKLH1In" w:id="1818281563"/>
      <w:r w:rsidRPr="5F93C8D5" w:rsidR="4073C406">
        <w:rPr>
          <w:rFonts w:ascii="Arial Nova" w:hAnsi="Arial Nova" w:eastAsia="Arial Nova" w:cs="Arial Nova"/>
          <w:i w:val="1"/>
          <w:iCs w:val="1"/>
          <w:noProof w:val="0"/>
          <w:sz w:val="22"/>
          <w:szCs w:val="22"/>
          <w:lang w:val="en-GB"/>
        </w:rPr>
        <w:t>Health</w:t>
      </w:r>
      <w:bookmarkEnd w:id="1818281563"/>
      <w:r w:rsidRPr="5F93C8D5" w:rsidR="4073C406">
        <w:rPr>
          <w:rFonts w:ascii="Arial Nova" w:hAnsi="Arial Nova" w:eastAsia="Arial Nova" w:cs="Arial Nova"/>
          <w:i w:val="1"/>
          <w:iCs w:val="1"/>
          <w:noProof w:val="0"/>
          <w:sz w:val="22"/>
          <w:szCs w:val="22"/>
          <w:lang w:val="en-GB"/>
        </w:rPr>
        <w:t xml:space="preserve"> and Social Care: What Is Integrated Care and How Can We Deliver It?</w:t>
      </w:r>
      <w:r w:rsidRPr="5F93C8D5" w:rsidR="4073C406">
        <w:rPr>
          <w:rFonts w:ascii="Arial Nova" w:hAnsi="Arial Nova" w:eastAsia="Arial Nova" w:cs="Arial Nova"/>
          <w:noProof w:val="0"/>
          <w:sz w:val="22"/>
          <w:szCs w:val="22"/>
          <w:lang w:val="en-GB"/>
        </w:rPr>
        <w:t xml:space="preserve"> 2nd edn. Bristol: Policy Press.</w:t>
      </w:r>
    </w:p>
    <w:p w:rsidR="4073C406" w:rsidP="5F93C8D5" w:rsidRDefault="4073C406" w14:paraId="515B0005" w14:textId="5EF8FF10">
      <w:pPr>
        <w:spacing w:before="240" w:beforeAutospacing="off" w:after="240" w:afterAutospacing="off"/>
      </w:pPr>
      <w:r w:rsidRPr="5F93C8D5" w:rsidR="4073C406">
        <w:rPr>
          <w:rFonts w:ascii="Arial Nova" w:hAnsi="Arial Nova" w:eastAsia="Arial Nova" w:cs="Arial Nova"/>
          <w:noProof w:val="0"/>
          <w:sz w:val="22"/>
          <w:szCs w:val="22"/>
          <w:lang w:val="en-GB"/>
        </w:rPr>
        <w:t>Kitson, A., Marshall, A., Bassett, K. &amp; Zeitz, K. (2013) ‘What are the core elements of patient-centred care? A narrative review and synthesis of the literature</w:t>
      </w:r>
      <w:bookmarkStart w:name="_Int_pKlglUha" w:id="1715672616"/>
      <w:r w:rsidRPr="5F93C8D5" w:rsidR="4073C406">
        <w:rPr>
          <w:rFonts w:ascii="Arial Nova" w:hAnsi="Arial Nova" w:eastAsia="Arial Nova" w:cs="Arial Nova"/>
          <w:noProof w:val="0"/>
          <w:sz w:val="22"/>
          <w:szCs w:val="22"/>
          <w:lang w:val="en-GB"/>
        </w:rPr>
        <w:t>’,</w:t>
      </w:r>
      <w:bookmarkEnd w:id="1715672616"/>
      <w:r w:rsidRPr="5F93C8D5" w:rsidR="4073C406">
        <w:rPr>
          <w:rFonts w:ascii="Arial Nova" w:hAnsi="Arial Nova" w:eastAsia="Arial Nova" w:cs="Arial Nova"/>
          <w:noProof w:val="0"/>
          <w:sz w:val="22"/>
          <w:szCs w:val="22"/>
          <w:lang w:val="en-GB"/>
        </w:rPr>
        <w:t xml:space="preserve"> </w:t>
      </w:r>
      <w:r w:rsidRPr="5F93C8D5" w:rsidR="4073C406">
        <w:rPr>
          <w:rFonts w:ascii="Arial Nova" w:hAnsi="Arial Nova" w:eastAsia="Arial Nova" w:cs="Arial Nova"/>
          <w:i w:val="1"/>
          <w:iCs w:val="1"/>
          <w:noProof w:val="0"/>
          <w:sz w:val="22"/>
          <w:szCs w:val="22"/>
          <w:lang w:val="en-GB"/>
        </w:rPr>
        <w:t>Medical Care Research &amp; Review</w:t>
      </w:r>
      <w:r w:rsidRPr="5F93C8D5" w:rsidR="4073C406">
        <w:rPr>
          <w:rFonts w:ascii="Arial Nova" w:hAnsi="Arial Nova" w:eastAsia="Arial Nova" w:cs="Arial Nova"/>
          <w:noProof w:val="0"/>
          <w:sz w:val="22"/>
          <w:szCs w:val="22"/>
          <w:lang w:val="en-GB"/>
        </w:rPr>
        <w:t>, 70(6), pp. 351–379.</w:t>
      </w:r>
    </w:p>
    <w:p w:rsidR="4073C406" w:rsidP="5F93C8D5" w:rsidRDefault="4073C406" w14:paraId="102E0C7A" w14:textId="50008A95">
      <w:pPr>
        <w:spacing w:before="240" w:beforeAutospacing="off" w:after="240" w:afterAutospacing="off"/>
      </w:pPr>
      <w:r w:rsidRPr="5F93C8D5" w:rsidR="4073C406">
        <w:rPr>
          <w:rFonts w:ascii="Arial Nova" w:hAnsi="Arial Nova" w:eastAsia="Arial Nova" w:cs="Arial Nova"/>
          <w:noProof w:val="0"/>
          <w:sz w:val="22"/>
          <w:szCs w:val="22"/>
          <w:lang w:val="en-GB"/>
        </w:rPr>
        <w:t xml:space="preserve">Luxford, K., Safran, D. &amp; Delbanco, T. (2011) ‘Promoting patient-centred care: a qualitative study of facilitators and barriers in healthcare organisations’, </w:t>
      </w:r>
      <w:r w:rsidRPr="5F93C8D5" w:rsidR="4073C406">
        <w:rPr>
          <w:rFonts w:ascii="Arial Nova" w:hAnsi="Arial Nova" w:eastAsia="Arial Nova" w:cs="Arial Nova"/>
          <w:i w:val="1"/>
          <w:iCs w:val="1"/>
          <w:noProof w:val="0"/>
          <w:sz w:val="22"/>
          <w:szCs w:val="22"/>
          <w:lang w:val="en-GB"/>
        </w:rPr>
        <w:t>International Journal for Quality in Health Care</w:t>
      </w:r>
      <w:r w:rsidRPr="5F93C8D5" w:rsidR="4073C406">
        <w:rPr>
          <w:rFonts w:ascii="Arial Nova" w:hAnsi="Arial Nova" w:eastAsia="Arial Nova" w:cs="Arial Nova"/>
          <w:noProof w:val="0"/>
          <w:sz w:val="22"/>
          <w:szCs w:val="22"/>
          <w:lang w:val="en-GB"/>
        </w:rPr>
        <w:t>, 23(5), pp. 510–515.</w:t>
      </w:r>
    </w:p>
    <w:p w:rsidR="4073C406" w:rsidP="5F93C8D5" w:rsidRDefault="4073C406" w14:paraId="7EB43E00" w14:textId="430FF41D">
      <w:pPr>
        <w:spacing w:before="240" w:beforeAutospacing="off" w:after="240" w:afterAutospacing="off"/>
      </w:pPr>
      <w:r w:rsidRPr="5F93C8D5" w:rsidR="4073C406">
        <w:rPr>
          <w:rFonts w:ascii="Arial Nova" w:hAnsi="Arial Nova" w:eastAsia="Arial Nova" w:cs="Arial Nova"/>
          <w:noProof w:val="0"/>
          <w:sz w:val="22"/>
          <w:szCs w:val="22"/>
          <w:lang w:val="en-GB"/>
        </w:rPr>
        <w:t xml:space="preserve">Manley, K., Sanders, K., Cardiff, S. &amp; Webster, J. (2011) ‘Effective workplace culture: the attributes, enabling factors and consequences of a new concept’, </w:t>
      </w:r>
      <w:r w:rsidRPr="5F93C8D5" w:rsidR="4073C406">
        <w:rPr>
          <w:rFonts w:ascii="Arial Nova" w:hAnsi="Arial Nova" w:eastAsia="Arial Nova" w:cs="Arial Nova"/>
          <w:i w:val="1"/>
          <w:iCs w:val="1"/>
          <w:noProof w:val="0"/>
          <w:sz w:val="22"/>
          <w:szCs w:val="22"/>
          <w:lang w:val="en-GB"/>
        </w:rPr>
        <w:t>International Practice Development Journal</w:t>
      </w:r>
      <w:r w:rsidRPr="5F93C8D5" w:rsidR="4073C406">
        <w:rPr>
          <w:rFonts w:ascii="Arial Nova" w:hAnsi="Arial Nova" w:eastAsia="Arial Nova" w:cs="Arial Nova"/>
          <w:noProof w:val="0"/>
          <w:sz w:val="22"/>
          <w:szCs w:val="22"/>
          <w:lang w:val="en-GB"/>
        </w:rPr>
        <w:t>, 1(2), pp. 1–29.</w:t>
      </w:r>
    </w:p>
    <w:p w:rsidR="4073C406" w:rsidP="5F93C8D5" w:rsidRDefault="4073C406" w14:paraId="68B48B73" w14:textId="3984BEB9">
      <w:pPr>
        <w:spacing w:before="240" w:beforeAutospacing="off" w:after="240" w:afterAutospacing="off"/>
      </w:pPr>
      <w:r w:rsidRPr="5F93C8D5" w:rsidR="4073C406">
        <w:rPr>
          <w:rFonts w:ascii="Arial Nova" w:hAnsi="Arial Nova" w:eastAsia="Arial Nova" w:cs="Arial Nova"/>
          <w:noProof w:val="0"/>
          <w:sz w:val="22"/>
          <w:szCs w:val="22"/>
          <w:lang w:val="en-GB"/>
        </w:rPr>
        <w:t xml:space="preserve">McCormack, B. &amp; McCance, T. (2017) </w:t>
      </w:r>
      <w:r w:rsidRPr="5F93C8D5" w:rsidR="4073C406">
        <w:rPr>
          <w:rFonts w:ascii="Arial Nova" w:hAnsi="Arial Nova" w:eastAsia="Arial Nova" w:cs="Arial Nova"/>
          <w:i w:val="1"/>
          <w:iCs w:val="1"/>
          <w:noProof w:val="0"/>
          <w:sz w:val="22"/>
          <w:szCs w:val="22"/>
          <w:lang w:val="en-GB"/>
        </w:rPr>
        <w:t>Person-Centred Practice in Nursing and Health Care: Theory and Practice</w:t>
      </w:r>
      <w:r w:rsidRPr="5F93C8D5" w:rsidR="4073C406">
        <w:rPr>
          <w:rFonts w:ascii="Arial Nova" w:hAnsi="Arial Nova" w:eastAsia="Arial Nova" w:cs="Arial Nova"/>
          <w:noProof w:val="0"/>
          <w:sz w:val="22"/>
          <w:szCs w:val="22"/>
          <w:lang w:val="en-GB"/>
        </w:rPr>
        <w:t>. 2nd edn. Oxford: Wiley-Blackwell.</w:t>
      </w:r>
    </w:p>
    <w:p w:rsidR="4073C406" w:rsidP="5F93C8D5" w:rsidRDefault="4073C406" w14:paraId="3C86BB0D" w14:textId="785DD52D">
      <w:pPr>
        <w:spacing w:before="240" w:beforeAutospacing="off" w:after="240" w:afterAutospacing="off"/>
      </w:pPr>
      <w:r w:rsidRPr="5F93C8D5" w:rsidR="4073C406">
        <w:rPr>
          <w:rFonts w:ascii="Arial Nova" w:hAnsi="Arial Nova" w:eastAsia="Arial Nova" w:cs="Arial Nova"/>
          <w:noProof w:val="0"/>
          <w:sz w:val="22"/>
          <w:szCs w:val="22"/>
          <w:lang w:val="en-GB"/>
        </w:rPr>
        <w:t xml:space="preserve">Mead, N. &amp; Bower, P. (2000) ‘Patient-centredness: a conceptual framework and review of the empirical literature’, </w:t>
      </w:r>
      <w:r w:rsidRPr="5F93C8D5" w:rsidR="4073C406">
        <w:rPr>
          <w:rFonts w:ascii="Arial Nova" w:hAnsi="Arial Nova" w:eastAsia="Arial Nova" w:cs="Arial Nova"/>
          <w:i w:val="1"/>
          <w:iCs w:val="1"/>
          <w:noProof w:val="0"/>
          <w:sz w:val="22"/>
          <w:szCs w:val="22"/>
          <w:lang w:val="en-GB"/>
        </w:rPr>
        <w:t>Social Science &amp; Medicine</w:t>
      </w:r>
      <w:r w:rsidRPr="5F93C8D5" w:rsidR="4073C406">
        <w:rPr>
          <w:rFonts w:ascii="Arial Nova" w:hAnsi="Arial Nova" w:eastAsia="Arial Nova" w:cs="Arial Nova"/>
          <w:noProof w:val="0"/>
          <w:sz w:val="22"/>
          <w:szCs w:val="22"/>
          <w:lang w:val="en-GB"/>
        </w:rPr>
        <w:t>, 51(7), pp. 1087–1110.</w:t>
      </w:r>
    </w:p>
    <w:p w:rsidR="4073C406" w:rsidP="5F93C8D5" w:rsidRDefault="4073C406" w14:paraId="0E281313" w14:textId="0A3192B3">
      <w:pPr>
        <w:spacing w:before="240" w:beforeAutospacing="off" w:after="240" w:afterAutospacing="off"/>
      </w:pPr>
      <w:r w:rsidRPr="5F93C8D5" w:rsidR="4073C406">
        <w:rPr>
          <w:rFonts w:ascii="Arial Nova" w:hAnsi="Arial Nova" w:eastAsia="Arial Nova" w:cs="Arial Nova"/>
          <w:noProof w:val="0"/>
          <w:sz w:val="22"/>
          <w:szCs w:val="22"/>
          <w:lang w:val="en-GB"/>
        </w:rPr>
        <w:t xml:space="preserve">NHS England (2019) </w:t>
      </w:r>
      <w:r w:rsidRPr="5F93C8D5" w:rsidR="4073C406">
        <w:rPr>
          <w:rFonts w:ascii="Arial Nova" w:hAnsi="Arial Nova" w:eastAsia="Arial Nova" w:cs="Arial Nova"/>
          <w:i w:val="1"/>
          <w:iCs w:val="1"/>
          <w:noProof w:val="0"/>
          <w:sz w:val="22"/>
          <w:szCs w:val="22"/>
          <w:lang w:val="en-GB"/>
        </w:rPr>
        <w:t>The NHS Long Term Plan</w:t>
      </w:r>
      <w:r w:rsidRPr="5F93C8D5" w:rsidR="4073C406">
        <w:rPr>
          <w:rFonts w:ascii="Arial Nova" w:hAnsi="Arial Nova" w:eastAsia="Arial Nova" w:cs="Arial Nova"/>
          <w:noProof w:val="0"/>
          <w:sz w:val="22"/>
          <w:szCs w:val="22"/>
          <w:lang w:val="en-GB"/>
        </w:rPr>
        <w:t>. London: NHS England.</w:t>
      </w:r>
    </w:p>
    <w:p w:rsidR="4073C406" w:rsidP="5F93C8D5" w:rsidRDefault="4073C406" w14:paraId="0BE7267F" w14:textId="6DA8F16E">
      <w:pPr>
        <w:spacing w:before="240" w:beforeAutospacing="off" w:after="240" w:afterAutospacing="off"/>
      </w:pPr>
      <w:r w:rsidRPr="5F93C8D5" w:rsidR="4073C406">
        <w:rPr>
          <w:rFonts w:ascii="Arial Nova" w:hAnsi="Arial Nova" w:eastAsia="Arial Nova" w:cs="Arial Nova"/>
          <w:noProof w:val="0"/>
          <w:sz w:val="22"/>
          <w:szCs w:val="22"/>
          <w:lang w:val="en-GB"/>
        </w:rPr>
        <w:t xml:space="preserve">NICE (2015) </w:t>
      </w:r>
      <w:r w:rsidRPr="5F93C8D5" w:rsidR="4073C406">
        <w:rPr>
          <w:rFonts w:ascii="Arial Nova" w:hAnsi="Arial Nova" w:eastAsia="Arial Nova" w:cs="Arial Nova"/>
          <w:i w:val="1"/>
          <w:iCs w:val="1"/>
          <w:noProof w:val="0"/>
          <w:sz w:val="22"/>
          <w:szCs w:val="22"/>
          <w:lang w:val="en-GB"/>
        </w:rPr>
        <w:t>Person-Centred Approaches: Clinical Guidelines (NG5)</w:t>
      </w:r>
      <w:r w:rsidRPr="5F93C8D5" w:rsidR="4073C406">
        <w:rPr>
          <w:rFonts w:ascii="Arial Nova" w:hAnsi="Arial Nova" w:eastAsia="Arial Nova" w:cs="Arial Nova"/>
          <w:noProof w:val="0"/>
          <w:sz w:val="22"/>
          <w:szCs w:val="22"/>
          <w:lang w:val="en-GB"/>
        </w:rPr>
        <w:t>. London: National Institute for Health and Care Excellence.</w:t>
      </w:r>
    </w:p>
    <w:p w:rsidR="4073C406" w:rsidP="5F93C8D5" w:rsidRDefault="4073C406" w14:paraId="43218761" w14:textId="4BADF853">
      <w:pPr>
        <w:spacing w:before="240" w:beforeAutospacing="off" w:after="240" w:afterAutospacing="off"/>
      </w:pPr>
      <w:r w:rsidRPr="5F93C8D5" w:rsidR="4073C406">
        <w:rPr>
          <w:rFonts w:ascii="Arial Nova" w:hAnsi="Arial Nova" w:eastAsia="Arial Nova" w:cs="Arial Nova"/>
          <w:noProof w:val="0"/>
          <w:sz w:val="22"/>
          <w:szCs w:val="22"/>
          <w:lang w:val="en-GB"/>
        </w:rPr>
        <w:t xml:space="preserve">NICE (2018) </w:t>
      </w:r>
      <w:r w:rsidRPr="5F93C8D5" w:rsidR="4073C406">
        <w:rPr>
          <w:rFonts w:ascii="Arial Nova" w:hAnsi="Arial Nova" w:eastAsia="Arial Nova" w:cs="Arial Nova"/>
          <w:i w:val="1"/>
          <w:iCs w:val="1"/>
          <w:noProof w:val="0"/>
          <w:sz w:val="22"/>
          <w:szCs w:val="22"/>
          <w:lang w:val="en-GB"/>
        </w:rPr>
        <w:t xml:space="preserve">Dementia: Assessment, Management and Support for People Living </w:t>
      </w:r>
      <w:r w:rsidRPr="5F93C8D5" w:rsidR="4073C406">
        <w:rPr>
          <w:rFonts w:ascii="Arial Nova" w:hAnsi="Arial Nova" w:eastAsia="Arial Nova" w:cs="Arial Nova"/>
          <w:i w:val="1"/>
          <w:iCs w:val="1"/>
          <w:noProof w:val="0"/>
          <w:sz w:val="22"/>
          <w:szCs w:val="22"/>
          <w:lang w:val="en-GB"/>
        </w:rPr>
        <w:t>with</w:t>
      </w:r>
      <w:r w:rsidRPr="5F93C8D5" w:rsidR="4073C406">
        <w:rPr>
          <w:rFonts w:ascii="Arial Nova" w:hAnsi="Arial Nova" w:eastAsia="Arial Nova" w:cs="Arial Nova"/>
          <w:i w:val="1"/>
          <w:iCs w:val="1"/>
          <w:noProof w:val="0"/>
          <w:sz w:val="22"/>
          <w:szCs w:val="22"/>
          <w:lang w:val="en-GB"/>
        </w:rPr>
        <w:t xml:space="preserve"> Dementia and Their Carers (NG97)</w:t>
      </w:r>
      <w:r w:rsidRPr="5F93C8D5" w:rsidR="4073C406">
        <w:rPr>
          <w:rFonts w:ascii="Arial Nova" w:hAnsi="Arial Nova" w:eastAsia="Arial Nova" w:cs="Arial Nova"/>
          <w:noProof w:val="0"/>
          <w:sz w:val="22"/>
          <w:szCs w:val="22"/>
          <w:lang w:val="en-GB"/>
        </w:rPr>
        <w:t>. London: National Institute for Health and Care Excellence.</w:t>
      </w:r>
    </w:p>
    <w:p w:rsidR="4073C406" w:rsidP="5F93C8D5" w:rsidRDefault="4073C406" w14:paraId="1B60D31A" w14:textId="16F1B699">
      <w:pPr>
        <w:spacing w:before="240" w:beforeAutospacing="off" w:after="240" w:afterAutospacing="off"/>
      </w:pPr>
      <w:r w:rsidRPr="5F93C8D5" w:rsidR="4073C406">
        <w:rPr>
          <w:rFonts w:ascii="Arial Nova" w:hAnsi="Arial Nova" w:eastAsia="Arial Nova" w:cs="Arial Nova"/>
          <w:noProof w:val="0"/>
          <w:sz w:val="22"/>
          <w:szCs w:val="22"/>
          <w:lang w:val="en-GB"/>
        </w:rPr>
        <w:t xml:space="preserve">Ocloo, J. &amp; Matthews, R. (2016) ‘From tokenism to empowerment: progressing patient and public involvement in healthcare improvement’, </w:t>
      </w:r>
      <w:r w:rsidRPr="5F93C8D5" w:rsidR="4073C406">
        <w:rPr>
          <w:rFonts w:ascii="Arial Nova" w:hAnsi="Arial Nova" w:eastAsia="Arial Nova" w:cs="Arial Nova"/>
          <w:i w:val="1"/>
          <w:iCs w:val="1"/>
          <w:noProof w:val="0"/>
          <w:sz w:val="22"/>
          <w:szCs w:val="22"/>
          <w:lang w:val="en-GB"/>
        </w:rPr>
        <w:t>BMJ Quality &amp; Safety</w:t>
      </w:r>
      <w:r w:rsidRPr="5F93C8D5" w:rsidR="4073C406">
        <w:rPr>
          <w:rFonts w:ascii="Arial Nova" w:hAnsi="Arial Nova" w:eastAsia="Arial Nova" w:cs="Arial Nova"/>
          <w:noProof w:val="0"/>
          <w:sz w:val="22"/>
          <w:szCs w:val="22"/>
          <w:lang w:val="en-GB"/>
        </w:rPr>
        <w:t>, 25(8), pp. 626–632.</w:t>
      </w:r>
    </w:p>
    <w:p w:rsidR="4073C406" w:rsidP="5F93C8D5" w:rsidRDefault="4073C406" w14:paraId="1F8315A6" w14:textId="333B1535">
      <w:pPr>
        <w:spacing w:before="240" w:beforeAutospacing="off" w:after="240" w:afterAutospacing="off"/>
      </w:pPr>
      <w:r w:rsidRPr="5F93C8D5" w:rsidR="4073C406">
        <w:rPr>
          <w:rFonts w:ascii="Arial Nova" w:hAnsi="Arial Nova" w:eastAsia="Arial Nova" w:cs="Arial Nova"/>
          <w:noProof w:val="0"/>
          <w:sz w:val="22"/>
          <w:szCs w:val="22"/>
          <w:lang w:val="en-GB"/>
        </w:rPr>
        <w:t xml:space="preserve">Rathert, C., Wyrwich, M. &amp; Boren, S. (2013) ‘Patient-Centered Care and Outcomes: A Systematic Review of the Literature’, </w:t>
      </w:r>
      <w:r w:rsidRPr="5F93C8D5" w:rsidR="4073C406">
        <w:rPr>
          <w:rFonts w:ascii="Arial Nova" w:hAnsi="Arial Nova" w:eastAsia="Arial Nova" w:cs="Arial Nova"/>
          <w:i w:val="1"/>
          <w:iCs w:val="1"/>
          <w:noProof w:val="0"/>
          <w:sz w:val="22"/>
          <w:szCs w:val="22"/>
          <w:lang w:val="en-GB"/>
        </w:rPr>
        <w:t>Medical Care Research and Review</w:t>
      </w:r>
      <w:r w:rsidRPr="5F93C8D5" w:rsidR="4073C406">
        <w:rPr>
          <w:rFonts w:ascii="Arial Nova" w:hAnsi="Arial Nova" w:eastAsia="Arial Nova" w:cs="Arial Nova"/>
          <w:noProof w:val="0"/>
          <w:sz w:val="22"/>
          <w:szCs w:val="22"/>
          <w:lang w:val="en-GB"/>
        </w:rPr>
        <w:t>, 70(4), pp. 351–379.</w:t>
      </w:r>
    </w:p>
    <w:p w:rsidR="4073C406" w:rsidP="5F93C8D5" w:rsidRDefault="4073C406" w14:paraId="4F0C140B" w14:textId="005802EF">
      <w:pPr>
        <w:spacing w:before="240" w:beforeAutospacing="off" w:after="240" w:afterAutospacing="off"/>
      </w:pPr>
      <w:r w:rsidRPr="5F93C8D5" w:rsidR="4073C406">
        <w:rPr>
          <w:rFonts w:ascii="Arial Nova" w:hAnsi="Arial Nova" w:eastAsia="Arial Nova" w:cs="Arial Nova"/>
          <w:noProof w:val="0"/>
          <w:sz w:val="22"/>
          <w:szCs w:val="22"/>
          <w:lang w:val="en-GB"/>
        </w:rPr>
        <w:t xml:space="preserve">Reeves, S., Lewin, S., Espin, S. &amp; Zwarenstein, M. (2017) </w:t>
      </w:r>
      <w:r w:rsidRPr="5F93C8D5" w:rsidR="4073C406">
        <w:rPr>
          <w:rFonts w:ascii="Arial Nova" w:hAnsi="Arial Nova" w:eastAsia="Arial Nova" w:cs="Arial Nova"/>
          <w:i w:val="1"/>
          <w:iCs w:val="1"/>
          <w:noProof w:val="0"/>
          <w:sz w:val="22"/>
          <w:szCs w:val="22"/>
          <w:lang w:val="en-GB"/>
        </w:rPr>
        <w:t>Interprofessional Teamwork for Health and Social Care</w:t>
      </w:r>
      <w:r w:rsidRPr="5F93C8D5" w:rsidR="4073C406">
        <w:rPr>
          <w:rFonts w:ascii="Arial Nova" w:hAnsi="Arial Nova" w:eastAsia="Arial Nova" w:cs="Arial Nova"/>
          <w:noProof w:val="0"/>
          <w:sz w:val="22"/>
          <w:szCs w:val="22"/>
          <w:lang w:val="en-GB"/>
        </w:rPr>
        <w:t>. 2nd edn. Oxford: Wiley-Blackwell.</w:t>
      </w:r>
    </w:p>
    <w:p w:rsidR="4073C406" w:rsidP="5F93C8D5" w:rsidRDefault="4073C406" w14:paraId="2B5FB29C" w14:textId="2E325DB8">
      <w:pPr>
        <w:spacing w:before="240" w:beforeAutospacing="off" w:after="240" w:afterAutospacing="off"/>
      </w:pPr>
      <w:r w:rsidRPr="5F93C8D5" w:rsidR="4073C406">
        <w:rPr>
          <w:rFonts w:ascii="Arial Nova" w:hAnsi="Arial Nova" w:eastAsia="Arial Nova" w:cs="Arial Nova"/>
          <w:noProof w:val="0"/>
          <w:sz w:val="22"/>
          <w:szCs w:val="22"/>
          <w:lang w:val="en-GB"/>
        </w:rPr>
        <w:t xml:space="preserve">Savage, J. &amp; Moore, L. (2004) </w:t>
      </w:r>
      <w:r w:rsidRPr="5F93C8D5" w:rsidR="4073C406">
        <w:rPr>
          <w:rFonts w:ascii="Arial Nova" w:hAnsi="Arial Nova" w:eastAsia="Arial Nova" w:cs="Arial Nova"/>
          <w:i w:val="1"/>
          <w:iCs w:val="1"/>
          <w:noProof w:val="0"/>
          <w:sz w:val="22"/>
          <w:szCs w:val="22"/>
          <w:lang w:val="en-GB"/>
        </w:rPr>
        <w:t>Interprofessional Relations in Health Care</w:t>
      </w:r>
      <w:r w:rsidRPr="5F93C8D5" w:rsidR="4073C406">
        <w:rPr>
          <w:rFonts w:ascii="Arial Nova" w:hAnsi="Arial Nova" w:eastAsia="Arial Nova" w:cs="Arial Nova"/>
          <w:noProof w:val="0"/>
          <w:sz w:val="22"/>
          <w:szCs w:val="22"/>
          <w:lang w:val="en-GB"/>
        </w:rPr>
        <w:t>. London: Arnold.</w:t>
      </w:r>
    </w:p>
    <w:p w:rsidR="4073C406" w:rsidP="5F93C8D5" w:rsidRDefault="4073C406" w14:paraId="423B0134" w14:textId="58C93A84">
      <w:pPr>
        <w:spacing w:before="240" w:beforeAutospacing="off" w:after="240" w:afterAutospacing="off"/>
      </w:pPr>
      <w:r w:rsidRPr="5F93C8D5" w:rsidR="4073C406">
        <w:rPr>
          <w:rFonts w:ascii="Arial Nova" w:hAnsi="Arial Nova" w:eastAsia="Arial Nova" w:cs="Arial Nova"/>
          <w:noProof w:val="0"/>
          <w:sz w:val="22"/>
          <w:szCs w:val="22"/>
          <w:lang w:val="en-GB"/>
        </w:rPr>
        <w:t xml:space="preserve">Tadd, W., Woods, M., O’Neill, M., Manthorpe, J. &amp; McLoughlin, I. (2011) ‘Dignity in practice: an exploration of the care of older adults in acute NHS trusts’, </w:t>
      </w:r>
      <w:r w:rsidRPr="5F93C8D5" w:rsidR="4073C406">
        <w:rPr>
          <w:rFonts w:ascii="Arial Nova" w:hAnsi="Arial Nova" w:eastAsia="Arial Nova" w:cs="Arial Nova"/>
          <w:i w:val="1"/>
          <w:iCs w:val="1"/>
          <w:noProof w:val="0"/>
          <w:sz w:val="22"/>
          <w:szCs w:val="22"/>
          <w:lang w:val="en-GB"/>
        </w:rPr>
        <w:t>International Journal of Nursing Studies</w:t>
      </w:r>
      <w:r w:rsidRPr="5F93C8D5" w:rsidR="4073C406">
        <w:rPr>
          <w:rFonts w:ascii="Arial Nova" w:hAnsi="Arial Nova" w:eastAsia="Arial Nova" w:cs="Arial Nova"/>
          <w:noProof w:val="0"/>
          <w:sz w:val="22"/>
          <w:szCs w:val="22"/>
          <w:lang w:val="en-GB"/>
        </w:rPr>
        <w:t>, 48(1), pp. 36–45.</w:t>
      </w:r>
    </w:p>
    <w:p w:rsidR="4073C406" w:rsidP="5F93C8D5" w:rsidRDefault="4073C406" w14:paraId="7D5FFCCB" w14:textId="15313EB3">
      <w:pPr>
        <w:spacing w:before="240" w:beforeAutospacing="off" w:after="240" w:afterAutospacing="off"/>
      </w:pPr>
      <w:r w:rsidRPr="5F93C8D5" w:rsidR="4073C406">
        <w:rPr>
          <w:rFonts w:ascii="Arial Nova" w:hAnsi="Arial Nova" w:eastAsia="Arial Nova" w:cs="Arial Nova"/>
          <w:noProof w:val="0"/>
          <w:sz w:val="22"/>
          <w:szCs w:val="22"/>
          <w:lang w:val="en-GB"/>
        </w:rPr>
        <w:t xml:space="preserve">Wittenberg, R., Hu, B., Barraza-Araiza, L. &amp; Rehill, A. (2019) </w:t>
      </w:r>
      <w:r w:rsidRPr="5F93C8D5" w:rsidR="4073C406">
        <w:rPr>
          <w:rFonts w:ascii="Arial Nova" w:hAnsi="Arial Nova" w:eastAsia="Arial Nova" w:cs="Arial Nova"/>
          <w:i w:val="1"/>
          <w:iCs w:val="1"/>
          <w:noProof w:val="0"/>
          <w:sz w:val="22"/>
          <w:szCs w:val="22"/>
          <w:lang w:val="en-GB"/>
        </w:rPr>
        <w:t>Projections of Older People with Dementia and Costs of Dementia Care in the United Kingdom, 2019–2040</w:t>
      </w:r>
      <w:r w:rsidRPr="5F93C8D5" w:rsidR="4073C406">
        <w:rPr>
          <w:rFonts w:ascii="Arial Nova" w:hAnsi="Arial Nova" w:eastAsia="Arial Nova" w:cs="Arial Nova"/>
          <w:noProof w:val="0"/>
          <w:sz w:val="22"/>
          <w:szCs w:val="22"/>
          <w:lang w:val="en-GB"/>
        </w:rPr>
        <w:t>. London: London School of Economics.</w:t>
      </w:r>
    </w:p>
    <w:p w:rsidR="5F93C8D5" w:rsidP="5F93C8D5" w:rsidRDefault="5F93C8D5" w14:paraId="7A1F9621" w14:textId="35C507E8">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4073C406" w:rsidP="5F93C8D5" w:rsidRDefault="4073C406" w14:paraId="1499E1B4" w14:textId="571D1A69">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F93C8D5" w:rsidR="4073C406">
        <w:rPr>
          <w:rFonts w:ascii="Arial Nova" w:hAnsi="Arial Nova" w:eastAsia="Arial Nova" w:cs="Arial Nova"/>
          <w:b w:val="1"/>
          <w:bCs w:val="1"/>
          <w:noProof w:val="0"/>
          <w:sz w:val="24"/>
          <w:szCs w:val="24"/>
          <w:lang w:val="en-GB"/>
        </w:rPr>
        <w:t xml:space="preserve"> </w:t>
      </w:r>
    </w:p>
    <w:p w:rsidR="31EF22E2" w:rsidP="5F93C8D5" w:rsidRDefault="31EF22E2" w14:paraId="1BABDF82" w14:textId="4AD29C3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5F93C8D5" w:rsidR="31EF22E2">
        <w:rPr>
          <w:rFonts w:ascii="Arial Nova" w:hAnsi="Arial Nova" w:eastAsia="Arial Nova" w:cs="Arial Nova"/>
          <w:b w:val="1"/>
          <w:bCs w:val="1"/>
          <w:noProof w:val="0"/>
          <w:sz w:val="24"/>
          <w:szCs w:val="24"/>
          <w:lang w:val="en-GB"/>
        </w:rPr>
        <w:t xml:space="preserve"> </w:t>
      </w:r>
    </w:p>
    <w:p w:rsidR="6A3F393F" w:rsidP="5F93C8D5" w:rsidRDefault="6A3F393F" w14:paraId="5A56C0A7" w14:textId="21DCE348">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5F93C8D5" w:rsidR="6A3F393F">
        <w:rPr>
          <w:rFonts w:ascii="Arial Nova" w:hAnsi="Arial Nova" w:eastAsia="Arial Nova" w:cs="Arial Nova"/>
          <w:b w:val="0"/>
          <w:bCs w:val="0"/>
          <w:noProof w:val="0"/>
          <w:sz w:val="22"/>
          <w:szCs w:val="22"/>
          <w:lang w:val="en-GB"/>
        </w:rPr>
        <w:t xml:space="preserve"> </w:t>
      </w:r>
    </w:p>
    <w:p w:rsidR="7D51CA44" w:rsidP="5F93C8D5" w:rsidRDefault="7D51CA44" w14:paraId="298C3900" w14:textId="061EEEA7">
      <w:pPr>
        <w:pStyle w:val="Normal"/>
        <w:spacing w:before="240" w:beforeAutospacing="off" w:after="240" w:afterAutospacing="off" w:line="360" w:lineRule="auto"/>
        <w:rPr>
          <w:rFonts w:ascii="Arial Nova" w:hAnsi="Arial Nova" w:eastAsia="Arial Nova" w:cs="Arial Nova"/>
          <w:noProof w:val="0"/>
          <w:sz w:val="24"/>
          <w:szCs w:val="24"/>
          <w:lang w:val="en-GB"/>
        </w:rPr>
      </w:pPr>
      <w:r w:rsidRPr="5F93C8D5" w:rsidR="7D51CA44">
        <w:rPr>
          <w:rFonts w:ascii="Arial Nova" w:hAnsi="Arial Nova" w:eastAsia="Arial Nova" w:cs="Arial Nova"/>
          <w:noProof w:val="0"/>
          <w:sz w:val="24"/>
          <w:szCs w:val="24"/>
          <w:lang w:val="en-GB"/>
        </w:rPr>
        <w:t xml:space="preserve"> </w:t>
      </w:r>
    </w:p>
    <w:p w:rsidR="5F93C8D5" w:rsidP="5F93C8D5" w:rsidRDefault="5F93C8D5" w14:paraId="62A94DD3" w14:textId="1DB7EAA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KfkChrO1Ot+sg" int2:id="hgh8KVNS">
      <int2:state int2:type="spell" int2:value="Rejected"/>
    </int2:textHash>
    <int2:textHash int2:hashCode="Ef53+qmgAlV5pi" int2:id="DcTeVIyC">
      <int2:state int2:type="spell" int2:value="Rejected"/>
    </int2:textHash>
    <int2:textHash int2:hashCode="AetMd3Xx81jqSD" int2:id="VpcFOHCc">
      <int2:state int2:type="spell" int2:value="Rejected"/>
    </int2:textHash>
    <int2:textHash int2:hashCode="KJ0WMCO/rSktn2" int2:id="KPtk7k8c">
      <int2:state int2:type="spell" int2:value="Rejected"/>
    </int2:textHash>
    <int2:textHash int2:hashCode="TXcmixZhSoH2ak" int2:id="GPSefjX9">
      <int2:state int2:type="spell" int2:value="Rejected"/>
    </int2:textHash>
    <int2:textHash int2:hashCode="W44p2tKRuKqSHd" int2:id="R1qZby2y">
      <int2:state int2:type="spell" int2:value="Rejected"/>
    </int2:textHash>
    <int2:textHash int2:hashCode="Y7rxyEYEGk+h8X" int2:id="lqXObgHf">
      <int2:state int2:type="spell" int2:value="Rejected"/>
    </int2:textHash>
    <int2:bookmark int2:bookmarkName="_Int_kcKLH1In" int2:invalidationBookmarkName="" int2:hashCode="NwPNIWiB0zA6EK" int2:id="HdWKCX5c">
      <int2:state int2:type="style" int2:value="Rejected"/>
    </int2:bookmark>
    <int2:bookmark int2:bookmarkName="_Int_pKlglUha" int2:invalidationBookmarkName="" int2:hashCode="NkPdJ9i9g1wpGP" int2:id="0Q3TeVmV">
      <int2:state int2:type="style" int2:value="Rejected"/>
    </int2:bookmark>
    <int2:bookmark int2:bookmarkName="_Int_GJLJLGEr" int2:invalidationBookmarkName="" int2:hashCode="v1MVwc4vgspKJy" int2:id="b2lo42Lv">
      <int2:state int2:type="gram" int2:value="Rejected"/>
    </int2:bookmark>
    <int2:bookmark int2:bookmarkName="_Int_GUbuAxlK" int2:invalidationBookmarkName="" int2:hashCode="BM0w9VgewPa1x0" int2:id="DHv0aWO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2A0C67"/>
    <w:rsid w:val="005CC765"/>
    <w:rsid w:val="02C1DDEF"/>
    <w:rsid w:val="0656C0D6"/>
    <w:rsid w:val="095615B1"/>
    <w:rsid w:val="096BC085"/>
    <w:rsid w:val="0C6E630F"/>
    <w:rsid w:val="0D1B7E16"/>
    <w:rsid w:val="0EECE7B1"/>
    <w:rsid w:val="0F0B01D8"/>
    <w:rsid w:val="10CE6C25"/>
    <w:rsid w:val="10FC0BBC"/>
    <w:rsid w:val="11A2ABDF"/>
    <w:rsid w:val="1494B643"/>
    <w:rsid w:val="1646A4D3"/>
    <w:rsid w:val="18DAE000"/>
    <w:rsid w:val="1958C848"/>
    <w:rsid w:val="1999D888"/>
    <w:rsid w:val="1A40CD78"/>
    <w:rsid w:val="1B46878E"/>
    <w:rsid w:val="1B5DA286"/>
    <w:rsid w:val="1B832D55"/>
    <w:rsid w:val="1FC81FB9"/>
    <w:rsid w:val="1FD3F27C"/>
    <w:rsid w:val="20D60991"/>
    <w:rsid w:val="21AEF824"/>
    <w:rsid w:val="22FA1141"/>
    <w:rsid w:val="26997C2E"/>
    <w:rsid w:val="26FB5C8E"/>
    <w:rsid w:val="275A1977"/>
    <w:rsid w:val="285885EF"/>
    <w:rsid w:val="291AE173"/>
    <w:rsid w:val="29859AF1"/>
    <w:rsid w:val="2AAC2E46"/>
    <w:rsid w:val="2C3F3154"/>
    <w:rsid w:val="2D2A0C67"/>
    <w:rsid w:val="2F3C52E1"/>
    <w:rsid w:val="302472E0"/>
    <w:rsid w:val="31BACE73"/>
    <w:rsid w:val="31EF22E2"/>
    <w:rsid w:val="3567F704"/>
    <w:rsid w:val="356E6AA9"/>
    <w:rsid w:val="36FA8FA4"/>
    <w:rsid w:val="39074C1E"/>
    <w:rsid w:val="3A79AC32"/>
    <w:rsid w:val="3BAF0189"/>
    <w:rsid w:val="3D7BF3E8"/>
    <w:rsid w:val="3DF9EB7C"/>
    <w:rsid w:val="4073C406"/>
    <w:rsid w:val="410D6906"/>
    <w:rsid w:val="43C55C77"/>
    <w:rsid w:val="44BF6869"/>
    <w:rsid w:val="4711B440"/>
    <w:rsid w:val="49D7793C"/>
    <w:rsid w:val="49E57BFC"/>
    <w:rsid w:val="49EA8101"/>
    <w:rsid w:val="4C1AFBFA"/>
    <w:rsid w:val="4C52692C"/>
    <w:rsid w:val="4D82D41C"/>
    <w:rsid w:val="4F670902"/>
    <w:rsid w:val="4F833998"/>
    <w:rsid w:val="51ACE74C"/>
    <w:rsid w:val="51C4196C"/>
    <w:rsid w:val="51E9145D"/>
    <w:rsid w:val="51EB3DE2"/>
    <w:rsid w:val="52B75DB6"/>
    <w:rsid w:val="5657A07B"/>
    <w:rsid w:val="57E22958"/>
    <w:rsid w:val="58315DAE"/>
    <w:rsid w:val="58425641"/>
    <w:rsid w:val="59785506"/>
    <w:rsid w:val="5CBC87AD"/>
    <w:rsid w:val="5DADCC3D"/>
    <w:rsid w:val="5EBFFBFB"/>
    <w:rsid w:val="5F93C8D5"/>
    <w:rsid w:val="60072C07"/>
    <w:rsid w:val="616922E7"/>
    <w:rsid w:val="61CBBD76"/>
    <w:rsid w:val="62BD68D0"/>
    <w:rsid w:val="63D0566D"/>
    <w:rsid w:val="644277C4"/>
    <w:rsid w:val="65F4B37D"/>
    <w:rsid w:val="683F189E"/>
    <w:rsid w:val="692E505F"/>
    <w:rsid w:val="69C5C4D2"/>
    <w:rsid w:val="69E95E09"/>
    <w:rsid w:val="6A31D412"/>
    <w:rsid w:val="6A3F393F"/>
    <w:rsid w:val="6A474F2A"/>
    <w:rsid w:val="6A4AA432"/>
    <w:rsid w:val="6B7F30FA"/>
    <w:rsid w:val="6D98244C"/>
    <w:rsid w:val="6E33A4BC"/>
    <w:rsid w:val="6ECA1EA5"/>
    <w:rsid w:val="6F8E8097"/>
    <w:rsid w:val="7166DE69"/>
    <w:rsid w:val="719EEE85"/>
    <w:rsid w:val="71A6DC06"/>
    <w:rsid w:val="71FAB1EE"/>
    <w:rsid w:val="720EE374"/>
    <w:rsid w:val="728BA08F"/>
    <w:rsid w:val="72B72426"/>
    <w:rsid w:val="72C33C32"/>
    <w:rsid w:val="731502CE"/>
    <w:rsid w:val="74A8ED94"/>
    <w:rsid w:val="74EC4087"/>
    <w:rsid w:val="75052FF1"/>
    <w:rsid w:val="76496E66"/>
    <w:rsid w:val="77D4B0D2"/>
    <w:rsid w:val="77D7A363"/>
    <w:rsid w:val="77DE7DA6"/>
    <w:rsid w:val="786A1F88"/>
    <w:rsid w:val="786A5F5A"/>
    <w:rsid w:val="790962C2"/>
    <w:rsid w:val="7A26C2A6"/>
    <w:rsid w:val="7AF2E1AD"/>
    <w:rsid w:val="7B19EE51"/>
    <w:rsid w:val="7B6A7A14"/>
    <w:rsid w:val="7B733E73"/>
    <w:rsid w:val="7D51CA44"/>
    <w:rsid w:val="7FD74E4E"/>
    <w:rsid w:val="7FE14C53"/>
    <w:rsid w:val="7FF01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A0C67"/>
  <w15:chartTrackingRefBased/>
  <w15:docId w15:val="{B4DD3171-966D-4C77-B1CA-C10B7BCFC2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8bb84c8c90645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Shaliea Younis (2222115)</dc:creator>
  <keywords/>
  <dc:description/>
  <lastModifiedBy>Shaliea Younis (2222115)</lastModifiedBy>
  <revision>2</revision>
  <dcterms:created xsi:type="dcterms:W3CDTF">2025-11-16T16:32:56.0010090Z</dcterms:created>
  <dcterms:modified xsi:type="dcterms:W3CDTF">2025-11-16T17:56:43.1456907Z</dcterms:modified>
</coreProperties>
</file>