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A61FC" w14:textId="77777777" w:rsidR="003F225A" w:rsidRDefault="003F225A" w:rsidP="003F225A">
      <w:pPr>
        <w:rPr>
          <w:rFonts w:ascii="Times New Roman" w:hAnsi="Times New Roman" w:cs="Times New Roman"/>
        </w:rPr>
      </w:pPr>
    </w:p>
    <w:p w14:paraId="51D07EFD" w14:textId="467ABF51" w:rsidR="003F225A" w:rsidRDefault="003F225A" w:rsidP="003F225A">
      <w:pPr>
        <w:rPr>
          <w:rFonts w:ascii="Times New Roman" w:hAnsi="Times New Roman" w:cs="Times New Roman"/>
        </w:rPr>
      </w:pPr>
      <w:proofErr w:type="spellStart"/>
      <w:proofErr w:type="gramStart"/>
      <w:r w:rsidRPr="003F225A">
        <w:rPr>
          <w:rFonts w:ascii="Times New Roman" w:hAnsi="Times New Roman" w:cs="Times New Roman"/>
        </w:rPr>
        <w:t>A.Hatt</w:t>
      </w:r>
      <w:proofErr w:type="spellEnd"/>
      <w:proofErr w:type="gramEnd"/>
      <w:r w:rsidRPr="003F225A">
        <w:rPr>
          <w:rFonts w:ascii="Times New Roman" w:hAnsi="Times New Roman" w:cs="Times New Roman"/>
        </w:rPr>
        <w:t xml:space="preserve">, T. Issa, </w:t>
      </w:r>
      <w:r w:rsidRPr="003F225A">
        <w:rPr>
          <w:rFonts w:ascii="Times New Roman" w:hAnsi="Times New Roman" w:cs="Times New Roman"/>
          <w:i/>
          <w:iCs/>
        </w:rPr>
        <w:t>Language, culture and identity in the early years</w:t>
      </w:r>
      <w:r w:rsidRPr="003F225A">
        <w:rPr>
          <w:rFonts w:ascii="Times New Roman" w:hAnsi="Times New Roman" w:cs="Times New Roman"/>
        </w:rPr>
        <w:t>, Bloomsbury, 2013. [E-book].</w:t>
      </w:r>
    </w:p>
    <w:p w14:paraId="708D0086" w14:textId="6C5A030C" w:rsidR="003F225A" w:rsidRDefault="003F225A" w:rsidP="003F225A">
      <w:pPr>
        <w:rPr>
          <w:rFonts w:ascii="Times New Roman" w:hAnsi="Times New Roman" w:cs="Times New Roman"/>
        </w:rPr>
      </w:pPr>
    </w:p>
    <w:p w14:paraId="63243A49" w14:textId="77777777" w:rsidR="003F225A" w:rsidRPr="003F225A" w:rsidRDefault="003F225A" w:rsidP="003F225A">
      <w:pPr>
        <w:rPr>
          <w:rFonts w:ascii="Times New Roman" w:hAnsi="Times New Roman" w:cs="Times New Roman"/>
        </w:rPr>
      </w:pPr>
      <w:r w:rsidRPr="003F225A">
        <w:rPr>
          <w:rFonts w:ascii="Times New Roman" w:hAnsi="Times New Roman" w:cs="Times New Roman"/>
          <w:lang w:val="cy-GB"/>
        </w:rPr>
        <w:t xml:space="preserve">A.Lebron. (2013) ‘What is culture?’, </w:t>
      </w:r>
      <w:r w:rsidRPr="003F225A">
        <w:rPr>
          <w:rFonts w:ascii="Times New Roman" w:hAnsi="Times New Roman" w:cs="Times New Roman"/>
          <w:i/>
          <w:iCs/>
          <w:lang w:val="cy-GB"/>
        </w:rPr>
        <w:t xml:space="preserve">Merit Research Journal of Education and Review, </w:t>
      </w:r>
      <w:r w:rsidRPr="003F225A">
        <w:rPr>
          <w:rFonts w:ascii="Times New Roman" w:hAnsi="Times New Roman" w:cs="Times New Roman"/>
          <w:lang w:val="cy-GB"/>
        </w:rPr>
        <w:t xml:space="preserve">1(6), pp. 126 – 132. {online]. Available at: </w:t>
      </w:r>
      <w:r w:rsidRPr="003F225A">
        <w:rPr>
          <w:rFonts w:ascii="Times New Roman" w:hAnsi="Times New Roman" w:cs="Times New Roman"/>
          <w:lang w:val="cy-GB"/>
        </w:rPr>
        <w:fldChar w:fldCharType="begin"/>
      </w:r>
      <w:r w:rsidRPr="003F225A">
        <w:rPr>
          <w:rFonts w:ascii="Times New Roman" w:hAnsi="Times New Roman" w:cs="Times New Roman"/>
          <w:lang w:val="cy-GB"/>
        </w:rPr>
        <w:instrText xml:space="preserve"> HYPERLINK "https://pdfs.semanticscholar.org/023b/0223f2673be190d6978e85f4d7fb606125ad.pdf" </w:instrText>
      </w:r>
      <w:r w:rsidRPr="003F225A">
        <w:rPr>
          <w:rFonts w:ascii="Times New Roman" w:hAnsi="Times New Roman" w:cs="Times New Roman"/>
          <w:lang w:val="cy-GB"/>
        </w:rPr>
        <w:fldChar w:fldCharType="separate"/>
      </w:r>
      <w:r w:rsidRPr="003F225A">
        <w:rPr>
          <w:rStyle w:val="Hyperlink"/>
          <w:rFonts w:ascii="Times New Roman" w:hAnsi="Times New Roman" w:cs="Times New Roman"/>
          <w:lang w:val="cy-GB"/>
        </w:rPr>
        <w:t>https://pdfs.semanticscholar.org/023b/0223f2673be190d6978e85f4d7fb606125ad.pdf</w:t>
      </w:r>
      <w:r w:rsidRPr="003F225A">
        <w:rPr>
          <w:rFonts w:ascii="Times New Roman" w:hAnsi="Times New Roman" w:cs="Times New Roman"/>
        </w:rPr>
        <w:fldChar w:fldCharType="end"/>
      </w:r>
      <w:r w:rsidRPr="003F225A">
        <w:rPr>
          <w:rFonts w:ascii="Times New Roman" w:hAnsi="Times New Roman" w:cs="Times New Roman"/>
          <w:lang w:val="cy-GB"/>
        </w:rPr>
        <w:t xml:space="preserve"> [Accessed: March. 22, 2022].</w:t>
      </w:r>
    </w:p>
    <w:p w14:paraId="5433D2A1" w14:textId="77777777" w:rsidR="003F225A" w:rsidRPr="003F225A" w:rsidRDefault="003F225A" w:rsidP="003F225A">
      <w:pPr>
        <w:rPr>
          <w:rFonts w:ascii="Times New Roman" w:hAnsi="Times New Roman" w:cs="Times New Roman"/>
        </w:rPr>
      </w:pPr>
    </w:p>
    <w:p w14:paraId="30932471" w14:textId="77777777" w:rsidR="003F225A" w:rsidRPr="003F225A" w:rsidRDefault="003F225A" w:rsidP="003F225A">
      <w:pPr>
        <w:pStyle w:val="tick-list"/>
        <w:spacing w:before="120" w:beforeAutospacing="0"/>
        <w:rPr>
          <w:color w:val="000000" w:themeColor="text1"/>
        </w:rPr>
      </w:pPr>
      <w:r w:rsidRPr="003F225A">
        <w:rPr>
          <w:color w:val="000000" w:themeColor="text1"/>
        </w:rPr>
        <w:t xml:space="preserve">Carmarthenshire County Council, “Feb. 25, 2022. [Online]. Available: </w:t>
      </w:r>
      <w:hyperlink r:id="rId7" w:anchor=".Yjo0GS2cZQI" w:history="1">
        <w:r w:rsidRPr="003F225A">
          <w:rPr>
            <w:rStyle w:val="Hyperlink"/>
            <w:color w:val="000000" w:themeColor="text1"/>
          </w:rPr>
          <w:t>https://www.carmarthenshire.gov.wales/home/council-services/education-schools/bilingual-education/advantages-of-being-bilingual/#.Yjo0GS2cZQI</w:t>
        </w:r>
      </w:hyperlink>
      <w:r w:rsidRPr="003F225A">
        <w:rPr>
          <w:color w:val="000000" w:themeColor="text1"/>
        </w:rPr>
        <w:t>. [Accessed March. 22, 2022].</w:t>
      </w:r>
    </w:p>
    <w:p w14:paraId="7FC67FC6" w14:textId="77777777" w:rsidR="003F225A" w:rsidRPr="003F225A" w:rsidRDefault="003F225A" w:rsidP="003F225A">
      <w:pPr>
        <w:rPr>
          <w:rFonts w:ascii="Times New Roman" w:eastAsia="Times New Roman" w:hAnsi="Times New Roman" w:cs="Times New Roman"/>
          <w:i/>
          <w:iCs/>
          <w:color w:val="212121"/>
          <w:shd w:val="clear" w:color="auto" w:fill="FFFFFF"/>
          <w:lang w:eastAsia="en-GB"/>
        </w:rPr>
      </w:pPr>
      <w:r w:rsidRPr="003F225A">
        <w:rPr>
          <w:rFonts w:ascii="Times New Roman" w:eastAsia="Times New Roman" w:hAnsi="Times New Roman" w:cs="Times New Roman"/>
          <w:color w:val="212121"/>
          <w:shd w:val="clear" w:color="auto" w:fill="FFFFFF"/>
          <w:lang w:eastAsia="en-GB"/>
        </w:rPr>
        <w:t xml:space="preserve">E. Bialystok, J. F. </w:t>
      </w:r>
      <w:proofErr w:type="spellStart"/>
      <w:r w:rsidRPr="003F225A">
        <w:rPr>
          <w:rFonts w:ascii="Times New Roman" w:eastAsia="Times New Roman" w:hAnsi="Times New Roman" w:cs="Times New Roman"/>
          <w:color w:val="212121"/>
          <w:shd w:val="clear" w:color="auto" w:fill="FFFFFF"/>
          <w:lang w:eastAsia="en-GB"/>
        </w:rPr>
        <w:t>Werker</w:t>
      </w:r>
      <w:proofErr w:type="spellEnd"/>
      <w:r w:rsidRPr="003F225A">
        <w:rPr>
          <w:rFonts w:ascii="Times New Roman" w:eastAsia="Times New Roman" w:hAnsi="Times New Roman" w:cs="Times New Roman"/>
          <w:color w:val="212121"/>
          <w:shd w:val="clear" w:color="auto" w:fill="FFFFFF"/>
          <w:lang w:eastAsia="en-GB"/>
        </w:rPr>
        <w:t xml:space="preserve">, “The systematic effects of bilingualism on children’s development”, </w:t>
      </w:r>
      <w:r w:rsidRPr="003F225A">
        <w:rPr>
          <w:rFonts w:ascii="Times New Roman" w:eastAsia="Times New Roman" w:hAnsi="Times New Roman" w:cs="Times New Roman"/>
          <w:i/>
          <w:iCs/>
          <w:color w:val="212121"/>
          <w:shd w:val="clear" w:color="auto" w:fill="FFFFFF"/>
          <w:lang w:eastAsia="en-GB"/>
        </w:rPr>
        <w:t>PubMed Central, Jan 1. 2018.</w:t>
      </w:r>
    </w:p>
    <w:p w14:paraId="64C126B1" w14:textId="709447A1" w:rsidR="00E85650" w:rsidRDefault="003F225A" w:rsidP="003F225A">
      <w:pPr>
        <w:pStyle w:val="NormalWeb"/>
        <w:spacing w:before="0" w:after="390"/>
        <w:rPr>
          <w:i/>
          <w:iCs/>
          <w:color w:val="000000"/>
        </w:rPr>
      </w:pPr>
      <w:proofErr w:type="gramStart"/>
      <w:r w:rsidRPr="003F225A">
        <w:rPr>
          <w:color w:val="000000"/>
        </w:rPr>
        <w:t>F. Smith,</w:t>
      </w:r>
      <w:proofErr w:type="gramEnd"/>
      <w:r w:rsidRPr="003F225A">
        <w:rPr>
          <w:color w:val="000000"/>
        </w:rPr>
        <w:t xml:space="preserve"> </w:t>
      </w:r>
      <w:r w:rsidRPr="003F225A">
        <w:rPr>
          <w:i/>
          <w:iCs/>
          <w:color w:val="000000"/>
        </w:rPr>
        <w:t>To Think: In Language, Learning and Education, Routledge: Taylor &amp; Francis, 1992. [E-book]</w:t>
      </w:r>
    </w:p>
    <w:p w14:paraId="4C6F22C2" w14:textId="10799C00" w:rsid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Guilford, J. P. (1967)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nature of human intelligence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. New York: McGraw-Hill.</w:t>
      </w:r>
    </w:p>
    <w:p w14:paraId="1B5772B4" w14:textId="77777777" w:rsid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6D2A4DC" w14:textId="6F5141D5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International Montessori Schools, “Linguistic Intelligence”, International Montessori.org, 2014. [Online] Available: </w:t>
      </w:r>
      <w:hyperlink r:id="rId8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https://www.international-montessori.org/8-intelligences-international-montessori-school-and-international-baccalaureate-world-school-brussels/linguistic-intelligence/</w:t>
        </w:r>
      </w:hyperlink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[March. 24, 2022]</w:t>
      </w:r>
    </w:p>
    <w:p w14:paraId="73B56BDF" w14:textId="77777777" w:rsid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62C4E6AF" w14:textId="7BA13D31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J. Lindon, “Cultural diversity in the early years”,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Community </w:t>
      </w:r>
      <w:proofErr w:type="gramStart"/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play things</w:t>
      </w:r>
      <w:proofErr w:type="gramEnd"/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, 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June, 2012.</w:t>
      </w:r>
    </w:p>
    <w:p w14:paraId="185F57FB" w14:textId="77777777" w:rsidR="003F225A" w:rsidRDefault="003F225A" w:rsidP="003F225A">
      <w:pPr>
        <w:rPr>
          <w:rFonts w:ascii="Times New Roman" w:eastAsia="Times New Roman" w:hAnsi="Times New Roman" w:cs="Times New Roman"/>
          <w:lang w:eastAsia="en-GB"/>
        </w:rPr>
      </w:pPr>
    </w:p>
    <w:p w14:paraId="7B6F838C" w14:textId="7D0DE035" w:rsidR="003F225A" w:rsidRPr="003F225A" w:rsidRDefault="003F225A" w:rsidP="003F225A">
      <w:pPr>
        <w:rPr>
          <w:rFonts w:ascii="Times New Roman" w:eastAsia="Times New Roman" w:hAnsi="Times New Roman" w:cs="Times New Roman"/>
          <w:i/>
          <w:iCs/>
          <w:lang w:eastAsia="en-GB"/>
        </w:rPr>
      </w:pPr>
      <w:r w:rsidRPr="003F225A">
        <w:rPr>
          <w:rFonts w:ascii="Times New Roman" w:eastAsia="Times New Roman" w:hAnsi="Times New Roman" w:cs="Times New Roman"/>
          <w:lang w:eastAsia="en-GB"/>
        </w:rPr>
        <w:t xml:space="preserve">L. </w:t>
      </w:r>
      <w:proofErr w:type="spellStart"/>
      <w:r w:rsidRPr="003F225A">
        <w:rPr>
          <w:rFonts w:ascii="Times New Roman" w:eastAsia="Times New Roman" w:hAnsi="Times New Roman" w:cs="Times New Roman"/>
          <w:lang w:eastAsia="en-GB"/>
        </w:rPr>
        <w:t>Aimin</w:t>
      </w:r>
      <w:proofErr w:type="spellEnd"/>
      <w:r w:rsidRPr="003F225A">
        <w:rPr>
          <w:rFonts w:ascii="Times New Roman" w:eastAsia="Times New Roman" w:hAnsi="Times New Roman" w:cs="Times New Roman"/>
          <w:lang w:eastAsia="en-GB"/>
        </w:rPr>
        <w:t xml:space="preserve">, </w:t>
      </w:r>
      <w:proofErr w:type="gramStart"/>
      <w:r w:rsidRPr="003F225A">
        <w:rPr>
          <w:rFonts w:ascii="Times New Roman" w:eastAsia="Times New Roman" w:hAnsi="Times New Roman" w:cs="Times New Roman"/>
          <w:lang w:eastAsia="en-GB"/>
        </w:rPr>
        <w:t>“ The</w:t>
      </w:r>
      <w:proofErr w:type="gramEnd"/>
      <w:r w:rsidRPr="003F225A">
        <w:rPr>
          <w:rFonts w:ascii="Times New Roman" w:eastAsia="Times New Roman" w:hAnsi="Times New Roman" w:cs="Times New Roman"/>
          <w:lang w:eastAsia="en-GB"/>
        </w:rPr>
        <w:t xml:space="preserve"> study of second language acquisition under socio-cultural theory”, </w:t>
      </w:r>
      <w:r w:rsidRPr="003F225A">
        <w:rPr>
          <w:rFonts w:ascii="Times New Roman" w:eastAsia="Times New Roman" w:hAnsi="Times New Roman" w:cs="Times New Roman"/>
          <w:i/>
          <w:iCs/>
          <w:lang w:eastAsia="en-GB"/>
        </w:rPr>
        <w:t>American Journal of educational research,</w:t>
      </w:r>
      <w:r w:rsidRPr="003F225A">
        <w:rPr>
          <w:rFonts w:ascii="Times New Roman" w:eastAsia="Times New Roman" w:hAnsi="Times New Roman" w:cs="Times New Roman"/>
          <w:lang w:eastAsia="en-GB"/>
        </w:rPr>
        <w:t xml:space="preserve"> Vol. 2, No. 5, PP.162-167, May. 12, 2013</w:t>
      </w:r>
    </w:p>
    <w:p w14:paraId="001692E4" w14:textId="77777777" w:rsidR="003F225A" w:rsidRPr="003F225A" w:rsidRDefault="003F225A" w:rsidP="003F225A">
      <w:pPr>
        <w:spacing w:after="360"/>
        <w:rPr>
          <w:rFonts w:ascii="Times New Roman" w:eastAsia="Times New Roman" w:hAnsi="Times New Roman" w:cs="Times New Roman"/>
          <w:color w:val="183C71"/>
          <w:lang w:eastAsia="en-GB"/>
        </w:rPr>
      </w:pPr>
      <w:r w:rsidRPr="003F225A">
        <w:rPr>
          <w:rFonts w:ascii="Times New Roman" w:eastAsia="Times New Roman" w:hAnsi="Times New Roman" w:cs="Times New Roman"/>
          <w:color w:val="183C71"/>
          <w:lang w:eastAsia="en-GB"/>
        </w:rPr>
        <w:t xml:space="preserve">Early Years Wales, “Welsh Language support”, </w:t>
      </w:r>
      <w:proofErr w:type="spellStart"/>
      <w:proofErr w:type="gramStart"/>
      <w:r w:rsidRPr="003F225A">
        <w:rPr>
          <w:rFonts w:ascii="Times New Roman" w:eastAsia="Times New Roman" w:hAnsi="Times New Roman" w:cs="Times New Roman"/>
          <w:color w:val="183C71"/>
          <w:lang w:eastAsia="en-GB"/>
        </w:rPr>
        <w:t>earlyyears.wales</w:t>
      </w:r>
      <w:proofErr w:type="spellEnd"/>
      <w:proofErr w:type="gramEnd"/>
      <w:r w:rsidRPr="003F225A">
        <w:rPr>
          <w:rFonts w:ascii="Times New Roman" w:eastAsia="Times New Roman" w:hAnsi="Times New Roman" w:cs="Times New Roman"/>
          <w:color w:val="183C71"/>
          <w:lang w:eastAsia="en-GB"/>
        </w:rPr>
        <w:t xml:space="preserve"> 2020. [Online] Available:</w:t>
      </w:r>
      <w:r w:rsidRPr="003F225A">
        <w:rPr>
          <w:rFonts w:ascii="Times New Roman" w:hAnsi="Times New Roman" w:cs="Times New Roman"/>
        </w:rPr>
        <w:t xml:space="preserve"> </w:t>
      </w:r>
      <w:hyperlink r:id="rId9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https://www.earlyyears.wales/en/welsh-language-support</w:t>
        </w:r>
      </w:hyperlink>
      <w:r w:rsidRPr="003F225A">
        <w:rPr>
          <w:rFonts w:ascii="Times New Roman" w:eastAsia="Times New Roman" w:hAnsi="Times New Roman" w:cs="Times New Roman"/>
          <w:color w:val="183C71"/>
          <w:lang w:eastAsia="en-GB"/>
        </w:rPr>
        <w:t xml:space="preserve"> [ Accessed March. 22, 2022].</w:t>
      </w:r>
    </w:p>
    <w:p w14:paraId="076C07F9" w14:textId="77777777" w:rsidR="003F225A" w:rsidRPr="003F225A" w:rsidRDefault="003F225A" w:rsidP="003F225A">
      <w:pPr>
        <w:pStyle w:val="tick-list"/>
        <w:spacing w:before="120" w:beforeAutospacing="0"/>
        <w:rPr>
          <w:color w:val="000000"/>
        </w:rPr>
      </w:pPr>
      <w:r w:rsidRPr="003F225A">
        <w:rPr>
          <w:color w:val="000000"/>
        </w:rPr>
        <w:t xml:space="preserve">Pacey, “English as an additional language”, Pacey.org, 2022. [Online] Available: </w:t>
      </w:r>
      <w:hyperlink r:id="rId10" w:history="1">
        <w:r w:rsidRPr="003F225A">
          <w:rPr>
            <w:rStyle w:val="Hyperlink"/>
          </w:rPr>
          <w:t>https://www.pacey.org.uk/working-in-childcare/spotlight-on/2-year-olds/english-as-an-additional-language/</w:t>
        </w:r>
      </w:hyperlink>
      <w:r w:rsidRPr="003F225A">
        <w:rPr>
          <w:color w:val="000000"/>
        </w:rPr>
        <w:t xml:space="preserve"> [March. 22, 2022]</w:t>
      </w:r>
    </w:p>
    <w:p w14:paraId="38094A24" w14:textId="77777777" w:rsidR="003F225A" w:rsidRPr="003F225A" w:rsidRDefault="003F225A" w:rsidP="003F225A">
      <w:pPr>
        <w:pStyle w:val="NormalWeb"/>
        <w:spacing w:before="0" w:after="390"/>
        <w:rPr>
          <w:color w:val="000000" w:themeColor="text1"/>
          <w:lang w:val="en-US"/>
        </w:rPr>
      </w:pPr>
      <w:r w:rsidRPr="003F225A">
        <w:rPr>
          <w:color w:val="000000" w:themeColor="text1"/>
          <w:lang w:val="en-US"/>
        </w:rPr>
        <w:t xml:space="preserve">Participate Learning, “The benefits of a bilingual brain”, </w:t>
      </w:r>
      <w:proofErr w:type="spellStart"/>
      <w:r w:rsidRPr="003F225A">
        <w:rPr>
          <w:i/>
          <w:iCs/>
          <w:color w:val="000000" w:themeColor="text1"/>
          <w:lang w:val="en-US"/>
        </w:rPr>
        <w:t>Youtube</w:t>
      </w:r>
      <w:proofErr w:type="spellEnd"/>
      <w:r w:rsidRPr="003F225A">
        <w:rPr>
          <w:color w:val="000000" w:themeColor="text1"/>
          <w:lang w:val="en-US"/>
        </w:rPr>
        <w:t xml:space="preserve">, </w:t>
      </w:r>
      <w:proofErr w:type="gramStart"/>
      <w:r w:rsidRPr="003F225A">
        <w:rPr>
          <w:color w:val="000000" w:themeColor="text1"/>
          <w:lang w:val="en-US"/>
        </w:rPr>
        <w:t>Aug,</w:t>
      </w:r>
      <w:proofErr w:type="gramEnd"/>
      <w:r w:rsidRPr="003F225A">
        <w:rPr>
          <w:color w:val="000000" w:themeColor="text1"/>
          <w:lang w:val="en-US"/>
        </w:rPr>
        <w:t xml:space="preserve"> 13, 2020. [Online] Available:</w:t>
      </w:r>
      <w:r w:rsidRPr="003F225A">
        <w:t xml:space="preserve"> </w:t>
      </w:r>
      <w:hyperlink r:id="rId11" w:history="1">
        <w:r w:rsidRPr="003F225A">
          <w:rPr>
            <w:rStyle w:val="Hyperlink"/>
            <w:lang w:val="en-US"/>
          </w:rPr>
          <w:t>https://www.youtube.com/watch?v=-yOI6-rqT8k</w:t>
        </w:r>
      </w:hyperlink>
      <w:r w:rsidRPr="003F225A">
        <w:rPr>
          <w:color w:val="000000" w:themeColor="text1"/>
          <w:lang w:val="en-US"/>
        </w:rPr>
        <w:t xml:space="preserve"> [Accessed March 24, 2022]</w:t>
      </w:r>
    </w:p>
    <w:p w14:paraId="375084C7" w14:textId="77777777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Robinson, R. (2016)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Divergent Thinking Ken Robinson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, </w:t>
      </w:r>
      <w:hyperlink r:id="rId12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https://www.youtube.com/watch?v=BHMUXFdBzik</w:t>
        </w:r>
      </w:hyperlink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[Accessed: March. 24, 2022]. </w:t>
      </w:r>
    </w:p>
    <w:p w14:paraId="4F212AFB" w14:textId="77777777" w:rsid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47A6B025" w14:textId="60C05F9E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 xml:space="preserve">S. A. </w:t>
      </w:r>
      <w:proofErr w:type="spellStart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Booton</w:t>
      </w:r>
      <w:proofErr w:type="spellEnd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, E. </w:t>
      </w:r>
      <w:proofErr w:type="spellStart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Hoicka</w:t>
      </w:r>
      <w:proofErr w:type="spellEnd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, A. M. O’Grady, H. Y. N. Chan, V. A. Murphy, </w:t>
      </w:r>
      <w:proofErr w:type="gramStart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“ Children’s</w:t>
      </w:r>
      <w:proofErr w:type="gramEnd"/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divergent thinking and bilingualism”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Thinking skills and creativity,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Vol. 41, pp.1-4, Sep.2021.</w:t>
      </w:r>
    </w:p>
    <w:p w14:paraId="2792CEE2" w14:textId="77777777" w:rsidR="003F225A" w:rsidRDefault="003F225A" w:rsidP="003F225A">
      <w:pPr>
        <w:rPr>
          <w:rFonts w:ascii="Times New Roman" w:hAnsi="Times New Roman" w:cs="Times New Roman"/>
        </w:rPr>
      </w:pPr>
    </w:p>
    <w:p w14:paraId="6C16F44A" w14:textId="77777777" w:rsidR="003F225A" w:rsidRDefault="003F225A" w:rsidP="003F225A">
      <w:pPr>
        <w:rPr>
          <w:rFonts w:ascii="Times New Roman" w:hAnsi="Times New Roman" w:cs="Times New Roman"/>
        </w:rPr>
      </w:pPr>
    </w:p>
    <w:p w14:paraId="1A30358E" w14:textId="0E65A27B" w:rsidR="003F225A" w:rsidRPr="003F225A" w:rsidRDefault="003F225A" w:rsidP="003F225A">
      <w:pPr>
        <w:rPr>
          <w:rFonts w:ascii="Times New Roman" w:hAnsi="Times New Roman" w:cs="Times New Roman"/>
        </w:rPr>
      </w:pPr>
      <w:r w:rsidRPr="003F225A">
        <w:rPr>
          <w:rFonts w:ascii="Times New Roman" w:hAnsi="Times New Roman" w:cs="Times New Roman"/>
        </w:rPr>
        <w:t xml:space="preserve">S. Smidt, </w:t>
      </w:r>
      <w:r w:rsidRPr="003F225A">
        <w:rPr>
          <w:rFonts w:ascii="Times New Roman" w:hAnsi="Times New Roman" w:cs="Times New Roman"/>
          <w:i/>
          <w:iCs/>
        </w:rPr>
        <w:t xml:space="preserve">Multilingualism in the early years: extending the limits of our world, </w:t>
      </w:r>
      <w:r w:rsidRPr="003F225A">
        <w:rPr>
          <w:rFonts w:ascii="Times New Roman" w:hAnsi="Times New Roman" w:cs="Times New Roman"/>
        </w:rPr>
        <w:t>Routledge, 2016. [E-book].</w:t>
      </w:r>
    </w:p>
    <w:p w14:paraId="25933CE6" w14:textId="1C94105C" w:rsidR="003F225A" w:rsidRPr="003F225A" w:rsidRDefault="003F225A" w:rsidP="003F225A">
      <w:pPr>
        <w:rPr>
          <w:rFonts w:ascii="Times New Roman" w:hAnsi="Times New Roman" w:cs="Times New Roman"/>
        </w:rPr>
      </w:pPr>
    </w:p>
    <w:p w14:paraId="776248E9" w14:textId="1094133A" w:rsidR="003F225A" w:rsidRPr="003F225A" w:rsidRDefault="003F225A" w:rsidP="003F225A">
      <w:pPr>
        <w:rPr>
          <w:rFonts w:ascii="Times New Roman" w:eastAsia="Times New Roman" w:hAnsi="Times New Roman" w:cs="Times New Roman"/>
          <w:i/>
          <w:iCs/>
          <w:color w:val="212121"/>
          <w:shd w:val="clear" w:color="auto" w:fill="FFFFFF"/>
          <w:lang w:eastAsia="en-GB"/>
        </w:rPr>
      </w:pPr>
    </w:p>
    <w:p w14:paraId="089E302F" w14:textId="6DE88D9E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Welsh Assembly Government (2003)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 National Action Plan for a Bilingual Wales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. Available at: </w:t>
      </w:r>
      <w:hyperlink r:id="rId13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https://www.valeofglamorgan.gov.uk/Documents/Living/Planning/Policy/LDP/Examinatio</w:t>
        </w:r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n</w:t>
        </w:r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-Documents-2015/Iaith-Pawbe-A-National-Action-Plan-for-a-Bilingual-Wales-2003.pdf</w:t>
        </w:r>
      </w:hyperlink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[Accessed: March 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24. 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202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2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].</w:t>
      </w:r>
    </w:p>
    <w:p w14:paraId="2ECC6701" w14:textId="1CF509ED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7F8A88B5" w14:textId="549D7564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Welsh Assembly Government (2017) 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Cymraeg 2050: A million Welsh speakers. 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Available at: </w:t>
      </w:r>
      <w:hyperlink r:id="rId14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https://gov.wales/sites/default/files/publications/2019-03/cymraeg-2050-a-million-welsh-speakers-annual-report-2017-18.pdf</w:t>
        </w:r>
      </w:hyperlink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[Accessed 24. 2022]</w:t>
      </w:r>
    </w:p>
    <w:p w14:paraId="3CA2C3C3" w14:textId="56290C36" w:rsidR="003F225A" w:rsidRPr="003F225A" w:rsidRDefault="003F225A" w:rsidP="003F225A">
      <w:pPr>
        <w:spacing w:after="150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>Welsh Assembly Government (2015)</w:t>
      </w:r>
      <w:r w:rsidRPr="003F225A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, Foundation phase framework</w:t>
      </w:r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, Available at: </w:t>
      </w:r>
      <w:hyperlink r:id="rId15" w:history="1">
        <w:r w:rsidRPr="003F225A">
          <w:rPr>
            <w:rStyle w:val="Hyperlink"/>
            <w:rFonts w:ascii="Times New Roman" w:eastAsia="Times New Roman" w:hAnsi="Times New Roman" w:cs="Times New Roman"/>
            <w:lang w:eastAsia="en-GB"/>
          </w:rPr>
          <w:t>https://hwb.gov.wales/storage/d5d8e39c-b534-40cb-a3f5-7e2e126d8077/foundation-phase-framework.pdf</w:t>
        </w:r>
      </w:hyperlink>
      <w:r w:rsidRPr="003F225A">
        <w:rPr>
          <w:rFonts w:ascii="Times New Roman" w:eastAsia="Times New Roman" w:hAnsi="Times New Roman" w:cs="Times New Roman"/>
          <w:color w:val="000000"/>
          <w:lang w:eastAsia="en-GB"/>
        </w:rPr>
        <w:t xml:space="preserve"> [Accessed 24. 2022]</w:t>
      </w:r>
    </w:p>
    <w:p w14:paraId="7FC649B5" w14:textId="750699A4" w:rsidR="003F225A" w:rsidRDefault="003F225A" w:rsidP="003F225A">
      <w:pPr>
        <w:spacing w:after="150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en-GB"/>
        </w:rPr>
      </w:pPr>
    </w:p>
    <w:p w14:paraId="19411035" w14:textId="77777777" w:rsidR="003F225A" w:rsidRPr="003F225A" w:rsidRDefault="003F225A" w:rsidP="003F225A">
      <w:pPr>
        <w:spacing w:after="150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en-GB"/>
        </w:rPr>
      </w:pPr>
    </w:p>
    <w:p w14:paraId="3B5BA206" w14:textId="77777777" w:rsidR="003F225A" w:rsidRPr="00E85650" w:rsidRDefault="003F225A" w:rsidP="003F225A">
      <w:pPr>
        <w:spacing w:after="150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en-GB"/>
        </w:rPr>
      </w:pPr>
    </w:p>
    <w:p w14:paraId="32EF6433" w14:textId="77777777" w:rsidR="003F225A" w:rsidRPr="003F225A" w:rsidRDefault="003F225A" w:rsidP="003F225A">
      <w:pPr>
        <w:pStyle w:val="NormalWeb"/>
        <w:spacing w:before="0" w:after="390"/>
        <w:rPr>
          <w:color w:val="000000" w:themeColor="text1"/>
          <w:lang w:val="en-US"/>
        </w:rPr>
      </w:pPr>
    </w:p>
    <w:p w14:paraId="196C430C" w14:textId="77777777" w:rsidR="003F225A" w:rsidRDefault="003F225A" w:rsidP="003F225A">
      <w:pPr>
        <w:spacing w:after="360"/>
        <w:rPr>
          <w:rFonts w:ascii="Helvetica Neue" w:eastAsia="Times New Roman" w:hAnsi="Helvetica Neue" w:cs="Times New Roman"/>
          <w:color w:val="183C71"/>
          <w:lang w:eastAsia="en-GB"/>
        </w:rPr>
      </w:pPr>
    </w:p>
    <w:p w14:paraId="774453DD" w14:textId="77777777" w:rsidR="003F225A" w:rsidRPr="003F225A" w:rsidRDefault="003F225A" w:rsidP="003F225A"/>
    <w:p w14:paraId="5CCE6F4A" w14:textId="77777777" w:rsidR="00E85650" w:rsidRPr="00E85650" w:rsidRDefault="00E85650" w:rsidP="00E85650">
      <w:pPr>
        <w:pStyle w:val="ListParagraph"/>
        <w:rPr>
          <w:highlight w:val="yellow"/>
        </w:rPr>
      </w:pPr>
    </w:p>
    <w:sectPr w:rsidR="00E85650" w:rsidRPr="00E85650" w:rsidSect="008A1DE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2BE79" w14:textId="77777777" w:rsidR="00CE2CB2" w:rsidRDefault="00CE2CB2" w:rsidP="003F225A">
      <w:r>
        <w:separator/>
      </w:r>
    </w:p>
  </w:endnote>
  <w:endnote w:type="continuationSeparator" w:id="0">
    <w:p w14:paraId="75CBD77C" w14:textId="77777777" w:rsidR="00CE2CB2" w:rsidRDefault="00CE2CB2" w:rsidP="003F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FADEC" w14:textId="77777777" w:rsidR="003F225A" w:rsidRDefault="003F22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77628" w14:textId="77777777" w:rsidR="003F225A" w:rsidRDefault="003F22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54911" w14:textId="77777777" w:rsidR="003F225A" w:rsidRDefault="003F2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A8028" w14:textId="77777777" w:rsidR="00CE2CB2" w:rsidRDefault="00CE2CB2" w:rsidP="003F225A">
      <w:r>
        <w:separator/>
      </w:r>
    </w:p>
  </w:footnote>
  <w:footnote w:type="continuationSeparator" w:id="0">
    <w:p w14:paraId="4C506589" w14:textId="77777777" w:rsidR="00CE2CB2" w:rsidRDefault="00CE2CB2" w:rsidP="003F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9193D" w14:textId="77777777" w:rsidR="003F225A" w:rsidRDefault="003F22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2FDFE" w14:textId="3A6DE3E8" w:rsidR="003F225A" w:rsidRDefault="003F225A">
    <w:pPr>
      <w:pStyle w:val="Header"/>
    </w:pPr>
    <w:r>
      <w:t xml:space="preserve">Reference </w:t>
    </w:r>
    <w:r>
      <w:t>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EADA0" w14:textId="77777777" w:rsidR="003F225A" w:rsidRDefault="003F2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51A9D"/>
    <w:multiLevelType w:val="hybridMultilevel"/>
    <w:tmpl w:val="F5426E0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7224"/>
    <w:multiLevelType w:val="multilevel"/>
    <w:tmpl w:val="4B42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7F655F"/>
    <w:multiLevelType w:val="hybridMultilevel"/>
    <w:tmpl w:val="8078F568"/>
    <w:lvl w:ilvl="0" w:tplc="1FB00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4A4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FEB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5E4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008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644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4CD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20B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69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D2C0E0F"/>
    <w:multiLevelType w:val="hybridMultilevel"/>
    <w:tmpl w:val="F62EE95C"/>
    <w:lvl w:ilvl="0" w:tplc="06EE1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4D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10C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D2C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C05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9AF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FEDE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B64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B42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F82B98"/>
    <w:multiLevelType w:val="multilevel"/>
    <w:tmpl w:val="3146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AA04A3"/>
    <w:multiLevelType w:val="hybridMultilevel"/>
    <w:tmpl w:val="0DFC0030"/>
    <w:lvl w:ilvl="0" w:tplc="AD60D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C05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A4B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12AF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B4F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C03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423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7EB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C25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7191FAE"/>
    <w:multiLevelType w:val="multilevel"/>
    <w:tmpl w:val="2A54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781422"/>
    <w:multiLevelType w:val="multilevel"/>
    <w:tmpl w:val="FDE8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F6254D"/>
    <w:multiLevelType w:val="multilevel"/>
    <w:tmpl w:val="48E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776261"/>
    <w:multiLevelType w:val="hybridMultilevel"/>
    <w:tmpl w:val="084A4FD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4E7C7C"/>
    <w:multiLevelType w:val="multilevel"/>
    <w:tmpl w:val="0E06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6007A0"/>
    <w:multiLevelType w:val="hybridMultilevel"/>
    <w:tmpl w:val="F9167F1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60526"/>
    <w:multiLevelType w:val="hybridMultilevel"/>
    <w:tmpl w:val="F9167F1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41B9"/>
    <w:multiLevelType w:val="hybridMultilevel"/>
    <w:tmpl w:val="B9D0FF1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D2391F"/>
    <w:multiLevelType w:val="hybridMultilevel"/>
    <w:tmpl w:val="2E96AD16"/>
    <w:lvl w:ilvl="0" w:tplc="923C8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50BD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FC9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E2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6D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813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1AA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05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44F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B6D0575"/>
    <w:multiLevelType w:val="multilevel"/>
    <w:tmpl w:val="A274D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9E6120"/>
    <w:multiLevelType w:val="hybridMultilevel"/>
    <w:tmpl w:val="58FE634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67075"/>
    <w:multiLevelType w:val="multilevel"/>
    <w:tmpl w:val="F1B8A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CF1E8B"/>
    <w:multiLevelType w:val="hybridMultilevel"/>
    <w:tmpl w:val="C4301F46"/>
    <w:lvl w:ilvl="0" w:tplc="30429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CC6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2F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68B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0C8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2A0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B62C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08F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4CF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0AE1DED"/>
    <w:multiLevelType w:val="hybridMultilevel"/>
    <w:tmpl w:val="878453C6"/>
    <w:lvl w:ilvl="0" w:tplc="36D62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E8EC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C6F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E2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48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82F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46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28E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C8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12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5"/>
  </w:num>
  <w:num w:numId="10">
    <w:abstractNumId w:val="6"/>
  </w:num>
  <w:num w:numId="11">
    <w:abstractNumId w:val="7"/>
  </w:num>
  <w:num w:numId="12">
    <w:abstractNumId w:val="10"/>
  </w:num>
  <w:num w:numId="13">
    <w:abstractNumId w:val="11"/>
  </w:num>
  <w:num w:numId="14">
    <w:abstractNumId w:val="19"/>
  </w:num>
  <w:num w:numId="15">
    <w:abstractNumId w:val="3"/>
  </w:num>
  <w:num w:numId="16">
    <w:abstractNumId w:val="5"/>
  </w:num>
  <w:num w:numId="17">
    <w:abstractNumId w:val="2"/>
  </w:num>
  <w:num w:numId="18">
    <w:abstractNumId w:val="14"/>
  </w:num>
  <w:num w:numId="19">
    <w:abstractNumId w:val="1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650"/>
    <w:rsid w:val="003F225A"/>
    <w:rsid w:val="0072065C"/>
    <w:rsid w:val="007D2106"/>
    <w:rsid w:val="008A1DEC"/>
    <w:rsid w:val="00CE2CB2"/>
    <w:rsid w:val="00E85650"/>
    <w:rsid w:val="00EB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649E5"/>
  <w15:chartTrackingRefBased/>
  <w15:docId w15:val="{CC574E79-8735-6D45-967E-831FC27D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25A"/>
  </w:style>
  <w:style w:type="paragraph" w:styleId="Heading3">
    <w:name w:val="heading 3"/>
    <w:basedOn w:val="Normal"/>
    <w:link w:val="Heading3Char"/>
    <w:uiPriority w:val="9"/>
    <w:qFormat/>
    <w:rsid w:val="003F225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6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856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E85650"/>
  </w:style>
  <w:style w:type="character" w:styleId="Hyperlink">
    <w:name w:val="Hyperlink"/>
    <w:basedOn w:val="DefaultParagraphFont"/>
    <w:uiPriority w:val="99"/>
    <w:unhideWhenUsed/>
    <w:rsid w:val="00E85650"/>
    <w:rPr>
      <w:color w:val="0000FF"/>
      <w:u w:val="single"/>
    </w:rPr>
  </w:style>
  <w:style w:type="paragraph" w:customStyle="1" w:styleId="tick-list">
    <w:name w:val="tick-list"/>
    <w:basedOn w:val="Normal"/>
    <w:rsid w:val="00E856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56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225A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F22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F225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F22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25A"/>
  </w:style>
  <w:style w:type="paragraph" w:styleId="Footer">
    <w:name w:val="footer"/>
    <w:basedOn w:val="Normal"/>
    <w:link w:val="FooterChar"/>
    <w:uiPriority w:val="99"/>
    <w:unhideWhenUsed/>
    <w:rsid w:val="003F22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1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2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632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1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69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9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7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9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2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1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57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59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0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0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4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11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8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6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68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4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18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0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4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4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8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5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1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4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97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5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8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87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4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1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1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78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6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8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9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national-montessori.org/8-intelligences-international-montessori-school-and-international-baccalaureate-world-school-brussels/linguistic-intelligence/" TargetMode="External"/><Relationship Id="rId13" Type="http://schemas.openxmlformats.org/officeDocument/2006/relationships/hyperlink" Target="https://www.valeofglamorgan.gov.uk/Documents/Living/Planning/Policy/LDP/Examination-Documents-2015/Iaith-Pawbe-A-National-Action-Plan-for-a-Bilingual-Wales-2003.pd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carmarthenshire.gov.wales/home/council-services/education-schools/bilingual-education/advantages-of-being-bilingual/" TargetMode="External"/><Relationship Id="rId12" Type="http://schemas.openxmlformats.org/officeDocument/2006/relationships/hyperlink" Target="https://www.youtube.com/watch?v=BHMUXFdBzik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-yOI6-rqT8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storage/d5d8e39c-b534-40cb-a3f5-7e2e126d8077/foundation-phase-framework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acey.org.uk/working-in-childcare/spotlight-on/2-year-olds/english-as-an-additional-language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arlyyears.wales/en/welsh-language-support" TargetMode="External"/><Relationship Id="rId14" Type="http://schemas.openxmlformats.org/officeDocument/2006/relationships/hyperlink" Target="https://gov.wales/sites/default/files/publications/2019-03/cymraeg-2050-a-million-welsh-speakers-annual-report-2017-18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644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Jane Duffy (2111311)</dc:creator>
  <cp:keywords/>
  <dc:description/>
  <cp:lastModifiedBy>Chloe Jane Duffy (2111311)</cp:lastModifiedBy>
  <cp:revision>2</cp:revision>
  <dcterms:created xsi:type="dcterms:W3CDTF">2022-03-26T20:11:00Z</dcterms:created>
  <dcterms:modified xsi:type="dcterms:W3CDTF">2022-03-26T20:11:00Z</dcterms:modified>
</cp:coreProperties>
</file>