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7D9E8E" w14:textId="77777777" w:rsidR="008B1CF6" w:rsidRDefault="008B1CF6"/>
    <w:tbl>
      <w:tblPr>
        <w:tblW w:w="0" w:type="auto"/>
        <w:tblLayout w:type="fixed"/>
        <w:tblLook w:val="0600" w:firstRow="0" w:lastRow="0" w:firstColumn="0" w:lastColumn="0" w:noHBand="1" w:noVBand="1"/>
      </w:tblPr>
      <w:tblGrid>
        <w:gridCol w:w="5529"/>
        <w:gridCol w:w="5261"/>
      </w:tblGrid>
      <w:tr w:rsidR="00A81248" w:rsidRPr="003A798E" w14:paraId="6ECB5E4E" w14:textId="77777777" w:rsidTr="00766C02">
        <w:tc>
          <w:tcPr>
            <w:tcW w:w="5529" w:type="dxa"/>
          </w:tcPr>
          <w:p w14:paraId="2B575429" w14:textId="77777777" w:rsidR="00A81248" w:rsidRPr="003A798E" w:rsidRDefault="00A81248" w:rsidP="00A81248">
            <w:pPr>
              <w:pStyle w:val="GraphicAnchor"/>
            </w:pPr>
          </w:p>
        </w:tc>
        <w:tc>
          <w:tcPr>
            <w:tcW w:w="5261" w:type="dxa"/>
          </w:tcPr>
          <w:p w14:paraId="50447F10" w14:textId="77777777" w:rsidR="00A81248" w:rsidRPr="003A798E" w:rsidRDefault="00A81248" w:rsidP="00A81248">
            <w:pPr>
              <w:pStyle w:val="GraphicAnchor"/>
            </w:pPr>
          </w:p>
        </w:tc>
      </w:tr>
      <w:tr w:rsidR="00A81248" w:rsidRPr="003A798E" w14:paraId="4993751A" w14:textId="77777777" w:rsidTr="00766C02">
        <w:trPr>
          <w:trHeight w:val="2719"/>
        </w:trPr>
        <w:tc>
          <w:tcPr>
            <w:tcW w:w="5529" w:type="dxa"/>
          </w:tcPr>
          <w:p w14:paraId="3FEAE2CF" w14:textId="77777777" w:rsidR="00A81248" w:rsidRDefault="00FF299E" w:rsidP="00C66528">
            <w:pPr>
              <w:pStyle w:val="Heading1"/>
              <w:rPr>
                <w:sz w:val="64"/>
                <w:szCs w:val="64"/>
              </w:rPr>
            </w:pPr>
            <w:r w:rsidRPr="00766C02">
              <w:rPr>
                <w:sz w:val="64"/>
                <w:szCs w:val="64"/>
              </w:rPr>
              <w:t>CASE REPORT</w:t>
            </w:r>
            <w:r w:rsidR="008B1CF6">
              <w:rPr>
                <w:sz w:val="64"/>
                <w:szCs w:val="64"/>
              </w:rPr>
              <w:t>:</w:t>
            </w:r>
          </w:p>
          <w:p w14:paraId="0AEDB9D8" w14:textId="6B4129B6" w:rsidR="008B1CF6" w:rsidRPr="008B1CF6" w:rsidRDefault="008B1CF6" w:rsidP="008B1CF6">
            <w:pPr>
              <w:pStyle w:val="Heading2"/>
            </w:pPr>
            <w:r>
              <w:t xml:space="preserve">DISTRICT NURSES’ </w:t>
            </w:r>
            <w:proofErr w:type="gramStart"/>
            <w:r>
              <w:t>HAND WASHING</w:t>
            </w:r>
            <w:proofErr w:type="gramEnd"/>
            <w:r>
              <w:t xml:space="preserve"> ADHERENCE: A COGNITIVE PSYCHOLOGY ANALYSIS</w:t>
            </w:r>
          </w:p>
        </w:tc>
        <w:tc>
          <w:tcPr>
            <w:tcW w:w="5261" w:type="dxa"/>
          </w:tcPr>
          <w:p w14:paraId="5CFF4F56" w14:textId="0F60C52D" w:rsidR="00A81248" w:rsidRPr="003A798E" w:rsidRDefault="00A81248"/>
        </w:tc>
      </w:tr>
      <w:tr w:rsidR="00FF299E" w:rsidRPr="003A798E" w14:paraId="2FE6D199" w14:textId="77777777" w:rsidTr="00766C02">
        <w:trPr>
          <w:trHeight w:val="5771"/>
        </w:trPr>
        <w:tc>
          <w:tcPr>
            <w:tcW w:w="5529" w:type="dxa"/>
            <w:vMerge w:val="restart"/>
          </w:tcPr>
          <w:p w14:paraId="39003EA3" w14:textId="072ED7B2" w:rsidR="00FF299E" w:rsidRPr="003A798E" w:rsidRDefault="00FF299E">
            <w:r w:rsidRPr="003A798E">
              <w:rPr>
                <w:noProof/>
                <w:lang w:eastAsia="en-AU"/>
              </w:rPr>
              <mc:AlternateContent>
                <mc:Choice Requires="wpg">
                  <w:drawing>
                    <wp:anchor distT="0" distB="0" distL="114300" distR="114300" simplePos="0" relativeHeight="251663360" behindDoc="1" locked="0" layoutInCell="1" allowOverlap="1" wp14:anchorId="5BECCFE1" wp14:editId="70EB73B7">
                      <wp:simplePos x="0" y="0"/>
                      <wp:positionH relativeFrom="margin">
                        <wp:posOffset>-445477</wp:posOffset>
                      </wp:positionH>
                      <wp:positionV relativeFrom="page">
                        <wp:posOffset>-2242527</wp:posOffset>
                      </wp:positionV>
                      <wp:extent cx="7772400" cy="10054800"/>
                      <wp:effectExtent l="0" t="0" r="0" b="381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480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43587981" id="Group 1" o:spid="_x0000_s1026" alt="&quot;&quot;" style="position:absolute;margin-left:-35.1pt;margin-top:-176.6pt;width:612pt;height:791.7pt;z-index:-251653120;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tc>
        <w:tc>
          <w:tcPr>
            <w:tcW w:w="5261" w:type="dxa"/>
          </w:tcPr>
          <w:p w14:paraId="596FC509" w14:textId="438A7636" w:rsidR="00FF299E" w:rsidRPr="003A798E" w:rsidRDefault="00FF299E"/>
        </w:tc>
      </w:tr>
      <w:tr w:rsidR="00FF299E" w:rsidRPr="003A798E" w14:paraId="54D528D9" w14:textId="77777777" w:rsidTr="00766C02">
        <w:trPr>
          <w:trHeight w:val="4813"/>
        </w:trPr>
        <w:tc>
          <w:tcPr>
            <w:tcW w:w="5529" w:type="dxa"/>
            <w:vMerge/>
          </w:tcPr>
          <w:p w14:paraId="3CBFE97B" w14:textId="77777777" w:rsidR="00FF299E" w:rsidRPr="003A798E" w:rsidRDefault="00FF299E">
            <w:pPr>
              <w:rPr>
                <w:noProof/>
                <w:lang w:eastAsia="en-AU"/>
              </w:rPr>
            </w:pPr>
          </w:p>
        </w:tc>
        <w:tc>
          <w:tcPr>
            <w:tcW w:w="5261" w:type="dxa"/>
          </w:tcPr>
          <w:p w14:paraId="2DD39CC7" w14:textId="77777777" w:rsidR="00766C02" w:rsidRDefault="00766C02" w:rsidP="00FF299E">
            <w:pPr>
              <w:pStyle w:val="Heading2"/>
              <w:rPr>
                <w:sz w:val="28"/>
                <w:szCs w:val="18"/>
              </w:rPr>
            </w:pPr>
          </w:p>
          <w:p w14:paraId="63DFB666" w14:textId="77777777" w:rsidR="00766C02" w:rsidRDefault="00766C02" w:rsidP="00FF299E">
            <w:pPr>
              <w:pStyle w:val="Heading2"/>
              <w:rPr>
                <w:sz w:val="28"/>
                <w:szCs w:val="18"/>
              </w:rPr>
            </w:pPr>
          </w:p>
          <w:p w14:paraId="6604AB5F" w14:textId="77777777" w:rsidR="00766C02" w:rsidRDefault="00766C02" w:rsidP="00FF299E">
            <w:pPr>
              <w:pStyle w:val="Heading2"/>
              <w:rPr>
                <w:sz w:val="28"/>
                <w:szCs w:val="18"/>
              </w:rPr>
            </w:pPr>
          </w:p>
          <w:p w14:paraId="296CFA90" w14:textId="77777777" w:rsidR="00FF299E" w:rsidRPr="003A798E" w:rsidRDefault="00FF299E" w:rsidP="00F95970">
            <w:pPr>
              <w:pStyle w:val="Heading2"/>
            </w:pPr>
          </w:p>
        </w:tc>
      </w:tr>
    </w:tbl>
    <w:p w14:paraId="7FDB8637" w14:textId="14E5021D" w:rsidR="000C4ED1" w:rsidRPr="003A798E" w:rsidRDefault="000C4ED1"/>
    <w:tbl>
      <w:tblPr>
        <w:tblW w:w="10773" w:type="dxa"/>
        <w:shd w:val="clear" w:color="auto" w:fill="EDF0F4" w:themeFill="accent3"/>
        <w:tblLayout w:type="fixed"/>
        <w:tblCellMar>
          <w:left w:w="0" w:type="dxa"/>
          <w:right w:w="0" w:type="dxa"/>
        </w:tblCellMar>
        <w:tblLook w:val="0600" w:firstRow="0" w:lastRow="0" w:firstColumn="0" w:lastColumn="0" w:noHBand="1" w:noVBand="1"/>
      </w:tblPr>
      <w:tblGrid>
        <w:gridCol w:w="10773"/>
      </w:tblGrid>
      <w:tr w:rsidR="00766C02" w:rsidRPr="003A798E" w14:paraId="3B42F6A6" w14:textId="77777777" w:rsidTr="00FA38A4">
        <w:trPr>
          <w:trHeight w:val="5682"/>
        </w:trPr>
        <w:tc>
          <w:tcPr>
            <w:tcW w:w="10773" w:type="dxa"/>
            <w:shd w:val="clear" w:color="auto" w:fill="EDF0F4" w:themeFill="accent3"/>
          </w:tcPr>
          <w:p w14:paraId="2582ACBE" w14:textId="6360E169" w:rsidR="00766C02" w:rsidRDefault="00766C02" w:rsidP="00685C46">
            <w:pPr>
              <w:pStyle w:val="Heading3"/>
              <w:ind w:firstLine="720"/>
            </w:pPr>
            <w:r>
              <w:lastRenderedPageBreak/>
              <w:t xml:space="preserve">BACKGROUND TO THE </w:t>
            </w:r>
            <w:r w:rsidR="00F95970">
              <w:t>RE</w:t>
            </w:r>
            <w:r>
              <w:t>POR</w:t>
            </w:r>
            <w:r w:rsidR="005D3BDB">
              <w:t>T</w:t>
            </w:r>
          </w:p>
          <w:p w14:paraId="47A66F32" w14:textId="2BC834D3" w:rsidR="00420943" w:rsidRDefault="00420943" w:rsidP="00420943">
            <w:pPr>
              <w:pStyle w:val="isselectedend"/>
              <w:spacing w:line="480" w:lineRule="auto"/>
              <w:ind w:firstLine="720"/>
            </w:pPr>
            <w:r>
              <w:t xml:space="preserve">This report examines a hypothetical case study from </w:t>
            </w:r>
            <w:proofErr w:type="spellStart"/>
            <w:r>
              <w:t>Glynafonshire</w:t>
            </w:r>
            <w:proofErr w:type="spellEnd"/>
            <w:r>
              <w:t xml:space="preserve"> Health Board (October 2025) in which district nurses failed to consistently adhere to hand hygiene procedures, resulting in eight infections and one fatality. This occurred despite training, competency testing, and professional experience.</w:t>
            </w:r>
            <w:r>
              <w:t xml:space="preserve"> </w:t>
            </w:r>
            <w:r>
              <w:t>The case is notable because procedural knowledge was intact, suggesting that the issue is unlikely to be due to lack of training. Instead, nurses reported increased workload, extended shifts, and higher patient volumes, indicating that performance failures may be linked to cognitive strain rather than knowledge deficits.</w:t>
            </w:r>
            <w:r>
              <w:t xml:space="preserve"> </w:t>
            </w:r>
            <w:r>
              <w:t>Research indicates that shift work and workload intensity significantly impair working memory, attention, and response time in nursing populations (</w:t>
            </w:r>
            <w:proofErr w:type="spellStart"/>
            <w:r>
              <w:t>Esmaily</w:t>
            </w:r>
            <w:proofErr w:type="spellEnd"/>
            <w:r>
              <w:t xml:space="preserve"> et al., 2022). This supports the view that cognitive overload may be a key contributing factor.</w:t>
            </w:r>
            <w:r>
              <w:t xml:space="preserve"> </w:t>
            </w:r>
            <w:r>
              <w:t>This report applies the Working Memory Model (Baddeley &amp; Hitch, 1974; Baddeley, 2000) to explain how cognitive overload and fatigue contributed to procedural failures.</w:t>
            </w:r>
          </w:p>
          <w:p w14:paraId="514E3B4F" w14:textId="32BEEE32" w:rsidR="00766C02" w:rsidRPr="003A798E" w:rsidRDefault="00766C02" w:rsidP="00420943">
            <w:pPr>
              <w:pStyle w:val="Heading4"/>
            </w:pPr>
          </w:p>
        </w:tc>
      </w:tr>
      <w:tr w:rsidR="00766C02" w:rsidRPr="003A798E" w14:paraId="7720E703" w14:textId="77777777" w:rsidTr="00FA38A4">
        <w:trPr>
          <w:trHeight w:val="7629"/>
        </w:trPr>
        <w:tc>
          <w:tcPr>
            <w:tcW w:w="10773" w:type="dxa"/>
            <w:shd w:val="clear" w:color="auto" w:fill="EDF0F4" w:themeFill="accent3"/>
          </w:tcPr>
          <w:p w14:paraId="5B2807DB" w14:textId="37935531" w:rsidR="00766C02" w:rsidRDefault="00766C02" w:rsidP="00685C46">
            <w:pPr>
              <w:pStyle w:val="Heading3"/>
              <w:spacing w:line="480" w:lineRule="auto"/>
              <w:ind w:firstLine="720"/>
            </w:pPr>
            <w:r>
              <w:lastRenderedPageBreak/>
              <w:t xml:space="preserve">THE </w:t>
            </w:r>
            <w:r w:rsidR="001602CC">
              <w:t>WORKING MEMORY MODEL</w:t>
            </w:r>
          </w:p>
          <w:p w14:paraId="0A60B69E" w14:textId="77777777" w:rsidR="00E23BE2" w:rsidRDefault="00E23BE2" w:rsidP="00685C46">
            <w:pPr>
              <w:pStyle w:val="isselectedend"/>
              <w:spacing w:line="480" w:lineRule="auto"/>
              <w:ind w:firstLine="720"/>
            </w:pPr>
            <w:r>
              <w:t>The Working Memory Model was developed by Baddeley and Hitch (1974) as an alternative to the unitary short-term memory store proposed in earlier models of memory. The model conceptualises working memory as a limited-capacity system responsible for the temporary storage and manipulation of information required for complex cognitive tasks such as reasoning, comprehension, and decision-making. Rather than functioning as a single store, working memory is composed of multiple interacting components, each responsible for different types of information processing.</w:t>
            </w:r>
          </w:p>
          <w:p w14:paraId="3B4A91E8" w14:textId="77777777" w:rsidR="00E23BE2" w:rsidRDefault="00E23BE2" w:rsidP="00685C46">
            <w:pPr>
              <w:pStyle w:val="isselectedend"/>
              <w:spacing w:line="480" w:lineRule="auto"/>
              <w:ind w:firstLine="720"/>
            </w:pPr>
            <w:r>
              <w:t>The original model proposed three core components: the central executive, the phonological loop, and the visuospatial sketchpad. The central executive acts as a supervisory control system that directs attention, allocates cognitive resources, and coordinates information between the subsidiary systems. However, Baddeley and Hitch (1974) noted that this system has a very limited capacity and is particularly vulnerable to overload when individuals are required to perform multiple tasks simultaneously. The phonological loop is responsible for the temporary storage of verbal and auditory information and consists of a phonological store and an articulatory rehearsal process. This system allows individuals to maintain verbal information through internal repetition. The visuospatial sketchpad processes and temporarily stores visual and spatial information, supporting tasks such as navigation and environmental monitoring.</w:t>
            </w:r>
          </w:p>
          <w:p w14:paraId="10B5F2BA" w14:textId="03F97A8E" w:rsidR="00467CF6" w:rsidRDefault="00E23BE2" w:rsidP="00B25DF4">
            <w:pPr>
              <w:pStyle w:val="isselectedend"/>
              <w:spacing w:line="480" w:lineRule="auto"/>
              <w:ind w:firstLine="720"/>
            </w:pPr>
            <w:r>
              <w:t>Later, Baddeley (2000) expanded the model by introducing the episodic buffer. This component was added to address limitations in explaining how information from different subsystems is integrated. The episodic buffer acts as a multi-modal storage system that binds information from the phonological loop, visuospatial sketchpad, and long-term memory into coherent episodes. It also plays a role in conscious awareness and is controlled by the central executive.</w:t>
            </w:r>
            <w:r w:rsidR="00B25DF4">
              <w:t xml:space="preserve"> </w:t>
            </w:r>
            <w:r>
              <w:t xml:space="preserve">A central assumption of the Working Memory Model is that cognitive capacity is limited, particularly within the central executive. When task demands exceed available attentional resources, performance deterioration occurs, especially in tasks requiring sustained </w:t>
            </w:r>
            <w:r>
              <w:lastRenderedPageBreak/>
              <w:t>attention, task switching, or monitoring multiple sources of information. This limitation is particularly relevant in high-pressure environments, where individuals must divide attention across competing demands.</w:t>
            </w:r>
            <w:r w:rsidR="00B25DF4">
              <w:t xml:space="preserve"> </w:t>
            </w:r>
            <w:r>
              <w:t>Empirical support for the Working Memory Model comes from several key research paradigms. Baddeley and Hitch (1974) conducted dual-task experiments demonstrating that individuals can perform two tasks simultaneously with minimal interference only when the tasks rely on different components of working memory. However, performance declines significantly when tasks compete for the same subsystem, supporting the idea of multiple specialised systems rather than a single limited store.</w:t>
            </w:r>
            <w:r w:rsidR="00B25DF4">
              <w:t xml:space="preserve"> </w:t>
            </w:r>
            <w:r>
              <w:t>Further evidence for the phonological loop comes from Baddeley, Thomson, and Buchanan (1975), who demonstrated the word length effect. Participants had greater difficulty recalling lists of long words compared to short words, even when the number of items was controlled. This finding supports the idea that the phonological loop has a time-based capacity limitation, as longer words take more time to rehearse, reducing overall recall efficiency.</w:t>
            </w:r>
            <w:r w:rsidR="0027254B">
              <w:t xml:space="preserve"> </w:t>
            </w:r>
            <w:r>
              <w:t xml:space="preserve">Support for the visuospatial sketchpad comes from studies using the selective interference paradigm, such as </w:t>
            </w:r>
            <w:proofErr w:type="spellStart"/>
            <w:r>
              <w:t>Logie</w:t>
            </w:r>
            <w:proofErr w:type="spellEnd"/>
            <w:r>
              <w:t xml:space="preserve"> (1995), which showed that spatial tasks interfere with other spatial processing tasks but not with verbal tasks. This double dissociation supports the idea of separate subsystems for different types of information.</w:t>
            </w:r>
            <w:r w:rsidR="0027254B">
              <w:t xml:space="preserve"> </w:t>
            </w:r>
            <w:r>
              <w:t>Additional evidence for the central executive’s role in attentional control is provided by studies on dual-task performance and cognitive load. For example, Baddeley (1996) demonstrated that tasks requiring executive control, such as task switching and inhibition, are particularly sensitive to attentional overload. This supports the claim that the central executive is responsible for coordinating complex cognitive processes and is a major limiting factor in performance under high workload conditions.</w:t>
            </w:r>
            <w:r w:rsidR="0027254B">
              <w:t xml:space="preserve"> </w:t>
            </w:r>
            <w:r w:rsidR="00467CF6">
              <w:t>Further supporting this interpretation, research on human error in high-pressure environments suggests that performance breakdowns are more likely to occur under conditions of fatigue, time pressure, and task overload, even among highly trained professionals (Reason, 1990; Hockey, 1997). In this way, the Working Memory Model provides a structured explanation of how environmental demands interact with cognitive limitations to produce the observed outcomes.</w:t>
            </w:r>
          </w:p>
          <w:p w14:paraId="44D76B36" w14:textId="10380704" w:rsidR="00766C02" w:rsidRPr="003A798E" w:rsidRDefault="00766C02" w:rsidP="00685C46">
            <w:pPr>
              <w:spacing w:line="480" w:lineRule="auto"/>
              <w:ind w:firstLine="720"/>
            </w:pPr>
          </w:p>
        </w:tc>
      </w:tr>
    </w:tbl>
    <w:p w14:paraId="444B5C1F" w14:textId="77777777" w:rsidR="00FB65B8" w:rsidRPr="003A798E" w:rsidRDefault="00FB65B8" w:rsidP="00685C46">
      <w:pPr>
        <w:ind w:firstLine="720"/>
      </w:pPr>
    </w:p>
    <w:p w14:paraId="1A19D8D2" w14:textId="174C0BC7" w:rsidR="00A24793" w:rsidRPr="003A798E" w:rsidRDefault="00A24793" w:rsidP="00685C46">
      <w:pPr>
        <w:ind w:firstLine="720"/>
      </w:pPr>
    </w:p>
    <w:tbl>
      <w:tblPr>
        <w:tblW w:w="12616" w:type="dxa"/>
        <w:tblInd w:w="-1701" w:type="dxa"/>
        <w:shd w:val="clear" w:color="auto" w:fill="ECFBFB" w:themeFill="accent4"/>
        <w:tblLayout w:type="fixed"/>
        <w:tblLook w:val="0600" w:firstRow="0" w:lastRow="0" w:firstColumn="0" w:lastColumn="0" w:noHBand="1" w:noVBand="1"/>
      </w:tblPr>
      <w:tblGrid>
        <w:gridCol w:w="1701"/>
        <w:gridCol w:w="3828"/>
        <w:gridCol w:w="6945"/>
        <w:gridCol w:w="142"/>
      </w:tblGrid>
      <w:tr w:rsidR="00FA38A4" w:rsidRPr="003A798E" w14:paraId="627C58CB" w14:textId="77777777" w:rsidTr="00FA38A4">
        <w:trPr>
          <w:trHeight w:val="547"/>
        </w:trPr>
        <w:tc>
          <w:tcPr>
            <w:tcW w:w="1701" w:type="dxa"/>
            <w:shd w:val="clear" w:color="auto" w:fill="ECFBFB" w:themeFill="accent4"/>
          </w:tcPr>
          <w:p w14:paraId="6C9FB5AC" w14:textId="77777777" w:rsidR="00FA38A4" w:rsidRPr="003A798E" w:rsidRDefault="00FA38A4" w:rsidP="00685C46">
            <w:pPr>
              <w:ind w:firstLine="720"/>
            </w:pPr>
          </w:p>
        </w:tc>
        <w:tc>
          <w:tcPr>
            <w:tcW w:w="3828" w:type="dxa"/>
            <w:shd w:val="clear" w:color="auto" w:fill="ECFBFB" w:themeFill="accent4"/>
          </w:tcPr>
          <w:p w14:paraId="460968F7" w14:textId="77777777" w:rsidR="00FA38A4" w:rsidRPr="003A798E" w:rsidRDefault="00FA38A4" w:rsidP="00685C46">
            <w:pPr>
              <w:ind w:firstLine="720"/>
            </w:pPr>
          </w:p>
        </w:tc>
        <w:tc>
          <w:tcPr>
            <w:tcW w:w="7087" w:type="dxa"/>
            <w:gridSpan w:val="2"/>
            <w:shd w:val="clear" w:color="auto" w:fill="ECFBFB" w:themeFill="accent4"/>
          </w:tcPr>
          <w:p w14:paraId="720CB1B5" w14:textId="77777777" w:rsidR="00FA38A4" w:rsidRPr="003A798E" w:rsidRDefault="00FA38A4" w:rsidP="00685C46">
            <w:pPr>
              <w:spacing w:line="480" w:lineRule="auto"/>
              <w:ind w:firstLine="720"/>
            </w:pPr>
          </w:p>
        </w:tc>
      </w:tr>
      <w:tr w:rsidR="00FA38A4" w:rsidRPr="003A798E" w14:paraId="495652A6" w14:textId="77777777" w:rsidTr="00FA38A4">
        <w:trPr>
          <w:trHeight w:val="9513"/>
        </w:trPr>
        <w:tc>
          <w:tcPr>
            <w:tcW w:w="1701" w:type="dxa"/>
            <w:shd w:val="clear" w:color="auto" w:fill="ECFBFB" w:themeFill="accent4"/>
          </w:tcPr>
          <w:p w14:paraId="57674860" w14:textId="77777777" w:rsidR="00FA38A4" w:rsidRPr="003A798E" w:rsidRDefault="00FA38A4" w:rsidP="00685C46">
            <w:pPr>
              <w:ind w:firstLine="720"/>
            </w:pPr>
          </w:p>
        </w:tc>
        <w:tc>
          <w:tcPr>
            <w:tcW w:w="3828" w:type="dxa"/>
            <w:tcBorders>
              <w:bottom w:val="single" w:sz="18" w:space="0" w:color="00C1C7" w:themeColor="accent2"/>
            </w:tcBorders>
            <w:shd w:val="clear" w:color="auto" w:fill="ECFBFB" w:themeFill="accent4"/>
          </w:tcPr>
          <w:p w14:paraId="3050628B" w14:textId="08FFD756" w:rsidR="00FA38A4" w:rsidRPr="00F00899" w:rsidRDefault="00FA38A4" w:rsidP="00685C46">
            <w:pPr>
              <w:pStyle w:val="Heading5"/>
              <w:ind w:firstLine="720"/>
              <w:rPr>
                <w:sz w:val="36"/>
                <w:szCs w:val="10"/>
              </w:rPr>
            </w:pPr>
            <w:r w:rsidRPr="00F00899">
              <w:rPr>
                <w:sz w:val="36"/>
                <w:szCs w:val="10"/>
              </w:rPr>
              <w:t xml:space="preserve">HOW DOES THE THEORY RELATE TO THE </w:t>
            </w:r>
            <w:r w:rsidR="00605AF1">
              <w:rPr>
                <w:sz w:val="36"/>
                <w:szCs w:val="10"/>
              </w:rPr>
              <w:t>CASE STUDY</w:t>
            </w:r>
          </w:p>
        </w:tc>
        <w:tc>
          <w:tcPr>
            <w:tcW w:w="7087" w:type="dxa"/>
            <w:gridSpan w:val="2"/>
            <w:tcBorders>
              <w:bottom w:val="single" w:sz="18" w:space="0" w:color="00C1C7" w:themeColor="accent2"/>
            </w:tcBorders>
            <w:shd w:val="clear" w:color="auto" w:fill="ECFBFB" w:themeFill="accent4"/>
          </w:tcPr>
          <w:p w14:paraId="3B3033F2" w14:textId="4A580319" w:rsidR="0087034A" w:rsidRDefault="0087034A" w:rsidP="0027254B">
            <w:pPr>
              <w:pStyle w:val="isselectedend"/>
              <w:spacing w:line="480" w:lineRule="auto"/>
              <w:ind w:firstLine="720"/>
            </w:pPr>
            <w:r>
              <w:t>The Working Memory Model proposes a limited-capacity system responsible for temporary storage and manipulation of information (Baddeley &amp; Hitch, 1974). It consists of the central executive, phonological loop, visuospatial sketchpad, and episodic buffer (Baddeley, 2000).</w:t>
            </w:r>
            <w:r w:rsidR="0027254B">
              <w:t xml:space="preserve"> </w:t>
            </w:r>
            <w:r>
              <w:t>The central executive allocates attentional resources and coordinates cognitive processes but is highly limited under multitasking and fatigue. The phonological loop manages verbal information, while the visuospatial sketchpad processes spatial information. The episodic buffer integrates information across subsystems and long-term memory.</w:t>
            </w:r>
            <w:r w:rsidR="0027254B">
              <w:t xml:space="preserve"> </w:t>
            </w:r>
            <w:r>
              <w:t>A key assumption is that when cognitive demand exceeds capacity, attentional control deteriorates, particularly in routine but safety-critical tasks.</w:t>
            </w:r>
            <w:r w:rsidR="0027254B">
              <w:t xml:space="preserve"> </w:t>
            </w:r>
            <w:r>
              <w:t>Dual-task studies support this structure by demonstrating reduced performance when tasks compete for shared cognitive resources (Baddeley &amp; Hitch, 1974). The word length effect further supports capacity limitations in verbal processing (Baddeley et al., 1975). More recent research confirms that cognitive load significantly affects performance in healthcare contexts (Tabatabaee et al., 2024).</w:t>
            </w:r>
          </w:p>
          <w:p w14:paraId="6DDDAEF7" w14:textId="77777777" w:rsidR="000D48A8" w:rsidRPr="000D48A8" w:rsidRDefault="000D48A8" w:rsidP="000D48A8">
            <w:pPr>
              <w:spacing w:before="100" w:beforeAutospacing="1" w:after="100" w:afterAutospacing="1"/>
              <w:outlineLvl w:val="2"/>
              <w:rPr>
                <w:rFonts w:ascii="Times New Roman" w:eastAsia="Times New Roman" w:hAnsi="Times New Roman" w:cs="Times New Roman"/>
                <w:b/>
                <w:bCs/>
                <w:sz w:val="27"/>
                <w:szCs w:val="27"/>
                <w:lang w:val="en-GB" w:eastAsia="en-GB"/>
              </w:rPr>
            </w:pPr>
            <w:r w:rsidRPr="000D48A8">
              <w:rPr>
                <w:rFonts w:ascii="Times New Roman" w:eastAsia="Times New Roman" w:hAnsi="Times New Roman" w:cs="Times New Roman"/>
                <w:b/>
                <w:bCs/>
                <w:sz w:val="27"/>
                <w:szCs w:val="27"/>
                <w:lang w:val="en-GB" w:eastAsia="en-GB"/>
              </w:rPr>
              <w:t>Empirical Support</w:t>
            </w:r>
          </w:p>
          <w:p w14:paraId="254BEEDA" w14:textId="0BA6B3B9" w:rsidR="000D48A8" w:rsidRPr="000D48A8" w:rsidRDefault="000D48A8" w:rsidP="0027254B">
            <w:pPr>
              <w:spacing w:before="100" w:beforeAutospacing="1" w:after="100" w:afterAutospacing="1" w:line="480" w:lineRule="auto"/>
              <w:ind w:firstLine="720"/>
              <w:rPr>
                <w:rFonts w:ascii="Times New Roman" w:eastAsia="Times New Roman" w:hAnsi="Times New Roman" w:cs="Times New Roman"/>
                <w:lang w:val="en-GB" w:eastAsia="en-GB"/>
              </w:rPr>
            </w:pPr>
            <w:r w:rsidRPr="000D48A8">
              <w:rPr>
                <w:rFonts w:ascii="Times New Roman" w:eastAsia="Times New Roman" w:hAnsi="Times New Roman" w:cs="Times New Roman"/>
                <w:lang w:val="en-GB" w:eastAsia="en-GB"/>
              </w:rPr>
              <w:t xml:space="preserve">This interpretation aligns with Reason (1990), who argues that many healthcare errors result from slips and lapses under cognitive strain rather than knowledge deficits. Hockey (1997) further demonstrates that sustained workload depletes attentional resources, </w:t>
            </w:r>
            <w:r w:rsidRPr="000D48A8">
              <w:rPr>
                <w:rFonts w:ascii="Times New Roman" w:eastAsia="Times New Roman" w:hAnsi="Times New Roman" w:cs="Times New Roman"/>
                <w:lang w:val="en-GB" w:eastAsia="en-GB"/>
              </w:rPr>
              <w:lastRenderedPageBreak/>
              <w:t>reducing executive control.</w:t>
            </w:r>
            <w:r w:rsidR="0027254B">
              <w:rPr>
                <w:rFonts w:ascii="Times New Roman" w:eastAsia="Times New Roman" w:hAnsi="Times New Roman" w:cs="Times New Roman"/>
                <w:lang w:val="en-GB" w:eastAsia="en-GB"/>
              </w:rPr>
              <w:t xml:space="preserve"> </w:t>
            </w:r>
            <w:r w:rsidRPr="000D48A8">
              <w:rPr>
                <w:rFonts w:ascii="Times New Roman" w:eastAsia="Times New Roman" w:hAnsi="Times New Roman" w:cs="Times New Roman"/>
                <w:lang w:val="en-GB" w:eastAsia="en-GB"/>
              </w:rPr>
              <w:t xml:space="preserve">Recent </w:t>
            </w:r>
            <w:proofErr w:type="spellStart"/>
            <w:r w:rsidRPr="000D48A8">
              <w:rPr>
                <w:rFonts w:ascii="Times New Roman" w:eastAsia="Times New Roman" w:hAnsi="Times New Roman" w:cs="Times New Roman"/>
                <w:lang w:val="en-GB" w:eastAsia="en-GB"/>
              </w:rPr>
              <w:t>neuroergonomics</w:t>
            </w:r>
            <w:proofErr w:type="spellEnd"/>
            <w:r w:rsidRPr="000D48A8">
              <w:rPr>
                <w:rFonts w:ascii="Times New Roman" w:eastAsia="Times New Roman" w:hAnsi="Times New Roman" w:cs="Times New Roman"/>
                <w:lang w:val="en-GB" w:eastAsia="en-GB"/>
              </w:rPr>
              <w:t xml:space="preserve"> research also highlights that high workload environments involve interacting cognitive and environmental constraints that increase error probability (Zhang et al., 2024).</w:t>
            </w:r>
          </w:p>
          <w:p w14:paraId="5BF7964C" w14:textId="77777777" w:rsidR="00FD0AE1" w:rsidRPr="006709F5" w:rsidRDefault="00FD0AE1" w:rsidP="0087034A">
            <w:pPr>
              <w:spacing w:before="100" w:beforeAutospacing="1" w:after="100" w:afterAutospacing="1" w:line="480" w:lineRule="auto"/>
              <w:rPr>
                <w:rFonts w:ascii="Times New Roman" w:eastAsia="Times New Roman" w:hAnsi="Times New Roman" w:cs="Times New Roman"/>
                <w:lang w:val="en-GB" w:eastAsia="en-GB"/>
              </w:rPr>
            </w:pPr>
          </w:p>
          <w:p w14:paraId="62F5684D" w14:textId="496389CE" w:rsidR="00FA38A4" w:rsidRDefault="00FA38A4" w:rsidP="00685C46">
            <w:pPr>
              <w:spacing w:line="480" w:lineRule="auto"/>
              <w:ind w:firstLine="720"/>
              <w:rPr>
                <w:highlight w:val="yellow"/>
              </w:rPr>
            </w:pPr>
          </w:p>
          <w:p w14:paraId="598C0222" w14:textId="77B9AC55" w:rsidR="00FA38A4" w:rsidRPr="003A798E" w:rsidRDefault="00FA38A4" w:rsidP="00685C46">
            <w:pPr>
              <w:pStyle w:val="Text"/>
              <w:spacing w:line="480" w:lineRule="auto"/>
              <w:ind w:firstLine="720"/>
            </w:pPr>
          </w:p>
        </w:tc>
      </w:tr>
      <w:tr w:rsidR="00FA38A4" w:rsidRPr="003A798E" w14:paraId="35DA261D" w14:textId="77777777" w:rsidTr="00FA38A4">
        <w:trPr>
          <w:trHeight w:val="3459"/>
        </w:trPr>
        <w:tc>
          <w:tcPr>
            <w:tcW w:w="1701" w:type="dxa"/>
            <w:shd w:val="clear" w:color="auto" w:fill="ECFBFB" w:themeFill="accent4"/>
          </w:tcPr>
          <w:p w14:paraId="0FAD7B75" w14:textId="77777777" w:rsidR="00FA38A4" w:rsidRPr="003A798E" w:rsidRDefault="00FA38A4" w:rsidP="00685C46">
            <w:pPr>
              <w:ind w:firstLine="720"/>
            </w:pPr>
          </w:p>
        </w:tc>
        <w:tc>
          <w:tcPr>
            <w:tcW w:w="10915" w:type="dxa"/>
            <w:gridSpan w:val="3"/>
            <w:tcBorders>
              <w:top w:val="single" w:sz="18" w:space="0" w:color="00C1C7" w:themeColor="accent2"/>
              <w:bottom w:val="single" w:sz="18" w:space="0" w:color="00C1C7" w:themeColor="accent2"/>
            </w:tcBorders>
            <w:shd w:val="clear" w:color="auto" w:fill="ECFBFB" w:themeFill="accent4"/>
            <w:vAlign w:val="center"/>
          </w:tcPr>
          <w:p w14:paraId="0D65E01E" w14:textId="25504F7C" w:rsidR="00FA38A4" w:rsidRPr="003A798E" w:rsidRDefault="00FA38A4" w:rsidP="00684C8B">
            <w:pPr>
              <w:pStyle w:val="Heading3"/>
              <w:rPr>
                <w:rStyle w:val="Emphasis"/>
              </w:rPr>
            </w:pPr>
          </w:p>
          <w:p w14:paraId="1853A39C" w14:textId="77777777" w:rsidR="00FA38A4" w:rsidRPr="003A798E" w:rsidRDefault="00FA38A4" w:rsidP="00685C46">
            <w:pPr>
              <w:pStyle w:val="Text"/>
              <w:ind w:firstLine="720"/>
            </w:pPr>
          </w:p>
          <w:p w14:paraId="5BB860CD" w14:textId="6B2427FD" w:rsidR="00FA38A4" w:rsidRPr="003A798E" w:rsidRDefault="00FA38A4" w:rsidP="00685C46">
            <w:pPr>
              <w:pStyle w:val="Text"/>
              <w:ind w:firstLine="720"/>
            </w:pPr>
          </w:p>
        </w:tc>
      </w:tr>
      <w:tr w:rsidR="00FA38A4" w:rsidRPr="003A798E" w14:paraId="13661A8A" w14:textId="77777777" w:rsidTr="00FA38A4">
        <w:tblPrEx>
          <w:shd w:val="clear" w:color="auto" w:fill="EDF0F4" w:themeFill="accent3"/>
          <w:tblCellMar>
            <w:left w:w="0" w:type="dxa"/>
            <w:right w:w="0" w:type="dxa"/>
          </w:tblCellMar>
        </w:tblPrEx>
        <w:trPr>
          <w:gridBefore w:val="1"/>
          <w:gridAfter w:val="1"/>
          <w:wBefore w:w="1701" w:type="dxa"/>
          <w:wAfter w:w="142" w:type="dxa"/>
          <w:trHeight w:val="4599"/>
        </w:trPr>
        <w:tc>
          <w:tcPr>
            <w:tcW w:w="10773" w:type="dxa"/>
            <w:gridSpan w:val="2"/>
            <w:shd w:val="clear" w:color="auto" w:fill="EDF0F4" w:themeFill="accent3"/>
          </w:tcPr>
          <w:p w14:paraId="385A66C3" w14:textId="76A5B813" w:rsidR="00FA38A4" w:rsidRPr="003A798E" w:rsidRDefault="00FA38A4" w:rsidP="00BE3FF4">
            <w:pPr>
              <w:pStyle w:val="Heading3"/>
              <w:spacing w:line="480" w:lineRule="auto"/>
            </w:pPr>
            <w:r>
              <w:lastRenderedPageBreak/>
              <w:t xml:space="preserve">SUGGESTIONS FOR NEW PROCEDURES BASED ON THE THEORY </w:t>
            </w:r>
          </w:p>
          <w:p w14:paraId="2EFF73C2" w14:textId="77777777" w:rsidR="00224199" w:rsidRPr="00224199" w:rsidRDefault="00224199" w:rsidP="00685C46">
            <w:pPr>
              <w:spacing w:before="100" w:beforeAutospacing="1" w:after="100" w:afterAutospacing="1" w:line="480" w:lineRule="auto"/>
              <w:ind w:firstLine="720"/>
              <w:rPr>
                <w:rFonts w:ascii="Times New Roman" w:eastAsia="Times New Roman" w:hAnsi="Times New Roman" w:cs="Times New Roman"/>
                <w:lang w:val="en-GB" w:eastAsia="en-GB"/>
              </w:rPr>
            </w:pPr>
            <w:r w:rsidRPr="00224199">
              <w:rPr>
                <w:rFonts w:ascii="Times New Roman" w:eastAsia="Times New Roman" w:hAnsi="Times New Roman" w:cs="Times New Roman"/>
                <w:lang w:val="en-GB" w:eastAsia="en-GB"/>
              </w:rPr>
              <w:t>The Working Memory Model (Baddeley &amp; Hitch, 1974; Baddeley, 2000) suggests that human cognitive performance is limited by the capacity of the central executive and associated subsystems. In the present case, hand hygiene failures can be understood as the result of cognitive overload, fatigue-related depletion of attentional resources, and reduced executive control. Therefore, effective interventions should aim to reduce reliance on internal working memory processes and instead support externalisation, simplification, and structuring of cognitive demands within clinical workflows.</w:t>
            </w:r>
          </w:p>
          <w:p w14:paraId="1908B711" w14:textId="77777777" w:rsidR="00224199" w:rsidRPr="00224199" w:rsidRDefault="00224199" w:rsidP="00685C46">
            <w:pPr>
              <w:spacing w:before="100" w:beforeAutospacing="1" w:after="100" w:afterAutospacing="1" w:line="480" w:lineRule="auto"/>
              <w:ind w:firstLine="720"/>
              <w:outlineLvl w:val="2"/>
              <w:rPr>
                <w:rFonts w:ascii="Times New Roman" w:eastAsia="Times New Roman" w:hAnsi="Times New Roman" w:cs="Times New Roman"/>
                <w:b/>
                <w:bCs/>
                <w:sz w:val="27"/>
                <w:szCs w:val="27"/>
                <w:lang w:val="en-GB" w:eastAsia="en-GB"/>
              </w:rPr>
            </w:pPr>
            <w:r w:rsidRPr="00224199">
              <w:rPr>
                <w:rFonts w:ascii="Times New Roman" w:eastAsia="Times New Roman" w:hAnsi="Times New Roman" w:cs="Times New Roman"/>
                <w:b/>
                <w:bCs/>
                <w:sz w:val="27"/>
                <w:szCs w:val="27"/>
                <w:lang w:val="en-GB" w:eastAsia="en-GB"/>
              </w:rPr>
              <w:t>1. Implementation of External Cognitive Aids (Checklists and Visual Protocols)</w:t>
            </w:r>
          </w:p>
          <w:p w14:paraId="523BD301" w14:textId="29D26946" w:rsidR="00224199" w:rsidRPr="00224199" w:rsidRDefault="00224199" w:rsidP="00435ACD">
            <w:pPr>
              <w:spacing w:before="100" w:beforeAutospacing="1" w:after="100" w:afterAutospacing="1" w:line="480" w:lineRule="auto"/>
              <w:ind w:firstLine="720"/>
              <w:rPr>
                <w:rFonts w:ascii="Times New Roman" w:eastAsia="Times New Roman" w:hAnsi="Times New Roman" w:cs="Times New Roman"/>
                <w:lang w:val="en-GB" w:eastAsia="en-GB"/>
              </w:rPr>
            </w:pPr>
            <w:r w:rsidRPr="00224199">
              <w:rPr>
                <w:rFonts w:ascii="Times New Roman" w:eastAsia="Times New Roman" w:hAnsi="Times New Roman" w:cs="Times New Roman"/>
                <w:lang w:val="en-GB" w:eastAsia="en-GB"/>
              </w:rPr>
              <w:t>One of the most effective strategies for reducing working memory load is the use of external cognitive aids such as checklists, flowcharts, and structured step-by-step visual prompts. These tools reduce reliance on the central executive by offloading procedural memory demands into the environment. In the context of hand hygiene, clearly positioned visual reminders at key transition points (e.g., entering and exiting patient homes) would reduce the likelihood of prospective memory failures.</w:t>
            </w:r>
            <w:r w:rsidR="00435ACD">
              <w:rPr>
                <w:rFonts w:ascii="Times New Roman" w:eastAsia="Times New Roman" w:hAnsi="Times New Roman" w:cs="Times New Roman"/>
                <w:lang w:val="en-GB" w:eastAsia="en-GB"/>
              </w:rPr>
              <w:t xml:space="preserve"> </w:t>
            </w:r>
            <w:r w:rsidRPr="00224199">
              <w:rPr>
                <w:rFonts w:ascii="Times New Roman" w:eastAsia="Times New Roman" w:hAnsi="Times New Roman" w:cs="Times New Roman"/>
                <w:lang w:val="en-GB" w:eastAsia="en-GB"/>
              </w:rPr>
              <w:t>This approach is strongly supported by evidence from high-reliability environments. For example, checklist systems introduced in surgical settings have significantly reduced procedural errors by ensuring that critical steps are not omitted under cognitive load (e.g., Atul Gawande’s work on surgical safety checklists). This aligns with the Working Memory Model’s prediction that reducing internal processing demands improves task reliability under conditions of stress and multitasking.</w:t>
            </w:r>
          </w:p>
          <w:p w14:paraId="5C1AAE65" w14:textId="77777777" w:rsidR="00224199" w:rsidRPr="00224199" w:rsidRDefault="00224199" w:rsidP="00685C46">
            <w:pPr>
              <w:spacing w:before="100" w:beforeAutospacing="1" w:after="100" w:afterAutospacing="1" w:line="480" w:lineRule="auto"/>
              <w:ind w:firstLine="720"/>
              <w:outlineLvl w:val="2"/>
              <w:rPr>
                <w:rFonts w:ascii="Times New Roman" w:eastAsia="Times New Roman" w:hAnsi="Times New Roman" w:cs="Times New Roman"/>
                <w:b/>
                <w:bCs/>
                <w:sz w:val="27"/>
                <w:szCs w:val="27"/>
                <w:lang w:val="en-GB" w:eastAsia="en-GB"/>
              </w:rPr>
            </w:pPr>
            <w:r w:rsidRPr="00224199">
              <w:rPr>
                <w:rFonts w:ascii="Times New Roman" w:eastAsia="Times New Roman" w:hAnsi="Times New Roman" w:cs="Times New Roman"/>
                <w:b/>
                <w:bCs/>
                <w:sz w:val="27"/>
                <w:szCs w:val="27"/>
                <w:lang w:val="en-GB" w:eastAsia="en-GB"/>
              </w:rPr>
              <w:t>2. Environmental Cueing and Context-Dependent Reminders</w:t>
            </w:r>
          </w:p>
          <w:p w14:paraId="7266EE34" w14:textId="16A1CA51" w:rsidR="00224199" w:rsidRPr="00224199" w:rsidRDefault="00224199" w:rsidP="00435ACD">
            <w:pPr>
              <w:spacing w:before="100" w:beforeAutospacing="1" w:after="100" w:afterAutospacing="1" w:line="480" w:lineRule="auto"/>
              <w:ind w:firstLine="720"/>
              <w:rPr>
                <w:rFonts w:ascii="Times New Roman" w:eastAsia="Times New Roman" w:hAnsi="Times New Roman" w:cs="Times New Roman"/>
                <w:lang w:val="en-GB" w:eastAsia="en-GB"/>
              </w:rPr>
            </w:pPr>
            <w:r w:rsidRPr="00224199">
              <w:rPr>
                <w:rFonts w:ascii="Times New Roman" w:eastAsia="Times New Roman" w:hAnsi="Times New Roman" w:cs="Times New Roman"/>
                <w:lang w:val="en-GB" w:eastAsia="en-GB"/>
              </w:rPr>
              <w:lastRenderedPageBreak/>
              <w:t>The model also suggests that memory retrieval is facilitated by contextual cues. Therefore, embedding environmental prompts within the nurse’s workflow can support the episodic buffer and reduce reliance on internal recall. For example, motion-activated reminders at patient entry/exit points or strategically placed hand sanitiser stations with integrated prompts (“Stop – Clean Hands”) can act as external triggers for action.</w:t>
            </w:r>
            <w:r w:rsidR="00435ACD">
              <w:rPr>
                <w:rFonts w:ascii="Times New Roman" w:eastAsia="Times New Roman" w:hAnsi="Times New Roman" w:cs="Times New Roman"/>
                <w:lang w:val="en-GB" w:eastAsia="en-GB"/>
              </w:rPr>
              <w:t xml:space="preserve"> </w:t>
            </w:r>
            <w:r w:rsidRPr="00224199">
              <w:rPr>
                <w:rFonts w:ascii="Times New Roman" w:eastAsia="Times New Roman" w:hAnsi="Times New Roman" w:cs="Times New Roman"/>
                <w:lang w:val="en-GB" w:eastAsia="en-GB"/>
              </w:rPr>
              <w:t>Research in prospective memory supports the effectiveness of cue-based interventions, showing that individuals are more likely to complete intended actions when external cues are present, particularly under conditions of divided attention and fatigue.</w:t>
            </w:r>
          </w:p>
          <w:p w14:paraId="71CD3314" w14:textId="77777777" w:rsidR="00224199" w:rsidRPr="00224199" w:rsidRDefault="00224199" w:rsidP="00685C46">
            <w:pPr>
              <w:spacing w:before="100" w:beforeAutospacing="1" w:after="100" w:afterAutospacing="1" w:line="480" w:lineRule="auto"/>
              <w:ind w:firstLine="720"/>
              <w:outlineLvl w:val="2"/>
              <w:rPr>
                <w:rFonts w:ascii="Times New Roman" w:eastAsia="Times New Roman" w:hAnsi="Times New Roman" w:cs="Times New Roman"/>
                <w:b/>
                <w:bCs/>
                <w:sz w:val="27"/>
                <w:szCs w:val="27"/>
                <w:lang w:val="en-GB" w:eastAsia="en-GB"/>
              </w:rPr>
            </w:pPr>
            <w:r w:rsidRPr="00224199">
              <w:rPr>
                <w:rFonts w:ascii="Times New Roman" w:eastAsia="Times New Roman" w:hAnsi="Times New Roman" w:cs="Times New Roman"/>
                <w:b/>
                <w:bCs/>
                <w:sz w:val="27"/>
                <w:szCs w:val="27"/>
                <w:lang w:val="en-GB" w:eastAsia="en-GB"/>
              </w:rPr>
              <w:t>3. Workload Reduction and Cognitive Fatigue Management</w:t>
            </w:r>
          </w:p>
          <w:p w14:paraId="3484073D" w14:textId="2B8CD994" w:rsidR="00224199" w:rsidRPr="00224199" w:rsidRDefault="00224199" w:rsidP="00435ACD">
            <w:pPr>
              <w:spacing w:before="100" w:beforeAutospacing="1" w:after="100" w:afterAutospacing="1" w:line="480" w:lineRule="auto"/>
              <w:ind w:firstLine="720"/>
              <w:rPr>
                <w:rFonts w:ascii="Times New Roman" w:eastAsia="Times New Roman" w:hAnsi="Times New Roman" w:cs="Times New Roman"/>
                <w:lang w:val="en-GB" w:eastAsia="en-GB"/>
              </w:rPr>
            </w:pPr>
            <w:r w:rsidRPr="00224199">
              <w:rPr>
                <w:rFonts w:ascii="Times New Roman" w:eastAsia="Times New Roman" w:hAnsi="Times New Roman" w:cs="Times New Roman"/>
                <w:lang w:val="en-GB" w:eastAsia="en-GB"/>
              </w:rPr>
              <w:t>Given that working memory capacity is highly sensitive to fatigue and sustained cognitive demand, organisational interventions should focus on reducing cognitive load at the systemic level. This includes limiting consecutive shifts, reducing patient-to-nurse ratios, and ensuring protected rest periods between high-demand shifts.</w:t>
            </w:r>
            <w:r w:rsidR="00435ACD">
              <w:rPr>
                <w:rFonts w:ascii="Times New Roman" w:eastAsia="Times New Roman" w:hAnsi="Times New Roman" w:cs="Times New Roman"/>
                <w:lang w:val="en-GB" w:eastAsia="en-GB"/>
              </w:rPr>
              <w:t xml:space="preserve"> </w:t>
            </w:r>
            <w:r w:rsidRPr="00224199">
              <w:rPr>
                <w:rFonts w:ascii="Times New Roman" w:eastAsia="Times New Roman" w:hAnsi="Times New Roman" w:cs="Times New Roman"/>
                <w:lang w:val="en-GB" w:eastAsia="en-GB"/>
              </w:rPr>
              <w:t>Hockey’s (1997) compensatory control model supports this approach by demonstrating that while individuals can temporarily maintain performance under high workload, sustained demands lead to depletion of attentional resources and breakdown in executive control. Reducing workload therefore directly preserves working memory capacity and helps maintain procedural adherence.</w:t>
            </w:r>
          </w:p>
          <w:p w14:paraId="48168B06" w14:textId="77777777" w:rsidR="00224199" w:rsidRPr="00224199" w:rsidRDefault="00224199" w:rsidP="00685C46">
            <w:pPr>
              <w:spacing w:before="100" w:beforeAutospacing="1" w:after="100" w:afterAutospacing="1" w:line="480" w:lineRule="auto"/>
              <w:ind w:firstLine="720"/>
              <w:outlineLvl w:val="2"/>
              <w:rPr>
                <w:rFonts w:ascii="Times New Roman" w:eastAsia="Times New Roman" w:hAnsi="Times New Roman" w:cs="Times New Roman"/>
                <w:b/>
                <w:bCs/>
                <w:sz w:val="27"/>
                <w:szCs w:val="27"/>
                <w:lang w:val="en-GB" w:eastAsia="en-GB"/>
              </w:rPr>
            </w:pPr>
            <w:r w:rsidRPr="00224199">
              <w:rPr>
                <w:rFonts w:ascii="Times New Roman" w:eastAsia="Times New Roman" w:hAnsi="Times New Roman" w:cs="Times New Roman"/>
                <w:b/>
                <w:bCs/>
                <w:sz w:val="27"/>
                <w:szCs w:val="27"/>
                <w:lang w:val="en-GB" w:eastAsia="en-GB"/>
              </w:rPr>
              <w:t>4. Structured “Cognitive Pause” Procedures</w:t>
            </w:r>
          </w:p>
          <w:p w14:paraId="6B1848EB" w14:textId="13AFB4E7" w:rsidR="00224199" w:rsidRPr="00224199" w:rsidRDefault="00224199" w:rsidP="00435ACD">
            <w:pPr>
              <w:spacing w:before="100" w:beforeAutospacing="1" w:after="100" w:afterAutospacing="1" w:line="480" w:lineRule="auto"/>
              <w:ind w:firstLine="720"/>
              <w:rPr>
                <w:rFonts w:ascii="Times New Roman" w:eastAsia="Times New Roman" w:hAnsi="Times New Roman" w:cs="Times New Roman"/>
                <w:lang w:val="en-GB" w:eastAsia="en-GB"/>
              </w:rPr>
            </w:pPr>
            <w:r w:rsidRPr="00224199">
              <w:rPr>
                <w:rFonts w:ascii="Times New Roman" w:eastAsia="Times New Roman" w:hAnsi="Times New Roman" w:cs="Times New Roman"/>
                <w:lang w:val="en-GB" w:eastAsia="en-GB"/>
              </w:rPr>
              <w:t>Introducing mandatory brief pauses between patient visits can help reset attentional focus and reduce automaticity-driven errors. These pauses function as cognitive “reset points,” allowing the central executive to reallocate attentional resources and re-engage controlled processing.</w:t>
            </w:r>
            <w:r w:rsidR="00435ACD">
              <w:rPr>
                <w:rFonts w:ascii="Times New Roman" w:eastAsia="Times New Roman" w:hAnsi="Times New Roman" w:cs="Times New Roman"/>
                <w:lang w:val="en-GB" w:eastAsia="en-GB"/>
              </w:rPr>
              <w:t xml:space="preserve"> </w:t>
            </w:r>
            <w:r w:rsidRPr="00224199">
              <w:rPr>
                <w:rFonts w:ascii="Times New Roman" w:eastAsia="Times New Roman" w:hAnsi="Times New Roman" w:cs="Times New Roman"/>
                <w:lang w:val="en-GB" w:eastAsia="en-GB"/>
              </w:rPr>
              <w:t>This is particularly important because the case suggests that nurses may have been operating under habitual or automatic responding due to time pressure. Research on task switching indicates that brief breaks can restore attentional control and reduce error rates in repetitive high-load tasks.</w:t>
            </w:r>
          </w:p>
          <w:p w14:paraId="1DB25E14" w14:textId="77777777" w:rsidR="00224199" w:rsidRPr="00224199" w:rsidRDefault="00224199" w:rsidP="00685C46">
            <w:pPr>
              <w:spacing w:before="100" w:beforeAutospacing="1" w:after="100" w:afterAutospacing="1" w:line="480" w:lineRule="auto"/>
              <w:ind w:firstLine="720"/>
              <w:outlineLvl w:val="2"/>
              <w:rPr>
                <w:rFonts w:ascii="Times New Roman" w:eastAsia="Times New Roman" w:hAnsi="Times New Roman" w:cs="Times New Roman"/>
                <w:b/>
                <w:bCs/>
                <w:sz w:val="27"/>
                <w:szCs w:val="27"/>
                <w:lang w:val="en-GB" w:eastAsia="en-GB"/>
              </w:rPr>
            </w:pPr>
            <w:r w:rsidRPr="00224199">
              <w:rPr>
                <w:rFonts w:ascii="Times New Roman" w:eastAsia="Times New Roman" w:hAnsi="Times New Roman" w:cs="Times New Roman"/>
                <w:b/>
                <w:bCs/>
                <w:sz w:val="27"/>
                <w:szCs w:val="27"/>
                <w:lang w:val="en-GB" w:eastAsia="en-GB"/>
              </w:rPr>
              <w:lastRenderedPageBreak/>
              <w:t>5. Digital Reminder and Prompting Systems</w:t>
            </w:r>
          </w:p>
          <w:p w14:paraId="67A0B859" w14:textId="245EC83F" w:rsidR="00224199" w:rsidRPr="00224199" w:rsidRDefault="00224199" w:rsidP="00435ACD">
            <w:pPr>
              <w:spacing w:before="100" w:beforeAutospacing="1" w:after="100" w:afterAutospacing="1" w:line="480" w:lineRule="auto"/>
              <w:ind w:firstLine="720"/>
              <w:rPr>
                <w:rFonts w:ascii="Times New Roman" w:eastAsia="Times New Roman" w:hAnsi="Times New Roman" w:cs="Times New Roman"/>
                <w:lang w:val="en-GB" w:eastAsia="en-GB"/>
              </w:rPr>
            </w:pPr>
            <w:r w:rsidRPr="00224199">
              <w:rPr>
                <w:rFonts w:ascii="Times New Roman" w:eastAsia="Times New Roman" w:hAnsi="Times New Roman" w:cs="Times New Roman"/>
                <w:lang w:val="en-GB" w:eastAsia="en-GB"/>
              </w:rPr>
              <w:t>Mobile or wearable digital systems can provide real-time prompts for hand hygiene compliance. These systems reduce dependence on internal working memory by providing time- and context-specific cues.</w:t>
            </w:r>
            <w:r w:rsidR="00435ACD">
              <w:rPr>
                <w:rFonts w:ascii="Times New Roman" w:eastAsia="Times New Roman" w:hAnsi="Times New Roman" w:cs="Times New Roman"/>
                <w:lang w:val="en-GB" w:eastAsia="en-GB"/>
              </w:rPr>
              <w:t xml:space="preserve"> </w:t>
            </w:r>
            <w:r w:rsidRPr="00224199">
              <w:rPr>
                <w:rFonts w:ascii="Times New Roman" w:eastAsia="Times New Roman" w:hAnsi="Times New Roman" w:cs="Times New Roman"/>
                <w:lang w:val="en-GB" w:eastAsia="en-GB"/>
              </w:rPr>
              <w:t>From a cognitive perspective, this supports the episodic buffer by reinforcing the link between intention and action at the correct moment. Evidence from healthcare technology studies suggests that digital reminders can significantly improve adherence to procedural safety behaviours, particularly in high-pressure environments.</w:t>
            </w:r>
          </w:p>
          <w:p w14:paraId="1BCD174F" w14:textId="77777777" w:rsidR="00224199" w:rsidRPr="00224199" w:rsidRDefault="00224199" w:rsidP="00685C46">
            <w:pPr>
              <w:spacing w:before="100" w:beforeAutospacing="1" w:after="100" w:afterAutospacing="1" w:line="480" w:lineRule="auto"/>
              <w:ind w:firstLine="720"/>
              <w:outlineLvl w:val="2"/>
              <w:rPr>
                <w:rFonts w:ascii="Times New Roman" w:eastAsia="Times New Roman" w:hAnsi="Times New Roman" w:cs="Times New Roman"/>
                <w:b/>
                <w:bCs/>
                <w:sz w:val="27"/>
                <w:szCs w:val="27"/>
                <w:lang w:val="en-GB" w:eastAsia="en-GB"/>
              </w:rPr>
            </w:pPr>
            <w:r w:rsidRPr="00224199">
              <w:rPr>
                <w:rFonts w:ascii="Times New Roman" w:eastAsia="Times New Roman" w:hAnsi="Times New Roman" w:cs="Times New Roman"/>
                <w:b/>
                <w:bCs/>
                <w:sz w:val="27"/>
                <w:szCs w:val="27"/>
                <w:lang w:val="en-GB" w:eastAsia="en-GB"/>
              </w:rPr>
              <w:t>Summary</w:t>
            </w:r>
          </w:p>
          <w:p w14:paraId="2603F789" w14:textId="77777777" w:rsidR="00224199" w:rsidRPr="00224199" w:rsidRDefault="00224199" w:rsidP="00685C46">
            <w:pPr>
              <w:spacing w:before="100" w:beforeAutospacing="1" w:after="100" w:afterAutospacing="1" w:line="480" w:lineRule="auto"/>
              <w:ind w:firstLine="720"/>
              <w:rPr>
                <w:rFonts w:ascii="Times New Roman" w:eastAsia="Times New Roman" w:hAnsi="Times New Roman" w:cs="Times New Roman"/>
                <w:lang w:val="en-GB" w:eastAsia="en-GB"/>
              </w:rPr>
            </w:pPr>
            <w:r w:rsidRPr="00224199">
              <w:rPr>
                <w:rFonts w:ascii="Times New Roman" w:eastAsia="Times New Roman" w:hAnsi="Times New Roman" w:cs="Times New Roman"/>
                <w:lang w:val="en-GB" w:eastAsia="en-GB"/>
              </w:rPr>
              <w:t>Overall, interventions derived from the Working Memory Model focus on reducing cognitive load, supporting attentional control, and externalising memory demands. Rather than relying solely on training or knowledge-based solutions, these strategies acknowledge that even highly trained professionals are vulnerable to cognitive overload under conditions of fatigue and high workload. By redesigning the environment to support cognitive limitations, the likelihood of procedural failures such as those observed in the case study can be significantly reduced.</w:t>
            </w:r>
          </w:p>
          <w:p w14:paraId="7F25076D" w14:textId="77777777" w:rsidR="00FA38A4" w:rsidRPr="003A798E" w:rsidRDefault="00FA38A4" w:rsidP="00685C46">
            <w:pPr>
              <w:pStyle w:val="Heading4"/>
              <w:spacing w:line="480" w:lineRule="auto"/>
              <w:ind w:firstLine="720"/>
            </w:pPr>
          </w:p>
          <w:p w14:paraId="303C466A" w14:textId="77777777" w:rsidR="00FA38A4" w:rsidRPr="003A798E" w:rsidRDefault="00FA38A4" w:rsidP="00685C46">
            <w:pPr>
              <w:pStyle w:val="Heading4"/>
              <w:spacing w:line="480" w:lineRule="auto"/>
              <w:ind w:firstLine="720"/>
            </w:pPr>
          </w:p>
        </w:tc>
      </w:tr>
      <w:tr w:rsidR="00FA38A4" w:rsidRPr="003A798E" w14:paraId="0B43E723" w14:textId="77777777" w:rsidTr="00FA38A4">
        <w:tblPrEx>
          <w:shd w:val="clear" w:color="auto" w:fill="EDF0F4" w:themeFill="accent3"/>
          <w:tblCellMar>
            <w:left w:w="0" w:type="dxa"/>
            <w:right w:w="0" w:type="dxa"/>
          </w:tblCellMar>
        </w:tblPrEx>
        <w:trPr>
          <w:gridBefore w:val="1"/>
          <w:gridAfter w:val="1"/>
          <w:wBefore w:w="1701" w:type="dxa"/>
          <w:wAfter w:w="142" w:type="dxa"/>
          <w:trHeight w:val="8879"/>
        </w:trPr>
        <w:tc>
          <w:tcPr>
            <w:tcW w:w="10773" w:type="dxa"/>
            <w:gridSpan w:val="2"/>
            <w:shd w:val="clear" w:color="auto" w:fill="EDF0F4" w:themeFill="accent3"/>
          </w:tcPr>
          <w:p w14:paraId="7B45B3DA" w14:textId="72306E5B" w:rsidR="00871546" w:rsidRPr="00871546" w:rsidRDefault="0098239A" w:rsidP="00685C46">
            <w:pPr>
              <w:pStyle w:val="Heading3"/>
              <w:spacing w:line="480" w:lineRule="auto"/>
              <w:ind w:firstLine="720"/>
            </w:pPr>
            <w:r>
              <w:lastRenderedPageBreak/>
              <w:t>EVALUATION AND CRITIQUE OF</w:t>
            </w:r>
            <w:r w:rsidR="00FA38A4">
              <w:t xml:space="preserve"> THEORY</w:t>
            </w:r>
          </w:p>
          <w:p w14:paraId="21C673A1" w14:textId="22CD93B2" w:rsidR="00871546" w:rsidRPr="00871546" w:rsidRDefault="00871546" w:rsidP="00435ACD">
            <w:pPr>
              <w:spacing w:before="100" w:beforeAutospacing="1" w:after="100" w:afterAutospacing="1" w:line="480" w:lineRule="auto"/>
              <w:ind w:firstLine="720"/>
              <w:rPr>
                <w:rFonts w:ascii="Times New Roman" w:eastAsia="Times New Roman" w:hAnsi="Times New Roman" w:cs="Times New Roman"/>
                <w:lang w:val="en-GB" w:eastAsia="en-GB"/>
              </w:rPr>
            </w:pPr>
            <w:r w:rsidRPr="00871546">
              <w:rPr>
                <w:rFonts w:ascii="Times New Roman" w:eastAsia="Times New Roman" w:hAnsi="Times New Roman" w:cs="Times New Roman"/>
                <w:lang w:val="en-GB" w:eastAsia="en-GB"/>
              </w:rPr>
              <w:t>Although the Working Memory Model (Baddeley &amp; Hitch, 1974; Baddeley, 2000) provides a useful framework for understanding cognitive processing limitations, it has several theoretical and applied limitations that must be considered when evaluating its explanatory value for the present case study.</w:t>
            </w:r>
            <w:r>
              <w:rPr>
                <w:rFonts w:ascii="Times New Roman" w:eastAsia="Times New Roman" w:hAnsi="Times New Roman" w:cs="Times New Roman"/>
                <w:lang w:val="en-GB" w:eastAsia="en-GB"/>
              </w:rPr>
              <w:t xml:space="preserve"> </w:t>
            </w:r>
            <w:r w:rsidRPr="00871546">
              <w:rPr>
                <w:rFonts w:ascii="Times New Roman" w:eastAsia="Times New Roman" w:hAnsi="Times New Roman" w:cs="Times New Roman"/>
                <w:lang w:val="en-GB" w:eastAsia="en-GB"/>
              </w:rPr>
              <w:t>A primary criticism of the Working Memory Model is that it is relatively reductionist, as it focuses primarily on internal cognitive structures while underrepresenting broader emotional, social, and environmental influences on behaviour. In real-world settings such as healthcare, performance is not solely determined by cognitive capacity but is also influenced by organisational culture, communication quality, leadership, and stress-related emotional factors. As a result, the model may oversimplify complex human behaviour by attributing performance failures primarily to cognitive limitations.</w:t>
            </w:r>
            <w:r w:rsidR="00435ACD">
              <w:rPr>
                <w:rFonts w:ascii="Times New Roman" w:eastAsia="Times New Roman" w:hAnsi="Times New Roman" w:cs="Times New Roman"/>
                <w:lang w:val="en-GB" w:eastAsia="en-GB"/>
              </w:rPr>
              <w:t xml:space="preserve"> </w:t>
            </w:r>
            <w:r w:rsidRPr="00871546">
              <w:rPr>
                <w:rFonts w:ascii="Times New Roman" w:eastAsia="Times New Roman" w:hAnsi="Times New Roman" w:cs="Times New Roman"/>
                <w:lang w:val="en-GB" w:eastAsia="en-GB"/>
              </w:rPr>
              <w:t>In addition, the central executive component of the model is often criticised for being poorly defined in both structural and functional terms. While it is described as responsible for attentional control and coordination, it lacks clear specification regarding how these processes are implemented at a cognitive or neurological level. This limits the model’s explanatory precision and makes it difficult to operationalise in empirical research.</w:t>
            </w:r>
            <w:r w:rsidR="00435ACD">
              <w:rPr>
                <w:rFonts w:ascii="Times New Roman" w:eastAsia="Times New Roman" w:hAnsi="Times New Roman" w:cs="Times New Roman"/>
                <w:lang w:val="en-GB" w:eastAsia="en-GB"/>
              </w:rPr>
              <w:t xml:space="preserve"> </w:t>
            </w:r>
            <w:r w:rsidRPr="00871546">
              <w:rPr>
                <w:rFonts w:ascii="Times New Roman" w:eastAsia="Times New Roman" w:hAnsi="Times New Roman" w:cs="Times New Roman"/>
                <w:lang w:val="en-GB" w:eastAsia="en-GB"/>
              </w:rPr>
              <w:t xml:space="preserve">Furthermore, some research suggests that working memory capacity may be more flexible and context-dependent than the model implies. For example, individuals can sometimes maintain high levels of performance under significant cognitive load by relying on expertise, </w:t>
            </w:r>
            <w:proofErr w:type="spellStart"/>
            <w:r w:rsidRPr="00871546">
              <w:rPr>
                <w:rFonts w:ascii="Times New Roman" w:eastAsia="Times New Roman" w:hAnsi="Times New Roman" w:cs="Times New Roman"/>
                <w:lang w:val="en-GB" w:eastAsia="en-GB"/>
              </w:rPr>
              <w:t>automatisation</w:t>
            </w:r>
            <w:proofErr w:type="spellEnd"/>
            <w:r w:rsidRPr="00871546">
              <w:rPr>
                <w:rFonts w:ascii="Times New Roman" w:eastAsia="Times New Roman" w:hAnsi="Times New Roman" w:cs="Times New Roman"/>
                <w:lang w:val="en-GB" w:eastAsia="en-GB"/>
              </w:rPr>
              <w:t>, or environmental scaffolding, which suggests that cognitive capacity is not fixed but adaptable depending on experience and context.</w:t>
            </w:r>
          </w:p>
          <w:p w14:paraId="554EBCD5" w14:textId="77777777" w:rsidR="00871546" w:rsidRPr="00871546" w:rsidRDefault="00871546" w:rsidP="00685C46">
            <w:pPr>
              <w:spacing w:before="100" w:beforeAutospacing="1" w:after="100" w:afterAutospacing="1" w:line="480" w:lineRule="auto"/>
              <w:ind w:firstLine="720"/>
              <w:outlineLvl w:val="2"/>
              <w:rPr>
                <w:rFonts w:ascii="Times New Roman" w:eastAsia="Times New Roman" w:hAnsi="Times New Roman" w:cs="Times New Roman"/>
                <w:b/>
                <w:bCs/>
                <w:sz w:val="27"/>
                <w:szCs w:val="27"/>
                <w:lang w:val="en-GB" w:eastAsia="en-GB"/>
              </w:rPr>
            </w:pPr>
            <w:r w:rsidRPr="00871546">
              <w:rPr>
                <w:rFonts w:ascii="Times New Roman" w:eastAsia="Times New Roman" w:hAnsi="Times New Roman" w:cs="Times New Roman"/>
                <w:b/>
                <w:bCs/>
                <w:sz w:val="27"/>
                <w:szCs w:val="27"/>
                <w:lang w:val="en-GB" w:eastAsia="en-GB"/>
              </w:rPr>
              <w:t>Critique of the Theory in Relation to the Case Study</w:t>
            </w:r>
          </w:p>
          <w:p w14:paraId="1C367624" w14:textId="1F169A9D" w:rsidR="00871546" w:rsidRPr="00871546" w:rsidRDefault="00871546" w:rsidP="00435ACD">
            <w:pPr>
              <w:spacing w:before="100" w:beforeAutospacing="1" w:after="100" w:afterAutospacing="1" w:line="480" w:lineRule="auto"/>
              <w:ind w:firstLine="720"/>
              <w:rPr>
                <w:rFonts w:ascii="Times New Roman" w:eastAsia="Times New Roman" w:hAnsi="Times New Roman" w:cs="Times New Roman"/>
                <w:lang w:val="en-GB" w:eastAsia="en-GB"/>
              </w:rPr>
            </w:pPr>
            <w:r w:rsidRPr="00871546">
              <w:rPr>
                <w:rFonts w:ascii="Times New Roman" w:eastAsia="Times New Roman" w:hAnsi="Times New Roman" w:cs="Times New Roman"/>
                <w:lang w:val="en-GB" w:eastAsia="en-GB"/>
              </w:rPr>
              <w:t xml:space="preserve">While the Working Memory Model provides a plausible explanation for the observed hand hygiene failures, it does not fully account for all contributing factors in the case study. The model explains how cognitive overload, fatigue, and attentional depletion may lead to procedural lapses; however, it does not </w:t>
            </w:r>
            <w:r w:rsidRPr="00871546">
              <w:rPr>
                <w:rFonts w:ascii="Times New Roman" w:eastAsia="Times New Roman" w:hAnsi="Times New Roman" w:cs="Times New Roman"/>
                <w:lang w:val="en-GB" w:eastAsia="en-GB"/>
              </w:rPr>
              <w:lastRenderedPageBreak/>
              <w:t>adequately explain why systemic conditions such as chronic understaffing and sustained workload pressures developed in the first place.</w:t>
            </w:r>
            <w:r w:rsidR="00435ACD">
              <w:rPr>
                <w:rFonts w:ascii="Times New Roman" w:eastAsia="Times New Roman" w:hAnsi="Times New Roman" w:cs="Times New Roman"/>
                <w:lang w:val="en-GB" w:eastAsia="en-GB"/>
              </w:rPr>
              <w:t xml:space="preserve"> </w:t>
            </w:r>
            <w:r w:rsidRPr="00871546">
              <w:rPr>
                <w:rFonts w:ascii="Times New Roman" w:eastAsia="Times New Roman" w:hAnsi="Times New Roman" w:cs="Times New Roman"/>
                <w:lang w:val="en-GB" w:eastAsia="en-GB"/>
              </w:rPr>
              <w:t>The case also indicates that nurses were experienced, trained, and had previously demonstrated competence. This raises the possibility that non-cognitive factors, such as organisational pressure, workplace norms, or habituation of non-compliance under time constraints, may also have contributed to behaviour. These influences are not directly captured within the Working Memory framework.</w:t>
            </w:r>
            <w:r w:rsidR="00527B69">
              <w:rPr>
                <w:rFonts w:ascii="Times New Roman" w:eastAsia="Times New Roman" w:hAnsi="Times New Roman" w:cs="Times New Roman"/>
                <w:lang w:val="en-GB" w:eastAsia="en-GB"/>
              </w:rPr>
              <w:t xml:space="preserve"> </w:t>
            </w:r>
            <w:r w:rsidRPr="00871546">
              <w:rPr>
                <w:rFonts w:ascii="Times New Roman" w:eastAsia="Times New Roman" w:hAnsi="Times New Roman" w:cs="Times New Roman"/>
                <w:lang w:val="en-GB" w:eastAsia="en-GB"/>
              </w:rPr>
              <w:t>Additionally, empirical research suggests that healthcare errors are often multifactorial rather than purely cognitive in origin. Reason (1990) argues that human error typically results from a combination of active failures (such as slips and lapses) and latent system conditions (such as organisational weaknesses). This suggests that while working memory limitations may explain the immediate cognitive mechanism of failure, they do not provide a complete explanation of the underlying systemic causes.</w:t>
            </w:r>
            <w:r w:rsidR="00527B69">
              <w:rPr>
                <w:rFonts w:ascii="Times New Roman" w:eastAsia="Times New Roman" w:hAnsi="Times New Roman" w:cs="Times New Roman"/>
                <w:lang w:val="en-GB" w:eastAsia="en-GB"/>
              </w:rPr>
              <w:t xml:space="preserve"> </w:t>
            </w:r>
            <w:r w:rsidRPr="00871546">
              <w:rPr>
                <w:rFonts w:ascii="Times New Roman" w:eastAsia="Times New Roman" w:hAnsi="Times New Roman" w:cs="Times New Roman"/>
                <w:lang w:val="en-GB" w:eastAsia="en-GB"/>
              </w:rPr>
              <w:t>Hockey (1997) similarly highlights that although cognitive resources are important, individuals can temporarily compensate for high workload demands through increased effort and attentional control. However, sustained exposure to high workload leads to depletion effects that are strongly influenced by motivation, stress, and organisational support. This indicates that cognitive models alone may not fully capture performance variability in real-world healthcare environments.</w:t>
            </w:r>
          </w:p>
          <w:p w14:paraId="705EF162" w14:textId="77777777" w:rsidR="00871546" w:rsidRPr="00871546" w:rsidRDefault="00871546" w:rsidP="00685C46">
            <w:pPr>
              <w:spacing w:before="100" w:beforeAutospacing="1" w:after="100" w:afterAutospacing="1" w:line="480" w:lineRule="auto"/>
              <w:ind w:firstLine="720"/>
              <w:outlineLvl w:val="2"/>
              <w:rPr>
                <w:rFonts w:ascii="Times New Roman" w:eastAsia="Times New Roman" w:hAnsi="Times New Roman" w:cs="Times New Roman"/>
                <w:b/>
                <w:bCs/>
                <w:sz w:val="27"/>
                <w:szCs w:val="27"/>
                <w:lang w:val="en-GB" w:eastAsia="en-GB"/>
              </w:rPr>
            </w:pPr>
            <w:r w:rsidRPr="00871546">
              <w:rPr>
                <w:rFonts w:ascii="Times New Roman" w:eastAsia="Times New Roman" w:hAnsi="Times New Roman" w:cs="Times New Roman"/>
                <w:b/>
                <w:bCs/>
                <w:sz w:val="27"/>
                <w:szCs w:val="27"/>
                <w:lang w:val="en-GB" w:eastAsia="en-GB"/>
              </w:rPr>
              <w:t>Overall Evaluation</w:t>
            </w:r>
          </w:p>
          <w:p w14:paraId="2D626DFD" w14:textId="15F60D62" w:rsidR="00871546" w:rsidRPr="00871546" w:rsidRDefault="00871546" w:rsidP="00527B69">
            <w:pPr>
              <w:spacing w:before="100" w:beforeAutospacing="1" w:after="100" w:afterAutospacing="1" w:line="480" w:lineRule="auto"/>
              <w:ind w:firstLine="720"/>
              <w:rPr>
                <w:rFonts w:ascii="Times New Roman" w:eastAsia="Times New Roman" w:hAnsi="Times New Roman" w:cs="Times New Roman"/>
                <w:lang w:val="en-GB" w:eastAsia="en-GB"/>
              </w:rPr>
            </w:pPr>
            <w:r w:rsidRPr="00871546">
              <w:rPr>
                <w:rFonts w:ascii="Times New Roman" w:eastAsia="Times New Roman" w:hAnsi="Times New Roman" w:cs="Times New Roman"/>
                <w:lang w:val="en-GB" w:eastAsia="en-GB"/>
              </w:rPr>
              <w:t>In summary, the Working Memory Model provides a strong explanation for how cognitive overload and attentional limitations may have contributed to hand hygiene failures in this case. However, its explanatory power is limited by its focus on internal cognitive processes and its relative neglect of broader systemic, emotional, and organisational factors.</w:t>
            </w:r>
            <w:r w:rsidR="00527B69">
              <w:rPr>
                <w:rFonts w:ascii="Times New Roman" w:eastAsia="Times New Roman" w:hAnsi="Times New Roman" w:cs="Times New Roman"/>
                <w:lang w:val="en-GB" w:eastAsia="en-GB"/>
              </w:rPr>
              <w:t xml:space="preserve"> </w:t>
            </w:r>
            <w:r w:rsidRPr="00871546">
              <w:rPr>
                <w:rFonts w:ascii="Times New Roman" w:eastAsia="Times New Roman" w:hAnsi="Times New Roman" w:cs="Times New Roman"/>
                <w:lang w:val="en-GB" w:eastAsia="en-GB"/>
              </w:rPr>
              <w:t>Therefore, while the model is useful for identifying mechanisms underlying individual performance breakdowns, it should be integrated with wider human factors and systems-based approaches to fully understand and address the causes of error in complex healthcare settings.</w:t>
            </w:r>
          </w:p>
          <w:p w14:paraId="7730A303" w14:textId="77777777" w:rsidR="00871546" w:rsidRPr="00871546" w:rsidRDefault="00871546" w:rsidP="00685C46">
            <w:pPr>
              <w:spacing w:line="480" w:lineRule="auto"/>
              <w:ind w:firstLine="720"/>
            </w:pPr>
          </w:p>
          <w:p w14:paraId="6AD52D93" w14:textId="77777777" w:rsidR="00FA38A4" w:rsidRPr="00766C02" w:rsidRDefault="00FA38A4" w:rsidP="00685C46">
            <w:pPr>
              <w:spacing w:line="480" w:lineRule="auto"/>
              <w:ind w:firstLine="720"/>
            </w:pPr>
          </w:p>
          <w:p w14:paraId="7B9E843C" w14:textId="77777777" w:rsidR="00FA38A4" w:rsidRPr="003A798E" w:rsidRDefault="00FA38A4" w:rsidP="00685C46">
            <w:pPr>
              <w:spacing w:line="480" w:lineRule="auto"/>
              <w:ind w:firstLine="720"/>
            </w:pPr>
          </w:p>
        </w:tc>
      </w:tr>
    </w:tbl>
    <w:p w14:paraId="0CF4EDF2" w14:textId="77777777" w:rsidR="00A24793" w:rsidRPr="003A798E" w:rsidRDefault="00A24793" w:rsidP="00685C46">
      <w:pPr>
        <w:spacing w:line="480" w:lineRule="auto"/>
        <w:ind w:firstLine="720"/>
      </w:pPr>
    </w:p>
    <w:tbl>
      <w:tblPr>
        <w:tblW w:w="10508" w:type="dxa"/>
        <w:shd w:val="clear" w:color="auto" w:fill="00C1C7" w:themeFill="accent2"/>
        <w:tblLayout w:type="fixed"/>
        <w:tblLook w:val="0600" w:firstRow="0" w:lastRow="0" w:firstColumn="0" w:lastColumn="0" w:noHBand="1" w:noVBand="1"/>
      </w:tblPr>
      <w:tblGrid>
        <w:gridCol w:w="851"/>
        <w:gridCol w:w="8690"/>
        <w:gridCol w:w="967"/>
      </w:tblGrid>
      <w:tr w:rsidR="0031055C" w:rsidRPr="003A798E" w14:paraId="24F1484D" w14:textId="77777777" w:rsidTr="0098239A">
        <w:trPr>
          <w:trHeight w:val="373"/>
        </w:trPr>
        <w:tc>
          <w:tcPr>
            <w:tcW w:w="851" w:type="dxa"/>
            <w:vMerge w:val="restart"/>
            <w:shd w:val="clear" w:color="auto" w:fill="00C1C7" w:themeFill="accent2"/>
          </w:tcPr>
          <w:p w14:paraId="2B59145D" w14:textId="77777777" w:rsidR="0031055C" w:rsidRPr="003A798E" w:rsidRDefault="0031055C" w:rsidP="00685C46">
            <w:pPr>
              <w:pStyle w:val="GraphicAnchor"/>
              <w:spacing w:line="480" w:lineRule="auto"/>
              <w:ind w:firstLine="720"/>
            </w:pPr>
          </w:p>
        </w:tc>
        <w:tc>
          <w:tcPr>
            <w:tcW w:w="8690" w:type="dxa"/>
            <w:tcBorders>
              <w:bottom w:val="single" w:sz="36" w:space="0" w:color="123869" w:themeColor="accent1"/>
            </w:tcBorders>
            <w:shd w:val="clear" w:color="auto" w:fill="00C1C7" w:themeFill="accent2"/>
          </w:tcPr>
          <w:p w14:paraId="136EF726" w14:textId="77777777" w:rsidR="0031055C" w:rsidRPr="003A798E" w:rsidRDefault="0031055C" w:rsidP="00685C46">
            <w:pPr>
              <w:spacing w:line="480" w:lineRule="auto"/>
              <w:ind w:firstLine="720"/>
            </w:pPr>
          </w:p>
        </w:tc>
        <w:tc>
          <w:tcPr>
            <w:tcW w:w="967" w:type="dxa"/>
            <w:vMerge w:val="restart"/>
            <w:shd w:val="clear" w:color="auto" w:fill="00C1C7" w:themeFill="accent2"/>
          </w:tcPr>
          <w:p w14:paraId="230C2B99" w14:textId="77777777" w:rsidR="0031055C" w:rsidRPr="003A798E" w:rsidRDefault="0031055C" w:rsidP="00685C46">
            <w:pPr>
              <w:spacing w:line="480" w:lineRule="auto"/>
              <w:ind w:firstLine="720"/>
            </w:pPr>
          </w:p>
        </w:tc>
      </w:tr>
      <w:tr w:rsidR="0031055C" w:rsidRPr="003A798E" w14:paraId="248C2EAF" w14:textId="77777777" w:rsidTr="0098239A">
        <w:trPr>
          <w:trHeight w:val="3502"/>
        </w:trPr>
        <w:tc>
          <w:tcPr>
            <w:tcW w:w="851" w:type="dxa"/>
            <w:vMerge/>
            <w:shd w:val="clear" w:color="auto" w:fill="00C1C7" w:themeFill="accent2"/>
          </w:tcPr>
          <w:p w14:paraId="576F82E5" w14:textId="77777777" w:rsidR="0031055C" w:rsidRPr="003A798E" w:rsidRDefault="0031055C" w:rsidP="00685C46">
            <w:pPr>
              <w:spacing w:line="480" w:lineRule="auto"/>
              <w:ind w:firstLine="720"/>
            </w:pPr>
          </w:p>
        </w:tc>
        <w:tc>
          <w:tcPr>
            <w:tcW w:w="8690" w:type="dxa"/>
            <w:tcBorders>
              <w:top w:val="single" w:sz="36" w:space="0" w:color="123869" w:themeColor="accent1"/>
              <w:bottom w:val="single" w:sz="36" w:space="0" w:color="123869" w:themeColor="accent1"/>
            </w:tcBorders>
            <w:shd w:val="clear" w:color="auto" w:fill="FFFFFF" w:themeFill="background1"/>
            <w:vAlign w:val="center"/>
          </w:tcPr>
          <w:p w14:paraId="6BFD6B9F" w14:textId="27387AFE" w:rsidR="0031055C" w:rsidRPr="0098239A" w:rsidRDefault="0098239A" w:rsidP="00685C46">
            <w:pPr>
              <w:pStyle w:val="Quote"/>
              <w:spacing w:line="480" w:lineRule="auto"/>
              <w:ind w:firstLine="720"/>
              <w:jc w:val="left"/>
              <w:rPr>
                <w:sz w:val="72"/>
                <w:szCs w:val="22"/>
              </w:rPr>
            </w:pPr>
            <w:r w:rsidRPr="0098239A">
              <w:rPr>
                <w:sz w:val="72"/>
                <w:szCs w:val="22"/>
              </w:rPr>
              <w:t>CONCLUSION AND RECOMMENDATIONS</w:t>
            </w:r>
          </w:p>
        </w:tc>
        <w:tc>
          <w:tcPr>
            <w:tcW w:w="967" w:type="dxa"/>
            <w:vMerge/>
            <w:shd w:val="clear" w:color="auto" w:fill="00C1C7" w:themeFill="accent2"/>
          </w:tcPr>
          <w:p w14:paraId="7416AA32" w14:textId="77777777" w:rsidR="0031055C" w:rsidRPr="003A798E" w:rsidRDefault="0031055C" w:rsidP="00685C46">
            <w:pPr>
              <w:spacing w:line="480" w:lineRule="auto"/>
              <w:ind w:firstLine="720"/>
            </w:pPr>
          </w:p>
        </w:tc>
      </w:tr>
      <w:tr w:rsidR="0031055C" w:rsidRPr="003A798E" w14:paraId="5680728F" w14:textId="77777777" w:rsidTr="0098239A">
        <w:trPr>
          <w:trHeight w:val="9648"/>
        </w:trPr>
        <w:tc>
          <w:tcPr>
            <w:tcW w:w="851" w:type="dxa"/>
            <w:vMerge/>
            <w:shd w:val="clear" w:color="auto" w:fill="00C1C7" w:themeFill="accent2"/>
          </w:tcPr>
          <w:p w14:paraId="30E7C66B" w14:textId="77777777" w:rsidR="0031055C" w:rsidRPr="003A798E" w:rsidRDefault="0031055C" w:rsidP="00685C46">
            <w:pPr>
              <w:spacing w:line="480" w:lineRule="auto"/>
              <w:ind w:firstLine="720"/>
            </w:pPr>
          </w:p>
        </w:tc>
        <w:tc>
          <w:tcPr>
            <w:tcW w:w="8690" w:type="dxa"/>
            <w:tcBorders>
              <w:top w:val="single" w:sz="36" w:space="0" w:color="123869" w:themeColor="accent1"/>
            </w:tcBorders>
            <w:shd w:val="clear" w:color="auto" w:fill="00C1C7" w:themeFill="accent2"/>
          </w:tcPr>
          <w:p w14:paraId="74C1B969" w14:textId="69A0A9B5" w:rsidR="00640768" w:rsidRPr="00640768" w:rsidRDefault="00640768" w:rsidP="00527B69">
            <w:pPr>
              <w:spacing w:before="100" w:beforeAutospacing="1" w:after="100" w:afterAutospacing="1" w:line="480" w:lineRule="auto"/>
              <w:ind w:firstLine="720"/>
              <w:rPr>
                <w:rFonts w:ascii="Times New Roman" w:eastAsia="Times New Roman" w:hAnsi="Times New Roman" w:cs="Times New Roman"/>
                <w:lang w:val="en-GB" w:eastAsia="en-GB"/>
              </w:rPr>
            </w:pPr>
            <w:r w:rsidRPr="00640768">
              <w:rPr>
                <w:rFonts w:ascii="Times New Roman" w:eastAsia="Times New Roman" w:hAnsi="Times New Roman" w:cs="Times New Roman"/>
                <w:lang w:val="en-GB" w:eastAsia="en-GB"/>
              </w:rPr>
              <w:t xml:space="preserve">In conclusion, this report has applied Baddeley and Hitch’s Working Memory Model to explain the failure of hand hygiene adherence among district nurses in </w:t>
            </w:r>
            <w:proofErr w:type="spellStart"/>
            <w:r w:rsidRPr="00640768">
              <w:rPr>
                <w:rFonts w:ascii="Times New Roman" w:eastAsia="Times New Roman" w:hAnsi="Times New Roman" w:cs="Times New Roman"/>
                <w:lang w:val="en-GB" w:eastAsia="en-GB"/>
              </w:rPr>
              <w:t>Glynafonshire</w:t>
            </w:r>
            <w:proofErr w:type="spellEnd"/>
            <w:r w:rsidRPr="00640768">
              <w:rPr>
                <w:rFonts w:ascii="Times New Roman" w:eastAsia="Times New Roman" w:hAnsi="Times New Roman" w:cs="Times New Roman"/>
                <w:lang w:val="en-GB" w:eastAsia="en-GB"/>
              </w:rPr>
              <w:t xml:space="preserve"> Health Board. Despite adequate training, competence, and experience, the case study demonstrates that increased workload, extended shifts, and staffing shortages likely contributed to cognitive overload and reduced executive control. From this perspective, the observed errors are best understood as performance breakdowns resulting from limitations in attentional capacity rather than deficits in knowledge or procedural understanding.</w:t>
            </w:r>
            <w:r w:rsidR="004B7EDB">
              <w:rPr>
                <w:rFonts w:ascii="Times New Roman" w:eastAsia="Times New Roman" w:hAnsi="Times New Roman" w:cs="Times New Roman"/>
                <w:lang w:val="en-GB" w:eastAsia="en-GB"/>
              </w:rPr>
              <w:t xml:space="preserve"> </w:t>
            </w:r>
            <w:r w:rsidRPr="00640768">
              <w:rPr>
                <w:rFonts w:ascii="Times New Roman" w:eastAsia="Times New Roman" w:hAnsi="Times New Roman" w:cs="Times New Roman"/>
                <w:lang w:val="en-GB" w:eastAsia="en-GB"/>
              </w:rPr>
              <w:t>The model provides a useful framework for explaining how fatigue and high cognitive demand can impair working memory processes, leading to slips, lapses, and failures in prospective memory. Empirical research on human error and cognitive workload supports this interpretation, highlighting that even highly trained professionals are vulnerable to performance degradation under sustained pressure.</w:t>
            </w:r>
            <w:r w:rsidR="004B7EDB">
              <w:rPr>
                <w:rFonts w:ascii="Times New Roman" w:eastAsia="Times New Roman" w:hAnsi="Times New Roman" w:cs="Times New Roman"/>
                <w:lang w:val="en-GB" w:eastAsia="en-GB"/>
              </w:rPr>
              <w:t xml:space="preserve"> </w:t>
            </w:r>
            <w:r w:rsidRPr="00640768">
              <w:rPr>
                <w:rFonts w:ascii="Times New Roman" w:eastAsia="Times New Roman" w:hAnsi="Times New Roman" w:cs="Times New Roman"/>
                <w:lang w:val="en-GB" w:eastAsia="en-GB"/>
              </w:rPr>
              <w:t>However, the Working Memory Model alone does not fully account for the complexity of the situation. Organisational and systemic factors, including chronic understaffing and workload distribution, likely played a significant role in creating the conditions under which cognitive overload occurred. Therefore, a purely cognitive explanation is insufficient without consideration of wider human factors influences.</w:t>
            </w:r>
            <w:r w:rsidR="00527B69">
              <w:rPr>
                <w:rFonts w:ascii="Times New Roman" w:eastAsia="Times New Roman" w:hAnsi="Times New Roman" w:cs="Times New Roman"/>
                <w:lang w:val="en-GB" w:eastAsia="en-GB"/>
              </w:rPr>
              <w:t xml:space="preserve"> </w:t>
            </w:r>
            <w:r w:rsidRPr="00640768">
              <w:rPr>
                <w:rFonts w:ascii="Times New Roman" w:eastAsia="Times New Roman" w:hAnsi="Times New Roman" w:cs="Times New Roman"/>
                <w:lang w:val="en-GB" w:eastAsia="en-GB"/>
              </w:rPr>
              <w:lastRenderedPageBreak/>
              <w:t>Based on this analysis, it is recommended that the Health Board implement a multi-level intervention strategy. At a cognitive level, procedures such as checklists, environmental cues, and digital reminders should be introduced to reduce working memory demands and support procedural consistency. At an organisational level, workload management strategies, including improved staffing ratios, shift regulation, and fatigue mitigation policies, should be implemented to reduce the likelihood of cognitive overload occurring in the first place.</w:t>
            </w:r>
            <w:r w:rsidR="00527B69">
              <w:rPr>
                <w:rFonts w:ascii="Times New Roman" w:eastAsia="Times New Roman" w:hAnsi="Times New Roman" w:cs="Times New Roman"/>
                <w:lang w:val="en-GB" w:eastAsia="en-GB"/>
              </w:rPr>
              <w:t xml:space="preserve"> </w:t>
            </w:r>
            <w:r w:rsidRPr="00640768">
              <w:rPr>
                <w:rFonts w:ascii="Times New Roman" w:eastAsia="Times New Roman" w:hAnsi="Times New Roman" w:cs="Times New Roman"/>
                <w:lang w:val="en-GB" w:eastAsia="en-GB"/>
              </w:rPr>
              <w:t>Overall, the most effective approach is one that combines cognitive psychology principles with systemic organisational reform. This integrated strategy is more likely to ensure sustained adherence to hand hygiene protocols and reduce the risk of future patient harm in high-demand community healthcare settings.</w:t>
            </w:r>
          </w:p>
          <w:p w14:paraId="5CA61FC3" w14:textId="5D868BB3" w:rsidR="0098239A" w:rsidRDefault="0098239A" w:rsidP="00685C46">
            <w:pPr>
              <w:spacing w:line="480" w:lineRule="auto"/>
              <w:ind w:firstLine="720"/>
            </w:pPr>
          </w:p>
          <w:p w14:paraId="46B3BE5A" w14:textId="77777777" w:rsidR="0031055C" w:rsidRPr="003A798E" w:rsidRDefault="0031055C" w:rsidP="00685C46">
            <w:pPr>
              <w:spacing w:line="480" w:lineRule="auto"/>
              <w:ind w:firstLine="720"/>
            </w:pPr>
          </w:p>
        </w:tc>
        <w:tc>
          <w:tcPr>
            <w:tcW w:w="967" w:type="dxa"/>
            <w:vMerge/>
            <w:shd w:val="clear" w:color="auto" w:fill="00C1C7" w:themeFill="accent2"/>
          </w:tcPr>
          <w:p w14:paraId="789A6779" w14:textId="77777777" w:rsidR="0031055C" w:rsidRPr="003A798E" w:rsidRDefault="0031055C" w:rsidP="00685C46">
            <w:pPr>
              <w:spacing w:line="480" w:lineRule="auto"/>
              <w:ind w:firstLine="720"/>
            </w:pPr>
          </w:p>
        </w:tc>
      </w:tr>
    </w:tbl>
    <w:p w14:paraId="7CD2BC04" w14:textId="77777777" w:rsidR="0098239A" w:rsidRDefault="0098239A"/>
    <w:p w14:paraId="4063F1AD" w14:textId="77777777" w:rsidR="006B2F4E" w:rsidRDefault="0098239A" w:rsidP="0098239A">
      <w:pPr>
        <w:pStyle w:val="Heading2"/>
        <w:jc w:val="center"/>
        <w:rPr>
          <w:noProof/>
          <w:lang w:eastAsia="en-AU"/>
        </w:rPr>
      </w:pPr>
      <w:r>
        <w:rPr>
          <w:noProof/>
          <w:lang w:eastAsia="en-AU"/>
        </w:rPr>
        <w:t>REFERENCE LIST</w:t>
      </w:r>
    </w:p>
    <w:p w14:paraId="61F4C25D" w14:textId="77777777" w:rsidR="006B2F4E" w:rsidRDefault="006B2F4E" w:rsidP="0098239A">
      <w:pPr>
        <w:pStyle w:val="Heading2"/>
        <w:jc w:val="center"/>
        <w:rPr>
          <w:noProof/>
          <w:lang w:eastAsia="en-AU"/>
        </w:rPr>
      </w:pPr>
    </w:p>
    <w:p w14:paraId="05D15742" w14:textId="77777777" w:rsidR="006B2F4E" w:rsidRDefault="006B2F4E" w:rsidP="006B2F4E">
      <w:pPr>
        <w:jc w:val="center"/>
        <w:rPr>
          <w:b/>
          <w:i/>
        </w:rPr>
      </w:pPr>
      <w:r w:rsidRPr="00310D2E">
        <w:rPr>
          <w:b/>
          <w:i/>
          <w:highlight w:val="yellow"/>
        </w:rPr>
        <w:t>Presented in standard APA format</w:t>
      </w:r>
    </w:p>
    <w:p w14:paraId="774A58A7" w14:textId="77777777" w:rsidR="00685C46" w:rsidRPr="00667F9C" w:rsidRDefault="00685C46" w:rsidP="006B2F4E">
      <w:pPr>
        <w:jc w:val="center"/>
        <w:rPr>
          <w:b/>
          <w:i/>
        </w:rPr>
      </w:pPr>
    </w:p>
    <w:p w14:paraId="4C830616" w14:textId="77777777" w:rsidR="004B7EDB" w:rsidRPr="004B7EDB" w:rsidRDefault="0098239A" w:rsidP="004B7EDB">
      <w:pPr>
        <w:pStyle w:val="isselectedend"/>
        <w:spacing w:line="480" w:lineRule="auto"/>
        <w:ind w:firstLine="720"/>
      </w:pPr>
      <w:r w:rsidRPr="003A798E">
        <w:rPr>
          <w:noProof/>
          <w:lang w:eastAsia="en-AU"/>
        </w:rPr>
        <w:t xml:space="preserve"> </w:t>
      </w:r>
      <w:r w:rsidR="004B7EDB" w:rsidRPr="004B7EDB">
        <w:t xml:space="preserve">Baddeley, A. D. (2000). The episodic buffer: A new component of working memory? </w:t>
      </w:r>
      <w:r w:rsidR="004B7EDB" w:rsidRPr="004B7EDB">
        <w:rPr>
          <w:i/>
          <w:iCs/>
        </w:rPr>
        <w:t>Trends in Cognitive Sciences, 4</w:t>
      </w:r>
      <w:r w:rsidR="004B7EDB" w:rsidRPr="004B7EDB">
        <w:t xml:space="preserve">(11), 417–423. </w:t>
      </w:r>
      <w:hyperlink r:id="rId9" w:history="1">
        <w:r w:rsidR="004B7EDB" w:rsidRPr="004B7EDB">
          <w:rPr>
            <w:color w:val="0000FF"/>
            <w:u w:val="single"/>
          </w:rPr>
          <w:t>https://doi.org/10.1016/S1364-6613(00)01538-2</w:t>
        </w:r>
      </w:hyperlink>
    </w:p>
    <w:p w14:paraId="598D5E3F" w14:textId="77777777" w:rsidR="004B7EDB" w:rsidRPr="004B7EDB" w:rsidRDefault="004B7EDB" w:rsidP="004B7EDB">
      <w:pPr>
        <w:spacing w:before="100" w:beforeAutospacing="1" w:after="100" w:afterAutospacing="1" w:line="480" w:lineRule="auto"/>
        <w:ind w:firstLine="720"/>
        <w:rPr>
          <w:rFonts w:ascii="Times New Roman" w:eastAsia="Times New Roman" w:hAnsi="Times New Roman" w:cs="Times New Roman"/>
          <w:lang w:val="en-GB" w:eastAsia="en-GB"/>
        </w:rPr>
      </w:pPr>
      <w:r w:rsidRPr="004B7EDB">
        <w:rPr>
          <w:rFonts w:ascii="Times New Roman" w:eastAsia="Times New Roman" w:hAnsi="Times New Roman" w:cs="Times New Roman"/>
          <w:lang w:val="en-GB" w:eastAsia="en-GB"/>
        </w:rPr>
        <w:t xml:space="preserve">Baddeley, A. D., &amp; Hitch, G. (1974). Working memory. In G. H. Bower (Ed.), </w:t>
      </w:r>
      <w:r w:rsidRPr="004B7EDB">
        <w:rPr>
          <w:rFonts w:ascii="Times New Roman" w:eastAsia="Times New Roman" w:hAnsi="Times New Roman" w:cs="Times New Roman"/>
          <w:i/>
          <w:iCs/>
          <w:lang w:val="en-GB" w:eastAsia="en-GB"/>
        </w:rPr>
        <w:t>The psychology of learning and motivation</w:t>
      </w:r>
      <w:r w:rsidRPr="004B7EDB">
        <w:rPr>
          <w:rFonts w:ascii="Times New Roman" w:eastAsia="Times New Roman" w:hAnsi="Times New Roman" w:cs="Times New Roman"/>
          <w:lang w:val="en-GB" w:eastAsia="en-GB"/>
        </w:rPr>
        <w:t xml:space="preserve"> (Vol. 8, pp. 47–89). Academic Press.</w:t>
      </w:r>
    </w:p>
    <w:p w14:paraId="1F657214" w14:textId="77777777" w:rsidR="004B7EDB" w:rsidRPr="004B7EDB" w:rsidRDefault="004B7EDB" w:rsidP="004B7EDB">
      <w:pPr>
        <w:spacing w:before="100" w:beforeAutospacing="1" w:after="100" w:afterAutospacing="1" w:line="480" w:lineRule="auto"/>
        <w:ind w:firstLine="720"/>
        <w:rPr>
          <w:rFonts w:ascii="Times New Roman" w:eastAsia="Times New Roman" w:hAnsi="Times New Roman" w:cs="Times New Roman"/>
          <w:lang w:val="en-GB" w:eastAsia="en-GB"/>
        </w:rPr>
      </w:pPr>
      <w:r w:rsidRPr="004B7EDB">
        <w:rPr>
          <w:rFonts w:ascii="Times New Roman" w:eastAsia="Times New Roman" w:hAnsi="Times New Roman" w:cs="Times New Roman"/>
          <w:lang w:val="en-GB" w:eastAsia="en-GB"/>
        </w:rPr>
        <w:lastRenderedPageBreak/>
        <w:t xml:space="preserve">Baddeley, A. D., Thomson, N., &amp; Buchanan, M. (1975). Word length and short-term memory. </w:t>
      </w:r>
      <w:r w:rsidRPr="004B7EDB">
        <w:rPr>
          <w:rFonts w:ascii="Times New Roman" w:eastAsia="Times New Roman" w:hAnsi="Times New Roman" w:cs="Times New Roman"/>
          <w:i/>
          <w:iCs/>
          <w:lang w:val="en-GB" w:eastAsia="en-GB"/>
        </w:rPr>
        <w:t xml:space="preserve">Journal of Verbal Learning and Verbal </w:t>
      </w:r>
      <w:proofErr w:type="spellStart"/>
      <w:r w:rsidRPr="004B7EDB">
        <w:rPr>
          <w:rFonts w:ascii="Times New Roman" w:eastAsia="Times New Roman" w:hAnsi="Times New Roman" w:cs="Times New Roman"/>
          <w:i/>
          <w:iCs/>
          <w:lang w:val="en-GB" w:eastAsia="en-GB"/>
        </w:rPr>
        <w:t>Behavior</w:t>
      </w:r>
      <w:proofErr w:type="spellEnd"/>
      <w:r w:rsidRPr="004B7EDB">
        <w:rPr>
          <w:rFonts w:ascii="Times New Roman" w:eastAsia="Times New Roman" w:hAnsi="Times New Roman" w:cs="Times New Roman"/>
          <w:i/>
          <w:iCs/>
          <w:lang w:val="en-GB" w:eastAsia="en-GB"/>
        </w:rPr>
        <w:t>, 14</w:t>
      </w:r>
      <w:r w:rsidRPr="004B7EDB">
        <w:rPr>
          <w:rFonts w:ascii="Times New Roman" w:eastAsia="Times New Roman" w:hAnsi="Times New Roman" w:cs="Times New Roman"/>
          <w:lang w:val="en-GB" w:eastAsia="en-GB"/>
        </w:rPr>
        <w:t xml:space="preserve">(6), 575–589. </w:t>
      </w:r>
      <w:hyperlink r:id="rId10" w:history="1">
        <w:r w:rsidRPr="004B7EDB">
          <w:rPr>
            <w:rFonts w:ascii="Times New Roman" w:eastAsia="Times New Roman" w:hAnsi="Times New Roman" w:cs="Times New Roman"/>
            <w:color w:val="0000FF"/>
            <w:u w:val="single"/>
            <w:lang w:val="en-GB" w:eastAsia="en-GB"/>
          </w:rPr>
          <w:t>https://doi.org/10.1016/S0022-5371(75)80045-4</w:t>
        </w:r>
      </w:hyperlink>
    </w:p>
    <w:p w14:paraId="11D61EEB" w14:textId="77777777" w:rsidR="004B7EDB" w:rsidRPr="004B7EDB" w:rsidRDefault="004B7EDB" w:rsidP="004B7EDB">
      <w:pPr>
        <w:spacing w:before="100" w:beforeAutospacing="1" w:after="100" w:afterAutospacing="1" w:line="480" w:lineRule="auto"/>
        <w:ind w:firstLine="720"/>
        <w:rPr>
          <w:rFonts w:ascii="Times New Roman" w:eastAsia="Times New Roman" w:hAnsi="Times New Roman" w:cs="Times New Roman"/>
          <w:lang w:val="en-GB" w:eastAsia="en-GB"/>
        </w:rPr>
      </w:pPr>
      <w:proofErr w:type="spellStart"/>
      <w:r w:rsidRPr="004B7EDB">
        <w:rPr>
          <w:rFonts w:ascii="Times New Roman" w:eastAsia="Times New Roman" w:hAnsi="Times New Roman" w:cs="Times New Roman"/>
          <w:lang w:val="en-GB" w:eastAsia="en-GB"/>
        </w:rPr>
        <w:t>Esmaily</w:t>
      </w:r>
      <w:proofErr w:type="spellEnd"/>
      <w:r w:rsidRPr="004B7EDB">
        <w:rPr>
          <w:rFonts w:ascii="Times New Roman" w:eastAsia="Times New Roman" w:hAnsi="Times New Roman" w:cs="Times New Roman"/>
          <w:lang w:val="en-GB" w:eastAsia="en-GB"/>
        </w:rPr>
        <w:t xml:space="preserve">, A., </w:t>
      </w:r>
      <w:proofErr w:type="spellStart"/>
      <w:r w:rsidRPr="004B7EDB">
        <w:rPr>
          <w:rFonts w:ascii="Times New Roman" w:eastAsia="Times New Roman" w:hAnsi="Times New Roman" w:cs="Times New Roman"/>
          <w:lang w:val="en-GB" w:eastAsia="en-GB"/>
        </w:rPr>
        <w:t>Jambarsang</w:t>
      </w:r>
      <w:proofErr w:type="spellEnd"/>
      <w:r w:rsidRPr="004B7EDB">
        <w:rPr>
          <w:rFonts w:ascii="Times New Roman" w:eastAsia="Times New Roman" w:hAnsi="Times New Roman" w:cs="Times New Roman"/>
          <w:lang w:val="en-GB" w:eastAsia="en-GB"/>
        </w:rPr>
        <w:t xml:space="preserve">, S., Mohammadian, F., &amp; </w:t>
      </w:r>
      <w:proofErr w:type="spellStart"/>
      <w:r w:rsidRPr="004B7EDB">
        <w:rPr>
          <w:rFonts w:ascii="Times New Roman" w:eastAsia="Times New Roman" w:hAnsi="Times New Roman" w:cs="Times New Roman"/>
          <w:lang w:val="en-GB" w:eastAsia="en-GB"/>
        </w:rPr>
        <w:t>Mehrparvar</w:t>
      </w:r>
      <w:proofErr w:type="spellEnd"/>
      <w:r w:rsidRPr="004B7EDB">
        <w:rPr>
          <w:rFonts w:ascii="Times New Roman" w:eastAsia="Times New Roman" w:hAnsi="Times New Roman" w:cs="Times New Roman"/>
          <w:lang w:val="en-GB" w:eastAsia="en-GB"/>
        </w:rPr>
        <w:t xml:space="preserve">, A. H. (2022). Effect of shift work on working memory, attention and response time in nurses. </w:t>
      </w:r>
      <w:r w:rsidRPr="004B7EDB">
        <w:rPr>
          <w:rFonts w:ascii="Times New Roman" w:eastAsia="Times New Roman" w:hAnsi="Times New Roman" w:cs="Times New Roman"/>
          <w:i/>
          <w:iCs/>
          <w:lang w:val="en-GB" w:eastAsia="en-GB"/>
        </w:rPr>
        <w:t>International Journal of Occupational Safety and Ergonomics, 28</w:t>
      </w:r>
      <w:r w:rsidRPr="004B7EDB">
        <w:rPr>
          <w:rFonts w:ascii="Times New Roman" w:eastAsia="Times New Roman" w:hAnsi="Times New Roman" w:cs="Times New Roman"/>
          <w:lang w:val="en-GB" w:eastAsia="en-GB"/>
        </w:rPr>
        <w:t xml:space="preserve">(2), 1085–1090. </w:t>
      </w:r>
      <w:hyperlink r:id="rId11" w:history="1">
        <w:r w:rsidRPr="004B7EDB">
          <w:rPr>
            <w:rFonts w:ascii="Times New Roman" w:eastAsia="Times New Roman" w:hAnsi="Times New Roman" w:cs="Times New Roman"/>
            <w:color w:val="0000FF"/>
            <w:u w:val="single"/>
            <w:lang w:val="en-GB" w:eastAsia="en-GB"/>
          </w:rPr>
          <w:t>https://doi.org/10.1080/10803548.2020.1863656</w:t>
        </w:r>
      </w:hyperlink>
    </w:p>
    <w:p w14:paraId="5E6CD2F1" w14:textId="77777777" w:rsidR="004B7EDB" w:rsidRPr="004B7EDB" w:rsidRDefault="004B7EDB" w:rsidP="004B7EDB">
      <w:pPr>
        <w:spacing w:before="100" w:beforeAutospacing="1" w:after="100" w:afterAutospacing="1" w:line="480" w:lineRule="auto"/>
        <w:ind w:firstLine="720"/>
        <w:rPr>
          <w:rFonts w:ascii="Times New Roman" w:eastAsia="Times New Roman" w:hAnsi="Times New Roman" w:cs="Times New Roman"/>
          <w:lang w:val="en-GB" w:eastAsia="en-GB"/>
        </w:rPr>
      </w:pPr>
      <w:r w:rsidRPr="004B7EDB">
        <w:rPr>
          <w:rFonts w:ascii="Times New Roman" w:eastAsia="Times New Roman" w:hAnsi="Times New Roman" w:cs="Times New Roman"/>
          <w:lang w:val="en-GB" w:eastAsia="en-GB"/>
        </w:rPr>
        <w:t xml:space="preserve">Hockey, G. R. J. (1997). Compensatory control in the regulation of human performance under stress and high workload: A cognitive-energetical framework. </w:t>
      </w:r>
      <w:r w:rsidRPr="004B7EDB">
        <w:rPr>
          <w:rFonts w:ascii="Times New Roman" w:eastAsia="Times New Roman" w:hAnsi="Times New Roman" w:cs="Times New Roman"/>
          <w:i/>
          <w:iCs/>
          <w:lang w:val="en-GB" w:eastAsia="en-GB"/>
        </w:rPr>
        <w:t>Biological Psychology, 45</w:t>
      </w:r>
      <w:r w:rsidRPr="004B7EDB">
        <w:rPr>
          <w:rFonts w:ascii="Times New Roman" w:eastAsia="Times New Roman" w:hAnsi="Times New Roman" w:cs="Times New Roman"/>
          <w:lang w:val="en-GB" w:eastAsia="en-GB"/>
        </w:rPr>
        <w:t xml:space="preserve">(1–3), 73–93. </w:t>
      </w:r>
      <w:hyperlink r:id="rId12" w:history="1">
        <w:r w:rsidRPr="004B7EDB">
          <w:rPr>
            <w:rFonts w:ascii="Times New Roman" w:eastAsia="Times New Roman" w:hAnsi="Times New Roman" w:cs="Times New Roman"/>
            <w:color w:val="0000FF"/>
            <w:u w:val="single"/>
            <w:lang w:val="en-GB" w:eastAsia="en-GB"/>
          </w:rPr>
          <w:t>https://doi.org/10.1016/S0301-0511(96)05223-4</w:t>
        </w:r>
      </w:hyperlink>
    </w:p>
    <w:p w14:paraId="0FE562E3" w14:textId="77777777" w:rsidR="004B7EDB" w:rsidRPr="004B7EDB" w:rsidRDefault="004B7EDB" w:rsidP="004B7EDB">
      <w:pPr>
        <w:spacing w:before="100" w:beforeAutospacing="1" w:after="100" w:afterAutospacing="1" w:line="480" w:lineRule="auto"/>
        <w:ind w:firstLine="720"/>
        <w:rPr>
          <w:rFonts w:ascii="Times New Roman" w:eastAsia="Times New Roman" w:hAnsi="Times New Roman" w:cs="Times New Roman"/>
          <w:lang w:val="en-GB" w:eastAsia="en-GB"/>
        </w:rPr>
      </w:pPr>
      <w:r w:rsidRPr="004B7EDB">
        <w:rPr>
          <w:rFonts w:ascii="Times New Roman" w:eastAsia="Times New Roman" w:hAnsi="Times New Roman" w:cs="Times New Roman"/>
          <w:lang w:val="en-GB" w:eastAsia="en-GB"/>
        </w:rPr>
        <w:t xml:space="preserve">Iversen, A.-M., Hansen, M. B., &amp; Ellermann-Eriksen, S. (2023). Effects of data-driven feedback on hand hygiene compliance in clinical practice. </w:t>
      </w:r>
      <w:r w:rsidRPr="004B7EDB">
        <w:rPr>
          <w:rFonts w:ascii="Times New Roman" w:eastAsia="Times New Roman" w:hAnsi="Times New Roman" w:cs="Times New Roman"/>
          <w:i/>
          <w:iCs/>
          <w:lang w:val="en-GB" w:eastAsia="en-GB"/>
        </w:rPr>
        <w:t>Infection Prevention in Practice, 5</w:t>
      </w:r>
      <w:r w:rsidRPr="004B7EDB">
        <w:rPr>
          <w:rFonts w:ascii="Times New Roman" w:eastAsia="Times New Roman" w:hAnsi="Times New Roman" w:cs="Times New Roman"/>
          <w:lang w:val="en-GB" w:eastAsia="en-GB"/>
        </w:rPr>
        <w:t xml:space="preserve">(4), 100321. </w:t>
      </w:r>
      <w:hyperlink r:id="rId13" w:history="1">
        <w:r w:rsidRPr="004B7EDB">
          <w:rPr>
            <w:rFonts w:ascii="Times New Roman" w:eastAsia="Times New Roman" w:hAnsi="Times New Roman" w:cs="Times New Roman"/>
            <w:color w:val="0000FF"/>
            <w:u w:val="single"/>
            <w:lang w:val="en-GB" w:eastAsia="en-GB"/>
          </w:rPr>
          <w:t>https://doi.org/10.1016/j.infpip.2023.100321</w:t>
        </w:r>
      </w:hyperlink>
    </w:p>
    <w:p w14:paraId="6E0F5130" w14:textId="77777777" w:rsidR="004B7EDB" w:rsidRPr="004B7EDB" w:rsidRDefault="004B7EDB" w:rsidP="004B7EDB">
      <w:pPr>
        <w:spacing w:before="100" w:beforeAutospacing="1" w:after="100" w:afterAutospacing="1" w:line="480" w:lineRule="auto"/>
        <w:ind w:firstLine="720"/>
        <w:rPr>
          <w:rFonts w:ascii="Times New Roman" w:eastAsia="Times New Roman" w:hAnsi="Times New Roman" w:cs="Times New Roman"/>
          <w:lang w:val="en-GB" w:eastAsia="en-GB"/>
        </w:rPr>
      </w:pPr>
      <w:r w:rsidRPr="004B7EDB">
        <w:rPr>
          <w:rFonts w:ascii="Times New Roman" w:eastAsia="Times New Roman" w:hAnsi="Times New Roman" w:cs="Times New Roman"/>
          <w:lang w:val="en-GB" w:eastAsia="en-GB"/>
        </w:rPr>
        <w:t xml:space="preserve">Reason, J. (1990). </w:t>
      </w:r>
      <w:r w:rsidRPr="004B7EDB">
        <w:rPr>
          <w:rFonts w:ascii="Times New Roman" w:eastAsia="Times New Roman" w:hAnsi="Times New Roman" w:cs="Times New Roman"/>
          <w:i/>
          <w:iCs/>
          <w:lang w:val="en-GB" w:eastAsia="en-GB"/>
        </w:rPr>
        <w:t>Human error</w:t>
      </w:r>
      <w:r w:rsidRPr="004B7EDB">
        <w:rPr>
          <w:rFonts w:ascii="Times New Roman" w:eastAsia="Times New Roman" w:hAnsi="Times New Roman" w:cs="Times New Roman"/>
          <w:lang w:val="en-GB" w:eastAsia="en-GB"/>
        </w:rPr>
        <w:t>. Cambridge University Press.</w:t>
      </w:r>
    </w:p>
    <w:p w14:paraId="5CAA9D84" w14:textId="77777777" w:rsidR="004B7EDB" w:rsidRPr="004B7EDB" w:rsidRDefault="004B7EDB" w:rsidP="004B7EDB">
      <w:pPr>
        <w:spacing w:before="100" w:beforeAutospacing="1" w:after="100" w:afterAutospacing="1" w:line="480" w:lineRule="auto"/>
        <w:ind w:firstLine="720"/>
        <w:rPr>
          <w:rFonts w:ascii="Times New Roman" w:eastAsia="Times New Roman" w:hAnsi="Times New Roman" w:cs="Times New Roman"/>
          <w:lang w:val="en-GB" w:eastAsia="en-GB"/>
        </w:rPr>
      </w:pPr>
      <w:r w:rsidRPr="004B7EDB">
        <w:rPr>
          <w:rFonts w:ascii="Times New Roman" w:eastAsia="Times New Roman" w:hAnsi="Times New Roman" w:cs="Times New Roman"/>
          <w:lang w:val="en-GB" w:eastAsia="en-GB"/>
        </w:rPr>
        <w:t xml:space="preserve">Shan, Y., Shang, J., Yan, Y., &amp; Ye, X. (2023). Workflow interruption and nurses’ mental workload in clinical tasks. </w:t>
      </w:r>
      <w:r w:rsidRPr="004B7EDB">
        <w:rPr>
          <w:rFonts w:ascii="Times New Roman" w:eastAsia="Times New Roman" w:hAnsi="Times New Roman" w:cs="Times New Roman"/>
          <w:i/>
          <w:iCs/>
          <w:lang w:val="en-GB" w:eastAsia="en-GB"/>
        </w:rPr>
        <w:t>BMC Nursing, 22</w:t>
      </w:r>
      <w:r w:rsidRPr="004B7EDB">
        <w:rPr>
          <w:rFonts w:ascii="Times New Roman" w:eastAsia="Times New Roman" w:hAnsi="Times New Roman" w:cs="Times New Roman"/>
          <w:lang w:val="en-GB" w:eastAsia="en-GB"/>
        </w:rPr>
        <w:t xml:space="preserve">, 63. </w:t>
      </w:r>
      <w:hyperlink r:id="rId14" w:history="1">
        <w:r w:rsidRPr="004B7EDB">
          <w:rPr>
            <w:rFonts w:ascii="Times New Roman" w:eastAsia="Times New Roman" w:hAnsi="Times New Roman" w:cs="Times New Roman"/>
            <w:color w:val="0000FF"/>
            <w:u w:val="single"/>
            <w:lang w:val="en-GB" w:eastAsia="en-GB"/>
          </w:rPr>
          <w:t>https://doi.org/10.1186/s12912-023-01209-9</w:t>
        </w:r>
      </w:hyperlink>
    </w:p>
    <w:p w14:paraId="1869AD31" w14:textId="77777777" w:rsidR="004B7EDB" w:rsidRPr="004B7EDB" w:rsidRDefault="004B7EDB" w:rsidP="004B7EDB">
      <w:pPr>
        <w:spacing w:before="100" w:beforeAutospacing="1" w:after="100" w:afterAutospacing="1" w:line="480" w:lineRule="auto"/>
        <w:ind w:firstLine="720"/>
        <w:rPr>
          <w:rFonts w:ascii="Times New Roman" w:eastAsia="Times New Roman" w:hAnsi="Times New Roman" w:cs="Times New Roman"/>
          <w:lang w:val="en-GB" w:eastAsia="en-GB"/>
        </w:rPr>
      </w:pPr>
      <w:r w:rsidRPr="004B7EDB">
        <w:rPr>
          <w:rFonts w:ascii="Times New Roman" w:eastAsia="Times New Roman" w:hAnsi="Times New Roman" w:cs="Times New Roman"/>
          <w:lang w:val="en-GB" w:eastAsia="en-GB"/>
        </w:rPr>
        <w:t xml:space="preserve">Tabatabaee, S. S., </w:t>
      </w:r>
      <w:proofErr w:type="spellStart"/>
      <w:r w:rsidRPr="004B7EDB">
        <w:rPr>
          <w:rFonts w:ascii="Times New Roman" w:eastAsia="Times New Roman" w:hAnsi="Times New Roman" w:cs="Times New Roman"/>
          <w:lang w:val="en-GB" w:eastAsia="en-GB"/>
        </w:rPr>
        <w:t>Jambarsang</w:t>
      </w:r>
      <w:proofErr w:type="spellEnd"/>
      <w:r w:rsidRPr="004B7EDB">
        <w:rPr>
          <w:rFonts w:ascii="Times New Roman" w:eastAsia="Times New Roman" w:hAnsi="Times New Roman" w:cs="Times New Roman"/>
          <w:lang w:val="en-GB" w:eastAsia="en-GB"/>
        </w:rPr>
        <w:t xml:space="preserve">, S., &amp; Keshmiri, F. (2024). Cognitive load theory in nursing education and performance. </w:t>
      </w:r>
      <w:r w:rsidRPr="004B7EDB">
        <w:rPr>
          <w:rFonts w:ascii="Times New Roman" w:eastAsia="Times New Roman" w:hAnsi="Times New Roman" w:cs="Times New Roman"/>
          <w:i/>
          <w:iCs/>
          <w:lang w:val="en-GB" w:eastAsia="en-GB"/>
        </w:rPr>
        <w:t>BMC Medical Education, 24</w:t>
      </w:r>
      <w:r w:rsidRPr="004B7EDB">
        <w:rPr>
          <w:rFonts w:ascii="Times New Roman" w:eastAsia="Times New Roman" w:hAnsi="Times New Roman" w:cs="Times New Roman"/>
          <w:lang w:val="en-GB" w:eastAsia="en-GB"/>
        </w:rPr>
        <w:t xml:space="preserve">, 678. </w:t>
      </w:r>
      <w:hyperlink r:id="rId15" w:history="1">
        <w:r w:rsidRPr="004B7EDB">
          <w:rPr>
            <w:rFonts w:ascii="Times New Roman" w:eastAsia="Times New Roman" w:hAnsi="Times New Roman" w:cs="Times New Roman"/>
            <w:color w:val="0000FF"/>
            <w:u w:val="single"/>
            <w:lang w:val="en-GB" w:eastAsia="en-GB"/>
          </w:rPr>
          <w:t>https://doi.org/10.1186/s12909-024-05664-z</w:t>
        </w:r>
      </w:hyperlink>
    </w:p>
    <w:p w14:paraId="2925FB48" w14:textId="77777777" w:rsidR="004B7EDB" w:rsidRPr="004B7EDB" w:rsidRDefault="004B7EDB" w:rsidP="004B7EDB">
      <w:pPr>
        <w:spacing w:before="100" w:beforeAutospacing="1" w:after="100" w:afterAutospacing="1" w:line="480" w:lineRule="auto"/>
        <w:ind w:firstLine="720"/>
        <w:rPr>
          <w:rFonts w:ascii="Times New Roman" w:eastAsia="Times New Roman" w:hAnsi="Times New Roman" w:cs="Times New Roman"/>
          <w:lang w:val="en-GB" w:eastAsia="en-GB"/>
        </w:rPr>
      </w:pPr>
      <w:r w:rsidRPr="004B7EDB">
        <w:rPr>
          <w:rFonts w:ascii="Times New Roman" w:eastAsia="Times New Roman" w:hAnsi="Times New Roman" w:cs="Times New Roman"/>
          <w:lang w:val="en-GB" w:eastAsia="en-GB"/>
        </w:rPr>
        <w:t xml:space="preserve">Zhang, Y., Jia, M., Li, M., Wang, J., Hu, X., &amp; Chen, T. (2024). Cognitive performance under extreme workload conditions: A </w:t>
      </w:r>
      <w:proofErr w:type="spellStart"/>
      <w:r w:rsidRPr="004B7EDB">
        <w:rPr>
          <w:rFonts w:ascii="Times New Roman" w:eastAsia="Times New Roman" w:hAnsi="Times New Roman" w:cs="Times New Roman"/>
          <w:lang w:val="en-GB" w:eastAsia="en-GB"/>
        </w:rPr>
        <w:t>neuroergonomics</w:t>
      </w:r>
      <w:proofErr w:type="spellEnd"/>
      <w:r w:rsidRPr="004B7EDB">
        <w:rPr>
          <w:rFonts w:ascii="Times New Roman" w:eastAsia="Times New Roman" w:hAnsi="Times New Roman" w:cs="Times New Roman"/>
          <w:lang w:val="en-GB" w:eastAsia="en-GB"/>
        </w:rPr>
        <w:t xml:space="preserve"> perspective. </w:t>
      </w:r>
      <w:proofErr w:type="spellStart"/>
      <w:r w:rsidRPr="004B7EDB">
        <w:rPr>
          <w:rFonts w:ascii="Times New Roman" w:eastAsia="Times New Roman" w:hAnsi="Times New Roman" w:cs="Times New Roman"/>
          <w:i/>
          <w:iCs/>
          <w:lang w:val="en-GB" w:eastAsia="en-GB"/>
        </w:rPr>
        <w:t>arXiv</w:t>
      </w:r>
      <w:proofErr w:type="spellEnd"/>
      <w:r w:rsidRPr="004B7EDB">
        <w:rPr>
          <w:rFonts w:ascii="Times New Roman" w:eastAsia="Times New Roman" w:hAnsi="Times New Roman" w:cs="Times New Roman"/>
          <w:lang w:val="en-GB" w:eastAsia="en-GB"/>
        </w:rPr>
        <w:t xml:space="preserve">. </w:t>
      </w:r>
      <w:hyperlink r:id="rId16" w:history="1">
        <w:r w:rsidRPr="004B7EDB">
          <w:rPr>
            <w:rFonts w:ascii="Times New Roman" w:eastAsia="Times New Roman" w:hAnsi="Times New Roman" w:cs="Times New Roman"/>
            <w:color w:val="0000FF"/>
            <w:u w:val="single"/>
            <w:lang w:val="en-GB" w:eastAsia="en-GB"/>
          </w:rPr>
          <w:t>https://arxiv.org/abs/2403.00020</w:t>
        </w:r>
      </w:hyperlink>
    </w:p>
    <w:p w14:paraId="18B7BD7B" w14:textId="3125C1C3" w:rsidR="00A81248" w:rsidRPr="003A798E" w:rsidRDefault="00C66528" w:rsidP="004B7EDB">
      <w:pPr>
        <w:pStyle w:val="NormalWeb"/>
        <w:spacing w:line="480" w:lineRule="auto"/>
        <w:ind w:firstLine="720"/>
      </w:pPr>
      <w:r w:rsidRPr="003A798E">
        <w:rPr>
          <w:noProof/>
          <w:lang w:eastAsia="en-AU"/>
        </w:rPr>
        <mc:AlternateContent>
          <mc:Choice Requires="wps">
            <w:drawing>
              <wp:anchor distT="0" distB="0" distL="114300" distR="114300" simplePos="0" relativeHeight="251661312" behindDoc="1" locked="0" layoutInCell="1" allowOverlap="1" wp14:anchorId="6598AA6A" wp14:editId="17DBFB11">
                <wp:simplePos x="0" y="0"/>
                <wp:positionH relativeFrom="column">
                  <wp:posOffset>-433449</wp:posOffset>
                </wp:positionH>
                <wp:positionV relativeFrom="paragraph">
                  <wp:posOffset>-8979487</wp:posOffset>
                </wp:positionV>
                <wp:extent cx="7771130" cy="11210307"/>
                <wp:effectExtent l="0" t="0" r="1270" b="0"/>
                <wp:wrapNone/>
                <wp:docPr id="23"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1130" cy="11210307"/>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a:graphicData>
                </a:graphic>
                <wp14:sizeRelV relativeFrom="margin">
                  <wp14:pctHeight>0</wp14:pctHeight>
                </wp14:sizeRelV>
              </wp:anchor>
            </w:drawing>
          </mc:Choice>
          <mc:Fallback>
            <w:pict>
              <v:shape w14:anchorId="4F0C7AA3" id="Shape" o:spid="_x0000_s1026" alt="&quot;&quot;" style="position:absolute;margin-left:-34.15pt;margin-top:-707.05pt;width:611.9pt;height:882.7pt;z-index:-2516551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" path="m,14678r,6922l21600,3032,21600,,17075,,,14678xe" fillcolor="#123869 [3204]" stroked="f" strokeweight="1pt">
                <v:stroke miterlimit="4" joinstyle="miter"/>
                <v:path arrowok="t" o:extrusionok="f" o:connecttype="custom" o:connectlocs="3885565,5605154;3885565,5605154;3885565,5605154;3885565,5605154" o:connectangles="0,90,180,270"/>
              </v:shape>
            </w:pict>
          </mc:Fallback>
        </mc:AlternateContent>
      </w:r>
    </w:p>
    <w:p w14:paraId="30E15D71" w14:textId="77777777" w:rsidR="00685C46" w:rsidRPr="003A798E" w:rsidRDefault="00685C46" w:rsidP="00685C46">
      <w:pPr>
        <w:spacing w:line="480" w:lineRule="auto"/>
        <w:ind w:firstLine="720"/>
      </w:pPr>
    </w:p>
    <w:sectPr w:rsidR="00685C46" w:rsidRPr="003A798E" w:rsidSect="00A24793">
      <w:footerReference w:type="even" r:id="rId17"/>
      <w:footerReference w:type="default" r:id="rId18"/>
      <w:pgSz w:w="12240" w:h="15840" w:code="1"/>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CDEBB0" w14:textId="77777777" w:rsidR="00172EFE" w:rsidRDefault="00172EFE" w:rsidP="001205A1">
      <w:r>
        <w:separator/>
      </w:r>
    </w:p>
  </w:endnote>
  <w:endnote w:type="continuationSeparator" w:id="0">
    <w:p w14:paraId="19793DA7" w14:textId="77777777" w:rsidR="00172EFE" w:rsidRDefault="00172EFE"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SimHei">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97884697"/>
      <w:docPartObj>
        <w:docPartGallery w:val="Page Numbers (Bottom of Page)"/>
        <w:docPartUnique/>
      </w:docPartObj>
    </w:sdtPr>
    <w:sdtEndPr>
      <w:rPr>
        <w:rStyle w:val="PageNumber"/>
      </w:rPr>
    </w:sdtEndPr>
    <w:sdtContent>
      <w:p w14:paraId="198F700F"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B0740">
          <w:rPr>
            <w:rStyle w:val="PageNumber"/>
            <w:noProof/>
          </w:rPr>
          <w:t>2</w:t>
        </w:r>
        <w:r>
          <w:rPr>
            <w:rStyle w:val="PageNumber"/>
          </w:rPr>
          <w:fldChar w:fldCharType="end"/>
        </w:r>
      </w:p>
    </w:sdtContent>
  </w:sdt>
  <w:p w14:paraId="2ECA9D28"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41358343"/>
      <w:docPartObj>
        <w:docPartGallery w:val="Page Numbers (Bottom of Page)"/>
        <w:docPartUnique/>
      </w:docPartObj>
    </w:sdtPr>
    <w:sdtEndPr>
      <w:rPr>
        <w:rStyle w:val="PageNumber"/>
      </w:rPr>
    </w:sdtEndPr>
    <w:sdtContent>
      <w:p w14:paraId="31DC9860"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C66528">
          <w:rPr>
            <w:rStyle w:val="PageNumber"/>
            <w:noProof/>
          </w:rPr>
          <w:t>4</w:t>
        </w:r>
        <w:r>
          <w:rPr>
            <w:rStyle w:val="PageNumber"/>
          </w:rPr>
          <w:fldChar w:fldCharType="end"/>
        </w:r>
      </w:p>
    </w:sdtContent>
  </w:sdt>
  <w:tbl>
    <w:tblPr>
      <w:tblW w:w="0" w:type="auto"/>
      <w:tblLayout w:type="fixed"/>
      <w:tblCellMar>
        <w:left w:w="0" w:type="dxa"/>
        <w:right w:w="0" w:type="dxa"/>
      </w:tblCellMar>
      <w:tblLook w:val="0600" w:firstRow="0" w:lastRow="0" w:firstColumn="0" w:lastColumn="0" w:noHBand="1" w:noVBand="1"/>
    </w:tblPr>
    <w:tblGrid>
      <w:gridCol w:w="5395"/>
      <w:gridCol w:w="5395"/>
    </w:tblGrid>
    <w:tr w:rsidR="001205A1" w14:paraId="21EEB6C5" w14:textId="77777777" w:rsidTr="005F4F46">
      <w:tc>
        <w:tcPr>
          <w:tcW w:w="5395" w:type="dxa"/>
        </w:tcPr>
        <w:p w14:paraId="76CE729D" w14:textId="63E679B3" w:rsidR="001205A1" w:rsidRPr="001205A1" w:rsidRDefault="000A2B5E" w:rsidP="00C66528">
          <w:pPr>
            <w:pStyle w:val="Footer"/>
          </w:pPr>
          <w:r>
            <w:rPr>
              <w:color w:val="7F7F7F" w:themeColor="text1" w:themeTint="80"/>
            </w:rPr>
            <w:t>CASE REPORT</w:t>
          </w:r>
        </w:p>
      </w:tc>
      <w:tc>
        <w:tcPr>
          <w:tcW w:w="5395" w:type="dxa"/>
        </w:tcPr>
        <w:p w14:paraId="690FE5C5" w14:textId="77777777" w:rsidR="001205A1" w:rsidRPr="001205A1" w:rsidRDefault="001205A1" w:rsidP="001205A1">
          <w:pPr>
            <w:pStyle w:val="Footer"/>
          </w:pPr>
          <w:r w:rsidRPr="001205A1">
            <w:t xml:space="preserve">   </w:t>
          </w:r>
        </w:p>
      </w:tc>
    </w:tr>
  </w:tbl>
  <w:p w14:paraId="5DE6753D" w14:textId="77777777" w:rsidR="001205A1" w:rsidRDefault="001205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3C6D5C" w14:textId="77777777" w:rsidR="00172EFE" w:rsidRDefault="00172EFE" w:rsidP="001205A1">
      <w:r>
        <w:separator/>
      </w:r>
    </w:p>
  </w:footnote>
  <w:footnote w:type="continuationSeparator" w:id="0">
    <w:p w14:paraId="58801CFA" w14:textId="77777777" w:rsidR="00172EFE" w:rsidRDefault="00172EFE" w:rsidP="001205A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4F9A"/>
    <w:rsid w:val="000A2B5E"/>
    <w:rsid w:val="000B0A4E"/>
    <w:rsid w:val="000C4ED1"/>
    <w:rsid w:val="000D48A8"/>
    <w:rsid w:val="000D5641"/>
    <w:rsid w:val="000E131D"/>
    <w:rsid w:val="000F0CE7"/>
    <w:rsid w:val="001205A1"/>
    <w:rsid w:val="001602CC"/>
    <w:rsid w:val="00172EFE"/>
    <w:rsid w:val="00190FA9"/>
    <w:rsid w:val="001A5D89"/>
    <w:rsid w:val="00224199"/>
    <w:rsid w:val="0027254B"/>
    <w:rsid w:val="002803FF"/>
    <w:rsid w:val="002877E8"/>
    <w:rsid w:val="002E7C4E"/>
    <w:rsid w:val="0031055C"/>
    <w:rsid w:val="0034143E"/>
    <w:rsid w:val="00356039"/>
    <w:rsid w:val="00371EE1"/>
    <w:rsid w:val="00387389"/>
    <w:rsid w:val="003A798E"/>
    <w:rsid w:val="003C674A"/>
    <w:rsid w:val="00420943"/>
    <w:rsid w:val="00425A99"/>
    <w:rsid w:val="00435ACD"/>
    <w:rsid w:val="00450684"/>
    <w:rsid w:val="00467CF6"/>
    <w:rsid w:val="004B7EDB"/>
    <w:rsid w:val="005228C0"/>
    <w:rsid w:val="00527B69"/>
    <w:rsid w:val="00540AEE"/>
    <w:rsid w:val="005D3BDB"/>
    <w:rsid w:val="005E6B25"/>
    <w:rsid w:val="005F4F46"/>
    <w:rsid w:val="00605AF1"/>
    <w:rsid w:val="00640768"/>
    <w:rsid w:val="006709F5"/>
    <w:rsid w:val="00684C8B"/>
    <w:rsid w:val="00685C46"/>
    <w:rsid w:val="00695A86"/>
    <w:rsid w:val="006B2F4E"/>
    <w:rsid w:val="006B7872"/>
    <w:rsid w:val="006C60E6"/>
    <w:rsid w:val="00766C02"/>
    <w:rsid w:val="007A5B4E"/>
    <w:rsid w:val="007B0740"/>
    <w:rsid w:val="007C1BAB"/>
    <w:rsid w:val="0087034A"/>
    <w:rsid w:val="00871546"/>
    <w:rsid w:val="00871889"/>
    <w:rsid w:val="008B1CF6"/>
    <w:rsid w:val="00913380"/>
    <w:rsid w:val="0098239A"/>
    <w:rsid w:val="009B4F9A"/>
    <w:rsid w:val="00A15CF7"/>
    <w:rsid w:val="00A24793"/>
    <w:rsid w:val="00A65495"/>
    <w:rsid w:val="00A81248"/>
    <w:rsid w:val="00AB1151"/>
    <w:rsid w:val="00B25DF4"/>
    <w:rsid w:val="00BC0C2B"/>
    <w:rsid w:val="00BE3FF4"/>
    <w:rsid w:val="00C13CE0"/>
    <w:rsid w:val="00C66528"/>
    <w:rsid w:val="00C915F0"/>
    <w:rsid w:val="00D720ED"/>
    <w:rsid w:val="00E23BE2"/>
    <w:rsid w:val="00E904C6"/>
    <w:rsid w:val="00E90514"/>
    <w:rsid w:val="00ED2DC4"/>
    <w:rsid w:val="00F00899"/>
    <w:rsid w:val="00F21281"/>
    <w:rsid w:val="00F72E3E"/>
    <w:rsid w:val="00F95970"/>
    <w:rsid w:val="00FA38A4"/>
    <w:rsid w:val="00FB65B8"/>
    <w:rsid w:val="00FC49AE"/>
    <w:rsid w:val="00FD0AE1"/>
    <w:rsid w:val="00FD2FC3"/>
    <w:rsid w:val="00FF299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79D562"/>
  <w15:chartTrackingRefBased/>
  <w15:docId w15:val="{9277AA01-30C0-4A88-817D-864A6D758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customStyle="1" w:styleId="isselectedend">
    <w:name w:val="isselectedend"/>
    <w:basedOn w:val="Normal"/>
    <w:rsid w:val="005D3BDB"/>
    <w:pPr>
      <w:spacing w:before="100" w:beforeAutospacing="1" w:after="100" w:afterAutospacing="1"/>
    </w:pPr>
    <w:rPr>
      <w:rFonts w:ascii="Times New Roman" w:eastAsia="Times New Roman" w:hAnsi="Times New Roman" w:cs="Times New Roman"/>
      <w:lang w:val="en-GB" w:eastAsia="en-GB"/>
    </w:rPr>
  </w:style>
  <w:style w:type="paragraph" w:styleId="NormalWeb">
    <w:name w:val="Normal (Web)"/>
    <w:basedOn w:val="Normal"/>
    <w:uiPriority w:val="99"/>
    <w:unhideWhenUsed/>
    <w:rsid w:val="005D3BDB"/>
    <w:pPr>
      <w:spacing w:before="100" w:beforeAutospacing="1" w:after="100" w:afterAutospacing="1"/>
    </w:pPr>
    <w:rPr>
      <w:rFonts w:ascii="Times New Roman" w:eastAsia="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016/j.infpip.2023.100321" TargetMode="External"/><Relationship Id="rId18"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doi.org/10.1016/S0301-0511(96)05223-4"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arxiv.org/abs/2403.00020"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80/10803548.2020.1863656" TargetMode="External"/><Relationship Id="rId5" Type="http://schemas.openxmlformats.org/officeDocument/2006/relationships/settings" Target="settings.xml"/><Relationship Id="rId15" Type="http://schemas.openxmlformats.org/officeDocument/2006/relationships/hyperlink" Target="https://doi.org/10.1186/s12909-024-05664-z" TargetMode="External"/><Relationship Id="rId10" Type="http://schemas.openxmlformats.org/officeDocument/2006/relationships/hyperlink" Target="https://doi.org/10.1016/S0022-5371(75)80045-4"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doi.org/10.1016/S1364-6613(00)01538-2" TargetMode="External"/><Relationship Id="rId14" Type="http://schemas.openxmlformats.org/officeDocument/2006/relationships/hyperlink" Target="https://doi.org/10.1186/s12912-023-01209-9"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du-kw\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2.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507D20CB-E94B-44E8-97C3-44BC9C1AF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Jazzy student report.dotx</Template>
  <TotalTime>0</TotalTime>
  <Pages>16</Pages>
  <Words>3221</Words>
  <Characters>18365</Characters>
  <Application>Microsoft Office Word</Application>
  <DocSecurity>0</DocSecurity>
  <Lines>153</Lines>
  <Paragraphs>43</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    REFERENCE LIST /</vt:lpstr>
    </vt:vector>
  </TitlesOfParts>
  <Company/>
  <LinksUpToDate>false</LinksUpToDate>
  <CharactersWithSpaces>21543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jones</dc:creator>
  <cp:keywords/>
  <dc:description/>
  <cp:lastModifiedBy>kayleigh jones</cp:lastModifiedBy>
  <cp:revision>25</cp:revision>
  <dcterms:created xsi:type="dcterms:W3CDTF">2026-05-18T18:11:00Z</dcterms:created>
  <dcterms:modified xsi:type="dcterms:W3CDTF">2026-05-18T18:49:00Z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GrammarlyDocumentId">
    <vt:lpwstr>f0e1641d-a822-465b-878c-e67b035c0a8c</vt:lpwstr>
  </property>
</Properties>
</file>