
<file path=[Content_Types].xml><?xml version="1.0" encoding="utf-8"?>
<Types xmlns="http://schemas.openxmlformats.org/package/2006/content-types"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95992" w:rsidRPr="008F793C" w:rsidRDefault="00795992">
      <w:pPr>
        <w:rPr>
          <w:rFonts w:ascii="Arial" w:hAnsi="Arial" w:cs="Arial"/>
          <w:b/>
          <w:color w:val="333333"/>
          <w:sz w:val="24"/>
          <w:szCs w:val="24"/>
        </w:rPr>
      </w:pPr>
      <w:r w:rsidRPr="008F793C">
        <w:rPr>
          <w:rFonts w:ascii="Arial" w:hAnsi="Arial" w:cs="Arial"/>
          <w:b/>
          <w:color w:val="333333"/>
          <w:sz w:val="24"/>
          <w:szCs w:val="24"/>
        </w:rPr>
        <w:t>Community and Casino bibliography</w:t>
      </w:r>
      <w:r w:rsidR="00664696" w:rsidRPr="008F793C">
        <w:rPr>
          <w:rFonts w:ascii="Arial" w:hAnsi="Arial" w:cs="Arial"/>
          <w:b/>
          <w:color w:val="333333"/>
          <w:sz w:val="24"/>
          <w:szCs w:val="24"/>
        </w:rPr>
        <w:t xml:space="preserve"> 10 July 2009</w:t>
      </w:r>
    </w:p>
    <w:p w:rsidR="00795992" w:rsidRDefault="00664696">
      <w:pPr>
        <w:rPr>
          <w:rFonts w:ascii="Arial" w:hAnsi="Arial" w:cs="Arial"/>
          <w:color w:val="333333"/>
          <w:sz w:val="24"/>
          <w:szCs w:val="24"/>
        </w:rPr>
      </w:pPr>
      <w:r w:rsidRPr="008F793C">
        <w:rPr>
          <w:rFonts w:ascii="Arial" w:hAnsi="Arial" w:cs="Arial"/>
          <w:color w:val="333333"/>
          <w:sz w:val="24"/>
          <w:szCs w:val="24"/>
        </w:rPr>
        <w:t xml:space="preserve">Aborn, R. M. &amp; Bennett, J.V. (2005) </w:t>
      </w:r>
      <w:r w:rsidRPr="008F793C">
        <w:rPr>
          <w:rFonts w:ascii="Arial" w:hAnsi="Arial" w:cs="Arial"/>
          <w:color w:val="333333"/>
          <w:sz w:val="24"/>
          <w:szCs w:val="24"/>
          <w:u w:val="single"/>
        </w:rPr>
        <w:t>Gambling: Who’s really at risk?,</w:t>
      </w:r>
      <w:r w:rsidRPr="008F793C">
        <w:rPr>
          <w:rFonts w:ascii="Arial" w:hAnsi="Arial" w:cs="Arial"/>
          <w:color w:val="333333"/>
          <w:sz w:val="24"/>
          <w:szCs w:val="24"/>
        </w:rPr>
        <w:t xml:space="preserve"> New York, Constantine &amp; Aborn Advisory Services</w:t>
      </w:r>
      <w:r w:rsidR="00CE117D" w:rsidRPr="008F793C">
        <w:rPr>
          <w:rFonts w:ascii="Arial" w:hAnsi="Arial" w:cs="Arial"/>
          <w:color w:val="333333"/>
          <w:sz w:val="24"/>
          <w:szCs w:val="24"/>
        </w:rPr>
        <w:t xml:space="preserve">  </w:t>
      </w:r>
      <w:hyperlink r:id="rId6" w:history="1">
        <w:r w:rsidR="00CE117D" w:rsidRPr="008F793C">
          <w:rPr>
            <w:rStyle w:val="Hyperlink"/>
            <w:rFonts w:ascii="Arial" w:hAnsi="Arial" w:cs="Arial"/>
            <w:sz w:val="24"/>
            <w:szCs w:val="24"/>
            <w:bdr w:val="none" w:sz="0" w:space="0" w:color="auto"/>
          </w:rPr>
          <w:t>www.caasny.com</w:t>
        </w:r>
      </w:hyperlink>
      <w:r w:rsidR="00CE117D" w:rsidRPr="008F793C">
        <w:rPr>
          <w:rFonts w:ascii="Arial" w:hAnsi="Arial" w:cs="Arial"/>
          <w:color w:val="333333"/>
          <w:sz w:val="24"/>
          <w:szCs w:val="24"/>
        </w:rPr>
        <w:t xml:space="preserve"> Accessed 01 .06.09</w:t>
      </w:r>
    </w:p>
    <w:p w:rsidR="005F6C30" w:rsidRPr="00AE4E84" w:rsidRDefault="005F6C30" w:rsidP="005F6C30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24"/>
          <w:szCs w:val="24"/>
        </w:rPr>
      </w:pPr>
      <w:r w:rsidRPr="00AE4E84">
        <w:rPr>
          <w:rFonts w:ascii="Arial" w:hAnsi="Arial" w:cs="Arial"/>
          <w:sz w:val="24"/>
          <w:szCs w:val="24"/>
        </w:rPr>
        <w:t>Anielski, M. &amp; Braaten, A.</w:t>
      </w:r>
      <w:r>
        <w:rPr>
          <w:rFonts w:ascii="Arial" w:hAnsi="Arial" w:cs="Arial"/>
          <w:sz w:val="24"/>
          <w:szCs w:val="24"/>
        </w:rPr>
        <w:t xml:space="preserve"> </w:t>
      </w:r>
      <w:r w:rsidRPr="00AE4E84">
        <w:rPr>
          <w:rFonts w:ascii="Arial" w:hAnsi="Arial" w:cs="Arial"/>
          <w:bCs/>
          <w:sz w:val="24"/>
          <w:szCs w:val="24"/>
        </w:rPr>
        <w:t>(2008)The Socio-Economic Impact of Gambling</w:t>
      </w:r>
    </w:p>
    <w:p w:rsidR="005F6C30" w:rsidRDefault="005F6C30" w:rsidP="005F6C30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AE4E84">
        <w:rPr>
          <w:rFonts w:ascii="Arial" w:hAnsi="Arial" w:cs="Arial"/>
          <w:bCs/>
          <w:sz w:val="24"/>
          <w:szCs w:val="24"/>
        </w:rPr>
        <w:t>(SEIG) Framework An Assessment Framework for Canada:</w:t>
      </w:r>
      <w:r>
        <w:rPr>
          <w:rFonts w:ascii="Arial" w:hAnsi="Arial" w:cs="Arial"/>
          <w:bCs/>
          <w:sz w:val="24"/>
          <w:szCs w:val="24"/>
        </w:rPr>
        <w:t xml:space="preserve"> </w:t>
      </w:r>
      <w:r w:rsidRPr="00AE4E84">
        <w:rPr>
          <w:rFonts w:ascii="Arial" w:hAnsi="Arial" w:cs="Arial"/>
          <w:bCs/>
          <w:sz w:val="24"/>
          <w:szCs w:val="24"/>
        </w:rPr>
        <w:t xml:space="preserve">In Search of the Gold Standard, </w:t>
      </w:r>
      <w:r>
        <w:rPr>
          <w:rFonts w:ascii="Arial" w:hAnsi="Arial" w:cs="Arial"/>
          <w:bCs/>
          <w:sz w:val="24"/>
          <w:szCs w:val="24"/>
        </w:rPr>
        <w:t>A</w:t>
      </w:r>
      <w:r w:rsidRPr="00AE4E84">
        <w:rPr>
          <w:rFonts w:ascii="Arial" w:hAnsi="Arial" w:cs="Arial"/>
          <w:bCs/>
          <w:sz w:val="24"/>
          <w:szCs w:val="24"/>
        </w:rPr>
        <w:t>nielski Management</w:t>
      </w:r>
      <w:r>
        <w:rPr>
          <w:rFonts w:ascii="Arial" w:hAnsi="Arial" w:cs="Arial"/>
          <w:bCs/>
          <w:sz w:val="24"/>
          <w:szCs w:val="24"/>
        </w:rPr>
        <w:t xml:space="preserve">, </w:t>
      </w:r>
      <w:hyperlink r:id="rId7" w:history="1">
        <w:r w:rsidRPr="00AE4E84">
          <w:rPr>
            <w:rStyle w:val="Hyperlink"/>
            <w:rFonts w:ascii="Arial" w:hAnsi="Arial" w:cs="Arial"/>
            <w:sz w:val="24"/>
            <w:szCs w:val="24"/>
            <w:bdr w:val="none" w:sz="0" w:space="0" w:color="auto"/>
          </w:rPr>
          <w:t>http://www.afm.mb.ca/Media%20Room/documents/SEIGFramework.pdf</w:t>
        </w:r>
      </w:hyperlink>
      <w:r w:rsidRPr="00AE4E8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Accessed 02.04.09</w:t>
      </w:r>
    </w:p>
    <w:p w:rsidR="005F6C30" w:rsidRPr="005F6C30" w:rsidRDefault="005F6C30" w:rsidP="005F6C30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Cs/>
          <w:sz w:val="24"/>
          <w:szCs w:val="24"/>
        </w:rPr>
      </w:pPr>
    </w:p>
    <w:p w:rsidR="008A19AB" w:rsidRPr="008F793C" w:rsidRDefault="008A19AB">
      <w:pPr>
        <w:rPr>
          <w:rFonts w:ascii="Arial" w:hAnsi="Arial" w:cs="Arial"/>
          <w:color w:val="333333"/>
          <w:sz w:val="24"/>
          <w:szCs w:val="24"/>
        </w:rPr>
      </w:pPr>
      <w:r w:rsidRPr="008F793C">
        <w:rPr>
          <w:rFonts w:ascii="Arial" w:hAnsi="Arial" w:cs="Arial"/>
          <w:color w:val="333333"/>
          <w:sz w:val="24"/>
          <w:szCs w:val="24"/>
        </w:rPr>
        <w:t xml:space="preserve">Bowden, D. (2009) Casinos: Gambling on Regeneration, </w:t>
      </w:r>
      <w:hyperlink r:id="rId8" w:history="1">
        <w:r w:rsidRPr="008F793C">
          <w:rPr>
            <w:rStyle w:val="Hyperlink"/>
            <w:rFonts w:ascii="Arial" w:hAnsi="Arial" w:cs="Arial"/>
            <w:sz w:val="24"/>
            <w:szCs w:val="24"/>
            <w:bdr w:val="none" w:sz="0" w:space="0" w:color="auto"/>
          </w:rPr>
          <w:t>http://www.insights.org.uk/articleitem.aspx?title=Casinos%3A+gambling+on+regeneration</w:t>
        </w:r>
      </w:hyperlink>
      <w:r w:rsidRPr="008F793C">
        <w:rPr>
          <w:rFonts w:ascii="Arial" w:hAnsi="Arial" w:cs="Arial"/>
          <w:color w:val="333333"/>
          <w:sz w:val="24"/>
          <w:szCs w:val="24"/>
        </w:rPr>
        <w:t xml:space="preserve"> Accessed 06.06.09</w:t>
      </w:r>
    </w:p>
    <w:p w:rsidR="00F87EE8" w:rsidRPr="008F793C" w:rsidRDefault="00F87EE8">
      <w:pPr>
        <w:rPr>
          <w:rFonts w:ascii="Arial" w:hAnsi="Arial" w:cs="Arial"/>
          <w:color w:val="333333"/>
          <w:sz w:val="24"/>
          <w:szCs w:val="24"/>
        </w:rPr>
      </w:pPr>
      <w:r w:rsidRPr="008F793C">
        <w:rPr>
          <w:rFonts w:ascii="Arial" w:hAnsi="Arial" w:cs="Arial"/>
          <w:color w:val="333333"/>
          <w:sz w:val="24"/>
          <w:szCs w:val="24"/>
        </w:rPr>
        <w:t xml:space="preserve">Caplan, Bryan. “The Logic of Collective Belief.” </w:t>
      </w:r>
      <w:r w:rsidRPr="008F793C">
        <w:rPr>
          <w:rFonts w:ascii="Arial" w:hAnsi="Arial" w:cs="Arial"/>
          <w:i/>
          <w:iCs/>
          <w:color w:val="333333"/>
          <w:sz w:val="24"/>
          <w:szCs w:val="24"/>
          <w:u w:val="single"/>
        </w:rPr>
        <w:t>Rationality and Society</w:t>
      </w:r>
      <w:r w:rsidRPr="008F793C">
        <w:rPr>
          <w:rFonts w:ascii="Arial" w:hAnsi="Arial" w:cs="Arial"/>
          <w:color w:val="333333"/>
          <w:sz w:val="24"/>
          <w:szCs w:val="24"/>
        </w:rPr>
        <w:t xml:space="preserve"> 15, no. 2 (2003): 218–242.</w:t>
      </w:r>
    </w:p>
    <w:p w:rsidR="00F87EE8" w:rsidRDefault="00F87EE8">
      <w:pPr>
        <w:rPr>
          <w:rFonts w:ascii="Arial" w:hAnsi="Arial" w:cs="Arial"/>
          <w:color w:val="333333"/>
          <w:sz w:val="24"/>
          <w:szCs w:val="24"/>
        </w:rPr>
      </w:pPr>
      <w:r w:rsidRPr="008F793C">
        <w:rPr>
          <w:rFonts w:ascii="Arial" w:hAnsi="Arial" w:cs="Arial"/>
          <w:color w:val="333333"/>
          <w:sz w:val="24"/>
          <w:szCs w:val="24"/>
        </w:rPr>
        <w:t xml:space="preserve">Coase, R.H. (1974) “The Lighthouse in Economics.” </w:t>
      </w:r>
      <w:r w:rsidRPr="008F793C">
        <w:rPr>
          <w:rFonts w:ascii="Arial" w:hAnsi="Arial" w:cs="Arial"/>
          <w:i/>
          <w:iCs/>
          <w:color w:val="333333"/>
          <w:sz w:val="24"/>
          <w:szCs w:val="24"/>
          <w:u w:val="single"/>
        </w:rPr>
        <w:t>Journal of Law and Economics</w:t>
      </w:r>
      <w:r w:rsidR="009B5262" w:rsidRPr="008F793C">
        <w:rPr>
          <w:rFonts w:ascii="Arial" w:hAnsi="Arial" w:cs="Arial"/>
          <w:color w:val="333333"/>
          <w:sz w:val="24"/>
          <w:szCs w:val="24"/>
        </w:rPr>
        <w:t xml:space="preserve"> 17, no. 2: 357–376</w:t>
      </w:r>
    </w:p>
    <w:p w:rsidR="00245296" w:rsidRDefault="00245296">
      <w:pPr>
        <w:rPr>
          <w:rFonts w:ascii="Arial" w:hAnsi="Arial" w:cs="Arial"/>
          <w:color w:val="333333"/>
          <w:sz w:val="24"/>
          <w:szCs w:val="24"/>
        </w:rPr>
      </w:pPr>
      <w:r>
        <w:rPr>
          <w:rFonts w:ascii="Arial" w:hAnsi="Arial" w:cs="Arial"/>
          <w:color w:val="333333"/>
          <w:sz w:val="24"/>
          <w:szCs w:val="24"/>
        </w:rPr>
        <w:t xml:space="preserve">Daily Mail (2006) Kill the Casino Bill, May, </w:t>
      </w:r>
      <w:hyperlink r:id="rId9" w:history="1">
        <w:r w:rsidRPr="00D36729">
          <w:rPr>
            <w:rStyle w:val="Hyperlink"/>
            <w:rFonts w:ascii="Arial" w:hAnsi="Arial" w:cs="Arial"/>
            <w:sz w:val="24"/>
            <w:szCs w:val="24"/>
            <w:bdr w:val="none" w:sz="0" w:space="0" w:color="auto"/>
          </w:rPr>
          <w:t>http://www.dailymail.co.uk/news/article-322021/Daily-Mail-campaign-Kill-Casino-Bill.html</w:t>
        </w:r>
      </w:hyperlink>
      <w:r>
        <w:rPr>
          <w:rFonts w:ascii="Arial" w:hAnsi="Arial" w:cs="Arial"/>
          <w:color w:val="333333"/>
          <w:sz w:val="24"/>
          <w:szCs w:val="24"/>
        </w:rPr>
        <w:t xml:space="preserve"> Accessed 05.01.09</w:t>
      </w:r>
    </w:p>
    <w:p w:rsidR="000B49AA" w:rsidRPr="008F793C" w:rsidRDefault="000B49AA" w:rsidP="000B49AA">
      <w:pPr>
        <w:pStyle w:val="Default"/>
        <w:rPr>
          <w:rFonts w:ascii="Arial" w:hAnsi="Arial" w:cs="Arial"/>
        </w:rPr>
      </w:pPr>
      <w:r>
        <w:rPr>
          <w:rFonts w:ascii="Arial" w:hAnsi="Arial" w:cs="Arial"/>
          <w:bCs/>
        </w:rPr>
        <w:t>Depa</w:t>
      </w:r>
      <w:r w:rsidRPr="008F793C">
        <w:rPr>
          <w:rFonts w:ascii="Arial" w:hAnsi="Arial" w:cs="Arial"/>
          <w:bCs/>
        </w:rPr>
        <w:t xml:space="preserve">rtment for Culture, Media and Sport (2008) explanatory memorandum to </w:t>
      </w:r>
    </w:p>
    <w:p w:rsidR="000B49AA" w:rsidRPr="000B49AA" w:rsidRDefault="000B49AA">
      <w:pPr>
        <w:rPr>
          <w:rFonts w:ascii="Arial" w:hAnsi="Arial" w:cs="Arial"/>
          <w:sz w:val="24"/>
          <w:szCs w:val="24"/>
        </w:rPr>
      </w:pPr>
      <w:r w:rsidRPr="008F793C">
        <w:rPr>
          <w:rFonts w:ascii="Arial" w:hAnsi="Arial" w:cs="Arial"/>
          <w:bCs/>
          <w:sz w:val="24"/>
          <w:szCs w:val="24"/>
        </w:rPr>
        <w:t xml:space="preserve">The gambling (geographical distribution of large and small casino premises licences) order 2008, </w:t>
      </w:r>
      <w:r w:rsidRPr="008F793C">
        <w:rPr>
          <w:rStyle w:val="HTMLCite"/>
          <w:rFonts w:ascii="Arial" w:hAnsi="Arial" w:cs="Arial"/>
          <w:sz w:val="24"/>
          <w:szCs w:val="24"/>
        </w:rPr>
        <w:t>www.opsi.gov.uk/si/si2008/em/uksiem_20081327_en.pdf</w:t>
      </w:r>
    </w:p>
    <w:p w:rsidR="009B5262" w:rsidRPr="008F793C" w:rsidRDefault="009B5262">
      <w:pPr>
        <w:rPr>
          <w:rFonts w:ascii="Arial" w:hAnsi="Arial" w:cs="Arial"/>
          <w:color w:val="333333"/>
          <w:sz w:val="24"/>
          <w:szCs w:val="24"/>
        </w:rPr>
      </w:pPr>
      <w:r w:rsidRPr="008F793C">
        <w:rPr>
          <w:rFonts w:ascii="Arial" w:hAnsi="Arial" w:cs="Arial"/>
          <w:color w:val="333333"/>
          <w:sz w:val="24"/>
          <w:szCs w:val="24"/>
        </w:rPr>
        <w:t xml:space="preserve">Dudley Council (2006) Response to Casino Advisory Panel, </w:t>
      </w:r>
      <w:r w:rsidR="000B49AA">
        <w:rPr>
          <w:rStyle w:val="HTMLCite"/>
          <w:rFonts w:ascii="Arial" w:hAnsi="Arial" w:cs="Arial"/>
        </w:rPr>
        <w:t>www.culture.gov.uk/Cap/ls_shortlistees/</w:t>
      </w:r>
      <w:r w:rsidR="000B49AA">
        <w:rPr>
          <w:rStyle w:val="HTMLCite"/>
          <w:rFonts w:ascii="Arial" w:hAnsi="Arial" w:cs="Arial"/>
          <w:b/>
          <w:bCs/>
        </w:rPr>
        <w:t>responses</w:t>
      </w:r>
      <w:r w:rsidR="000B49AA">
        <w:rPr>
          <w:rStyle w:val="HTMLCite"/>
          <w:rFonts w:ascii="Arial" w:hAnsi="Arial" w:cs="Arial"/>
        </w:rPr>
        <w:t>/</w:t>
      </w:r>
      <w:r w:rsidR="000B49AA">
        <w:rPr>
          <w:rStyle w:val="HTMLCite"/>
          <w:rFonts w:ascii="Arial" w:hAnsi="Arial" w:cs="Arial"/>
          <w:b/>
          <w:bCs/>
        </w:rPr>
        <w:t>Dudley</w:t>
      </w:r>
      <w:r w:rsidR="000B49AA">
        <w:rPr>
          <w:rStyle w:val="HTMLCite"/>
          <w:rFonts w:ascii="Arial" w:hAnsi="Arial" w:cs="Arial"/>
        </w:rPr>
        <w:t>.pdf</w:t>
      </w:r>
    </w:p>
    <w:p w:rsidR="009B5262" w:rsidRPr="008F793C" w:rsidRDefault="001B6694">
      <w:pPr>
        <w:rPr>
          <w:rFonts w:ascii="Arial" w:hAnsi="Arial" w:cs="Arial"/>
          <w:color w:val="333333"/>
          <w:sz w:val="24"/>
          <w:szCs w:val="24"/>
        </w:rPr>
      </w:pPr>
      <w:r w:rsidRPr="008F793C">
        <w:rPr>
          <w:rFonts w:ascii="Arial" w:hAnsi="Arial" w:cs="Arial"/>
          <w:color w:val="333333"/>
          <w:sz w:val="24"/>
          <w:szCs w:val="24"/>
        </w:rPr>
        <w:t xml:space="preserve">Etches, M.W. (2008) Is there any hope for the casino industry?, Centre for the Study of Gambling, University of Salford, </w:t>
      </w:r>
      <w:hyperlink r:id="rId10" w:history="1">
        <w:r w:rsidRPr="008F793C">
          <w:rPr>
            <w:rStyle w:val="Hyperlink"/>
            <w:rFonts w:ascii="Arial" w:hAnsi="Arial" w:cs="Arial"/>
            <w:sz w:val="24"/>
            <w:szCs w:val="24"/>
            <w:bdr w:val="none" w:sz="0" w:space="0" w:color="auto"/>
          </w:rPr>
          <w:t>www.</w:t>
        </w:r>
        <w:r w:rsidRPr="008F793C">
          <w:rPr>
            <w:rStyle w:val="Hyperlink"/>
            <w:rFonts w:ascii="Arial" w:hAnsi="Arial" w:cs="Arial"/>
            <w:bCs/>
            <w:sz w:val="24"/>
            <w:szCs w:val="24"/>
            <w:bdr w:val="none" w:sz="0" w:space="0" w:color="auto"/>
          </w:rPr>
          <w:t>gambling</w:t>
        </w:r>
        <w:r w:rsidRPr="008F793C">
          <w:rPr>
            <w:rStyle w:val="Hyperlink"/>
            <w:rFonts w:ascii="Arial" w:hAnsi="Arial" w:cs="Arial"/>
            <w:sz w:val="24"/>
            <w:szCs w:val="24"/>
            <w:bdr w:val="none" w:sz="0" w:space="0" w:color="auto"/>
          </w:rPr>
          <w:t>studies.salford.ac.uk/.../M.Etches.%20Is%20there%20any%20hope%20for%20the%20ind..ppt</w:t>
        </w:r>
      </w:hyperlink>
      <w:r w:rsidRPr="008F793C">
        <w:rPr>
          <w:rStyle w:val="HTMLCite"/>
          <w:rFonts w:ascii="Arial" w:hAnsi="Arial" w:cs="Arial"/>
          <w:sz w:val="24"/>
          <w:szCs w:val="24"/>
        </w:rPr>
        <w:t xml:space="preserve"> Accessed 02.04.09 </w:t>
      </w:r>
    </w:p>
    <w:p w:rsidR="00664696" w:rsidRPr="008F793C" w:rsidRDefault="00664696">
      <w:pPr>
        <w:rPr>
          <w:rFonts w:ascii="Arial" w:hAnsi="Arial" w:cs="Arial"/>
          <w:color w:val="333333"/>
          <w:sz w:val="24"/>
          <w:szCs w:val="24"/>
        </w:rPr>
      </w:pPr>
      <w:r w:rsidRPr="008F793C">
        <w:rPr>
          <w:rFonts w:ascii="Arial" w:hAnsi="Arial" w:cs="Arial"/>
          <w:color w:val="333333"/>
          <w:sz w:val="24"/>
          <w:szCs w:val="24"/>
        </w:rPr>
        <w:t xml:space="preserve">Giacopassi, D. &amp; Nichols, M. (1999) Attitudes of Community Leaders in New Casino Jurisdictions Regarding Casino Gambling’s Effects on Crime and Quality of Life, </w:t>
      </w:r>
      <w:r w:rsidRPr="008F793C">
        <w:rPr>
          <w:rFonts w:ascii="Arial" w:hAnsi="Arial" w:cs="Arial"/>
          <w:color w:val="333333"/>
          <w:sz w:val="24"/>
          <w:szCs w:val="24"/>
          <w:u w:val="single"/>
        </w:rPr>
        <w:t>Journal</w:t>
      </w:r>
      <w:r w:rsidR="00CE117D" w:rsidRPr="008F793C">
        <w:rPr>
          <w:rFonts w:ascii="Arial" w:hAnsi="Arial" w:cs="Arial"/>
          <w:color w:val="333333"/>
          <w:sz w:val="24"/>
          <w:szCs w:val="24"/>
          <w:u w:val="single"/>
        </w:rPr>
        <w:t xml:space="preserve"> </w:t>
      </w:r>
      <w:r w:rsidRPr="008F793C">
        <w:rPr>
          <w:rFonts w:ascii="Arial" w:hAnsi="Arial" w:cs="Arial"/>
          <w:color w:val="333333"/>
          <w:sz w:val="24"/>
          <w:szCs w:val="24"/>
          <w:u w:val="single"/>
        </w:rPr>
        <w:t>of Gambling Studies,</w:t>
      </w:r>
      <w:r w:rsidRPr="008F793C">
        <w:rPr>
          <w:rFonts w:ascii="Arial" w:hAnsi="Arial" w:cs="Arial"/>
          <w:color w:val="333333"/>
          <w:sz w:val="24"/>
          <w:szCs w:val="24"/>
        </w:rPr>
        <w:t xml:space="preserve"> 15, 2, 123-138</w:t>
      </w:r>
    </w:p>
    <w:p w:rsidR="00607CBF" w:rsidRDefault="009B5262" w:rsidP="00607CBF">
      <w:pPr>
        <w:rPr>
          <w:rStyle w:val="HTMLCite"/>
          <w:rFonts w:ascii="Arial" w:hAnsi="Arial" w:cs="Arial"/>
          <w:sz w:val="24"/>
          <w:szCs w:val="24"/>
        </w:rPr>
      </w:pPr>
      <w:r w:rsidRPr="008F793C">
        <w:rPr>
          <w:rFonts w:ascii="Arial" w:hAnsi="Arial" w:cs="Arial"/>
          <w:color w:val="333333"/>
          <w:sz w:val="24"/>
          <w:szCs w:val="24"/>
        </w:rPr>
        <w:t xml:space="preserve">Great Yarmouth (2006) Response to Casino Advisory Panel, </w:t>
      </w:r>
      <w:hyperlink r:id="rId11" w:history="1">
        <w:r w:rsidR="00607CBF" w:rsidRPr="00D36729">
          <w:rPr>
            <w:rStyle w:val="Hyperlink"/>
            <w:rFonts w:ascii="Arial" w:hAnsi="Arial" w:cs="Arial"/>
            <w:sz w:val="24"/>
            <w:szCs w:val="24"/>
            <w:bdr w:val="none" w:sz="0" w:space="0" w:color="auto"/>
          </w:rPr>
          <w:t>www.culture.gov.uk/CAP/ls.../</w:t>
        </w:r>
        <w:r w:rsidR="00607CBF" w:rsidRPr="00D36729">
          <w:rPr>
            <w:rStyle w:val="Hyperlink"/>
            <w:rFonts w:ascii="Arial" w:hAnsi="Arial" w:cs="Arial"/>
            <w:bCs/>
            <w:sz w:val="24"/>
            <w:szCs w:val="24"/>
            <w:bdr w:val="none" w:sz="0" w:space="0" w:color="auto"/>
          </w:rPr>
          <w:t>responses</w:t>
        </w:r>
        <w:r w:rsidR="00607CBF" w:rsidRPr="00D36729">
          <w:rPr>
            <w:rStyle w:val="Hyperlink"/>
            <w:rFonts w:ascii="Arial" w:hAnsi="Arial" w:cs="Arial"/>
            <w:sz w:val="24"/>
            <w:szCs w:val="24"/>
            <w:bdr w:val="none" w:sz="0" w:space="0" w:color="auto"/>
          </w:rPr>
          <w:t>/</w:t>
        </w:r>
        <w:r w:rsidR="00607CBF" w:rsidRPr="00D36729">
          <w:rPr>
            <w:rStyle w:val="Hyperlink"/>
            <w:rFonts w:ascii="Arial" w:hAnsi="Arial" w:cs="Arial"/>
            <w:bCs/>
            <w:sz w:val="24"/>
            <w:szCs w:val="24"/>
            <w:bdr w:val="none" w:sz="0" w:space="0" w:color="auto"/>
          </w:rPr>
          <w:t>GreatYarmouth</w:t>
        </w:r>
        <w:r w:rsidR="00607CBF" w:rsidRPr="00D36729">
          <w:rPr>
            <w:rStyle w:val="Hyperlink"/>
            <w:rFonts w:ascii="Arial" w:hAnsi="Arial" w:cs="Arial"/>
            <w:sz w:val="24"/>
            <w:szCs w:val="24"/>
            <w:bdr w:val="none" w:sz="0" w:space="0" w:color="auto"/>
          </w:rPr>
          <w:t>.pdf</w:t>
        </w:r>
      </w:hyperlink>
    </w:p>
    <w:p w:rsidR="00607CBF" w:rsidRPr="00607CBF" w:rsidRDefault="00607CBF" w:rsidP="00607CBF">
      <w:pPr>
        <w:rPr>
          <w:rFonts w:ascii="Arial" w:hAnsi="Arial" w:cs="Arial"/>
          <w:color w:val="008000"/>
          <w:sz w:val="24"/>
          <w:szCs w:val="24"/>
        </w:rPr>
      </w:pPr>
      <w:r w:rsidRPr="00607CBF">
        <w:rPr>
          <w:rFonts w:ascii="Arial" w:hAnsi="Arial" w:cs="Arial"/>
          <w:sz w:val="24"/>
          <w:szCs w:val="24"/>
        </w:rPr>
        <w:t>Griffiths, S. &amp; Jawad C. (2009) Gambling in Macau-An unsuitable model for the UK South Wales Business Review, June</w:t>
      </w:r>
    </w:p>
    <w:p w:rsidR="00607CBF" w:rsidRPr="008F793C" w:rsidRDefault="00607CBF">
      <w:pPr>
        <w:rPr>
          <w:rFonts w:ascii="Arial" w:hAnsi="Arial" w:cs="Arial"/>
          <w:color w:val="333333"/>
          <w:sz w:val="24"/>
          <w:szCs w:val="24"/>
        </w:rPr>
      </w:pPr>
    </w:p>
    <w:p w:rsidR="00F87EE8" w:rsidRPr="008F793C" w:rsidRDefault="00795992">
      <w:pPr>
        <w:rPr>
          <w:rFonts w:ascii="Arial" w:hAnsi="Arial" w:cs="Arial"/>
          <w:color w:val="333333"/>
          <w:sz w:val="24"/>
          <w:szCs w:val="24"/>
        </w:rPr>
      </w:pPr>
      <w:r w:rsidRPr="008F793C">
        <w:rPr>
          <w:rFonts w:ascii="Arial" w:hAnsi="Arial" w:cs="Arial"/>
          <w:color w:val="333333"/>
          <w:sz w:val="24"/>
          <w:szCs w:val="24"/>
        </w:rPr>
        <w:lastRenderedPageBreak/>
        <w:t xml:space="preserve">Grinols, E. L. &amp; Mustard, D.B. (2006) Casinos, Crime and Community Costs, </w:t>
      </w:r>
      <w:r w:rsidRPr="008F793C">
        <w:rPr>
          <w:rFonts w:ascii="Arial" w:hAnsi="Arial" w:cs="Arial"/>
          <w:color w:val="333333"/>
          <w:sz w:val="24"/>
          <w:szCs w:val="24"/>
          <w:u w:val="single"/>
        </w:rPr>
        <w:t>The Review of Economics and Statistics</w:t>
      </w:r>
      <w:r w:rsidRPr="008F793C">
        <w:rPr>
          <w:rFonts w:ascii="Arial" w:hAnsi="Arial" w:cs="Arial"/>
          <w:color w:val="333333"/>
          <w:sz w:val="24"/>
          <w:szCs w:val="24"/>
        </w:rPr>
        <w:t>, 88, 1, 1-18</w:t>
      </w:r>
    </w:p>
    <w:p w:rsidR="00CE117D" w:rsidRPr="008F793C" w:rsidRDefault="00CE117D">
      <w:pPr>
        <w:rPr>
          <w:rFonts w:ascii="Arial" w:hAnsi="Arial" w:cs="Arial"/>
          <w:color w:val="333333"/>
          <w:sz w:val="24"/>
          <w:szCs w:val="24"/>
        </w:rPr>
      </w:pPr>
      <w:r w:rsidRPr="008F793C">
        <w:rPr>
          <w:rFonts w:ascii="Arial" w:hAnsi="Arial" w:cs="Arial"/>
          <w:color w:val="333333"/>
          <w:sz w:val="24"/>
          <w:szCs w:val="24"/>
        </w:rPr>
        <w:t xml:space="preserve">Hart, P.D. (2005) </w:t>
      </w:r>
      <w:r w:rsidRPr="008F793C">
        <w:rPr>
          <w:rFonts w:ascii="Arial" w:hAnsi="Arial" w:cs="Arial"/>
          <w:color w:val="333333"/>
          <w:sz w:val="24"/>
          <w:szCs w:val="24"/>
          <w:u w:val="single"/>
        </w:rPr>
        <w:t>Community Leaders’ Perception of Gaming Industry’s Effects</w:t>
      </w:r>
      <w:r w:rsidRPr="008F793C">
        <w:rPr>
          <w:rFonts w:ascii="Arial" w:hAnsi="Arial" w:cs="Arial"/>
          <w:color w:val="333333"/>
          <w:sz w:val="24"/>
          <w:szCs w:val="24"/>
        </w:rPr>
        <w:t>, Washington, American Gaming Association 10</w:t>
      </w:r>
      <w:r w:rsidRPr="008F793C">
        <w:rPr>
          <w:rFonts w:ascii="Arial" w:hAnsi="Arial" w:cs="Arial"/>
          <w:color w:val="333333"/>
          <w:sz w:val="24"/>
          <w:szCs w:val="24"/>
          <w:vertAlign w:val="superscript"/>
        </w:rPr>
        <w:t>th</w:t>
      </w:r>
      <w:r w:rsidRPr="008F793C">
        <w:rPr>
          <w:rFonts w:ascii="Arial" w:hAnsi="Arial" w:cs="Arial"/>
          <w:color w:val="333333"/>
          <w:sz w:val="24"/>
          <w:szCs w:val="24"/>
        </w:rPr>
        <w:t xml:space="preserve"> Anniversary White Paper Series</w:t>
      </w:r>
    </w:p>
    <w:p w:rsidR="009B5262" w:rsidRPr="008F793C" w:rsidRDefault="009B5262" w:rsidP="009B5262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bCs/>
          <w:color w:val="666666"/>
          <w:sz w:val="24"/>
          <w:szCs w:val="24"/>
          <w:lang w:eastAsia="en-GB"/>
        </w:rPr>
      </w:pPr>
      <w:r w:rsidRPr="008F793C">
        <w:rPr>
          <w:rFonts w:ascii="Arial" w:hAnsi="Arial" w:cs="Arial"/>
          <w:color w:val="333333"/>
          <w:sz w:val="24"/>
          <w:szCs w:val="24"/>
        </w:rPr>
        <w:t xml:space="preserve">Jowell, T. (2007) </w:t>
      </w:r>
      <w:r w:rsidRPr="000B49AA">
        <w:rPr>
          <w:rFonts w:ascii="Arial" w:eastAsia="Times New Roman" w:hAnsi="Arial" w:cs="Arial"/>
          <w:bCs/>
          <w:color w:val="666666"/>
          <w:sz w:val="24"/>
          <w:szCs w:val="24"/>
          <w:u w:val="single"/>
          <w:lang w:eastAsia="en-GB"/>
        </w:rPr>
        <w:t>Casino Advisory Panel Statement</w:t>
      </w:r>
      <w:r w:rsidR="000B49AA">
        <w:rPr>
          <w:rFonts w:ascii="Arial" w:eastAsia="Times New Roman" w:hAnsi="Arial" w:cs="Arial"/>
          <w:bCs/>
          <w:color w:val="666666"/>
          <w:sz w:val="24"/>
          <w:szCs w:val="24"/>
          <w:lang w:eastAsia="en-GB"/>
        </w:rPr>
        <w:t xml:space="preserve">, </w:t>
      </w:r>
      <w:r w:rsidRPr="008F793C">
        <w:rPr>
          <w:rFonts w:ascii="Arial" w:eastAsia="Times New Roman" w:hAnsi="Arial" w:cs="Arial"/>
          <w:bCs/>
          <w:color w:val="666666"/>
          <w:sz w:val="24"/>
          <w:szCs w:val="24"/>
          <w:lang w:eastAsia="en-GB"/>
        </w:rPr>
        <w:t xml:space="preserve"> 30 January, Department for Media, Culture and Sport, http://www.culture.gov.uk/reference_library/minister_speeches/2062.aspx/ Accessed 01.04.09 </w:t>
      </w:r>
    </w:p>
    <w:p w:rsidR="009B5262" w:rsidRDefault="000B49AA">
      <w:pPr>
        <w:rPr>
          <w:rStyle w:val="Strong"/>
          <w:rFonts w:ascii="Arial" w:hAnsi="Arial" w:cs="Arial"/>
          <w:b w:val="0"/>
          <w:color w:val="000000" w:themeColor="text1"/>
          <w:sz w:val="24"/>
          <w:szCs w:val="24"/>
        </w:rPr>
      </w:pPr>
      <w:r w:rsidRPr="000B49AA">
        <w:rPr>
          <w:rFonts w:ascii="Arial" w:hAnsi="Arial" w:cs="Arial"/>
          <w:color w:val="000000" w:themeColor="text1"/>
          <w:sz w:val="24"/>
          <w:szCs w:val="24"/>
        </w:rPr>
        <w:t>Kollewe,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J.</w:t>
      </w:r>
      <w:r w:rsidRPr="000B49A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z w:val="24"/>
          <w:szCs w:val="24"/>
        </w:rPr>
        <w:t>(</w:t>
      </w:r>
      <w:hyperlink r:id="rId12" w:history="1">
        <w:r w:rsidRPr="000B49AA">
          <w:rPr>
            <w:rFonts w:ascii="Arial" w:hAnsi="Arial" w:cs="Arial"/>
            <w:color w:val="000000" w:themeColor="text1"/>
            <w:sz w:val="24"/>
            <w:szCs w:val="24"/>
          </w:rPr>
          <w:t>2006</w:t>
        </w:r>
      </w:hyperlink>
      <w:r>
        <w:rPr>
          <w:rFonts w:ascii="Arial" w:hAnsi="Arial" w:cs="Arial"/>
          <w:color w:val="000000" w:themeColor="text1"/>
          <w:sz w:val="24"/>
          <w:szCs w:val="24"/>
        </w:rPr>
        <w:t>)</w:t>
      </w:r>
      <w:r w:rsidRPr="000B49AA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0B49AA">
        <w:rPr>
          <w:rStyle w:val="Strong"/>
          <w:rFonts w:ascii="Arial" w:hAnsi="Arial" w:cs="Arial"/>
          <w:b w:val="0"/>
          <w:color w:val="000000" w:themeColor="text1"/>
          <w:sz w:val="24"/>
          <w:szCs w:val="24"/>
        </w:rPr>
        <w:t>Gambling on the risks posed by Britain's first 'supercasino'</w:t>
      </w:r>
      <w:r>
        <w:rPr>
          <w:rStyle w:val="Strong"/>
          <w:rFonts w:ascii="Arial" w:hAnsi="Arial" w:cs="Arial"/>
          <w:b w:val="0"/>
          <w:color w:val="000000" w:themeColor="text1"/>
          <w:sz w:val="24"/>
          <w:szCs w:val="24"/>
        </w:rPr>
        <w:t xml:space="preserve">, </w:t>
      </w:r>
      <w:hyperlink r:id="rId13" w:history="1">
        <w:r w:rsidRPr="001D2D5E">
          <w:rPr>
            <w:rStyle w:val="Hyperlink"/>
            <w:rFonts w:ascii="Arial" w:hAnsi="Arial" w:cs="Arial"/>
            <w:sz w:val="24"/>
            <w:szCs w:val="24"/>
            <w:bdr w:val="none" w:sz="0" w:space="0" w:color="auto"/>
          </w:rPr>
          <w:t>http://www.esrc.ac.uk/ESRCInfoCentre/about/CI/CP/Our_Society_Today/News_Articles_2006/gambling.aspx</w:t>
        </w:r>
      </w:hyperlink>
      <w:r>
        <w:rPr>
          <w:rStyle w:val="Strong"/>
          <w:rFonts w:ascii="Arial" w:hAnsi="Arial" w:cs="Arial"/>
          <w:b w:val="0"/>
          <w:color w:val="000000" w:themeColor="text1"/>
          <w:sz w:val="24"/>
          <w:szCs w:val="24"/>
        </w:rPr>
        <w:t xml:space="preserve">  Accessed 02.04.09</w:t>
      </w:r>
    </w:p>
    <w:p w:rsidR="000B49AA" w:rsidRPr="000B49AA" w:rsidRDefault="000B49AA">
      <w:pPr>
        <w:rPr>
          <w:rFonts w:ascii="Arial" w:hAnsi="Arial" w:cs="Arial"/>
          <w:color w:val="000000" w:themeColor="text1"/>
          <w:sz w:val="24"/>
          <w:szCs w:val="24"/>
        </w:rPr>
      </w:pPr>
    </w:p>
    <w:p w:rsidR="00CE117D" w:rsidRPr="008F793C" w:rsidRDefault="00CE117D">
      <w:pPr>
        <w:rPr>
          <w:rFonts w:ascii="Arial" w:hAnsi="Arial" w:cs="Arial"/>
          <w:color w:val="333333"/>
          <w:sz w:val="24"/>
          <w:szCs w:val="24"/>
        </w:rPr>
      </w:pPr>
      <w:r w:rsidRPr="008F793C">
        <w:rPr>
          <w:rFonts w:ascii="Arial" w:hAnsi="Arial" w:cs="Arial"/>
          <w:color w:val="333333"/>
          <w:sz w:val="24"/>
          <w:szCs w:val="24"/>
        </w:rPr>
        <w:t>Ligthelm, A.A. (</w:t>
      </w:r>
      <w:r w:rsidR="000C1BB1" w:rsidRPr="008F793C">
        <w:rPr>
          <w:rFonts w:ascii="Arial" w:hAnsi="Arial" w:cs="Arial"/>
          <w:color w:val="333333"/>
          <w:sz w:val="24"/>
          <w:szCs w:val="24"/>
        </w:rPr>
        <w:t>2001)</w:t>
      </w:r>
      <w:r w:rsidRPr="008F793C">
        <w:rPr>
          <w:rFonts w:ascii="Arial" w:hAnsi="Arial" w:cs="Arial"/>
          <w:color w:val="333333"/>
          <w:sz w:val="24"/>
          <w:szCs w:val="24"/>
        </w:rPr>
        <w:t xml:space="preserve">  Community Attitudes Towards Casinos and the Estimated Magnitude of Problem Gambling: The Mpumalinga Case, </w:t>
      </w:r>
      <w:r w:rsidR="000C1BB1" w:rsidRPr="008F793C">
        <w:rPr>
          <w:rFonts w:ascii="Arial" w:hAnsi="Arial" w:cs="Arial"/>
          <w:color w:val="333333"/>
          <w:sz w:val="24"/>
          <w:szCs w:val="24"/>
        </w:rPr>
        <w:t xml:space="preserve">African Sociological Review, 5, 2,  </w:t>
      </w:r>
      <w:hyperlink r:id="rId14" w:history="1">
        <w:r w:rsidR="000C1BB1" w:rsidRPr="008F793C">
          <w:rPr>
            <w:rStyle w:val="Hyperlink"/>
            <w:rFonts w:ascii="Arial" w:hAnsi="Arial" w:cs="Arial"/>
            <w:sz w:val="24"/>
            <w:szCs w:val="24"/>
            <w:bdr w:val="none" w:sz="0" w:space="0" w:color="auto"/>
          </w:rPr>
          <w:t>www.codesria.org/Links/Publications/asr5_2full/</w:t>
        </w:r>
        <w:r w:rsidR="000C1BB1" w:rsidRPr="008F793C">
          <w:rPr>
            <w:rStyle w:val="Hyperlink"/>
            <w:rFonts w:ascii="Arial" w:hAnsi="Arial" w:cs="Arial"/>
            <w:bCs/>
            <w:sz w:val="24"/>
            <w:szCs w:val="24"/>
            <w:bdr w:val="none" w:sz="0" w:space="0" w:color="auto"/>
          </w:rPr>
          <w:t>ligthelm</w:t>
        </w:r>
        <w:r w:rsidR="000C1BB1" w:rsidRPr="008F793C">
          <w:rPr>
            <w:rStyle w:val="Hyperlink"/>
            <w:rFonts w:ascii="Arial" w:hAnsi="Arial" w:cs="Arial"/>
            <w:sz w:val="24"/>
            <w:szCs w:val="24"/>
            <w:bdr w:val="none" w:sz="0" w:space="0" w:color="auto"/>
          </w:rPr>
          <w:t>.pdf</w:t>
        </w:r>
      </w:hyperlink>
      <w:r w:rsidR="000C1BB1" w:rsidRPr="008F793C">
        <w:rPr>
          <w:rStyle w:val="HTMLCite"/>
          <w:rFonts w:ascii="Arial" w:hAnsi="Arial" w:cs="Arial"/>
          <w:sz w:val="24"/>
          <w:szCs w:val="24"/>
        </w:rPr>
        <w:t xml:space="preserve">  Accessed 20.06.09</w:t>
      </w:r>
    </w:p>
    <w:p w:rsidR="00664696" w:rsidRPr="008F793C" w:rsidRDefault="00664696">
      <w:pPr>
        <w:rPr>
          <w:rFonts w:ascii="Arial" w:hAnsi="Arial" w:cs="Arial"/>
          <w:color w:val="333333"/>
          <w:sz w:val="24"/>
          <w:szCs w:val="24"/>
        </w:rPr>
      </w:pPr>
      <w:r w:rsidRPr="008F793C">
        <w:rPr>
          <w:rFonts w:ascii="Arial" w:hAnsi="Arial" w:cs="Arial"/>
          <w:color w:val="333333"/>
          <w:sz w:val="24"/>
          <w:szCs w:val="24"/>
        </w:rPr>
        <w:t xml:space="preserve">Nichols, M., Stitt, B.G. &amp; Giacopassi, D. (2004) Community Assessment of Effects of Casinos on Quality of Life, </w:t>
      </w:r>
      <w:r w:rsidRPr="008F793C">
        <w:rPr>
          <w:rFonts w:ascii="Arial" w:hAnsi="Arial" w:cs="Arial"/>
          <w:color w:val="333333"/>
          <w:sz w:val="24"/>
          <w:szCs w:val="24"/>
          <w:u w:val="single"/>
        </w:rPr>
        <w:t>Social Indicators Research</w:t>
      </w:r>
      <w:r w:rsidRPr="008F793C">
        <w:rPr>
          <w:rFonts w:ascii="Arial" w:hAnsi="Arial" w:cs="Arial"/>
          <w:color w:val="333333"/>
          <w:sz w:val="24"/>
          <w:szCs w:val="24"/>
        </w:rPr>
        <w:t>, 57, 3, 229-262</w:t>
      </w:r>
    </w:p>
    <w:p w:rsidR="00CD0AF9" w:rsidRPr="008F793C" w:rsidRDefault="00F87EE8">
      <w:pPr>
        <w:rPr>
          <w:rFonts w:ascii="Arial" w:hAnsi="Arial" w:cs="Arial"/>
          <w:color w:val="333333"/>
          <w:sz w:val="24"/>
          <w:szCs w:val="24"/>
        </w:rPr>
      </w:pPr>
      <w:r w:rsidRPr="008F793C">
        <w:rPr>
          <w:rFonts w:ascii="Arial" w:hAnsi="Arial" w:cs="Arial"/>
          <w:color w:val="333333"/>
          <w:sz w:val="24"/>
          <w:szCs w:val="24"/>
        </w:rPr>
        <w:t xml:space="preserve">Pigou, A.C. (1932) </w:t>
      </w:r>
      <w:r w:rsidRPr="008F793C">
        <w:rPr>
          <w:rFonts w:ascii="Arial" w:hAnsi="Arial" w:cs="Arial"/>
          <w:i/>
          <w:iCs/>
          <w:color w:val="333333"/>
          <w:sz w:val="24"/>
          <w:szCs w:val="24"/>
          <w:u w:val="single"/>
        </w:rPr>
        <w:t>The Economics of Welfare.</w:t>
      </w:r>
      <w:r w:rsidRPr="008F793C">
        <w:rPr>
          <w:rFonts w:ascii="Arial" w:hAnsi="Arial" w:cs="Arial"/>
          <w:color w:val="333333"/>
          <w:sz w:val="24"/>
          <w:szCs w:val="24"/>
        </w:rPr>
        <w:t xml:space="preserve"> 4th ed. London: Macmillan. Available online at: </w:t>
      </w:r>
      <w:hyperlink r:id="rId15" w:history="1">
        <w:r w:rsidRPr="008F793C">
          <w:rPr>
            <w:rStyle w:val="Hyperlink"/>
            <w:rFonts w:ascii="Arial" w:hAnsi="Arial" w:cs="Arial"/>
            <w:bCs/>
            <w:sz w:val="24"/>
            <w:szCs w:val="24"/>
          </w:rPr>
          <w:t>http://www.econlib.org/library/NPDBooks/Pigou/pgEW.html</w:t>
        </w:r>
        <w:r w:rsidRPr="008F793C">
          <w:rPr>
            <w:rStyle w:val="Hyperlink"/>
            <w:rFonts w:ascii="Arial" w:hAnsi="Arial" w:cs="Arial"/>
            <w:sz w:val="24"/>
            <w:szCs w:val="24"/>
            <w:bdr w:val="none" w:sz="0" w:space="0" w:color="auto"/>
          </w:rPr>
          <w:t xml:space="preserve"> Accessed 02.06.09</w:t>
        </w:r>
      </w:hyperlink>
    </w:p>
    <w:p w:rsidR="00A14E00" w:rsidRDefault="00A14E00" w:rsidP="00A14E00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0B49AA">
        <w:rPr>
          <w:rFonts w:ascii="Arial" w:hAnsi="Arial" w:cs="Arial"/>
          <w:bCs/>
          <w:sz w:val="24"/>
          <w:szCs w:val="24"/>
        </w:rPr>
        <w:t xml:space="preserve">Reith, </w:t>
      </w:r>
      <w:r>
        <w:rPr>
          <w:rFonts w:ascii="Arial" w:hAnsi="Arial" w:cs="Arial"/>
          <w:bCs/>
          <w:sz w:val="24"/>
          <w:szCs w:val="24"/>
        </w:rPr>
        <w:t xml:space="preserve">G. (2006) </w:t>
      </w:r>
      <w:r w:rsidRPr="000B49AA">
        <w:rPr>
          <w:rFonts w:ascii="Arial" w:hAnsi="Arial" w:cs="Arial"/>
          <w:bCs/>
          <w:sz w:val="24"/>
          <w:szCs w:val="24"/>
        </w:rPr>
        <w:t>Research on the social impacts of</w:t>
      </w:r>
      <w:r>
        <w:rPr>
          <w:rFonts w:ascii="Arial" w:hAnsi="Arial" w:cs="Arial"/>
          <w:bCs/>
          <w:sz w:val="24"/>
          <w:szCs w:val="24"/>
        </w:rPr>
        <w:t xml:space="preserve"> </w:t>
      </w:r>
      <w:r w:rsidRPr="000B49AA">
        <w:rPr>
          <w:rFonts w:ascii="Arial" w:hAnsi="Arial" w:cs="Arial"/>
          <w:bCs/>
          <w:sz w:val="24"/>
          <w:szCs w:val="24"/>
        </w:rPr>
        <w:t>Gambling</w:t>
      </w:r>
      <w:r>
        <w:rPr>
          <w:rFonts w:ascii="Arial" w:hAnsi="Arial" w:cs="Arial"/>
          <w:bCs/>
          <w:sz w:val="24"/>
          <w:szCs w:val="24"/>
        </w:rPr>
        <w:t xml:space="preserve">: </w:t>
      </w:r>
      <w:r w:rsidRPr="000B49AA">
        <w:rPr>
          <w:rFonts w:ascii="Arial" w:hAnsi="Arial" w:cs="Arial"/>
          <w:bCs/>
          <w:sz w:val="24"/>
          <w:szCs w:val="24"/>
        </w:rPr>
        <w:t>Final report</w:t>
      </w:r>
      <w:r>
        <w:rPr>
          <w:rFonts w:ascii="Arial" w:hAnsi="Arial" w:cs="Arial"/>
          <w:bCs/>
          <w:sz w:val="24"/>
          <w:szCs w:val="24"/>
        </w:rPr>
        <w:t xml:space="preserve">, </w:t>
      </w:r>
      <w:r w:rsidRPr="000B49AA">
        <w:rPr>
          <w:rFonts w:ascii="Arial" w:hAnsi="Arial" w:cs="Arial"/>
          <w:bCs/>
          <w:sz w:val="24"/>
          <w:szCs w:val="24"/>
        </w:rPr>
        <w:t>The Scottish Centre for Social Research (ScotCen)</w:t>
      </w:r>
      <w:r>
        <w:rPr>
          <w:rFonts w:ascii="Arial" w:hAnsi="Arial" w:cs="Arial"/>
          <w:bCs/>
          <w:sz w:val="24"/>
          <w:szCs w:val="24"/>
        </w:rPr>
        <w:t xml:space="preserve">, </w:t>
      </w:r>
      <w:hyperlink r:id="rId16" w:history="1">
        <w:r w:rsidRPr="001D2D5E">
          <w:rPr>
            <w:rStyle w:val="Hyperlink"/>
            <w:rFonts w:ascii="Arial" w:hAnsi="Arial" w:cs="Arial"/>
            <w:bCs/>
            <w:sz w:val="24"/>
            <w:szCs w:val="24"/>
            <w:bdr w:val="none" w:sz="0" w:space="0" w:color="auto"/>
          </w:rPr>
          <w:t>http://www.scotland.gov.uk/Resource/Doc/143770/0036514.pdf Accessed 20.06.09</w:t>
        </w:r>
      </w:hyperlink>
      <w:r>
        <w:rPr>
          <w:rFonts w:ascii="Arial" w:hAnsi="Arial" w:cs="Arial"/>
          <w:bCs/>
          <w:sz w:val="24"/>
          <w:szCs w:val="24"/>
        </w:rPr>
        <w:t xml:space="preserve"> </w:t>
      </w:r>
    </w:p>
    <w:p w:rsidR="00A14E00" w:rsidRDefault="00A14E00" w:rsidP="00A14E00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Cs/>
          <w:sz w:val="24"/>
          <w:szCs w:val="24"/>
        </w:rPr>
      </w:pPr>
    </w:p>
    <w:p w:rsidR="000C1BB1" w:rsidRPr="008F793C" w:rsidRDefault="000B49AA" w:rsidP="000C1BB1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Cs/>
          <w:sz w:val="24"/>
          <w:szCs w:val="24"/>
        </w:rPr>
      </w:pPr>
      <w:r w:rsidRPr="008F793C">
        <w:rPr>
          <w:rFonts w:ascii="Arial" w:hAnsi="Arial" w:cs="Arial"/>
          <w:bCs/>
          <w:sz w:val="24"/>
          <w:szCs w:val="24"/>
        </w:rPr>
        <w:t>Stevens</w:t>
      </w:r>
      <w:r w:rsidR="00A14E00">
        <w:rPr>
          <w:rFonts w:ascii="Arial" w:hAnsi="Arial" w:cs="Arial"/>
          <w:bCs/>
          <w:sz w:val="24"/>
          <w:szCs w:val="24"/>
        </w:rPr>
        <w:t>, R.M.</w:t>
      </w:r>
      <w:r w:rsidRPr="008F793C">
        <w:rPr>
          <w:rFonts w:ascii="Arial" w:hAnsi="Arial" w:cs="Arial"/>
          <w:bCs/>
          <w:sz w:val="24"/>
          <w:szCs w:val="24"/>
        </w:rPr>
        <w:t>G.</w:t>
      </w:r>
      <w:r>
        <w:rPr>
          <w:rFonts w:ascii="Arial" w:hAnsi="Arial" w:cs="Arial"/>
          <w:bCs/>
          <w:sz w:val="24"/>
          <w:szCs w:val="24"/>
        </w:rPr>
        <w:t xml:space="preserve"> &amp; </w:t>
      </w:r>
      <w:r w:rsidRPr="008F793C">
        <w:rPr>
          <w:rFonts w:ascii="Arial" w:hAnsi="Arial" w:cs="Arial"/>
          <w:bCs/>
          <w:sz w:val="24"/>
          <w:szCs w:val="24"/>
        </w:rPr>
        <w:t>Williams</w:t>
      </w:r>
      <w:r>
        <w:rPr>
          <w:rFonts w:ascii="Arial" w:hAnsi="Arial" w:cs="Arial"/>
          <w:bCs/>
          <w:sz w:val="24"/>
          <w:szCs w:val="24"/>
        </w:rPr>
        <w:t xml:space="preserve">, R.J. (2004) </w:t>
      </w:r>
      <w:r w:rsidR="00553B82" w:rsidRPr="000B49AA">
        <w:rPr>
          <w:rFonts w:ascii="Arial" w:hAnsi="Arial" w:cs="Arial"/>
          <w:bCs/>
          <w:sz w:val="24"/>
          <w:szCs w:val="24"/>
          <w:u w:val="single"/>
        </w:rPr>
        <w:t>Socio-economic impacts associated with the Introduction of casino gambling: a literature</w:t>
      </w:r>
      <w:r w:rsidRPr="000B49AA">
        <w:rPr>
          <w:rFonts w:ascii="Arial" w:hAnsi="Arial" w:cs="Arial"/>
          <w:bCs/>
          <w:sz w:val="24"/>
          <w:szCs w:val="24"/>
          <w:u w:val="single"/>
        </w:rPr>
        <w:t>:</w:t>
      </w:r>
      <w:r w:rsidR="00553B82" w:rsidRPr="000B49AA">
        <w:rPr>
          <w:rFonts w:ascii="Arial" w:hAnsi="Arial" w:cs="Arial"/>
          <w:bCs/>
          <w:sz w:val="24"/>
          <w:szCs w:val="24"/>
          <w:u w:val="single"/>
        </w:rPr>
        <w:t xml:space="preserve"> Review and synthesis</w:t>
      </w:r>
      <w:r w:rsidRPr="000B49AA">
        <w:rPr>
          <w:rFonts w:ascii="Arial" w:hAnsi="Arial" w:cs="Arial"/>
          <w:bCs/>
          <w:sz w:val="24"/>
          <w:szCs w:val="24"/>
          <w:u w:val="single"/>
        </w:rPr>
        <w:t>,</w:t>
      </w:r>
      <w:r w:rsidR="00553B82" w:rsidRPr="008F793C">
        <w:rPr>
          <w:rFonts w:ascii="Arial" w:hAnsi="Arial" w:cs="Arial"/>
          <w:bCs/>
          <w:sz w:val="24"/>
          <w:szCs w:val="24"/>
        </w:rPr>
        <w:t xml:space="preserve"> </w:t>
      </w:r>
      <w:r w:rsidR="000C1BB1" w:rsidRPr="008F793C">
        <w:rPr>
          <w:rFonts w:ascii="Arial" w:hAnsi="Arial" w:cs="Arial"/>
          <w:bCs/>
          <w:sz w:val="24"/>
          <w:szCs w:val="24"/>
        </w:rPr>
        <w:t xml:space="preserve">Alberta Gaming Research Institute </w:t>
      </w:r>
    </w:p>
    <w:p w:rsidR="000B49AA" w:rsidRDefault="00A14E00" w:rsidP="00A14E00">
      <w:pPr>
        <w:pStyle w:val="NormalWeb"/>
        <w:rPr>
          <w:rFonts w:ascii="Arial" w:hAnsi="Arial" w:cs="Arial"/>
        </w:rPr>
      </w:pPr>
      <w:r>
        <w:rPr>
          <w:rStyle w:val="Emphasis"/>
          <w:rFonts w:ascii="Arial" w:hAnsi="Arial" w:cs="Arial"/>
          <w:i w:val="0"/>
        </w:rPr>
        <w:t>Williams, R., Humphreys, B., Belanger, Y. &amp; Wynne, H.</w:t>
      </w:r>
      <w:r w:rsidRPr="00A14E00">
        <w:rPr>
          <w:rStyle w:val="Emphasis"/>
          <w:rFonts w:ascii="Arial" w:hAnsi="Arial" w:cs="Arial"/>
          <w:i w:val="0"/>
        </w:rPr>
        <w:t>(2009)</w:t>
      </w:r>
      <w:r w:rsidRPr="00A14E00">
        <w:rPr>
          <w:rStyle w:val="Strong"/>
          <w:rFonts w:ascii="Arial" w:hAnsi="Arial" w:cs="Arial"/>
          <w:b w:val="0"/>
        </w:rPr>
        <w:t xml:space="preserve"> Social &amp; Economic Impacts of Gambling in Alberta (SEIGA</w:t>
      </w:r>
      <w:r>
        <w:rPr>
          <w:rStyle w:val="Strong"/>
          <w:rFonts w:ascii="Arial" w:hAnsi="Arial" w:cs="Arial"/>
          <w:b w:val="0"/>
        </w:rPr>
        <w:t xml:space="preserve">) Alberta Gaming Research </w:t>
      </w:r>
      <w:r w:rsidRPr="00A14E00">
        <w:rPr>
          <w:rStyle w:val="Strong"/>
          <w:rFonts w:ascii="Arial" w:hAnsi="Arial" w:cs="Arial"/>
          <w:b w:val="0"/>
        </w:rPr>
        <w:t>Institute</w:t>
      </w:r>
      <w:r>
        <w:rPr>
          <w:rStyle w:val="Strong"/>
          <w:rFonts w:ascii="Arial" w:hAnsi="Arial" w:cs="Arial"/>
          <w:b w:val="0"/>
        </w:rPr>
        <w:t xml:space="preserve"> </w:t>
      </w:r>
      <w:hyperlink r:id="rId17" w:history="1">
        <w:r w:rsidRPr="001D2D5E">
          <w:rPr>
            <w:rStyle w:val="Hyperlink"/>
            <w:rFonts w:ascii="Arial" w:hAnsi="Arial" w:cs="Arial"/>
            <w:bdr w:val="none" w:sz="0" w:space="0" w:color="auto"/>
          </w:rPr>
          <w:t>http://www.abgaminginstitute.ualberta.ca/</w:t>
        </w:r>
      </w:hyperlink>
    </w:p>
    <w:p w:rsidR="00A14E00" w:rsidRDefault="00A14E00" w:rsidP="00A14E00">
      <w:pPr>
        <w:autoSpaceDE w:val="0"/>
        <w:autoSpaceDN w:val="0"/>
        <w:adjustRightInd w:val="0"/>
        <w:spacing w:after="0" w:line="240" w:lineRule="auto"/>
        <w:rPr>
          <w:rFonts w:ascii="ArialMT" w:hAnsi="ArialMT" w:cs="ArialMT"/>
          <w:sz w:val="28"/>
          <w:szCs w:val="28"/>
        </w:rPr>
      </w:pPr>
    </w:p>
    <w:sectPr w:rsidR="00A14E00" w:rsidSect="009E32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ArialMT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4D381505"/>
    <w:multiLevelType w:val="multilevel"/>
    <w:tmpl w:val="3E7A2E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F87EE8"/>
    <w:rsid w:val="000B49AA"/>
    <w:rsid w:val="000C1BB1"/>
    <w:rsid w:val="00157A3B"/>
    <w:rsid w:val="001B6694"/>
    <w:rsid w:val="00245296"/>
    <w:rsid w:val="003F0857"/>
    <w:rsid w:val="00553B82"/>
    <w:rsid w:val="005F6C30"/>
    <w:rsid w:val="00607CBF"/>
    <w:rsid w:val="00622482"/>
    <w:rsid w:val="00664696"/>
    <w:rsid w:val="00795992"/>
    <w:rsid w:val="008229CF"/>
    <w:rsid w:val="008A19AB"/>
    <w:rsid w:val="008A38BE"/>
    <w:rsid w:val="008F793C"/>
    <w:rsid w:val="009B5262"/>
    <w:rsid w:val="009E3271"/>
    <w:rsid w:val="00A14E00"/>
    <w:rsid w:val="00AE3A77"/>
    <w:rsid w:val="00AE4E84"/>
    <w:rsid w:val="00CE117D"/>
    <w:rsid w:val="00F87EE8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E3271"/>
  </w:style>
  <w:style w:type="paragraph" w:styleId="Heading1">
    <w:name w:val="heading 1"/>
    <w:basedOn w:val="Normal"/>
    <w:next w:val="Normal"/>
    <w:link w:val="Heading1Char"/>
    <w:qFormat/>
    <w:rsid w:val="008F793C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87EE8"/>
    <w:rPr>
      <w:strike w:val="0"/>
      <w:dstrike w:val="0"/>
      <w:color w:val="333333"/>
      <w:u w:val="none"/>
      <w:effect w:val="none"/>
      <w:bdr w:val="none" w:sz="0" w:space="0" w:color="auto" w:frame="1"/>
    </w:rPr>
  </w:style>
  <w:style w:type="character" w:styleId="HTMLCite">
    <w:name w:val="HTML Cite"/>
    <w:basedOn w:val="DefaultParagraphFont"/>
    <w:uiPriority w:val="99"/>
    <w:semiHidden/>
    <w:unhideWhenUsed/>
    <w:rsid w:val="00CE117D"/>
    <w:rPr>
      <w:i w:val="0"/>
      <w:iCs w:val="0"/>
      <w:color w:val="008000"/>
    </w:rPr>
  </w:style>
  <w:style w:type="paragraph" w:customStyle="1" w:styleId="Default">
    <w:name w:val="Default"/>
    <w:rsid w:val="008A19AB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character" w:customStyle="1" w:styleId="Heading1Char">
    <w:name w:val="Heading 1 Char"/>
    <w:basedOn w:val="DefaultParagraphFont"/>
    <w:link w:val="Heading1"/>
    <w:rsid w:val="008F793C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bidi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F793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F793C"/>
    <w:rPr>
      <w:rFonts w:ascii="Tahoma" w:hAnsi="Tahoma" w:cs="Tahoma"/>
      <w:sz w:val="16"/>
      <w:szCs w:val="16"/>
    </w:rPr>
  </w:style>
  <w:style w:type="character" w:styleId="Strong">
    <w:name w:val="Strong"/>
    <w:basedOn w:val="DefaultParagraphFont"/>
    <w:uiPriority w:val="22"/>
    <w:qFormat/>
    <w:rsid w:val="000B49AA"/>
    <w:rPr>
      <w:b/>
      <w:bCs/>
    </w:rPr>
  </w:style>
  <w:style w:type="paragraph" w:styleId="NormalWeb">
    <w:name w:val="Normal (Web)"/>
    <w:basedOn w:val="Normal"/>
    <w:uiPriority w:val="99"/>
    <w:unhideWhenUsed/>
    <w:rsid w:val="00A14E0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A14E00"/>
    <w:rPr>
      <w:i/>
      <w:i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449325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951178">
          <w:marLeft w:val="0"/>
          <w:marRight w:val="0"/>
          <w:marTop w:val="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8922593">
              <w:marLeft w:val="0"/>
              <w:marRight w:val="0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1191534">
                  <w:marLeft w:val="267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3697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insights.org.uk/articleitem.aspx?title=Casinos%3A+gambling+on+regeneration" TargetMode="External"/><Relationship Id="rId13" Type="http://schemas.openxmlformats.org/officeDocument/2006/relationships/hyperlink" Target="http://www.esrc.ac.uk/ESRCInfoCentre/about/CI/CP/Our_Society_Today/News_Articles_2006/gambling.aspx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hyperlink" Target="http://www.afm.mb.ca/Media%20Room/documents/SEIGFramework.pdf" TargetMode="External"/><Relationship Id="rId12" Type="http://schemas.openxmlformats.org/officeDocument/2006/relationships/hyperlink" Target="http://www.esrc.ac.uk/ESRCInfoCentre/about/CI/CP/Our_Society_Today/News_Articles_2006/index.aspx" TargetMode="External"/><Relationship Id="rId17" Type="http://schemas.openxmlformats.org/officeDocument/2006/relationships/hyperlink" Target="http://www.abgaminginstitute.ualberta.ca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://www.scotland.gov.uk/Resource/Doc/143770/0036514.pdf%20Accessed%2020.06.09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://www.caasny.com" TargetMode="External"/><Relationship Id="rId11" Type="http://schemas.openxmlformats.org/officeDocument/2006/relationships/hyperlink" Target="http://www.culture.gov.uk/CAP/ls.../responses/GreatYarmouth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://www.econlib.org/library/NPDBooks/Pigou/pgEW.html%20Accessed%2002.06.09" TargetMode="External"/><Relationship Id="rId10" Type="http://schemas.openxmlformats.org/officeDocument/2006/relationships/hyperlink" Target="http://www.gamblingstudies.salford.ac.uk/.../M.Etches.%20Is%20there%20any%20hope%20for%20the%20ind..ppt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://www.dailymail.co.uk/news/article-322021/Daily-Mail-campaign-Kill-Casino-Bill.html" TargetMode="External"/><Relationship Id="rId14" Type="http://schemas.openxmlformats.org/officeDocument/2006/relationships/hyperlink" Target="http://www.codesria.org/Links/Publications/asr5_2full/ligthelm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155BA2E-D680-43CC-A01B-EE02EE21F6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726</Words>
  <Characters>4143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Metropolitas</Company>
  <LinksUpToDate>false</LinksUpToDate>
  <CharactersWithSpaces>4860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 Griffiths</dc:creator>
  <cp:keywords/>
  <dc:description/>
  <cp:lastModifiedBy>Steve Griffiths</cp:lastModifiedBy>
  <cp:revision>2</cp:revision>
  <dcterms:created xsi:type="dcterms:W3CDTF">2009-07-10T15:13:00Z</dcterms:created>
  <dcterms:modified xsi:type="dcterms:W3CDTF">2009-07-10T15:13:00Z</dcterms:modified>
</cp:coreProperties>
</file>