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1">
      <w:pPr>
        <w:rPr>
          <w:rFonts w:ascii="Arial" w:cs="Arial" w:hAnsi="Arial"/>
        </w:rPr>
      </w:pPr>
    </w:p>
    <w:p w14:paraId="00000002">
      <w:pPr>
        <w:rPr>
          <w:rFonts w:ascii="Arial" w:cs="Arial" w:hAnsi="Arial"/>
        </w:rPr>
      </w:pPr>
    </w:p>
    <w:p w14:paraId="00000003">
      <w:pPr>
        <w:rPr>
          <w:rFonts w:ascii="Arial" w:cs="Arial" w:hAnsi="Arial"/>
        </w:rPr>
      </w:pPr>
    </w:p>
    <w:p w14:paraId="00000004">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STUDENT NAME:CHERRY SPENCER.</w:t>
      </w:r>
    </w:p>
    <w:p w14:paraId="00000005">
      <w:pPr>
        <w:bidi w:val="off"/>
        <w:rPr>
          <w:rFonts w:ascii="Arial" w:cs="Arial" w:hAnsi="Arial"/>
          <w:b/>
          <w:bCs/>
          <w:sz w:val="32"/>
          <w:szCs w:val="32"/>
          <w:highlight w:val="none"/>
          <w:rtl w:val="off"/>
          <w:lang w:val="en-US"/>
        </w:rPr>
      </w:pPr>
    </w:p>
    <w:p w14:paraId="00000006">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STUDENT NUMBER:2315880.</w:t>
      </w:r>
    </w:p>
    <w:p w14:paraId="00000007">
      <w:pPr>
        <w:bidi w:val="off"/>
        <w:rPr>
          <w:rFonts w:ascii="Arial" w:cs="Arial" w:hAnsi="Arial"/>
          <w:b/>
          <w:bCs/>
          <w:sz w:val="32"/>
          <w:szCs w:val="32"/>
          <w:highlight w:val="none"/>
          <w:rtl w:val="off"/>
          <w:lang w:val="en-US"/>
        </w:rPr>
      </w:pPr>
    </w:p>
    <w:p w14:paraId="00000008">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 xml:space="preserve">ASSIGNMENT TITLE:REPORT </w:t>
      </w:r>
      <w:r>
        <w:rPr>
          <w:rFonts w:ascii="Arial" w:cs="Arial" w:hAnsi="Arial"/>
          <w:b/>
          <w:bCs/>
          <w:sz w:val="32"/>
          <w:szCs w:val="32"/>
          <w:highlight w:val="none"/>
          <w:rtl w:val="off"/>
          <w:lang w:val="en-GB"/>
        </w:rPr>
        <w:t>.</w:t>
      </w:r>
    </w:p>
    <w:p w14:paraId="00000009">
      <w:pPr>
        <w:bidi w:val="off"/>
        <w:rPr>
          <w:rFonts w:ascii="Arial" w:cs="Arial" w:hAnsi="Arial"/>
          <w:b/>
          <w:bCs/>
          <w:sz w:val="32"/>
          <w:szCs w:val="32"/>
          <w:highlight w:val="none"/>
          <w:rtl w:val="off"/>
          <w:lang w:val="en-US"/>
        </w:rPr>
      </w:pPr>
    </w:p>
    <w:p w14:paraId="0000000A">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MODULE TITLE:</w:t>
      </w:r>
      <w:r>
        <w:rPr>
          <w:rFonts w:ascii="Arial" w:cs="Arial" w:hAnsi="Arial"/>
          <w:b/>
          <w:bCs/>
          <w:sz w:val="32"/>
          <w:szCs w:val="32"/>
          <w:highlight w:val="none"/>
          <w:rtl w:val="off"/>
          <w:lang w:val="en-GB"/>
        </w:rPr>
        <w:t>PSYCHOLOGICAL CLASSIFICATIONS AND PROVISIONS</w:t>
      </w:r>
      <w:r>
        <w:rPr>
          <w:rFonts w:ascii="Arial" w:cs="Arial" w:hAnsi="Arial"/>
          <w:b/>
          <w:bCs/>
          <w:sz w:val="32"/>
          <w:szCs w:val="32"/>
          <w:highlight w:val="none"/>
          <w:rtl w:val="off"/>
          <w:lang w:val="en-US"/>
        </w:rPr>
        <w:t>.</w:t>
      </w:r>
    </w:p>
    <w:p w14:paraId="0000000B">
      <w:pPr>
        <w:bidi w:val="off"/>
        <w:rPr>
          <w:rFonts w:ascii="Arial" w:cs="Arial" w:hAnsi="Arial"/>
          <w:b/>
          <w:bCs/>
          <w:sz w:val="32"/>
          <w:szCs w:val="32"/>
          <w:highlight w:val="none"/>
          <w:rtl w:val="off"/>
          <w:lang w:val="en-US"/>
        </w:rPr>
      </w:pPr>
    </w:p>
    <w:p w14:paraId="0000000C">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MODULE CODE:BMHP</w:t>
      </w:r>
      <w:r>
        <w:rPr>
          <w:rFonts w:ascii="Arial" w:cs="Arial" w:hAnsi="Arial"/>
          <w:b/>
          <w:bCs/>
          <w:sz w:val="32"/>
          <w:szCs w:val="32"/>
          <w:highlight w:val="none"/>
          <w:rtl w:val="off"/>
          <w:lang w:val="en-GB"/>
        </w:rPr>
        <w:t>6029</w:t>
      </w:r>
      <w:r>
        <w:rPr>
          <w:rFonts w:ascii="Arial" w:cs="Arial" w:hAnsi="Arial"/>
          <w:b/>
          <w:bCs/>
          <w:sz w:val="32"/>
          <w:szCs w:val="32"/>
          <w:highlight w:val="none"/>
          <w:rtl w:val="off"/>
          <w:lang w:val="en-US"/>
        </w:rPr>
        <w:t>.</w:t>
      </w:r>
    </w:p>
    <w:p w14:paraId="0000000D">
      <w:pPr>
        <w:bidi w:val="off"/>
        <w:rPr>
          <w:rFonts w:ascii="Arial" w:cs="Arial" w:hAnsi="Arial"/>
          <w:b/>
          <w:bCs/>
          <w:sz w:val="32"/>
          <w:szCs w:val="32"/>
          <w:highlight w:val="none"/>
          <w:rtl w:val="off"/>
          <w:lang w:val="en-US"/>
        </w:rPr>
      </w:pPr>
    </w:p>
    <w:p w14:paraId="0000000E">
      <w:pPr>
        <w:bidi w:val="off"/>
        <w:rPr>
          <w:rFonts w:ascii="Arial" w:cs="Arial" w:hAnsi="Arial"/>
          <w:b/>
          <w:bCs/>
          <w:sz w:val="32"/>
          <w:szCs w:val="32"/>
          <w:highlight w:val="none"/>
          <w:rtl w:val="off"/>
          <w:lang w:val="en-US"/>
        </w:rPr>
      </w:pPr>
      <w:r>
        <w:rPr>
          <w:rFonts w:ascii="Arial" w:cs="Arial" w:hAnsi="Arial"/>
          <w:b/>
          <w:bCs/>
          <w:sz w:val="32"/>
          <w:szCs w:val="32"/>
          <w:highlight w:val="none"/>
          <w:rtl w:val="off"/>
          <w:lang w:val="en-US"/>
        </w:rPr>
        <w:t>LECTURER’S NAME:</w:t>
      </w:r>
      <w:r>
        <w:rPr>
          <w:rFonts w:ascii="Arial" w:cs="Arial" w:hAnsi="Arial"/>
          <w:b/>
          <w:bCs/>
          <w:sz w:val="32"/>
          <w:szCs w:val="32"/>
          <w:highlight w:val="none"/>
          <w:rtl w:val="off"/>
          <w:lang w:val="en-GB"/>
        </w:rPr>
        <w:t>KENNEDY OBOHWEMU.</w:t>
      </w:r>
    </w:p>
    <w:p w14:paraId="0000000F">
      <w:pPr>
        <w:rPr>
          <w:rFonts w:ascii="Arial" w:cs="Arial" w:hAnsi="Arial"/>
        </w:rPr>
      </w:pPr>
    </w:p>
    <w:p w14:paraId="00000010">
      <w:pPr>
        <w:rPr>
          <w:rFonts w:ascii="Arial" w:cs="Arial" w:hAnsi="Arial"/>
        </w:rPr>
      </w:pPr>
    </w:p>
    <w:p w14:paraId="00000011">
      <w:pPr>
        <w:rPr>
          <w:rFonts w:ascii="Arial" w:cs="Arial" w:hAnsi="Arial"/>
        </w:rPr>
      </w:pPr>
    </w:p>
    <w:p w14:paraId="00000012">
      <w:pPr>
        <w:rPr>
          <w:rFonts w:ascii="Arial" w:cs="Arial" w:hAnsi="Arial"/>
        </w:rPr>
      </w:pPr>
    </w:p>
    <w:p w14:paraId="00000013">
      <w:pPr>
        <w:rPr>
          <w:rFonts w:ascii="Arial" w:cs="Arial" w:hAnsi="Arial"/>
        </w:rPr>
      </w:pPr>
    </w:p>
    <w:p w14:paraId="00000014">
      <w:pPr>
        <w:rPr>
          <w:rFonts w:ascii="Arial" w:cs="Arial" w:hAnsi="Arial"/>
        </w:rPr>
      </w:pPr>
    </w:p>
    <w:p w14:paraId="00000015">
      <w:pPr>
        <w:bidi w:val="off"/>
        <w:rPr>
          <w:rFonts w:ascii="Arial" w:cs="Arial" w:hAnsi="Arial"/>
          <w:b/>
          <w:bCs/>
        </w:rPr>
      </w:pPr>
      <w:r>
        <w:rPr>
          <w:rFonts w:ascii="Arial" w:cs="Arial" w:hAnsi="Arial"/>
          <w:b/>
          <w:bCs/>
        </w:rPr>
        <w:t>INTRODUCTION.</w:t>
      </w:r>
    </w:p>
    <w:p w14:paraId="00000016">
      <w:pPr>
        <w:bidi w:val="off"/>
        <w:rPr>
          <w:rFonts w:ascii="Arial" w:cs="Arial" w:hAnsi="Arial"/>
        </w:rPr>
      </w:pPr>
    </w:p>
    <w:p w14:paraId="00000017">
      <w:pPr>
        <w:rPr>
          <w:rFonts w:ascii="Arial" w:cs="Arial" w:hAnsi="Arial"/>
        </w:rPr>
      </w:pPr>
      <w:r>
        <w:rPr>
          <w:rFonts w:ascii="Arial" w:cs="Arial" w:hAnsi="Arial"/>
        </w:rPr>
        <w:t xml:space="preserve">This report critically examines bipolar disorder as classified under ICD-11 by evaluating its classifications and diagnosis, treatment and rehabilitation strategies, current debates, and evidence-based recommendations for improving clinical practice, policy, and future research. </w:t>
      </w:r>
    </w:p>
    <w:p w14:paraId="00000018">
      <w:pPr>
        <w:rPr>
          <w:rFonts w:ascii="Arial" w:cs="Arial" w:hAnsi="Arial"/>
        </w:rPr>
      </w:pPr>
      <w:r>
        <w:rPr>
          <w:rFonts w:ascii="Arial" w:cs="Arial" w:hAnsi="Arial"/>
        </w:rPr>
        <w:t xml:space="preserve">Bipolar disorder is a chronic mental health disorder </w:t>
      </w:r>
      <w:r>
        <w:rPr>
          <w:rFonts w:ascii="Arial" w:cs="Arial" w:hAnsi="Arial"/>
        </w:rPr>
        <w:t>characterised</w:t>
      </w:r>
      <w:r>
        <w:rPr>
          <w:rFonts w:ascii="Arial" w:cs="Arial" w:hAnsi="Arial"/>
        </w:rPr>
        <w:t xml:space="preserve"> by recurrent episodes of mania, hypomania, and depression that significantly affect an individual's emotions, cognition, </w:t>
      </w:r>
      <w:r>
        <w:rPr>
          <w:rFonts w:ascii="Arial" w:cs="Arial" w:hAnsi="Arial"/>
        </w:rPr>
        <w:t>behaviour</w:t>
      </w:r>
      <w:r>
        <w:rPr>
          <w:rFonts w:ascii="Arial" w:cs="Arial" w:hAnsi="Arial"/>
        </w:rPr>
        <w:t xml:space="preserve">, and daily functioning. It is </w:t>
      </w:r>
      <w:r>
        <w:rPr>
          <w:rFonts w:ascii="Arial" w:cs="Arial" w:hAnsi="Arial"/>
        </w:rPr>
        <w:t>recognised</w:t>
      </w:r>
      <w:r>
        <w:rPr>
          <w:rFonts w:ascii="Arial" w:cs="Arial" w:hAnsi="Arial"/>
        </w:rPr>
        <w:t xml:space="preserve"> as one of the leading causes of disability worldwide due to its early onset, recurrent course, and substantial impact on education, employment, interpersonal relationships, and quality of life </w:t>
      </w:r>
      <w:r>
        <w:rPr>
          <w:rFonts w:ascii="Arial" w:cs="Arial" w:hAnsi="Arial"/>
        </w:rPr>
        <w:t>(WHO, 2022)</w:t>
      </w:r>
      <w:r>
        <w:rPr>
          <w:rFonts w:ascii="Arial" w:cs="Arial" w:hAnsi="Arial"/>
        </w:rPr>
        <w:t xml:space="preserve">. Although effective treatments exist, diagnosis remains challenging because its symptoms frequently overlap with conditions such as major depressive disorder, schizophrenia, attention-deficit/hyperactivity disorder (ADHD), and certain personality disorders. As a result, many individuals experience delayed diagnosis and inappropriate treatment before receiving appropriate care </w:t>
      </w:r>
      <w:r>
        <w:rPr>
          <w:rFonts w:ascii="Arial" w:cs="Arial" w:hAnsi="Arial"/>
        </w:rPr>
        <w:t>(Carvalho et al., 2020)</w:t>
      </w:r>
      <w:r>
        <w:rPr>
          <w:rFonts w:ascii="Arial" w:cs="Arial" w:hAnsi="Arial"/>
        </w:rPr>
        <w:t>.</w:t>
      </w:r>
    </w:p>
    <w:p w14:paraId="00000019">
      <w:pPr>
        <w:rPr>
          <w:rFonts w:ascii="Arial" w:cs="Arial" w:hAnsi="Arial"/>
        </w:rPr>
      </w:pPr>
      <w:r>
        <w:rPr>
          <w:rFonts w:ascii="Arial" w:cs="Arial" w:hAnsi="Arial"/>
        </w:rPr>
        <w:t xml:space="preserve">The International Classification of Diseases, Eleventh Revision (ICD-11), classifies bipolar disorder under Mood Disorders and provides internationally </w:t>
      </w:r>
      <w:r>
        <w:rPr>
          <w:rFonts w:ascii="Arial" w:cs="Arial" w:hAnsi="Arial"/>
        </w:rPr>
        <w:t>recognised</w:t>
      </w:r>
      <w:r>
        <w:rPr>
          <w:rFonts w:ascii="Arial" w:cs="Arial" w:hAnsi="Arial"/>
        </w:rPr>
        <w:t xml:space="preserve"> diagnostic criteria to improve diagnostic consistency and clinical management. Despite advances in psychiatric research, debates continue regarding its classification, the bipolar spectrum, treatment approaches, stigma, and long-term rehabilitation. Emerging evidence in genetics, neuroscience, and digital mental health is also reshaping understanding of the disorder.</w:t>
      </w:r>
    </w:p>
    <w:p w14:paraId="0000001A">
      <w:pPr>
        <w:rPr>
          <w:rFonts w:ascii="Arial" w:cs="Arial" w:hAnsi="Arial"/>
        </w:rPr>
      </w:pPr>
    </w:p>
    <w:p w14:paraId="0000001B">
      <w:pPr>
        <w:rPr>
          <w:rFonts w:ascii="Arial" w:cs="Arial" w:hAnsi="Arial"/>
          <w:b/>
          <w:bCs/>
        </w:rPr>
      </w:pPr>
      <w:r>
        <w:rPr>
          <w:rFonts w:ascii="Arial" w:cs="Arial" w:hAnsi="Arial"/>
          <w:b/>
          <w:bCs/>
        </w:rPr>
        <w:t>CLASSIFICATION AND DIAGNOSIS.</w:t>
      </w:r>
    </w:p>
    <w:p w14:paraId="0000001C">
      <w:pPr>
        <w:bidi w:val="off"/>
        <w:rPr>
          <w:rFonts w:ascii="Arial" w:cs="Arial" w:hAnsi="Arial"/>
          <w:lang w:val="en-US"/>
        </w:rPr>
      </w:pPr>
      <w:r>
        <w:rPr>
          <w:rFonts w:ascii="Arial" w:cs="Arial" w:hAnsi="Arial"/>
        </w:rPr>
        <w:t xml:space="preserve">Bipolar disorder is classified in the International Classification of Diseases, Eleventh Revision (ICD-11) under Chapter 6: Mental, </w:t>
      </w:r>
      <w:r>
        <w:rPr>
          <w:rFonts w:ascii="Arial" w:cs="Arial" w:hAnsi="Arial"/>
        </w:rPr>
        <w:t>Behavioural</w:t>
      </w:r>
      <w:r>
        <w:rPr>
          <w:rFonts w:ascii="Arial" w:cs="Arial" w:hAnsi="Arial"/>
        </w:rPr>
        <w:t xml:space="preserve"> or Neurodevelopmental Disorders, specifically within the category of Mood Disorders </w:t>
      </w:r>
      <w:r>
        <w:rPr>
          <w:rFonts w:ascii="Arial" w:cs="Arial" w:hAnsi="Arial"/>
        </w:rPr>
        <w:t>(WHO, 2022)</w:t>
      </w:r>
      <w:r>
        <w:rPr>
          <w:rFonts w:ascii="Arial" w:cs="Arial" w:hAnsi="Arial"/>
        </w:rPr>
        <w:t xml:space="preserve">. It is defined as a mental disorder </w:t>
      </w:r>
      <w:r>
        <w:rPr>
          <w:rFonts w:ascii="Arial" w:cs="Arial" w:hAnsi="Arial"/>
        </w:rPr>
        <w:t>characterised</w:t>
      </w:r>
      <w:r>
        <w:rPr>
          <w:rFonts w:ascii="Arial" w:cs="Arial" w:hAnsi="Arial"/>
        </w:rPr>
        <w:t xml:space="preserve"> by recurrent episodes of mania, hypomania, and depression that significantly impair social, occupational, educational, or interpersonal functioning.</w:t>
      </w:r>
      <w:r>
        <w:rPr>
          <w:rFonts w:ascii="Arial" w:cs="Arial" w:hAnsi="Arial"/>
        </w:rPr>
        <w:t xml:space="preserve"> </w:t>
      </w:r>
      <w:r>
        <w:rPr>
          <w:rFonts w:ascii="Arial" w:cs="Arial" w:hAnsi="Arial"/>
          <w:rtl w:val="off"/>
          <w:lang w:val="en-US"/>
        </w:rPr>
        <w:t xml:space="preserve">The ICD-11 provides a standardised framework that promotes consistency in diagnosis, treatment, research, and communication among healthcare professionals worldwide. Similar efforts to improve the recognition and diagnosis of bipolar disorders have also been reflected in the DSM-5, highlighting international developments in psychiatric classification (Angst, 2013). </w:t>
      </w:r>
    </w:p>
    <w:p w14:paraId="0000001D">
      <w:pPr>
        <w:bidi w:val="off"/>
        <w:rPr>
          <w:rFonts w:ascii="Arial" w:cs="Arial" w:hAnsi="Arial"/>
        </w:rPr>
      </w:pPr>
      <w:r>
        <w:rPr>
          <w:rFonts w:ascii="Arial" w:cs="Arial" w:hAnsi="Arial"/>
        </w:rPr>
        <w:t xml:space="preserve">ICD-11 distinguishes between Bipolar Type I Disorder and Bipolar Type II Disorder based on symptom severity and clinical presentation. Bipolar I Disorder is diagnosed when an individual experiences at least one manic episode, which may occur before or after depressive or hypomanic episodes. Mania is </w:t>
      </w:r>
      <w:r>
        <w:rPr>
          <w:rFonts w:ascii="Arial" w:cs="Arial" w:hAnsi="Arial"/>
        </w:rPr>
        <w:t>characterised</w:t>
      </w:r>
      <w:r>
        <w:rPr>
          <w:rFonts w:ascii="Arial" w:cs="Arial" w:hAnsi="Arial"/>
        </w:rPr>
        <w:t xml:space="preserve"> by persistently elevated or irritable mood, increased energy, reduced need for sleep, rapid speech, grandiosity, impulsive </w:t>
      </w:r>
      <w:r>
        <w:rPr>
          <w:rFonts w:ascii="Arial" w:cs="Arial" w:hAnsi="Arial"/>
        </w:rPr>
        <w:t>behaviour</w:t>
      </w:r>
      <w:r>
        <w:rPr>
          <w:rFonts w:ascii="Arial" w:cs="Arial" w:hAnsi="Arial"/>
        </w:rPr>
        <w:t xml:space="preserve">, and impaired judgement. Severe episodes may require </w:t>
      </w:r>
      <w:r>
        <w:rPr>
          <w:rFonts w:ascii="Arial" w:cs="Arial" w:hAnsi="Arial"/>
        </w:rPr>
        <w:t>hospitalisation</w:t>
      </w:r>
      <w:r>
        <w:rPr>
          <w:rFonts w:ascii="Arial" w:cs="Arial" w:hAnsi="Arial"/>
        </w:rPr>
        <w:t xml:space="preserve"> and can include psychotic symptoms such as hallucinations or delusions. In contrast, </w:t>
      </w:r>
      <w:r>
        <w:rPr>
          <w:rFonts w:ascii="Arial" w:cs="Arial" w:hAnsi="Arial"/>
        </w:rPr>
        <w:t xml:space="preserve">Bipolar II Disorder is </w:t>
      </w:r>
      <w:r>
        <w:rPr>
          <w:rFonts w:ascii="Arial" w:cs="Arial" w:hAnsi="Arial"/>
        </w:rPr>
        <w:t>characterised</w:t>
      </w:r>
      <w:r>
        <w:rPr>
          <w:rFonts w:ascii="Arial" w:cs="Arial" w:hAnsi="Arial"/>
        </w:rPr>
        <w:t xml:space="preserve"> by at least one hypomanic episode and one major depressive episode without a history of full mania. Although hypomania is less severe and generally does not cause marked functional impairment, depressive episodes are often prolonged and contribute significantly to disability. Differentiating between the two disorders is important because prognosis and treatment strategies differ. </w:t>
      </w:r>
    </w:p>
    <w:p w14:paraId="0000001E">
      <w:pPr>
        <w:bidi w:val="off"/>
        <w:rPr>
          <w:rFonts w:ascii="Arial" w:cs="Arial" w:hAnsi="Arial"/>
          <w:lang w:val="en-US"/>
        </w:rPr>
      </w:pPr>
      <w:r>
        <w:rPr>
          <w:rFonts w:ascii="Arial" w:cs="Arial" w:hAnsi="Arial"/>
        </w:rPr>
        <w:t>Diagnosis relies primarily on a comprehensive psychiatric assessment rather than laboratory investigations. Clinicians evaluate current symptoms, previous mood e</w:t>
      </w:r>
      <w:r>
        <w:rPr>
          <w:rFonts w:ascii="Arial" w:cs="Arial" w:hAnsi="Arial"/>
        </w:rPr>
        <w:t>pisodes, family history, and information from caregivers where appropriate. They must also exclude alternative causes such as substance misuse, neurological disorders, endocrine abnormalities, medication-induced mood changes, schizophrenia, and major depressive disorder</w:t>
      </w:r>
      <w:r>
        <w:rPr>
          <w:rFonts w:ascii="Arial" w:cs="Arial" w:hAnsi="Arial"/>
        </w:rPr>
        <w:t xml:space="preserve"> </w:t>
      </w:r>
      <w:r>
        <w:rPr>
          <w:rFonts w:ascii="Arial" w:cs="Arial" w:hAnsi="Arial"/>
          <w:rtl w:val="off"/>
          <w:lang w:val="en-US"/>
        </w:rPr>
        <w:t>(NICE, 2014).</w:t>
      </w:r>
      <w:r>
        <w:rPr>
          <w:rFonts w:ascii="Arial" w:cs="Arial" w:hAnsi="Arial"/>
          <w:rtl w:val="off"/>
          <w:lang w:val="en-US"/>
        </w:rPr>
        <w:t xml:space="preserve"> </w:t>
      </w:r>
      <w:r>
        <w:rPr>
          <w:rFonts w:ascii="Arial" w:cs="Arial" w:hAnsi="Arial"/>
          <w:rtl w:val="off"/>
          <w:lang w:val="en-US"/>
        </w:rPr>
        <w:t xml:space="preserve">Screening instruments such as the Mood Disorder Questionnaire (MDQ) can support assessment but should complement rather than replace professional clinical judgement </w:t>
      </w:r>
      <w:r>
        <w:rPr>
          <w:rFonts w:ascii="Arial" w:cs="Arial" w:hAnsi="Arial"/>
          <w:rtl w:val="off"/>
          <w:lang w:val="en-US"/>
        </w:rPr>
        <w:t>(Kendall et al., 2014).</w:t>
      </w:r>
      <w:r>
        <w:rPr>
          <w:rFonts w:ascii="Arial" w:cs="Arial" w:hAnsi="Arial"/>
          <w:rtl w:val="off"/>
          <w:lang w:val="en-US"/>
        </w:rPr>
        <w:t xml:space="preserve"> </w:t>
      </w:r>
    </w:p>
    <w:p w14:paraId="0000001F">
      <w:pPr>
        <w:bidi w:val="off"/>
        <w:rPr>
          <w:rFonts w:ascii="Arial" w:cs="Arial" w:hAnsi="Arial"/>
        </w:rPr>
      </w:pPr>
      <w:r>
        <w:rPr>
          <w:rFonts w:ascii="Arial" w:cs="Arial" w:hAnsi="Arial"/>
          <w:rtl w:val="off"/>
          <w:lang w:val="en-US"/>
        </w:rPr>
        <w:t xml:space="preserve"> </w:t>
      </w:r>
    </w:p>
    <w:p w14:paraId="00000020">
      <w:pPr>
        <w:bidi w:val="off"/>
        <w:rPr>
          <w:rFonts w:ascii="Arial" w:cs="Arial" w:hAnsi="Arial"/>
          <w:lang w:val="en-US"/>
        </w:rPr>
      </w:pPr>
      <w:r>
        <w:rPr>
          <w:rFonts w:ascii="Arial" w:cs="Arial" w:hAnsi="Arial"/>
        </w:rPr>
        <w:t>ICD-11 consistently uses the term "disorder" rather than "illness" or "condition," reflecting the presence of clinically significant symptoms and functional impairment. While this terminology supports access to healthcare, disability services, and evidence-based treatment, some scholars argue that it may reinforce stigma by defining in</w:t>
      </w:r>
      <w:r>
        <w:rPr>
          <w:rFonts w:ascii="Arial" w:cs="Arial" w:hAnsi="Arial"/>
        </w:rPr>
        <w:t>dividuals through their diagnosis</w:t>
      </w:r>
      <w:r>
        <w:rPr>
          <w:rFonts w:ascii="Arial" w:cs="Arial" w:hAnsi="Arial"/>
        </w:rPr>
        <w:t xml:space="preserve">. </w:t>
      </w:r>
      <w:r>
        <w:rPr>
          <w:rFonts w:ascii="Arial" w:cs="Arial" w:hAnsi="Arial"/>
          <w:rtl w:val="off"/>
          <w:lang w:val="en-US"/>
        </w:rPr>
        <w:t xml:space="preserve">Consequently, mental health practice increasingly promotes person-centred language, such as "a person living with bipolar disorder," to reduce discrimination while maintaining diagnostic accuracy </w:t>
      </w:r>
      <w:r>
        <w:rPr>
          <w:rFonts w:ascii="Arial" w:cs="Arial" w:hAnsi="Arial"/>
          <w:rtl w:val="off"/>
          <w:lang w:val="en-US"/>
        </w:rPr>
        <w:t>(Haslam and Tse, 2025).</w:t>
      </w:r>
      <w:r>
        <w:rPr>
          <w:rFonts w:ascii="Arial" w:cs="Arial" w:hAnsi="Arial"/>
          <w:rtl w:val="off"/>
          <w:lang w:val="en-US"/>
        </w:rPr>
        <w:t xml:space="preserve"> </w:t>
      </w:r>
    </w:p>
    <w:p w14:paraId="00000021">
      <w:pPr>
        <w:rPr>
          <w:rFonts w:ascii="Arial" w:cs="Arial" w:hAnsi="Arial"/>
        </w:rPr>
      </w:pPr>
      <w:r>
        <w:rPr>
          <w:rFonts w:ascii="Arial" w:cs="Arial" w:hAnsi="Arial"/>
        </w:rPr>
        <w:t xml:space="preserve">Despite the strengths of ICD-11, important limitations remain. Bipolar disorder shares symptoms with </w:t>
      </w:r>
      <w:r>
        <w:rPr>
          <w:rFonts w:ascii="Arial" w:cs="Arial" w:hAnsi="Arial"/>
        </w:rPr>
        <w:t xml:space="preserve">recurrent major depressive disorder, borderline personality disorder, and ADHD, leading to delayed or incorrect diagnosis, particularly when patients initially present with depression. Misdiagnosis may result in inappropriate antidepressant treatment that can precipitate mania or rapid cycling </w:t>
      </w:r>
      <w:r>
        <w:rPr>
          <w:rFonts w:ascii="Arial" w:cs="Arial" w:hAnsi="Arial"/>
        </w:rPr>
        <w:t>(Carvalho et al., 2020)</w:t>
      </w:r>
      <w:r>
        <w:rPr>
          <w:rFonts w:ascii="Arial" w:cs="Arial" w:hAnsi="Arial"/>
        </w:rPr>
        <w:t xml:space="preserve">. Furthermore, the bipolar spectrum concept challenges the rigid diagnostic categories of Bipolar I and II by suggesting that mood disorders exist along a continuum. Although this approach may improve recognition of atypical cases, critics argue that it risks overdiagnosis and unnecessary pharmacological treatment </w:t>
      </w:r>
      <w:r>
        <w:rPr>
          <w:rFonts w:ascii="Arial" w:cs="Arial" w:hAnsi="Arial"/>
        </w:rPr>
        <w:t>(Malhi et al., 2021)</w:t>
      </w:r>
      <w:r>
        <w:rPr>
          <w:rFonts w:ascii="Arial" w:cs="Arial" w:hAnsi="Arial"/>
        </w:rPr>
        <w:t>. Therefore, while ICD-11 offers a robust classification framework, accurate diagnosis depends on combining diagnostic criteria with clinical judgement, longitudinal assessment, and person-</w:t>
      </w:r>
      <w:r>
        <w:rPr>
          <w:rFonts w:ascii="Arial" w:cs="Arial" w:hAnsi="Arial"/>
        </w:rPr>
        <w:t>centred</w:t>
      </w:r>
      <w:r>
        <w:rPr>
          <w:rFonts w:ascii="Arial" w:cs="Arial" w:hAnsi="Arial"/>
        </w:rPr>
        <w:t xml:space="preserve"> care</w:t>
      </w:r>
      <w:r>
        <w:rPr>
          <w:rFonts w:ascii="Arial" w:cs="Arial" w:hAnsi="Arial"/>
        </w:rPr>
        <w:t>.</w:t>
      </w:r>
    </w:p>
    <w:p w14:paraId="00000022">
      <w:pPr>
        <w:rPr>
          <w:rFonts w:ascii="Arial" w:cs="Arial" w:hAnsi="Arial"/>
          <w:b/>
          <w:bCs/>
        </w:rPr>
      </w:pPr>
      <w:r>
        <w:rPr>
          <w:rFonts w:ascii="Arial" w:cs="Arial" w:hAnsi="Arial"/>
          <w:b/>
          <w:bCs/>
        </w:rPr>
        <w:t>TREATMENT AND REHABILITATION</w:t>
      </w:r>
      <w:r>
        <w:rPr>
          <w:rFonts w:ascii="Arial" w:cs="Arial" w:hAnsi="Arial"/>
          <w:b/>
          <w:bCs/>
        </w:rPr>
        <w:t>.</w:t>
      </w:r>
    </w:p>
    <w:p w14:paraId="00000023">
      <w:pPr>
        <w:bidi w:val="off"/>
        <w:rPr>
          <w:rFonts w:ascii="Arial" w:cs="Arial" w:hAnsi="Arial"/>
          <w:rtl w:val="off"/>
          <w:lang w:val="en-US"/>
        </w:rPr>
      </w:pPr>
      <w:r>
        <w:rPr>
          <w:rFonts w:ascii="Arial" w:cs="Arial" w:hAnsi="Arial"/>
        </w:rPr>
        <w:t xml:space="preserve">The management of bipolar disorder requires a comprehensive, long-term approach that combines pharmacological treatment, psychological therapies, and psychosocial rehabilitation. Because bipolar disorder is a chronic and recurrent condition, treatment aims not only to manage acute manic or depressive episodes but also to prevent relapse, reduce functional impairment, and improve quality of life. </w:t>
      </w:r>
      <w:r>
        <w:rPr>
          <w:rFonts w:ascii="Arial" w:cs="Arial" w:hAnsi="Arial"/>
          <w:rtl w:val="off"/>
          <w:lang w:val="en-US"/>
        </w:rPr>
        <w:t>Current clinical evidence indicates that integrated care, rather than reliance on a single intervention, produces the most favourable long-term outcomes (Kendall et al., 2014; Yatham et al., 2021)</w:t>
      </w:r>
      <w:r>
        <w:rPr>
          <w:rFonts w:ascii="Arial" w:cs="Arial" w:hAnsi="Arial"/>
          <w:rtl w:val="off"/>
          <w:lang w:val="en-US"/>
        </w:rPr>
        <w:t>.</w:t>
      </w:r>
    </w:p>
    <w:p w14:paraId="00000024">
      <w:pPr>
        <w:bidi w:val="off"/>
        <w:rPr>
          <w:rFonts w:ascii="Arial" w:cs="Arial" w:hAnsi="Arial"/>
          <w:lang w:val="en-US"/>
        </w:rPr>
      </w:pPr>
      <w:r>
        <w:rPr>
          <w:rFonts w:ascii="Arial" w:cs="Arial" w:hAnsi="Arial"/>
          <w:rtl w:val="off"/>
          <w:lang w:val="en-US"/>
        </w:rPr>
        <w:t xml:space="preserve"> </w:t>
      </w:r>
    </w:p>
    <w:p w14:paraId="00000025">
      <w:pPr>
        <w:rPr>
          <w:rFonts w:ascii="Arial" w:cs="Arial" w:hAnsi="Arial"/>
        </w:rPr>
      </w:pPr>
      <w:r>
        <w:rPr>
          <w:rFonts w:ascii="Arial" w:cs="Arial" w:hAnsi="Arial"/>
        </w:rPr>
        <w:t xml:space="preserve">Pharmacological treatment remains the cornerstone of bipolar disorder management. Lithium is widely regarded as the first-line mood </w:t>
      </w:r>
      <w:r>
        <w:rPr>
          <w:rFonts w:ascii="Arial" w:cs="Arial" w:hAnsi="Arial"/>
        </w:rPr>
        <w:t>stabiliser</w:t>
      </w:r>
      <w:r>
        <w:rPr>
          <w:rFonts w:ascii="Arial" w:cs="Arial" w:hAnsi="Arial"/>
        </w:rPr>
        <w:t xml:space="preserve"> because it effectively reduces manic and depressive relapses, lowers suicide risk, and promotes long-term mood stability (Malhi et al., 2021). Despite its effectiveness, lithium requires regular blood monitoring due to its narrow therapeutic range, and prolonged use may result in adverse effects such as renal impairment, thyroid dysfunction, tremors, and weight gain. Consequently, clinicians must balance its therapeutic benefits with careful monitoring and patient education to encourage adherence.</w:t>
      </w:r>
    </w:p>
    <w:p w14:paraId="00000026">
      <w:pPr>
        <w:rPr>
          <w:rFonts w:ascii="Arial" w:cs="Arial" w:hAnsi="Arial"/>
        </w:rPr>
      </w:pPr>
      <w:r>
        <w:rPr>
          <w:rFonts w:ascii="Arial" w:cs="Arial" w:hAnsi="Arial"/>
        </w:rPr>
        <w:t xml:space="preserve">Other pharmacological options include anticonvulsants such as valproate and lamotrigine, as well as second-generation antipsychotics including quetiapine, olanzapine, and aripiprazole. Valproate is effective for acute mania but is generally avoided during pregnancy because of its teratogenic effects. Lamotrigine is particularly useful in preventing depressive relapse, while atypical antipsychotics help control manic episodes and psychotic symptoms. However, these medications are associated with side effects such as weight gain, metabolic syndrome, diabetes, sedation, and cardiovascular complications, highlighting the need for </w:t>
      </w:r>
      <w:r>
        <w:rPr>
          <w:rFonts w:ascii="Arial" w:cs="Arial" w:hAnsi="Arial"/>
        </w:rPr>
        <w:t>individualised</w:t>
      </w:r>
      <w:r>
        <w:rPr>
          <w:rFonts w:ascii="Arial" w:cs="Arial" w:hAnsi="Arial"/>
        </w:rPr>
        <w:t xml:space="preserve"> treatment plans and regular physical health monitoring. </w:t>
      </w:r>
    </w:p>
    <w:p w14:paraId="00000027">
      <w:pPr>
        <w:bidi w:val="off"/>
        <w:rPr>
          <w:rFonts w:ascii="Arial" w:cs="Arial" w:hAnsi="Arial"/>
          <w:lang w:val="en-US"/>
        </w:rPr>
      </w:pPr>
      <w:r>
        <w:rPr>
          <w:rFonts w:ascii="Arial" w:cs="Arial" w:hAnsi="Arial"/>
        </w:rPr>
        <w:t xml:space="preserve">Medication alone is insufficient to address the psychological and social challenges associated with bipolar disorder. Consequently, psychological interventions have become essential components of evidence-based care. Cognitive </w:t>
      </w:r>
      <w:r>
        <w:rPr>
          <w:rFonts w:ascii="Arial" w:cs="Arial" w:hAnsi="Arial"/>
        </w:rPr>
        <w:t>Behavioural</w:t>
      </w:r>
      <w:r>
        <w:rPr>
          <w:rFonts w:ascii="Arial" w:cs="Arial" w:hAnsi="Arial"/>
        </w:rPr>
        <w:t xml:space="preserve"> Therapy (CBT) helps individuals identify maladaptive thought patterns, improve coping strategies, </w:t>
      </w:r>
      <w:r>
        <w:rPr>
          <w:rFonts w:ascii="Arial" w:cs="Arial" w:hAnsi="Arial"/>
        </w:rPr>
        <w:t>recognise</w:t>
      </w:r>
      <w:r>
        <w:rPr>
          <w:rFonts w:ascii="Arial" w:cs="Arial" w:hAnsi="Arial"/>
        </w:rPr>
        <w:t xml:space="preserve"> early warning signs of relapse, and strengthen medication adherence. Psychoeducation enables patients and their families to understand the illness, </w:t>
      </w:r>
      <w:r>
        <w:rPr>
          <w:rFonts w:ascii="Arial" w:cs="Arial" w:hAnsi="Arial"/>
        </w:rPr>
        <w:t>recognise</w:t>
      </w:r>
      <w:r>
        <w:rPr>
          <w:rFonts w:ascii="Arial" w:cs="Arial" w:hAnsi="Arial"/>
        </w:rPr>
        <w:t xml:space="preserve"> triggers, and manage symptoms effectively, while family-focused therapy improves communication and </w:t>
      </w:r>
      <w:r>
        <w:rPr>
          <w:rFonts w:ascii="Arial" w:cs="Arial" w:hAnsi="Arial"/>
        </w:rPr>
        <w:t xml:space="preserve">strengthens support networks, contributing to reduced relapse rates </w:t>
      </w:r>
      <w:r>
        <w:rPr>
          <w:rFonts w:ascii="Arial" w:cs="Arial" w:hAnsi="Arial"/>
          <w:rtl w:val="off"/>
          <w:lang w:val="en-US"/>
        </w:rPr>
        <w:t>(Miklowitz et al., 2020).</w:t>
      </w:r>
      <w:r>
        <w:rPr>
          <w:rFonts w:ascii="Arial" w:cs="Arial" w:hAnsi="Arial"/>
          <w:rtl w:val="off"/>
          <w:lang w:val="en-US"/>
        </w:rPr>
        <w:t xml:space="preserve"> </w:t>
      </w:r>
    </w:p>
    <w:p w14:paraId="00000028">
      <w:pPr>
        <w:rPr>
          <w:rFonts w:ascii="Arial" w:cs="Arial" w:hAnsi="Arial"/>
        </w:rPr>
      </w:pPr>
      <w:r>
        <w:rPr>
          <w:rFonts w:ascii="Arial" w:cs="Arial" w:hAnsi="Arial"/>
        </w:rPr>
        <w:t xml:space="preserve">However, the effectiveness of these interventions depends on patient engagement, insight, and the availability of trained mental health professionals. Access to specialist psychological services remains limited in many low-resource settings, reducing their overall impact. </w:t>
      </w:r>
    </w:p>
    <w:p w14:paraId="00000029">
      <w:pPr>
        <w:rPr>
          <w:rFonts w:ascii="Arial" w:cs="Arial" w:hAnsi="Arial"/>
        </w:rPr>
      </w:pPr>
      <w:r>
        <w:rPr>
          <w:rFonts w:ascii="Arial" w:cs="Arial" w:hAnsi="Arial"/>
        </w:rPr>
        <w:t xml:space="preserve">Rehabilitation is equally important for long-term recovery. Contemporary mental health care increasingly adopts a recovery-oriented approach, which focuses on enabling individuals to lead meaningful and independent lives rather than solely eliminating symptoms. Rehabilitation </w:t>
      </w:r>
      <w:r>
        <w:rPr>
          <w:rFonts w:ascii="Arial" w:cs="Arial" w:hAnsi="Arial"/>
        </w:rPr>
        <w:t>programmes</w:t>
      </w:r>
      <w:r>
        <w:rPr>
          <w:rFonts w:ascii="Arial" w:cs="Arial" w:hAnsi="Arial"/>
        </w:rPr>
        <w:t xml:space="preserve"> commonly include occupational therapy, supported employment, vocational training, peer support, community mental health services, and social skills training. Family involvement also plays a crucial role by improving treatment adherence and facilitating early recognition of relapse. Overall, evidence supports an integrated, person-</w:t>
      </w:r>
      <w:r>
        <w:rPr>
          <w:rFonts w:ascii="Arial" w:cs="Arial" w:hAnsi="Arial"/>
        </w:rPr>
        <w:t>centred</w:t>
      </w:r>
      <w:r>
        <w:rPr>
          <w:rFonts w:ascii="Arial" w:cs="Arial" w:hAnsi="Arial"/>
        </w:rPr>
        <w:t xml:space="preserve"> model that combines medication, psychotherapy, and community-based rehabilitation to address both the clinical and psychosocial consequences of bipolar disorder and promote sustained recovery. </w:t>
      </w:r>
    </w:p>
    <w:p w14:paraId="0000002A">
      <w:pPr>
        <w:rPr>
          <w:rFonts w:ascii="Arial" w:cs="Arial" w:hAnsi="Arial"/>
        </w:rPr>
      </w:pPr>
    </w:p>
    <w:p w14:paraId="0000002B">
      <w:pPr>
        <w:rPr>
          <w:rFonts w:ascii="Arial" w:cs="Arial" w:hAnsi="Arial"/>
          <w:b/>
          <w:bCs/>
        </w:rPr>
      </w:pPr>
      <w:r>
        <w:rPr>
          <w:rFonts w:ascii="Arial" w:cs="Arial" w:hAnsi="Arial"/>
          <w:b/>
          <w:bCs/>
        </w:rPr>
        <w:t>CURRENT DEBATES AND EMERGING ISSUES.</w:t>
      </w:r>
    </w:p>
    <w:p w14:paraId="0000002C">
      <w:pPr>
        <w:rPr>
          <w:rFonts w:ascii="Arial" w:cs="Arial" w:hAnsi="Arial"/>
        </w:rPr>
      </w:pPr>
      <w:r>
        <w:rPr>
          <w:rFonts w:ascii="Arial" w:cs="Arial" w:hAnsi="Arial"/>
        </w:rPr>
        <w:t xml:space="preserve">Despite advances in psychiatric research and clinical practice, bipolar disorder remains the subject of significant debate regarding its classification, diagnosis, treatment, and long-term management. Emerging evidence from neuroscience, genetics, and digital health continues to improve understanding of the disorder, yet important controversies remain that influence clinical decision-making and mental health policy. </w:t>
      </w:r>
    </w:p>
    <w:p w14:paraId="0000002D">
      <w:pPr>
        <w:bidi w:val="off"/>
        <w:rPr>
          <w:rFonts w:ascii="Arial" w:cs="Arial" w:hAnsi="Arial"/>
          <w:rtl w:val="off"/>
          <w:lang w:val="en-US"/>
        </w:rPr>
      </w:pPr>
      <w:r>
        <w:rPr>
          <w:rFonts w:ascii="Arial" w:cs="Arial" w:hAnsi="Arial"/>
        </w:rPr>
        <w:t>One of the most prominent debates concerns the</w:t>
      </w:r>
      <w:r>
        <w:rPr>
          <w:rFonts w:ascii="Arial" w:cs="Arial" w:hAnsi="Arial"/>
        </w:rPr>
        <w:t xml:space="preserve"> </w:t>
      </w:r>
      <w:r>
        <w:rPr>
          <w:rFonts w:ascii="Arial" w:cs="Arial" w:hAnsi="Arial"/>
          <w:rtl w:val="off"/>
          <w:lang w:val="en-US"/>
        </w:rPr>
        <w:t xml:space="preserve">underdiagnosis and overdiagnosis </w:t>
      </w:r>
    </w:p>
    <w:p w14:paraId="0000002E">
      <w:pPr>
        <w:bidi w:val="off"/>
        <w:rPr>
          <w:rFonts w:ascii="Arial" w:cs="Arial" w:hAnsi="Arial"/>
        </w:rPr>
      </w:pPr>
      <w:r>
        <w:rPr>
          <w:rFonts w:ascii="Arial" w:cs="Arial" w:hAnsi="Arial"/>
        </w:rPr>
        <w:t xml:space="preserve">of bipolar disorder. Many individuals experience symptoms for several years before receiving an accurate diagnosis because depressive episodes commonly precede mania or hypomania. During this period, patients are often misdiagnosed with major depressive disorder and treated with antidepressants alone, which may trigger manic episodes or rapid cycling in susceptible individuals (Carvalho et al., 2020). Conversely, increasing awareness of bipolar disorder has raised concerns about overdiagnosis, particularly among individuals with borderline personality disorder or emotional instability. Overdiagnosis may expose patients to unnecessary long-term medication and its associated adverse effects. Therefore, clinicians must balance early detection with careful differential diagnosis to </w:t>
      </w:r>
      <w:r>
        <w:rPr>
          <w:rFonts w:ascii="Arial" w:cs="Arial" w:hAnsi="Arial"/>
        </w:rPr>
        <w:t>minimise</w:t>
      </w:r>
      <w:r>
        <w:rPr>
          <w:rFonts w:ascii="Arial" w:cs="Arial" w:hAnsi="Arial"/>
        </w:rPr>
        <w:t xml:space="preserve"> both missed diagnoses and unnecessary </w:t>
      </w:r>
      <w:r>
        <w:rPr>
          <w:rFonts w:ascii="Arial" w:cs="Arial" w:hAnsi="Arial"/>
        </w:rPr>
        <w:t>medicalisation</w:t>
      </w:r>
      <w:r>
        <w:rPr>
          <w:rFonts w:ascii="Arial" w:cs="Arial" w:hAnsi="Arial"/>
        </w:rPr>
        <w:t xml:space="preserve">. </w:t>
      </w:r>
    </w:p>
    <w:p w14:paraId="0000002F">
      <w:pPr>
        <w:rPr>
          <w:rFonts w:ascii="Arial" w:cs="Arial" w:hAnsi="Arial"/>
        </w:rPr>
      </w:pPr>
      <w:r>
        <w:rPr>
          <w:rFonts w:ascii="Arial" w:cs="Arial" w:hAnsi="Arial"/>
        </w:rPr>
        <w:t xml:space="preserve">A related controversy is the bipolar spectrum model. While ICD-11 classifies bipolar disorder into Bipolar I and Bipolar II disorders using clearly defined diagnostic criteria, some researchers argue that mood disorders exist on a continuum rather than within rigid categories. Proponents suggest that </w:t>
      </w:r>
      <w:r>
        <w:rPr>
          <w:rFonts w:ascii="Arial" w:cs="Arial" w:hAnsi="Arial"/>
        </w:rPr>
        <w:t>recognising</w:t>
      </w:r>
      <w:r>
        <w:rPr>
          <w:rFonts w:ascii="Arial" w:cs="Arial" w:hAnsi="Arial"/>
        </w:rPr>
        <w:t xml:space="preserve"> spectrum presentations may improve early intervention and better reflect the diversity of clinical symptoms. Critics, however, argue that broadening diagnostic boundaries risks reducing diagnostic precision, increasing unnecessary pharmacological treatment, and </w:t>
      </w:r>
      <w:r>
        <w:rPr>
          <w:rFonts w:ascii="Arial" w:cs="Arial" w:hAnsi="Arial"/>
        </w:rPr>
        <w:t>medicalising</w:t>
      </w:r>
      <w:r>
        <w:rPr>
          <w:rFonts w:ascii="Arial" w:cs="Arial" w:hAnsi="Arial"/>
        </w:rPr>
        <w:t xml:space="preserve"> normal emotional variation (Malhi et al., 2021). Although the spectrum concept offers greater flexibility, further research is required to determine whether it improves patient outcomes without compromising diagnostic accuracy. </w:t>
      </w:r>
    </w:p>
    <w:p w14:paraId="00000030">
      <w:pPr>
        <w:bidi w:val="off"/>
        <w:rPr>
          <w:rFonts w:ascii="Arial" w:cs="Arial" w:hAnsi="Arial"/>
        </w:rPr>
      </w:pPr>
      <w:r>
        <w:rPr>
          <w:rFonts w:ascii="Arial" w:cs="Arial" w:hAnsi="Arial"/>
        </w:rPr>
        <w:t xml:space="preserve">Another emerging issue is the development of precision psychiatry. Advances in genetics, neuroimaging, and biomarker research have raised expectations that biological markers could eventually support diagnosis and guide </w:t>
      </w:r>
      <w:r>
        <w:rPr>
          <w:rFonts w:ascii="Arial" w:cs="Arial" w:hAnsi="Arial"/>
        </w:rPr>
        <w:t>personalised</w:t>
      </w:r>
      <w:r>
        <w:rPr>
          <w:rFonts w:ascii="Arial" w:cs="Arial" w:hAnsi="Arial"/>
        </w:rPr>
        <w:t xml:space="preserve"> treatment. Although several studies have identified genetic risk factors and brain changes associated with bipolar disorder, no biomarker currently demonstrates sufficient reliability for routine clinical practice (Grande et al., 2016). Consequently, diagnosis continues to depend primarily on detailed clinical assessment rather than objective laboratory testing. </w:t>
      </w:r>
    </w:p>
    <w:p w14:paraId="00000031">
      <w:pPr>
        <w:bidi w:val="off"/>
        <w:rPr>
          <w:rFonts w:ascii="Arial" w:cs="Arial" w:hAnsi="Arial"/>
          <w:rtl w:val="off"/>
          <w:lang w:val="en-US"/>
        </w:rPr>
      </w:pPr>
    </w:p>
    <w:p w14:paraId="00000032">
      <w:pPr>
        <w:bidi w:val="off"/>
        <w:rPr>
          <w:rFonts w:ascii="Arial" w:cs="Arial" w:hAnsi="Arial"/>
          <w:lang w:val="en-US"/>
        </w:rPr>
      </w:pPr>
      <w:r>
        <w:rPr>
          <w:rFonts w:ascii="Arial" w:cs="Arial" w:hAnsi="Arial"/>
          <w:rtl w:val="off"/>
          <w:lang w:val="en-US"/>
        </w:rPr>
        <w:t>The rapid expansion of digital mental health technologies also presents both opportunities and challenges.</w:t>
      </w:r>
      <w:r>
        <w:rPr>
          <w:rFonts w:ascii="Arial" w:cs="Arial" w:hAnsi="Arial"/>
          <w:rtl w:val="off"/>
          <w:lang w:val="en-US"/>
        </w:rPr>
        <w:t xml:space="preserve"> Smartphone applications, wearable devices, and telepsychiatry enable real-time monitoring of mood, sleep, physical activity, and medication adherence, potentially improving early relapse detection and expanding access to mental healthcare, particularly in remote communities. However, concerns regarding privacy, cybersecurity, data accuracy, and unequal access to digital technologies remain significant barriers to widespread implementation (WHO, 2022). </w:t>
      </w:r>
    </w:p>
    <w:p w14:paraId="00000033">
      <w:pPr>
        <w:bidi w:val="off"/>
        <w:rPr>
          <w:rFonts w:ascii="Arial" w:cs="Arial" w:hAnsi="Arial"/>
          <w:lang w:val="en-US"/>
        </w:rPr>
      </w:pPr>
    </w:p>
    <w:p w14:paraId="00000034">
      <w:pPr>
        <w:bidi w:val="off"/>
        <w:rPr>
          <w:rFonts w:ascii="Arial" w:cs="Arial" w:hAnsi="Arial"/>
          <w:lang w:val="en-US"/>
        </w:rPr>
      </w:pPr>
      <w:r>
        <w:rPr>
          <w:rFonts w:ascii="Arial" w:cs="Arial" w:hAnsi="Arial"/>
        </w:rPr>
        <w:t>Despite growing awareness, stigma remains a major barrier to recovery. Misconceptions that people with bipolar disorder are unpredictable or incapable of maintaining employment continue to contribute to discrimination in healthcare, education, and the workp</w:t>
      </w:r>
      <w:r>
        <w:rPr>
          <w:rFonts w:ascii="Arial" w:cs="Arial" w:hAnsi="Arial"/>
        </w:rPr>
        <w:t xml:space="preserve">lace. </w:t>
      </w:r>
      <w:r>
        <w:rPr>
          <w:rFonts w:ascii="Arial" w:cs="Arial" w:hAnsi="Arial"/>
          <w:rtl w:val="off"/>
          <w:lang w:val="en-US"/>
        </w:rPr>
        <w:t>Such stigma discourages help-seeking and treatment adherence, ultimately worsening long-term outcomes</w:t>
      </w:r>
      <w:r>
        <w:rPr>
          <w:rFonts w:ascii="Arial" w:cs="Arial" w:hAnsi="Arial"/>
          <w:rtl w:val="off"/>
          <w:lang w:val="en-US"/>
        </w:rPr>
        <w:t xml:space="preserve"> </w:t>
      </w:r>
      <w:r>
        <w:rPr>
          <w:rFonts w:ascii="Arial" w:cs="Arial" w:hAnsi="Arial"/>
          <w:rtl w:val="off"/>
          <w:lang w:val="en-US"/>
        </w:rPr>
        <w:t>(Corrigan &amp; Nieweglowski, 2019; Hargreaves et al., 2024).</w:t>
      </w:r>
      <w:r>
        <w:rPr>
          <w:rFonts w:ascii="Arial" w:cs="Arial" w:hAnsi="Arial"/>
          <w:rtl w:val="off"/>
          <w:lang w:val="en-US"/>
        </w:rPr>
        <w:t xml:space="preserve"> </w:t>
      </w:r>
    </w:p>
    <w:p w14:paraId="00000035">
      <w:pPr>
        <w:rPr>
          <w:rFonts w:ascii="Arial" w:cs="Arial" w:hAnsi="Arial"/>
        </w:rPr>
      </w:pPr>
      <w:r>
        <w:rPr>
          <w:rFonts w:ascii="Arial" w:cs="Arial" w:hAnsi="Arial"/>
        </w:rPr>
        <w:t>Consequently, policymakers should continue investing in early intervention services, community rehabilitation, workforce development, and anti-stigma initiatives to ensure equitable, person-</w:t>
      </w:r>
      <w:r>
        <w:rPr>
          <w:rFonts w:ascii="Arial" w:cs="Arial" w:hAnsi="Arial"/>
        </w:rPr>
        <w:t>centred</w:t>
      </w:r>
      <w:r>
        <w:rPr>
          <w:rFonts w:ascii="Arial" w:cs="Arial" w:hAnsi="Arial"/>
        </w:rPr>
        <w:t xml:space="preserve"> mental healthcare. </w:t>
      </w:r>
    </w:p>
    <w:p w14:paraId="00000036">
      <w:pPr>
        <w:rPr>
          <w:rFonts w:ascii="Arial" w:cs="Arial" w:hAnsi="Arial"/>
        </w:rPr>
      </w:pPr>
    </w:p>
    <w:p w14:paraId="00000037">
      <w:pPr>
        <w:rPr>
          <w:rFonts w:ascii="Arial" w:cs="Arial" w:hAnsi="Arial"/>
          <w:b/>
          <w:bCs/>
        </w:rPr>
      </w:pPr>
      <w:r>
        <w:rPr>
          <w:rFonts w:ascii="Arial" w:cs="Arial" w:hAnsi="Arial"/>
          <w:b/>
          <w:bCs/>
        </w:rPr>
        <w:t>RECOMMENDATIONS.</w:t>
      </w:r>
    </w:p>
    <w:p w14:paraId="00000038">
      <w:pPr>
        <w:rPr>
          <w:rFonts w:ascii="Arial" w:cs="Arial" w:hAnsi="Arial"/>
        </w:rPr>
      </w:pPr>
      <w:r>
        <w:rPr>
          <w:rFonts w:ascii="Arial" w:cs="Arial" w:hAnsi="Arial"/>
        </w:rPr>
        <w:t xml:space="preserve">Improving outcomes for people with bipolar disorder requires earlier diagnosis, integrated multidisciplinary care, and greater access to psychological and community-based services. Healthcare professionals should receive additional training to </w:t>
      </w:r>
      <w:r>
        <w:rPr>
          <w:rFonts w:ascii="Arial" w:cs="Arial" w:hAnsi="Arial"/>
        </w:rPr>
        <w:t>recognise</w:t>
      </w:r>
      <w:r>
        <w:rPr>
          <w:rFonts w:ascii="Arial" w:cs="Arial" w:hAnsi="Arial"/>
        </w:rPr>
        <w:t xml:space="preserve"> bipolar disorder early and differentiate it from other mental health conditions. Earlier identification can reduce delays in treatment, </w:t>
      </w:r>
      <w:r>
        <w:rPr>
          <w:rFonts w:ascii="Arial" w:cs="Arial" w:hAnsi="Arial"/>
        </w:rPr>
        <w:t>minimise</w:t>
      </w:r>
      <w:r>
        <w:rPr>
          <w:rFonts w:ascii="Arial" w:cs="Arial" w:hAnsi="Arial"/>
        </w:rPr>
        <w:t xml:space="preserve"> the risk of relapse, and improve long-term clinical outcomes. Routine mental health screening in primary care settings, particularly for individuals with recurrent depressive episodes or a family history of bipolar disorder, could further support timely diagnosis and referral to specialist services.</w:t>
      </w:r>
    </w:p>
    <w:p w14:paraId="00000039">
      <w:pPr>
        <w:rPr>
          <w:rFonts w:ascii="Arial" w:cs="Arial" w:hAnsi="Arial"/>
        </w:rPr>
      </w:pPr>
      <w:r>
        <w:rPr>
          <w:rFonts w:ascii="Arial" w:cs="Arial" w:hAnsi="Arial"/>
        </w:rPr>
        <w:t>Treatment should combine medication with psychological therapies, rehabilitation, and family involvement to support long-term recovery. Person-</w:t>
      </w:r>
      <w:r>
        <w:rPr>
          <w:rFonts w:ascii="Arial" w:cs="Arial" w:hAnsi="Arial"/>
        </w:rPr>
        <w:t>centred</w:t>
      </w:r>
      <w:r>
        <w:rPr>
          <w:rFonts w:ascii="Arial" w:cs="Arial" w:hAnsi="Arial"/>
        </w:rPr>
        <w:t xml:space="preserve"> care should remain central to treatment planning, ensuring that patients actively participate in decisions about their care and that interventions reflect their individual needs, preferences, and recovery goals. Developing </w:t>
      </w:r>
      <w:r>
        <w:rPr>
          <w:rFonts w:ascii="Arial" w:cs="Arial" w:hAnsi="Arial"/>
        </w:rPr>
        <w:t>personalised</w:t>
      </w:r>
      <w:r>
        <w:rPr>
          <w:rFonts w:ascii="Arial" w:cs="Arial" w:hAnsi="Arial"/>
        </w:rPr>
        <w:t xml:space="preserve"> care plans can improve treatment adherence, strengthen therapeutic relationships, and encourage greater self-management of the condition.</w:t>
      </w:r>
    </w:p>
    <w:p w14:paraId="0000003A">
      <w:pPr>
        <w:rPr>
          <w:rFonts w:ascii="Arial" w:cs="Arial" w:hAnsi="Arial"/>
        </w:rPr>
      </w:pPr>
      <w:r>
        <w:rPr>
          <w:rFonts w:ascii="Arial" w:cs="Arial" w:hAnsi="Arial"/>
        </w:rPr>
        <w:t xml:space="preserve">Increased investment in community mental health services, peer support </w:t>
      </w:r>
      <w:r>
        <w:rPr>
          <w:rFonts w:ascii="Arial" w:cs="Arial" w:hAnsi="Arial"/>
        </w:rPr>
        <w:t>programmes</w:t>
      </w:r>
      <w:r>
        <w:rPr>
          <w:rFonts w:ascii="Arial" w:cs="Arial" w:hAnsi="Arial"/>
        </w:rPr>
        <w:t>, and vocational rehabilitation would enhance quality of life and reduce relapse. Community-based services help individuals maintain employment, strengthen social relationships, and develop independent living skills while reducing the likelihood of repeated hospital admissions. Public awareness campaigns should also be expanded to challenge misconceptions about bipolar disorder, reduce stigma, and encourage individuals to seek help without fear of discrimination.</w:t>
      </w:r>
    </w:p>
    <w:p w14:paraId="0000003B">
      <w:pPr>
        <w:rPr>
          <w:rFonts w:ascii="Arial" w:cs="Arial" w:hAnsi="Arial"/>
        </w:rPr>
      </w:pPr>
      <w:r>
        <w:rPr>
          <w:rFonts w:ascii="Arial" w:cs="Arial" w:hAnsi="Arial"/>
        </w:rPr>
        <w:t xml:space="preserve">Future research should focus on </w:t>
      </w:r>
      <w:r>
        <w:rPr>
          <w:rFonts w:ascii="Arial" w:cs="Arial" w:hAnsi="Arial"/>
        </w:rPr>
        <w:t>personalised</w:t>
      </w:r>
      <w:r>
        <w:rPr>
          <w:rFonts w:ascii="Arial" w:cs="Arial" w:hAnsi="Arial"/>
        </w:rPr>
        <w:t xml:space="preserve"> treatment, biomarkers, digital mental health technologies, and strategies to reduce stigma while ensuring ethical and equitable care. In addition, further studies should evaluate the long-term effectiveness of integrated care models and investigate interventions that improve treatment adherence, social functioning, and recovery. Strengthening collaboration between </w:t>
      </w:r>
      <w:r>
        <w:rPr>
          <w:rFonts w:ascii="Arial" w:cs="Arial" w:hAnsi="Arial"/>
        </w:rPr>
        <w:t xml:space="preserve">researchers, healthcare providers, policymakers, service users, and </w:t>
      </w:r>
      <w:r>
        <w:rPr>
          <w:rFonts w:ascii="Arial" w:cs="Arial" w:hAnsi="Arial"/>
        </w:rPr>
        <w:t>carers</w:t>
      </w:r>
      <w:r>
        <w:rPr>
          <w:rFonts w:ascii="Arial" w:cs="Arial" w:hAnsi="Arial"/>
        </w:rPr>
        <w:t xml:space="preserve"> will ensure that future mental health services are evidence-based, accessible, and responsive to the diverse needs of people living with bipolar disorder.</w:t>
      </w:r>
    </w:p>
    <w:p w14:paraId="0000003C">
      <w:pPr>
        <w:rPr>
          <w:rFonts w:ascii="Arial" w:cs="Arial" w:hAnsi="Arial"/>
        </w:rPr>
      </w:pPr>
    </w:p>
    <w:p w14:paraId="0000003D">
      <w:pPr>
        <w:rPr>
          <w:rFonts w:ascii="Arial" w:cs="Arial" w:hAnsi="Arial"/>
        </w:rPr>
      </w:pPr>
    </w:p>
    <w:p w14:paraId="0000003E">
      <w:pPr>
        <w:rPr>
          <w:rFonts w:ascii="Arial" w:cs="Arial" w:hAnsi="Arial"/>
          <w:b/>
          <w:bCs/>
        </w:rPr>
      </w:pPr>
      <w:r>
        <w:rPr>
          <w:rFonts w:ascii="Arial" w:cs="Arial" w:hAnsi="Arial"/>
          <w:b/>
          <w:bCs/>
        </w:rPr>
        <w:t>CONCLUSION.</w:t>
      </w:r>
    </w:p>
    <w:p w14:paraId="0000003F">
      <w:pPr>
        <w:rPr>
          <w:rFonts w:ascii="Arial" w:cs="Arial" w:hAnsi="Arial"/>
        </w:rPr>
      </w:pPr>
      <w:r>
        <w:rPr>
          <w:rFonts w:ascii="Arial" w:cs="Arial" w:hAnsi="Arial"/>
        </w:rPr>
        <w:t>Bipolar disorder is a complex, lifelong mental health condition that requires accurate diagnosis and comprehensive, person-</w:t>
      </w:r>
      <w:r>
        <w:rPr>
          <w:rFonts w:ascii="Arial" w:cs="Arial" w:hAnsi="Arial"/>
        </w:rPr>
        <w:t>centred</w:t>
      </w:r>
      <w:r>
        <w:rPr>
          <w:rFonts w:ascii="Arial" w:cs="Arial" w:hAnsi="Arial"/>
        </w:rPr>
        <w:t xml:space="preserve"> care. Although ICD-11 provides a reliable framework for classification, challenges such as delayed diagnosis and symptom overlap remain. Effective management depends on combining medication, psychological therapies, and rehabilitation. Ongoing research, improved access to services, and integrated care are essential for reducing relapse, improving recovery, and enhancing the quality of life of individuals living with bipolar disorder.</w:t>
      </w:r>
    </w:p>
    <w:p w14:paraId="00000040">
      <w:pPr>
        <w:bidi w:val="off"/>
        <w:rPr>
          <w:rFonts w:ascii="Arial" w:cs="Arial" w:hAnsi="Arial"/>
        </w:rPr>
      </w:pPr>
    </w:p>
    <w:p w14:paraId="00000041">
      <w:pPr>
        <w:bidi w:val="off"/>
        <w:rPr>
          <w:rFonts w:ascii="Arial" w:cs="Arial" w:hAnsi="Arial"/>
        </w:rPr>
      </w:pPr>
    </w:p>
    <w:p w14:paraId="00000042">
      <w:pPr>
        <w:bidi w:val="off"/>
        <w:rPr>
          <w:rFonts w:ascii="Arial" w:cs="Arial" w:hAnsi="Arial"/>
        </w:rPr>
      </w:pPr>
    </w:p>
    <w:p w14:paraId="00000043">
      <w:pPr>
        <w:bidi w:val="off"/>
        <w:rPr>
          <w:rFonts w:ascii="Arial" w:cs="Arial" w:hAnsi="Arial"/>
          <w:b/>
          <w:bCs/>
        </w:rPr>
      </w:pPr>
      <w:r>
        <w:rPr>
          <w:rFonts w:ascii="Arial" w:cs="Arial" w:hAnsi="Arial"/>
          <w:b/>
          <w:bCs/>
        </w:rPr>
        <w:t>REFERENCES.</w:t>
      </w:r>
    </w:p>
    <w:p w14:paraId="00000044">
      <w:pPr>
        <w:bidi w:val="off"/>
        <w:rPr>
          <w:rFonts w:ascii="Arial" w:cs="Arial" w:hAnsi="Arial"/>
        </w:rPr>
      </w:pPr>
    </w:p>
    <w:p w14:paraId="00000045">
      <w:pPr>
        <w:bidi w:val="off"/>
        <w:rPr>
          <w:rFonts w:ascii="Arial" w:cs="Arial" w:hAnsi="Arial"/>
          <w:lang w:val="en-US"/>
        </w:rPr>
      </w:pPr>
      <w:r>
        <w:rPr>
          <w:rFonts w:ascii="Arial" w:cs="Arial" w:hAnsi="Arial"/>
          <w:rtl w:val="off"/>
          <w:lang w:val="en-US"/>
        </w:rPr>
        <w:t xml:space="preserve">Angst, J. (2013) ‘Bipolar disorders in DSM-5: Strengths, problems and perspectives’, </w:t>
      </w:r>
      <w:r>
        <w:rPr>
          <w:rFonts w:ascii="Arial" w:cs="Arial" w:hAnsi="Arial"/>
          <w:rtl w:val="off"/>
          <w:lang w:val="en-US"/>
        </w:rPr>
        <w:t>International Journal of Bipolar Disorders</w:t>
      </w:r>
      <w:r>
        <w:rPr>
          <w:rFonts w:ascii="Arial" w:cs="Arial" w:hAnsi="Arial"/>
          <w:rtl w:val="off"/>
          <w:lang w:val="en-US"/>
        </w:rPr>
        <w:t>,</w:t>
      </w:r>
      <w:r>
        <w:rPr>
          <w:rFonts w:ascii="Arial" w:cs="Arial" w:hAnsi="Arial"/>
          <w:rtl w:val="off"/>
          <w:lang w:val="en-US"/>
        </w:rPr>
        <w:t xml:space="preserve"> </w:t>
      </w:r>
      <w:r>
        <w:rPr>
          <w:rFonts w:ascii="Arial" w:cs="Arial" w:hAnsi="Arial"/>
          <w:rtl w:val="off"/>
          <w:lang w:val="en-US"/>
        </w:rPr>
        <w:t>1</w:t>
      </w:r>
      <w:r>
        <w:rPr>
          <w:rFonts w:ascii="Arial" w:cs="Arial" w:hAnsi="Arial"/>
          <w:rtl w:val="off"/>
          <w:lang w:val="en-US"/>
        </w:rPr>
        <w:t>(1</w:t>
      </w:r>
      <w:r>
        <w:rPr>
          <w:rFonts w:ascii="Arial" w:cs="Arial" w:hAnsi="Arial"/>
          <w:rtl w:val="off"/>
          <w:lang w:val="en-US"/>
        </w:rPr>
        <w:t xml:space="preserve">), pp. 1–3. Available at: </w:t>
      </w:r>
      <w:r>
        <w:rPr>
          <w:rFonts w:ascii="Arial" w:cs="Arial" w:hAnsi="Arial"/>
          <w:rtl w:val="off"/>
          <w:lang w:val="en-US"/>
        </w:rPr>
        <w:fldChar w:fldCharType="begin"/>
      </w:r>
      <w:r>
        <w:rPr>
          <w:rFonts w:ascii="Arial" w:cs="Arial" w:hAnsi="Arial"/>
          <w:rtl w:val="off"/>
          <w:lang w:val="en-US"/>
        </w:rPr>
        <w:instrText xml:space="preserve"> HYPERLINK "https://doi.org/10.1186/2194-7511-1-12" </w:instrText>
      </w:r>
      <w:r>
        <w:rPr>
          <w:rFonts w:ascii="Arial" w:cs="Arial" w:hAnsi="Arial"/>
          <w:rtl w:val="off"/>
          <w:lang w:val="en-US"/>
        </w:rPr>
        <w:fldChar w:fldCharType="separate"/>
      </w:r>
      <w:r>
        <w:rPr>
          <w:rFonts w:ascii="Arial" w:cs="Arial" w:hAnsi="Arial"/>
          <w:rtl w:val="off"/>
          <w:lang w:val="en-US"/>
        </w:rPr>
        <w:t>https://doi.org/10.1186/2194-7511-1-12</w:t>
      </w:r>
      <w:r>
        <w:rPr>
          <w:rFonts w:ascii="Arial" w:cs="Arial" w:hAnsi="Arial"/>
          <w:rtl w:val="off"/>
          <w:lang w:val="en-US"/>
        </w:rPr>
        <w:fldChar w:fldCharType="end"/>
      </w:r>
      <w:r>
        <w:rPr>
          <w:rFonts w:ascii="Arial" w:cs="Arial" w:hAnsi="Arial"/>
          <w:rtl w:val="off"/>
          <w:lang w:val="en-US"/>
        </w:rPr>
        <w:t>.</w:t>
      </w:r>
    </w:p>
    <w:p w14:paraId="00000046">
      <w:pPr>
        <w:bidi w:val="off"/>
        <w:rPr>
          <w:rFonts w:ascii="Arial" w:cs="Arial" w:hAnsi="Arial"/>
          <w:lang w:val="en-US"/>
        </w:rPr>
      </w:pPr>
    </w:p>
    <w:p w14:paraId="00000047">
      <w:pPr>
        <w:bidi w:val="off"/>
        <w:rPr>
          <w:rFonts w:ascii="Arial" w:cs="Arial" w:hAnsi="Arial"/>
          <w:rtl w:val="off"/>
          <w:lang w:val="en-US"/>
        </w:rPr>
      </w:pPr>
      <w:r>
        <w:rPr>
          <w:rFonts w:ascii="Arial" w:cs="Arial" w:hAnsi="Arial"/>
          <w:rtl w:val="off"/>
          <w:lang w:val="en-US"/>
        </w:rPr>
        <w:t xml:space="preserve">Carvalho, A.F., Firth, J. and Vieta, E. (2020) ‘Bipolar disorder’, </w:t>
      </w:r>
      <w:r>
        <w:rPr>
          <w:rFonts w:ascii="Arial" w:cs="Arial" w:hAnsi="Arial"/>
          <w:rtl w:val="off"/>
          <w:lang w:val="en-US"/>
        </w:rPr>
        <w:t>New England Journal of Medicine</w:t>
      </w:r>
      <w:r>
        <w:rPr>
          <w:rFonts w:ascii="Arial" w:cs="Arial" w:hAnsi="Arial"/>
          <w:rtl w:val="off"/>
          <w:lang w:val="en-US"/>
        </w:rPr>
        <w:t xml:space="preserve">, </w:t>
      </w:r>
      <w:r>
        <w:rPr>
          <w:rFonts w:ascii="Arial" w:cs="Arial" w:hAnsi="Arial"/>
          <w:rtl w:val="off"/>
          <w:lang w:val="en-US"/>
        </w:rPr>
        <w:t>383</w:t>
      </w:r>
      <w:r>
        <w:rPr>
          <w:rFonts w:ascii="Arial" w:cs="Arial" w:hAnsi="Arial"/>
          <w:rtl w:val="off"/>
          <w:lang w:val="en-US"/>
        </w:rPr>
        <w:t>(1</w:t>
      </w:r>
      <w:r>
        <w:rPr>
          <w:rFonts w:ascii="Arial" w:cs="Arial" w:hAnsi="Arial"/>
          <w:rtl w:val="off"/>
          <w:lang w:val="en-US"/>
        </w:rPr>
        <w:t xml:space="preserve">), pp. 58–66. Available at: </w:t>
      </w:r>
      <w:r>
        <w:rPr>
          <w:rFonts w:ascii="Arial" w:cs="Arial" w:hAnsi="Arial"/>
          <w:rtl w:val="off"/>
          <w:lang w:val="en-US"/>
        </w:rPr>
        <w:fldChar w:fldCharType="begin"/>
      </w:r>
      <w:r>
        <w:rPr>
          <w:rFonts w:ascii="Arial" w:cs="Arial" w:hAnsi="Arial"/>
          <w:rtl w:val="off"/>
          <w:lang w:val="en-US"/>
        </w:rPr>
        <w:instrText xml:space="preserve"> HYPERLINK "https://doi.org/10.1056/NEJMra1906193" </w:instrText>
      </w:r>
      <w:r>
        <w:rPr>
          <w:rFonts w:ascii="Arial" w:cs="Arial" w:hAnsi="Arial"/>
          <w:rtl w:val="off"/>
          <w:lang w:val="en-US"/>
        </w:rPr>
        <w:fldChar w:fldCharType="separate"/>
      </w:r>
      <w:r>
        <w:rPr>
          <w:rFonts w:ascii="Arial" w:cs="Arial" w:hAnsi="Arial"/>
          <w:rtl w:val="off"/>
          <w:lang w:val="en-US"/>
        </w:rPr>
        <w:t>https://doi.org/10.1056/NEJMra1906193</w:t>
      </w:r>
      <w:r>
        <w:rPr>
          <w:rFonts w:ascii="Arial" w:cs="Arial" w:hAnsi="Arial"/>
          <w:rtl w:val="off"/>
          <w:lang w:val="en-US"/>
        </w:rPr>
        <w:fldChar w:fldCharType="end"/>
      </w:r>
      <w:r>
        <w:rPr>
          <w:rFonts w:ascii="Arial" w:cs="Arial" w:hAnsi="Arial"/>
          <w:rtl w:val="off"/>
          <w:lang w:val="en-US"/>
        </w:rPr>
        <w:t>.</w:t>
      </w:r>
    </w:p>
    <w:p w14:paraId="00000048">
      <w:pPr>
        <w:bidi w:val="off"/>
        <w:rPr>
          <w:rFonts w:ascii="Arial" w:cs="Arial" w:hAnsi="Arial"/>
          <w:rtl w:val="off"/>
          <w:lang w:val="en-US"/>
        </w:rPr>
      </w:pPr>
    </w:p>
    <w:p w14:paraId="00000049">
      <w:pPr>
        <w:bidi w:val="off"/>
        <w:rPr>
          <w:rFonts w:ascii="Arial" w:cs="Arial" w:hAnsi="Arial"/>
          <w:lang w:val="en-US"/>
        </w:rPr>
      </w:pPr>
      <w:r>
        <w:rPr>
          <w:rFonts w:ascii="Arial" w:cs="Arial" w:hAnsi="Arial"/>
          <w:rtl w:val="off"/>
          <w:lang w:val="en-US"/>
        </w:rPr>
        <w:t>Corrigan, P.W. and Nieweglowski, K. (2019)</w:t>
      </w:r>
      <w:r>
        <w:rPr>
          <w:rFonts w:ascii="Arial" w:cs="Arial" w:hAnsi="Arial"/>
          <w:rtl w:val="off"/>
          <w:lang w:val="en-US"/>
        </w:rPr>
        <w:t xml:space="preserve"> ‘How does familiarity impact the stigma of mental illness?’, </w:t>
      </w:r>
      <w:r>
        <w:rPr>
          <w:rFonts w:ascii="Arial" w:cs="Arial" w:hAnsi="Arial"/>
          <w:rtl w:val="off"/>
          <w:lang w:val="en-US"/>
        </w:rPr>
        <w:t>Clinical Psychology Review</w:t>
      </w:r>
      <w:r>
        <w:rPr>
          <w:rFonts w:ascii="Arial" w:cs="Arial" w:hAnsi="Arial"/>
          <w:rtl w:val="off"/>
          <w:lang w:val="en-US"/>
        </w:rPr>
        <w:t xml:space="preserve">, </w:t>
      </w:r>
      <w:r>
        <w:rPr>
          <w:rFonts w:ascii="Arial" w:cs="Arial" w:hAnsi="Arial"/>
          <w:rtl w:val="off"/>
          <w:lang w:val="en-US"/>
        </w:rPr>
        <w:t>70</w:t>
      </w:r>
      <w:r>
        <w:rPr>
          <w:rFonts w:ascii="Arial" w:cs="Arial" w:hAnsi="Arial"/>
          <w:rtl w:val="off"/>
          <w:lang w:val="en-US"/>
        </w:rPr>
        <w:t>,</w:t>
      </w:r>
      <w:r>
        <w:rPr>
          <w:rFonts w:ascii="Arial" w:cs="Arial" w:hAnsi="Arial"/>
          <w:rtl w:val="off"/>
          <w:lang w:val="en-US"/>
        </w:rPr>
        <w:t xml:space="preserve"> pp. 40–50. Available at: </w:t>
      </w:r>
      <w:r>
        <w:rPr>
          <w:rFonts w:ascii="Arial" w:cs="Arial" w:hAnsi="Arial"/>
          <w:rtl w:val="off"/>
          <w:lang w:val="en-US"/>
        </w:rPr>
        <w:fldChar w:fldCharType="begin"/>
      </w:r>
      <w:r>
        <w:rPr>
          <w:rFonts w:ascii="Arial" w:cs="Arial" w:hAnsi="Arial"/>
          <w:rtl w:val="off"/>
          <w:lang w:val="en-US"/>
        </w:rPr>
        <w:instrText xml:space="preserve"> HYPERLINK "https://www.sciencedirect.com/journal/clinical-psychology-review" </w:instrText>
      </w:r>
      <w:r>
        <w:rPr>
          <w:rFonts w:ascii="Arial" w:cs="Arial" w:hAnsi="Arial"/>
          <w:rtl w:val="off"/>
          <w:lang w:val="en-US"/>
        </w:rPr>
        <w:fldChar w:fldCharType="separate"/>
      </w:r>
      <w:r>
        <w:rPr>
          <w:rFonts w:ascii="Arial" w:cs="Arial" w:hAnsi="Arial"/>
          <w:rtl w:val="off"/>
          <w:lang w:val="en-US"/>
        </w:rPr>
        <w:t>https://www.sciencedirect.com/journal/clinical-psychology-review</w:t>
      </w:r>
      <w:r>
        <w:rPr>
          <w:rFonts w:ascii="Arial" w:cs="Arial" w:hAnsi="Arial"/>
          <w:rtl w:val="off"/>
          <w:lang w:val="en-US"/>
        </w:rPr>
        <w:fldChar w:fldCharType="end"/>
      </w:r>
      <w:r>
        <w:rPr>
          <w:rFonts w:ascii="Arial" w:cs="Arial" w:hAnsi="Arial"/>
          <w:rtl w:val="off"/>
          <w:lang w:val="en-US"/>
        </w:rPr>
        <w:t xml:space="preserve"> </w:t>
      </w:r>
    </w:p>
    <w:p w14:paraId="0000004A">
      <w:pPr>
        <w:bidi w:val="off"/>
        <w:rPr>
          <w:rFonts w:ascii="Arial" w:cs="Arial" w:hAnsi="Arial"/>
          <w:lang w:val="en-US"/>
        </w:rPr>
      </w:pPr>
    </w:p>
    <w:p w14:paraId="0000004B">
      <w:pPr>
        <w:bidi w:val="off"/>
        <w:rPr>
          <w:rFonts w:ascii="Arial" w:cs="Arial" w:hAnsi="Arial"/>
          <w:lang w:val="en-US"/>
        </w:rPr>
      </w:pPr>
      <w:r>
        <w:rPr>
          <w:rFonts w:ascii="Arial" w:cs="Arial" w:hAnsi="Arial"/>
          <w:rtl w:val="off"/>
          <w:lang w:val="en-US"/>
        </w:rPr>
        <w:t xml:space="preserve"> </w:t>
      </w:r>
      <w:r>
        <w:rPr>
          <w:rFonts w:ascii="Arial" w:cs="Arial" w:hAnsi="Arial"/>
          <w:rtl w:val="off"/>
          <w:lang w:val="en-US"/>
        </w:rPr>
        <w:t xml:space="preserve">Grande, I., Berk, M., Birmaher, B. and Vieta, E. (2016) ‘Bipolar disorder’, </w:t>
      </w:r>
      <w:r>
        <w:rPr>
          <w:rFonts w:ascii="Arial" w:cs="Arial" w:hAnsi="Arial"/>
          <w:rtl w:val="off"/>
          <w:lang w:val="en-US"/>
        </w:rPr>
        <w:t>The Lancet</w:t>
      </w:r>
      <w:r>
        <w:rPr>
          <w:rFonts w:ascii="Arial" w:cs="Arial" w:hAnsi="Arial"/>
          <w:rtl w:val="off"/>
          <w:lang w:val="en-US"/>
        </w:rPr>
        <w:t xml:space="preserve">, </w:t>
      </w:r>
      <w:r>
        <w:rPr>
          <w:rFonts w:ascii="Arial" w:cs="Arial" w:hAnsi="Arial"/>
          <w:rtl w:val="off"/>
          <w:lang w:val="en-US"/>
        </w:rPr>
        <w:t>387</w:t>
      </w:r>
      <w:r>
        <w:rPr>
          <w:rFonts w:ascii="Arial" w:cs="Arial" w:hAnsi="Arial"/>
          <w:rtl w:val="off"/>
          <w:lang w:val="en-US"/>
        </w:rPr>
        <w:t>(</w:t>
      </w:r>
      <w:r>
        <w:rPr>
          <w:rFonts w:ascii="Arial" w:cs="Arial" w:hAnsi="Arial"/>
          <w:rtl w:val="off"/>
          <w:lang w:val="en-US"/>
        </w:rPr>
        <w:t xml:space="preserve">10027), pp. 1561–1572. Available at: </w:t>
      </w:r>
      <w:r>
        <w:rPr>
          <w:rFonts w:ascii="Arial" w:cs="Arial" w:hAnsi="Arial"/>
          <w:rtl w:val="off"/>
          <w:lang w:val="en-US"/>
        </w:rPr>
        <w:t>https</w:t>
      </w:r>
      <w:r>
        <w:rPr>
          <w:rFonts w:ascii="Arial" w:cs="Arial" w:hAnsi="Arial"/>
          <w:rtl w:val="off"/>
          <w:lang w:val="en-US"/>
        </w:rPr>
        <w:t xml:space="preserve">. </w:t>
      </w:r>
      <w:r>
        <w:rPr>
          <w:rFonts w:ascii="Arial" w:cs="Arial" w:hAnsi="Arial"/>
          <w:rtl w:val="off"/>
          <w:lang w:val="en-US"/>
        </w:rPr>
        <w:t>doi.org/</w:t>
      </w:r>
      <w:r>
        <w:rPr>
          <w:rFonts w:ascii="Arial" w:cs="Arial" w:hAnsi="Arial"/>
          <w:rtl w:val="off"/>
          <w:lang w:val="en-US"/>
        </w:rPr>
        <w:t xml:space="preserve"> </w:t>
      </w:r>
      <w:r>
        <w:rPr>
          <w:rFonts w:ascii="Arial" w:cs="Arial" w:hAnsi="Arial"/>
          <w:highlight w:val="white"/>
          <w:rtl w:val="off"/>
          <w:lang w:val="en-US"/>
        </w:rPr>
        <w:fldChar w:fldCharType="begin"/>
      </w:r>
      <w:r>
        <w:rPr>
          <w:rFonts w:ascii="Arial" w:cs="Arial" w:hAnsi="Arial"/>
          <w:highlight w:val="white"/>
          <w:rtl w:val="off"/>
          <w:lang w:val="en-US"/>
        </w:rPr>
        <w:instrText xml:space="preserve"> HYPERLINK "https://doi.org/10.1016/s0140-6736(15)00241-x" </w:instrText>
      </w:r>
      <w:r>
        <w:rPr>
          <w:rFonts w:ascii="Arial" w:cs="Arial" w:hAnsi="Arial"/>
          <w:highlight w:val="white"/>
          <w:rtl w:val="off"/>
          <w:lang w:val="en-US"/>
        </w:rPr>
        <w:fldChar w:fldCharType="separate"/>
      </w:r>
      <w:r>
        <w:rPr>
          <w:rFonts w:ascii="Arial" w:cs="Arial" w:hAnsi="Arial"/>
          <w:highlight w:val="white"/>
          <w:rtl w:val="off"/>
          <w:lang w:val="en-US"/>
        </w:rPr>
        <w:t>10.1016/S0140-6736(15)00241-X</w:t>
      </w:r>
      <w:r>
        <w:rPr>
          <w:rFonts w:ascii="Arial" w:cs="Arial" w:hAnsi="Arial"/>
          <w:lang w:val="en-US"/>
        </w:rPr>
        <w:fldChar w:fldCharType="end"/>
      </w:r>
    </w:p>
    <w:p w14:paraId="0000004C">
      <w:pPr>
        <w:bidi w:val="off"/>
        <w:rPr>
          <w:rFonts w:ascii="Arial" w:cs="Arial" w:hAnsi="Arial"/>
          <w:lang w:val="en-US"/>
        </w:rPr>
      </w:pPr>
    </w:p>
    <w:p w14:paraId="0000004D">
      <w:pPr>
        <w:bidi w:val="off"/>
        <w:rPr>
          <w:rFonts w:ascii="Arial" w:cs="Arial" w:hAnsi="Arial"/>
          <w:lang w:val="en-US"/>
        </w:rPr>
      </w:pPr>
      <w:r>
        <w:rPr>
          <w:rFonts w:ascii="Arial" w:cs="Arial" w:hAnsi="Arial"/>
          <w:rtl w:val="off"/>
          <w:lang w:val="en-US"/>
        </w:rPr>
        <w:t xml:space="preserve">Hargreaves, A., Loughnane, G., Grasso, G. and Mothersill, D. (2024) ‘The relationship between familiarity and stigma associated with schizophrenia, bipolar disorder and autism in Ireland: A pilot study’, </w:t>
      </w:r>
      <w:r>
        <w:rPr>
          <w:rFonts w:ascii="Arial" w:cs="Arial" w:hAnsi="Arial"/>
          <w:rtl w:val="off"/>
          <w:lang w:val="en-US"/>
        </w:rPr>
        <w:t>Irish Journal of Applied Social Studies</w:t>
      </w:r>
      <w:r>
        <w:rPr>
          <w:rFonts w:ascii="Arial" w:cs="Arial" w:hAnsi="Arial"/>
          <w:rtl w:val="off"/>
          <w:lang w:val="en-US"/>
        </w:rPr>
        <w:t>,</w:t>
      </w:r>
      <w:r>
        <w:rPr>
          <w:rFonts w:ascii="Arial" w:cs="Arial" w:hAnsi="Arial"/>
          <w:rtl w:val="off"/>
          <w:lang w:val="en-US"/>
        </w:rPr>
        <w:t xml:space="preserve"> </w:t>
      </w:r>
      <w:r>
        <w:rPr>
          <w:rFonts w:ascii="Arial" w:cs="Arial" w:hAnsi="Arial"/>
          <w:rtl w:val="off"/>
          <w:lang w:val="en-US"/>
        </w:rPr>
        <w:t>24</w:t>
      </w:r>
      <w:r>
        <w:rPr>
          <w:rFonts w:ascii="Arial" w:cs="Arial" w:hAnsi="Arial"/>
          <w:rtl w:val="off"/>
          <w:lang w:val="en-US"/>
        </w:rPr>
        <w:t xml:space="preserve">(2). Available at: </w:t>
      </w:r>
      <w:r>
        <w:rPr>
          <w:rFonts w:ascii="Arial" w:cs="Arial" w:hAnsi="Arial"/>
          <w:rtl w:val="off"/>
          <w:lang w:val="en-US"/>
        </w:rPr>
        <w:fldChar w:fldCharType="begin"/>
      </w:r>
      <w:r>
        <w:rPr>
          <w:rFonts w:ascii="Arial" w:cs="Arial" w:hAnsi="Arial"/>
          <w:rtl w:val="off"/>
          <w:lang w:val="en-US"/>
        </w:rPr>
        <w:instrText xml:space="preserve"> HYPERLINK "https://doi.org/10.21427/sgva-hv25" </w:instrText>
      </w:r>
      <w:r>
        <w:rPr>
          <w:rFonts w:ascii="Arial" w:cs="Arial" w:hAnsi="Arial"/>
          <w:rtl w:val="off"/>
          <w:lang w:val="en-US"/>
        </w:rPr>
        <w:fldChar w:fldCharType="separate"/>
      </w:r>
      <w:r>
        <w:rPr>
          <w:rFonts w:ascii="Arial" w:cs="Arial" w:hAnsi="Arial"/>
          <w:rtl w:val="off"/>
          <w:lang w:val="en-US"/>
        </w:rPr>
        <w:t>https://doi.org/10.21427/sgva-hv25</w:t>
      </w:r>
      <w:r>
        <w:rPr>
          <w:rFonts w:ascii="Arial" w:cs="Arial" w:hAnsi="Arial"/>
          <w:rtl w:val="off"/>
          <w:lang w:val="en-US"/>
        </w:rPr>
        <w:fldChar w:fldCharType="end"/>
      </w:r>
      <w:r>
        <w:rPr>
          <w:rFonts w:ascii="Arial" w:cs="Arial" w:hAnsi="Arial"/>
          <w:rtl w:val="off"/>
          <w:lang w:val="en-US"/>
        </w:rPr>
        <w:t>.</w:t>
      </w:r>
    </w:p>
    <w:p w14:paraId="0000004E">
      <w:pPr>
        <w:bidi w:val="off"/>
        <w:rPr>
          <w:rFonts w:ascii="Arial" w:cs="Arial" w:hAnsi="Arial"/>
          <w:lang w:val="en-US"/>
        </w:rPr>
      </w:pPr>
    </w:p>
    <w:p w14:paraId="0000004F">
      <w:pPr>
        <w:bidi w:val="off"/>
        <w:rPr>
          <w:rFonts w:ascii="Arial" w:cs="Arial" w:hAnsi="Arial"/>
          <w:rtl w:val="off"/>
          <w:lang w:val="en-US"/>
        </w:rPr>
      </w:pPr>
      <w:r>
        <w:rPr>
          <w:rFonts w:ascii="Arial" w:cs="Arial" w:hAnsi="Arial"/>
          <w:rtl w:val="off"/>
          <w:lang w:val="en-US"/>
        </w:rPr>
        <w:t xml:space="preserve">Haslam, N. and Tse, J.S.Y. (2025) ‘Public awareness of mental illness: Mental health literacy or concept creep?’, </w:t>
      </w:r>
      <w:r>
        <w:rPr>
          <w:rFonts w:ascii="Arial" w:cs="Arial" w:hAnsi="Arial"/>
          <w:rtl w:val="off"/>
          <w:lang w:val="en-US"/>
        </w:rPr>
        <w:t>Australasian Psychiatry</w:t>
      </w:r>
      <w:r>
        <w:rPr>
          <w:rFonts w:ascii="Arial" w:cs="Arial" w:hAnsi="Arial"/>
          <w:rtl w:val="off"/>
          <w:lang w:val="en-US"/>
        </w:rPr>
        <w:t xml:space="preserve">, </w:t>
      </w:r>
      <w:r>
        <w:rPr>
          <w:rFonts w:ascii="Arial" w:cs="Arial" w:hAnsi="Arial"/>
          <w:rtl w:val="off"/>
          <w:lang w:val="en-US"/>
        </w:rPr>
        <w:t>33</w:t>
      </w:r>
      <w:r>
        <w:rPr>
          <w:rFonts w:ascii="Arial" w:cs="Arial" w:hAnsi="Arial"/>
          <w:rtl w:val="off"/>
          <w:lang w:val="en-US"/>
        </w:rPr>
        <w:t>(1</w:t>
      </w:r>
      <w:r>
        <w:rPr>
          <w:rFonts w:ascii="Arial" w:cs="Arial" w:hAnsi="Arial"/>
          <w:rtl w:val="off"/>
          <w:lang w:val="en-US"/>
        </w:rPr>
        <w:t xml:space="preserve">), pp. 18–20. Available at: </w:t>
      </w:r>
      <w:r>
        <w:rPr>
          <w:rFonts w:ascii="Arial" w:cs="Arial" w:hAnsi="Arial"/>
          <w:rtl w:val="off"/>
          <w:lang w:val="en-US"/>
        </w:rPr>
        <w:fldChar w:fldCharType="begin"/>
      </w:r>
      <w:r>
        <w:rPr>
          <w:rFonts w:ascii="Arial" w:cs="Arial" w:hAnsi="Arial"/>
          <w:rtl w:val="off"/>
          <w:lang w:val="en-US"/>
        </w:rPr>
        <w:instrText xml:space="preserve"> HYPERLINK "https://doi.org/10.1177/10398562241292202" </w:instrText>
      </w:r>
      <w:r>
        <w:rPr>
          <w:rFonts w:ascii="Arial" w:cs="Arial" w:hAnsi="Arial"/>
          <w:rtl w:val="off"/>
          <w:lang w:val="en-US"/>
        </w:rPr>
        <w:fldChar w:fldCharType="separate"/>
      </w:r>
      <w:r>
        <w:rPr>
          <w:rFonts w:ascii="Arial" w:cs="Arial" w:hAnsi="Arial"/>
          <w:rtl w:val="off"/>
          <w:lang w:val="en-US"/>
        </w:rPr>
        <w:t>https://doi.org/10.1177/10398562241292202</w:t>
      </w:r>
      <w:r>
        <w:rPr>
          <w:rFonts w:ascii="Arial" w:cs="Arial" w:hAnsi="Arial"/>
          <w:rtl w:val="off"/>
          <w:lang w:val="en-US"/>
        </w:rPr>
        <w:fldChar w:fldCharType="end"/>
      </w:r>
      <w:r>
        <w:rPr>
          <w:rFonts w:ascii="Arial" w:cs="Arial" w:hAnsi="Arial"/>
          <w:rtl w:val="off"/>
          <w:lang w:val="en-US"/>
        </w:rPr>
        <w:t>.</w:t>
      </w:r>
    </w:p>
    <w:p w14:paraId="00000050">
      <w:pPr>
        <w:bidi w:val="off"/>
        <w:rPr>
          <w:rFonts w:ascii="Arial" w:cs="Arial" w:hAnsi="Arial"/>
          <w:rtl w:val="off"/>
          <w:lang w:val="en-US"/>
        </w:rPr>
      </w:pPr>
    </w:p>
    <w:p w14:paraId="00000051">
      <w:pPr>
        <w:bidi w:val="off"/>
        <w:rPr>
          <w:rFonts w:ascii="Arial" w:cs="Arial" w:hAnsi="Arial"/>
          <w:lang w:val="en-US"/>
        </w:rPr>
      </w:pPr>
      <w:r>
        <w:rPr>
          <w:rFonts w:ascii="Arial" w:cs="Arial" w:hAnsi="Arial"/>
          <w:rtl w:val="off"/>
          <w:lang w:val="en-US"/>
        </w:rPr>
        <w:t xml:space="preserve">Kendall, T., Morriss, R., Mayo-Wilson, E. </w:t>
      </w:r>
      <w:r>
        <w:rPr>
          <w:rFonts w:ascii="Arial" w:cs="Arial" w:hAnsi="Arial"/>
          <w:rtl w:val="off"/>
          <w:lang w:val="en-US"/>
        </w:rPr>
        <w:t>et al.</w:t>
      </w:r>
      <w:r>
        <w:rPr>
          <w:rFonts w:ascii="Arial" w:cs="Arial" w:hAnsi="Arial"/>
          <w:rtl w:val="off"/>
          <w:lang w:val="en-US"/>
        </w:rPr>
        <w:t xml:space="preserve"> (2014) ‘Assessment and management of bipolar disorder: Summary of updated NICE guidance’, </w:t>
      </w:r>
      <w:r>
        <w:rPr>
          <w:rFonts w:ascii="Arial" w:cs="Arial" w:hAnsi="Arial"/>
          <w:rtl w:val="off"/>
          <w:lang w:val="en-US"/>
        </w:rPr>
        <w:t>BMJ</w:t>
      </w:r>
      <w:r>
        <w:rPr>
          <w:rFonts w:ascii="Arial" w:cs="Arial" w:hAnsi="Arial"/>
          <w:rtl w:val="off"/>
          <w:lang w:val="en-US"/>
        </w:rPr>
        <w:t>,</w:t>
      </w:r>
      <w:r>
        <w:rPr>
          <w:rFonts w:ascii="Arial" w:cs="Arial" w:hAnsi="Arial"/>
          <w:rtl w:val="off"/>
          <w:lang w:val="en-US"/>
        </w:rPr>
        <w:t xml:space="preserve"> </w:t>
      </w:r>
      <w:r>
        <w:rPr>
          <w:rFonts w:ascii="Arial" w:cs="Arial" w:hAnsi="Arial"/>
          <w:rtl w:val="off"/>
          <w:lang w:val="en-US"/>
        </w:rPr>
        <w:t>349</w:t>
      </w:r>
      <w:r>
        <w:rPr>
          <w:rFonts w:ascii="Arial" w:cs="Arial" w:hAnsi="Arial"/>
          <w:rtl w:val="off"/>
          <w:lang w:val="en-US"/>
        </w:rPr>
        <w:t xml:space="preserve">, </w:t>
      </w:r>
      <w:r>
        <w:rPr>
          <w:rFonts w:ascii="Arial" w:cs="Arial" w:hAnsi="Arial"/>
          <w:rtl w:val="off"/>
          <w:lang w:val="en-US"/>
        </w:rPr>
        <w:t xml:space="preserve">g5673. Available at: </w:t>
      </w:r>
      <w:r>
        <w:rPr>
          <w:rFonts w:ascii="Arial" w:cs="Arial" w:hAnsi="Arial"/>
          <w:rtl w:val="off"/>
          <w:lang w:val="en-US"/>
        </w:rPr>
        <w:fldChar w:fldCharType="begin"/>
      </w:r>
      <w:r>
        <w:rPr>
          <w:rFonts w:ascii="Arial" w:cs="Arial" w:hAnsi="Arial"/>
          <w:rtl w:val="off"/>
          <w:lang w:val="en-US"/>
        </w:rPr>
        <w:instrText xml:space="preserve"> HYPERLINK "https://doi.org/10.1136/bmj.g5673" </w:instrText>
      </w:r>
      <w:r>
        <w:rPr>
          <w:rFonts w:ascii="Arial" w:cs="Arial" w:hAnsi="Arial"/>
          <w:rtl w:val="off"/>
          <w:lang w:val="en-US"/>
        </w:rPr>
        <w:fldChar w:fldCharType="separate"/>
      </w:r>
      <w:r>
        <w:rPr>
          <w:rFonts w:ascii="Arial" w:cs="Arial" w:hAnsi="Arial"/>
          <w:rtl w:val="off"/>
          <w:lang w:val="en-US"/>
        </w:rPr>
        <w:t>https://doi.org/10.1136/bmj.g5673</w:t>
      </w:r>
      <w:r>
        <w:rPr>
          <w:rFonts w:ascii="Arial" w:cs="Arial" w:hAnsi="Arial"/>
          <w:rtl w:val="off"/>
          <w:lang w:val="en-US"/>
        </w:rPr>
        <w:fldChar w:fldCharType="end"/>
      </w:r>
      <w:r>
        <w:rPr>
          <w:rFonts w:ascii="Arial" w:cs="Arial" w:hAnsi="Arial"/>
          <w:rtl w:val="off"/>
          <w:lang w:val="en-US"/>
        </w:rPr>
        <w:t>.</w:t>
      </w:r>
    </w:p>
    <w:p w14:paraId="00000052">
      <w:pPr>
        <w:bidi w:val="off"/>
        <w:rPr>
          <w:rFonts w:ascii="Arial" w:cs="Arial" w:hAnsi="Arial"/>
          <w:lang w:val="en-US"/>
        </w:rPr>
      </w:pPr>
    </w:p>
    <w:p w14:paraId="00000053">
      <w:pPr>
        <w:bidi w:val="off"/>
        <w:rPr>
          <w:rFonts w:ascii="Arial" w:cs="Arial" w:hAnsi="Arial"/>
          <w:lang w:val="en-US"/>
        </w:rPr>
      </w:pPr>
      <w:r>
        <w:rPr>
          <w:rFonts w:ascii="Arial" w:cs="Arial" w:hAnsi="Arial"/>
          <w:rtl w:val="off"/>
          <w:lang w:val="en-US"/>
        </w:rPr>
        <w:t xml:space="preserve">Malhi, G.S., Bell, E., Bassett, D. </w:t>
      </w:r>
      <w:r>
        <w:rPr>
          <w:rFonts w:ascii="Arial" w:cs="Arial" w:hAnsi="Arial"/>
          <w:rtl w:val="off"/>
          <w:lang w:val="en-US"/>
        </w:rPr>
        <w:t>et al.</w:t>
      </w:r>
      <w:r>
        <w:rPr>
          <w:rFonts w:ascii="Arial" w:cs="Arial" w:hAnsi="Arial"/>
          <w:rtl w:val="off"/>
          <w:lang w:val="en-US"/>
        </w:rPr>
        <w:t xml:space="preserve"> (2021) ‘The 2020 Royal Australian and New Zealand College of Psychiatrists clinical practice guidelines for mood disorders’, </w:t>
      </w:r>
      <w:r>
        <w:rPr>
          <w:rFonts w:ascii="Arial" w:cs="Arial" w:hAnsi="Arial"/>
          <w:rtl w:val="off"/>
          <w:lang w:val="en-US"/>
        </w:rPr>
        <w:t>Australian &amp; New Zealand Journal of Psychiatry</w:t>
      </w:r>
      <w:r>
        <w:rPr>
          <w:rFonts w:ascii="Arial" w:cs="Arial" w:hAnsi="Arial"/>
          <w:rtl w:val="off"/>
          <w:lang w:val="en-US"/>
        </w:rPr>
        <w:t>,</w:t>
      </w:r>
      <w:r>
        <w:rPr>
          <w:rFonts w:ascii="Arial" w:cs="Arial" w:hAnsi="Arial"/>
          <w:rtl w:val="off"/>
          <w:lang w:val="en-US"/>
        </w:rPr>
        <w:t xml:space="preserve"> </w:t>
      </w:r>
      <w:r>
        <w:rPr>
          <w:rFonts w:ascii="Arial" w:cs="Arial" w:hAnsi="Arial"/>
          <w:rtl w:val="off"/>
          <w:lang w:val="en-US"/>
        </w:rPr>
        <w:t>55</w:t>
      </w:r>
      <w:r>
        <w:rPr>
          <w:rFonts w:ascii="Arial" w:cs="Arial" w:hAnsi="Arial"/>
          <w:rtl w:val="off"/>
          <w:lang w:val="en-US"/>
        </w:rPr>
        <w:t>(</w:t>
      </w:r>
      <w:r>
        <w:rPr>
          <w:rFonts w:ascii="Arial" w:cs="Arial" w:hAnsi="Arial"/>
          <w:rtl w:val="off"/>
          <w:lang w:val="en-US"/>
        </w:rPr>
        <w:t xml:space="preserve">1), pp. 7–117. Available at: </w:t>
      </w:r>
      <w:r>
        <w:rPr>
          <w:rFonts w:ascii="Arial" w:cs="Arial" w:hAnsi="Arial"/>
          <w:rtl w:val="off"/>
          <w:lang w:val="en-US"/>
        </w:rPr>
        <w:fldChar w:fldCharType="begin"/>
      </w:r>
      <w:r>
        <w:rPr>
          <w:rFonts w:ascii="Arial" w:cs="Arial" w:hAnsi="Arial"/>
          <w:rtl w:val="off"/>
          <w:lang w:val="en-US"/>
        </w:rPr>
        <w:instrText xml:space="preserve"> HYPERLINK "https://doi.org/10.1177/0004867420979353" </w:instrText>
      </w:r>
      <w:r>
        <w:rPr>
          <w:rFonts w:ascii="Arial" w:cs="Arial" w:hAnsi="Arial"/>
          <w:rtl w:val="off"/>
          <w:lang w:val="en-US"/>
        </w:rPr>
        <w:fldChar w:fldCharType="separate"/>
      </w:r>
      <w:r>
        <w:rPr>
          <w:rFonts w:ascii="Arial" w:cs="Arial" w:hAnsi="Arial"/>
          <w:rtl w:val="off"/>
          <w:lang w:val="en-US"/>
        </w:rPr>
        <w:t>https://doi.org/10.1177/0004867420979353</w:t>
      </w:r>
      <w:r>
        <w:rPr>
          <w:rFonts w:ascii="Arial" w:cs="Arial" w:hAnsi="Arial"/>
          <w:rtl w:val="off"/>
          <w:lang w:val="en-US"/>
        </w:rPr>
        <w:fldChar w:fldCharType="end"/>
      </w:r>
      <w:r>
        <w:rPr>
          <w:rFonts w:ascii="Arial" w:cs="Arial" w:hAnsi="Arial"/>
          <w:rtl w:val="off"/>
          <w:lang w:val="en-US"/>
        </w:rPr>
        <w:t>.</w:t>
      </w:r>
    </w:p>
    <w:p w14:paraId="00000054">
      <w:pPr>
        <w:bidi w:val="off"/>
        <w:rPr>
          <w:rFonts w:ascii="Arial" w:cs="Arial" w:hAnsi="Arial"/>
          <w:lang w:val="en-US"/>
        </w:rPr>
      </w:pPr>
    </w:p>
    <w:p w14:paraId="00000055">
      <w:pPr>
        <w:bidi w:val="off"/>
        <w:rPr>
          <w:rFonts w:ascii="Arial" w:cs="Arial" w:hAnsi="Arial"/>
          <w:lang w:val="en-US"/>
        </w:rPr>
      </w:pPr>
      <w:r>
        <w:rPr>
          <w:rFonts w:ascii="Arial" w:cs="Arial" w:hAnsi="Arial"/>
          <w:rtl w:val="off"/>
          <w:lang w:val="en-US"/>
        </w:rPr>
        <w:t xml:space="preserve">Miklowitz, D.J., Schneck, C.D., Walshaw, P.D. </w:t>
      </w:r>
      <w:r>
        <w:rPr>
          <w:rFonts w:ascii="Arial" w:cs="Arial" w:hAnsi="Arial"/>
          <w:rtl w:val="off"/>
          <w:lang w:val="en-US"/>
        </w:rPr>
        <w:t>et al.</w:t>
      </w:r>
      <w:r>
        <w:rPr>
          <w:rFonts w:ascii="Arial" w:cs="Arial" w:hAnsi="Arial"/>
          <w:rtl w:val="off"/>
          <w:lang w:val="en-US"/>
        </w:rPr>
        <w:t xml:space="preserve"> (2020) ‘Effects of family-focused therapy vs enhanced usual care for symptomatic youths at high risk for bipolar disorder: A randomized clinical trial’, </w:t>
      </w:r>
      <w:r>
        <w:rPr>
          <w:rFonts w:ascii="Arial" w:cs="Arial" w:hAnsi="Arial"/>
          <w:rtl w:val="off"/>
          <w:lang w:val="en-US"/>
        </w:rPr>
        <w:t>JAMA Psychiatry</w:t>
      </w:r>
      <w:r>
        <w:rPr>
          <w:rFonts w:ascii="Arial" w:cs="Arial" w:hAnsi="Arial"/>
          <w:rtl w:val="off"/>
          <w:lang w:val="en-US"/>
        </w:rPr>
        <w:t>,</w:t>
      </w:r>
      <w:r>
        <w:rPr>
          <w:rFonts w:ascii="Arial" w:cs="Arial" w:hAnsi="Arial"/>
          <w:rtl w:val="off"/>
          <w:lang w:val="en-US"/>
        </w:rPr>
        <w:t xml:space="preserve"> </w:t>
      </w:r>
      <w:r>
        <w:rPr>
          <w:rFonts w:ascii="Arial" w:cs="Arial" w:hAnsi="Arial"/>
          <w:rtl w:val="off"/>
          <w:lang w:val="en-US"/>
        </w:rPr>
        <w:t>77</w:t>
      </w:r>
      <w:r>
        <w:rPr>
          <w:rFonts w:ascii="Arial" w:cs="Arial" w:hAnsi="Arial"/>
          <w:rtl w:val="off"/>
          <w:lang w:val="en-US"/>
        </w:rPr>
        <w:t>(</w:t>
      </w:r>
      <w:r>
        <w:rPr>
          <w:rFonts w:ascii="Arial" w:cs="Arial" w:hAnsi="Arial"/>
          <w:rtl w:val="off"/>
          <w:lang w:val="en-US"/>
        </w:rPr>
        <w:t xml:space="preserve">5), pp. 455–463. Available at: </w:t>
      </w:r>
      <w:r>
        <w:rPr>
          <w:rFonts w:ascii="Arial" w:cs="Arial" w:hAnsi="Arial"/>
          <w:rtl w:val="off"/>
          <w:lang w:val="en-US"/>
        </w:rPr>
        <w:fldChar w:fldCharType="begin"/>
      </w:r>
      <w:r>
        <w:rPr>
          <w:rFonts w:ascii="Arial" w:cs="Arial" w:hAnsi="Arial"/>
          <w:rtl w:val="off"/>
          <w:lang w:val="en-US"/>
        </w:rPr>
        <w:instrText xml:space="preserve"> HYPERLINK "https://doi.org/10.1001/jamapsychiatry.2019.4520" </w:instrText>
      </w:r>
      <w:r>
        <w:rPr>
          <w:rFonts w:ascii="Arial" w:cs="Arial" w:hAnsi="Arial"/>
          <w:rtl w:val="off"/>
          <w:lang w:val="en-US"/>
        </w:rPr>
        <w:fldChar w:fldCharType="separate"/>
      </w:r>
      <w:r>
        <w:rPr>
          <w:rFonts w:ascii="Arial" w:cs="Arial" w:hAnsi="Arial"/>
          <w:rtl w:val="off"/>
          <w:lang w:val="en-US"/>
        </w:rPr>
        <w:t>https://doi.org/10.1001/jamapsychiatry.2019.4520</w:t>
      </w:r>
      <w:r>
        <w:rPr>
          <w:rFonts w:ascii="Arial" w:cs="Arial" w:hAnsi="Arial"/>
          <w:rtl w:val="off"/>
          <w:lang w:val="en-US"/>
        </w:rPr>
        <w:fldChar w:fldCharType="end"/>
      </w:r>
      <w:r>
        <w:rPr>
          <w:rFonts w:ascii="Arial" w:cs="Arial" w:hAnsi="Arial"/>
          <w:rtl w:val="off"/>
          <w:lang w:val="en-US"/>
        </w:rPr>
        <w:t>.</w:t>
      </w:r>
    </w:p>
    <w:p w14:paraId="00000056">
      <w:pPr>
        <w:bidi w:val="off"/>
        <w:rPr>
          <w:rFonts w:ascii="Arial" w:cs="Arial" w:hAnsi="Arial"/>
          <w:lang w:val="en-US"/>
        </w:rPr>
      </w:pPr>
    </w:p>
    <w:p w14:paraId="00000057">
      <w:pPr>
        <w:bidi w:val="off"/>
        <w:rPr>
          <w:rFonts w:ascii="Arial" w:cs="Arial" w:hAnsi="Arial"/>
          <w:lang w:val="en-US"/>
        </w:rPr>
      </w:pPr>
      <w:r>
        <w:rPr>
          <w:rFonts w:ascii="Arial" w:cs="Arial" w:hAnsi="Arial"/>
          <w:rtl w:val="off"/>
          <w:lang w:val="en-US"/>
        </w:rPr>
        <w:t xml:space="preserve">National Institute for Health and Care Excellence (NICE) (2014) </w:t>
      </w:r>
      <w:r>
        <w:rPr>
          <w:rFonts w:ascii="Arial" w:cs="Arial" w:hAnsi="Arial"/>
          <w:rtl w:val="off"/>
          <w:lang w:val="en-US"/>
        </w:rPr>
        <w:t>Bipolar disorder: Assessment and management (CG185).</w:t>
      </w:r>
      <w:r>
        <w:rPr>
          <w:rFonts w:ascii="Arial" w:cs="Arial" w:hAnsi="Arial"/>
          <w:rtl w:val="off"/>
          <w:lang w:val="en-US"/>
        </w:rPr>
        <w:t xml:space="preserve"> Available at: </w:t>
      </w:r>
      <w:r>
        <w:rPr>
          <w:rFonts w:ascii="Arial" w:cs="Arial" w:hAnsi="Arial"/>
          <w:rtl w:val="off"/>
          <w:lang w:val="en-US"/>
        </w:rPr>
        <w:fldChar w:fldCharType="begin"/>
      </w:r>
      <w:r>
        <w:rPr>
          <w:rFonts w:ascii="Arial" w:cs="Arial" w:hAnsi="Arial"/>
          <w:rtl w:val="off"/>
          <w:lang w:val="en-US"/>
        </w:rPr>
        <w:instrText xml:space="preserve"> HYPERLINK "https://www.nice.org.uk/guidance/cg185" </w:instrText>
      </w:r>
      <w:r>
        <w:rPr>
          <w:rFonts w:ascii="Arial" w:cs="Arial" w:hAnsi="Arial"/>
          <w:rtl w:val="off"/>
          <w:lang w:val="en-US"/>
        </w:rPr>
        <w:fldChar w:fldCharType="separate"/>
      </w:r>
      <w:r>
        <w:rPr>
          <w:rFonts w:ascii="Arial" w:cs="Arial" w:hAnsi="Arial"/>
          <w:rtl w:val="off"/>
          <w:lang w:val="en-US"/>
        </w:rPr>
        <w:t>https://www.nice.org.uk/guidance/cg185</w:t>
      </w:r>
      <w:r>
        <w:rPr>
          <w:rFonts w:ascii="Arial" w:cs="Arial" w:hAnsi="Arial"/>
          <w:rtl w:val="off"/>
          <w:lang w:val="en-US"/>
        </w:rPr>
        <w:fldChar w:fldCharType="end"/>
      </w:r>
      <w:r>
        <w:rPr>
          <w:rFonts w:ascii="Arial" w:cs="Arial" w:hAnsi="Arial"/>
          <w:rtl w:val="off"/>
          <w:lang w:val="en-US"/>
        </w:rPr>
        <w:t xml:space="preserve"> (Accessed: 17 July 2026).</w:t>
      </w:r>
    </w:p>
    <w:p w14:paraId="00000058">
      <w:pPr>
        <w:bidi w:val="off"/>
        <w:rPr>
          <w:rFonts w:ascii="Arial" w:cs="Arial" w:hAnsi="Arial"/>
          <w:lang w:val="en-US"/>
        </w:rPr>
      </w:pPr>
    </w:p>
    <w:p w14:paraId="00000059">
      <w:pPr>
        <w:bidi w:val="off"/>
        <w:rPr>
          <w:rFonts w:ascii="Arial" w:cs="Arial" w:hAnsi="Arial"/>
          <w:lang w:val="en-US"/>
        </w:rPr>
      </w:pPr>
      <w:r>
        <w:rPr>
          <w:rFonts w:ascii="Arial" w:cs="Arial" w:hAnsi="Arial"/>
          <w:rtl w:val="off"/>
          <w:lang w:val="en-US"/>
        </w:rPr>
        <w:t xml:space="preserve">World Health Organization (WHO) (2022) </w:t>
      </w:r>
      <w:r>
        <w:rPr>
          <w:rFonts w:ascii="Arial" w:cs="Arial" w:hAnsi="Arial"/>
          <w:rtl w:val="off"/>
          <w:lang w:val="en-US"/>
        </w:rPr>
        <w:t>Clinical descriptions and diagnostic requirements for ICD-11 mental, behavioural and neurodevelopmental disorders.</w:t>
      </w:r>
      <w:r>
        <w:rPr>
          <w:rFonts w:ascii="Arial" w:cs="Arial" w:hAnsi="Arial"/>
          <w:rtl w:val="off"/>
          <w:lang w:val="en-US"/>
        </w:rPr>
        <w:t xml:space="preserve"> Available at: </w:t>
      </w:r>
      <w:r>
        <w:rPr>
          <w:rFonts w:ascii="Arial" w:cs="Arial" w:hAnsi="Arial"/>
          <w:rtl w:val="off"/>
          <w:lang w:val="en-US"/>
        </w:rPr>
        <w:fldChar w:fldCharType="begin"/>
      </w:r>
      <w:r>
        <w:rPr>
          <w:rFonts w:ascii="Arial" w:cs="Arial" w:hAnsi="Arial"/>
          <w:rtl w:val="off"/>
          <w:lang w:val="en-US"/>
        </w:rPr>
        <w:instrText xml:space="preserve"> HYPERLINK "https://iris.who.int/server/api/core/bitstreams/dcf73611-9e0f-4d5c-85f6-85a58b0da6de/content" </w:instrText>
      </w:r>
      <w:r>
        <w:rPr>
          <w:rFonts w:ascii="Arial" w:cs="Arial" w:hAnsi="Arial"/>
          <w:rtl w:val="off"/>
          <w:lang w:val="en-US"/>
        </w:rPr>
        <w:fldChar w:fldCharType="separate"/>
      </w:r>
      <w:r>
        <w:rPr>
          <w:rFonts w:ascii="Arial" w:cs="Arial" w:hAnsi="Arial"/>
          <w:rtl w:val="off"/>
          <w:lang w:val="en-US"/>
        </w:rPr>
        <w:t>https://iris.who.int/server/api/core/bitstreams/dcf73611-9e0f-4d5c-85f6-85a58b0da6de/content</w:t>
      </w:r>
      <w:r>
        <w:rPr>
          <w:rFonts w:ascii="Arial" w:cs="Arial" w:hAnsi="Arial"/>
          <w:rtl w:val="off"/>
          <w:lang w:val="en-US"/>
        </w:rPr>
        <w:fldChar w:fldCharType="end"/>
      </w:r>
      <w:r>
        <w:rPr>
          <w:rFonts w:ascii="Arial" w:cs="Arial" w:hAnsi="Arial"/>
          <w:rtl w:val="off"/>
          <w:lang w:val="en-US"/>
        </w:rPr>
        <w:t xml:space="preserve"> (Accessed: 17 July 2026).</w:t>
      </w:r>
    </w:p>
    <w:p w14:paraId="0000005A">
      <w:pPr>
        <w:bidi w:val="off"/>
        <w:rPr>
          <w:rFonts w:ascii="Arial" w:cs="Arial" w:hAnsi="Arial"/>
          <w:lang w:val="en-US"/>
        </w:rPr>
      </w:pPr>
    </w:p>
    <w:p w14:paraId="0000005B">
      <w:pPr>
        <w:bidi w:val="off"/>
        <w:rPr>
          <w:rFonts w:ascii="Arial" w:cs="Arial" w:hAnsi="Arial"/>
          <w:lang w:val="en-US"/>
        </w:rPr>
      </w:pPr>
      <w:r>
        <w:rPr>
          <w:rFonts w:ascii="Arial" w:cs="Arial" w:hAnsi="Arial"/>
          <w:rtl w:val="off"/>
          <w:lang w:val="en-US"/>
        </w:rPr>
        <w:t xml:space="preserve">Yatham, L.N., Chakrabarty, T., Bond, D.J. </w:t>
      </w:r>
      <w:r>
        <w:rPr>
          <w:rFonts w:ascii="Arial" w:cs="Arial" w:hAnsi="Arial"/>
          <w:rtl w:val="off"/>
          <w:lang w:val="en-US"/>
        </w:rPr>
        <w:t>et al.</w:t>
      </w:r>
      <w:r>
        <w:rPr>
          <w:rFonts w:ascii="Arial" w:cs="Arial" w:hAnsi="Arial"/>
          <w:rtl w:val="off"/>
          <w:lang w:val="en-US"/>
        </w:rPr>
        <w:t xml:space="preserve"> (2021) ‘Canadian Network for Mood and Anxiety Treatments (CANMAT) and International Society for Bipolar Disorders (ISBD) recommendations for the management of patients with bipolar disorder with mixed presentations’, </w:t>
      </w:r>
      <w:r>
        <w:rPr>
          <w:rFonts w:ascii="Arial" w:cs="Arial" w:hAnsi="Arial"/>
          <w:rtl w:val="off"/>
          <w:lang w:val="en-US"/>
        </w:rPr>
        <w:t>Bipolar Disorders</w:t>
      </w:r>
      <w:r>
        <w:rPr>
          <w:rFonts w:ascii="Arial" w:cs="Arial" w:hAnsi="Arial"/>
          <w:rtl w:val="off"/>
          <w:lang w:val="en-US"/>
        </w:rPr>
        <w:t xml:space="preserve">, </w:t>
      </w:r>
      <w:r>
        <w:rPr>
          <w:rFonts w:ascii="Arial" w:cs="Arial" w:hAnsi="Arial"/>
          <w:rtl w:val="off"/>
          <w:lang w:val="en-US"/>
        </w:rPr>
        <w:t>23</w:t>
      </w:r>
      <w:r>
        <w:rPr>
          <w:rFonts w:ascii="Arial" w:cs="Arial" w:hAnsi="Arial"/>
          <w:rtl w:val="off"/>
          <w:lang w:val="en-US"/>
        </w:rPr>
        <w:t>(8</w:t>
      </w:r>
      <w:r>
        <w:rPr>
          <w:rFonts w:ascii="Arial" w:cs="Arial" w:hAnsi="Arial"/>
          <w:rtl w:val="off"/>
          <w:lang w:val="en-US"/>
        </w:rPr>
        <w:t xml:space="preserve">), pp. 767–788. Available at: </w:t>
      </w:r>
      <w:r>
        <w:rPr>
          <w:rFonts w:ascii="Arial" w:cs="Arial" w:hAnsi="Arial"/>
          <w:rtl w:val="off"/>
          <w:lang w:val="en-US"/>
        </w:rPr>
        <w:fldChar w:fldCharType="begin"/>
      </w:r>
      <w:r>
        <w:rPr>
          <w:rFonts w:ascii="Arial" w:cs="Arial" w:hAnsi="Arial"/>
          <w:rtl w:val="off"/>
          <w:lang w:val="en-US"/>
        </w:rPr>
        <w:instrText xml:space="preserve"> HYPERLINK "https://doi.org/10.1111/bdi.13135" </w:instrText>
      </w:r>
      <w:r>
        <w:rPr>
          <w:rFonts w:ascii="Arial" w:cs="Arial" w:hAnsi="Arial"/>
          <w:rtl w:val="off"/>
          <w:lang w:val="en-US"/>
        </w:rPr>
        <w:fldChar w:fldCharType="separate"/>
      </w:r>
      <w:r>
        <w:rPr>
          <w:rFonts w:ascii="Arial" w:cs="Arial" w:hAnsi="Arial"/>
          <w:rtl w:val="off"/>
          <w:lang w:val="en-US"/>
        </w:rPr>
        <w:t>https://doi.org/10.1111/bdi.13135</w:t>
      </w:r>
      <w:r>
        <w:rPr>
          <w:rFonts w:ascii="Arial" w:cs="Arial" w:hAnsi="Arial"/>
          <w:rtl w:val="off"/>
          <w:lang w:val="en-US"/>
        </w:rPr>
        <w:fldChar w:fldCharType="end"/>
      </w:r>
      <w:r>
        <w:rPr>
          <w:rFonts w:ascii="Arial" w:cs="Arial" w:hAnsi="Arial"/>
          <w:rtl w:val="off"/>
          <w:lang w:val="en-US"/>
        </w:rPr>
        <w:t>.</w:t>
      </w:r>
    </w:p>
    <w:p w14:paraId="0000005C">
      <w:pPr>
        <w:bidi w:val="off"/>
        <w:rPr>
          <w:rFonts w:ascii="Arial" w:cs="Arial" w:hAnsi="Arial"/>
          <w:lang w:val="en-US"/>
        </w:rPr>
      </w:pPr>
    </w:p>
    <w:p w14:paraId="0000005D">
      <w:pPr>
        <w:bidi w:val="off"/>
        <w:rPr>
          <w:rFonts w:ascii="Arial" w:cs="Arial" w:hAnsi="Arial"/>
          <w:lang w:val="en-US"/>
        </w:rPr>
      </w:pPr>
    </w:p>
    <w:p w14:paraId="0000005E">
      <w:pPr>
        <w:bidi w:val="off"/>
        <w:rPr>
          <w:rFonts w:ascii="Arial" w:cs="Arial" w:hAnsi="Arial"/>
          <w:lang w:val="en-US"/>
        </w:rPr>
      </w:pPr>
    </w:p>
    <w:p w14:paraId="0000005F">
      <w:pPr>
        <w:bidi w:val="off"/>
        <w:rPr>
          <w:rFonts w:ascii="Arial" w:cs="Arial" w:hAnsi="Arial"/>
          <w:lang w:val="en-US"/>
        </w:rPr>
      </w:pPr>
      <w:r>
        <w:rPr>
          <w:rFonts w:ascii="Arial" w:cs="Arial" w:hAnsi="Arial"/>
          <w:rtl w:val="off"/>
          <w:lang w:val="en-US"/>
        </w:rPr>
        <w:t xml:space="preserve"> </w:t>
      </w:r>
    </w:p>
    <w:p w14:paraId="00000060">
      <w:pPr>
        <w:bidi w:val="off"/>
        <w:rPr>
          <w:rFonts w:ascii="Arial" w:cs="Arial" w:hAnsi="Arial"/>
          <w:lang w:val="en-US"/>
        </w:rPr>
      </w:pPr>
    </w:p>
    <w:p w14:paraId="00000061">
      <w:pPr>
        <w:bidi w:val="off"/>
        <w:rPr>
          <w:rFonts w:ascii="Arial" w:cs="Arial" w:hAnsi="Arial"/>
          <w:lang w:val="en-US"/>
        </w:rPr>
      </w:pPr>
    </w:p>
    <w:p w14:paraId="00000062">
      <w:pPr>
        <w:rPr>
          <w:rFonts w:ascii="Arial" w:cs="Arial" w:hAnsi="Arial"/>
        </w:rPr>
      </w:pPr>
    </w:p>
    <w:p w14:paraId="00000063">
      <w:pPr>
        <w:rPr>
          <w:rFonts w:ascii="Arial" w:cs="Arial" w:hAnsi="Arial"/>
        </w:rPr>
      </w:pPr>
    </w:p>
    <w:p w14:paraId="00000064">
      <w:pPr>
        <w:rPr>
          <w:rFonts w:ascii="Arial" w:cs="Arial" w:hAnsi="Arial"/>
        </w:rPr>
      </w:pPr>
    </w:p>
    <w:p w14:paraId="00000065">
      <w:pPr>
        <w:rPr>
          <w:rFonts w:ascii="Arial" w:cs="Arial" w:hAnsi="Arial"/>
        </w:rPr>
      </w:pPr>
      <w:r>
        <w:rPr>
          <w:rFonts w:ascii="Arial" w:cs="Arial" w:hAnsi="Arial"/>
        </w:rPr>
        <w:t> </w:t>
      </w:r>
    </w:p>
    <w:p w14:paraId="00000066">
      <w:pPr>
        <w:rPr>
          <w:rFonts w:ascii="Arial" w:cs="Arial" w:hAnsi="Arial"/>
        </w:rPr>
      </w:pPr>
    </w:p>
    <w:p w14:paraId="00000067">
      <w:pPr>
        <w:rPr>
          <w:rFonts w:ascii="Arial" w:cs="Arial" w:hAnsi="Arial"/>
        </w:rPr>
      </w:pPr>
    </w:p>
    <w:p w14:paraId="00000068">
      <w:pPr>
        <w:rPr>
          <w:rFonts w:ascii="Arial" w:cs="Arial" w:hAnsi="Arial"/>
        </w:rPr>
      </w:pPr>
    </w:p>
    <w:p w14:paraId="00000069">
      <w:pPr>
        <w:rPr>
          <w:rFonts w:ascii="Arial" w:cs="Arial" w:hAnsi="Arial"/>
        </w:rPr>
      </w:pPr>
    </w:p>
    <w:sectPr>
      <w:pgSz w:w="12240" w:h="15840"/>
      <w:pgMar w:top="1008" w:right="1008" w:bottom="1008" w:left="1008"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rial Nova">
    <w:charset w:val="00"/>
    <w:family w:val="swiss"/>
    <w:pitch w:val="variable"/>
  </w:font>
  <w:font w:name="Segoe UI">
    <w:charset w:val="0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num w:numId="1">
    <w:abstractNumId w:val="0"/>
    <w:lvlOverride w:ilvl="0">
      <w:lvl w:ilvl="0" w:tentative="1">
        <w:numFmt w:val="bullet"/>
        <w:suff w:val="tab"/>
        <w:lvlText w:val="·"/>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767"/>
    <w:rsid w:val="0007317C"/>
    <w:rsid w:val="001431E0"/>
    <w:rsid w:val="001E35D8"/>
    <w:rsid w:val="00213582"/>
    <w:rsid w:val="007D48B6"/>
    <w:rsid w:val="00A37E65"/>
    <w:rsid w:val="00A96767"/>
    <w:rsid w:val="00B17EA9"/>
    <w:rsid w:val="00B67AE1"/>
    <w:rsid w:val="00CC523F"/>
    <w:rsid w:val="00CF0360"/>
    <w:rsid w:val="00D04863"/>
    <w:rsid w:val="00F62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B0B7B"/>
  <w15:chartTrackingRefBased/>
  <w15:docId w15:val="{D0A1E608-AC00-4684-A862-4AEF82854775}"/>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paragraph" w:styleId="Heading3">
    <w:name w:val="Heading 3"/>
    <w:basedOn w:val="Normal"/>
    <w:link w:val="Heading3Char"/>
    <w:uiPriority w:val="9"/>
    <w:qFormat w:val="on"/>
    <w:pPr>
      <w:spacing w:before="100" w:after="100" w:line="240" w:lineRule="auto"/>
    </w:pPr>
    <w:rPr>
      <w:rFonts w:ascii="Times New Roman" w:cs="Times New Roman" w:eastAsia="Times New Roman" w:hAnsi="Times New Roman"/>
      <w:b/>
      <w:bCs/>
      <w:sz w:val="27"/>
      <w:szCs w:val="27"/>
    </w:rPr>
  </w:style>
  <w:style w:type="character" w:default="1" w:styleId="DefaultParagraphFont">
    <w:name w:val="Default Paragraph Font"/>
    <w:uiPriority w:val="1"/>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3Char">
    <w:name w:val="Heading 3 Char"/>
    <w:basedOn w:val="DefaultParagraphFont"/>
    <w:link w:val="Heading3"/>
    <w:uiPriority w:val="9"/>
    <w:rPr>
      <w:rFonts w:ascii="Times New Roman" w:cs="Times New Roman" w:eastAsia="Times New Roman" w:hAnsi="Times New Roman"/>
      <w:b/>
      <w:bCs/>
      <w:sz w:val="27"/>
      <w:szCs w:val="27"/>
    </w:rPr>
  </w:style>
  <w:style w:type="character" w:styleId="Strong">
    <w:name w:val="Strong"/>
    <w:basedOn w:val="DefaultParagraphFont"/>
    <w:uiPriority w:val="22"/>
    <w:qFormat w:val="on"/>
    <w:rPr>
      <w:b/>
      <w:bCs/>
    </w:rPr>
  </w:style>
  <w:style w:type="paragraph" w:styleId="Normal(Web)">
    <w:name w:val="Normal (Web)"/>
    <w:basedOn w:val="Normal"/>
    <w:uiPriority w:val="99"/>
    <w:semiHidden w:val="on"/>
    <w:unhideWhenUsed w:val="on"/>
    <w:pPr>
      <w:spacing w:before="100" w:after="100" w:line="240" w:lineRule="auto"/>
    </w:pPr>
    <w:rPr>
      <w:rFonts w:ascii="Times New Roman" w:cs="Times New Roman" w:eastAsia="Times New Roman" w:hAnsi="Times New Roman"/>
      <w:sz w:val="24"/>
      <w:szCs w:val="24"/>
    </w:rPr>
  </w:style>
  <w:style w:type="character" w:styleId="PlaceholderText">
    <w:name w:val="Placeholder Text"/>
    <w:basedOn w:val="DefaultParagraphFont"/>
    <w:uiPriority w:val="99"/>
    <w:semiHidden w:val="on"/>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90035">
      <w:bodyDiv w:val="1"/>
      <w:marLeft w:val="0"/>
      <w:marRight w:val="0"/>
      <w:marTop w:val="0"/>
      <w:marBottom w:val="0"/>
      <w:divBdr>
        <w:top w:val="none" w:sz="0" w:space="0" w:color="auto"/>
        <w:left w:val="none" w:sz="0" w:space="0" w:color="auto"/>
        <w:bottom w:val="none" w:sz="0" w:space="0" w:color="auto"/>
        <w:right w:val="none" w:sz="0" w:space="0" w:color="auto"/>
      </w:divBdr>
    </w:div>
    <w:div w:id="249702009">
      <w:bodyDiv w:val="1"/>
      <w:marLeft w:val="0"/>
      <w:marRight w:val="0"/>
      <w:marTop w:val="0"/>
      <w:marBottom w:val="0"/>
      <w:divBdr>
        <w:top w:val="none" w:sz="0" w:space="0" w:color="auto"/>
        <w:left w:val="none" w:sz="0" w:space="0" w:color="auto"/>
        <w:bottom w:val="none" w:sz="0" w:space="0" w:color="auto"/>
        <w:right w:val="none" w:sz="0" w:space="0" w:color="auto"/>
      </w:divBdr>
    </w:div>
    <w:div w:id="927540924">
      <w:bodyDiv w:val="1"/>
      <w:marLeft w:val="0"/>
      <w:marRight w:val="0"/>
      <w:marTop w:val="0"/>
      <w:marBottom w:val="0"/>
      <w:divBdr>
        <w:top w:val="none" w:sz="0" w:space="0" w:color="auto"/>
        <w:left w:val="none" w:sz="0" w:space="0" w:color="auto"/>
        <w:bottom w:val="none" w:sz="0" w:space="0" w:color="auto"/>
        <w:right w:val="none" w:sz="0" w:space="0" w:color="auto"/>
      </w:divBdr>
    </w:div>
    <w:div w:id="942568918">
      <w:bodyDiv w:val="1"/>
      <w:marLeft w:val="0"/>
      <w:marRight w:val="0"/>
      <w:marTop w:val="0"/>
      <w:marBottom w:val="0"/>
      <w:divBdr>
        <w:top w:val="none" w:sz="0" w:space="0" w:color="auto"/>
        <w:left w:val="none" w:sz="0" w:space="0" w:color="auto"/>
        <w:bottom w:val="none" w:sz="0" w:space="0" w:color="auto"/>
        <w:right w:val="none" w:sz="0" w:space="0" w:color="auto"/>
      </w:divBdr>
      <w:divsChild>
        <w:div w:id="405542101">
          <w:marLeft w:val="0"/>
          <w:marRight w:val="0"/>
          <w:marTop w:val="0"/>
          <w:marBottom w:val="0"/>
          <w:divBdr>
            <w:top w:val="none" w:sz="0" w:space="0" w:color="auto"/>
            <w:left w:val="none" w:sz="0" w:space="0" w:color="auto"/>
            <w:bottom w:val="none" w:sz="0" w:space="0" w:color="auto"/>
            <w:right w:val="none" w:sz="0" w:space="0" w:color="auto"/>
          </w:divBdr>
          <w:divsChild>
            <w:div w:id="1863548253">
              <w:marLeft w:val="0"/>
              <w:marRight w:val="0"/>
              <w:marTop w:val="0"/>
              <w:marBottom w:val="0"/>
              <w:divBdr>
                <w:top w:val="none" w:sz="0" w:space="0" w:color="auto"/>
                <w:left w:val="none" w:sz="0" w:space="0" w:color="auto"/>
                <w:bottom w:val="none" w:sz="0" w:space="0" w:color="auto"/>
                <w:right w:val="none" w:sz="0" w:space="0" w:color="auto"/>
              </w:divBdr>
              <w:divsChild>
                <w:div w:id="1364211081">
                  <w:marLeft w:val="0"/>
                  <w:marRight w:val="0"/>
                  <w:marTop w:val="0"/>
                  <w:marBottom w:val="0"/>
                  <w:divBdr>
                    <w:top w:val="none" w:sz="0" w:space="0" w:color="auto"/>
                    <w:left w:val="none" w:sz="0" w:space="0" w:color="auto"/>
                    <w:bottom w:val="none" w:sz="0" w:space="0" w:color="auto"/>
                    <w:right w:val="none" w:sz="0" w:space="0" w:color="auto"/>
                  </w:divBdr>
                  <w:divsChild>
                    <w:div w:id="1695376743">
                      <w:marLeft w:val="0"/>
                      <w:marRight w:val="0"/>
                      <w:marTop w:val="0"/>
                      <w:marBottom w:val="0"/>
                      <w:divBdr>
                        <w:top w:val="none" w:sz="0" w:space="0" w:color="auto"/>
                        <w:left w:val="none" w:sz="0" w:space="0" w:color="auto"/>
                        <w:bottom w:val="none" w:sz="0" w:space="0" w:color="auto"/>
                        <w:right w:val="none" w:sz="0" w:space="0" w:color="auto"/>
                      </w:divBdr>
                      <w:divsChild>
                        <w:div w:id="603537462">
                          <w:marLeft w:val="0"/>
                          <w:marRight w:val="0"/>
                          <w:marTop w:val="0"/>
                          <w:marBottom w:val="0"/>
                          <w:divBdr>
                            <w:top w:val="none" w:sz="0" w:space="0" w:color="auto"/>
                            <w:left w:val="none" w:sz="0" w:space="0" w:color="auto"/>
                            <w:bottom w:val="none" w:sz="0" w:space="0" w:color="auto"/>
                            <w:right w:val="none" w:sz="0" w:space="0" w:color="auto"/>
                          </w:divBdr>
                          <w:divsChild>
                            <w:div w:id="317274801">
                              <w:marLeft w:val="0"/>
                              <w:marRight w:val="0"/>
                              <w:marTop w:val="0"/>
                              <w:marBottom w:val="0"/>
                              <w:divBdr>
                                <w:top w:val="none" w:sz="0" w:space="0" w:color="auto"/>
                                <w:left w:val="none" w:sz="0" w:space="0" w:color="auto"/>
                                <w:bottom w:val="none" w:sz="0" w:space="0" w:color="auto"/>
                                <w:right w:val="none" w:sz="0" w:space="0" w:color="auto"/>
                              </w:divBdr>
                              <w:divsChild>
                                <w:div w:id="559443382">
                                  <w:marLeft w:val="0"/>
                                  <w:marRight w:val="0"/>
                                  <w:marTop w:val="0"/>
                                  <w:marBottom w:val="0"/>
                                  <w:divBdr>
                                    <w:top w:val="none" w:sz="0" w:space="0" w:color="auto"/>
                                    <w:left w:val="none" w:sz="0" w:space="0" w:color="auto"/>
                                    <w:bottom w:val="none" w:sz="0" w:space="0" w:color="auto"/>
                                    <w:right w:val="none" w:sz="0" w:space="0" w:color="auto"/>
                                  </w:divBdr>
                                  <w:divsChild>
                                    <w:div w:id="111733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4452833">
      <w:bodyDiv w:val="1"/>
      <w:marLeft w:val="0"/>
      <w:marRight w:val="0"/>
      <w:marTop w:val="0"/>
      <w:marBottom w:val="0"/>
      <w:divBdr>
        <w:top w:val="none" w:sz="0" w:space="0" w:color="auto"/>
        <w:left w:val="none" w:sz="0" w:space="0" w:color="auto"/>
        <w:bottom w:val="none" w:sz="0" w:space="0" w:color="auto"/>
        <w:right w:val="none" w:sz="0" w:space="0" w:color="auto"/>
      </w:divBdr>
      <w:divsChild>
        <w:div w:id="1892307960">
          <w:marLeft w:val="480"/>
          <w:marRight w:val="0"/>
          <w:marTop w:val="0"/>
          <w:marBottom w:val="0"/>
          <w:divBdr>
            <w:top w:val="none" w:sz="0" w:space="0" w:color="auto"/>
            <w:left w:val="none" w:sz="0" w:space="0" w:color="auto"/>
            <w:bottom w:val="none" w:sz="0" w:space="0" w:color="auto"/>
            <w:right w:val="none" w:sz="0" w:space="0" w:color="auto"/>
          </w:divBdr>
        </w:div>
        <w:div w:id="2062823017">
          <w:marLeft w:val="480"/>
          <w:marRight w:val="0"/>
          <w:marTop w:val="0"/>
          <w:marBottom w:val="0"/>
          <w:divBdr>
            <w:top w:val="none" w:sz="0" w:space="0" w:color="auto"/>
            <w:left w:val="none" w:sz="0" w:space="0" w:color="auto"/>
            <w:bottom w:val="none" w:sz="0" w:space="0" w:color="auto"/>
            <w:right w:val="none" w:sz="0" w:space="0" w:color="auto"/>
          </w:divBdr>
        </w:div>
        <w:div w:id="10766614">
          <w:marLeft w:val="480"/>
          <w:marRight w:val="0"/>
          <w:marTop w:val="0"/>
          <w:marBottom w:val="0"/>
          <w:divBdr>
            <w:top w:val="none" w:sz="0" w:space="0" w:color="auto"/>
            <w:left w:val="none" w:sz="0" w:space="0" w:color="auto"/>
            <w:bottom w:val="none" w:sz="0" w:space="0" w:color="auto"/>
            <w:right w:val="none" w:sz="0" w:space="0" w:color="auto"/>
          </w:divBdr>
        </w:div>
        <w:div w:id="1665550264">
          <w:marLeft w:val="480"/>
          <w:marRight w:val="0"/>
          <w:marTop w:val="0"/>
          <w:marBottom w:val="0"/>
          <w:divBdr>
            <w:top w:val="none" w:sz="0" w:space="0" w:color="auto"/>
            <w:left w:val="none" w:sz="0" w:space="0" w:color="auto"/>
            <w:bottom w:val="none" w:sz="0" w:space="0" w:color="auto"/>
            <w:right w:val="none" w:sz="0" w:space="0" w:color="auto"/>
          </w:divBdr>
        </w:div>
        <w:div w:id="1858958876">
          <w:marLeft w:val="480"/>
          <w:marRight w:val="0"/>
          <w:marTop w:val="0"/>
          <w:marBottom w:val="0"/>
          <w:divBdr>
            <w:top w:val="none" w:sz="0" w:space="0" w:color="auto"/>
            <w:left w:val="none" w:sz="0" w:space="0" w:color="auto"/>
            <w:bottom w:val="none" w:sz="0" w:space="0" w:color="auto"/>
            <w:right w:val="none" w:sz="0" w:space="0" w:color="auto"/>
          </w:divBdr>
        </w:div>
        <w:div w:id="1017123788">
          <w:marLeft w:val="480"/>
          <w:marRight w:val="0"/>
          <w:marTop w:val="0"/>
          <w:marBottom w:val="0"/>
          <w:divBdr>
            <w:top w:val="none" w:sz="0" w:space="0" w:color="auto"/>
            <w:left w:val="none" w:sz="0" w:space="0" w:color="auto"/>
            <w:bottom w:val="none" w:sz="0" w:space="0" w:color="auto"/>
            <w:right w:val="none" w:sz="0" w:space="0" w:color="auto"/>
          </w:divBdr>
        </w:div>
        <w:div w:id="33578725">
          <w:marLeft w:val="480"/>
          <w:marRight w:val="0"/>
          <w:marTop w:val="0"/>
          <w:marBottom w:val="0"/>
          <w:divBdr>
            <w:top w:val="none" w:sz="0" w:space="0" w:color="auto"/>
            <w:left w:val="none" w:sz="0" w:space="0" w:color="auto"/>
            <w:bottom w:val="none" w:sz="0" w:space="0" w:color="auto"/>
            <w:right w:val="none" w:sz="0" w:space="0" w:color="auto"/>
          </w:divBdr>
        </w:div>
        <w:div w:id="272059728">
          <w:marLeft w:val="480"/>
          <w:marRight w:val="0"/>
          <w:marTop w:val="0"/>
          <w:marBottom w:val="0"/>
          <w:divBdr>
            <w:top w:val="none" w:sz="0" w:space="0" w:color="auto"/>
            <w:left w:val="none" w:sz="0" w:space="0" w:color="auto"/>
            <w:bottom w:val="none" w:sz="0" w:space="0" w:color="auto"/>
            <w:right w:val="none" w:sz="0" w:space="0" w:color="auto"/>
          </w:divBdr>
        </w:div>
        <w:div w:id="439640794">
          <w:marLeft w:val="480"/>
          <w:marRight w:val="0"/>
          <w:marTop w:val="0"/>
          <w:marBottom w:val="0"/>
          <w:divBdr>
            <w:top w:val="none" w:sz="0" w:space="0" w:color="auto"/>
            <w:left w:val="none" w:sz="0" w:space="0" w:color="auto"/>
            <w:bottom w:val="none" w:sz="0" w:space="0" w:color="auto"/>
            <w:right w:val="none" w:sz="0" w:space="0" w:color="auto"/>
          </w:divBdr>
        </w:div>
        <w:div w:id="1602445040">
          <w:marLeft w:val="480"/>
          <w:marRight w:val="0"/>
          <w:marTop w:val="0"/>
          <w:marBottom w:val="0"/>
          <w:divBdr>
            <w:top w:val="none" w:sz="0" w:space="0" w:color="auto"/>
            <w:left w:val="none" w:sz="0" w:space="0" w:color="auto"/>
            <w:bottom w:val="none" w:sz="0" w:space="0" w:color="auto"/>
            <w:right w:val="none" w:sz="0" w:space="0" w:color="auto"/>
          </w:divBdr>
        </w:div>
        <w:div w:id="1388725635">
          <w:marLeft w:val="480"/>
          <w:marRight w:val="0"/>
          <w:marTop w:val="0"/>
          <w:marBottom w:val="0"/>
          <w:divBdr>
            <w:top w:val="none" w:sz="0" w:space="0" w:color="auto"/>
            <w:left w:val="none" w:sz="0" w:space="0" w:color="auto"/>
            <w:bottom w:val="none" w:sz="0" w:space="0" w:color="auto"/>
            <w:right w:val="none" w:sz="0" w:space="0" w:color="auto"/>
          </w:divBdr>
        </w:div>
        <w:div w:id="1504126757">
          <w:marLeft w:val="480"/>
          <w:marRight w:val="0"/>
          <w:marTop w:val="0"/>
          <w:marBottom w:val="0"/>
          <w:divBdr>
            <w:top w:val="none" w:sz="0" w:space="0" w:color="auto"/>
            <w:left w:val="none" w:sz="0" w:space="0" w:color="auto"/>
            <w:bottom w:val="none" w:sz="0" w:space="0" w:color="auto"/>
            <w:right w:val="none" w:sz="0" w:space="0" w:color="auto"/>
          </w:divBdr>
        </w:div>
      </w:divsChild>
    </w:div>
    <w:div w:id="1296369529">
      <w:bodyDiv w:val="1"/>
      <w:marLeft w:val="0"/>
      <w:marRight w:val="0"/>
      <w:marTop w:val="0"/>
      <w:marBottom w:val="0"/>
      <w:divBdr>
        <w:top w:val="none" w:sz="0" w:space="0" w:color="auto"/>
        <w:left w:val="none" w:sz="0" w:space="0" w:color="auto"/>
        <w:bottom w:val="none" w:sz="0" w:space="0" w:color="auto"/>
        <w:right w:val="none" w:sz="0" w:space="0" w:color="auto"/>
      </w:divBdr>
    </w:div>
    <w:div w:id="1298796302">
      <w:bodyDiv w:val="1"/>
      <w:marLeft w:val="0"/>
      <w:marRight w:val="0"/>
      <w:marTop w:val="0"/>
      <w:marBottom w:val="0"/>
      <w:divBdr>
        <w:top w:val="none" w:sz="0" w:space="0" w:color="auto"/>
        <w:left w:val="none" w:sz="0" w:space="0" w:color="auto"/>
        <w:bottom w:val="none" w:sz="0" w:space="0" w:color="auto"/>
        <w:right w:val="none" w:sz="0" w:space="0" w:color="auto"/>
      </w:divBdr>
      <w:divsChild>
        <w:div w:id="436366435">
          <w:marLeft w:val="0"/>
          <w:marRight w:val="0"/>
          <w:marTop w:val="0"/>
          <w:marBottom w:val="0"/>
          <w:divBdr>
            <w:top w:val="none" w:sz="0" w:space="0" w:color="auto"/>
            <w:left w:val="none" w:sz="0" w:space="0" w:color="auto"/>
            <w:bottom w:val="none" w:sz="0" w:space="0" w:color="auto"/>
            <w:right w:val="none" w:sz="0" w:space="0" w:color="auto"/>
          </w:divBdr>
          <w:divsChild>
            <w:div w:id="638993710">
              <w:marLeft w:val="0"/>
              <w:marRight w:val="0"/>
              <w:marTop w:val="0"/>
              <w:marBottom w:val="0"/>
              <w:divBdr>
                <w:top w:val="none" w:sz="0" w:space="0" w:color="auto"/>
                <w:left w:val="none" w:sz="0" w:space="0" w:color="auto"/>
                <w:bottom w:val="none" w:sz="0" w:space="0" w:color="auto"/>
                <w:right w:val="none" w:sz="0" w:space="0" w:color="auto"/>
              </w:divBdr>
              <w:divsChild>
                <w:div w:id="900140651">
                  <w:marLeft w:val="0"/>
                  <w:marRight w:val="0"/>
                  <w:marTop w:val="0"/>
                  <w:marBottom w:val="0"/>
                  <w:divBdr>
                    <w:top w:val="none" w:sz="0" w:space="0" w:color="auto"/>
                    <w:left w:val="none" w:sz="0" w:space="0" w:color="auto"/>
                    <w:bottom w:val="none" w:sz="0" w:space="0" w:color="auto"/>
                    <w:right w:val="none" w:sz="0" w:space="0" w:color="auto"/>
                  </w:divBdr>
                  <w:divsChild>
                    <w:div w:id="1867326104">
                      <w:marLeft w:val="0"/>
                      <w:marRight w:val="0"/>
                      <w:marTop w:val="0"/>
                      <w:marBottom w:val="0"/>
                      <w:divBdr>
                        <w:top w:val="none" w:sz="0" w:space="0" w:color="auto"/>
                        <w:left w:val="none" w:sz="0" w:space="0" w:color="auto"/>
                        <w:bottom w:val="none" w:sz="0" w:space="0" w:color="auto"/>
                        <w:right w:val="none" w:sz="0" w:space="0" w:color="auto"/>
                      </w:divBdr>
                      <w:divsChild>
                        <w:div w:id="2016686456">
                          <w:marLeft w:val="0"/>
                          <w:marRight w:val="0"/>
                          <w:marTop w:val="0"/>
                          <w:marBottom w:val="0"/>
                          <w:divBdr>
                            <w:top w:val="none" w:sz="0" w:space="0" w:color="auto"/>
                            <w:left w:val="none" w:sz="0" w:space="0" w:color="auto"/>
                            <w:bottom w:val="none" w:sz="0" w:space="0" w:color="auto"/>
                            <w:right w:val="none" w:sz="0" w:space="0" w:color="auto"/>
                          </w:divBdr>
                          <w:divsChild>
                            <w:div w:id="1747074082">
                              <w:marLeft w:val="0"/>
                              <w:marRight w:val="0"/>
                              <w:marTop w:val="0"/>
                              <w:marBottom w:val="0"/>
                              <w:divBdr>
                                <w:top w:val="none" w:sz="0" w:space="0" w:color="auto"/>
                                <w:left w:val="none" w:sz="0" w:space="0" w:color="auto"/>
                                <w:bottom w:val="none" w:sz="0" w:space="0" w:color="auto"/>
                                <w:right w:val="none" w:sz="0" w:space="0" w:color="auto"/>
                              </w:divBdr>
                              <w:divsChild>
                                <w:div w:id="528301613">
                                  <w:marLeft w:val="0"/>
                                  <w:marRight w:val="0"/>
                                  <w:marTop w:val="0"/>
                                  <w:marBottom w:val="0"/>
                                  <w:divBdr>
                                    <w:top w:val="none" w:sz="0" w:space="0" w:color="auto"/>
                                    <w:left w:val="none" w:sz="0" w:space="0" w:color="auto"/>
                                    <w:bottom w:val="none" w:sz="0" w:space="0" w:color="auto"/>
                                    <w:right w:val="none" w:sz="0" w:space="0" w:color="auto"/>
                                  </w:divBdr>
                                  <w:divsChild>
                                    <w:div w:id="865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497517">
      <w:bodyDiv w:val="1"/>
      <w:marLeft w:val="0"/>
      <w:marRight w:val="0"/>
      <w:marTop w:val="0"/>
      <w:marBottom w:val="0"/>
      <w:divBdr>
        <w:top w:val="none" w:sz="0" w:space="0" w:color="auto"/>
        <w:left w:val="none" w:sz="0" w:space="0" w:color="auto"/>
        <w:bottom w:val="none" w:sz="0" w:space="0" w:color="auto"/>
        <w:right w:val="none" w:sz="0" w:space="0" w:color="auto"/>
      </w:divBdr>
    </w:div>
    <w:div w:id="1426195895">
      <w:bodyDiv w:val="1"/>
      <w:marLeft w:val="0"/>
      <w:marRight w:val="0"/>
      <w:marTop w:val="0"/>
      <w:marBottom w:val="0"/>
      <w:divBdr>
        <w:top w:val="none" w:sz="0" w:space="0" w:color="auto"/>
        <w:left w:val="none" w:sz="0" w:space="0" w:color="auto"/>
        <w:bottom w:val="none" w:sz="0" w:space="0" w:color="auto"/>
        <w:right w:val="none" w:sz="0" w:space="0" w:color="auto"/>
      </w:divBdr>
    </w:div>
    <w:div w:id="1602298442">
      <w:bodyDiv w:val="1"/>
      <w:marLeft w:val="0"/>
      <w:marRight w:val="0"/>
      <w:marTop w:val="0"/>
      <w:marBottom w:val="0"/>
      <w:divBdr>
        <w:top w:val="none" w:sz="0" w:space="0" w:color="auto"/>
        <w:left w:val="none" w:sz="0" w:space="0" w:color="auto"/>
        <w:bottom w:val="none" w:sz="0" w:space="0" w:color="auto"/>
        <w:right w:val="none" w:sz="0" w:space="0" w:color="auto"/>
      </w:divBdr>
    </w:div>
    <w:div w:id="1656254620">
      <w:bodyDiv w:val="1"/>
      <w:marLeft w:val="0"/>
      <w:marRight w:val="0"/>
      <w:marTop w:val="0"/>
      <w:marBottom w:val="0"/>
      <w:divBdr>
        <w:top w:val="none" w:sz="0" w:space="0" w:color="auto"/>
        <w:left w:val="none" w:sz="0" w:space="0" w:color="auto"/>
        <w:bottom w:val="none" w:sz="0" w:space="0" w:color="auto"/>
        <w:right w:val="none" w:sz="0" w:space="0" w:color="auto"/>
      </w:divBdr>
    </w:div>
    <w:div w:id="1788310026">
      <w:bodyDiv w:val="1"/>
      <w:marLeft w:val="0"/>
      <w:marRight w:val="0"/>
      <w:marTop w:val="0"/>
      <w:marBottom w:val="0"/>
      <w:divBdr>
        <w:top w:val="none" w:sz="0" w:space="0" w:color="auto"/>
        <w:left w:val="none" w:sz="0" w:space="0" w:color="auto"/>
        <w:bottom w:val="none" w:sz="0" w:space="0" w:color="auto"/>
        <w:right w:val="none" w:sz="0" w:space="0" w:color="auto"/>
      </w:divBdr>
      <w:divsChild>
        <w:div w:id="2105875267">
          <w:marLeft w:val="0"/>
          <w:marRight w:val="0"/>
          <w:marTop w:val="0"/>
          <w:marBottom w:val="0"/>
          <w:divBdr>
            <w:top w:val="none" w:sz="0" w:space="0" w:color="auto"/>
            <w:left w:val="none" w:sz="0" w:space="0" w:color="auto"/>
            <w:bottom w:val="none" w:sz="0" w:space="0" w:color="auto"/>
            <w:right w:val="none" w:sz="0" w:space="0" w:color="auto"/>
          </w:divBdr>
          <w:divsChild>
            <w:div w:id="787747494">
              <w:marLeft w:val="0"/>
              <w:marRight w:val="0"/>
              <w:marTop w:val="0"/>
              <w:marBottom w:val="0"/>
              <w:divBdr>
                <w:top w:val="none" w:sz="0" w:space="0" w:color="auto"/>
                <w:left w:val="none" w:sz="0" w:space="0" w:color="auto"/>
                <w:bottom w:val="none" w:sz="0" w:space="0" w:color="auto"/>
                <w:right w:val="none" w:sz="0" w:space="0" w:color="auto"/>
              </w:divBdr>
              <w:divsChild>
                <w:div w:id="2065399157">
                  <w:marLeft w:val="0"/>
                  <w:marRight w:val="0"/>
                  <w:marTop w:val="0"/>
                  <w:marBottom w:val="0"/>
                  <w:divBdr>
                    <w:top w:val="none" w:sz="0" w:space="0" w:color="auto"/>
                    <w:left w:val="none" w:sz="0" w:space="0" w:color="auto"/>
                    <w:bottom w:val="none" w:sz="0" w:space="0" w:color="auto"/>
                    <w:right w:val="none" w:sz="0" w:space="0" w:color="auto"/>
                  </w:divBdr>
                  <w:divsChild>
                    <w:div w:id="1854301164">
                      <w:marLeft w:val="0"/>
                      <w:marRight w:val="0"/>
                      <w:marTop w:val="0"/>
                      <w:marBottom w:val="0"/>
                      <w:divBdr>
                        <w:top w:val="none" w:sz="0" w:space="0" w:color="auto"/>
                        <w:left w:val="none" w:sz="0" w:space="0" w:color="auto"/>
                        <w:bottom w:val="none" w:sz="0" w:space="0" w:color="auto"/>
                        <w:right w:val="none" w:sz="0" w:space="0" w:color="auto"/>
                      </w:divBdr>
                      <w:divsChild>
                        <w:div w:id="1740324774">
                          <w:marLeft w:val="0"/>
                          <w:marRight w:val="0"/>
                          <w:marTop w:val="0"/>
                          <w:marBottom w:val="0"/>
                          <w:divBdr>
                            <w:top w:val="none" w:sz="0" w:space="0" w:color="auto"/>
                            <w:left w:val="none" w:sz="0" w:space="0" w:color="auto"/>
                            <w:bottom w:val="none" w:sz="0" w:space="0" w:color="auto"/>
                            <w:right w:val="none" w:sz="0" w:space="0" w:color="auto"/>
                          </w:divBdr>
                          <w:divsChild>
                            <w:div w:id="1033648501">
                              <w:marLeft w:val="0"/>
                              <w:marRight w:val="0"/>
                              <w:marTop w:val="0"/>
                              <w:marBottom w:val="0"/>
                              <w:divBdr>
                                <w:top w:val="none" w:sz="0" w:space="0" w:color="auto"/>
                                <w:left w:val="none" w:sz="0" w:space="0" w:color="auto"/>
                                <w:bottom w:val="none" w:sz="0" w:space="0" w:color="auto"/>
                                <w:right w:val="none" w:sz="0" w:space="0" w:color="auto"/>
                              </w:divBdr>
                              <w:divsChild>
                                <w:div w:id="535853893">
                                  <w:marLeft w:val="0"/>
                                  <w:marRight w:val="0"/>
                                  <w:marTop w:val="0"/>
                                  <w:marBottom w:val="0"/>
                                  <w:divBdr>
                                    <w:top w:val="none" w:sz="0" w:space="0" w:color="auto"/>
                                    <w:left w:val="none" w:sz="0" w:space="0" w:color="auto"/>
                                    <w:bottom w:val="none" w:sz="0" w:space="0" w:color="auto"/>
                                    <w:right w:val="none" w:sz="0" w:space="0" w:color="auto"/>
                                  </w:divBdr>
                                  <w:divsChild>
                                    <w:div w:id="83502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4033047">
      <w:bodyDiv w:val="1"/>
      <w:marLeft w:val="0"/>
      <w:marRight w:val="0"/>
      <w:marTop w:val="0"/>
      <w:marBottom w:val="0"/>
      <w:divBdr>
        <w:top w:val="none" w:sz="0" w:space="0" w:color="auto"/>
        <w:left w:val="none" w:sz="0" w:space="0" w:color="auto"/>
        <w:bottom w:val="none" w:sz="0" w:space="0" w:color="auto"/>
        <w:right w:val="none" w:sz="0" w:space="0" w:color="auto"/>
      </w:divBdr>
    </w:div>
    <w:div w:id="2098211748">
      <w:bodyDiv w:val="1"/>
      <w:marLeft w:val="0"/>
      <w:marRight w:val="0"/>
      <w:marTop w:val="0"/>
      <w:marBottom w:val="0"/>
      <w:divBdr>
        <w:top w:val="none" w:sz="0" w:space="0" w:color="auto"/>
        <w:left w:val="none" w:sz="0" w:space="0" w:color="auto"/>
        <w:bottom w:val="none" w:sz="0" w:space="0" w:color="auto"/>
        <w:right w:val="none" w:sz="0" w:space="0" w:color="auto"/>
      </w:divBdr>
      <w:divsChild>
        <w:div w:id="261257361">
          <w:marLeft w:val="0"/>
          <w:marRight w:val="0"/>
          <w:marTop w:val="0"/>
          <w:marBottom w:val="0"/>
          <w:divBdr>
            <w:top w:val="none" w:sz="0" w:space="0" w:color="auto"/>
            <w:left w:val="none" w:sz="0" w:space="0" w:color="auto"/>
            <w:bottom w:val="none" w:sz="0" w:space="0" w:color="auto"/>
            <w:right w:val="none" w:sz="0" w:space="0" w:color="auto"/>
          </w:divBdr>
        </w:div>
        <w:div w:id="41053194">
          <w:marLeft w:val="0"/>
          <w:marRight w:val="0"/>
          <w:marTop w:val="0"/>
          <w:marBottom w:val="0"/>
          <w:divBdr>
            <w:top w:val="none" w:sz="0" w:space="0" w:color="auto"/>
            <w:left w:val="none" w:sz="0" w:space="0" w:color="auto"/>
            <w:bottom w:val="none" w:sz="0" w:space="0" w:color="auto"/>
            <w:right w:val="none" w:sz="0" w:space="0" w:color="auto"/>
          </w:divBdr>
        </w:div>
        <w:div w:id="1848861878">
          <w:marLeft w:val="0"/>
          <w:marRight w:val="0"/>
          <w:marTop w:val="0"/>
          <w:marBottom w:val="0"/>
          <w:divBdr>
            <w:top w:val="none" w:sz="0" w:space="0" w:color="auto"/>
            <w:left w:val="none" w:sz="0" w:space="0" w:color="auto"/>
            <w:bottom w:val="none" w:sz="0" w:space="0" w:color="auto"/>
            <w:right w:val="none" w:sz="0" w:space="0" w:color="auto"/>
          </w:divBdr>
        </w:div>
        <w:div w:id="869882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ntTable" Target="fontTable.xml"/><Relationship Id="rId7" Type="http://schemas.openxmlformats.org/officeDocument/2006/relationships/theme" Target="theme/theme1.xml"/><Relationship Id="rId8" Type="http://schemas.openxmlformats.org/officeDocument/2006/relationships/numbering" Target="numbering.xml"/><Relationship Id="rId1" Type="http://schemas.openxmlformats.org/officeDocument/2006/relationships/customXml" Target="../customXml/item1.xml"/><Relationship Id="rId4" Type="http://schemas.openxmlformats.org/officeDocument/2006/relationships/webSettings" Target="webSettings.xml"/><Relationship Id="rId6"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AFC8FE2-6F34-45C6-9593-F607E11D9D3D}"/>
      </w:docPartPr>
      <w:docPartBody>
        <w:p w:rsidR="00000000" w:rsidRDefault="00E35475">
          <w:r w:rsidRPr="00E3439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475"/>
    <w:rsid w:val="00B87BD2"/>
    <w:rsid w:val="00E35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547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6345D5-E3E9-471F-8409-0E328C04FC5B}">
  <we:reference id="wa104382081" version="1.55.1.0" store="en-US" storeType="OMEX"/>
  <we:alternateReferences>
    <we:reference id="wa104382081" version="1.55.1.0" store="WA104382081" storeType="OMEX"/>
  </we:alternateReferences>
  <we:properties>
    <we:property name="MENDELEY_CITATIONS" value="[{&quot;citationID&quot;:&quot;MENDELEY_CITATION_74865fd9-8e06-4097-8597-1a6fc6691267&quot;,&quot;properties&quot;:{&quot;noteIndex&quot;:0},&quot;isEdited&quot;:false,&quot;manualOverride&quot;:{&quot;isManuallyOverridden&quot;:false,&quot;citeprocText&quot;:&quot;(WHO, 2022)&quot;,&quot;manualOverrideText&quot;:&quot;&quot;},&quot;citationTag&quot;:&quot;MENDELEY_CITATION_v3_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&quot;,&quot;citationItems&quot;:[{&quot;id&quot;:&quot;a2441ed2-bb29-3caf-9540-8490179e38cc&quot;,&quot;itemData&quot;:{&quot;type&quot;:&quot;report&quot;,&quot;id&quot;:&quot;a2441ed2-bb29-3caf-9540-8490179e38cc&quot;,&quot;title&quot;:&quot;Clinical descriptions and diagnostic requirements for ICD-11 mental, behavioural and neurodevelopmental disorders&quot;,&quot;author&quot;:[{&quot;family&quot;:&quot;WHO&quot;,&quot;given&quot;:&quot;&quot;,&quot;parse-names&quot;:false,&quot;dropping-particle&quot;:&quot;&quot;,&quot;non-dropping-particle&quot;:&quot;&quot;}],&quot;accessed&quot;:{&quot;date-parts&quot;:[[2026,7,6]]},&quot;URL&quot;:&quot;https://iris.who.int/server/api/core/bitstreams/dcf73611-9e0f-4d5c-85f6-85a58b0da6de/content&quot;,&quot;issued&quot;:{&quot;date-parts&quot;:[[2022]]},&quot;container-title-short&quot;:&quot;&quot;},&quot;isTemporary&quot;:false}]},{&quot;citationID&quot;:&quot;MENDELEY_CITATION_1b75f064-979d-4fc1-a010-c26799a36e91&quot;,&quot;properties&quot;:{&quot;noteIndex&quot;:0},&quot;isEdited&quot;:false,&quot;manualOverride&quot;:{&quot;isManuallyOverridden&quot;:false,&quot;citeprocText&quot;:&quot;(Carvalho et al., 2020)&quot;,&quot;manualOverrideText&quot;:&quot;&quot;},&quot;citationTag&quot;:&quot;MENDELEY_CITATION_v3_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&quot;,&quot;citationItems&quot;:[{&quot;id&quot;:&quot;b2c5d570-5f95-35d9-8110-b4c6df1674b9&quot;,&quot;itemData&quot;:{&quot;type&quot;:&quot;article-journal&quot;,&quot;id&quot;:&quot;b2c5d570-5f95-35d9-8110-b4c6df1674b9&quot;,&quot;title&quot;:&quot;Bipolar Disorder&quot;,&quot;author&quot;:[{&quot;family&quot;:&quot;Carvalho&quot;,&quot;given&quot;:&quot;Andre F.&quot;,&quot;parse-names&quot;:false,&quot;dropping-particle&quot;:&quot;&quot;,&quot;non-dropping-particle&quot;:&quot;&quot;},{&quot;family&quot;:&quot;Firth&quot;,&quot;given&quot;:&quot;Joseph&quot;,&quot;parse-names&quot;:false,&quot;dropping-particle&quot;:&quot;&quot;,&quot;non-dropping-particle&quot;:&quot;&quot;},{&quot;family&quot;:&quot;Vieta&quot;,&quot;given&quot;:&quot;Eduard&quot;,&quot;parse-names&quot;:false,&quot;dropping-particle&quot;:&quot;&quot;,&quot;non-dropping-particle&quot;:&quot;&quot;}],&quot;container-title&quot;:&quot;New England Journal of Medicine&quot;,&quot;editor&quot;:[{&quot;family&quot;:&quot;Ropper&quot;,&quot;given&quot;:&quot;Allan H.&quot;,&quot;parse-names&quot;:false,&quot;dropping-particle&quot;:&quot;&quot;,&quot;non-dropping-particle&quot;:&quot;&quot;}],&quot;DOI&quot;:&quot;10.1056/NEJMra1906193&quot;,&quot;ISSN&quot;:&quot;0028-4793&quot;,&quot;URL&quot;:&quot;http://www.nejm.org/doi/10.1056/NEJMra1906193&quot;,&quot;issued&quot;:{&quot;date-parts&quot;:[[2020,7,2]]},&quot;page&quot;:&quot;58-66&quot;,&quot;issue&quot;:&quot;1&quot;,&quot;volume&quot;:&quot;383&quot;,&quot;container-title-short&quot;:&quot;&quot;},&quot;isTemporary&quot;:false}]},{&quot;citationID&quot;:&quot;MENDELEY_CITATION_29e647cf-b36d-460e-a49c-ec54da058da4&quot;,&quot;properties&quot;:{&quot;noteIndex&quot;:0},&quot;isEdited&quot;:false,&quot;manualOverride&quot;:{&quot;isManuallyOverridden&quot;:false,&quot;citeprocText&quot;:&quot;(WHO, 2022)&quot;,&quot;manualOverrideText&quot;:&quot;&quot;},&quot;citationTag&quot;:&quot;MENDELEY_CITATION_v3_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&quot;,&quot;citationItems&quot;:[{&quot;id&quot;:&quot;a2441ed2-bb29-3caf-9540-8490179e38cc&quot;,&quot;itemData&quot;:{&quot;type&quot;:&quot;report&quot;,&quot;id&quot;:&quot;a2441ed2-bb29-3caf-9540-8490179e38cc&quot;,&quot;title&quot;:&quot;Clinical descriptions and diagnostic requirements for ICD-11 mental, behavioural and neurodevelopmental disorders&quot;,&quot;author&quot;:[{&quot;family&quot;:&quot;WHO&quot;,&quot;given&quot;:&quot;&quot;,&quot;parse-names&quot;:false,&quot;dropping-particle&quot;:&quot;&quot;,&quot;non-dropping-particle&quot;:&quot;&quot;}],&quot;accessed&quot;:{&quot;date-parts&quot;:[[2026,7,6]]},&quot;URL&quot;:&quot;https://iris.who.int/server/api/core/bitstreams/dcf73611-9e0f-4d5c-85f6-85a58b0da6de/content&quot;,&quot;issued&quot;:{&quot;date-parts&quot;:[[2022]]},&quot;container-title-short&quot;:&quot;&quot;},&quot;isTemporary&quot;:false}]},{&quot;citationID&quot;:&quot;MENDELEY_CITATION_1df16f94-1574-4571-b2dd-503de9b6da0a&quot;,&quot;properties&quot;:{&quot;noteIndex&quot;:0},&quot;isEdited&quot;:false,&quot;manualOverride&quot;:{&quot;isManuallyOverridden&quot;:false,&quot;citeprocText&quot;:&quot;(NICE, 2014)&quot;,&quot;manualOverrideText&quot;:&quot;&quot;},&quot;citationTag&quot;:&quot;MENDELEY_CITATION_v3_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&quot;,&quot;citationItems&quot;:[{&quot;id&quot;:&quot;92788d1c-c08b-3739-8a82-9ba00b45ae97&quot;,&quot;itemData&quot;:{&quot;type&quot;:&quot;report&quot;,&quot;id&quot;:&quot;92788d1c-c08b-3739-8a82-9ba00b45ae97&quot;,&quot;title&quot;:&quot;Bipolar disorder: assessment and management Clinical guideline&quot;,&quot;author&quot;:[{&quot;family&quot;:&quot;NICE&quot;,&quot;given&quot;:&quot;&quot;,&quot;parse-names&quot;:false,&quot;dropping-particle&quot;:&quot;&quot;,&quot;non-dropping-particle&quot;:&quot;&quot;}],&quot;URL&quot;:&quot;www.nice.org.uk/guidance/cg185&quot;,&quot;issued&quot;:{&quot;date-parts&quot;:[[2014]]},&quot;container-title-short&quot;:&quot;&quot;},&quot;isTemporary&quot;:false}]},{&quot;citationID&quot;:&quot;MENDELEY_CITATION_91a2e8d6-52ad-4716-ab40-9e3a3fa5b214&quot;,&quot;properties&quot;:{&quot;noteIndex&quot;:0},&quot;isEdited&quot;:false,&quot;manualOverride&quot;:{&quot;isManuallyOverridden&quot;:false,&quot;citeprocText&quot;:&quot;(Carvalho et al., 2020)&quot;,&quot;manualOverrideText&quot;:&quot;&quot;},&quot;citationTag&quot;:&quot;MENDELEY_CITATION_v3_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&quot;,&quot;citationItems&quot;:[{&quot;id&quot;:&quot;b2c5d570-5f95-35d9-8110-b4c6df1674b9&quot;,&quot;itemData&quot;:{&quot;type&quot;:&quot;article-journal&quot;,&quot;id&quot;:&quot;b2c5d570-5f95-35d9-8110-b4c6df1674b9&quot;,&quot;title&quot;:&quot;Bipolar Disorder&quot;,&quot;author&quot;:[{&quot;family&quot;:&quot;Carvalho&quot;,&quot;given&quot;:&quot;Andre F.&quot;,&quot;parse-names&quot;:false,&quot;dropping-particle&quot;:&quot;&quot;,&quot;non-dropping-particle&quot;:&quot;&quot;},{&quot;family&quot;:&quot;Firth&quot;,&quot;given&quot;:&quot;Joseph&quot;,&quot;parse-names&quot;:false,&quot;dropping-particle&quot;:&quot;&quot;,&quot;non-dropping-particle&quot;:&quot;&quot;},{&quot;family&quot;:&quot;Vieta&quot;,&quot;given&quot;:&quot;Eduard&quot;,&quot;parse-names&quot;:false,&quot;dropping-particle&quot;:&quot;&quot;,&quot;non-dropping-particle&quot;:&quot;&quot;}],&quot;container-title&quot;:&quot;New England Journal of Medicine&quot;,&quot;editor&quot;:[{&quot;family&quot;:&quot;Ropper&quot;,&quot;given&quot;:&quot;Allan H.&quot;,&quot;parse-names&quot;:false,&quot;dropping-particle&quot;:&quot;&quot;,&quot;non-dropping-particle&quot;:&quot;&quot;}],&quot;DOI&quot;:&quot;10.1056/NEJMra1906193&quot;,&quot;ISSN&quot;:&quot;0028-4793&quot;,&quot;URL&quot;:&quot;http://www.nejm.org/doi/10.1056/NEJMra1906193&quot;,&quot;issued&quot;:{&quot;date-parts&quot;:[[2020,7,2]]},&quot;page&quot;:&quot;58-66&quot;,&quot;issue&quot;:&quot;1&quot;,&quot;volume&quot;:&quot;383&quot;,&quot;container-title-short&quot;:&quot;&quot;},&quot;isTemporary&quot;:false}]},{&quot;citationID&quot;:&quot;MENDELEY_CITATION_465be3e2-5da7-423c-9ff9-038a6e29e82a&quot;,&quot;properties&quot;:{&quot;noteIndex&quot;:0},&quot;isEdited&quot;:false,&quot;manualOverride&quot;:{&quot;isManuallyOverridden&quot;:false,&quot;citeprocText&quot;:&quot;(Malhi et al., 2021)&quot;,&quot;manualOverrideText&quot;:&quot;&quot;},&quot;citationTag&quot;:&quot;MENDELEY_CITATION_v3_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&quot;,&quot;citationItems&quot;:[{&quot;id&quot;:&quot;ef3de29d-c00f-3c6d-a8e2-5029a52d009c&quot;,&quot;itemData&quot;:{&quot;type&quot;:&quot;article-journal&quot;,&quot;id&quot;:&quot;ef3de29d-c00f-3c6d-a8e2-5029a52d009c&quot;,&quot;title&quot;:&quot;The 2020 Royal Australian and New Zealand College of Psychiatrists clinical practice guidelines for mood disorders&quot;,&quot;author&quot;:[{&quot;family&quot;:&quot;Malhi&quot;,&quot;given&quot;:&quot;Gin S.&quot;,&quot;parse-names&quot;:false,&quot;dropping-particle&quot;:&quot;&quot;,&quot;non-dropping-particle&quot;:&quot;&quot;},{&quot;family&quot;:&quot;Bell&quot;,&quot;given&quot;:&quot;Erica&quot;,&quot;parse-names&quot;:false,&quot;dropping-particle&quot;:&quot;&quot;,&quot;non-dropping-particle&quot;:&quot;&quot;},{&quot;family&quot;:&quot;Bassett&quot;,&quot;given&quot;:&quot;Darryl&quot;,&quot;parse-names&quot;:false,&quot;dropping-particle&quot;:&quot;&quot;,&quot;non-dropping-particle&quot;:&quot;&quot;},{&quot;family&quot;:&quot;Boyce&quot;,&quot;given&quot;:&quot;Philip&quot;,&quot;parse-names&quot;:false,&quot;dropping-particle&quot;:&quot;&quot;,&quot;non-dropping-particle&quot;:&quot;&quot;},{&quot;family&quot;:&quot;Bryant&quot;,&quot;given&quot;:&quot;Richard&quot;,&quot;parse-names&quot;:false,&quot;dropping-particle&quot;:&quot;&quot;,&quot;non-dropping-particle&quot;:&quot;&quot;},{&quot;family&quot;:&quot;Hazell&quot;,&quot;given&quot;:&quot;Philip&quot;,&quot;parse-names&quot;:false,&quot;dropping-particle&quot;:&quot;&quot;,&quot;non-dropping-particle&quot;:&quot;&quot;},{&quot;family&quot;:&quot;Hopwood&quot;,&quot;given&quot;:&quot;Malcolm&quot;,&quot;parse-names&quot;:false,&quot;dropping-particle&quot;:&quot;&quot;,&quot;non-dropping-particle&quot;:&quot;&quot;},{&quot;family&quot;:&quot;Lyndon&quot;,&quot;given&quot;:&quot;Bill&quot;,&quot;parse-names&quot;:false,&quot;dropping-particle&quot;:&quot;&quot;,&quot;non-dropping-particle&quot;:&quot;&quot;},{&quot;family&quot;:&quot;Mulder&quot;,&quot;given&quot;:&quot;Roger&quot;,&quot;parse-names&quot;:false,&quot;dropping-particle&quot;:&quot;&quot;,&quot;non-dropping-particle&quot;:&quot;&quot;},{&quot;family&quot;:&quot;Porter&quot;,&quot;given&quot;:&quot;Richard&quot;,&quot;parse-names&quot;:false,&quot;dropping-particle&quot;:&quot;&quot;,&quot;non-dropping-particle&quot;:&quot;&quot;},{&quot;family&quot;:&quot;Singh&quot;,&quot;given&quot;:&quot;Ajeet B.&quot;,&quot;parse-names&quot;:false,&quot;dropping-particle&quot;:&quot;&quot;,&quot;non-dropping-particle&quot;:&quot;&quot;},{&quot;family&quot;:&quot;Murray&quot;,&quot;given&quot;:&quot;Greg&quot;,&quot;parse-names&quot;:false,&quot;dropping-particle&quot;:&quot;&quot;,&quot;non-dropping-particle&quot;:&quot;&quot;}],&quot;container-title&quot;:&quot;Australian and New Zealand Journal of Psychiatry&quot;,&quot;DOI&quot;:&quot;10.1177/0004867420979353&quot;,&quot;ISSN&quot;:&quot;14401614&quot;,&quot;PMID&quot;:&quot;33353391&quot;,&quot;issued&quot;:{&quot;date-parts&quot;:[[2021,1,1]]},&quot;page&quot;:&quot;7-117&quot;,&quot;abstract&quot;:&quot;Objectives: To provide advice and guidance regarding the management of mood disorders, derived from scientific evidence and supplemented by expert clinical consensus to formulate s that maximise clinical utility. Methods: Articles and information sourced from search engines including PubMed, EMBASE, MEDLINE, PsycINFO and Google Scholar were supplemented by literature known to the mood disorders committee (e.g. books, book chapters and government reports) and from published depression and bipolar disorder guidelines. Relevant information was appraised and discussed in detail by members of the mood disorders committee, with a view to formulating and developing consensus-based recommendations and clinical guidance. The guidelines were subjected to rigorous consultation and external review involving: expert and clinical advisors, key stakeholders, professional bodies and specialist groups with interest in mood disorders. Results: The Royal Australian and New Zealand College of Psychiatrists mood disorders clinical practice guidelines 2020 (MDcpg2020) provide up-to-date guidance regarding the management of mood disorders that is informed by evidence and clinical experience. The guideline is intended for clinical use by psychiatrists, psychologists, primary care physicians and others with an interest in mental health care. Conclusion: The MDcpg2020 builds on the previous 2015 guidelines and maintains its joint focus on both depressive and bipolar disorders. It provides up-to-date recommendations and guidance within an evidence-based framework, supplemented by expert clinical consensus. Mood disorders committee: Gin S Malhi (Chair), Erica Bell, Darryl Bassett, Philip Boyce, Richard Bryant, Philip Hazell, Malcolm Hopwood, Bill Lyndon, Roger Mulder, Richard Porter, Ajeet B Singh and Greg Murray.&quot;,&quot;publisher&quot;:&quot;SAGE Publications Inc.&quot;,&quot;issue&quot;:&quot;1&quot;,&quot;volume&quot;:&quot;55&quot;,&quot;container-title-short&quot;:&quot;&quot;},&quot;isTemporary&quot;:false}]},{&quot;citationID&quot;:&quot;MENDELEY_CITATION_4c46b1b9-a425-46b9-8d09-65bf7210f3d6&quot;,&quot;properties&quot;:{&quot;noteIndex&quot;:0},&quot;isEdited&quot;:false,&quot;manualOverride&quot;:{&quot;isManuallyOverridden&quot;:false,&quot;citeprocText&quot;:&quot;(NICE, 2014; Yatham et al., 2021)&quot;,&quot;manualOverrideText&quot;:&quot;&quot;},&quot;citationTag&quot;:&quot;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&quot;,&quot;citationItems&quot;:[{&quot;id&quot;:&quot;c3af2291-9b33-3d1c-814b-0901f496fd16&quot;,&quot;itemData&quot;:{&quot;type&quot;:&quot;article-journal&quot;,&quot;id&quot;:&quot;c3af2291-9b33-3d1c-814b-0901f496fd16&quot;,&quot;title&quot;:&quot;Canadian Network for Mood and Anxiety Treatments (CANMAT) and International Society for Bipolar Disorders (ISBD) recommendations for the management of patients with bipolar disorder with mixed presentations&quot;,&quot;author&quot;:[{&quot;family&quot;:&quot;Yatham&quot;,&quot;given&quot;:&quot;Lakshmi N.&quot;,&quot;parse-names&quot;:false,&quot;dropping-particle&quot;:&quot;&quot;,&quot;non-dropping-particle&quot;:&quot;&quot;},{&quot;family&quot;:&quot;Chakrabarty&quot;,&quot;given&quot;:&quot;Trisha&quot;,&quot;parse-names&quot;:false,&quot;dropping-particle&quot;:&quot;&quot;,&quot;non-dropping-particle&quot;:&quot;&quot;},{&quot;family&quot;:&quot;Bond&quot;,&quot;given&quot;:&quot;David J.&quot;,&quot;parse-names&quot;:false,&quot;dropping-particle&quot;:&quot;&quot;,&quot;non-dropping-particle&quot;:&quot;&quot;},{&quot;family&quot;:&quot;Schaffer&quot;,&quot;given&quot;:&quot;Ayal&quot;,&quot;parse-names&quot;:false,&quot;dropping-particle&quot;:&quot;&quot;,&quot;non-dropping-particle&quot;:&quot;&quot;},{&quot;family&quot;:&quot;Beaulieu&quot;,&quot;given&quot;:&quot;Serge&quot;,&quot;parse-names&quot;:false,&quot;dropping-particle&quot;:&quot;&quot;,&quot;non-dropping-particle&quot;:&quot;&quot;},{&quot;family&quot;:&quot;Parikh&quot;,&quot;given&quot;:&quot;Sagar&quot;,&quot;parse-names&quot;:false,&quot;dropping-particle&quot;:&quot;V.&quot;,&quot;non-dropping-particle&quot;:&quot;&quot;},{&quot;family&quot;:&quot;McIntyre&quot;,&quot;given&quot;:&quot;Roger S.&quot;,&quot;parse-names&quot;:false,&quot;dropping-particle&quot;:&quot;&quot;,&quot;non-dropping-particle&quot;:&quot;&quot;},{&quot;family&quot;:&quot;Milev&quot;,&quot;given&quot;:&quot;Roumen&quot;,&quot;parse-names&quot;:false,&quot;dropping-particle&quot;:&quot;V.&quot;,&quot;non-dropping-particle&quot;:&quot;&quot;},{&quot;family&quot;:&quot;Alda&quot;,&quot;given&quot;:&quot;Martin&quot;,&quot;parse-names&quot;:false,&quot;dropping-particle&quot;:&quot;&quot;,&quot;non-dropping-particle&quot;:&quot;&quot;},{&quot;family&quot;:&quot;Vazquez&quot;,&quot;given&quot;:&quot;Gustavo&quot;,&quot;parse-names&quot;:false,&quot;dropping-particle&quot;:&quot;&quot;,&quot;non-dropping-particle&quot;:&quot;&quot;},{&quot;family&quot;:&quot;Ravindran&quot;,&quot;given&quot;:&quot;Arun&quot;,&quot;parse-names&quot;:false,&quot;dropping-particle&quot;:&quot;V.&quot;,&quot;non-dropping-particle&quot;:&quot;&quot;},{&quot;family&quot;:&quot;Frey&quot;,&quot;given&quot;:&quot;Benicio N.&quot;,&quot;parse-names&quot;:false,&quot;dropping-particle&quot;:&quot;&quot;,&quot;non-dropping-particle&quot;:&quot;&quot;},{&quot;family&quot;:&quot;Sharma&quot;,&quot;given&quot;:&quot;Verinder&quot;,&quot;parse-names&quot;:false,&quot;dropping-particle&quot;:&quot;&quot;,&quot;non-dropping-particle&quot;:&quot;&quot;},{&quot;family&quot;:&quot;Goldstein&quot;,&quot;given&quot;:&quot;Benjamin I.&quot;,&quot;parse-names&quot;:false,&quot;dropping-particle&quot;:&quot;&quot;,&quot;non-dropping-particle&quot;:&quot;&quot;},{&quot;family&quot;:&quot;Rej&quot;,&quot;given&quot;:&quot;Soham&quot;,&quot;parse-names&quot;:false,&quot;dropping-particle&quot;:&quot;&quot;,&quot;non-dropping-particle&quot;:&quot;&quot;},{&quot;family&quot;:&quot;O’Donovan&quot;,&quot;given&quot;:&quot;Claire&quot;,&quot;parse-names&quot;:false,&quot;dropping-particle&quot;:&quot;&quot;,&quot;non-dropping-particle&quot;:&quot;&quot;},{&quot;family&quot;:&quot;Tourjman&quot;,&quot;given&quot;:&quot;Valerie&quot;,&quot;parse-names&quot;:false,&quot;dropping-particle&quot;:&quot;&quot;,&quot;non-dropping-particle&quot;:&quot;&quot;},{&quot;family&quot;:&quot;Kozicky&quot;,&quot;given&quot;:&quot;Jan Marie&quot;,&quot;parse-names&quot;:false,&quot;dropping-particle&quot;:&quot;&quot;,&quot;non-dropping-particle&quot;:&quot;&quot;},{&quot;family&quot;:&quot;Kauer-Sant’Anna&quot;,&quot;given&quot;:&quot;Marcia&quot;,&quot;parse-names&quot;:false,&quot;dropping-particle&quot;:&quot;&quot;,&quot;non-dropping-particle&quot;:&quot;&quot;},{&quot;family&quot;:&quot;Malhi&quot;,&quot;given&quot;:&quot;Gin&quot;,&quot;parse-names&quot;:false,&quot;dropping-particle&quot;:&quot;&quot;,&quot;non-dropping-particle&quot;:&quot;&quot;},{&quot;family&quot;:&quot;Suppes&quot;,&quot;given&quot;:&quot;Trisha&quot;,&quot;parse-names&quot;:false,&quot;dropping-particle&quot;:&quot;&quot;,&quot;non-dropping-particle&quot;:&quot;&quot;},{&quot;family&quot;:&quot;Vieta&quot;,&quot;given&quot;:&quot;Eduard&quot;,&quot;parse-names&quot;:false,&quot;dropping-particle&quot;:&quot;&quot;,&quot;non-dropping-particle&quot;:&quot;&quot;},{&quot;family&quot;:&quot;Kapczinski&quot;,&quot;given&quot;:&quot;Flavio&quot;,&quot;parse-names&quot;:false,&quot;dropping-particle&quot;:&quot;&quot;,&quot;non-dropping-particle&quot;:&quot;&quot;},{&quot;family&quot;:&quot;Kanba&quot;,&quot;given&quot;:&quot;Shigenobu&quot;,&quot;parse-names&quot;:false,&quot;dropping-particle&quot;:&quot;&quot;,&quot;non-dropping-particle&quot;:&quot;&quot;},{&quot;family&quot;:&quot;Lam&quot;,&quot;given&quot;:&quot;Raymond W.&quot;,&quot;parse-names&quot;:false,&quot;dropping-particle&quot;:&quot;&quot;,&quot;non-dropping-particle&quot;:&quot;&quot;},{&quot;family&quot;:&quot;Kennedy&quot;,&quot;given&quot;:&quot;Sidney H.&quot;,&quot;parse-names&quot;:false,&quot;dropping-particle&quot;:&quot;&quot;,&quot;non-dropping-particle&quot;:&quot;&quot;},{&quot;family&quot;:&quot;Calabrese&quot;,&quot;given&quot;:&quot;Joseph&quot;,&quot;parse-names&quot;:false,&quot;dropping-particle&quot;:&quot;&quot;,&quot;non-dropping-particle&quot;:&quot;&quot;},{&quot;family&quot;:&quot;Berk&quot;,&quot;given&quot;:&quot;Michael&quot;,&quot;parse-names&quot;:false,&quot;dropping-particle&quot;:&quot;&quot;,&quot;non-dropping-particle&quot;:&quot;&quot;},{&quot;family&quot;:&quot;Post&quot;,&quot;given&quot;:&quot;Robert&quot;,&quot;parse-names&quot;:false,&quot;dropping-particle&quot;:&quot;&quot;,&quot;non-dropping-particle&quot;:&quot;&quot;}],&quot;container-title&quot;:&quot;Bipolar Disorders&quot;,&quot;container-title-short&quot;:&quot;Bipolar Disord.&quot;,&quot;DOI&quot;:&quot;10.1111/bdi.13135&quot;,&quot;ISSN&quot;:&quot;13995618&quot;,&quot;PMID&quot;:&quot;34599629&quot;,&quot;issued&quot;:{&quot;date-parts&quot;:[[2021,12,1]]},&quot;page&quot;:&quot;767-788&quot;,&quot;abstract&quot;:&quot;Objectives: The 2018 Canadian Network for Mood and Anxiety Treatments (CANMAT) and International Society for Bipolar Disorders (ISBD) guidelines provided clinicians with pragmatic treatment recommendations for bipolar disorder (BD). While these guidelines included commentary on how mixed features may direct treatment selection, specific recommendations were not provided—a critical gap which the current update aims to address. Method: Overview of research regarding mixed presentations in BD, with treatment recommendations developed using a modified CANMAT/ISBD rating methodology. Limitations are discussed, including the dearth of high-quality data and reliance on expert opinion. Results: No agents met threshold for first-line treatment of DSM-5 manic or depressive episodes with mixed features. For mania + mixed features second-line treatment options include asenapine, cariprazine, divalproex, and aripiprazole. In depression + mixed features, cariprazine and lurasidone are recommended as second-line options. For DSM-IV defined mixed episodes, with a longer history of research, asenapine and aripiprazole are first-line, and olanzapine (monotherapy or combination), carbamazepine, and divalproex are second-line. Research on maintenance treatments following a DSM-5 mixed presentation is extremely limited, with third-line recommendations based on expert opinion. For maintenance treatment following a DSM-IV mixed episode, quetiapine (monotherapy or combination) is first-line, and lithium and olanzapine identified as second-line options. Conclusion: The CANMAT and ISBD groups hope these guidelines provide valuable support for clinicians providing care to patients experiencing mixed presentations, as well as further influence investment in research to improve diagnosis and treatment of this common and complex clinical state.&quot;,&quot;publisher&quot;:&quot;John Wiley and Sons Inc&quot;,&quot;issue&quot;:&quot;8&quot;,&quot;volume&quot;:&quot;23&quot;},&quot;isTemporary&quot;:false},{&quot;id&quot;:&quot;92788d1c-c08b-3739-8a82-9ba00b45ae97&quot;,&quot;itemData&quot;:{&quot;type&quot;:&quot;report&quot;,&quot;id&quot;:&quot;92788d1c-c08b-3739-8a82-9ba00b45ae97&quot;,&quot;title&quot;:&quot;Bipolar disorder: assessment and management Clinical guideline&quot;,&quot;author&quot;:[{&quot;family&quot;:&quot;NICE&quot;,&quot;given&quot;:&quot;&quot;,&quot;parse-names&quot;:false,&quot;dropping-particle&quot;:&quot;&quot;,&quot;non-dropping-particle&quot;:&quot;&quot;}],&quot;URL&quot;:&quot;www.nice.org.uk/guidance/cg185&quot;,&quot;issued&quot;:{&quot;date-parts&quot;:[[2014]]},&quot;container-title-short&quot;:&quot;&quot;},&quot;isTemporary&quot;:false}]},{&quot;citationID&quot;:&quot;MENDELEY_CITATION_23c4fa62-f271-4366-a2e8-641d0f24eb0a&quot;,&quot;properties&quot;:{&quot;noteIndex&quot;:0},&quot;isEdited&quot;:false,&quot;manualOverride&quot;:{&quot;isManuallyOverridden&quot;:false,&quot;citeprocText&quot;:&quot;(Angst, 2013; Belmaker, n.d.; Bipolar Disorder-Medication Pathway for Adults, n.d.; Carvalho et al., 2020; Hargreaves et al., 2024; Haslam &amp;#38; Tse, 2025; Kendall et al., 2014; Malhi et al., 2021; Miklowitz et al., 2020; NICE, 2014; WHO, 2022; Yatham et al., 2021)&quot;,&quot;manualOverrideText&quot;:&quot;&quot;},&quot;citationTag&quot;:&quot;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&quot;,&quot;citationItems&quot;:[{&quot;id&quot;:&quot;e90ce8d7-297e-30a7-916f-94b9f94b9544&quot;,&quot;itemData&quot;:{&quot;type&quot;:&quot;article-journal&quot;,&quot;id&quot;:&quot;e90ce8d7-297e-30a7-916f-94b9f94b9544&quot;,&quot;title&quot;:&quot;Bipolar disorders in DSM-5: Strengths, problems and perspectives&quot;,&quot;author&quot;:[{&quot;family&quot;:&quot;Angst&quot;,&quot;given&quot;:&quot;Jules&quot;,&quot;parse-names&quot;:false,&quot;dropping-particle&quot;:&quot;&quot;,&quot;non-dropping-particle&quot;:&quot;&quot;}],&quot;container-title&quot;:&quot;International Journal of Bipolar Disorders&quot;,&quot;container-title-short&quot;:&quot;Int. J. Bipolar Disord.&quot;,&quot;DOI&quot;:&quot;10.1186/2194-7511-1-12&quot;,&quot;ISSN&quot;:&quot;21947511&quot;,&quot;issued&quot;:{&quot;date-parts&quot;:[[2013]]},&quot;page&quot;:&quot;1-3&quot;,&quot;abstract&quot;:&quot;The diagnostic classification of mood disorders by the Diagnostic and Statistical Manual of Mental Disorders (DSM-IV-TR) had two major shortcomings: an underdiagnosis of bipolar disorders and a large proportion of treated patients had to be allocated to the vague NOS groups 'not otherwise specified'. Several new subthreshold groups of depression, bipolar disorders and mixed states are now operationally defined in DSM-5. In addition, hypomanic and manic episodes occurring during antidepressant treatments are, under certain conditions, accepted as criteria for bipolar disorders. The diagnosis of bipolarity now requires, as entry criterion A, not only the presence of elated or irritable mood but also the association of these symptoms with increased energy/activity. This restriction will unfortunately change the diagnoses of some patients from DSM-IV bipolar I and II disorders to subdiagnostic bipolar syndromes. Nonetheless, overall, DSM-5 is a step in the right direction, specifying more subdiagnostic categories with an improved dimensional approach to severity. DSM-5 may also have an impact on patient selection for placebo-controlled drug trials with antidepressants. © 2013 Angst.&quot;,&quot;publisher&quot;:&quot;SpringerOpen&quot;,&quot;issue&quot;:&quot;1&quot;,&quot;volume&quot;:&quot;1&quot;},&quot;isTemporary&quot;:false},{&quot;id&quot;:&quot;b2c5d570-5f95-35d9-8110-b4c6df1674b9&quot;,&quot;itemData&quot;:{&quot;type&quot;:&quot;article-journal&quot;,&quot;id&quot;:&quot;b2c5d570-5f95-35d9-8110-b4c6df1674b9&quot;,&quot;title&quot;:&quot;Bipolar Disorder&quot;,&quot;author&quot;:[{&quot;family&quot;:&quot;Carvalho&quot;,&quot;given&quot;:&quot;Andre F.&quot;,&quot;parse-names&quot;:false,&quot;dropping-particle&quot;:&quot;&quot;,&quot;non-dropping-particle&quot;:&quot;&quot;},{&quot;family&quot;:&quot;Firth&quot;,&quot;given&quot;:&quot;Joseph&quot;,&quot;parse-names&quot;:false,&quot;dropping-particle&quot;:&quot;&quot;,&quot;non-dropping-particle&quot;:&quot;&quot;},{&quot;family&quot;:&quot;Vieta&quot;,&quot;given&quot;:&quot;Eduard&quot;,&quot;parse-names&quot;:false,&quot;dropping-particle&quot;:&quot;&quot;,&quot;non-dropping-particle&quot;:&quot;&quot;}],&quot;container-title&quot;:&quot;New England Journal of Medicine&quot;,&quot;editor&quot;:[{&quot;family&quot;:&quot;Ropper&quot;,&quot;given&quot;:&quot;Allan H.&quot;,&quot;parse-names&quot;:false,&quot;dropping-particle&quot;:&quot;&quot;,&quot;non-dropping-particle&quot;:&quot;&quot;}],&quot;DOI&quot;:&quot;10.1056/NEJMra1906193&quot;,&quot;ISSN&quot;:&quot;0028-4793&quot;,&quot;URL&quot;:&quot;http://www.nejm.org/doi/10.1056/NEJMra1906193&quot;,&quot;issued&quot;:{&quot;date-parts&quot;:[[2020,7,2]]},&quot;page&quot;:&quot;58-66&quot;,&quot;issue&quot;:&quot;1&quot;,&quot;volume&quot;:&quot;383&quot;,&quot;container-title-short&quot;:&quot;&quot;},&quot;isTemporary&quot;:false},{&quot;id&quot;:&quot;c2b8060a-4ae6-388d-900d-d0664f624e1f&quot;,&quot;itemData&quot;:{&quot;type&quot;:&quot;report&quot;,&quot;id&quot;:&quot;c2b8060a-4ae6-388d-900d-d0664f624e1f&quot;,&quot;title&quot;:&quot;Bipolar Disorder&quot;,&quot;author&quot;:[{&quot;family&quot;:&quot;Belmaker&quot;,&quot;given&quot;:&quot;R H&quot;,&quot;parse-names&quot;:false,&quot;dropping-particle&quot;:&quot;&quot;,&quot;non-dropping-particle&quot;:&quot;&quot;}],&quot;URL&quot;:&quot;www.nejm.org&quot;,&quot;container-title-short&quot;:&quot;&quot;},&quot;isTemporary&quot;:false},{&quot;id&quot;:&quot;2f72f4ea-7bc3-3b45-9148-0c4ae56bd629&quot;,&quot;itemData&quot;:{&quot;type&quot;:&quot;article-journal&quot;,&quot;id&quot;:&quot;2f72f4ea-7bc3-3b45-9148-0c4ae56bd629&quot;,&quot;title&quot;:&quot;The relationship between familiarity and stigma associated with The relationship between familiarity and stigma associated with schizophrenia, bipolar disorder, and autism in Ireland: A pilot schizophrenia, bipolar disorder, and autism in Ireland: A pilot study study&quot;,&quot;author&quot;:[{&quot;family&quot;:&quot;Hargreaves&quot;,&quot;given&quot;:&quot;April&quot;,&quot;parse-names&quot;:false,&quot;dropping-particle&quot;:&quot;&quot;,&quot;non-dropping-particle&quot;:&quot;&quot;},{&quot;family&quot;:&quot;Loughnane&quot;,&quot;given&quot;:&quot;Gerard&quot;,&quot;parse-names&quot;:false,&quot;dropping-particle&quot;:&quot;&quot;,&quot;non-dropping-particle&quot;:&quot;&quot;},{&quot;family&quot;:&quot;Grasso&quot;,&quot;given&quot;:&quot;Gabriela&quot;,&quot;parse-names&quot;:false,&quot;dropping-particle&quot;:&quot;&quot;,&quot;non-dropping-particle&quot;:&quot;&quot;},{&quot;family&quot;:&quot;Mothersill&quot;,&quot;given&quot;:&quot;David&quot;,&quot;parse-names&quot;:false,&quot;dropping-particle&quot;:&quot;&quot;,&quot;non-dropping-particle&quot;:&quot;&quot;}],&quot;container-title&quot;:&quot;Irish Journal of Applied Social Studies&quot;,&quot;DOI&quot;:&quot;10.21427/sgva-hv25&quot;,&quot;issued&quot;:{&quot;date-parts&quot;:[[2024]]},&quot;issue&quot;:&quot;2&quot;,&quot;volume&quot;:&quot;24&quot;,&quot;container-title-short&quot;:&quot;&quot;},&quot;isTemporary&quot;:false},{&quot;id&quot;:&quot;c3af2291-9b33-3d1c-814b-0901f496fd16&quot;,&quot;itemData&quot;:{&quot;type&quot;:&quot;article-journal&quot;,&quot;id&quot;:&quot;c3af2291-9b33-3d1c-814b-0901f496fd16&quot;,&quot;title&quot;:&quot;Canadian Network for Mood and Anxiety Treatments (CANMAT) and International Society for Bipolar Disorders (ISBD) recommendations for the management of patients with bipolar disorder with mixed presentations&quot;,&quot;author&quot;:[{&quot;family&quot;:&quot;Yatham&quot;,&quot;given&quot;:&quot;Lakshmi N.&quot;,&quot;parse-names&quot;:false,&quot;dropping-particle&quot;:&quot;&quot;,&quot;non-dropping-particle&quot;:&quot;&quot;},{&quot;family&quot;:&quot;Chakrabarty&quot;,&quot;given&quot;:&quot;Trisha&quot;,&quot;parse-names&quot;:false,&quot;dropping-particle&quot;:&quot;&quot;,&quot;non-dropping-particle&quot;:&quot;&quot;},{&quot;family&quot;:&quot;Bond&quot;,&quot;given&quot;:&quot;David J.&quot;,&quot;parse-names&quot;:false,&quot;dropping-particle&quot;:&quot;&quot;,&quot;non-dropping-particle&quot;:&quot;&quot;},{&quot;family&quot;:&quot;Schaffer&quot;,&quot;given&quot;:&quot;Ayal&quot;,&quot;parse-names&quot;:false,&quot;dropping-particle&quot;:&quot;&quot;,&quot;non-dropping-particle&quot;:&quot;&quot;},{&quot;family&quot;:&quot;Beaulieu&quot;,&quot;given&quot;:&quot;Serge&quot;,&quot;parse-names&quot;:false,&quot;dropping-particle&quot;:&quot;&quot;,&quot;non-dropping-particle&quot;:&quot;&quot;},{&quot;family&quot;:&quot;Parikh&quot;,&quot;given&quot;:&quot;Sagar&quot;,&quot;parse-names&quot;:false,&quot;dropping-particle&quot;:&quot;V.&quot;,&quot;non-dropping-particle&quot;:&quot;&quot;},{&quot;family&quot;:&quot;McIntyre&quot;,&quot;given&quot;:&quot;Roger S.&quot;,&quot;parse-names&quot;:false,&quot;dropping-particle&quot;:&quot;&quot;,&quot;non-dropping-particle&quot;:&quot;&quot;},{&quot;family&quot;:&quot;Milev&quot;,&quot;given&quot;:&quot;Roumen&quot;,&quot;parse-names&quot;:false,&quot;dropping-particle&quot;:&quot;V.&quot;,&quot;non-dropping-particle&quot;:&quot;&quot;},{&quot;family&quot;:&quot;Alda&quot;,&quot;given&quot;:&quot;Martin&quot;,&quot;parse-names&quot;:false,&quot;dropping-particle&quot;:&quot;&quot;,&quot;non-dropping-particle&quot;:&quot;&quot;},{&quot;family&quot;:&quot;Vazquez&quot;,&quot;given&quot;:&quot;Gustavo&quot;,&quot;parse-names&quot;:false,&quot;dropping-particle&quot;:&quot;&quot;,&quot;non-dropping-particle&quot;:&quot;&quot;},{&quot;family&quot;:&quot;Ravindran&quot;,&quot;given&quot;:&quot;Arun&quot;,&quot;parse-names&quot;:false,&quot;dropping-particle&quot;:&quot;V.&quot;,&quot;non-dropping-particle&quot;:&quot;&quot;},{&quot;family&quot;:&quot;Frey&quot;,&quot;given&quot;:&quot;Benicio N.&quot;,&quot;parse-names&quot;:false,&quot;dropping-particle&quot;:&quot;&quot;,&quot;non-dropping-particle&quot;:&quot;&quot;},{&quot;family&quot;:&quot;Sharma&quot;,&quot;given&quot;:&quot;Verinder&quot;,&quot;parse-names&quot;:false,&quot;dropping-particle&quot;:&quot;&quot;,&quot;non-dropping-particle&quot;:&quot;&quot;},{&quot;family&quot;:&quot;Goldstein&quot;,&quot;given&quot;:&quot;Benjamin I.&quot;,&quot;parse-names&quot;:false,&quot;dropping-particle&quot;:&quot;&quot;,&quot;non-dropping-particle&quot;:&quot;&quot;},{&quot;family&quot;:&quot;Rej&quot;,&quot;given&quot;:&quot;Soham&quot;,&quot;parse-names&quot;:false,&quot;dropping-particle&quot;:&quot;&quot;,&quot;non-dropping-particle&quot;:&quot;&quot;},{&quot;family&quot;:&quot;O’Donovan&quot;,&quot;given&quot;:&quot;Claire&quot;,&quot;parse-names&quot;:false,&quot;dropping-particle&quot;:&quot;&quot;,&quot;non-dropping-particle&quot;:&quot;&quot;},{&quot;family&quot;:&quot;Tourjman&quot;,&quot;given&quot;:&quot;Valerie&quot;,&quot;parse-names&quot;:false,&quot;dropping-particle&quot;:&quot;&quot;,&quot;non-dropping-particle&quot;:&quot;&quot;},{&quot;family&quot;:&quot;Kozicky&quot;,&quot;given&quot;:&quot;Jan Marie&quot;,&quot;parse-names&quot;:false,&quot;dropping-particle&quot;:&quot;&quot;,&quot;non-dropping-particle&quot;:&quot;&quot;},{&quot;family&quot;:&quot;Kauer-Sant’Anna&quot;,&quot;given&quot;:&quot;Marcia&quot;,&quot;parse-names&quot;:false,&quot;dropping-particle&quot;:&quot;&quot;,&quot;non-dropping-particle&quot;:&quot;&quot;},{&quot;family&quot;:&quot;Malhi&quot;,&quot;given&quot;:&quot;Gin&quot;,&quot;parse-names&quot;:false,&quot;dropping-particle&quot;:&quot;&quot;,&quot;non-dropping-particle&quot;:&quot;&quot;},{&quot;family&quot;:&quot;Suppes&quot;,&quot;given&quot;:&quot;Trisha&quot;,&quot;parse-names&quot;:false,&quot;dropping-particle&quot;:&quot;&quot;,&quot;non-dropping-particle&quot;:&quot;&quot;},{&quot;family&quot;:&quot;Vieta&quot;,&quot;given&quot;:&quot;Eduard&quot;,&quot;parse-names&quot;:false,&quot;dropping-particle&quot;:&quot;&quot;,&quot;non-dropping-particle&quot;:&quot;&quot;},{&quot;family&quot;:&quot;Kapczinski&quot;,&quot;given&quot;:&quot;Flavio&quot;,&quot;parse-names&quot;:false,&quot;dropping-particle&quot;:&quot;&quot;,&quot;non-dropping-particle&quot;:&quot;&quot;},{&quot;family&quot;:&quot;Kanba&quot;,&quot;given&quot;:&quot;Shigenobu&quot;,&quot;parse-names&quot;:false,&quot;dropping-particle&quot;:&quot;&quot;,&quot;non-dropping-particle&quot;:&quot;&quot;},{&quot;family&quot;:&quot;Lam&quot;,&quot;given&quot;:&quot;Raymond W.&quot;,&quot;parse-names&quot;:false,&quot;dropping-particle&quot;:&quot;&quot;,&quot;non-dropping-particle&quot;:&quot;&quot;},{&quot;family&quot;:&quot;Kennedy&quot;,&quot;given&quot;:&quot;Sidney H.&quot;,&quot;parse-names&quot;:false,&quot;dropping-particle&quot;:&quot;&quot;,&quot;non-dropping-particle&quot;:&quot;&quot;},{&quot;family&quot;:&quot;Calabrese&quot;,&quot;given&quot;:&quot;Joseph&quot;,&quot;parse-names&quot;:false,&quot;dropping-particle&quot;:&quot;&quot;,&quot;non-dropping-particle&quot;:&quot;&quot;},{&quot;family&quot;:&quot;Berk&quot;,&quot;given&quot;:&quot;Michael&quot;,&quot;parse-names&quot;:false,&quot;dropping-particle&quot;:&quot;&quot;,&quot;non-dropping-particle&quot;:&quot;&quot;},{&quot;family&quot;:&quot;Post&quot;,&quot;given&quot;:&quot;Robert&quot;,&quot;parse-names&quot;:false,&quot;dropping-particle&quot;:&quot;&quot;,&quot;non-dropping-particle&quot;:&quot;&quot;}],&quot;container-title&quot;:&quot;Bipolar Disorders&quot;,&quot;container-title-short&quot;:&quot;Bipolar Disord.&quot;,&quot;DOI&quot;:&quot;10.1111/bdi.13135&quot;,&quot;ISSN&quot;:&quot;13995618&quot;,&quot;PMID&quot;:&quot;34599629&quot;,&quot;issued&quot;:{&quot;date-parts&quot;:[[2021,12,1]]},&quot;page&quot;:&quot;767-788&quot;,&quot;abstract&quot;:&quot;Objectives: The 2018 Canadian Network for Mood and Anxiety Treatments (CANMAT) and International Society for Bipolar Disorders (ISBD) guidelines provided clinicians with pragmatic treatment recommendations for bipolar disorder (BD). While these guidelines included commentary on how mixed features may direct treatment selection, specific recommendations were not provided—a critical gap which the current update aims to address. Method: Overview of research regarding mixed presentations in BD, with treatment recommendations developed using a modified CANMAT/ISBD rating methodology. Limitations are discussed, including the dearth of high-quality data and reliance on expert opinion. Results: No agents met threshold for first-line treatment of DSM-5 manic or depressive episodes with mixed features. For mania + mixed features second-line treatment options include asenapine, cariprazine, divalproex, and aripiprazole. In depression + mixed features, cariprazine and lurasidone are recommended as second-line options. For DSM-IV defined mixed episodes, with a longer history of research, asenapine and aripiprazole are first-line, and olanzapine (monotherapy or combination), carbamazepine, and divalproex are second-line. Research on maintenance treatments following a DSM-5 mixed presentation is extremely limited, with third-line recommendations based on expert opinion. For maintenance treatment following a DSM-IV mixed episode, quetiapine (monotherapy or combination) is first-line, and lithium and olanzapine identified as second-line options. Conclusion: The CANMAT and ISBD groups hope these guidelines provide valuable support for clinicians providing care to patients experiencing mixed presentations, as well as further influence investment in research to improve diagnosis and treatment of this common and complex clinical state.&quot;,&quot;publisher&quot;:&quot;John Wiley and Sons Inc&quot;,&quot;issue&quot;:&quot;8&quot;,&quot;volume&quot;:&quot;23&quot;},&quot;isTemporary&quot;:false},{&quot;id&quot;:&quot;ef3de29d-c00f-3c6d-a8e2-5029a52d009c&quot;,&quot;itemData&quot;:{&quot;type&quot;:&quot;article-journal&quot;,&quot;id&quot;:&quot;ef3de29d-c00f-3c6d-a8e2-5029a52d009c&quot;,&quot;title&quot;:&quot;The 2020 Royal Australian and New Zealand College of Psychiatrists clinical practice guidelines for mood disorders&quot;,&quot;author&quot;:[{&quot;family&quot;:&quot;Malhi&quot;,&quot;given&quot;:&quot;Gin S.&quot;,&quot;parse-names&quot;:false,&quot;dropping-particle&quot;:&quot;&quot;,&quot;non-dropping-particle&quot;:&quot;&quot;},{&quot;family&quot;:&quot;Bell&quot;,&quot;given&quot;:&quot;Erica&quot;,&quot;parse-names&quot;:false,&quot;dropping-particle&quot;:&quot;&quot;,&quot;non-dropping-particle&quot;:&quot;&quot;},{&quot;family&quot;:&quot;Bassett&quot;,&quot;given&quot;:&quot;Darryl&quot;,&quot;parse-names&quot;:false,&quot;dropping-particle&quot;:&quot;&quot;,&quot;non-dropping-particle&quot;:&quot;&quot;},{&quot;family&quot;:&quot;Boyce&quot;,&quot;given&quot;:&quot;Philip&quot;,&quot;parse-names&quot;:false,&quot;dropping-particle&quot;:&quot;&quot;,&quot;non-dropping-particle&quot;:&quot;&quot;},{&quot;family&quot;:&quot;Bryant&quot;,&quot;given&quot;:&quot;Richard&quot;,&quot;parse-names&quot;:false,&quot;dropping-particle&quot;:&quot;&quot;,&quot;non-dropping-particle&quot;:&quot;&quot;},{&quot;family&quot;:&quot;Hazell&quot;,&quot;given&quot;:&quot;Philip&quot;,&quot;parse-names&quot;:false,&quot;dropping-particle&quot;:&quot;&quot;,&quot;non-dropping-particle&quot;:&quot;&quot;},{&quot;family&quot;:&quot;Hopwood&quot;,&quot;given&quot;:&quot;Malcolm&quot;,&quot;parse-names&quot;:false,&quot;dropping-particle&quot;:&quot;&quot;,&quot;non-dropping-particle&quot;:&quot;&quot;},{&quot;family&quot;:&quot;Lyndon&quot;,&quot;given&quot;:&quot;Bill&quot;,&quot;parse-names&quot;:false,&quot;dropping-particle&quot;:&quot;&quot;,&quot;non-dropping-particle&quot;:&quot;&quot;},{&quot;family&quot;:&quot;Mulder&quot;,&quot;given&quot;:&quot;Roger&quot;,&quot;parse-names&quot;:false,&quot;dropping-particle&quot;:&quot;&quot;,&quot;non-dropping-particle&quot;:&quot;&quot;},{&quot;family&quot;:&quot;Porter&quot;,&quot;given&quot;:&quot;Richard&quot;,&quot;parse-names&quot;:false,&quot;dropping-particle&quot;:&quot;&quot;,&quot;non-dropping-particle&quot;:&quot;&quot;},{&quot;family&quot;:&quot;Singh&quot;,&quot;given&quot;:&quot;Ajeet B.&quot;,&quot;parse-names&quot;:false,&quot;dropping-particle&quot;:&quot;&quot;,&quot;non-dropping-particle&quot;:&quot;&quot;},{&quot;family&quot;:&quot;Murray&quot;,&quot;given&quot;:&quot;Greg&quot;,&quot;parse-names&quot;:false,&quot;dropping-particle&quot;:&quot;&quot;,&quot;non-dropping-particle&quot;:&quot;&quot;}],&quot;container-title&quot;:&quot;Australian and New Zealand Journal of Psychiatry&quot;,&quot;DOI&quot;:&quot;10.1177/0004867420979353&quot;,&quot;ISSN&quot;:&quot;14401614&quot;,&quot;PMID&quot;:&quot;33353391&quot;,&quot;issued&quot;:{&quot;date-parts&quot;:[[2021,1,1]]},&quot;page&quot;:&quot;7-117&quot;,&quot;abstract&quot;:&quot;Objectives: To provide advice and guidance regarding the management of mood disorders, derived from scientific evidence and supplemented by expert clinical consensus to formulate s that maximise clinical utility. Methods: Articles and information sourced from search engines including PubMed, EMBASE, MEDLINE, PsycINFO and Google Scholar were supplemented by literature known to the mood disorders committee (e.g. books, book chapters and government reports) and from published depression and bipolar disorder guidelines. Relevant information was appraised and discussed in detail by members of the mood disorders committee, with a view to formulating and developing consensus-based recommendations and clinical guidance. The guidelines were subjected to rigorous consultation and external review involving: expert and clinical advisors, key stakeholders, professional bodies and specialist groups with interest in mood disorders. Results: The Royal Australian and New Zealand College of Psychiatrists mood disorders clinical practice guidelines 2020 (MDcpg2020) provide up-to-date guidance regarding the management of mood disorders that is informed by evidence and clinical experience. The guideline is intended for clinical use by psychiatrists, psychologists, primary care physicians and others with an interest in mental health care. Conclusion: The MDcpg2020 builds on the previous 2015 guidelines and maintains its joint focus on both depressive and bipolar disorders. It provides up-to-date recommendations and guidance within an evidence-based framework, supplemented by expert clinical consensus. Mood disorders committee: Gin S Malhi (Chair), Erica Bell, Darryl Bassett, Philip Boyce, Richard Bryant, Philip Hazell, Malcolm Hopwood, Bill Lyndon, Roger Mulder, Richard Porter, Ajeet B Singh and Greg Murray.&quot;,&quot;publisher&quot;:&quot;SAGE Publications Inc.&quot;,&quot;issue&quot;:&quot;1&quot;,&quot;volume&quot;:&quot;55&quot;,&quot;container-title-short&quot;:&quot;&quot;},&quot;isTemporary&quot;:false},{&quot;id&quot;:&quot;bf5efb72-98eb-3ecb-9c3e-dfe2d266ab29&quot;,&quot;itemData&quot;:{&quot;type&quot;:&quot;report&quot;,&quot;id&quot;:&quot;bf5efb72-98eb-3ecb-9c3e-dfe2d266ab29&quot;,&quot;title&quot;:&quot;Bipolar Disorder-Medication Pathway for Adults&quot;,&quot;abstract&quot;:&quot;The aim of this pathway is to encourage safe and effective prescribing for bipolar disorder by advising the best evidence-based pharmacological treatments. Key prescribing considerations • Consider non-pharmacological options at all steps. • Utilise HIE (Health Information Exchange) viewer to view medical problems &amp; medication from the GP before prescribing and consider underlying physical health issues (request this from GP if HIE viewer not available). • Ensure pre-treatment and ongoing monitoring is carried out per Trust psychotropic medication monitoring guidance, including an annual physical health review. • Ensure prescribing decisions account for advance directives, the person's preference and clinical context (including physical comorbidity, previous response to treatment and side effects) where possible. • Refer to MHRA advice &amp; Trust guidance regarding the use of valproate in patients of childbearing potential (see also perinatal prescribing guidance). Utilise the decision support tool \&quot;Bipolar disorder: is valproate the right treatment for me?\&quot; when considering valproate for such patients [N.B. Valproate is AMBER (shared care) for safe transfer of prescribing in this patient cohort}. • Be aware of potential drug interactions when prescribing combination therapy. • For lamotrigine initiation, follow BNF/SmPC prescribing recommendations regarding dose escalation. This differs with other medicines, e.g. valproate and carbamazepine. Advise the patient of the risks associated with rash and further actions if required. • Note BNF warning re: antiepileptics and risk of suicidal thoughts and behaviour • Please note that for bipolar disorder, lurasidone and asenapine are both PURPLE (non-formulary) drugs as per the safe transfer of prescribing guidelines. These require an application for use which must be approved by a panel, and prescribing cannot be transferred to primary care. • Consider toxicity in overdose when prescribing during periods of high suicide risk. Assess the need to limit the quantity of medication prescribed (e.g. 7-day prescriptions) to reduce the risk. • TEWV Level 1 &amp; 2 NMPs cannot initiate lithium or clozapine. Level 2 NMPs may adjust clozapine and lithium doses if this is specified in their scope of practice and the consultant is aware of dose changes. Patients aged over 65 years: Any doses stated refer to adult dosing and the prescriber should consult the BNF for advice on doses for elderly patient groups. This patient group has an increased risk of drug-drug interactions and increased sensitivity to anticholinergic effects (which can decrease cognitive function and increase risk of falls). Ensure comorbidities are recognised &amp; treated. • Deprescribing-if stopping long-term pharmacological treatment: o Discuss with the person how to recognise early signs of relapse and what to do if symptoms recur o Stop treatment gradually and monitor the person for signs of relapse. o Discontinuation of any medicine should normally be tapered over at least 4 weeks, preferably longer o The risk of relapse remains even after years of sustained remission&quot;,&quot;container-title-short&quot;:&quot;&quot;},&quot;isTemporary&quot;:false},{&quot;id&quot;:&quot;92dbadb9-7716-3b02-9124-d2c7eea5450e&quot;,&quot;itemData&quot;:{&quot;type&quot;:&quot;article-journal&quot;,&quot;id&quot;:&quot;92dbadb9-7716-3b02-9124-d2c7eea5450e&quot;,&quot;title&quot;:&quot;Effects of Family-Focused Therapy vs Enhanced Usual Care for Symptomatic Youths at High Risk for Bipolar Disorder: A Randomized Clinical Trial&quot;,&quot;author&quot;:[{&quot;family&quot;:&quot;Miklowitz&quot;,&quot;given&quot;:&quot;David J.&quot;,&quot;parse-names&quot;:false,&quot;dropping-particle&quot;:&quot;&quot;,&quot;non-dropping-particle&quot;:&quot;&quot;},{&quot;family&quot;:&quot;Schneck&quot;,&quot;given&quot;:&quot;Christopher D.&quot;,&quot;parse-names&quot;:false,&quot;dropping-particle&quot;:&quot;&quot;,&quot;non-dropping-particle&quot;:&quot;&quot;},{&quot;family&quot;:&quot;Walshaw&quot;,&quot;given&quot;:&quot;Patricia D.&quot;,&quot;parse-names&quot;:false,&quot;dropping-particle&quot;:&quot;&quot;,&quot;non-dropping-particle&quot;:&quot;&quot;},{&quot;family&quot;:&quot;Singh&quot;,&quot;given&quot;:&quot;Manpreet K.&quot;,&quot;parse-names&quot;:false,&quot;dropping-particle&quot;:&quot;&quot;,&quot;non-dropping-particle&quot;:&quot;&quot;},{&quot;family&quot;:&quot;Sullivan&quot;,&quot;given&quot;:&quot;Aimee E.&quot;,&quot;parse-names&quot;:false,&quot;dropping-particle&quot;:&quot;&quot;,&quot;non-dropping-particle&quot;:&quot;&quot;},{&quot;family&quot;:&quot;Suddath&quot;,&quot;given&quot;:&quot;Robert L.&quot;,&quot;parse-names&quot;:false,&quot;dropping-particle&quot;:&quot;&quot;,&quot;non-dropping-particle&quot;:&quot;&quot;},{&quot;family&quot;:&quot;Forgey Borlik&quot;,&quot;given&quot;:&quot;Marcy&quot;,&quot;parse-names&quot;:false,&quot;dropping-particle&quot;:&quot;&quot;,&quot;non-dropping-particle&quot;:&quot;&quot;},{&quot;family&quot;:&quot;Sugar&quot;,&quot;given&quot;:&quot;Catherine A.&quot;,&quot;parse-names&quot;:false,&quot;dropping-particle&quot;:&quot;&quot;,&quot;non-dropping-particle&quot;:&quot;&quot;},{&quot;family&quot;:&quot;Chang&quot;,&quot;given&quot;:&quot;Kiki D.&quot;,&quot;parse-names&quot;:false,&quot;dropping-particle&quot;:&quot;&quot;,&quot;non-dropping-particle&quot;:&quot;&quot;}],&quot;container-title&quot;:&quot;JAMA Psychiatry&quot;,&quot;container-title-short&quot;:&quot;JAMA Psychiatry&quot;,&quot;DOI&quot;:&quot;10.1001/jamapsychiatry.2019.4520&quot;,&quot;ISSN&quot;:&quot;2168622X&quot;,&quot;PMID&quot;:&quot;31940011&quot;,&quot;issued&quot;:{&quot;date-parts&quot;:[[2020,5,1]]},&quot;page&quot;:&quot;455-463&quot;,&quot;abstract&quot;:&quot;Importance: Behavioral high-risk phenotypes predict the onset of bipolar disorder among youths who have parents with bipolar disorder. Few studies have examined whether early intervention delays new mood episodes in high-risk youths. Objective: To determine whether family-focused therapy (FFT) for high-risk youths is more effective than standard psychoeducation in hastening recovery and delaying emergence of mood episodes during the 1 to 4 years after an active period of mood symptoms. Design, Settings, and Participants: This multisite randomized clinical trial included referred youths (aged 9-17 years) with major depressive disorder or unspecified (subthreshold) bipolar disorder, active mood symptoms, and at least 1 first-or second-degree relative with bipolar disorder I or II. Recruitment started from October 6, 2011, and ended on September 15, 2016. Independent evaluators interviewed participants every 4 to 6 months to measure symptoms for up to 4 years. Data analysis was performed from March 13 to November 3, 2019. Interventions: High-risk youths and parents were randomly allocated to FFT (12 sessions in 4 months of psychoeducation, communication training, and problem-solving skills training; n = 61) or enhanced care (6 sessions in 4 months of family and individual psychoeducation; n = 66). Youths could receive medication management in either condition. Main Outcomes and Measures: The coprimary outcomes, derived using weekly psychiatric status ratings, were time to recovery from prerandomization symptoms and time to a prospectively observed mood (depressive, manic, or hypomanic) episode after recovery. Secondary outcomes were time to conversion to bipolar disorder I or II and longitudinal symptom trajectories. Results: All 127 participants (82 [64.6%] female; mean [SD] age, 13.2 [2.6] years) were followed up for a median of 98 weeks (range, 0-255 weeks). No differences were detected between treatments in time to recovery from pretreatment symptoms. High-risk youths in the FFT group had longer intervals from recovery to the emergence of the next mood episode (χ2 = 5.44; P =.02; hazard ratio, 0.55; 95% CI, 0.48-0.92;), and from randomization to the next mood episode (χ2 = 4.44; P =.03; hazard ratio, 0.59; 95% CI, 0.35-0.97) than youths in enhanced care. Specifically, FFT was associated with longer intervals to depressive episodes (log-rank χ2 = 6.24; P =.01; hazard ratio, 0.53; 95% CI, 0.31-0.88) but did not differ from enhanced care in time to manic or hypomanic episodes, conversions to bipolar disorder, or symptom trajectories. Conclusions and Relevance: Family skills-training for youths at high risk for bipolar disorder is associated with longer times between mood episodes. Clarifying the relationship between changes in family functioning and changes in the course of high-risk syndromes merits future investigation. Trial Registration: ClinicalTrials.gov identifier: NCT01483391..&quot;,&quot;publisher&quot;:&quot;American Medical Association&quot;,&quot;issue&quot;:&quot;5&quot;,&quot;volume&quot;:&quot;77&quot;},&quot;isTemporary&quot;:false},{&quot;id&quot;:&quot;a2441ed2-bb29-3caf-9540-8490179e38cc&quot;,&quot;itemData&quot;:{&quot;type&quot;:&quot;report&quot;,&quot;id&quot;:&quot;a2441ed2-bb29-3caf-9540-8490179e38cc&quot;,&quot;title&quot;:&quot;Clinical descriptions and diagnostic requirements for ICD-11 mental, behavioural and neurodevelopmental disorders&quot;,&quot;author&quot;:[{&quot;family&quot;:&quot;WHO&quot;,&quot;given&quot;:&quot;&quot;,&quot;parse-names&quot;:false,&quot;dropping-particle&quot;:&quot;&quot;,&quot;non-dropping-particle&quot;:&quot;&quot;}],&quot;accessed&quot;:{&quot;date-parts&quot;:[[2026,7,6]]},&quot;URL&quot;:&quot;https://iris.who.int/server/api/core/bitstreams/dcf73611-9e0f-4d5c-85f6-85a58b0da6de/content&quot;,&quot;issued&quot;:{&quot;date-parts&quot;:[[2022]]},&quot;container-title-short&quot;:&quot;&quot;},&quot;isTemporary&quot;:false},{&quot;id&quot;:&quot;92788d1c-c08b-3739-8a82-9ba00b45ae97&quot;,&quot;itemData&quot;:{&quot;type&quot;:&quot;report&quot;,&quot;id&quot;:&quot;92788d1c-c08b-3739-8a82-9ba00b45ae97&quot;,&quot;title&quot;:&quot;Bipolar disorder: assessment and management Clinical guideline&quot;,&quot;author&quot;:[{&quot;family&quot;:&quot;NICE&quot;,&quot;given&quot;:&quot;&quot;,&quot;parse-names&quot;:false,&quot;dropping-particle&quot;:&quot;&quot;,&quot;non-dropping-particle&quot;:&quot;&quot;}],&quot;URL&quot;:&quot;www.nice.org.uk/guidance/cg185&quot;,&quot;issued&quot;:{&quot;date-parts&quot;:[[2014]]},&quot;container-title-short&quot;:&quot;&quot;},&quot;isTemporary&quot;:false},{&quot;id&quot;:&quot;defb93fa-8feb-30d5-b245-034bf72a4c42&quot;,&quot;itemData&quot;:{&quot;type&quot;:&quot;article-journal&quot;,&quot;id&quot;:&quot;defb93fa-8feb-30d5-b245-034bf72a4c42&quot;,&quot;title&quot;:&quot;Public awareness of mental illness: Mental health literacy or concept creep?&quot;,&quot;author&quot;:[{&quot;family&quot;:&quot;Haslam&quot;,&quot;given&quot;:&quot;Nick&quot;,&quot;parse-names&quot;:false,&quot;dropping-particle&quot;:&quot;&quot;,&quot;non-dropping-particle&quot;:&quot;&quot;},{&quot;family&quot;:&quot;Tse&quot;,&quot;given&quot;:&quot;Jesse S.Y.&quot;,&quot;parse-names&quot;:false,&quot;dropping-particle&quot;:&quot;&quot;,&quot;non-dropping-particle&quot;:&quot;&quot;}],&quot;container-title&quot;:&quot;Australasian Psychiatry&quot;,&quot;DOI&quot;:&quot;10.1177/10398562241292202&quot;,&quot;ISSN&quot;:&quot;14401665&quot;,&quot;PMID&quot;:&quot;39402888&quot;,&quot;issued&quot;:{&quot;date-parts&quot;:[[2025,2,1]]},&quot;page&quot;:&quot;18-20&quot;,&quot;abstract&quot;:&quot;Rising awareness of mental illness has increased the public’s mental health literacy, with positive implications for help-seeking and destigmatization. We argue that it has also enlarged the public’s concept of mental illness. People have become better at recognizing the presence of mental illness but may have become worse at recognizing its absence. This conceptual expansion fosters unwarranted self-diagnosis, the pathologization of ordinary distress, and unnecessary treatment. It is incumbent on mental health professionals to promote accurate knowledge of mental illness and push back against overly expansive concepts of it.&quot;,&quot;publisher&quot;:&quot;SAGE Publications Inc.&quot;,&quot;issue&quot;:&quot;1&quot;,&quot;volume&quot;:&quot;33&quot;,&quot;container-title-short&quot;:&quot;&quot;},&quot;isTemporary&quot;:false},{&quot;id&quot;:&quot;09e0f252-2e29-3d97-b7a5-9792282065dd&quot;,&quot;itemData&quot;:{&quot;type&quot;:&quot;article-journal&quot;,&quot;id&quot;:&quot;09e0f252-2e29-3d97-b7a5-9792282065dd&quot;,&quot;title&quot;:&quot;Assessment and management of bipolar disorder: Summary of updated NICE guidance&quot;,&quot;author&quot;:[{&quot;family&quot;:&quot;Kendall&quot;,&quot;given&quot;:&quot;Tim&quot;,&quot;parse-names&quot;:false,&quot;dropping-particle&quot;:&quot;&quot;,&quot;non-dropping-particle&quot;:&quot;&quot;},{&quot;family&quot;:&quot;Morriss&quot;,&quot;given&quot;:&quot;Richard&quot;,&quot;parse-names&quot;:false,&quot;dropping-particle&quot;:&quot;&quot;,&quot;non-dropping-particle&quot;:&quot;&quot;},{&quot;family&quot;:&quot;Mayo-Wilson&quot;,&quot;given&quot;:&quot;Evan&quot;,&quot;parse-names&quot;:false,&quot;dropping-particle&quot;:&quot;&quot;,&quot;non-dropping-particle&quot;:&quot;&quot;},{&quot;family&quot;:&quot;Marcus&quot;,&quot;given&quot;:&quot;Elena&quot;,&quot;parse-names&quot;:false,&quot;dropping-particle&quot;:&quot;&quot;,&quot;non-dropping-particle&quot;:&quot;&quot;},{&quot;family&quot;:&quot;Mavranezouli&quot;,&quot;given&quot;:&quot;Ifigeneia&quot;,&quot;parse-names&quot;:false,&quot;dropping-particle&quot;:&quot;&quot;,&quot;non-dropping-particle&quot;:&quot;&quot;},{&quot;family&quot;:&quot;Braidwood&quot;,&quot;given&quot;:&quot;Ruth&quot;,&quot;parse-names&quot;:false,&quot;dropping-particle&quot;:&quot;&quot;,&quot;non-dropping-particle&quot;:&quot;&quot;},{&quot;family&quot;:&quot;Byng&quot;,&quot;given&quot;:&quot;Richard&quot;,&quot;parse-names&quot;:false,&quot;dropping-particle&quot;:&quot;&quot;,&quot;non-dropping-particle&quot;:&quot;&quot;},{&quot;family&quot;:&quot;Cipriani&quot;,&quot;given&quot;:&quot;Andrea&quot;,&quot;parse-names&quot;:false,&quot;dropping-particle&quot;:&quot;&quot;,&quot;non-dropping-particle&quot;:&quot;&quot;},{&quot;family&quot;:&quot;Garcia-Niño&quot;,&quot;given&quot;:&quot;Korin&quot;,&quot;parse-names&quot;:false,&quot;dropping-particle&quot;:&quot;&quot;,&quot;non-dropping-particle&quot;:&quot;&quot;},{&quot;family&quot;:&quot;Geddes&quot;,&quot;given&quot;:&quot;John&quot;,&quot;parse-names&quot;:false,&quot;dropping-particle&quot;:&quot;&quot;,&quot;non-dropping-particle&quot;:&quot;&quot;},{&quot;family&quot;:&quot;Hughes&quot;,&quot;given&quot;:&quot;Kate&quot;,&quot;parse-names&quot;:false,&quot;dropping-particle&quot;:&quot;&quot;,&quot;non-dropping-particle&quot;:&quot;&quot;},{&quot;family&quot;:&quot;James&quot;,&quot;given&quot;:&quot;Anthony&quot;,&quot;parse-names&quot;:false,&quot;dropping-particle&quot;:&quot;&quot;,&quot;non-dropping-particle&quot;:&quot;&quot;},{&quot;family&quot;:&quot;John&quot;,&quot;given&quot;:&quot;Carnice&quot;,&quot;parse-names&quot;:false,&quot;dropping-particle&quot;:&quot;&quot;,&quot;non-dropping-particle&quot;:&quot;&quot;},{&quot;family&quot;:&quot;Jones&quot;,&quot;given&quot;:&quot;Steven&quot;,&quot;parse-names&quot;:false,&quot;dropping-particle&quot;:&quot;&quot;,&quot;non-dropping-particle&quot;:&quot;&quot;},{&quot;family&quot;:&quot;Leggett&quot;,&quot;given&quot;:&quot;Katherine&quot;,&quot;parse-names&quot;:false,&quot;dropping-particle&quot;:&quot;&quot;,&quot;non-dropping-particle&quot;:&quot;&quot;},{&quot;family&quot;:&quot;McDougall&quot;,&quot;given&quot;:&quot;Tim&quot;,&quot;parse-names&quot;:false,&quot;dropping-particle&quot;:&quot;&quot;,&quot;non-dropping-particle&quot;:&quot;&quot;},{&quot;family&quot;:&quot;Meyer&quot;,&quot;given&quot;:&quot;Thomas&quot;,&quot;parse-names&quot;:false,&quot;dropping-particle&quot;:&quot;&quot;,&quot;non-dropping-particle&quot;:&quot;&quot;},{&quot;family&quot;:&quot;Paton&quot;,&quot;given&quot;:&quot;Carol&quot;,&quot;parse-names&quot;:false,&quot;dropping-particle&quot;:&quot;&quot;,&quot;non-dropping-particle&quot;:&quot;&quot;},{&quot;family&quot;:&quot;Schwannauer&quot;,&quot;given&quot;:&quot;Matthias&quot;,&quot;parse-names&quot;:false,&quot;dropping-particle&quot;:&quot;&quot;,&quot;non-dropping-particle&quot;:&quot;&quot;},{&quot;family&quot;:&quot;Stockton&quot;,&quot;given&quot;:&quot;Sarah&quot;,&quot;parse-names&quot;:false,&quot;dropping-particle&quot;:&quot;&quot;,&quot;non-dropping-particle&quot;:&quot;&quot;},{&quot;family&quot;:&quot;Swinden&quot;,&quot;given&quot;:&quot;Donna&quot;,&quot;parse-names&quot;:false,&quot;dropping-particle&quot;:&quot;&quot;,&quot;non-dropping-particle&quot;:&quot;&quot;},{&quot;family&quot;:&quot;Taylor&quot;,&quot;given&quot;:&quot;Clare&quot;,&quot;parse-names&quot;:false,&quot;dropping-particle&quot;:&quot;&quot;,&quot;non-dropping-particle&quot;:&quot;&quot;},{&quot;family&quot;:&quot;Westhead&quot;,&quot;given&quot;:&quot;Robert&quot;,&quot;parse-names&quot;:false,&quot;dropping-particle&quot;:&quot;&quot;,&quot;non-dropping-particle&quot;:&quot;&quot;},{&quot;family&quot;:&quot;Whittington&quot;,&quot;given&quot;:&quot;Craig&quot;,&quot;parse-names&quot;:false,&quot;dropping-particle&quot;:&quot;&quot;,&quot;non-dropping-particle&quot;:&quot;&quot;},{&quot;family&quot;:&quot;Wilson&quot;,&quot;given&quot;:&quot;Faye&quot;,&quot;parse-names&quot;:false,&quot;dropping-particle&quot;:&quot;&quot;,&quot;non-dropping-particle&quot;:&quot;&quot;}],&quot;container-title&quot;:&quot;BMJ (Online)&quot;,&quot;DOI&quot;:&quot;10.1136/bmj.g5673&quot;,&quot;ISSN&quot;:&quot;17561833&quot;,&quot;PMID&quot;:&quot;25258392&quot;,&quot;issued&quot;:{&quot;date-parts&quot;:[[2014,9,25]]},&quot;publisher&quot;:&quot;BMJ Publishing Group&quot;,&quot;volume&quot;:&quot;349&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y name="MENDELEY_BIBLIOGRAPHY_IS_DIRTY" value="true"/>
    <we:property name="MENDELEY_BIBLIOGRAPHY_LAST_MODIFIED" value="1783321957847"/>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886D0-605E-48E4-AF83-E9A0175A8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2957</Words>
  <Characters>16859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CHERRY SPENCER</dc:creator>
  <cp:lastModifiedBy>cherry Spencer</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8564c1e9-0ecb-49a9-ac7c-90eb40d0410a</vt:lpwstr>
  </property>
</Properties>
</file>