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D9D6D1" w14:textId="77777777" w:rsidR="00706559" w:rsidRDefault="00706559">
      <w:r>
        <w:rPr>
          <w:noProof/>
        </w:rPr>
        <mc:AlternateContent>
          <mc:Choice Requires="wps">
            <w:drawing>
              <wp:anchor distT="45720" distB="45720" distL="114300" distR="114300" simplePos="0" relativeHeight="251666432" behindDoc="0" locked="0" layoutInCell="1" allowOverlap="1" wp14:anchorId="24A2D490" wp14:editId="04DC0F4C">
                <wp:simplePos x="0" y="0"/>
                <wp:positionH relativeFrom="column">
                  <wp:posOffset>2831204</wp:posOffset>
                </wp:positionH>
                <wp:positionV relativeFrom="paragraph">
                  <wp:posOffset>74</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5DAB937" w14:textId="6368D35A" w:rsidR="00706559" w:rsidRDefault="00706559">
                            <w:r>
                              <w:t>Skyler Schenke</w:t>
                            </w:r>
                          </w:p>
                          <w:p w14:paraId="3B7CB794" w14:textId="684B1509" w:rsidR="00706559" w:rsidRDefault="00706559">
                            <w:r>
                              <w:t>2405518</w:t>
                            </w:r>
                          </w:p>
                          <w:p w14:paraId="09B86B65" w14:textId="7D3602F9" w:rsidR="00706559" w:rsidRDefault="00706559"/>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4A2D490" id="_x0000_t202" coordsize="21600,21600" o:spt="202" path="m,l,21600r21600,l21600,xe">
                <v:stroke joinstyle="miter"/>
                <v:path gradientshapeok="t" o:connecttype="rect"/>
              </v:shapetype>
              <v:shape id="Text Box 2" o:spid="_x0000_s1026" type="#_x0000_t202" style="position:absolute;margin-left:222.95pt;margin-top:0;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">
                <v:textbox style="mso-fit-shape-to-text:t">
                  <w:txbxContent>
                    <w:p w14:paraId="75DAB937" w14:textId="6368D35A" w:rsidR="00706559" w:rsidRDefault="00706559">
                      <w:r>
                        <w:t>Skyler Schenke</w:t>
                      </w:r>
                    </w:p>
                    <w:p w14:paraId="3B7CB794" w14:textId="684B1509" w:rsidR="00706559" w:rsidRDefault="00706559">
                      <w:r>
                        <w:t>2405518</w:t>
                      </w:r>
                    </w:p>
                    <w:p w14:paraId="09B86B65" w14:textId="7D3602F9" w:rsidR="00706559" w:rsidRDefault="00706559"/>
                  </w:txbxContent>
                </v:textbox>
                <w10:wrap type="square"/>
              </v:shape>
            </w:pict>
          </mc:Fallback>
        </mc:AlternateContent>
      </w:r>
    </w:p>
    <w:sdt>
      <w:sdtPr>
        <w:id w:val="-1036807796"/>
        <w:docPartObj>
          <w:docPartGallery w:val="Cover Pages"/>
          <w:docPartUnique/>
        </w:docPartObj>
      </w:sdtPr>
      <w:sdtContent>
        <w:p w14:paraId="562A2859" w14:textId="365C9556" w:rsidR="00564B67" w:rsidRDefault="00564B67">
          <w:r>
            <w:rPr>
              <w:noProof/>
            </w:rPr>
            <mc:AlternateContent>
              <mc:Choice Requires="wps">
                <w:drawing>
                  <wp:anchor distT="0" distB="0" distL="114300" distR="114300" simplePos="0" relativeHeight="251664384" behindDoc="0" locked="0" layoutInCell="1" allowOverlap="1" wp14:anchorId="2A5ABE77" wp14:editId="7649B6C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21FCDCA" w14:textId="7678E663" w:rsidR="00564B67" w:rsidRDefault="00564B67">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Skyler Schenke (2405518)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2A5ABE77" id="Text Box 25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521FCDCA" w14:textId="7678E663" w:rsidR="00564B67" w:rsidRDefault="00564B67">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Skyler Schenke (2405518)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4F6623E" wp14:editId="7B238590">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945CD65" w14:textId="77777777" w:rsidR="00564B67" w:rsidRDefault="00564B6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4F6623E" id="Rectangle 257"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" fillcolor="#c1e4f5 [660]" stroked="f" strokeweight="1.5pt">
                    <v:fill color2="#45b0e1 [1940]" rotate="t" focus="100%" type="gradient">
                      <o:fill v:ext="view" type="gradientUnscaled"/>
                    </v:fill>
                    <v:textbox inset="21.6pt,,21.6pt">
                      <w:txbxContent>
                        <w:p w14:paraId="4945CD65" w14:textId="77777777" w:rsidR="00564B67" w:rsidRDefault="00564B67"/>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94A21B9" wp14:editId="343F80C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9BDA6CD"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EAB6205" wp14:editId="4FDC3A4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DE59F1E"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EB37A52" wp14:editId="56688A2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443BE28" w14:textId="15C41061" w:rsidR="00564B67" w:rsidRPr="00706559" w:rsidRDefault="00791C44">
                                <w:pPr>
                                  <w:rPr>
                                    <w:rFonts w:asciiTheme="majorHAnsi" w:eastAsiaTheme="majorEastAsia" w:hAnsiTheme="majorHAnsi" w:cstheme="majorBidi"/>
                                    <w:color w:val="156082" w:themeColor="accent1"/>
                                    <w:sz w:val="44"/>
                                    <w:szCs w:val="44"/>
                                  </w:rPr>
                                </w:pPr>
                                <w:r w:rsidRPr="00706559">
                                  <w:rPr>
                                    <w:rFonts w:asciiTheme="majorHAnsi" w:eastAsiaTheme="majorEastAsia" w:hAnsiTheme="majorHAnsi" w:cstheme="majorBidi"/>
                                    <w:color w:val="156082" w:themeColor="accent1"/>
                                    <w:sz w:val="44"/>
                                    <w:szCs w:val="44"/>
                                  </w:rPr>
                                  <w:t>Data Security and Compliance</w:t>
                                </w:r>
                              </w:p>
                              <w:p w14:paraId="44A1A691" w14:textId="6631F17E" w:rsidR="00791C44" w:rsidRPr="00706559" w:rsidRDefault="00706559">
                                <w:pPr>
                                  <w:rPr>
                                    <w:rFonts w:asciiTheme="majorHAnsi" w:eastAsiaTheme="majorEastAsia" w:hAnsiTheme="majorHAnsi" w:cstheme="majorBidi"/>
                                    <w:color w:val="156082" w:themeColor="accent1"/>
                                    <w:sz w:val="44"/>
                                    <w:szCs w:val="44"/>
                                  </w:rPr>
                                </w:pPr>
                                <w:r w:rsidRPr="00706559">
                                  <w:rPr>
                                    <w:rFonts w:asciiTheme="majorHAnsi" w:eastAsiaTheme="majorEastAsia" w:hAnsiTheme="majorHAnsi" w:cstheme="majorBidi"/>
                                    <w:color w:val="156082" w:themeColor="accent1"/>
                                    <w:sz w:val="44"/>
                                    <w:szCs w:val="44"/>
                                  </w:rPr>
                                  <w:t>ACCA5034</w:t>
                                </w:r>
                              </w:p>
                              <w:p w14:paraId="59B4800B" w14:textId="77777777" w:rsidR="00706559" w:rsidRPr="00706559" w:rsidRDefault="00706559" w:rsidP="00706559">
                                <w:pPr>
                                  <w:rPr>
                                    <w:rFonts w:asciiTheme="majorHAnsi" w:eastAsiaTheme="majorEastAsia" w:hAnsiTheme="majorHAnsi" w:cstheme="majorBidi"/>
                                    <w:color w:val="156082" w:themeColor="accent1"/>
                                    <w:sz w:val="44"/>
                                    <w:szCs w:val="44"/>
                                  </w:rPr>
                                </w:pPr>
                                <w:r w:rsidRPr="00706559">
                                  <w:rPr>
                                    <w:rFonts w:asciiTheme="majorHAnsi" w:eastAsiaTheme="majorEastAsia" w:hAnsiTheme="majorHAnsi" w:cstheme="majorBidi"/>
                                    <w:color w:val="156082" w:themeColor="accent1"/>
                                    <w:sz w:val="44"/>
                                    <w:szCs w:val="44"/>
                                  </w:rPr>
                                  <w:t>Research and Case Scenario in Data Security and Compliance</w:t>
                                </w:r>
                              </w:p>
                              <w:p w14:paraId="5B80F87D" w14:textId="77777777" w:rsidR="00706559" w:rsidRPr="00706559" w:rsidRDefault="00706559">
                                <w:pPr>
                                  <w:rPr>
                                    <w:rFonts w:asciiTheme="majorHAnsi" w:eastAsiaTheme="majorEastAsia" w:hAnsiTheme="majorHAnsi" w:cstheme="majorBidi"/>
                                    <w:color w:val="156082" w:themeColor="accent1"/>
                                    <w:sz w:val="44"/>
                                    <w:szCs w:val="44"/>
                                  </w:rPr>
                                </w:pPr>
                              </w:p>
                              <w:p w14:paraId="1B54AAAC" w14:textId="77777777" w:rsidR="00706559" w:rsidRPr="00706559" w:rsidRDefault="00706559">
                                <w:pPr>
                                  <w:rPr>
                                    <w:rFonts w:asciiTheme="majorHAnsi" w:eastAsiaTheme="majorEastAsia" w:hAnsiTheme="majorHAnsi" w:cstheme="majorBidi"/>
                                    <w:color w:val="0E2841" w:themeColor="text2"/>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EB37A52"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0443BE28" w14:textId="15C41061" w:rsidR="00564B67" w:rsidRPr="00706559" w:rsidRDefault="00791C44">
                          <w:pPr>
                            <w:rPr>
                              <w:rFonts w:asciiTheme="majorHAnsi" w:eastAsiaTheme="majorEastAsia" w:hAnsiTheme="majorHAnsi" w:cstheme="majorBidi"/>
                              <w:color w:val="156082" w:themeColor="accent1"/>
                              <w:sz w:val="44"/>
                              <w:szCs w:val="44"/>
                            </w:rPr>
                          </w:pPr>
                          <w:r w:rsidRPr="00706559">
                            <w:rPr>
                              <w:rFonts w:asciiTheme="majorHAnsi" w:eastAsiaTheme="majorEastAsia" w:hAnsiTheme="majorHAnsi" w:cstheme="majorBidi"/>
                              <w:color w:val="156082" w:themeColor="accent1"/>
                              <w:sz w:val="44"/>
                              <w:szCs w:val="44"/>
                            </w:rPr>
                            <w:t>Data Security and Compliance</w:t>
                          </w:r>
                        </w:p>
                        <w:p w14:paraId="44A1A691" w14:textId="6631F17E" w:rsidR="00791C44" w:rsidRPr="00706559" w:rsidRDefault="00706559">
                          <w:pPr>
                            <w:rPr>
                              <w:rFonts w:asciiTheme="majorHAnsi" w:eastAsiaTheme="majorEastAsia" w:hAnsiTheme="majorHAnsi" w:cstheme="majorBidi"/>
                              <w:color w:val="156082" w:themeColor="accent1"/>
                              <w:sz w:val="44"/>
                              <w:szCs w:val="44"/>
                            </w:rPr>
                          </w:pPr>
                          <w:r w:rsidRPr="00706559">
                            <w:rPr>
                              <w:rFonts w:asciiTheme="majorHAnsi" w:eastAsiaTheme="majorEastAsia" w:hAnsiTheme="majorHAnsi" w:cstheme="majorBidi"/>
                              <w:color w:val="156082" w:themeColor="accent1"/>
                              <w:sz w:val="44"/>
                              <w:szCs w:val="44"/>
                            </w:rPr>
                            <w:t>ACCA5034</w:t>
                          </w:r>
                        </w:p>
                        <w:p w14:paraId="59B4800B" w14:textId="77777777" w:rsidR="00706559" w:rsidRPr="00706559" w:rsidRDefault="00706559" w:rsidP="00706559">
                          <w:pPr>
                            <w:rPr>
                              <w:rFonts w:asciiTheme="majorHAnsi" w:eastAsiaTheme="majorEastAsia" w:hAnsiTheme="majorHAnsi" w:cstheme="majorBidi"/>
                              <w:color w:val="156082" w:themeColor="accent1"/>
                              <w:sz w:val="44"/>
                              <w:szCs w:val="44"/>
                            </w:rPr>
                          </w:pPr>
                          <w:r w:rsidRPr="00706559">
                            <w:rPr>
                              <w:rFonts w:asciiTheme="majorHAnsi" w:eastAsiaTheme="majorEastAsia" w:hAnsiTheme="majorHAnsi" w:cstheme="majorBidi"/>
                              <w:color w:val="156082" w:themeColor="accent1"/>
                              <w:sz w:val="44"/>
                              <w:szCs w:val="44"/>
                            </w:rPr>
                            <w:t>Research and Case Scenario in Data Security and Compliance</w:t>
                          </w:r>
                        </w:p>
                        <w:p w14:paraId="5B80F87D" w14:textId="77777777" w:rsidR="00706559" w:rsidRPr="00706559" w:rsidRDefault="00706559">
                          <w:pPr>
                            <w:rPr>
                              <w:rFonts w:asciiTheme="majorHAnsi" w:eastAsiaTheme="majorEastAsia" w:hAnsiTheme="majorHAnsi" w:cstheme="majorBidi"/>
                              <w:color w:val="156082" w:themeColor="accent1"/>
                              <w:sz w:val="44"/>
                              <w:szCs w:val="44"/>
                            </w:rPr>
                          </w:pPr>
                        </w:p>
                        <w:p w14:paraId="1B54AAAC" w14:textId="77777777" w:rsidR="00706559" w:rsidRPr="00706559" w:rsidRDefault="00706559">
                          <w:pPr>
                            <w:rPr>
                              <w:rFonts w:asciiTheme="majorHAnsi" w:eastAsiaTheme="majorEastAsia" w:hAnsiTheme="majorHAnsi" w:cstheme="majorBidi"/>
                              <w:color w:val="0E2841" w:themeColor="text2"/>
                              <w:sz w:val="20"/>
                              <w:szCs w:val="20"/>
                            </w:rPr>
                          </w:pPr>
                        </w:p>
                      </w:txbxContent>
                    </v:textbox>
                    <w10:wrap type="square" anchorx="page" anchory="page"/>
                  </v:shape>
                </w:pict>
              </mc:Fallback>
            </mc:AlternateContent>
          </w:r>
        </w:p>
        <w:p w14:paraId="0673E422" w14:textId="1D15978C" w:rsidR="00564B67" w:rsidRDefault="00564B67">
          <w:r>
            <w:br w:type="page"/>
          </w:r>
        </w:p>
      </w:sdtContent>
    </w:sdt>
    <w:sdt>
      <w:sdtPr>
        <w:id w:val="-202709628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354FCE1" w14:textId="0089DAAA" w:rsidR="00D22C11" w:rsidRDefault="00D22C11">
          <w:pPr>
            <w:pStyle w:val="TOCHeading"/>
          </w:pPr>
          <w:r>
            <w:t>Contents</w:t>
          </w:r>
        </w:p>
        <w:p w14:paraId="21E9175B" w14:textId="43C9316C" w:rsidR="00D22C11" w:rsidRDefault="00D22C11">
          <w:pPr>
            <w:pStyle w:val="TOC1"/>
            <w:tabs>
              <w:tab w:val="right" w:leader="dot" w:pos="9016"/>
            </w:tabs>
            <w:rPr>
              <w:noProof/>
            </w:rPr>
          </w:pPr>
          <w:r>
            <w:fldChar w:fldCharType="begin"/>
          </w:r>
          <w:r>
            <w:instrText xml:space="preserve"> TOC \o "1-3" \h \z \u </w:instrText>
          </w:r>
          <w:r>
            <w:fldChar w:fldCharType="separate"/>
          </w:r>
          <w:hyperlink w:anchor="_Toc218556254" w:history="1">
            <w:r w:rsidRPr="00CB47A7">
              <w:rPr>
                <w:rStyle w:val="Hyperlink"/>
                <w:noProof/>
              </w:rPr>
              <w:t>Task 1 – Research in Data Security Compliance</w:t>
            </w:r>
            <w:r>
              <w:rPr>
                <w:noProof/>
                <w:webHidden/>
              </w:rPr>
              <w:tab/>
            </w:r>
            <w:r>
              <w:rPr>
                <w:noProof/>
                <w:webHidden/>
              </w:rPr>
              <w:fldChar w:fldCharType="begin"/>
            </w:r>
            <w:r>
              <w:rPr>
                <w:noProof/>
                <w:webHidden/>
              </w:rPr>
              <w:instrText xml:space="preserve"> PAGEREF _Toc218556254 \h </w:instrText>
            </w:r>
            <w:r>
              <w:rPr>
                <w:noProof/>
                <w:webHidden/>
              </w:rPr>
            </w:r>
            <w:r>
              <w:rPr>
                <w:noProof/>
                <w:webHidden/>
              </w:rPr>
              <w:fldChar w:fldCharType="separate"/>
            </w:r>
            <w:r>
              <w:rPr>
                <w:noProof/>
                <w:webHidden/>
              </w:rPr>
              <w:t>2</w:t>
            </w:r>
            <w:r>
              <w:rPr>
                <w:noProof/>
                <w:webHidden/>
              </w:rPr>
              <w:fldChar w:fldCharType="end"/>
            </w:r>
          </w:hyperlink>
        </w:p>
        <w:p w14:paraId="0631C4CC" w14:textId="12112B5E" w:rsidR="00D22C11" w:rsidRDefault="00D22C11">
          <w:pPr>
            <w:pStyle w:val="TOC2"/>
            <w:tabs>
              <w:tab w:val="right" w:leader="dot" w:pos="9016"/>
            </w:tabs>
            <w:rPr>
              <w:noProof/>
            </w:rPr>
          </w:pPr>
          <w:hyperlink w:anchor="_Toc218556255" w:history="1">
            <w:r w:rsidRPr="00CB47A7">
              <w:rPr>
                <w:rStyle w:val="Hyperlink"/>
                <w:noProof/>
              </w:rPr>
              <w:t>Introduction</w:t>
            </w:r>
            <w:r>
              <w:rPr>
                <w:noProof/>
                <w:webHidden/>
              </w:rPr>
              <w:tab/>
            </w:r>
            <w:r>
              <w:rPr>
                <w:noProof/>
                <w:webHidden/>
              </w:rPr>
              <w:fldChar w:fldCharType="begin"/>
            </w:r>
            <w:r>
              <w:rPr>
                <w:noProof/>
                <w:webHidden/>
              </w:rPr>
              <w:instrText xml:space="preserve"> PAGEREF _Toc218556255 \h </w:instrText>
            </w:r>
            <w:r>
              <w:rPr>
                <w:noProof/>
                <w:webHidden/>
              </w:rPr>
            </w:r>
            <w:r>
              <w:rPr>
                <w:noProof/>
                <w:webHidden/>
              </w:rPr>
              <w:fldChar w:fldCharType="separate"/>
            </w:r>
            <w:r>
              <w:rPr>
                <w:noProof/>
                <w:webHidden/>
              </w:rPr>
              <w:t>2</w:t>
            </w:r>
            <w:r>
              <w:rPr>
                <w:noProof/>
                <w:webHidden/>
              </w:rPr>
              <w:fldChar w:fldCharType="end"/>
            </w:r>
          </w:hyperlink>
        </w:p>
        <w:p w14:paraId="3E5770B5" w14:textId="5E45FB6D" w:rsidR="00D22C11" w:rsidRDefault="00D22C11">
          <w:pPr>
            <w:pStyle w:val="TOC2"/>
            <w:tabs>
              <w:tab w:val="right" w:leader="dot" w:pos="9016"/>
            </w:tabs>
            <w:rPr>
              <w:noProof/>
            </w:rPr>
          </w:pPr>
          <w:hyperlink w:anchor="_Toc218556256" w:history="1">
            <w:r w:rsidRPr="00CB47A7">
              <w:rPr>
                <w:rStyle w:val="Hyperlink"/>
                <w:noProof/>
              </w:rPr>
              <w:t>Traditional Perimeter-Based Security Models</w:t>
            </w:r>
            <w:r>
              <w:rPr>
                <w:noProof/>
                <w:webHidden/>
              </w:rPr>
              <w:tab/>
            </w:r>
            <w:r>
              <w:rPr>
                <w:noProof/>
                <w:webHidden/>
              </w:rPr>
              <w:fldChar w:fldCharType="begin"/>
            </w:r>
            <w:r>
              <w:rPr>
                <w:noProof/>
                <w:webHidden/>
              </w:rPr>
              <w:instrText xml:space="preserve"> PAGEREF _Toc218556256 \h </w:instrText>
            </w:r>
            <w:r>
              <w:rPr>
                <w:noProof/>
                <w:webHidden/>
              </w:rPr>
            </w:r>
            <w:r>
              <w:rPr>
                <w:noProof/>
                <w:webHidden/>
              </w:rPr>
              <w:fldChar w:fldCharType="separate"/>
            </w:r>
            <w:r>
              <w:rPr>
                <w:noProof/>
                <w:webHidden/>
              </w:rPr>
              <w:t>2</w:t>
            </w:r>
            <w:r>
              <w:rPr>
                <w:noProof/>
                <w:webHidden/>
              </w:rPr>
              <w:fldChar w:fldCharType="end"/>
            </w:r>
          </w:hyperlink>
        </w:p>
        <w:p w14:paraId="3B8BA07D" w14:textId="3FD2CAC3" w:rsidR="00D22C11" w:rsidRDefault="00D22C11">
          <w:pPr>
            <w:pStyle w:val="TOC2"/>
            <w:tabs>
              <w:tab w:val="right" w:leader="dot" w:pos="9016"/>
            </w:tabs>
            <w:rPr>
              <w:noProof/>
            </w:rPr>
          </w:pPr>
          <w:hyperlink w:anchor="_Toc218556257" w:history="1">
            <w:r w:rsidRPr="00CB47A7">
              <w:rPr>
                <w:rStyle w:val="Hyperlink"/>
                <w:noProof/>
              </w:rPr>
              <w:t>Zero Trust Principles</w:t>
            </w:r>
            <w:r>
              <w:rPr>
                <w:noProof/>
                <w:webHidden/>
              </w:rPr>
              <w:tab/>
            </w:r>
            <w:r>
              <w:rPr>
                <w:noProof/>
                <w:webHidden/>
              </w:rPr>
              <w:fldChar w:fldCharType="begin"/>
            </w:r>
            <w:r>
              <w:rPr>
                <w:noProof/>
                <w:webHidden/>
              </w:rPr>
              <w:instrText xml:space="preserve"> PAGEREF _Toc218556257 \h </w:instrText>
            </w:r>
            <w:r>
              <w:rPr>
                <w:noProof/>
                <w:webHidden/>
              </w:rPr>
            </w:r>
            <w:r>
              <w:rPr>
                <w:noProof/>
                <w:webHidden/>
              </w:rPr>
              <w:fldChar w:fldCharType="separate"/>
            </w:r>
            <w:r>
              <w:rPr>
                <w:noProof/>
                <w:webHidden/>
              </w:rPr>
              <w:t>4</w:t>
            </w:r>
            <w:r>
              <w:rPr>
                <w:noProof/>
                <w:webHidden/>
              </w:rPr>
              <w:fldChar w:fldCharType="end"/>
            </w:r>
          </w:hyperlink>
        </w:p>
        <w:p w14:paraId="7698BD90" w14:textId="2A05E5A7" w:rsidR="00D22C11" w:rsidRDefault="00D22C11">
          <w:pPr>
            <w:pStyle w:val="TOC2"/>
            <w:tabs>
              <w:tab w:val="right" w:leader="dot" w:pos="9016"/>
            </w:tabs>
            <w:rPr>
              <w:noProof/>
            </w:rPr>
          </w:pPr>
          <w:hyperlink w:anchor="_Toc218556258" w:history="1">
            <w:r w:rsidRPr="00CB47A7">
              <w:rPr>
                <w:rStyle w:val="Hyperlink"/>
                <w:noProof/>
              </w:rPr>
              <w:t>Zero Trust Implementation Changes</w:t>
            </w:r>
            <w:r>
              <w:rPr>
                <w:noProof/>
                <w:webHidden/>
              </w:rPr>
              <w:tab/>
            </w:r>
            <w:r>
              <w:rPr>
                <w:noProof/>
                <w:webHidden/>
              </w:rPr>
              <w:fldChar w:fldCharType="begin"/>
            </w:r>
            <w:r>
              <w:rPr>
                <w:noProof/>
                <w:webHidden/>
              </w:rPr>
              <w:instrText xml:space="preserve"> PAGEREF _Toc218556258 \h </w:instrText>
            </w:r>
            <w:r>
              <w:rPr>
                <w:noProof/>
                <w:webHidden/>
              </w:rPr>
            </w:r>
            <w:r>
              <w:rPr>
                <w:noProof/>
                <w:webHidden/>
              </w:rPr>
              <w:fldChar w:fldCharType="separate"/>
            </w:r>
            <w:r>
              <w:rPr>
                <w:noProof/>
                <w:webHidden/>
              </w:rPr>
              <w:t>5</w:t>
            </w:r>
            <w:r>
              <w:rPr>
                <w:noProof/>
                <w:webHidden/>
              </w:rPr>
              <w:fldChar w:fldCharType="end"/>
            </w:r>
          </w:hyperlink>
        </w:p>
        <w:p w14:paraId="5CAD3B91" w14:textId="46D24811" w:rsidR="00D22C11" w:rsidRDefault="00D22C11">
          <w:pPr>
            <w:pStyle w:val="TOC2"/>
            <w:tabs>
              <w:tab w:val="right" w:leader="dot" w:pos="9016"/>
            </w:tabs>
            <w:rPr>
              <w:noProof/>
            </w:rPr>
          </w:pPr>
          <w:hyperlink w:anchor="_Toc218556259" w:history="1">
            <w:r w:rsidRPr="00CB47A7">
              <w:rPr>
                <w:rStyle w:val="Hyperlink"/>
                <w:noProof/>
              </w:rPr>
              <w:t>Zero Trust vs Perimeter Security</w:t>
            </w:r>
            <w:r>
              <w:rPr>
                <w:noProof/>
                <w:webHidden/>
              </w:rPr>
              <w:tab/>
            </w:r>
            <w:r>
              <w:rPr>
                <w:noProof/>
                <w:webHidden/>
              </w:rPr>
              <w:fldChar w:fldCharType="begin"/>
            </w:r>
            <w:r>
              <w:rPr>
                <w:noProof/>
                <w:webHidden/>
              </w:rPr>
              <w:instrText xml:space="preserve"> PAGEREF _Toc218556259 \h </w:instrText>
            </w:r>
            <w:r>
              <w:rPr>
                <w:noProof/>
                <w:webHidden/>
              </w:rPr>
            </w:r>
            <w:r>
              <w:rPr>
                <w:noProof/>
                <w:webHidden/>
              </w:rPr>
              <w:fldChar w:fldCharType="separate"/>
            </w:r>
            <w:r>
              <w:rPr>
                <w:noProof/>
                <w:webHidden/>
              </w:rPr>
              <w:t>6</w:t>
            </w:r>
            <w:r>
              <w:rPr>
                <w:noProof/>
                <w:webHidden/>
              </w:rPr>
              <w:fldChar w:fldCharType="end"/>
            </w:r>
          </w:hyperlink>
        </w:p>
        <w:p w14:paraId="7CD3060F" w14:textId="4CFD4AC0" w:rsidR="00D22C11" w:rsidRDefault="00D22C11">
          <w:pPr>
            <w:pStyle w:val="TOC2"/>
            <w:tabs>
              <w:tab w:val="right" w:leader="dot" w:pos="9016"/>
            </w:tabs>
            <w:rPr>
              <w:noProof/>
            </w:rPr>
          </w:pPr>
          <w:hyperlink w:anchor="_Toc218556260" w:history="1">
            <w:r w:rsidRPr="00CB47A7">
              <w:rPr>
                <w:rStyle w:val="Hyperlink"/>
                <w:noProof/>
              </w:rPr>
              <w:t>Effectiveness of Zero Trust in Modern Organisations</w:t>
            </w:r>
            <w:r>
              <w:rPr>
                <w:noProof/>
                <w:webHidden/>
              </w:rPr>
              <w:tab/>
            </w:r>
            <w:r>
              <w:rPr>
                <w:noProof/>
                <w:webHidden/>
              </w:rPr>
              <w:fldChar w:fldCharType="begin"/>
            </w:r>
            <w:r>
              <w:rPr>
                <w:noProof/>
                <w:webHidden/>
              </w:rPr>
              <w:instrText xml:space="preserve"> PAGEREF _Toc218556260 \h </w:instrText>
            </w:r>
            <w:r>
              <w:rPr>
                <w:noProof/>
                <w:webHidden/>
              </w:rPr>
            </w:r>
            <w:r>
              <w:rPr>
                <w:noProof/>
                <w:webHidden/>
              </w:rPr>
              <w:fldChar w:fldCharType="separate"/>
            </w:r>
            <w:r>
              <w:rPr>
                <w:noProof/>
                <w:webHidden/>
              </w:rPr>
              <w:t>9</w:t>
            </w:r>
            <w:r>
              <w:rPr>
                <w:noProof/>
                <w:webHidden/>
              </w:rPr>
              <w:fldChar w:fldCharType="end"/>
            </w:r>
          </w:hyperlink>
        </w:p>
        <w:p w14:paraId="469C6C3A" w14:textId="51B054C2" w:rsidR="00D22C11" w:rsidRDefault="00D22C11">
          <w:pPr>
            <w:pStyle w:val="TOC2"/>
            <w:tabs>
              <w:tab w:val="right" w:leader="dot" w:pos="9016"/>
            </w:tabs>
            <w:rPr>
              <w:noProof/>
            </w:rPr>
          </w:pPr>
          <w:hyperlink w:anchor="_Toc218556261" w:history="1">
            <w:r w:rsidRPr="00CB47A7">
              <w:rPr>
                <w:rStyle w:val="Hyperlink"/>
                <w:noProof/>
              </w:rPr>
              <w:t>Conclusion</w:t>
            </w:r>
            <w:r>
              <w:rPr>
                <w:noProof/>
                <w:webHidden/>
              </w:rPr>
              <w:tab/>
            </w:r>
            <w:r>
              <w:rPr>
                <w:noProof/>
                <w:webHidden/>
              </w:rPr>
              <w:fldChar w:fldCharType="begin"/>
            </w:r>
            <w:r>
              <w:rPr>
                <w:noProof/>
                <w:webHidden/>
              </w:rPr>
              <w:instrText xml:space="preserve"> PAGEREF _Toc218556261 \h </w:instrText>
            </w:r>
            <w:r>
              <w:rPr>
                <w:noProof/>
                <w:webHidden/>
              </w:rPr>
            </w:r>
            <w:r>
              <w:rPr>
                <w:noProof/>
                <w:webHidden/>
              </w:rPr>
              <w:fldChar w:fldCharType="separate"/>
            </w:r>
            <w:r>
              <w:rPr>
                <w:noProof/>
                <w:webHidden/>
              </w:rPr>
              <w:t>10</w:t>
            </w:r>
            <w:r>
              <w:rPr>
                <w:noProof/>
                <w:webHidden/>
              </w:rPr>
              <w:fldChar w:fldCharType="end"/>
            </w:r>
          </w:hyperlink>
        </w:p>
        <w:p w14:paraId="79F0D3CB" w14:textId="2E649586" w:rsidR="00D22C11" w:rsidRDefault="00D22C11">
          <w:pPr>
            <w:pStyle w:val="TOC2"/>
            <w:tabs>
              <w:tab w:val="right" w:leader="dot" w:pos="9016"/>
            </w:tabs>
            <w:rPr>
              <w:noProof/>
            </w:rPr>
          </w:pPr>
          <w:hyperlink w:anchor="_Toc218556262" w:history="1">
            <w:r w:rsidRPr="00CB47A7">
              <w:rPr>
                <w:rStyle w:val="Hyperlink"/>
                <w:noProof/>
              </w:rPr>
              <w:t>Reference List Task 1</w:t>
            </w:r>
            <w:r>
              <w:rPr>
                <w:noProof/>
                <w:webHidden/>
              </w:rPr>
              <w:tab/>
            </w:r>
            <w:r>
              <w:rPr>
                <w:noProof/>
                <w:webHidden/>
              </w:rPr>
              <w:fldChar w:fldCharType="begin"/>
            </w:r>
            <w:r>
              <w:rPr>
                <w:noProof/>
                <w:webHidden/>
              </w:rPr>
              <w:instrText xml:space="preserve"> PAGEREF _Toc218556262 \h </w:instrText>
            </w:r>
            <w:r>
              <w:rPr>
                <w:noProof/>
                <w:webHidden/>
              </w:rPr>
            </w:r>
            <w:r>
              <w:rPr>
                <w:noProof/>
                <w:webHidden/>
              </w:rPr>
              <w:fldChar w:fldCharType="separate"/>
            </w:r>
            <w:r>
              <w:rPr>
                <w:noProof/>
                <w:webHidden/>
              </w:rPr>
              <w:t>10</w:t>
            </w:r>
            <w:r>
              <w:rPr>
                <w:noProof/>
                <w:webHidden/>
              </w:rPr>
              <w:fldChar w:fldCharType="end"/>
            </w:r>
          </w:hyperlink>
        </w:p>
        <w:p w14:paraId="26FA1413" w14:textId="3148CB4D" w:rsidR="00D22C11" w:rsidRDefault="00D22C11">
          <w:pPr>
            <w:pStyle w:val="TOC1"/>
            <w:tabs>
              <w:tab w:val="right" w:leader="dot" w:pos="9016"/>
            </w:tabs>
            <w:rPr>
              <w:noProof/>
            </w:rPr>
          </w:pPr>
          <w:hyperlink w:anchor="_Toc218556263" w:history="1">
            <w:r w:rsidRPr="00CB47A7">
              <w:rPr>
                <w:rStyle w:val="Hyperlink"/>
                <w:noProof/>
              </w:rPr>
              <w:t>Task 2 – Case Scenario</w:t>
            </w:r>
            <w:r>
              <w:rPr>
                <w:noProof/>
                <w:webHidden/>
              </w:rPr>
              <w:tab/>
            </w:r>
            <w:r>
              <w:rPr>
                <w:noProof/>
                <w:webHidden/>
              </w:rPr>
              <w:fldChar w:fldCharType="begin"/>
            </w:r>
            <w:r>
              <w:rPr>
                <w:noProof/>
                <w:webHidden/>
              </w:rPr>
              <w:instrText xml:space="preserve"> PAGEREF _Toc218556263 \h </w:instrText>
            </w:r>
            <w:r>
              <w:rPr>
                <w:noProof/>
                <w:webHidden/>
              </w:rPr>
            </w:r>
            <w:r>
              <w:rPr>
                <w:noProof/>
                <w:webHidden/>
              </w:rPr>
              <w:fldChar w:fldCharType="separate"/>
            </w:r>
            <w:r>
              <w:rPr>
                <w:noProof/>
                <w:webHidden/>
              </w:rPr>
              <w:t>11</w:t>
            </w:r>
            <w:r>
              <w:rPr>
                <w:noProof/>
                <w:webHidden/>
              </w:rPr>
              <w:fldChar w:fldCharType="end"/>
            </w:r>
          </w:hyperlink>
        </w:p>
        <w:p w14:paraId="62E0E428" w14:textId="77CE8B13" w:rsidR="00D22C11" w:rsidRDefault="00D22C11">
          <w:pPr>
            <w:pStyle w:val="TOC2"/>
            <w:tabs>
              <w:tab w:val="right" w:leader="dot" w:pos="9016"/>
            </w:tabs>
            <w:rPr>
              <w:noProof/>
            </w:rPr>
          </w:pPr>
          <w:hyperlink w:anchor="_Toc218556264" w:history="1">
            <w:r w:rsidRPr="00CB47A7">
              <w:rPr>
                <w:rStyle w:val="Hyperlink"/>
                <w:noProof/>
              </w:rPr>
              <w:t>Introduction</w:t>
            </w:r>
            <w:r>
              <w:rPr>
                <w:noProof/>
                <w:webHidden/>
              </w:rPr>
              <w:tab/>
            </w:r>
            <w:r>
              <w:rPr>
                <w:noProof/>
                <w:webHidden/>
              </w:rPr>
              <w:fldChar w:fldCharType="begin"/>
            </w:r>
            <w:r>
              <w:rPr>
                <w:noProof/>
                <w:webHidden/>
              </w:rPr>
              <w:instrText xml:space="preserve"> PAGEREF _Toc218556264 \h </w:instrText>
            </w:r>
            <w:r>
              <w:rPr>
                <w:noProof/>
                <w:webHidden/>
              </w:rPr>
            </w:r>
            <w:r>
              <w:rPr>
                <w:noProof/>
                <w:webHidden/>
              </w:rPr>
              <w:fldChar w:fldCharType="separate"/>
            </w:r>
            <w:r>
              <w:rPr>
                <w:noProof/>
                <w:webHidden/>
              </w:rPr>
              <w:t>11</w:t>
            </w:r>
            <w:r>
              <w:rPr>
                <w:noProof/>
                <w:webHidden/>
              </w:rPr>
              <w:fldChar w:fldCharType="end"/>
            </w:r>
          </w:hyperlink>
        </w:p>
        <w:p w14:paraId="689DC8C4" w14:textId="0C31DCCD" w:rsidR="00D22C11" w:rsidRDefault="00D22C11">
          <w:pPr>
            <w:pStyle w:val="TOC2"/>
            <w:tabs>
              <w:tab w:val="right" w:leader="dot" w:pos="9016"/>
            </w:tabs>
            <w:rPr>
              <w:noProof/>
            </w:rPr>
          </w:pPr>
          <w:hyperlink w:anchor="_Toc218556265" w:history="1">
            <w:r w:rsidRPr="00CB47A7">
              <w:rPr>
                <w:rStyle w:val="Hyperlink"/>
                <w:noProof/>
              </w:rPr>
              <w:t>Zero Trust-Aligned Security Programme Overview</w:t>
            </w:r>
            <w:r>
              <w:rPr>
                <w:noProof/>
                <w:webHidden/>
              </w:rPr>
              <w:tab/>
            </w:r>
            <w:r>
              <w:rPr>
                <w:noProof/>
                <w:webHidden/>
              </w:rPr>
              <w:fldChar w:fldCharType="begin"/>
            </w:r>
            <w:r>
              <w:rPr>
                <w:noProof/>
                <w:webHidden/>
              </w:rPr>
              <w:instrText xml:space="preserve"> PAGEREF _Toc218556265 \h </w:instrText>
            </w:r>
            <w:r>
              <w:rPr>
                <w:noProof/>
                <w:webHidden/>
              </w:rPr>
            </w:r>
            <w:r>
              <w:rPr>
                <w:noProof/>
                <w:webHidden/>
              </w:rPr>
              <w:fldChar w:fldCharType="separate"/>
            </w:r>
            <w:r>
              <w:rPr>
                <w:noProof/>
                <w:webHidden/>
              </w:rPr>
              <w:t>12</w:t>
            </w:r>
            <w:r>
              <w:rPr>
                <w:noProof/>
                <w:webHidden/>
              </w:rPr>
              <w:fldChar w:fldCharType="end"/>
            </w:r>
          </w:hyperlink>
        </w:p>
        <w:p w14:paraId="082BF92C" w14:textId="737BEAA9" w:rsidR="00D22C11" w:rsidRDefault="00D22C11">
          <w:pPr>
            <w:pStyle w:val="TOC2"/>
            <w:tabs>
              <w:tab w:val="right" w:leader="dot" w:pos="9016"/>
            </w:tabs>
            <w:rPr>
              <w:noProof/>
            </w:rPr>
          </w:pPr>
          <w:hyperlink w:anchor="_Toc218556266" w:history="1">
            <w:r w:rsidRPr="00CB47A7">
              <w:rPr>
                <w:rStyle w:val="Hyperlink"/>
                <w:noProof/>
              </w:rPr>
              <w:t>Organisation Structure and Security Roles</w:t>
            </w:r>
            <w:r>
              <w:rPr>
                <w:noProof/>
                <w:webHidden/>
              </w:rPr>
              <w:tab/>
            </w:r>
            <w:r>
              <w:rPr>
                <w:noProof/>
                <w:webHidden/>
              </w:rPr>
              <w:fldChar w:fldCharType="begin"/>
            </w:r>
            <w:r>
              <w:rPr>
                <w:noProof/>
                <w:webHidden/>
              </w:rPr>
              <w:instrText xml:space="preserve"> PAGEREF _Toc218556266 \h </w:instrText>
            </w:r>
            <w:r>
              <w:rPr>
                <w:noProof/>
                <w:webHidden/>
              </w:rPr>
            </w:r>
            <w:r>
              <w:rPr>
                <w:noProof/>
                <w:webHidden/>
              </w:rPr>
              <w:fldChar w:fldCharType="separate"/>
            </w:r>
            <w:r>
              <w:rPr>
                <w:noProof/>
                <w:webHidden/>
              </w:rPr>
              <w:t>13</w:t>
            </w:r>
            <w:r>
              <w:rPr>
                <w:noProof/>
                <w:webHidden/>
              </w:rPr>
              <w:fldChar w:fldCharType="end"/>
            </w:r>
          </w:hyperlink>
        </w:p>
        <w:p w14:paraId="1A02CB07" w14:textId="65326E8D" w:rsidR="00D22C11" w:rsidRDefault="00D22C11">
          <w:pPr>
            <w:pStyle w:val="TOC2"/>
            <w:tabs>
              <w:tab w:val="right" w:leader="dot" w:pos="9016"/>
            </w:tabs>
            <w:rPr>
              <w:noProof/>
            </w:rPr>
          </w:pPr>
          <w:hyperlink w:anchor="_Toc218556267" w:history="1">
            <w:r w:rsidRPr="00CB47A7">
              <w:rPr>
                <w:rStyle w:val="Hyperlink"/>
                <w:noProof/>
              </w:rPr>
              <w:t>Policy and Procedures for a Zero Trust-Aligned Hybrid Environment</w:t>
            </w:r>
            <w:r>
              <w:rPr>
                <w:noProof/>
                <w:webHidden/>
              </w:rPr>
              <w:tab/>
            </w:r>
            <w:r>
              <w:rPr>
                <w:noProof/>
                <w:webHidden/>
              </w:rPr>
              <w:fldChar w:fldCharType="begin"/>
            </w:r>
            <w:r>
              <w:rPr>
                <w:noProof/>
                <w:webHidden/>
              </w:rPr>
              <w:instrText xml:space="preserve"> PAGEREF _Toc218556267 \h </w:instrText>
            </w:r>
            <w:r>
              <w:rPr>
                <w:noProof/>
                <w:webHidden/>
              </w:rPr>
            </w:r>
            <w:r>
              <w:rPr>
                <w:noProof/>
                <w:webHidden/>
              </w:rPr>
              <w:fldChar w:fldCharType="separate"/>
            </w:r>
            <w:r>
              <w:rPr>
                <w:noProof/>
                <w:webHidden/>
              </w:rPr>
              <w:t>14</w:t>
            </w:r>
            <w:r>
              <w:rPr>
                <w:noProof/>
                <w:webHidden/>
              </w:rPr>
              <w:fldChar w:fldCharType="end"/>
            </w:r>
          </w:hyperlink>
        </w:p>
        <w:p w14:paraId="78338E4D" w14:textId="4926430C" w:rsidR="00D22C11" w:rsidRDefault="00D22C11">
          <w:pPr>
            <w:pStyle w:val="TOC3"/>
            <w:tabs>
              <w:tab w:val="right" w:leader="dot" w:pos="9016"/>
            </w:tabs>
            <w:rPr>
              <w:noProof/>
            </w:rPr>
          </w:pPr>
          <w:hyperlink w:anchor="_Toc218556268" w:history="1">
            <w:r w:rsidRPr="00CB47A7">
              <w:rPr>
                <w:rStyle w:val="Hyperlink"/>
                <w:noProof/>
              </w:rPr>
              <w:t>AI Usage Policy</w:t>
            </w:r>
            <w:r>
              <w:rPr>
                <w:noProof/>
                <w:webHidden/>
              </w:rPr>
              <w:tab/>
            </w:r>
            <w:r>
              <w:rPr>
                <w:noProof/>
                <w:webHidden/>
              </w:rPr>
              <w:fldChar w:fldCharType="begin"/>
            </w:r>
            <w:r>
              <w:rPr>
                <w:noProof/>
                <w:webHidden/>
              </w:rPr>
              <w:instrText xml:space="preserve"> PAGEREF _Toc218556268 \h </w:instrText>
            </w:r>
            <w:r>
              <w:rPr>
                <w:noProof/>
                <w:webHidden/>
              </w:rPr>
            </w:r>
            <w:r>
              <w:rPr>
                <w:noProof/>
                <w:webHidden/>
              </w:rPr>
              <w:fldChar w:fldCharType="separate"/>
            </w:r>
            <w:r>
              <w:rPr>
                <w:noProof/>
                <w:webHidden/>
              </w:rPr>
              <w:t>14</w:t>
            </w:r>
            <w:r>
              <w:rPr>
                <w:noProof/>
                <w:webHidden/>
              </w:rPr>
              <w:fldChar w:fldCharType="end"/>
            </w:r>
          </w:hyperlink>
        </w:p>
        <w:p w14:paraId="6CE71A1A" w14:textId="456FF783" w:rsidR="00D22C11" w:rsidRDefault="00D22C11">
          <w:pPr>
            <w:pStyle w:val="TOC3"/>
            <w:tabs>
              <w:tab w:val="right" w:leader="dot" w:pos="9016"/>
            </w:tabs>
            <w:rPr>
              <w:noProof/>
            </w:rPr>
          </w:pPr>
          <w:hyperlink w:anchor="_Toc218556269" w:history="1">
            <w:r w:rsidRPr="00CB47A7">
              <w:rPr>
                <w:rStyle w:val="Hyperlink"/>
                <w:noProof/>
              </w:rPr>
              <w:t>Secure SaaS Configuration Policy</w:t>
            </w:r>
            <w:r>
              <w:rPr>
                <w:noProof/>
                <w:webHidden/>
              </w:rPr>
              <w:tab/>
            </w:r>
            <w:r>
              <w:rPr>
                <w:noProof/>
                <w:webHidden/>
              </w:rPr>
              <w:fldChar w:fldCharType="begin"/>
            </w:r>
            <w:r>
              <w:rPr>
                <w:noProof/>
                <w:webHidden/>
              </w:rPr>
              <w:instrText xml:space="preserve"> PAGEREF _Toc218556269 \h </w:instrText>
            </w:r>
            <w:r>
              <w:rPr>
                <w:noProof/>
                <w:webHidden/>
              </w:rPr>
            </w:r>
            <w:r>
              <w:rPr>
                <w:noProof/>
                <w:webHidden/>
              </w:rPr>
              <w:fldChar w:fldCharType="separate"/>
            </w:r>
            <w:r>
              <w:rPr>
                <w:noProof/>
                <w:webHidden/>
              </w:rPr>
              <w:t>14</w:t>
            </w:r>
            <w:r>
              <w:rPr>
                <w:noProof/>
                <w:webHidden/>
              </w:rPr>
              <w:fldChar w:fldCharType="end"/>
            </w:r>
          </w:hyperlink>
        </w:p>
        <w:p w14:paraId="78E15AA4" w14:textId="407E1F7A" w:rsidR="00D22C11" w:rsidRDefault="00D22C11">
          <w:pPr>
            <w:pStyle w:val="TOC3"/>
            <w:tabs>
              <w:tab w:val="right" w:leader="dot" w:pos="9016"/>
            </w:tabs>
            <w:rPr>
              <w:noProof/>
            </w:rPr>
          </w:pPr>
          <w:hyperlink w:anchor="_Toc218556270" w:history="1">
            <w:r w:rsidRPr="00CB47A7">
              <w:rPr>
                <w:rStyle w:val="Hyperlink"/>
                <w:noProof/>
              </w:rPr>
              <w:t>BYOD Policy</w:t>
            </w:r>
            <w:r>
              <w:rPr>
                <w:noProof/>
                <w:webHidden/>
              </w:rPr>
              <w:tab/>
            </w:r>
            <w:r>
              <w:rPr>
                <w:noProof/>
                <w:webHidden/>
              </w:rPr>
              <w:fldChar w:fldCharType="begin"/>
            </w:r>
            <w:r>
              <w:rPr>
                <w:noProof/>
                <w:webHidden/>
              </w:rPr>
              <w:instrText xml:space="preserve"> PAGEREF _Toc218556270 \h </w:instrText>
            </w:r>
            <w:r>
              <w:rPr>
                <w:noProof/>
                <w:webHidden/>
              </w:rPr>
            </w:r>
            <w:r>
              <w:rPr>
                <w:noProof/>
                <w:webHidden/>
              </w:rPr>
              <w:fldChar w:fldCharType="separate"/>
            </w:r>
            <w:r>
              <w:rPr>
                <w:noProof/>
                <w:webHidden/>
              </w:rPr>
              <w:t>15</w:t>
            </w:r>
            <w:r>
              <w:rPr>
                <w:noProof/>
                <w:webHidden/>
              </w:rPr>
              <w:fldChar w:fldCharType="end"/>
            </w:r>
          </w:hyperlink>
        </w:p>
        <w:p w14:paraId="785F47E0" w14:textId="74B6AECE" w:rsidR="00D22C11" w:rsidRDefault="00D22C11">
          <w:pPr>
            <w:pStyle w:val="TOC2"/>
            <w:tabs>
              <w:tab w:val="right" w:leader="dot" w:pos="9016"/>
            </w:tabs>
            <w:rPr>
              <w:noProof/>
            </w:rPr>
          </w:pPr>
          <w:hyperlink w:anchor="_Toc218556271" w:history="1">
            <w:r w:rsidRPr="00CB47A7">
              <w:rPr>
                <w:rStyle w:val="Hyperlink"/>
                <w:noProof/>
              </w:rPr>
              <w:t>Governance and Strategy – NIST CSF 2.0 and EU Regulatory Compliance</w:t>
            </w:r>
            <w:r>
              <w:rPr>
                <w:noProof/>
                <w:webHidden/>
              </w:rPr>
              <w:tab/>
            </w:r>
            <w:r>
              <w:rPr>
                <w:noProof/>
                <w:webHidden/>
              </w:rPr>
              <w:fldChar w:fldCharType="begin"/>
            </w:r>
            <w:r>
              <w:rPr>
                <w:noProof/>
                <w:webHidden/>
              </w:rPr>
              <w:instrText xml:space="preserve"> PAGEREF _Toc218556271 \h </w:instrText>
            </w:r>
            <w:r>
              <w:rPr>
                <w:noProof/>
                <w:webHidden/>
              </w:rPr>
            </w:r>
            <w:r>
              <w:rPr>
                <w:noProof/>
                <w:webHidden/>
              </w:rPr>
              <w:fldChar w:fldCharType="separate"/>
            </w:r>
            <w:r>
              <w:rPr>
                <w:noProof/>
                <w:webHidden/>
              </w:rPr>
              <w:t>15</w:t>
            </w:r>
            <w:r>
              <w:rPr>
                <w:noProof/>
                <w:webHidden/>
              </w:rPr>
              <w:fldChar w:fldCharType="end"/>
            </w:r>
          </w:hyperlink>
        </w:p>
        <w:p w14:paraId="7A5557C7" w14:textId="5102B21F" w:rsidR="00D22C11" w:rsidRDefault="00D22C11">
          <w:pPr>
            <w:pStyle w:val="TOC2"/>
            <w:tabs>
              <w:tab w:val="right" w:leader="dot" w:pos="9016"/>
            </w:tabs>
            <w:rPr>
              <w:noProof/>
            </w:rPr>
          </w:pPr>
          <w:hyperlink w:anchor="_Toc218556272" w:history="1">
            <w:r w:rsidRPr="00CB47A7">
              <w:rPr>
                <w:rStyle w:val="Hyperlink"/>
                <w:noProof/>
              </w:rPr>
              <w:t>Contingency Planning</w:t>
            </w:r>
            <w:r>
              <w:rPr>
                <w:noProof/>
                <w:webHidden/>
              </w:rPr>
              <w:tab/>
            </w:r>
            <w:r>
              <w:rPr>
                <w:noProof/>
                <w:webHidden/>
              </w:rPr>
              <w:fldChar w:fldCharType="begin"/>
            </w:r>
            <w:r>
              <w:rPr>
                <w:noProof/>
                <w:webHidden/>
              </w:rPr>
              <w:instrText xml:space="preserve"> PAGEREF _Toc218556272 \h </w:instrText>
            </w:r>
            <w:r>
              <w:rPr>
                <w:noProof/>
                <w:webHidden/>
              </w:rPr>
            </w:r>
            <w:r>
              <w:rPr>
                <w:noProof/>
                <w:webHidden/>
              </w:rPr>
              <w:fldChar w:fldCharType="separate"/>
            </w:r>
            <w:r>
              <w:rPr>
                <w:noProof/>
                <w:webHidden/>
              </w:rPr>
              <w:t>18</w:t>
            </w:r>
            <w:r>
              <w:rPr>
                <w:noProof/>
                <w:webHidden/>
              </w:rPr>
              <w:fldChar w:fldCharType="end"/>
            </w:r>
          </w:hyperlink>
        </w:p>
        <w:p w14:paraId="371573CA" w14:textId="6F8B7F17" w:rsidR="00D22C11" w:rsidRDefault="00D22C11">
          <w:pPr>
            <w:pStyle w:val="TOC2"/>
            <w:tabs>
              <w:tab w:val="right" w:leader="dot" w:pos="9016"/>
            </w:tabs>
            <w:rPr>
              <w:noProof/>
            </w:rPr>
          </w:pPr>
          <w:hyperlink w:anchor="_Toc218556273" w:history="1">
            <w:r w:rsidRPr="00CB47A7">
              <w:rPr>
                <w:rStyle w:val="Hyperlink"/>
                <w:noProof/>
              </w:rPr>
              <w:t>Protection Mechanisms – Zero Trust Control Implementation</w:t>
            </w:r>
            <w:r>
              <w:rPr>
                <w:noProof/>
                <w:webHidden/>
              </w:rPr>
              <w:tab/>
            </w:r>
            <w:r>
              <w:rPr>
                <w:noProof/>
                <w:webHidden/>
              </w:rPr>
              <w:fldChar w:fldCharType="begin"/>
            </w:r>
            <w:r>
              <w:rPr>
                <w:noProof/>
                <w:webHidden/>
              </w:rPr>
              <w:instrText xml:space="preserve"> PAGEREF _Toc218556273 \h </w:instrText>
            </w:r>
            <w:r>
              <w:rPr>
                <w:noProof/>
                <w:webHidden/>
              </w:rPr>
            </w:r>
            <w:r>
              <w:rPr>
                <w:noProof/>
                <w:webHidden/>
              </w:rPr>
              <w:fldChar w:fldCharType="separate"/>
            </w:r>
            <w:r>
              <w:rPr>
                <w:noProof/>
                <w:webHidden/>
              </w:rPr>
              <w:t>19</w:t>
            </w:r>
            <w:r>
              <w:rPr>
                <w:noProof/>
                <w:webHidden/>
              </w:rPr>
              <w:fldChar w:fldCharType="end"/>
            </w:r>
          </w:hyperlink>
        </w:p>
        <w:p w14:paraId="4D07E805" w14:textId="30380464" w:rsidR="00D22C11" w:rsidRDefault="00D22C11">
          <w:pPr>
            <w:pStyle w:val="TOC2"/>
            <w:tabs>
              <w:tab w:val="right" w:leader="dot" w:pos="9016"/>
            </w:tabs>
            <w:rPr>
              <w:noProof/>
            </w:rPr>
          </w:pPr>
          <w:hyperlink w:anchor="_Toc218556274" w:history="1">
            <w:r w:rsidRPr="00CB47A7">
              <w:rPr>
                <w:rStyle w:val="Hyperlink"/>
                <w:noProof/>
              </w:rPr>
              <w:t>Conclusion</w:t>
            </w:r>
            <w:r>
              <w:rPr>
                <w:noProof/>
                <w:webHidden/>
              </w:rPr>
              <w:tab/>
            </w:r>
            <w:r>
              <w:rPr>
                <w:noProof/>
                <w:webHidden/>
              </w:rPr>
              <w:fldChar w:fldCharType="begin"/>
            </w:r>
            <w:r>
              <w:rPr>
                <w:noProof/>
                <w:webHidden/>
              </w:rPr>
              <w:instrText xml:space="preserve"> PAGEREF _Toc218556274 \h </w:instrText>
            </w:r>
            <w:r>
              <w:rPr>
                <w:noProof/>
                <w:webHidden/>
              </w:rPr>
            </w:r>
            <w:r>
              <w:rPr>
                <w:noProof/>
                <w:webHidden/>
              </w:rPr>
              <w:fldChar w:fldCharType="separate"/>
            </w:r>
            <w:r>
              <w:rPr>
                <w:noProof/>
                <w:webHidden/>
              </w:rPr>
              <w:t>20</w:t>
            </w:r>
            <w:r>
              <w:rPr>
                <w:noProof/>
                <w:webHidden/>
              </w:rPr>
              <w:fldChar w:fldCharType="end"/>
            </w:r>
          </w:hyperlink>
        </w:p>
        <w:p w14:paraId="435CE746" w14:textId="47D7D152" w:rsidR="00D22C11" w:rsidRDefault="00D22C11">
          <w:pPr>
            <w:pStyle w:val="TOC2"/>
            <w:tabs>
              <w:tab w:val="right" w:leader="dot" w:pos="9016"/>
            </w:tabs>
            <w:rPr>
              <w:noProof/>
            </w:rPr>
          </w:pPr>
          <w:hyperlink w:anchor="_Toc218556275" w:history="1">
            <w:r w:rsidRPr="00CB47A7">
              <w:rPr>
                <w:rStyle w:val="Hyperlink"/>
                <w:noProof/>
              </w:rPr>
              <w:t>Reference List Task 2</w:t>
            </w:r>
            <w:r>
              <w:rPr>
                <w:noProof/>
                <w:webHidden/>
              </w:rPr>
              <w:tab/>
            </w:r>
            <w:r>
              <w:rPr>
                <w:noProof/>
                <w:webHidden/>
              </w:rPr>
              <w:fldChar w:fldCharType="begin"/>
            </w:r>
            <w:r>
              <w:rPr>
                <w:noProof/>
                <w:webHidden/>
              </w:rPr>
              <w:instrText xml:space="preserve"> PAGEREF _Toc218556275 \h </w:instrText>
            </w:r>
            <w:r>
              <w:rPr>
                <w:noProof/>
                <w:webHidden/>
              </w:rPr>
            </w:r>
            <w:r>
              <w:rPr>
                <w:noProof/>
                <w:webHidden/>
              </w:rPr>
              <w:fldChar w:fldCharType="separate"/>
            </w:r>
            <w:r>
              <w:rPr>
                <w:noProof/>
                <w:webHidden/>
              </w:rPr>
              <w:t>21</w:t>
            </w:r>
            <w:r>
              <w:rPr>
                <w:noProof/>
                <w:webHidden/>
              </w:rPr>
              <w:fldChar w:fldCharType="end"/>
            </w:r>
          </w:hyperlink>
        </w:p>
        <w:p w14:paraId="2E760E85" w14:textId="5E215201" w:rsidR="00D22C11" w:rsidRDefault="00D22C11">
          <w:r>
            <w:rPr>
              <w:b/>
              <w:bCs/>
            </w:rPr>
            <w:fldChar w:fldCharType="end"/>
          </w:r>
        </w:p>
      </w:sdtContent>
    </w:sdt>
    <w:p w14:paraId="0FFF65AC" w14:textId="77777777" w:rsidR="00D22C11" w:rsidRDefault="00D22C11" w:rsidP="00CA029D">
      <w:pPr>
        <w:jc w:val="both"/>
      </w:pPr>
    </w:p>
    <w:p w14:paraId="2B952F7D" w14:textId="4F872E13" w:rsidR="005A096B" w:rsidRPr="00CA029D" w:rsidRDefault="005A096B" w:rsidP="00D22C11">
      <w:pPr>
        <w:pStyle w:val="Heading1"/>
        <w:rPr>
          <w:rFonts w:asciiTheme="minorHAnsi" w:hAnsiTheme="minorHAnsi"/>
        </w:rPr>
      </w:pPr>
      <w:bookmarkStart w:id="0" w:name="_Toc218556254"/>
      <w:r w:rsidRPr="00CA029D">
        <w:rPr>
          <w:rFonts w:asciiTheme="minorHAnsi" w:hAnsiTheme="minorHAnsi"/>
        </w:rPr>
        <w:lastRenderedPageBreak/>
        <w:t>Task 1</w:t>
      </w:r>
      <w:r w:rsidR="00287F75">
        <w:t xml:space="preserve"> – Research in Data Security Compliance</w:t>
      </w:r>
      <w:bookmarkEnd w:id="0"/>
    </w:p>
    <w:p w14:paraId="164953C8" w14:textId="0B2528A6" w:rsidR="005A096B" w:rsidRPr="005A096B" w:rsidRDefault="005A096B" w:rsidP="00D22C11">
      <w:pPr>
        <w:pStyle w:val="Heading2"/>
      </w:pPr>
      <w:bookmarkStart w:id="1" w:name="_Toc218556255"/>
      <w:r w:rsidRPr="005A096B">
        <w:t>Introduction</w:t>
      </w:r>
      <w:bookmarkEnd w:id="1"/>
    </w:p>
    <w:p w14:paraId="161FDBAD" w14:textId="77777777" w:rsidR="005A096B" w:rsidRPr="005A096B" w:rsidRDefault="005A096B" w:rsidP="00CA029D">
      <w:pPr>
        <w:jc w:val="both"/>
      </w:pPr>
      <w:r w:rsidRPr="005A096B">
        <w:t>The rapid expansion of cloud computing, remote working, and software-as-a-service (SaaS) has fundamentally transformed how organisations manage information security. Traditional enterprise environments were designed around centralised, on-premises networks, where perimeter controls such as firewalls and virtual private networks (VPNs) assumed that users and devices operating inside the network could be trusted by default. While effective in closed office-based environments, this model is increasingly ineffective in modern distributed architectures [1].</w:t>
      </w:r>
    </w:p>
    <w:p w14:paraId="5F3B4247" w14:textId="77777777" w:rsidR="005A096B" w:rsidRPr="005A096B" w:rsidRDefault="005A096B" w:rsidP="00CA029D">
      <w:pPr>
        <w:jc w:val="both"/>
      </w:pPr>
      <w:r w:rsidRPr="005A096B">
        <w:t>Today, organisations operate with hybrid workforces, cloud-hosted data, and internet-facing applications, significantly increasing the attack surface. Credential theft, phishing, and supply chain compromises allow attackers to bypass network perimeters and operate undetected once access is obtained [2]. As a result, the assumption that “inside equals trusted” no longer holds.</w:t>
      </w:r>
    </w:p>
    <w:p w14:paraId="7F6A941A" w14:textId="77777777" w:rsidR="005A096B" w:rsidRPr="005A096B" w:rsidRDefault="005A096B" w:rsidP="00CA029D">
      <w:pPr>
        <w:jc w:val="both"/>
      </w:pPr>
      <w:r w:rsidRPr="005A096B">
        <w:t>Zero Trust Architecture has emerged as a response to these challenges. Rather than relying on network location, Zero Trust enforces identity-centric access, least privilege, and continuous verification for every access request [3]. This paper critically evaluates Zero Trust as a security model, analysing its core principles, implementation challenges, and effectiveness when compared to traditional perimeter-based security approaches.</w:t>
      </w:r>
    </w:p>
    <w:p w14:paraId="69CDDB21" w14:textId="77777777" w:rsidR="005A096B" w:rsidRPr="00CA029D" w:rsidRDefault="005A096B" w:rsidP="00CA029D">
      <w:pPr>
        <w:jc w:val="both"/>
      </w:pPr>
    </w:p>
    <w:p w14:paraId="78A7CB9A" w14:textId="77777777" w:rsidR="005A096B" w:rsidRPr="005A096B" w:rsidRDefault="005A096B" w:rsidP="00D22C11">
      <w:pPr>
        <w:pStyle w:val="Heading2"/>
      </w:pPr>
      <w:bookmarkStart w:id="2" w:name="_Toc218556256"/>
      <w:r w:rsidRPr="005A096B">
        <w:t>Traditional Perimeter-Based Security Models</w:t>
      </w:r>
      <w:bookmarkEnd w:id="2"/>
    </w:p>
    <w:p w14:paraId="583AD58B" w14:textId="77777777" w:rsidR="005A096B" w:rsidRPr="005A096B" w:rsidRDefault="005A096B" w:rsidP="00CA029D">
      <w:pPr>
        <w:jc w:val="both"/>
      </w:pPr>
      <w:r w:rsidRPr="005A096B">
        <w:t>Traditional perimeter-based security models were designed for centralised, on-premises enterprise environments. These models assume that internal networks are inherently trusted, while external networks represent the primary threat. As a result, security controls are concentrated at the network boundary, where access decisions are enforced by firewalls and virtual private networks (VPNs) rather than within internal systems [1]. Trust is therefore allocated based on network location, creating a binary distinction between “inside” and “outside” the perimeter.</w:t>
      </w:r>
    </w:p>
    <w:p w14:paraId="641F2669" w14:textId="77777777" w:rsidR="005A096B" w:rsidRPr="005A096B" w:rsidRDefault="005A096B" w:rsidP="00CA029D">
      <w:pPr>
        <w:jc w:val="both"/>
      </w:pPr>
      <w:r w:rsidRPr="005A096B">
        <w:lastRenderedPageBreak/>
        <w:t>Firewalls form the core defensive mechanism in this model by restricting unauthorised inbound and outbound traffic. In closed office environments, this approach provided effective protection against external attacks and allowed for centralised policy enforcement and simplified network management [2]. However, this architecture creates a single point of failure and relies heavily on the assumption that internal users and devices are trustworthy. Once perimeter defences are bypassed, attackers can move freely within the network, increasing the impact of breaches and enabling insider threats or misuse of compromised credentials [3].</w:t>
      </w:r>
    </w:p>
    <w:p w14:paraId="1A118016" w14:textId="142127DC" w:rsidR="005A096B" w:rsidRPr="005A096B" w:rsidRDefault="005A096B" w:rsidP="00CA029D">
      <w:pPr>
        <w:jc w:val="both"/>
      </w:pPr>
      <w:r w:rsidRPr="005A096B">
        <w:t xml:space="preserve">VPNs extend the perimeter by allowing remote users to connect securely to internal networks. While VPNs encrypt data in transit and enable flexible remote working, they treat authenticated users as fully trusted internal entities [4]. This creates </w:t>
      </w:r>
      <w:r w:rsidR="001824BC">
        <w:t xml:space="preserve">a significant risk when credentials are stolen, as attackers gain broad network access that is indistinguishable from that of </w:t>
      </w:r>
      <w:r w:rsidRPr="005A096B">
        <w:t>legitimate users. Encryption alone does not provide access control, protect data at rest, or prevent unauthorised activity once connectivity is established. Furthermore, encrypted VPN traffic can obscure malicious behaviour from traditional network monitoring tools, reducing detection capability [5].</w:t>
      </w:r>
    </w:p>
    <w:p w14:paraId="2C6B7BB9" w14:textId="77777777" w:rsidR="005A096B" w:rsidRPr="005A096B" w:rsidRDefault="005A096B" w:rsidP="00CA029D">
      <w:pPr>
        <w:jc w:val="both"/>
      </w:pPr>
      <w:r w:rsidRPr="005A096B">
        <w:t>Perimeter-based security also struggles to support modern computing environments. Cloud services, SaaS platforms, and hybrid work models frequently bypass traditional network boundaries, rendering perimeter controls less effective or irrelevant [6]. Policy enforcement remains largely static and boundary-focused, with limited visibility or control over internal east-west traffic. This lack of fine-grained access control increases the blast radius of breaches and limits an organisation’s ability to contain incidents.</w:t>
      </w:r>
    </w:p>
    <w:p w14:paraId="327636BC" w14:textId="77777777" w:rsidR="005A096B" w:rsidRPr="005A096B" w:rsidRDefault="005A096B" w:rsidP="00CA029D">
      <w:pPr>
        <w:jc w:val="both"/>
      </w:pPr>
      <w:r w:rsidRPr="005A096B">
        <w:t>Although perimeter security offers simplicity, lower initial deployment costs, and ease of management, these benefits come at the expense of long-term security resilience. Rapid VPN deployment often prioritises speed over robust access design, leading to over-privileged access and higher downstream remediation costs following security incidents [7]. As a result, while traditional perimeter-based models were effective in legacy environments, they are poorly suited to modern, distributed architectures and fail to address contemporary threat vectors effectively.</w:t>
      </w:r>
    </w:p>
    <w:p w14:paraId="5D9A808F" w14:textId="77777777" w:rsidR="005A096B" w:rsidRPr="00CA029D" w:rsidRDefault="005A096B" w:rsidP="00CA029D">
      <w:pPr>
        <w:jc w:val="both"/>
      </w:pPr>
    </w:p>
    <w:p w14:paraId="592110FA" w14:textId="6473F8E8" w:rsidR="00E546E6" w:rsidRPr="00E546E6" w:rsidRDefault="00E546E6" w:rsidP="00D22C11">
      <w:pPr>
        <w:pStyle w:val="Heading2"/>
      </w:pPr>
      <w:bookmarkStart w:id="3" w:name="_Toc218556257"/>
      <w:r w:rsidRPr="00E546E6">
        <w:lastRenderedPageBreak/>
        <w:t>Zero Trust Principles</w:t>
      </w:r>
      <w:bookmarkEnd w:id="3"/>
      <w:r w:rsidRPr="00E546E6">
        <w:t xml:space="preserve"> </w:t>
      </w:r>
    </w:p>
    <w:p w14:paraId="64951FAF" w14:textId="77777777" w:rsidR="00E546E6" w:rsidRPr="00E546E6" w:rsidRDefault="00E546E6" w:rsidP="00CA029D">
      <w:pPr>
        <w:jc w:val="both"/>
      </w:pPr>
      <w:r w:rsidRPr="00E546E6">
        <w:t>Zero Trust is a modern security model founded on the principle of least privilege and the assumption that no user, device, or system should be trusted by default. Unlike traditional security models that grant implicit trust based on network location, Zero Trust operates under the principle of “never trust, always verify,” assuming that a breach may already exist within the environment [1]. As a result, trust is not assigned based on internal access, IP address, or physical network presence, but must be continuously established through verification mechanisms.</w:t>
      </w:r>
    </w:p>
    <w:p w14:paraId="47ED66BF" w14:textId="77777777" w:rsidR="00E546E6" w:rsidRPr="00E546E6" w:rsidRDefault="00E546E6" w:rsidP="00CA029D">
      <w:pPr>
        <w:jc w:val="both"/>
      </w:pPr>
      <w:r w:rsidRPr="00E546E6">
        <w:t>The trust model within Zero Trust is explicit, conditional, and continuously evaluated. Access decisions are made per request rather than per session, meaning that authentication alone does not guarantee ongoing access. Identity-centric security is a core component, where identity becomes the primary control point for accessing systems and data. Strong Identity and Access Management (IAM) systems, combined with Multi-Factor Authentication (MFA), are required to validate users before access is granted [2]. This approach significantly reduces the effectiveness of credential theft, which remains a dominant attack vector in modern cyber incidents.</w:t>
      </w:r>
    </w:p>
    <w:p w14:paraId="798B95FC" w14:textId="77777777" w:rsidR="00E546E6" w:rsidRPr="00E546E6" w:rsidRDefault="00E546E6" w:rsidP="00CA029D">
      <w:pPr>
        <w:jc w:val="both"/>
      </w:pPr>
      <w:r w:rsidRPr="00E546E6">
        <w:t>Device posture assessment is another fundamental principle of Zero Trust. Before access is permitted, devices are evaluated based on factors such as operating system version, patch level, and security configuration. Devices that are unmanaged, outdated, or non-compliant can be restricted or denied access entirely [3]. This control is particularly important in hybrid and remote working environments where Bring Your Own Device (BYOD) practices increase exposure to unmanaged endpoints.</w:t>
      </w:r>
    </w:p>
    <w:p w14:paraId="7B05D443" w14:textId="77777777" w:rsidR="00E546E6" w:rsidRPr="00E546E6" w:rsidRDefault="00E546E6" w:rsidP="00CA029D">
      <w:pPr>
        <w:jc w:val="both"/>
      </w:pPr>
      <w:r w:rsidRPr="00E546E6">
        <w:t>Least privilege access is central to limiting the impact of security breaches. Users are granted only the minimum level of access required to perform their role, often on a time-limited basis. This reduces unnecessary permissions and constrains the damage that can be caused by compromised accounts [4]. However, effective least privilege enforcement depends on accurate role definition and access mapping. Poorly defined roles can increase administrative burden and negatively affect productivity.</w:t>
      </w:r>
    </w:p>
    <w:p w14:paraId="29AD07F3" w14:textId="77777777" w:rsidR="00E546E6" w:rsidRPr="00E546E6" w:rsidRDefault="00E546E6" w:rsidP="00CA029D">
      <w:pPr>
        <w:jc w:val="both"/>
      </w:pPr>
      <w:r w:rsidRPr="00E546E6">
        <w:t xml:space="preserve">Continuous verification further distinguishes Zero Trust from legacy models. Trust is not static but reassessed throughout user sessions using behavioural analytics and </w:t>
      </w:r>
      <w:r w:rsidRPr="00E546E6">
        <w:lastRenderedPageBreak/>
        <w:t>contextual risk signals. Access can be dynamically adjusted or revoked if abnormal behaviour is detected, improving detection of insider threats and compromised identities [5]. While this enhances visibility and control, it also increases monitoring requirements and raises privacy considerations.</w:t>
      </w:r>
    </w:p>
    <w:p w14:paraId="6E16C79F" w14:textId="77777777" w:rsidR="00E546E6" w:rsidRPr="00E546E6" w:rsidRDefault="00E546E6" w:rsidP="00CA029D">
      <w:pPr>
        <w:jc w:val="both"/>
      </w:pPr>
      <w:r w:rsidRPr="00E546E6">
        <w:t>A key objective of Zero Trust is reducing the blast radius of a breach. Through techniques such as micro-segmentation, lateral movement between systems is restricted, limiting an attacker’s ability to traverse the environment after gaining initial access [6]. This improves breach containment and localisation but introduces design complexity and requires ongoing maintenance.</w:t>
      </w:r>
    </w:p>
    <w:p w14:paraId="7AF51080" w14:textId="77777777" w:rsidR="00E546E6" w:rsidRPr="00E546E6" w:rsidRDefault="00E546E6" w:rsidP="00CA029D">
      <w:pPr>
        <w:jc w:val="both"/>
      </w:pPr>
      <w:r w:rsidRPr="00E546E6">
        <w:t>Importantly, Zero Trust is not a single technology but a strategic, long-term security approach. While it provides stronger protection for cloud, SaaS, and hybrid environments, its effectiveness depends on organisational maturity, correct configuration, and continuous governance [7].</w:t>
      </w:r>
    </w:p>
    <w:p w14:paraId="1ABCF8FE" w14:textId="77777777" w:rsidR="00E546E6" w:rsidRPr="00CA029D" w:rsidRDefault="00E546E6" w:rsidP="00CA029D">
      <w:pPr>
        <w:jc w:val="both"/>
      </w:pPr>
    </w:p>
    <w:p w14:paraId="4CD951AD" w14:textId="38A5C0A0" w:rsidR="0084338A" w:rsidRPr="0084338A" w:rsidRDefault="0084338A" w:rsidP="00D22C11">
      <w:pPr>
        <w:pStyle w:val="Heading2"/>
      </w:pPr>
      <w:bookmarkStart w:id="4" w:name="_Toc218556258"/>
      <w:r w:rsidRPr="0084338A">
        <w:t>Zero Trust Implementation Changes</w:t>
      </w:r>
      <w:bookmarkEnd w:id="4"/>
      <w:r w:rsidRPr="0084338A">
        <w:t xml:space="preserve"> </w:t>
      </w:r>
    </w:p>
    <w:p w14:paraId="481F4884" w14:textId="77777777" w:rsidR="0084338A" w:rsidRPr="0084338A" w:rsidRDefault="0084338A" w:rsidP="00CA029D">
      <w:pPr>
        <w:jc w:val="both"/>
      </w:pPr>
      <w:r w:rsidRPr="0084338A">
        <w:t>Implementing a Zero Trust architecture requires substantial changes to both technical infrastructure and organisational processes when compared to traditional perimeter-based security models. One of the most significant shifts is the move from network-centric trust to identity-centric security. Access decisions are no longer based on whether a user is inside a trusted network, but instead on verified identity, device posture, and contextual risk. This requires organisations to deploy mature Identity and Access Management (IAM) platforms capable of enforcing strong authentication, role-based access control, and continuous identity verification [1].</w:t>
      </w:r>
    </w:p>
    <w:p w14:paraId="732DD4A7" w14:textId="77777777" w:rsidR="0084338A" w:rsidRPr="0084338A" w:rsidRDefault="0084338A" w:rsidP="00CA029D">
      <w:pPr>
        <w:jc w:val="both"/>
      </w:pPr>
      <w:r w:rsidRPr="0084338A">
        <w:t xml:space="preserve">Another major implementation change is the adoption of micro-segmentation. Traditional flat internal networks allow unrestricted lateral movement once access is obtained. Zero Trust replaces this with segmented environments where access between systems is explicitly defined and enforced. Micro-segmentation limits the blast radius of breaches and improves containment by preventing attackers from freely moving between applications or data stores [2]. However, designing and maintaining segmented </w:t>
      </w:r>
      <w:r w:rsidRPr="0084338A">
        <w:lastRenderedPageBreak/>
        <w:t>architectures is complex and may be difficult to apply to legacy systems that were not designed with granular access controls in mind.</w:t>
      </w:r>
    </w:p>
    <w:p w14:paraId="40440FAA" w14:textId="77777777" w:rsidR="0084338A" w:rsidRPr="0084338A" w:rsidRDefault="0084338A" w:rsidP="00CA029D">
      <w:pPr>
        <w:jc w:val="both"/>
      </w:pPr>
      <w:r w:rsidRPr="0084338A">
        <w:t>Continuous monitoring is also essential to Zero Trust implementation. Security decisions depend on real-time visibility into user behaviour, device health, and access patterns. This increases reliance on tools such as Security Information and Event Management (SIEM) and Endpoint Detection and Response (EDR) platforms, which collect and analyse large volumes of telemetry data [3]. While these tools significantly improve threat detection and response, they also introduce operational overhead and require skilled personnel to manage alerts and reduce false positives.</w:t>
      </w:r>
    </w:p>
    <w:p w14:paraId="0E19D67C" w14:textId="77777777" w:rsidR="0084338A" w:rsidRPr="0084338A" w:rsidRDefault="0084338A" w:rsidP="00CA029D">
      <w:pPr>
        <w:jc w:val="both"/>
      </w:pPr>
      <w:r w:rsidRPr="0084338A">
        <w:t>Automation plays a critical role in enabling Zero Trust at scale. Automated access revocation, session termination, and policy enforcement allow organisations to respond rapidly to detected threats without relying solely on manual intervention [4]. Automation improves consistency and response speed but must be carefully tuned to avoid disrupting legitimate user activity, particularly in dynamic working environments.</w:t>
      </w:r>
    </w:p>
    <w:p w14:paraId="104611D7" w14:textId="77777777" w:rsidR="0084338A" w:rsidRPr="0084338A" w:rsidRDefault="0084338A" w:rsidP="00CA029D">
      <w:pPr>
        <w:jc w:val="both"/>
      </w:pPr>
      <w:r w:rsidRPr="0084338A">
        <w:t>From an organisational perspective, implementing Zero Trust requires changes to governance, workflows, and user behaviour. Security teams must work closely with business units to ensure access policies support productivity while maintaining security. User education is necessary to manage expectations around frequent authentication and restricted access.</w:t>
      </w:r>
    </w:p>
    <w:p w14:paraId="6B2720D2" w14:textId="77777777" w:rsidR="0084338A" w:rsidRPr="0084338A" w:rsidRDefault="0084338A" w:rsidP="00CA029D">
      <w:pPr>
        <w:jc w:val="both"/>
      </w:pPr>
      <w:r w:rsidRPr="0084338A">
        <w:t>Overall, Zero Trust implementation is a long-term transformation rather than a single deployment. Its effectiveness depends on IAM maturity, accurate policy design, continuous monitoring, and sustained organisational commitment.</w:t>
      </w:r>
    </w:p>
    <w:p w14:paraId="135EE4C5" w14:textId="77777777" w:rsidR="00E546E6" w:rsidRPr="00CA029D" w:rsidRDefault="00E546E6" w:rsidP="00CA029D">
      <w:pPr>
        <w:jc w:val="both"/>
      </w:pPr>
    </w:p>
    <w:p w14:paraId="65A6F141" w14:textId="77777777" w:rsidR="0084338A" w:rsidRPr="0084338A" w:rsidRDefault="0084338A" w:rsidP="00D22C11">
      <w:pPr>
        <w:pStyle w:val="Heading2"/>
      </w:pPr>
      <w:bookmarkStart w:id="5" w:name="_Toc218556259"/>
      <w:r w:rsidRPr="0084338A">
        <w:t>Zero Trust vs Perimeter Security</w:t>
      </w:r>
      <w:bookmarkEnd w:id="5"/>
    </w:p>
    <w:p w14:paraId="508232D6" w14:textId="77777777" w:rsidR="0084338A" w:rsidRPr="0084338A" w:rsidRDefault="0084338A" w:rsidP="00CA029D">
      <w:pPr>
        <w:jc w:val="both"/>
      </w:pPr>
      <w:r w:rsidRPr="0084338A">
        <w:t xml:space="preserve">Perimeter-based security and Zero Trust represent two fundamentally different approaches to how trust is assigned and enforced within organisational information systems. Traditional perimeter-based security models operate on the assumption that internal networks are trustworthy, while external networks are inherently hostile. Access decisions are therefore made primarily at the network boundary using firewalls and </w:t>
      </w:r>
      <w:r w:rsidRPr="0084338A">
        <w:lastRenderedPageBreak/>
        <w:t>Virtual Private Networks (VPNs). Once a user or device successfully authenticates and enters the internal network, it is typically granted broad access to internal resources based on location rather than ongoing verification [6], [7].</w:t>
      </w:r>
    </w:p>
    <w:p w14:paraId="2DE52EFC" w14:textId="77777777" w:rsidR="0084338A" w:rsidRPr="0084338A" w:rsidRDefault="0084338A" w:rsidP="00CA029D">
      <w:pPr>
        <w:jc w:val="both"/>
      </w:pPr>
      <w:r w:rsidRPr="0084338A">
        <w:t>This model was effective in early enterprise environments where users, systems, and data were largely confined to a single physical location. Firewalls provided a clear demarcation between trusted and untrusted zones, enabling centralised control and simplified policy enforcement. VPNs extended this trusted network to remote users by encrypting traffic and treating them as internal entities. However, this design assumes that threats originate primarily from outside the network and that internal users and devices are benign [7].</w:t>
      </w:r>
    </w:p>
    <w:p w14:paraId="4C483AF5" w14:textId="77777777" w:rsidR="0084338A" w:rsidRPr="0084338A" w:rsidRDefault="0084338A" w:rsidP="00CA029D">
      <w:pPr>
        <w:jc w:val="both"/>
      </w:pPr>
      <w:r w:rsidRPr="0084338A">
        <w:t>In modern environments, this assumption no longer holds. Cloud computing, SaaS adoption, and remote and hybrid working have dissolved the traditional network perimeter. Attackers increasingly exploit stolen credentials, compromised endpoints, and insider access to bypass perimeter defences entirely. Once inside, the flat internal network typical of perimeter-based models allows unrestricted lateral movement, significantly increasing the impact of a breach [9]. As a result, perimeter security struggles to detect internal threats and to contain damage once the boundary is breached.</w:t>
      </w:r>
    </w:p>
    <w:p w14:paraId="0A0AB8CD" w14:textId="77777777" w:rsidR="0084338A" w:rsidRPr="0084338A" w:rsidRDefault="0084338A" w:rsidP="00CA029D">
      <w:pPr>
        <w:jc w:val="both"/>
      </w:pPr>
      <w:r w:rsidRPr="0084338A">
        <w:t>Zero Trust directly addresses these limitations by rejecting implicit trust altogether. As defined by Kindervag, Zero Trust operates on the principle of “never trust, always verify,” assuming breach by default and requiring explicit verification for every access request [1]. Trust is not based on network location, IP address, or internal connectivity, but on continuous validation of identity, device posture, and contextual risk [2], [4].</w:t>
      </w:r>
    </w:p>
    <w:p w14:paraId="5860443F" w14:textId="77777777" w:rsidR="0084338A" w:rsidRPr="0084338A" w:rsidRDefault="0084338A" w:rsidP="00CA029D">
      <w:pPr>
        <w:jc w:val="both"/>
      </w:pPr>
      <w:r w:rsidRPr="0084338A">
        <w:t xml:space="preserve">A major distinction between the two models lies in access control granularity. Perimeter-based security typically relies on network-level access. VPNs extend the internal network to users, granting access to multiple systems once authenticated. This broad access increases the attack surface and often results in over-privileged users, making it difficult to pinpoint breaches or restrict attacker movement [6]. In contrast, Zero Trust enforces application- and resource-level access. Users are authenticated and authorised only for </w:t>
      </w:r>
      <w:r w:rsidRPr="0084338A">
        <w:lastRenderedPageBreak/>
        <w:t>specific services required by their role, significantly reducing exposure and limiting the blast radius of a compromise [5], [8].</w:t>
      </w:r>
    </w:p>
    <w:p w14:paraId="00271270" w14:textId="77777777" w:rsidR="0084338A" w:rsidRPr="0084338A" w:rsidRDefault="0084338A" w:rsidP="00CA029D">
      <w:pPr>
        <w:jc w:val="both"/>
      </w:pPr>
      <w:r w:rsidRPr="0084338A">
        <w:t>Identity handling further differentiates the two approaches. In perimeter models, identity verification is largely static and performed at login, with limited revalidation during active sessions. This creates a vulnerability where stolen credentials remain valid for extended periods. Zero Trust treats identity as the primary security control, enforcing strong Identity and Access Management (IAM), Multi-Factor Authentication (MFA), and continuous verification throughout the session lifecycle [2], [10]. While this significantly strengthens security, it increases reliance on IAM infrastructure, making identity systems critical points of failure if not properly designed and protected.</w:t>
      </w:r>
    </w:p>
    <w:p w14:paraId="75FAF53A" w14:textId="77777777" w:rsidR="0084338A" w:rsidRPr="0084338A" w:rsidRDefault="0084338A" w:rsidP="00CA029D">
      <w:pPr>
        <w:jc w:val="both"/>
      </w:pPr>
      <w:r w:rsidRPr="0084338A">
        <w:t>Network architecture also reflects contrasting philosophies. Perimeter security commonly relies on flat internal networks, which allow unrestricted lateral movement between systems. Zero Trust mitigates this risk through micro-segmentation, restricting communication between workloads unless explicitly authorised. Micro-segmentation improves breach containment and visibility but introduces complexity, particularly in legacy environments not designed for fine-grained segmentation [8].</w:t>
      </w:r>
    </w:p>
    <w:p w14:paraId="379EA829" w14:textId="77777777" w:rsidR="0084338A" w:rsidRPr="0084338A" w:rsidRDefault="0084338A" w:rsidP="00CA029D">
      <w:pPr>
        <w:jc w:val="both"/>
      </w:pPr>
      <w:r w:rsidRPr="0084338A">
        <w:t>Monitoring and response capabilities differ substantially. Perimeter-based security focuses primarily on monitoring traffic at the network boundary, resulting in limited visibility into internal activity. Zero Trust emphasises continuous monitoring, behavioural analysis, and automated response mechanisms. These capabilities improve detection and containment of threats but increase operational overhead, data volume, and privacy considerations [3], [9].</w:t>
      </w:r>
    </w:p>
    <w:p w14:paraId="5CA5F8F2" w14:textId="77777777" w:rsidR="0084338A" w:rsidRPr="0084338A" w:rsidRDefault="0084338A" w:rsidP="00CA029D">
      <w:pPr>
        <w:jc w:val="both"/>
      </w:pPr>
      <w:r w:rsidRPr="0084338A">
        <w:t>Overall, perimeter-based security offers simplicity and lower initial implementation complexity but is poorly suited to modern, distributed environments. Zero Trust provides significantly stronger security, improved resilience, and better alignment with cloud and hybrid architectures. However, it requires greater organisational maturity, investment, and ongoing management. Despite these challenges, Zero Trust represents a more effective security model for contemporary organisations facing evolving threat landscapes and regulatory pressures.</w:t>
      </w:r>
    </w:p>
    <w:p w14:paraId="043BE546" w14:textId="77777777" w:rsidR="0084338A" w:rsidRPr="00CA029D" w:rsidRDefault="0084338A" w:rsidP="00D22C11">
      <w:pPr>
        <w:pStyle w:val="Heading2"/>
      </w:pPr>
    </w:p>
    <w:p w14:paraId="02FDA6BF" w14:textId="77777777" w:rsidR="0084338A" w:rsidRPr="0084338A" w:rsidRDefault="0084338A" w:rsidP="00D22C11">
      <w:pPr>
        <w:pStyle w:val="Heading2"/>
      </w:pPr>
      <w:bookmarkStart w:id="6" w:name="_Toc218556260"/>
      <w:r w:rsidRPr="0084338A">
        <w:t>Effectiveness of Zero Trust in Modern Organisations</w:t>
      </w:r>
      <w:bookmarkEnd w:id="6"/>
    </w:p>
    <w:p w14:paraId="57F29C37" w14:textId="77777777" w:rsidR="0084338A" w:rsidRPr="0084338A" w:rsidRDefault="0084338A" w:rsidP="00CA029D">
      <w:pPr>
        <w:jc w:val="both"/>
      </w:pPr>
      <w:r w:rsidRPr="0084338A">
        <w:t>Zero Trust has proven effective in modern organisations primarily because it is designed around the assumption of breach and the realities of distributed computing environments. By treating every access request as potentially malicious, Zero Trust enables organisations to anticipate threats rather than merely react to them. Risk-based and context-aware access decisions limit exposure by ensuring that users and devices only access resources necessary for their role, reducing the likelihood and impact of compromise [1], [2].</w:t>
      </w:r>
    </w:p>
    <w:p w14:paraId="115FD7FB" w14:textId="77777777" w:rsidR="0084338A" w:rsidRPr="0084338A" w:rsidRDefault="0084338A" w:rsidP="00CA029D">
      <w:pPr>
        <w:jc w:val="both"/>
      </w:pPr>
      <w:r w:rsidRPr="0084338A">
        <w:t>Least-privilege enforcement and identity-centric controls significantly improve breach localisation. In cloud and SaaS environments, where assets are highly distributed, this allows organisations to detect and contain incidents more rapidly, reducing data loss and recovery time [5], [8]. Micro-segmentation further enhances effectiveness by restricting lateral movement, preventing attackers from pivoting across systems once initial access is gained [2], [10]. These capabilities directly address weaknesses in traditional perimeter security, particularly in hybrid work environments [9].</w:t>
      </w:r>
    </w:p>
    <w:p w14:paraId="24ED752D" w14:textId="398EB71A" w:rsidR="0084338A" w:rsidRPr="0084338A" w:rsidRDefault="0084338A" w:rsidP="00CA029D">
      <w:pPr>
        <w:jc w:val="both"/>
      </w:pPr>
      <w:r w:rsidRPr="0084338A">
        <w:t xml:space="preserve">However, the effectiveness of Zero Trust is heavily dependent on organisational maturity. </w:t>
      </w:r>
      <w:r w:rsidR="001824BC">
        <w:t>A robust</w:t>
      </w:r>
      <w:r w:rsidRPr="0084338A">
        <w:t xml:space="preserve"> Identity and Access Management (IAM) infrastructure is critical, as identity becomes the primary trust anchor. Poorly implemented IAM, weak role definitions, or misconfigured policies can undermine security benefits and introduce operational disruption [6], [10]. Continuous verification and monitoring also increase administrative overhead, requiring skilled personnel and sustained investment [3].</w:t>
      </w:r>
    </w:p>
    <w:p w14:paraId="15CF7DA8" w14:textId="72E60F5D" w:rsidR="004F2A9E" w:rsidRDefault="0084338A" w:rsidP="00CA029D">
      <w:pPr>
        <w:jc w:val="both"/>
      </w:pPr>
      <w:r w:rsidRPr="0084338A">
        <w:t>Despite these challenges, when implemented correctly, Zero Trust provides strong long-term security benefits. It improves visibility, limits blast radius, and aligns closely with modern threat landscapes dominated by credential theft and insider risk [9]. While Zero Trust is not a quick solution, its strategic value lies in enabling resilient, adaptive security for cloud-centric and hybrid organisations.</w:t>
      </w:r>
    </w:p>
    <w:p w14:paraId="604344A9" w14:textId="77777777" w:rsidR="00D22C11" w:rsidRPr="00CA029D" w:rsidRDefault="00D22C11" w:rsidP="00CA029D">
      <w:pPr>
        <w:jc w:val="both"/>
      </w:pPr>
    </w:p>
    <w:p w14:paraId="07466AD2" w14:textId="77777777" w:rsidR="0084338A" w:rsidRPr="00CA029D" w:rsidRDefault="0084338A" w:rsidP="00D22C11">
      <w:pPr>
        <w:pStyle w:val="Heading2"/>
      </w:pPr>
      <w:bookmarkStart w:id="7" w:name="_Toc218556261"/>
      <w:r w:rsidRPr="00CA029D">
        <w:lastRenderedPageBreak/>
        <w:t>Conclusion</w:t>
      </w:r>
      <w:bookmarkEnd w:id="7"/>
    </w:p>
    <w:p w14:paraId="337CA1DA" w14:textId="11BCEE0F" w:rsidR="0084338A" w:rsidRPr="00CA029D" w:rsidRDefault="0084338A" w:rsidP="00CA029D">
      <w:pPr>
        <w:jc w:val="both"/>
      </w:pPr>
      <w:r w:rsidRPr="00CA029D">
        <w:t>Modern organisations operate in cloud environments and have a focus on remote hybrid work models, which means that the traditional perimeter security model is no longer sufficient. The perimeter security model relies on trust assumptions and is effective only in closed on-prem environments</w:t>
      </w:r>
      <w:r w:rsidR="001824BC">
        <w:t>.</w:t>
      </w:r>
      <w:r w:rsidRPr="00CA029D">
        <w:t xml:space="preserve"> Zero Trust removes the implicit trust by using </w:t>
      </w:r>
      <w:r w:rsidR="001824BC">
        <w:t>identity-centric</w:t>
      </w:r>
      <w:r w:rsidRPr="00CA029D">
        <w:t xml:space="preserve"> and least privilege controls, because the blast radius and lateral movement </w:t>
      </w:r>
      <w:r w:rsidR="001824BC">
        <w:t>are</w:t>
      </w:r>
      <w:r w:rsidRPr="00CA029D">
        <w:t xml:space="preserve"> reduced. </w:t>
      </w:r>
    </w:p>
    <w:p w14:paraId="0F43FEF2" w14:textId="61375CCC" w:rsidR="0084338A" w:rsidRPr="00CA029D" w:rsidRDefault="0084338A" w:rsidP="00CA029D">
      <w:pPr>
        <w:jc w:val="both"/>
      </w:pPr>
      <w:r w:rsidRPr="00CA029D">
        <w:tab/>
        <w:t>Zero Trust is better since it enables organisations to anticipate threats, protect systems and data, detect malicious activity and respond rapidly to incidents. This aligns closely with modern threat landscape apes. Although Zero Trust is not a quick or simple solution</w:t>
      </w:r>
      <w:r w:rsidR="001824BC">
        <w:t>,</w:t>
      </w:r>
      <w:r w:rsidRPr="00CA029D">
        <w:t xml:space="preserve"> its effectiveness depends on IAM maturity, correct implementation and ongoing service. When it is implemented properly</w:t>
      </w:r>
      <w:r w:rsidR="001824BC">
        <w:t>,</w:t>
      </w:r>
      <w:r w:rsidRPr="00CA029D">
        <w:t xml:space="preserve"> </w:t>
      </w:r>
      <w:r w:rsidR="001824BC">
        <w:t>it</w:t>
      </w:r>
      <w:r w:rsidRPr="00CA029D">
        <w:t xml:space="preserve"> offers stronger </w:t>
      </w:r>
      <w:r w:rsidR="001824BC">
        <w:t>long-term</w:t>
      </w:r>
      <w:r w:rsidRPr="00CA029D">
        <w:t xml:space="preserve"> security resilience compared to the traditional perimeter security model. </w:t>
      </w:r>
    </w:p>
    <w:p w14:paraId="7D4977B3" w14:textId="77777777" w:rsidR="00CA029D" w:rsidRPr="00CA029D" w:rsidRDefault="00CA029D" w:rsidP="00CA029D">
      <w:pPr>
        <w:jc w:val="both"/>
      </w:pPr>
    </w:p>
    <w:p w14:paraId="3C0DE58B" w14:textId="77777777" w:rsidR="00CA029D" w:rsidRPr="00CA029D" w:rsidRDefault="00CA029D" w:rsidP="00D22C11">
      <w:pPr>
        <w:pStyle w:val="Heading2"/>
      </w:pPr>
      <w:bookmarkStart w:id="8" w:name="_Toc218556262"/>
      <w:r w:rsidRPr="00CA029D">
        <w:t>Reference List Task 1</w:t>
      </w:r>
      <w:bookmarkEnd w:id="8"/>
      <w:r w:rsidRPr="00CA029D">
        <w:t xml:space="preserve"> </w:t>
      </w:r>
    </w:p>
    <w:p w14:paraId="7C2BD285" w14:textId="77777777" w:rsidR="00CA029D" w:rsidRPr="00CA029D" w:rsidRDefault="00CA029D" w:rsidP="00CA029D">
      <w:pPr>
        <w:pStyle w:val="ListParagraph"/>
        <w:numPr>
          <w:ilvl w:val="0"/>
          <w:numId w:val="2"/>
        </w:numPr>
        <w:spacing w:line="278" w:lineRule="auto"/>
        <w:jc w:val="both"/>
      </w:pPr>
      <w:r w:rsidRPr="00CA029D">
        <w:t xml:space="preserve">J. Kindervag, “Build Security Into Your Network’s DNA: The Zero Trust Network Architecture,” </w:t>
      </w:r>
      <w:r w:rsidRPr="00CA029D">
        <w:rPr>
          <w:i/>
          <w:iCs/>
        </w:rPr>
        <w:t>Forrester Research</w:t>
      </w:r>
      <w:r w:rsidRPr="00CA029D">
        <w:t>, 2010.</w:t>
      </w:r>
    </w:p>
    <w:p w14:paraId="38382E08" w14:textId="77777777" w:rsidR="00CA029D" w:rsidRPr="00CA029D" w:rsidRDefault="00CA029D" w:rsidP="00CA029D">
      <w:pPr>
        <w:pStyle w:val="ListParagraph"/>
        <w:numPr>
          <w:ilvl w:val="0"/>
          <w:numId w:val="2"/>
        </w:numPr>
        <w:spacing w:line="278" w:lineRule="auto"/>
        <w:jc w:val="both"/>
      </w:pPr>
      <w:r w:rsidRPr="00CA029D">
        <w:t xml:space="preserve">National Institute of Standards and Technology, “Zero Trust Architecture,” </w:t>
      </w:r>
      <w:r w:rsidRPr="00CA029D">
        <w:rPr>
          <w:i/>
          <w:iCs/>
        </w:rPr>
        <w:t>NIST Special Publication 800-207</w:t>
      </w:r>
      <w:r w:rsidRPr="00CA029D">
        <w:t>, Aug. 2020.</w:t>
      </w:r>
    </w:p>
    <w:p w14:paraId="5E4AAA2B" w14:textId="77777777" w:rsidR="00CA029D" w:rsidRPr="00CA029D" w:rsidRDefault="00CA029D" w:rsidP="00CA029D">
      <w:pPr>
        <w:pStyle w:val="ListParagraph"/>
        <w:numPr>
          <w:ilvl w:val="0"/>
          <w:numId w:val="2"/>
        </w:numPr>
        <w:spacing w:line="278" w:lineRule="auto"/>
        <w:jc w:val="both"/>
      </w:pPr>
      <w:r w:rsidRPr="00CA029D">
        <w:t xml:space="preserve">National Institute of Standards and Technology, “Framework for Improving Critical Infrastructure Cybersecurity,” </w:t>
      </w:r>
      <w:r w:rsidRPr="00CA029D">
        <w:rPr>
          <w:i/>
          <w:iCs/>
        </w:rPr>
        <w:t>NIST Cybersecurity Framework</w:t>
      </w:r>
      <w:r w:rsidRPr="00CA029D">
        <w:t>, Version 2.0, 2024.</w:t>
      </w:r>
    </w:p>
    <w:p w14:paraId="716F157A" w14:textId="77777777" w:rsidR="00CA029D" w:rsidRPr="00CA029D" w:rsidRDefault="00CA029D" w:rsidP="00CA029D">
      <w:pPr>
        <w:pStyle w:val="ListParagraph"/>
        <w:numPr>
          <w:ilvl w:val="0"/>
          <w:numId w:val="2"/>
        </w:numPr>
        <w:spacing w:line="278" w:lineRule="auto"/>
        <w:jc w:val="both"/>
      </w:pPr>
      <w:r w:rsidRPr="00CA029D">
        <w:t xml:space="preserve">A. Rose, O. Borchert, S. Mitchell, and S. Connelly, “Zero Trust Architecture,” </w:t>
      </w:r>
      <w:r w:rsidRPr="00CA029D">
        <w:rPr>
          <w:i/>
          <w:iCs/>
        </w:rPr>
        <w:t>NIST SP 800-207</w:t>
      </w:r>
      <w:r w:rsidRPr="00CA029D">
        <w:t>, NIST, Gaithersburg, MD, USA, 2020.</w:t>
      </w:r>
    </w:p>
    <w:p w14:paraId="4D97CBB3" w14:textId="77777777" w:rsidR="00CA029D" w:rsidRPr="00CA029D" w:rsidRDefault="00CA029D" w:rsidP="00CA029D">
      <w:pPr>
        <w:pStyle w:val="ListParagraph"/>
        <w:numPr>
          <w:ilvl w:val="0"/>
          <w:numId w:val="2"/>
        </w:numPr>
        <w:spacing w:line="278" w:lineRule="auto"/>
        <w:jc w:val="both"/>
      </w:pPr>
      <w:r w:rsidRPr="00CA029D">
        <w:t>Google, “BeyondCorp: A New Approach to Enterprise Security,” Google Security Whitepaper, 2014.</w:t>
      </w:r>
    </w:p>
    <w:p w14:paraId="536E7EE6" w14:textId="77777777" w:rsidR="00CA029D" w:rsidRPr="00CA029D" w:rsidRDefault="00CA029D" w:rsidP="00CA029D">
      <w:pPr>
        <w:pStyle w:val="ListParagraph"/>
        <w:numPr>
          <w:ilvl w:val="0"/>
          <w:numId w:val="2"/>
        </w:numPr>
        <w:spacing w:line="278" w:lineRule="auto"/>
        <w:jc w:val="both"/>
      </w:pPr>
      <w:r w:rsidRPr="00CA029D">
        <w:t xml:space="preserve">M. Bishop, </w:t>
      </w:r>
      <w:r w:rsidRPr="00CA029D">
        <w:rPr>
          <w:i/>
          <w:iCs/>
        </w:rPr>
        <w:t>Computer Security: Art and Science</w:t>
      </w:r>
      <w:r w:rsidRPr="00CA029D">
        <w:t>, 2nd ed., Boston, MA, USA: Addison-Wesley, 2018.</w:t>
      </w:r>
    </w:p>
    <w:p w14:paraId="51071479" w14:textId="77777777" w:rsidR="00CA029D" w:rsidRPr="00CA029D" w:rsidRDefault="00CA029D" w:rsidP="00CA029D">
      <w:pPr>
        <w:pStyle w:val="ListParagraph"/>
        <w:numPr>
          <w:ilvl w:val="0"/>
          <w:numId w:val="2"/>
        </w:numPr>
        <w:spacing w:line="278" w:lineRule="auto"/>
        <w:jc w:val="both"/>
      </w:pPr>
      <w:r w:rsidRPr="00CA029D">
        <w:t xml:space="preserve">S. Garfinkel and G. Spafford, </w:t>
      </w:r>
      <w:r w:rsidRPr="00CA029D">
        <w:rPr>
          <w:i/>
          <w:iCs/>
        </w:rPr>
        <w:t>Practical UNIX and Internet Security</w:t>
      </w:r>
      <w:r w:rsidRPr="00CA029D">
        <w:t>, 3rd ed., Sebastopol, CA, USA: O’Reilly Media, 2003.</w:t>
      </w:r>
    </w:p>
    <w:p w14:paraId="17A93469" w14:textId="77777777" w:rsidR="00CA029D" w:rsidRPr="00CA029D" w:rsidRDefault="00CA029D" w:rsidP="00CA029D">
      <w:pPr>
        <w:pStyle w:val="ListParagraph"/>
        <w:numPr>
          <w:ilvl w:val="0"/>
          <w:numId w:val="2"/>
        </w:numPr>
        <w:spacing w:line="278" w:lineRule="auto"/>
        <w:jc w:val="both"/>
      </w:pPr>
      <w:r w:rsidRPr="00CA029D">
        <w:t>ENISA, “Zero Trust Architecture: Design Principles and Use Cases,” European Union Agency for Cybersecurity, 2021.</w:t>
      </w:r>
    </w:p>
    <w:p w14:paraId="514C5A70" w14:textId="77777777" w:rsidR="00CA029D" w:rsidRPr="00CA029D" w:rsidRDefault="00CA029D" w:rsidP="00CA029D">
      <w:pPr>
        <w:pStyle w:val="ListParagraph"/>
        <w:numPr>
          <w:ilvl w:val="0"/>
          <w:numId w:val="2"/>
        </w:numPr>
        <w:spacing w:line="278" w:lineRule="auto"/>
        <w:jc w:val="both"/>
      </w:pPr>
      <w:r w:rsidRPr="00CA029D">
        <w:t>Verizon, “2024 Data Breach Investigations Report (DBIR),” Verizon Enterprise, 2024.</w:t>
      </w:r>
    </w:p>
    <w:p w14:paraId="793660A9" w14:textId="77777777" w:rsidR="00CA029D" w:rsidRPr="00CA029D" w:rsidRDefault="00CA029D" w:rsidP="00CA029D">
      <w:pPr>
        <w:pStyle w:val="ListParagraph"/>
        <w:numPr>
          <w:ilvl w:val="0"/>
          <w:numId w:val="2"/>
        </w:numPr>
        <w:spacing w:line="278" w:lineRule="auto"/>
        <w:jc w:val="both"/>
      </w:pPr>
      <w:r w:rsidRPr="00CA029D">
        <w:lastRenderedPageBreak/>
        <w:t xml:space="preserve">M. Ahmed and S. Y. Shin, “A Survey on Zero Trust Security Models,” </w:t>
      </w:r>
      <w:r w:rsidRPr="00CA029D">
        <w:rPr>
          <w:i/>
          <w:iCs/>
        </w:rPr>
        <w:t>IEEE Access</w:t>
      </w:r>
      <w:r w:rsidRPr="00CA029D">
        <w:t>, vol. 8, pp. 1–15, 2020.</w:t>
      </w:r>
    </w:p>
    <w:p w14:paraId="1E263D64" w14:textId="77777777" w:rsidR="00CA029D" w:rsidRPr="00CA029D" w:rsidRDefault="00CA029D" w:rsidP="00CA029D">
      <w:pPr>
        <w:jc w:val="both"/>
      </w:pPr>
    </w:p>
    <w:p w14:paraId="3D6BFD17" w14:textId="77777777" w:rsidR="00EF582A" w:rsidRPr="00CA029D" w:rsidRDefault="00EF582A" w:rsidP="00CA029D">
      <w:pPr>
        <w:jc w:val="both"/>
      </w:pPr>
    </w:p>
    <w:p w14:paraId="25E8A647" w14:textId="516700FE" w:rsidR="00E61EC7" w:rsidRPr="00CA029D" w:rsidRDefault="00EF582A" w:rsidP="00D22C11">
      <w:pPr>
        <w:pStyle w:val="Heading1"/>
        <w:rPr>
          <w:rFonts w:asciiTheme="minorHAnsi" w:hAnsiTheme="minorHAnsi"/>
        </w:rPr>
      </w:pPr>
      <w:bookmarkStart w:id="9" w:name="_Toc218556263"/>
      <w:r w:rsidRPr="00EF582A">
        <w:rPr>
          <w:rFonts w:asciiTheme="minorHAnsi" w:hAnsiTheme="minorHAnsi"/>
        </w:rPr>
        <w:t>Task 2</w:t>
      </w:r>
      <w:r w:rsidR="00E61EC7" w:rsidRPr="00CA029D">
        <w:rPr>
          <w:rFonts w:asciiTheme="minorHAnsi" w:hAnsiTheme="minorHAnsi"/>
        </w:rPr>
        <w:t xml:space="preserve"> </w:t>
      </w:r>
      <w:r w:rsidR="00287F75">
        <w:t>– Case Scenario</w:t>
      </w:r>
      <w:bookmarkEnd w:id="9"/>
    </w:p>
    <w:p w14:paraId="23A60740" w14:textId="4D319463" w:rsidR="00EF582A" w:rsidRPr="00EF582A" w:rsidRDefault="00E61EC7" w:rsidP="00CA029D">
      <w:pPr>
        <w:jc w:val="both"/>
      </w:pPr>
      <w:bookmarkStart w:id="10" w:name="_Toc218556264"/>
      <w:r w:rsidRPr="00D22C11">
        <w:rPr>
          <w:rStyle w:val="Heading2Char"/>
        </w:rPr>
        <w:t>Introduction</w:t>
      </w:r>
      <w:bookmarkEnd w:id="10"/>
      <w:r w:rsidR="00EF582A" w:rsidRPr="00EF582A">
        <w:rPr>
          <w:rStyle w:val="Heading2Char"/>
        </w:rPr>
        <w:br/>
      </w:r>
      <w:r w:rsidR="00EF582A" w:rsidRPr="00EF582A">
        <w:t xml:space="preserve">This case study examines ResilientIntellect Ltd and the security challenges it faces as a fast-growing threat intelligence and consultancy organisation. The company develops proprietary </w:t>
      </w:r>
      <w:r w:rsidR="001824BC">
        <w:t>AI-powered</w:t>
      </w:r>
      <w:r w:rsidR="00EF582A" w:rsidRPr="00EF582A">
        <w:t xml:space="preserve"> threat analysis software and operates with a fully hybrid workforce, creating complex security, governance, and compliance demands. Hybrid working increases the attack surface, while the protection of AI models, training data, and client intelligence is critical to business trust and continuity [1], [7].</w:t>
      </w:r>
    </w:p>
    <w:p w14:paraId="3370EEC1" w14:textId="54B55EB6" w:rsidR="00EF582A" w:rsidRPr="00EF582A" w:rsidRDefault="00EF582A" w:rsidP="00CA029D">
      <w:pPr>
        <w:jc w:val="both"/>
      </w:pPr>
      <w:r w:rsidRPr="00EF582A">
        <w:t xml:space="preserve">As ResilientIntellect expands into the European Union, regulatory obligations become a central driver of security design. Compliance with the Digital Operational Resilience Act requires the organisation to demonstrate strong capabilities to prevent, detect, respond to, and recover from cyber incidents [3], [9]. In parallel, the NIS2 Directive strengthens governance, accountability, and incident reporting requirements, making security strategy a </w:t>
      </w:r>
      <w:r w:rsidR="001824BC">
        <w:t>board-level</w:t>
      </w:r>
      <w:r w:rsidRPr="00EF582A">
        <w:t xml:space="preserve"> concern rather than a technical issue [4].</w:t>
      </w:r>
    </w:p>
    <w:p w14:paraId="0E84270D" w14:textId="380D9796" w:rsidR="00EF582A" w:rsidRPr="00CA029D" w:rsidRDefault="00EF582A" w:rsidP="00CA029D">
      <w:pPr>
        <w:jc w:val="both"/>
      </w:pPr>
      <w:r w:rsidRPr="00EF582A">
        <w:t xml:space="preserve">This case study proposes a Zero Trust-aligned security programme to address these challenges. The design is guided by Zero Trust principles and the NIST Cybersecurity Framework, ensuring security is proactive, </w:t>
      </w:r>
      <w:r w:rsidR="001824BC">
        <w:t>risk-based</w:t>
      </w:r>
      <w:r w:rsidRPr="00EF582A">
        <w:t>, and embedded into business [1], [2], [5], [10]</w:t>
      </w:r>
      <w:r w:rsidR="00CA029D">
        <w:t>.</w:t>
      </w:r>
    </w:p>
    <w:p w14:paraId="048324A0" w14:textId="77777777" w:rsidR="00CA029D" w:rsidRDefault="00CA029D" w:rsidP="00CA029D">
      <w:pPr>
        <w:jc w:val="both"/>
      </w:pPr>
    </w:p>
    <w:p w14:paraId="3CCD114B" w14:textId="77777777" w:rsidR="00D22C11" w:rsidRDefault="00D22C11" w:rsidP="00CA029D">
      <w:pPr>
        <w:jc w:val="both"/>
      </w:pPr>
    </w:p>
    <w:p w14:paraId="658A15F9" w14:textId="77777777" w:rsidR="00CA029D" w:rsidRDefault="00CA029D" w:rsidP="00D22C11">
      <w:pPr>
        <w:pStyle w:val="Heading2"/>
      </w:pPr>
      <w:bookmarkStart w:id="11" w:name="_Toc218556265"/>
      <w:r w:rsidRPr="00EF582A">
        <w:lastRenderedPageBreak/>
        <w:t>Zero Trust-A</w:t>
      </w:r>
      <w:r w:rsidRPr="00CA029D">
        <w:t>l</w:t>
      </w:r>
      <w:r w:rsidRPr="00EF582A">
        <w:t>igned Security Programme Overvie</w:t>
      </w:r>
      <w:r w:rsidRPr="00CA029D">
        <w:t>w</w:t>
      </w:r>
      <w:bookmarkEnd w:id="11"/>
    </w:p>
    <w:p w14:paraId="1640B3CD" w14:textId="121FB5B2" w:rsidR="00EF582A" w:rsidRPr="00CA029D" w:rsidRDefault="00EF582A" w:rsidP="00CA029D">
      <w:pPr>
        <w:jc w:val="both"/>
      </w:pPr>
      <w:r w:rsidRPr="00EF582A">
        <w:t>Figure 1 illustrates the proposed Zero Trust–aligned security architecture, showing how identity, cloud services, security controls, and governance integrate to support operational resilience and regulatory compliance [1], [2].</w:t>
      </w:r>
    </w:p>
    <w:p w14:paraId="1A2FB453" w14:textId="77777777" w:rsidR="00E61EC7" w:rsidRPr="00CA029D" w:rsidRDefault="00E61EC7" w:rsidP="00CA029D">
      <w:pPr>
        <w:jc w:val="both"/>
      </w:pPr>
    </w:p>
    <w:p w14:paraId="2D5DD0CB" w14:textId="5AE6580A" w:rsidR="00EF582A" w:rsidRPr="00EF582A" w:rsidRDefault="00EF582A" w:rsidP="00CA029D">
      <w:pPr>
        <w:jc w:val="both"/>
      </w:pPr>
      <w:r w:rsidRPr="00CA029D">
        <w:drawing>
          <wp:inline distT="0" distB="0" distL="0" distR="0" wp14:anchorId="51CC5884" wp14:editId="4A18B21A">
            <wp:extent cx="5731510" cy="3800475"/>
            <wp:effectExtent l="0" t="0" r="2540" b="9525"/>
            <wp:docPr id="1889090993"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090993" name="Picture 1" descr="A diagram of a company&#10;&#10;AI-generated content may be incorrect."/>
                    <pic:cNvPicPr/>
                  </pic:nvPicPr>
                  <pic:blipFill>
                    <a:blip r:embed="rId7"/>
                    <a:stretch>
                      <a:fillRect/>
                    </a:stretch>
                  </pic:blipFill>
                  <pic:spPr>
                    <a:xfrm>
                      <a:off x="0" y="0"/>
                      <a:ext cx="5731510" cy="3800475"/>
                    </a:xfrm>
                    <a:prstGeom prst="rect">
                      <a:avLst/>
                    </a:prstGeom>
                  </pic:spPr>
                </pic:pic>
              </a:graphicData>
            </a:graphic>
          </wp:inline>
        </w:drawing>
      </w:r>
    </w:p>
    <w:p w14:paraId="4B3E75F2" w14:textId="77777777" w:rsidR="00EF582A" w:rsidRPr="00EF582A" w:rsidRDefault="00EF582A" w:rsidP="00CA029D">
      <w:pPr>
        <w:jc w:val="both"/>
      </w:pPr>
      <w:r w:rsidRPr="00EF582A">
        <w:t>Zero Trust is adopted as the core architectural principle to meet the security needs of ResilientIntellect Ltd, particularly due to its hybrid workforce, reliance on cloud services, and ownership of high-value AI assets. Traditional perimeter-based security is no longer effective in this environment, as users, devices, and applications operate beyond fixed network boundaries [5], [7]. Zero Trust assumes breach by default and removes implicit trust, requiring every access request to be verified continuously [1], [10]. The primary objectives of the programme are to anticipate threats, protect critical data and systems, and detect security incidents as early as possible [2], [8].</w:t>
      </w:r>
    </w:p>
    <w:p w14:paraId="363FA0C7" w14:textId="77777777" w:rsidR="00EF582A" w:rsidRPr="00EF582A" w:rsidRDefault="00EF582A" w:rsidP="00CA029D">
      <w:pPr>
        <w:jc w:val="both"/>
      </w:pPr>
      <w:r w:rsidRPr="00EF582A">
        <w:t xml:space="preserve">The programme is built on key Zero Trust principles, including identity-centric access control, least-privilege enforcement, continuous verification, and automation [1], [10]. Identity acts as the primary control point rather than network location, ensuring access </w:t>
      </w:r>
      <w:r w:rsidRPr="00EF582A">
        <w:lastRenderedPageBreak/>
        <w:t>decisions are based on user role, device posture, and contextual risk [2]. Least privilege limits exposure by restricting access to only what is necessary, reducing the impact of compromised credentials [8]. Continuous verification allows access to be adjusted dynamically as risk changes, while automation enables rapid detection and response without excessive reliance on manual intervention [6], [7].</w:t>
      </w:r>
    </w:p>
    <w:p w14:paraId="4207C04B" w14:textId="77777777" w:rsidR="00EF582A" w:rsidRDefault="00EF582A" w:rsidP="00CA029D">
      <w:pPr>
        <w:jc w:val="both"/>
      </w:pPr>
      <w:r w:rsidRPr="00EF582A">
        <w:t>This programme is not purely technical but strategic and long-term, designed to scale as the organisation expands into the EU. It demonstrates proactive security planning rather than reactive implementation. Alignment with operational resilience and regulatory compliance ensures the programme supports the requirements of DORA and NIS2 [3], [4], [9]. Security is embedded into business operations, enabling faster response, improved resilience, and stronger protection of ResilientIntellect’s critical AI and cloud-based assets [1], [2].</w:t>
      </w:r>
    </w:p>
    <w:p w14:paraId="19734874" w14:textId="77777777" w:rsidR="00CA029D" w:rsidRPr="00CA029D" w:rsidRDefault="00CA029D" w:rsidP="00CA029D">
      <w:pPr>
        <w:jc w:val="both"/>
      </w:pPr>
    </w:p>
    <w:p w14:paraId="01E3C117" w14:textId="3E3763EA" w:rsidR="00CA029D" w:rsidRPr="00EF582A" w:rsidRDefault="00CA029D" w:rsidP="00D22C11">
      <w:pPr>
        <w:pStyle w:val="Heading2"/>
      </w:pPr>
      <w:bookmarkStart w:id="12" w:name="_Toc218556266"/>
      <w:r w:rsidRPr="00EF582A">
        <w:t>Organisation Structure and Security Roles</w:t>
      </w:r>
      <w:bookmarkEnd w:id="12"/>
    </w:p>
    <w:p w14:paraId="7E73D97B" w14:textId="0353B080" w:rsidR="00EF582A" w:rsidRPr="00EF582A" w:rsidRDefault="00EF582A" w:rsidP="00CA029D">
      <w:pPr>
        <w:jc w:val="both"/>
      </w:pPr>
      <w:r w:rsidRPr="00EF582A">
        <w:t>The organisational structure for ResilientIntellect Ltd embeds security directly into cloud operations, software development, and business governance, ensuring that security is proactive rather than reactive [1], [2]. Clear separation of responsibilities is maintained to support accountability, regulatory compliance, and effective risk management [3], [4]. This approach aligns with Zero Trust principles by ensuring security controls are integrated across all operational layers rather than being isolated within a single team [5], [10].</w:t>
      </w:r>
    </w:p>
    <w:p w14:paraId="3D6B46CF" w14:textId="77777777" w:rsidR="00EF582A" w:rsidRPr="00EF582A" w:rsidRDefault="00EF582A" w:rsidP="00CA029D">
      <w:pPr>
        <w:jc w:val="both"/>
      </w:pPr>
      <w:r w:rsidRPr="00EF582A">
        <w:t>A key role within this structure is the Cloud Security Architect. This role is responsible for designing and maintaining secure cloud architectures, enforcing Zero Trust controls within cloud environments, and overseeing Cloud Security Posture Management (CSPM) tools [1], [6]. The Cloud Security Architect ensures that cloud configurations follow least-privilege principles, support continuous monitoring, and remain compliant with regulatory requirements such as DORA and NIS2 [3], [4], [9]. This role is critical given ResilientIntellect’s reliance on cloud platforms for AI training data, source code repositories, and consultancy services [7].</w:t>
      </w:r>
    </w:p>
    <w:p w14:paraId="5788483E" w14:textId="77777777" w:rsidR="00EF582A" w:rsidRPr="00EF582A" w:rsidRDefault="00EF582A" w:rsidP="00CA029D">
      <w:pPr>
        <w:jc w:val="both"/>
      </w:pPr>
      <w:r w:rsidRPr="00EF582A">
        <w:lastRenderedPageBreak/>
        <w:t>The DevSecOps Lead is responsible for embedding security into the software development lifecycle. This includes managing secure CI/CD pipelines, enforcing dependency scanning, and implementing controls to protect AI models from tampering or poisoning [8], [10]. By integrating security directly into development workflows, supply chain risks are reduced, and vulnerabilities are identified earlier [7]. Overall, this structure supports Zero Trust by embedding security throughout the organisation, enabling faster detection, response, and resilience [1], [2].</w:t>
      </w:r>
    </w:p>
    <w:p w14:paraId="25EA0973" w14:textId="77777777" w:rsidR="00EF582A" w:rsidRPr="00CA029D" w:rsidRDefault="00EF582A" w:rsidP="00CA029D">
      <w:pPr>
        <w:jc w:val="both"/>
      </w:pPr>
    </w:p>
    <w:p w14:paraId="20EF41D3" w14:textId="77777777" w:rsidR="00CA029D" w:rsidRPr="00CA029D" w:rsidRDefault="00CA029D" w:rsidP="00D22C11">
      <w:pPr>
        <w:pStyle w:val="Heading2"/>
      </w:pPr>
      <w:bookmarkStart w:id="13" w:name="_Toc218556267"/>
      <w:r w:rsidRPr="00CA029D">
        <w:t>Policy and Procedures for a Zero Trust-Aligned Hybrid Environment</w:t>
      </w:r>
      <w:bookmarkEnd w:id="13"/>
    </w:p>
    <w:p w14:paraId="15BCF20E" w14:textId="77777777" w:rsidR="00CA029D" w:rsidRPr="00CA029D" w:rsidRDefault="00CA029D" w:rsidP="00CA029D">
      <w:pPr>
        <w:jc w:val="both"/>
      </w:pPr>
      <w:r w:rsidRPr="00CA029D">
        <w:t>Since ResilientIntellect Ltd is a hybrid organisation, policies are essential to reduce risk to its AI threat intelligence assets, ensure consistency across consulting activities, and support compliance during expansion into the EU [1], [2].</w:t>
      </w:r>
    </w:p>
    <w:p w14:paraId="0C9EB19F" w14:textId="77777777" w:rsidR="00CA029D" w:rsidRPr="00CA029D" w:rsidRDefault="00CA029D" w:rsidP="00D22C11">
      <w:pPr>
        <w:pStyle w:val="Heading3"/>
      </w:pPr>
      <w:bookmarkStart w:id="14" w:name="_Toc218556268"/>
      <w:r w:rsidRPr="00CA029D">
        <w:t>AI Usage Policy</w:t>
      </w:r>
      <w:bookmarkEnd w:id="14"/>
    </w:p>
    <w:p w14:paraId="3F10CC85" w14:textId="77777777" w:rsidR="00CA029D" w:rsidRPr="00CA029D" w:rsidRDefault="00CA029D" w:rsidP="00CA029D">
      <w:pPr>
        <w:jc w:val="both"/>
      </w:pPr>
      <w:r w:rsidRPr="00CA029D">
        <w:t>AI requires a policy because AI models and training data are high-value assets and are targets for poisoning, theft, and unauthorised modification [7], [8]. The policy covers Zero Trust-aligned access control, which is role-based and follows least privilege [1], [5]. Identity verification is required before access, with MFA enforced for sensitive operations [6], [10]. Model integrity and lifecycle management include version control, change logging, and separation between training, testing, and deployment environments [2]. Auditability is required to ensure accountability and compliance [3], [4], with clear ownership of assets and alignment with DORA and NIS2 requirements [3], [9]. A limitation of this policy is that its effectiveness depends on enforcement, IAM maturity, and ongoing monitoring, which can increase operational overhead [2].</w:t>
      </w:r>
    </w:p>
    <w:p w14:paraId="0282E728" w14:textId="77777777" w:rsidR="00CA029D" w:rsidRPr="00CA029D" w:rsidRDefault="00CA029D" w:rsidP="00D22C11">
      <w:pPr>
        <w:pStyle w:val="Heading3"/>
      </w:pPr>
      <w:bookmarkStart w:id="15" w:name="_Toc218556269"/>
      <w:r w:rsidRPr="00CA029D">
        <w:t>Secure SaaS Configuration Policy</w:t>
      </w:r>
      <w:bookmarkEnd w:id="15"/>
    </w:p>
    <w:p w14:paraId="48A0846E" w14:textId="5EE187CD" w:rsidR="00CA029D" w:rsidRPr="00CA029D" w:rsidRDefault="00CA029D" w:rsidP="00CA029D">
      <w:pPr>
        <w:jc w:val="both"/>
      </w:pPr>
      <w:r w:rsidRPr="00CA029D">
        <w:t xml:space="preserve">A SaaS policy is required because the organisation relies heavily on cloud and SaaS platforms [6]. SaaS adoption expands the attack surface in hybrid environments, and misconfiguration is a common cause of breaches [7]. SaaS access is identity-based, follows least privilege, and enforces conditional access with mandatory MFA in line with Zero Trust principles [1], [5], [6], [10]. The policy defines secure default configurations, </w:t>
      </w:r>
      <w:r w:rsidRPr="00CA029D">
        <w:lastRenderedPageBreak/>
        <w:t>regular reviews, continuous monitoring, logging, and detection of abnormal access patterns [2], [7]. A limitation is dependency on identity systems, misconfiguration risk, and administrative overhead [1].</w:t>
      </w:r>
    </w:p>
    <w:p w14:paraId="2DE3C3E9" w14:textId="77777777" w:rsidR="00CA029D" w:rsidRPr="00CA029D" w:rsidRDefault="00CA029D" w:rsidP="00D22C11">
      <w:pPr>
        <w:pStyle w:val="Heading3"/>
      </w:pPr>
      <w:bookmarkStart w:id="16" w:name="_Toc218556270"/>
      <w:r w:rsidRPr="00CA029D">
        <w:t>BYOD Policy</w:t>
      </w:r>
      <w:bookmarkEnd w:id="16"/>
    </w:p>
    <w:p w14:paraId="15DF8F7F" w14:textId="5623F035" w:rsidR="00CA029D" w:rsidRPr="00CA029D" w:rsidRDefault="00CA029D" w:rsidP="00CA029D">
      <w:pPr>
        <w:jc w:val="both"/>
      </w:pPr>
      <w:r w:rsidRPr="00CA029D">
        <w:t>A BYOD policy is required due to the hybrid workforce, which increases the attack surface [7]. BYOD devices are often unmanaged and outside traditional perimeter controls, requiring conditional access based on device posture [1], [6]. Access is granted or restricted based on OS version, patch level, and enabled security controls [2]. Non-compliant devices receive limited or browser-based access [5]. The policy defines device requirements</w:t>
      </w:r>
      <w:r w:rsidR="001824BC">
        <w:t>,</w:t>
      </w:r>
      <w:r w:rsidRPr="00CA029D">
        <w:t xml:space="preserve"> including patching, encryption, and endpoint protection [6]. Identity verification and restricted access to sensitive systems such as AI data and source code reduce the blast radius and limit credential abuse [1], [7], [10]. Data loss prevention controls restrict downloads, copy-paste, and external storage, while monitoring data movement supports EU compliance requirements [3], [4], [9]. Limitations include user resistance due to monitoring, privacy concerns, separation of personal and corporate data, and increased administrative overhead, highlighting the trade-off between security and usability [1], [4].</w:t>
      </w:r>
    </w:p>
    <w:p w14:paraId="60FED269" w14:textId="77777777" w:rsidR="00EF582A" w:rsidRPr="00CA029D" w:rsidRDefault="00EF582A" w:rsidP="00CA029D">
      <w:pPr>
        <w:jc w:val="both"/>
      </w:pPr>
    </w:p>
    <w:p w14:paraId="3FAB7351" w14:textId="77777777" w:rsidR="00E61EC7" w:rsidRPr="00E61EC7" w:rsidRDefault="00E61EC7" w:rsidP="00D22C11">
      <w:pPr>
        <w:pStyle w:val="Heading2"/>
      </w:pPr>
      <w:bookmarkStart w:id="17" w:name="_Toc218556271"/>
      <w:r w:rsidRPr="00E61EC7">
        <w:t>Governance and Strategy – NIST CSF 2.0 and EU Regulatory Compliance</w:t>
      </w:r>
      <w:bookmarkEnd w:id="17"/>
    </w:p>
    <w:p w14:paraId="2F73BDAC" w14:textId="77777777" w:rsidR="00E61EC7" w:rsidRPr="00E61EC7" w:rsidRDefault="00E61EC7" w:rsidP="00CA029D">
      <w:pPr>
        <w:jc w:val="both"/>
      </w:pPr>
      <w:r w:rsidRPr="00E61EC7">
        <w:t>Governance is a critical requirement for ResilientIntellect Ltd due to its expansion into the European Union, its reliance on artificial intelligence systems, and its fully hybrid workforce. These factors significantly increase legal responsibility, security risk, and regulatory scrutiny. Effective governance ensures that security decisions are consistent, accountable, and aligned with both regulatory obligations and business objectives. Without a strong governance framework, security controls risk becoming reactive, fragmented, and insufficient to meet EU compliance requirements, increasing the likelihood of regulatory breaches and reputational damage [2], [4].</w:t>
      </w:r>
    </w:p>
    <w:p w14:paraId="064041C2" w14:textId="77777777" w:rsidR="00E61EC7" w:rsidRPr="00E61EC7" w:rsidRDefault="00E61EC7" w:rsidP="00CA029D">
      <w:pPr>
        <w:jc w:val="both"/>
      </w:pPr>
      <w:r w:rsidRPr="00E61EC7">
        <w:lastRenderedPageBreak/>
        <w:t>To address these challenges, ResilientIntellect adopts the NIST Cybersecurity Framework (CSF) 2.0 as its core governance model. NIST CSF 2.0 is a widely recognised and flexible framework that provides structure, accountability, and strategic oversight [2]. It is particularly suitable for hybrid organisations operating in cloud-based and regulated environments. The framework enables ResilientIntellect to manage cybersecurity as an organisational risk rather than a purely technical issue, ensuring alignment between security strategy, operational resilience, and business growth objectives. Its risk-based approach aligns naturally with Zero Trust principles, allowing security controls to be prioritised based on impact and likelihood [1], [5].</w:t>
      </w:r>
    </w:p>
    <w:p w14:paraId="6A2773E2" w14:textId="77777777" w:rsidR="00E61EC7" w:rsidRPr="00E61EC7" w:rsidRDefault="00E61EC7" w:rsidP="00CA029D">
      <w:pPr>
        <w:jc w:val="both"/>
      </w:pPr>
      <w:r w:rsidRPr="00E61EC7">
        <w:t>Table 1 maps the NIST Cybersecurity Framework 2.0 functions to their practical implementation within ResilientIntellect Ltd and highlights the associated business and regulatory benefits.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85"/>
        <w:gridCol w:w="4339"/>
        <w:gridCol w:w="3202"/>
      </w:tblGrid>
      <w:tr w:rsidR="00E61EC7" w:rsidRPr="00E61EC7" w14:paraId="35CA654B" w14:textId="77777777" w:rsidTr="000F20DB">
        <w:trPr>
          <w:tblHeader/>
          <w:tblCellSpacing w:w="15" w:type="dxa"/>
        </w:trPr>
        <w:tc>
          <w:tcPr>
            <w:tcW w:w="0" w:type="auto"/>
            <w:vAlign w:val="center"/>
            <w:hideMark/>
          </w:tcPr>
          <w:p w14:paraId="06959F17" w14:textId="77777777" w:rsidR="00E61EC7" w:rsidRPr="00E61EC7" w:rsidRDefault="00E61EC7" w:rsidP="00CA029D">
            <w:pPr>
              <w:jc w:val="both"/>
            </w:pPr>
            <w:r w:rsidRPr="00E61EC7">
              <w:t>NIST CSF Function</w:t>
            </w:r>
          </w:p>
        </w:tc>
        <w:tc>
          <w:tcPr>
            <w:tcW w:w="0" w:type="auto"/>
            <w:vAlign w:val="center"/>
            <w:hideMark/>
          </w:tcPr>
          <w:p w14:paraId="3504DDBE" w14:textId="77777777" w:rsidR="00E61EC7" w:rsidRPr="00E61EC7" w:rsidRDefault="00E61EC7" w:rsidP="00CA029D">
            <w:pPr>
              <w:jc w:val="both"/>
            </w:pPr>
            <w:r w:rsidRPr="00E61EC7">
              <w:t>Implementation at ResilientIntellect Ltd</w:t>
            </w:r>
          </w:p>
        </w:tc>
        <w:tc>
          <w:tcPr>
            <w:tcW w:w="0" w:type="auto"/>
            <w:vAlign w:val="center"/>
            <w:hideMark/>
          </w:tcPr>
          <w:p w14:paraId="16BB9832" w14:textId="77777777" w:rsidR="00E61EC7" w:rsidRPr="00E61EC7" w:rsidRDefault="00E61EC7" w:rsidP="00CA029D">
            <w:pPr>
              <w:jc w:val="both"/>
            </w:pPr>
            <w:r w:rsidRPr="00E61EC7">
              <w:t>Business / Compliance Impact</w:t>
            </w:r>
          </w:p>
        </w:tc>
      </w:tr>
      <w:tr w:rsidR="00E61EC7" w:rsidRPr="00E61EC7" w14:paraId="6124BE2F" w14:textId="77777777" w:rsidTr="000F20DB">
        <w:trPr>
          <w:tblCellSpacing w:w="15" w:type="dxa"/>
        </w:trPr>
        <w:tc>
          <w:tcPr>
            <w:tcW w:w="0" w:type="auto"/>
            <w:vAlign w:val="center"/>
            <w:hideMark/>
          </w:tcPr>
          <w:p w14:paraId="309CD1C1" w14:textId="77777777" w:rsidR="00E61EC7" w:rsidRPr="00E61EC7" w:rsidRDefault="00E61EC7" w:rsidP="00CA029D">
            <w:pPr>
              <w:jc w:val="both"/>
            </w:pPr>
            <w:r w:rsidRPr="00E61EC7">
              <w:t>Identify</w:t>
            </w:r>
          </w:p>
        </w:tc>
        <w:tc>
          <w:tcPr>
            <w:tcW w:w="0" w:type="auto"/>
            <w:vAlign w:val="center"/>
            <w:hideMark/>
          </w:tcPr>
          <w:p w14:paraId="0B2794FC" w14:textId="0E6EE6B5" w:rsidR="00E61EC7" w:rsidRPr="00E61EC7" w:rsidRDefault="00E61EC7" w:rsidP="00CA029D">
            <w:pPr>
              <w:jc w:val="both"/>
            </w:pPr>
            <w:r w:rsidRPr="00E61EC7">
              <w:t xml:space="preserve">Asset inventory of AI models, cloud services, </w:t>
            </w:r>
            <w:r w:rsidR="001824BC">
              <w:t xml:space="preserve">and </w:t>
            </w:r>
            <w:r w:rsidRPr="00E61EC7">
              <w:t>supply chain risks</w:t>
            </w:r>
          </w:p>
        </w:tc>
        <w:tc>
          <w:tcPr>
            <w:tcW w:w="0" w:type="auto"/>
            <w:vAlign w:val="center"/>
            <w:hideMark/>
          </w:tcPr>
          <w:p w14:paraId="088B400C" w14:textId="77777777" w:rsidR="00E61EC7" w:rsidRPr="00E61EC7" w:rsidRDefault="00E61EC7" w:rsidP="00CA029D">
            <w:pPr>
              <w:jc w:val="both"/>
            </w:pPr>
            <w:r w:rsidRPr="00E61EC7">
              <w:t>Risk visibility, compliance readiness</w:t>
            </w:r>
          </w:p>
        </w:tc>
      </w:tr>
      <w:tr w:rsidR="00E61EC7" w:rsidRPr="00E61EC7" w14:paraId="1C71844B" w14:textId="77777777" w:rsidTr="000F20DB">
        <w:trPr>
          <w:tblCellSpacing w:w="15" w:type="dxa"/>
        </w:trPr>
        <w:tc>
          <w:tcPr>
            <w:tcW w:w="0" w:type="auto"/>
            <w:vAlign w:val="center"/>
            <w:hideMark/>
          </w:tcPr>
          <w:p w14:paraId="59A10942" w14:textId="77777777" w:rsidR="00E61EC7" w:rsidRPr="00E61EC7" w:rsidRDefault="00E61EC7" w:rsidP="00CA029D">
            <w:pPr>
              <w:jc w:val="both"/>
            </w:pPr>
            <w:r w:rsidRPr="00E61EC7">
              <w:t>Protect</w:t>
            </w:r>
          </w:p>
        </w:tc>
        <w:tc>
          <w:tcPr>
            <w:tcW w:w="0" w:type="auto"/>
            <w:vAlign w:val="center"/>
            <w:hideMark/>
          </w:tcPr>
          <w:p w14:paraId="11ED104E" w14:textId="77777777" w:rsidR="00E61EC7" w:rsidRPr="00E61EC7" w:rsidRDefault="00E61EC7" w:rsidP="00CA029D">
            <w:pPr>
              <w:jc w:val="both"/>
            </w:pPr>
            <w:r w:rsidRPr="00E61EC7">
              <w:t>Zero Trust IAM, MFA, least privilege</w:t>
            </w:r>
          </w:p>
        </w:tc>
        <w:tc>
          <w:tcPr>
            <w:tcW w:w="0" w:type="auto"/>
            <w:vAlign w:val="center"/>
            <w:hideMark/>
          </w:tcPr>
          <w:p w14:paraId="4E974652" w14:textId="77777777" w:rsidR="00E61EC7" w:rsidRPr="00E61EC7" w:rsidRDefault="00E61EC7" w:rsidP="00CA029D">
            <w:pPr>
              <w:jc w:val="both"/>
            </w:pPr>
            <w:r w:rsidRPr="00E61EC7">
              <w:t>Data protection, reduced breach impact</w:t>
            </w:r>
          </w:p>
        </w:tc>
      </w:tr>
      <w:tr w:rsidR="00E61EC7" w:rsidRPr="00E61EC7" w14:paraId="0B6E3A76" w14:textId="77777777" w:rsidTr="000F20DB">
        <w:trPr>
          <w:tblCellSpacing w:w="15" w:type="dxa"/>
        </w:trPr>
        <w:tc>
          <w:tcPr>
            <w:tcW w:w="0" w:type="auto"/>
            <w:vAlign w:val="center"/>
            <w:hideMark/>
          </w:tcPr>
          <w:p w14:paraId="49ECF62E" w14:textId="77777777" w:rsidR="00E61EC7" w:rsidRPr="00E61EC7" w:rsidRDefault="00E61EC7" w:rsidP="00CA029D">
            <w:pPr>
              <w:jc w:val="both"/>
            </w:pPr>
            <w:r w:rsidRPr="00E61EC7">
              <w:t>Detect</w:t>
            </w:r>
          </w:p>
        </w:tc>
        <w:tc>
          <w:tcPr>
            <w:tcW w:w="0" w:type="auto"/>
            <w:vAlign w:val="center"/>
            <w:hideMark/>
          </w:tcPr>
          <w:p w14:paraId="22AD20C0" w14:textId="77777777" w:rsidR="00E61EC7" w:rsidRPr="00E61EC7" w:rsidRDefault="00E61EC7" w:rsidP="00CA029D">
            <w:pPr>
              <w:jc w:val="both"/>
            </w:pPr>
            <w:r w:rsidRPr="00E61EC7">
              <w:t>SIEM, continuous monitoring</w:t>
            </w:r>
          </w:p>
        </w:tc>
        <w:tc>
          <w:tcPr>
            <w:tcW w:w="0" w:type="auto"/>
            <w:vAlign w:val="center"/>
            <w:hideMark/>
          </w:tcPr>
          <w:p w14:paraId="66CE17A6" w14:textId="77777777" w:rsidR="00E61EC7" w:rsidRPr="00E61EC7" w:rsidRDefault="00E61EC7" w:rsidP="00CA029D">
            <w:pPr>
              <w:jc w:val="both"/>
            </w:pPr>
            <w:r w:rsidRPr="00E61EC7">
              <w:t>Faster incident detection, NIS2 reporting</w:t>
            </w:r>
          </w:p>
        </w:tc>
      </w:tr>
      <w:tr w:rsidR="00E61EC7" w:rsidRPr="00E61EC7" w14:paraId="53B86AAA" w14:textId="77777777" w:rsidTr="000F20DB">
        <w:trPr>
          <w:tblCellSpacing w:w="15" w:type="dxa"/>
        </w:trPr>
        <w:tc>
          <w:tcPr>
            <w:tcW w:w="0" w:type="auto"/>
            <w:vAlign w:val="center"/>
            <w:hideMark/>
          </w:tcPr>
          <w:p w14:paraId="1EC57DB6" w14:textId="77777777" w:rsidR="00E61EC7" w:rsidRPr="00E61EC7" w:rsidRDefault="00E61EC7" w:rsidP="00CA029D">
            <w:pPr>
              <w:jc w:val="both"/>
            </w:pPr>
            <w:r w:rsidRPr="00E61EC7">
              <w:t>Respond</w:t>
            </w:r>
          </w:p>
        </w:tc>
        <w:tc>
          <w:tcPr>
            <w:tcW w:w="0" w:type="auto"/>
            <w:vAlign w:val="center"/>
            <w:hideMark/>
          </w:tcPr>
          <w:p w14:paraId="1974757A" w14:textId="77777777" w:rsidR="00E61EC7" w:rsidRPr="00E61EC7" w:rsidRDefault="00E61EC7" w:rsidP="00CA029D">
            <w:pPr>
              <w:jc w:val="both"/>
            </w:pPr>
            <w:r w:rsidRPr="00E61EC7">
              <w:t>Automated IR playbooks</w:t>
            </w:r>
          </w:p>
        </w:tc>
        <w:tc>
          <w:tcPr>
            <w:tcW w:w="0" w:type="auto"/>
            <w:vAlign w:val="center"/>
            <w:hideMark/>
          </w:tcPr>
          <w:p w14:paraId="23CB924D" w14:textId="77777777" w:rsidR="00E61EC7" w:rsidRPr="00E61EC7" w:rsidRDefault="00E61EC7" w:rsidP="00CA029D">
            <w:pPr>
              <w:jc w:val="both"/>
            </w:pPr>
            <w:r w:rsidRPr="00E61EC7">
              <w:t>Reduced downtime, governance accountability</w:t>
            </w:r>
          </w:p>
        </w:tc>
      </w:tr>
      <w:tr w:rsidR="00E61EC7" w:rsidRPr="00E61EC7" w14:paraId="39B15003" w14:textId="77777777" w:rsidTr="000F20DB">
        <w:trPr>
          <w:tblCellSpacing w:w="15" w:type="dxa"/>
        </w:trPr>
        <w:tc>
          <w:tcPr>
            <w:tcW w:w="0" w:type="auto"/>
            <w:vAlign w:val="center"/>
            <w:hideMark/>
          </w:tcPr>
          <w:p w14:paraId="64E0DBAA" w14:textId="77777777" w:rsidR="00E61EC7" w:rsidRPr="00E61EC7" w:rsidRDefault="00E61EC7" w:rsidP="00CA029D">
            <w:pPr>
              <w:jc w:val="both"/>
            </w:pPr>
            <w:r w:rsidRPr="00E61EC7">
              <w:t>Recover</w:t>
            </w:r>
          </w:p>
        </w:tc>
        <w:tc>
          <w:tcPr>
            <w:tcW w:w="0" w:type="auto"/>
            <w:vAlign w:val="center"/>
            <w:hideMark/>
          </w:tcPr>
          <w:p w14:paraId="2157F5C8" w14:textId="77777777" w:rsidR="00E61EC7" w:rsidRPr="00E61EC7" w:rsidRDefault="00E61EC7" w:rsidP="00CA029D">
            <w:pPr>
              <w:jc w:val="both"/>
            </w:pPr>
            <w:r w:rsidRPr="00E61EC7">
              <w:t>Backups, DR testing</w:t>
            </w:r>
          </w:p>
        </w:tc>
        <w:tc>
          <w:tcPr>
            <w:tcW w:w="0" w:type="auto"/>
            <w:vAlign w:val="center"/>
            <w:hideMark/>
          </w:tcPr>
          <w:p w14:paraId="467CB825" w14:textId="77777777" w:rsidR="00E61EC7" w:rsidRPr="00E61EC7" w:rsidRDefault="00E61EC7" w:rsidP="00CA029D">
            <w:pPr>
              <w:jc w:val="both"/>
            </w:pPr>
            <w:r w:rsidRPr="00E61EC7">
              <w:t>DORA operational resilience</w:t>
            </w:r>
          </w:p>
        </w:tc>
      </w:tr>
    </w:tbl>
    <w:p w14:paraId="6257647F" w14:textId="77777777" w:rsidR="00E61EC7" w:rsidRPr="00E61EC7" w:rsidRDefault="00E61EC7" w:rsidP="00CA029D">
      <w:pPr>
        <w:jc w:val="both"/>
      </w:pPr>
      <w:r w:rsidRPr="00E61EC7">
        <w:t xml:space="preserve">Within the Identify function, ResilientIntellect establishes a comprehensive understanding of its critical assets, including AI training data, proprietary threat intelligence models, source code repositories, cloud infrastructure, and third-party dependencies. Supply chain risks and regulatory exposure are formally assessed, </w:t>
      </w:r>
      <w:r w:rsidRPr="00E61EC7">
        <w:lastRenderedPageBreak/>
        <w:t>ensuring that governance decisions are informed by business-critical risk awareness [2], [9].</w:t>
      </w:r>
    </w:p>
    <w:p w14:paraId="4DB73B12" w14:textId="77777777" w:rsidR="00E61EC7" w:rsidRPr="00E61EC7" w:rsidRDefault="00E61EC7" w:rsidP="00CA029D">
      <w:pPr>
        <w:jc w:val="both"/>
      </w:pPr>
      <w:r w:rsidRPr="00E61EC7">
        <w:t>The Protect function is implemented through Zero Trust controls such as identity-centric access, least privilege enforcement, and formalised security policies [1], [10]. These measures protect high-value assets while ensuring consistency across hybrid working environments. Governance ensures that protection mechanisms are approved, enforced, and reviewed at an organisational level [5].</w:t>
      </w:r>
    </w:p>
    <w:p w14:paraId="096200B4" w14:textId="77777777" w:rsidR="00E61EC7" w:rsidRPr="00E61EC7" w:rsidRDefault="00E61EC7" w:rsidP="00CA029D">
      <w:pPr>
        <w:jc w:val="both"/>
      </w:pPr>
      <w:r w:rsidRPr="00E61EC7">
        <w:t>Under the Detect function, continuous monitoring, centralised logging, and behavioural analysis are mandated to ensure early detection of security incidents [7]. This capability is essential for meeting regulatory reporting obligations and supports transparency and oversight [4].</w:t>
      </w:r>
    </w:p>
    <w:p w14:paraId="0FC1A0BB" w14:textId="77777777" w:rsidR="00E61EC7" w:rsidRPr="00E61EC7" w:rsidRDefault="00E61EC7" w:rsidP="00CA029D">
      <w:pPr>
        <w:jc w:val="both"/>
      </w:pPr>
      <w:r w:rsidRPr="00E61EC7">
        <w:t>The Respond function defines structured incident response processes, supported by automation where possible. These processes ensure that incidents are handled consistently and reported in line with NIS2 requirements [4]. Governance plays a central role in assigning responsibility and validating that response actions align with regulatory timelines [2].</w:t>
      </w:r>
    </w:p>
    <w:p w14:paraId="123FE746" w14:textId="77777777" w:rsidR="00E61EC7" w:rsidRPr="00E61EC7" w:rsidRDefault="00E61EC7" w:rsidP="00CA029D">
      <w:pPr>
        <w:jc w:val="both"/>
      </w:pPr>
      <w:r w:rsidRPr="00E61EC7">
        <w:t>Finally, the Recover function focuses on operational resilience, including backups, disaster recovery, and service restoration. Governance ensures that recovery capabilities are tested, documented, and continuously improved, aligning directly with the Digital Operational Resilience Act (DORA) [3], [9].</w:t>
      </w:r>
    </w:p>
    <w:p w14:paraId="38982AE4" w14:textId="77777777" w:rsidR="00E61EC7" w:rsidRPr="00E61EC7" w:rsidRDefault="00E61EC7" w:rsidP="00CA029D">
      <w:pPr>
        <w:jc w:val="both"/>
      </w:pPr>
      <w:r w:rsidRPr="00E61EC7">
        <w:t>DORA places strong emphasis on an organisation’s ability to withstand, respond to, and recover from cyber incidents. For ResilientIntellect Ltd, this is particularly relevant due to its reliance on AI training data, proprietary software, and cloud services. A Zero Trust Architecture supports these requirements by limiting lateral movement, enforcing least privilege, and enabling rapid isolation of compromised identities or services [1], [10]. Automation further enhances resilience by reducing response times and minimising operational disruption [6].</w:t>
      </w:r>
    </w:p>
    <w:p w14:paraId="40B24B17" w14:textId="77777777" w:rsidR="00E61EC7" w:rsidRPr="00E61EC7" w:rsidRDefault="00E61EC7" w:rsidP="00CA029D">
      <w:pPr>
        <w:jc w:val="both"/>
      </w:pPr>
      <w:r w:rsidRPr="00E61EC7">
        <w:t xml:space="preserve">NIS2 complements DORA by strengthening governance, accountability, and incident reporting obligations. It increases management responsibility for cybersecurity strategy </w:t>
      </w:r>
      <w:r w:rsidRPr="00E61EC7">
        <w:lastRenderedPageBreak/>
        <w:t>and mandates timely reporting of significant incidents [4]. Zero Trust-aligned monitoring, centralised logging, and automated response processes improve visibility and enable accurate, timely reporting, supporting both regulatory compliance and organisational accountability [7].</w:t>
      </w:r>
    </w:p>
    <w:p w14:paraId="12F7782A" w14:textId="77777777" w:rsidR="00E61EC7" w:rsidRPr="00CA029D" w:rsidRDefault="00E61EC7" w:rsidP="00CA029D">
      <w:pPr>
        <w:jc w:val="both"/>
      </w:pPr>
      <w:r w:rsidRPr="00E61EC7">
        <w:t>In combination, NIST CSF 2.0, DORA, and NIS2 reinforce the need for a governance-led, resilience-focused security strategy. By integrating Zero Trust principles within a structured governance framework, ResilientIntellect Ltd can meet EU regulatory requirements, protect critical assets, and sustain secure growth during expansion while maintaining client trust and operational stability [1], [2], [3], [4].</w:t>
      </w:r>
    </w:p>
    <w:p w14:paraId="6665B0E7" w14:textId="77777777" w:rsidR="00E61EC7" w:rsidRPr="00E61EC7" w:rsidRDefault="00E61EC7" w:rsidP="00CA029D">
      <w:pPr>
        <w:jc w:val="both"/>
      </w:pPr>
    </w:p>
    <w:p w14:paraId="63C5DF93" w14:textId="77777777" w:rsidR="003673A2" w:rsidRPr="003673A2" w:rsidRDefault="003673A2" w:rsidP="00D22C11">
      <w:pPr>
        <w:pStyle w:val="Heading2"/>
      </w:pPr>
      <w:bookmarkStart w:id="18" w:name="_Toc218556272"/>
      <w:r w:rsidRPr="003673A2">
        <w:t>Contingency Planning</w:t>
      </w:r>
      <w:bookmarkEnd w:id="18"/>
    </w:p>
    <w:p w14:paraId="391F00CA" w14:textId="540E5887" w:rsidR="003673A2" w:rsidRPr="003673A2" w:rsidRDefault="003673A2" w:rsidP="00CA029D">
      <w:pPr>
        <w:jc w:val="both"/>
      </w:pPr>
      <w:r w:rsidRPr="003673A2">
        <w:t>A ransomware attack represents a critical threat to ResilientIntellect Ltd, as such an incident could encrypt AI training data, source code repositories, and cloud-hosted services. This risk is particularly severe because proprietary AI models and threat intelligence software constitute the organisation’s core business assets. A successful attack would therefore result not only in data loss but also in prolonged service disruption, reputational damage, and regulatory consequences. Within the context of EU expansion, frameworks such as DORA emphasise preparedness and operational resilience rather than reactive recovery, making contingency planning a mandatory requirement [3], [9].</w:t>
      </w:r>
    </w:p>
    <w:p w14:paraId="756E1EEB" w14:textId="77777777" w:rsidR="003673A2" w:rsidRPr="003673A2" w:rsidRDefault="003673A2" w:rsidP="00CA029D">
      <w:pPr>
        <w:jc w:val="both"/>
      </w:pPr>
      <w:r w:rsidRPr="003673A2">
        <w:t>To address this risk, ResilientIntellect Ltd should implement a robust backup and recovery strategy. This includes automated and regular backups, the use of offline and immutable storage, and strict separation between production and backup environments. These measures prevent total data loss and enable recovery without ransom payment, which is essential for protecting high-value AI training data and proprietary code. From a Zero Trust perspective, access to backup systems must follow least-privilege principles, with tightly restricted and audited access to reduce the risk of compromise [1], [10]. This approach directly supports DORA’s recovery and resilience obligations [3], [9].</w:t>
      </w:r>
    </w:p>
    <w:p w14:paraId="1CA51FE6" w14:textId="1F6E3773" w:rsidR="003673A2" w:rsidRPr="003673A2" w:rsidRDefault="003673A2" w:rsidP="00CA029D">
      <w:pPr>
        <w:jc w:val="both"/>
      </w:pPr>
      <w:r w:rsidRPr="003673A2">
        <w:lastRenderedPageBreak/>
        <w:t xml:space="preserve">Incident response and recovery procedures form a further critical component of contingency planning. Ransomware detection should be enabled through integrated EDR and SIEM tooling, allowing rapid identification and containment of malicious activity [7]. Infected systems must be isolated immediately, followed by restoration from verified clean backups. AI models and software artefacts should be validated </w:t>
      </w:r>
      <w:r w:rsidR="001824BC">
        <w:t>before</w:t>
      </w:r>
      <w:r w:rsidRPr="003673A2">
        <w:t xml:space="preserve"> redeployment to ensure integrity. These processes minimise downtime, prevent reinfection, and support timely incident reporting, satisfying NIS2 governance and accountability requirements [4].</w:t>
      </w:r>
    </w:p>
    <w:p w14:paraId="05C57E38" w14:textId="77777777" w:rsidR="003673A2" w:rsidRPr="003673A2" w:rsidRDefault="003673A2" w:rsidP="00CA029D">
      <w:pPr>
        <w:jc w:val="both"/>
      </w:pPr>
      <w:r w:rsidRPr="003673A2">
        <w:t>While recovery processes can be costly and time-consuming, these trade-offs are necessary to shift the organisation from a reactive posture to a resilient operational model.</w:t>
      </w:r>
    </w:p>
    <w:p w14:paraId="12192058" w14:textId="77777777" w:rsidR="003673A2" w:rsidRPr="00CA029D" w:rsidRDefault="003673A2" w:rsidP="00CA029D">
      <w:pPr>
        <w:jc w:val="both"/>
      </w:pPr>
    </w:p>
    <w:p w14:paraId="66861DBE" w14:textId="77777777" w:rsidR="003673A2" w:rsidRPr="003673A2" w:rsidRDefault="003673A2" w:rsidP="00D22C11">
      <w:pPr>
        <w:pStyle w:val="Heading2"/>
      </w:pPr>
      <w:bookmarkStart w:id="19" w:name="_Toc218556273"/>
      <w:r w:rsidRPr="003673A2">
        <w:t>Protection Mechanisms – Zero Trust Control Implementation</w:t>
      </w:r>
      <w:bookmarkEnd w:id="19"/>
    </w:p>
    <w:p w14:paraId="422FF663" w14:textId="77777777" w:rsidR="003673A2" w:rsidRPr="003673A2" w:rsidRDefault="003673A2" w:rsidP="00CA029D">
      <w:pPr>
        <w:jc w:val="both"/>
      </w:pPr>
      <w:r w:rsidRPr="003673A2">
        <w:t>To protect ResilientIntellect Ltd’s hybrid, cloud-based, and AI-driven environment, modern security controls must be implemented in alignment with Zero Trust principles and EU regulatory requirements. These controls prioritise continuous verification, early threat detection, and rapid response rather than reliance on perimeter-based security [1], [5].</w:t>
      </w:r>
    </w:p>
    <w:p w14:paraId="450C112D" w14:textId="77777777" w:rsidR="003673A2" w:rsidRPr="003673A2" w:rsidRDefault="003673A2" w:rsidP="00CA029D">
      <w:pPr>
        <w:jc w:val="both"/>
      </w:pPr>
      <w:r w:rsidRPr="003673A2">
        <w:t>Cloud Security Posture Management (CSPM) is essential due to the organisation’s heavy use of cloud infrastructure and SaaS platforms. CSPM enables continuous assessment of cloud configurations, identifying risks such as excessive IAM privileges, insecure network rules, and exposed storage. This is critical for protecting AI training data, source code repositories, and client intelligence, while supporting DORA’s resilience requirements and NIS2 risk management expectations [3], [9].</w:t>
      </w:r>
    </w:p>
    <w:p w14:paraId="7AFBC3AF" w14:textId="77777777" w:rsidR="003673A2" w:rsidRPr="003673A2" w:rsidRDefault="003673A2" w:rsidP="00CA029D">
      <w:pPr>
        <w:jc w:val="both"/>
      </w:pPr>
      <w:r w:rsidRPr="003673A2">
        <w:t>A Security Information and Event Management (SIEM) platform provides centralised logging and correlation across cloud services, endpoints, and SaaS applications. SIEM improves detection of anomalous behaviour and supports NIS2 incident reporting through faster investigation and evidence collection [4], [7].</w:t>
      </w:r>
    </w:p>
    <w:p w14:paraId="278F16B3" w14:textId="77777777" w:rsidR="003673A2" w:rsidRPr="003673A2" w:rsidRDefault="003673A2" w:rsidP="00CA029D">
      <w:pPr>
        <w:jc w:val="both"/>
      </w:pPr>
      <w:r w:rsidRPr="003673A2">
        <w:lastRenderedPageBreak/>
        <w:t>Endpoint Detection and Response (EDR) with automated response further reduces risk by isolating compromised devices and limiting lateral movement, supporting DORA’s containment objectives [3]. Finally, phishing-resistant multi-factor authentication strengthens identity security and reduces credential compromise across privileged systems [1], [6], [10].</w:t>
      </w:r>
    </w:p>
    <w:p w14:paraId="1E29653B" w14:textId="77777777" w:rsidR="003673A2" w:rsidRPr="00CA029D" w:rsidRDefault="003673A2" w:rsidP="00CA029D">
      <w:pPr>
        <w:jc w:val="both"/>
      </w:pPr>
    </w:p>
    <w:p w14:paraId="0A27073F" w14:textId="77777777" w:rsidR="003673A2" w:rsidRPr="006136E8" w:rsidRDefault="003673A2" w:rsidP="00D22C11">
      <w:pPr>
        <w:pStyle w:val="Heading2"/>
      </w:pPr>
      <w:bookmarkStart w:id="20" w:name="_Toc218556274"/>
      <w:r w:rsidRPr="006136E8">
        <w:t>Conclusion</w:t>
      </w:r>
      <w:bookmarkEnd w:id="20"/>
    </w:p>
    <w:p w14:paraId="164DBE0D" w14:textId="77777777" w:rsidR="003673A2" w:rsidRPr="006136E8" w:rsidRDefault="003673A2" w:rsidP="00CA029D">
      <w:pPr>
        <w:jc w:val="both"/>
      </w:pPr>
      <w:r w:rsidRPr="006136E8">
        <w:t>ResilientIntellect Ltd operates within a high-risk environment defined by a hybrid workforce, extensive cloud adoption, and the protection of high-value AI assets. Expansion into the EU further intensifies regulatory, operational, and governance pressures through compliance requirements such as DORA and NIS2. As demonstrated throughout this case study, adopting a Zero Trust-aligned security programme provides a robust and forward-looking response to these challenges.</w:t>
      </w:r>
    </w:p>
    <w:p w14:paraId="3F80BB1C" w14:textId="77777777" w:rsidR="003673A2" w:rsidRPr="006136E8" w:rsidRDefault="003673A2" w:rsidP="00CA029D">
      <w:pPr>
        <w:ind w:firstLine="720"/>
        <w:jc w:val="both"/>
      </w:pPr>
      <w:r w:rsidRPr="006136E8">
        <w:t>By eliminating implicit trust and enforcing identity-centric access, least-privilege permissions, continuous verification, and automation, the proposed design strengthens the organisation’s ability to anticipate threats, protect critical systems, detect malicious activity, and respond rapidly to incidents. Alignment with the NIST Cybersecurity Framework 2.0 ensures that security is embedded strategically within business operations rather than implemented as isolated technical controls, while DORA and NIS2 obligations are addressed through resilience planning, monitoring, and accountability.</w:t>
      </w:r>
    </w:p>
    <w:p w14:paraId="4896F877" w14:textId="77777777" w:rsidR="003673A2" w:rsidRPr="006136E8" w:rsidRDefault="003673A2" w:rsidP="00CA029D">
      <w:pPr>
        <w:ind w:firstLine="720"/>
        <w:jc w:val="both"/>
      </w:pPr>
      <w:r w:rsidRPr="006136E8">
        <w:t>Although the proposed programme introduces increased complexity, operational overhead, and a dependency on mature identity and governance processes, these limitations represent an acceptable trade-off for enhanced resilience, regulatory compliance, and long-term risk reduction. Overall, the Zero Trust-aligned security programme enables ResilientIntellect Ltd to expand into the EU with confidence, maintain client trust, and operate securely within an increasingly complex threat and regulatory landscape.</w:t>
      </w:r>
    </w:p>
    <w:p w14:paraId="24BF11E6" w14:textId="77777777" w:rsidR="00E61EC7" w:rsidRDefault="00E61EC7" w:rsidP="00CA029D">
      <w:pPr>
        <w:jc w:val="both"/>
      </w:pPr>
    </w:p>
    <w:p w14:paraId="41D61DAA" w14:textId="77777777" w:rsidR="00D22C11" w:rsidRPr="00CA029D" w:rsidRDefault="00D22C11" w:rsidP="00CA029D">
      <w:pPr>
        <w:jc w:val="both"/>
      </w:pPr>
    </w:p>
    <w:p w14:paraId="07AB5899" w14:textId="77777777" w:rsidR="00CA029D" w:rsidRPr="009E228C" w:rsidRDefault="00CA029D" w:rsidP="00D22C11">
      <w:pPr>
        <w:pStyle w:val="Heading2"/>
      </w:pPr>
      <w:bookmarkStart w:id="21" w:name="_Toc218556275"/>
      <w:r w:rsidRPr="009E228C">
        <w:lastRenderedPageBreak/>
        <w:t xml:space="preserve">Reference List </w:t>
      </w:r>
      <w:r w:rsidRPr="00CA029D">
        <w:t>Task 2</w:t>
      </w:r>
      <w:bookmarkEnd w:id="21"/>
    </w:p>
    <w:p w14:paraId="53729888" w14:textId="77777777" w:rsidR="00CA029D" w:rsidRPr="009E228C" w:rsidRDefault="00CA029D" w:rsidP="00CA029D">
      <w:pPr>
        <w:numPr>
          <w:ilvl w:val="0"/>
          <w:numId w:val="1"/>
        </w:numPr>
        <w:spacing w:line="278" w:lineRule="auto"/>
        <w:jc w:val="both"/>
      </w:pPr>
      <w:r w:rsidRPr="009E228C">
        <w:t xml:space="preserve">National Institute of Standards and Technology, </w:t>
      </w:r>
      <w:r w:rsidRPr="009E228C">
        <w:rPr>
          <w:i/>
          <w:iCs/>
        </w:rPr>
        <w:t>Zero Trust Architecture</w:t>
      </w:r>
      <w:r w:rsidRPr="009E228C">
        <w:t>, NIST Special Publication 800-207, Gaithersburg, MD, USA, Aug. 2020.</w:t>
      </w:r>
    </w:p>
    <w:p w14:paraId="6E528706" w14:textId="77777777" w:rsidR="00CA029D" w:rsidRPr="009E228C" w:rsidRDefault="00CA029D" w:rsidP="00CA029D">
      <w:pPr>
        <w:numPr>
          <w:ilvl w:val="0"/>
          <w:numId w:val="1"/>
        </w:numPr>
        <w:spacing w:line="278" w:lineRule="auto"/>
        <w:jc w:val="both"/>
      </w:pPr>
      <w:r w:rsidRPr="009E228C">
        <w:t xml:space="preserve">National Institute of Standards and Technology, </w:t>
      </w:r>
      <w:r w:rsidRPr="009E228C">
        <w:rPr>
          <w:i/>
          <w:iCs/>
        </w:rPr>
        <w:t>Cybersecurity Framework 2.0</w:t>
      </w:r>
      <w:r w:rsidRPr="009E228C">
        <w:t>, NIST, Gaithersburg, MD, USA, 2024.</w:t>
      </w:r>
    </w:p>
    <w:p w14:paraId="6F12E76A" w14:textId="77777777" w:rsidR="00CA029D" w:rsidRPr="009E228C" w:rsidRDefault="00CA029D" w:rsidP="00CA029D">
      <w:pPr>
        <w:numPr>
          <w:ilvl w:val="0"/>
          <w:numId w:val="1"/>
        </w:numPr>
        <w:spacing w:line="278" w:lineRule="auto"/>
        <w:jc w:val="both"/>
      </w:pPr>
      <w:r w:rsidRPr="009E228C">
        <w:t xml:space="preserve">European Union, </w:t>
      </w:r>
      <w:r w:rsidRPr="009E228C">
        <w:rPr>
          <w:i/>
          <w:iCs/>
        </w:rPr>
        <w:t>Regulation (EU) 2022/2554 on Digital Operational Resilience for the Financial Sector (DORA)</w:t>
      </w:r>
      <w:r w:rsidRPr="009E228C">
        <w:t>, Official Journal of the European Union, 2022.</w:t>
      </w:r>
    </w:p>
    <w:p w14:paraId="4344BFA0" w14:textId="77777777" w:rsidR="00CA029D" w:rsidRPr="009E228C" w:rsidRDefault="00CA029D" w:rsidP="00CA029D">
      <w:pPr>
        <w:numPr>
          <w:ilvl w:val="0"/>
          <w:numId w:val="1"/>
        </w:numPr>
        <w:spacing w:line="278" w:lineRule="auto"/>
        <w:jc w:val="both"/>
      </w:pPr>
      <w:r w:rsidRPr="009E228C">
        <w:t xml:space="preserve">European Union Agency for Cybersecurity (ENISA), </w:t>
      </w:r>
      <w:r w:rsidRPr="009E228C">
        <w:rPr>
          <w:i/>
          <w:iCs/>
        </w:rPr>
        <w:t>NIS2 Directive: A High-Level Overview</w:t>
      </w:r>
      <w:r w:rsidRPr="009E228C">
        <w:t>, ENISA, 2023.</w:t>
      </w:r>
    </w:p>
    <w:p w14:paraId="3F78292D" w14:textId="77777777" w:rsidR="00CA029D" w:rsidRPr="009E228C" w:rsidRDefault="00CA029D" w:rsidP="00CA029D">
      <w:pPr>
        <w:numPr>
          <w:ilvl w:val="0"/>
          <w:numId w:val="1"/>
        </w:numPr>
        <w:spacing w:line="278" w:lineRule="auto"/>
        <w:jc w:val="both"/>
      </w:pPr>
      <w:r w:rsidRPr="009E228C">
        <w:t>J. Kindervag, “Build Security Into Your Network’s DNA: The Zero Trust Network Architecture,” Forrester Research, 2010.</w:t>
      </w:r>
    </w:p>
    <w:p w14:paraId="7FD08B32" w14:textId="77777777" w:rsidR="00CA029D" w:rsidRPr="009E228C" w:rsidRDefault="00CA029D" w:rsidP="00CA029D">
      <w:pPr>
        <w:numPr>
          <w:ilvl w:val="0"/>
          <w:numId w:val="1"/>
        </w:numPr>
        <w:spacing w:line="278" w:lineRule="auto"/>
        <w:jc w:val="both"/>
      </w:pPr>
      <w:r w:rsidRPr="009E228C">
        <w:t xml:space="preserve">Google, </w:t>
      </w:r>
      <w:r w:rsidRPr="009E228C">
        <w:rPr>
          <w:i/>
          <w:iCs/>
        </w:rPr>
        <w:t>BeyondCorp: A New Approach to Enterprise Security</w:t>
      </w:r>
      <w:r w:rsidRPr="009E228C">
        <w:t>, Google Security Whitepaper, 2014.</w:t>
      </w:r>
    </w:p>
    <w:p w14:paraId="7E78F3EC" w14:textId="77777777" w:rsidR="00CA029D" w:rsidRPr="009E228C" w:rsidRDefault="00CA029D" w:rsidP="00CA029D">
      <w:pPr>
        <w:numPr>
          <w:ilvl w:val="0"/>
          <w:numId w:val="1"/>
        </w:numPr>
        <w:spacing w:line="278" w:lineRule="auto"/>
        <w:jc w:val="both"/>
      </w:pPr>
      <w:r w:rsidRPr="009E228C">
        <w:t xml:space="preserve">Verizon, </w:t>
      </w:r>
      <w:r w:rsidRPr="009E228C">
        <w:rPr>
          <w:i/>
          <w:iCs/>
        </w:rPr>
        <w:t>2024 Data Breach Investigations Report (DBIR)</w:t>
      </w:r>
      <w:r w:rsidRPr="009E228C">
        <w:t>, Verizon Enterprise, 2024.</w:t>
      </w:r>
    </w:p>
    <w:p w14:paraId="0132A132" w14:textId="77777777" w:rsidR="00CA029D" w:rsidRPr="009E228C" w:rsidRDefault="00CA029D" w:rsidP="00CA029D">
      <w:pPr>
        <w:numPr>
          <w:ilvl w:val="0"/>
          <w:numId w:val="1"/>
        </w:numPr>
        <w:spacing w:line="278" w:lineRule="auto"/>
        <w:jc w:val="both"/>
      </w:pPr>
      <w:r w:rsidRPr="009E228C">
        <w:t xml:space="preserve">M. Ahmed and S. Y. Shin, “A Survey on Zero Trust Security Models,” </w:t>
      </w:r>
      <w:r w:rsidRPr="009E228C">
        <w:rPr>
          <w:i/>
          <w:iCs/>
        </w:rPr>
        <w:t>IEEE Access</w:t>
      </w:r>
      <w:r w:rsidRPr="009E228C">
        <w:t>, vol. 8, pp. 1–15, 2020.</w:t>
      </w:r>
    </w:p>
    <w:p w14:paraId="0E5EA367" w14:textId="77777777" w:rsidR="00CA029D" w:rsidRPr="009E228C" w:rsidRDefault="00CA029D" w:rsidP="00CA029D">
      <w:pPr>
        <w:numPr>
          <w:ilvl w:val="0"/>
          <w:numId w:val="1"/>
        </w:numPr>
        <w:spacing w:line="278" w:lineRule="auto"/>
        <w:jc w:val="both"/>
      </w:pPr>
      <w:r w:rsidRPr="009E228C">
        <w:t xml:space="preserve">European Central Bank, </w:t>
      </w:r>
      <w:r w:rsidRPr="009E228C">
        <w:rPr>
          <w:i/>
          <w:iCs/>
        </w:rPr>
        <w:t>Digital Operational Resilience Act (DORA) – ICT Risk Management Guidelines</w:t>
      </w:r>
      <w:r w:rsidRPr="009E228C">
        <w:t>, ECB, 2023.</w:t>
      </w:r>
    </w:p>
    <w:p w14:paraId="5FAF6EA6" w14:textId="77777777" w:rsidR="00CA029D" w:rsidRPr="009E228C" w:rsidRDefault="00CA029D" w:rsidP="00CA029D">
      <w:pPr>
        <w:numPr>
          <w:ilvl w:val="0"/>
          <w:numId w:val="1"/>
        </w:numPr>
        <w:spacing w:line="278" w:lineRule="auto"/>
        <w:jc w:val="both"/>
      </w:pPr>
      <w:r w:rsidRPr="009E228C">
        <w:t xml:space="preserve">S. Rose, O. Borchert, S. Mitchell, and S. Connelly, </w:t>
      </w:r>
      <w:r w:rsidRPr="009E228C">
        <w:rPr>
          <w:i/>
          <w:iCs/>
        </w:rPr>
        <w:t>Zero Trust Architecture</w:t>
      </w:r>
      <w:r w:rsidRPr="009E228C">
        <w:t>, NIST SP 800-207, NIST, Gaithersburg, MD, USA, 2020.</w:t>
      </w:r>
    </w:p>
    <w:p w14:paraId="6834BF8A" w14:textId="77777777" w:rsidR="00CA029D" w:rsidRPr="00CA029D" w:rsidRDefault="00CA029D" w:rsidP="00CA029D">
      <w:pPr>
        <w:jc w:val="both"/>
      </w:pPr>
    </w:p>
    <w:p w14:paraId="4472EAED" w14:textId="77777777" w:rsidR="00CA029D" w:rsidRPr="00CA029D" w:rsidRDefault="00CA029D" w:rsidP="00CA029D">
      <w:pPr>
        <w:jc w:val="both"/>
      </w:pPr>
    </w:p>
    <w:sectPr w:rsidR="00CA029D" w:rsidRPr="00CA029D" w:rsidSect="00564B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9E1E0D"/>
    <w:multiLevelType w:val="hybridMultilevel"/>
    <w:tmpl w:val="7EE80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17165D"/>
    <w:multiLevelType w:val="multilevel"/>
    <w:tmpl w:val="3372F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8387290">
    <w:abstractNumId w:val="1"/>
  </w:num>
  <w:num w:numId="2" w16cid:durableId="658731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96B"/>
    <w:rsid w:val="00086E42"/>
    <w:rsid w:val="001824BC"/>
    <w:rsid w:val="00287F75"/>
    <w:rsid w:val="003673A2"/>
    <w:rsid w:val="004F2A9E"/>
    <w:rsid w:val="00564B67"/>
    <w:rsid w:val="005A096B"/>
    <w:rsid w:val="006643DC"/>
    <w:rsid w:val="00706559"/>
    <w:rsid w:val="00791C44"/>
    <w:rsid w:val="0084338A"/>
    <w:rsid w:val="00CA029D"/>
    <w:rsid w:val="00D22C11"/>
    <w:rsid w:val="00E546E6"/>
    <w:rsid w:val="00E61EC7"/>
    <w:rsid w:val="00EF5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7BBC6"/>
  <w15:chartTrackingRefBased/>
  <w15:docId w15:val="{BFFCEA98-DDB0-49D4-B5AF-8BEF36C5D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EC7"/>
  </w:style>
  <w:style w:type="paragraph" w:styleId="Heading1">
    <w:name w:val="heading 1"/>
    <w:basedOn w:val="Normal"/>
    <w:next w:val="Normal"/>
    <w:link w:val="Heading1Char"/>
    <w:uiPriority w:val="9"/>
    <w:qFormat/>
    <w:rsid w:val="005A09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09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09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09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09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09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9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9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9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9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09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09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09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09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09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9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9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96B"/>
    <w:rPr>
      <w:rFonts w:eastAsiaTheme="majorEastAsia" w:cstheme="majorBidi"/>
      <w:color w:val="272727" w:themeColor="text1" w:themeTint="D8"/>
    </w:rPr>
  </w:style>
  <w:style w:type="paragraph" w:styleId="Title">
    <w:name w:val="Title"/>
    <w:basedOn w:val="Normal"/>
    <w:next w:val="Normal"/>
    <w:link w:val="TitleChar"/>
    <w:uiPriority w:val="10"/>
    <w:qFormat/>
    <w:rsid w:val="005A09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9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9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9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96B"/>
    <w:pPr>
      <w:spacing w:before="160"/>
      <w:jc w:val="center"/>
    </w:pPr>
    <w:rPr>
      <w:i/>
      <w:iCs/>
      <w:color w:val="404040" w:themeColor="text1" w:themeTint="BF"/>
    </w:rPr>
  </w:style>
  <w:style w:type="character" w:customStyle="1" w:styleId="QuoteChar">
    <w:name w:val="Quote Char"/>
    <w:basedOn w:val="DefaultParagraphFont"/>
    <w:link w:val="Quote"/>
    <w:uiPriority w:val="29"/>
    <w:rsid w:val="005A096B"/>
    <w:rPr>
      <w:i/>
      <w:iCs/>
      <w:color w:val="404040" w:themeColor="text1" w:themeTint="BF"/>
    </w:rPr>
  </w:style>
  <w:style w:type="paragraph" w:styleId="ListParagraph">
    <w:name w:val="List Paragraph"/>
    <w:basedOn w:val="Normal"/>
    <w:uiPriority w:val="34"/>
    <w:qFormat/>
    <w:rsid w:val="005A096B"/>
    <w:pPr>
      <w:ind w:left="720"/>
      <w:contextualSpacing/>
    </w:pPr>
  </w:style>
  <w:style w:type="character" w:styleId="IntenseEmphasis">
    <w:name w:val="Intense Emphasis"/>
    <w:basedOn w:val="DefaultParagraphFont"/>
    <w:uiPriority w:val="21"/>
    <w:qFormat/>
    <w:rsid w:val="005A096B"/>
    <w:rPr>
      <w:i/>
      <w:iCs/>
      <w:color w:val="0F4761" w:themeColor="accent1" w:themeShade="BF"/>
    </w:rPr>
  </w:style>
  <w:style w:type="paragraph" w:styleId="IntenseQuote">
    <w:name w:val="Intense Quote"/>
    <w:basedOn w:val="Normal"/>
    <w:next w:val="Normal"/>
    <w:link w:val="IntenseQuoteChar"/>
    <w:uiPriority w:val="30"/>
    <w:qFormat/>
    <w:rsid w:val="005A09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096B"/>
    <w:rPr>
      <w:i/>
      <w:iCs/>
      <w:color w:val="0F4761" w:themeColor="accent1" w:themeShade="BF"/>
    </w:rPr>
  </w:style>
  <w:style w:type="character" w:styleId="IntenseReference">
    <w:name w:val="Intense Reference"/>
    <w:basedOn w:val="DefaultParagraphFont"/>
    <w:uiPriority w:val="32"/>
    <w:qFormat/>
    <w:rsid w:val="005A096B"/>
    <w:rPr>
      <w:b/>
      <w:bCs/>
      <w:smallCaps/>
      <w:color w:val="0F4761" w:themeColor="accent1" w:themeShade="BF"/>
      <w:spacing w:val="5"/>
    </w:rPr>
  </w:style>
  <w:style w:type="paragraph" w:styleId="NoSpacing">
    <w:name w:val="No Spacing"/>
    <w:link w:val="NoSpacingChar"/>
    <w:uiPriority w:val="1"/>
    <w:qFormat/>
    <w:rsid w:val="00564B6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64B67"/>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22C1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22C11"/>
    <w:pPr>
      <w:spacing w:after="100"/>
    </w:pPr>
  </w:style>
  <w:style w:type="paragraph" w:styleId="TOC2">
    <w:name w:val="toc 2"/>
    <w:basedOn w:val="Normal"/>
    <w:next w:val="Normal"/>
    <w:autoRedefine/>
    <w:uiPriority w:val="39"/>
    <w:unhideWhenUsed/>
    <w:rsid w:val="00D22C11"/>
    <w:pPr>
      <w:spacing w:after="100"/>
      <w:ind w:left="240"/>
    </w:pPr>
  </w:style>
  <w:style w:type="paragraph" w:styleId="TOC3">
    <w:name w:val="toc 3"/>
    <w:basedOn w:val="Normal"/>
    <w:next w:val="Normal"/>
    <w:autoRedefine/>
    <w:uiPriority w:val="39"/>
    <w:unhideWhenUsed/>
    <w:rsid w:val="00D22C11"/>
    <w:pPr>
      <w:spacing w:after="100"/>
      <w:ind w:left="480"/>
    </w:pPr>
  </w:style>
  <w:style w:type="character" w:styleId="Hyperlink">
    <w:name w:val="Hyperlink"/>
    <w:basedOn w:val="DefaultParagraphFont"/>
    <w:uiPriority w:val="99"/>
    <w:unhideWhenUsed/>
    <w:rsid w:val="00D22C1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Skyler Shenke 2405518</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B8AEC6-4629-47F5-ADE6-AB5FCBB3D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22</Pages>
  <Words>6117</Words>
  <Characters>36157</Characters>
  <Application>Microsoft Office Word</Application>
  <DocSecurity>0</DocSecurity>
  <Lines>1903</Lines>
  <Paragraphs>464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Data Security and ComplianceModule ACCA5034     Assignment Title:                                                                                 Research and Case Scenario in Data Security and Compliance</dc:title>
  <dc:subject/>
  <dc:creator>Skyler Schenke (2405518)</dc:creator>
  <cp:keywords/>
  <dc:description/>
  <cp:lastModifiedBy>Skyler Schenke</cp:lastModifiedBy>
  <cp:revision>8</cp:revision>
  <dcterms:created xsi:type="dcterms:W3CDTF">2026-01-06T00:07:00Z</dcterms:created>
  <dcterms:modified xsi:type="dcterms:W3CDTF">2026-01-06T01:45:00Z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4eee4985-c940-4116-bc14-6ffb347ea3b7</vt:lpwstr>
  </property>
</Properties>
</file>