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before="100" w:after="100" w:line="360" w:lineRule="auto"/>
        <w:jc w:val="center"/>
        <w:outlineLvl w:val="0"/>
        <w:rPr>
          <w:b w:val="1"/>
          <w:bCs w:val="1"/>
          <w:kern w:val="36"/>
          <w:sz w:val="48"/>
          <w:szCs w:val="48"/>
        </w:rPr>
      </w:pPr>
      <w:r>
        <w:rPr>
          <w:b w:val="1"/>
          <w:bCs w:val="1"/>
          <w:kern w:val="36"/>
          <w:sz w:val="48"/>
          <w:szCs w:val="48"/>
          <w:rtl w:val="0"/>
          <w:lang w:val="pt-PT"/>
        </w:rPr>
        <w:t>Online Portfolio</w:t>
      </w:r>
    </w:p>
    <w:p>
      <w:pPr>
        <w:pStyle w:val="Body"/>
        <w:widowControl w:val="0"/>
        <w:spacing w:before="100" w:after="100" w:line="240" w:lineRule="auto"/>
        <w:jc w:val="center"/>
        <w:outlineLvl w:val="0"/>
        <w:rPr>
          <w:b w:val="1"/>
          <w:bCs w:val="1"/>
          <w:kern w:val="36"/>
          <w:sz w:val="48"/>
          <w:szCs w:val="48"/>
        </w:rPr>
      </w:pPr>
    </w:p>
    <w:p>
      <w:pPr>
        <w:pStyle w:val="Body"/>
        <w:spacing w:line="360" w:lineRule="auto"/>
      </w:pPr>
    </w:p>
    <w:p>
      <w:pPr>
        <w:pStyle w:val="Body"/>
        <w:spacing w:after="0" w:line="360" w:lineRule="auto"/>
        <w:rPr>
          <w:b w:val="1"/>
          <w:bCs w:val="1"/>
          <w:sz w:val="24"/>
          <w:szCs w:val="24"/>
          <w:shd w:val="nil" w:color="auto" w:fill="auto"/>
          <w:lang w:val="en-US"/>
        </w:rPr>
      </w:pPr>
      <w:r>
        <w:rPr>
          <w:b w:val="1"/>
          <w:bCs w:val="1"/>
          <w:sz w:val="24"/>
          <w:szCs w:val="24"/>
          <w:shd w:val="nil" w:color="auto" w:fill="auto"/>
          <w:rtl w:val="0"/>
          <w:lang w:val="en-US"/>
        </w:rPr>
        <w:t>Student Name</w:t>
      </w:r>
      <w:r>
        <w:rPr>
          <w:b w:val="1"/>
          <w:bCs w:val="1"/>
          <w:sz w:val="24"/>
          <w:szCs w:val="24"/>
          <w:shd w:val="nil" w:color="auto" w:fill="auto"/>
          <w:rtl w:val="0"/>
          <w:lang w:val="en-US"/>
        </w:rPr>
        <w:t xml:space="preserve"> : Sami Pattvean</w:t>
      </w:r>
    </w:p>
    <w:p>
      <w:pPr>
        <w:pStyle w:val="Body"/>
        <w:spacing w:after="0" w:line="360" w:lineRule="auto"/>
        <w:rPr>
          <w:b w:val="1"/>
          <w:bCs w:val="1"/>
          <w:sz w:val="24"/>
          <w:szCs w:val="24"/>
          <w:shd w:val="nil" w:color="auto" w:fill="auto"/>
          <w:lang w:val="en-US"/>
        </w:rPr>
      </w:pPr>
      <w:r>
        <w:rPr>
          <w:b w:val="1"/>
          <w:bCs w:val="1"/>
          <w:sz w:val="24"/>
          <w:szCs w:val="24"/>
          <w:shd w:val="nil" w:color="auto" w:fill="auto"/>
          <w:rtl w:val="0"/>
          <w:lang w:val="en-US"/>
        </w:rPr>
        <w:t>Student ID Number</w:t>
      </w:r>
      <w:r>
        <w:rPr>
          <w:b w:val="1"/>
          <w:bCs w:val="1"/>
          <w:sz w:val="24"/>
          <w:szCs w:val="24"/>
          <w:shd w:val="nil" w:color="auto" w:fill="auto"/>
          <w:rtl w:val="0"/>
          <w:lang w:val="en-US"/>
        </w:rPr>
        <w:t xml:space="preserve"> :2414789</w:t>
      </w:r>
    </w:p>
    <w:p>
      <w:pPr>
        <w:pStyle w:val="Body"/>
        <w:spacing w:after="0" w:line="360" w:lineRule="auto"/>
        <w:rPr>
          <w:sz w:val="24"/>
          <w:szCs w:val="24"/>
          <w:lang w:val="en-US"/>
        </w:rPr>
      </w:pPr>
      <w:r>
        <w:rPr>
          <w:b w:val="1"/>
          <w:bCs w:val="1"/>
          <w:sz w:val="24"/>
          <w:szCs w:val="24"/>
          <w:shd w:val="nil" w:color="auto" w:fill="auto"/>
          <w:rtl w:val="0"/>
          <w:lang w:val="en-US"/>
        </w:rPr>
        <w:t>Programme</w:t>
      </w:r>
      <w:r>
        <w:rPr>
          <w:b w:val="1"/>
          <w:bCs w:val="1"/>
          <w:sz w:val="24"/>
          <w:szCs w:val="24"/>
          <w:shd w:val="nil" w:color="auto" w:fill="auto"/>
          <w:rtl w:val="0"/>
          <w:lang w:val="en-US"/>
        </w:rPr>
        <w:t xml:space="preserve">: </w:t>
      </w:r>
      <w:r>
        <w:rPr>
          <w:sz w:val="24"/>
          <w:szCs w:val="24"/>
          <w:rtl w:val="0"/>
          <w:lang w:val="en-US"/>
        </w:rPr>
        <w:t>BSc (Hons) Health and Social Care</w:t>
      </w:r>
    </w:p>
    <w:p>
      <w:pPr>
        <w:pStyle w:val="Body"/>
        <w:spacing w:after="0" w:line="360" w:lineRule="auto"/>
        <w:rPr>
          <w:sz w:val="24"/>
          <w:szCs w:val="24"/>
          <w:lang w:val="en-US"/>
        </w:rPr>
      </w:pPr>
      <w:r>
        <w:rPr>
          <w:b w:val="1"/>
          <w:bCs w:val="1"/>
          <w:sz w:val="24"/>
          <w:szCs w:val="24"/>
          <w:shd w:val="nil" w:color="auto" w:fill="auto"/>
          <w:rtl w:val="0"/>
          <w:lang w:val="en-US"/>
        </w:rPr>
        <w:t>Module Title</w:t>
      </w:r>
      <w:r>
        <w:rPr>
          <w:b w:val="1"/>
          <w:bCs w:val="1"/>
          <w:sz w:val="24"/>
          <w:szCs w:val="24"/>
          <w:shd w:val="nil" w:color="auto" w:fill="auto"/>
          <w:rtl w:val="0"/>
          <w:lang w:val="en-US"/>
        </w:rPr>
        <w:t xml:space="preserve"> </w:t>
      </w:r>
      <w:r>
        <w:rPr>
          <w:sz w:val="24"/>
          <w:szCs w:val="24"/>
          <w:rtl w:val="0"/>
          <w:lang w:val="en-US"/>
        </w:rPr>
        <w:t>Changemakers: Building Your Personal Brand for Sustainable Employment</w:t>
      </w:r>
    </w:p>
    <w:p>
      <w:pPr>
        <w:pStyle w:val="Body"/>
        <w:spacing w:after="0" w:line="360" w:lineRule="auto"/>
        <w:rPr>
          <w:sz w:val="24"/>
          <w:szCs w:val="24"/>
          <w:lang w:val="en-US"/>
        </w:rPr>
      </w:pPr>
      <w:r>
        <w:rPr>
          <w:b w:val="1"/>
          <w:bCs w:val="1"/>
          <w:sz w:val="24"/>
          <w:szCs w:val="24"/>
          <w:shd w:val="nil" w:color="auto" w:fill="auto"/>
          <w:rtl w:val="0"/>
          <w:lang w:val="en-US"/>
        </w:rPr>
        <w:t>Module Code</w:t>
      </w:r>
      <w:r>
        <w:rPr>
          <w:b w:val="1"/>
          <w:bCs w:val="1"/>
          <w:sz w:val="24"/>
          <w:szCs w:val="24"/>
          <w:shd w:val="nil" w:color="auto" w:fill="auto"/>
          <w:rtl w:val="0"/>
          <w:lang w:val="en-US"/>
        </w:rPr>
        <w:t xml:space="preserve"> </w:t>
      </w:r>
      <w:r>
        <w:rPr>
          <w:sz w:val="24"/>
          <w:szCs w:val="24"/>
          <w:rtl w:val="0"/>
          <w:lang w:val="en-US"/>
        </w:rPr>
        <w:t>BMHP5015</w:t>
      </w:r>
    </w:p>
    <w:p>
      <w:pPr>
        <w:pStyle w:val="Body"/>
        <w:spacing w:after="0" w:line="360" w:lineRule="auto"/>
        <w:rPr>
          <w:sz w:val="24"/>
          <w:szCs w:val="24"/>
          <w:lang w:val="en-US"/>
        </w:rPr>
      </w:pPr>
      <w:r>
        <w:rPr>
          <w:b w:val="1"/>
          <w:bCs w:val="1"/>
          <w:sz w:val="24"/>
          <w:szCs w:val="24"/>
          <w:shd w:val="nil" w:color="auto" w:fill="auto"/>
          <w:rtl w:val="0"/>
          <w:lang w:val="en-US"/>
        </w:rPr>
        <w:t>Lecturer</w:t>
      </w:r>
      <w:r>
        <w:rPr>
          <w:b w:val="1"/>
          <w:bCs w:val="1"/>
          <w:sz w:val="24"/>
          <w:szCs w:val="24"/>
          <w:shd w:val="nil" w:color="auto" w:fill="auto"/>
          <w:rtl w:val="0"/>
          <w:lang w:val="en-US"/>
        </w:rPr>
        <w:t>’</w:t>
      </w:r>
      <w:r>
        <w:rPr>
          <w:b w:val="1"/>
          <w:bCs w:val="1"/>
          <w:sz w:val="24"/>
          <w:szCs w:val="24"/>
          <w:shd w:val="nil" w:color="auto" w:fill="auto"/>
          <w:rtl w:val="0"/>
          <w:lang w:val="en-US"/>
        </w:rPr>
        <w:t>s Name</w:t>
      </w:r>
      <w:r>
        <w:rPr>
          <w:b w:val="1"/>
          <w:bCs w:val="1"/>
          <w:sz w:val="24"/>
          <w:szCs w:val="24"/>
          <w:shd w:val="nil" w:color="auto" w:fill="auto"/>
          <w:rtl w:val="0"/>
          <w:lang w:val="en-US"/>
        </w:rPr>
        <w:t xml:space="preserve"> :Brian M</w:t>
      </w:r>
    </w:p>
    <w:p>
      <w:pPr>
        <w:pStyle w:val="Body"/>
        <w:spacing w:after="0" w:line="360" w:lineRule="auto"/>
      </w:pPr>
      <w:r>
        <w:rPr>
          <w:rFonts w:ascii="Arial Unicode MS" w:cs="Arial Unicode MS" w:hAnsi="Arial Unicode MS" w:eastAsia="Arial Unicode MS"/>
          <w:b w:val="0"/>
          <w:bCs w:val="0"/>
          <w:i w:val="0"/>
          <w:iCs w:val="0"/>
          <w:sz w:val="24"/>
          <w:szCs w:val="24"/>
        </w:rPr>
        <w:br w:type="page"/>
      </w:r>
    </w:p>
    <w:p>
      <w:pPr>
        <w:pStyle w:val="Body"/>
        <w:spacing w:before="100" w:after="100" w:line="360" w:lineRule="auto"/>
        <w:jc w:val="both"/>
        <w:outlineLvl w:val="0"/>
        <w:rPr>
          <w:b w:val="1"/>
          <w:bCs w:val="1"/>
          <w:kern w:val="36"/>
          <w:sz w:val="32"/>
          <w:szCs w:val="32"/>
        </w:rPr>
      </w:pPr>
      <w:r>
        <w:rPr>
          <w:b w:val="1"/>
          <w:bCs w:val="1"/>
          <w:kern w:val="36"/>
          <w:sz w:val="32"/>
          <w:szCs w:val="32"/>
          <w:rtl w:val="0"/>
          <w:lang w:val="fr-FR"/>
        </w:rPr>
        <w:t>1. Introduction</w:t>
      </w:r>
    </w:p>
    <w:p>
      <w:pPr>
        <w:pStyle w:val="Body"/>
        <w:spacing w:before="100" w:after="100" w:line="360" w:lineRule="auto"/>
        <w:jc w:val="both"/>
      </w:pPr>
      <w:r>
        <w:rPr>
          <w:rtl w:val="0"/>
          <w:lang w:val="en-US"/>
        </w:rPr>
        <w:t>This portfolio is a reflection on learning from the online activities of BMHP5015. It assesses employability skills, personal values, professional identity, personal branding and digital professionalism. It also analyses how my current development relates to the healthcare assistant position and outlines steps to take to improve my development. It is not about reproducing the Moodle tasks; it is about thinking about what they brought to light, why this learning is important and how it could inform responsible practice. At the end, Gibbs</w:t>
      </w:r>
      <w:r>
        <w:rPr>
          <w:rtl w:val="1"/>
        </w:rPr>
        <w:t xml:space="preserve">’ </w:t>
      </w:r>
      <w:r>
        <w:rPr>
          <w:rtl w:val="0"/>
          <w:lang w:val="en-US"/>
        </w:rPr>
        <w:t>Reflective Cycle is employed to reflect on the learning as a whole (Gibbs, 1988).</w:t>
      </w:r>
    </w:p>
    <w:p>
      <w:pPr>
        <w:pStyle w:val="Body"/>
        <w:spacing w:before="100" w:after="100" w:line="360" w:lineRule="auto"/>
        <w:jc w:val="both"/>
        <w:outlineLvl w:val="0"/>
        <w:rPr>
          <w:b w:val="1"/>
          <w:bCs w:val="1"/>
          <w:kern w:val="36"/>
          <w:sz w:val="32"/>
          <w:szCs w:val="32"/>
        </w:rPr>
      </w:pPr>
      <w:r>
        <w:rPr>
          <w:b w:val="1"/>
          <w:bCs w:val="1"/>
          <w:kern w:val="36"/>
          <w:sz w:val="32"/>
          <w:szCs w:val="32"/>
          <w:rtl w:val="0"/>
          <w:lang w:val="en-US"/>
        </w:rPr>
        <w:t>2. Employability Skills</w:t>
      </w:r>
    </w:p>
    <w:p>
      <w:pPr>
        <w:pStyle w:val="Body"/>
        <w:spacing w:before="100" w:after="100" w:line="360" w:lineRule="auto"/>
        <w:jc w:val="both"/>
      </w:pPr>
      <w:r>
        <w:rPr>
          <w:rtl w:val="0"/>
          <w:lang w:val="de-DE"/>
        </w:rPr>
        <w:t>[INSERT FIGURE 1 HERE]</w:t>
      </w:r>
    </w:p>
    <w:p>
      <w:pPr>
        <w:pStyle w:val="Body"/>
        <w:spacing w:before="100" w:after="100" w:line="360" w:lineRule="auto"/>
        <w:jc w:val="center"/>
        <w:rPr>
          <w:b w:val="1"/>
          <w:bCs w:val="1"/>
          <w:i w:val="1"/>
          <w:iCs w:val="1"/>
        </w:rPr>
      </w:pPr>
      <w:r>
        <w:rPr>
          <w:b w:val="1"/>
          <w:bCs w:val="1"/>
          <w:i w:val="1"/>
          <w:iCs w:val="1"/>
          <w:rtl w:val="0"/>
          <w:lang w:val="en-US"/>
        </w:rPr>
        <w:t>Figure 1: Evidence of the completed Moodle employability skills activity.</w:t>
      </w:r>
    </w:p>
    <w:p>
      <w:pPr>
        <w:pStyle w:val="Body"/>
        <w:spacing w:before="100" w:after="100" w:line="360" w:lineRule="auto"/>
        <w:jc w:val="both"/>
      </w:pPr>
      <w:r>
        <w:rPr>
          <w:rtl w:val="0"/>
          <w:lang w:val="en-US"/>
        </w:rPr>
        <w:t>When reflecting on the skills activity, I thought about communication, teamwork, problem-solving, time management, adaptability and digital skills. One of the key takeaways was that skill naming is not skill demonstration. These claims must be supported by evidence derived from study, work, volunteering, feedback or a task undertaken when preparing a strong application. Communication skills, teamwork, problem-solving and the willingness to learn are still significant employability skills (Tushar and Sooraksa, 2023).</w:t>
      </w:r>
    </w:p>
    <w:p>
      <w:pPr>
        <w:pStyle w:val="Body"/>
        <w:spacing w:before="100" w:after="100" w:line="360" w:lineRule="auto"/>
        <w:jc w:val="both"/>
      </w:pPr>
      <w:r>
        <w:rPr>
          <w:rtl w:val="0"/>
          <w:lang w:val="en-US"/>
        </w:rPr>
        <w:t>The activity also helped me to redefine the meaning of conducting a skills audit. It is not an end point, but a starting point. Confidence, memory and personal bias can affect a person</w:t>
      </w:r>
      <w:r>
        <w:rPr>
          <w:rtl w:val="1"/>
        </w:rPr>
        <w:t>’</w:t>
      </w:r>
      <w:r>
        <w:rPr>
          <w:rtl w:val="0"/>
          <w:lang w:val="en-US"/>
        </w:rPr>
        <w:t>s self-ratings. Another limitation of one checklist is the diversity in the definition and assessment of generic skills in higher education found by Tuononen et al. (2022).</w:t>
      </w:r>
    </w:p>
    <w:p>
      <w:pPr>
        <w:pStyle w:val="Body"/>
        <w:spacing w:before="100" w:after="100" w:line="360" w:lineRule="auto"/>
        <w:jc w:val="both"/>
      </w:pPr>
      <w:r>
        <w:rPr>
          <w:rtl w:val="0"/>
          <w:lang w:val="en-US"/>
        </w:rPr>
        <w:t>Reflection should be beneficial as a result of the audit, and the results will help to pinpoint areas in which the evidence can be strengthened. It cannot, however, predict how a person would behave when stressed in a real care setting. It is important for me to compare the comments from my self-assessment with the comments from the tutor, group work, practical activities and results.</w:t>
      </w:r>
    </w:p>
    <w:p>
      <w:pPr>
        <w:pStyle w:val="Body"/>
        <w:spacing w:before="100" w:after="100" w:line="360" w:lineRule="auto"/>
        <w:jc w:val="both"/>
      </w:pPr>
      <w:r>
        <w:rPr>
          <w:rtl w:val="0"/>
          <w:lang w:val="en-US"/>
        </w:rPr>
        <w:t>This is important in health and social care, as poor communication or teamwork can have an impact on safety, dignity and continuity of care. The improvement of soft skills can be achieved by active learning, feedback and repeated practice; however, a single activity is not enough to create a long-lasting change (Orih et al., 2024). I will make short records that indicate the situation, what I did, what happened and what I was told.</w:t>
      </w:r>
    </w:p>
    <w:p>
      <w:pPr>
        <w:pStyle w:val="Body"/>
        <w:spacing w:before="100" w:after="100" w:line="360" w:lineRule="auto"/>
        <w:jc w:val="both"/>
        <w:outlineLvl w:val="0"/>
        <w:rPr>
          <w:b w:val="1"/>
          <w:bCs w:val="1"/>
          <w:kern w:val="36"/>
          <w:sz w:val="32"/>
          <w:szCs w:val="32"/>
        </w:rPr>
      </w:pPr>
      <w:r>
        <w:rPr>
          <w:b w:val="1"/>
          <w:bCs w:val="1"/>
          <w:kern w:val="36"/>
          <w:sz w:val="32"/>
          <w:szCs w:val="32"/>
          <w:rtl w:val="0"/>
          <w:lang w:val="en-US"/>
        </w:rPr>
        <w:t>3. Personal Values and Professional Identity</w:t>
      </w:r>
    </w:p>
    <w:p>
      <w:pPr>
        <w:pStyle w:val="Body"/>
        <w:spacing w:before="100" w:after="100" w:line="360" w:lineRule="auto"/>
        <w:jc w:val="both"/>
      </w:pPr>
      <w:r>
        <w:rPr>
          <w:rtl w:val="0"/>
          <w:lang w:val="de-DE"/>
        </w:rPr>
        <w:t>[INSERT FIGURE 2 HERE]</w:t>
      </w:r>
    </w:p>
    <w:p>
      <w:pPr>
        <w:pStyle w:val="Body"/>
        <w:spacing w:before="100" w:after="100" w:line="360" w:lineRule="auto"/>
        <w:jc w:val="center"/>
        <w:rPr>
          <w:b w:val="1"/>
          <w:bCs w:val="1"/>
          <w:i w:val="1"/>
          <w:iCs w:val="1"/>
        </w:rPr>
      </w:pPr>
      <w:r>
        <w:rPr>
          <w:b w:val="1"/>
          <w:bCs w:val="1"/>
          <w:i w:val="1"/>
          <w:iCs w:val="1"/>
          <w:rtl w:val="0"/>
          <w:lang w:val="en-US"/>
        </w:rPr>
        <w:t>Figure 2: Evidence of the completed Moodle values and professional identity activity.</w:t>
      </w:r>
    </w:p>
    <w:p>
      <w:pPr>
        <w:pStyle w:val="Body"/>
        <w:spacing w:before="100" w:after="100" w:line="360" w:lineRule="auto"/>
        <w:jc w:val="both"/>
      </w:pPr>
      <w:r>
        <w:rPr>
          <w:rtl w:val="0"/>
          <w:lang w:val="en-US"/>
        </w:rPr>
        <w:t>The values that I have acquired during my involvement in the activity have helped me to differentiate between personal values and professional responsibilities. Professional behaviour is not just a true desire to help. When work is hard, time is short or ideas are different, it is necessary to make decisions based on values. Respect and dignity, compassion, working together and commitment to quality are values that are identified within the NHS Constitution (Department of Health and Social Care, 2023).</w:t>
      </w:r>
    </w:p>
    <w:p>
      <w:pPr>
        <w:pStyle w:val="Body"/>
        <w:spacing w:before="100" w:after="100" w:line="360" w:lineRule="auto"/>
        <w:jc w:val="both"/>
      </w:pPr>
      <w:r>
        <w:rPr>
          <w:rtl w:val="0"/>
          <w:lang w:val="en-US"/>
        </w:rPr>
        <w:t>Professional identity is developed through a process of repeated behaviour and not an official designation. This encompasses communication style, boundary setting, responding to feedback and taking responsibility. Reliability is demonstrated by carrying out the agreed tasks. Listening and not assuming are expressions of respect. Compassion always needs to remain person-centred; it must never turn into over-involvement.</w:t>
      </w:r>
    </w:p>
    <w:p>
      <w:pPr>
        <w:pStyle w:val="Body"/>
        <w:spacing w:before="100" w:after="100" w:line="360" w:lineRule="auto"/>
        <w:jc w:val="both"/>
      </w:pPr>
      <w:r>
        <w:rPr>
          <w:rtl w:val="0"/>
          <w:lang w:val="en-US"/>
        </w:rPr>
        <w:t>The activity also demonstrated that there can be conflict between personal and professional values. While it may be a worker's belief that one course of action is best, the person receiving care may have a different wish. There is then a need to respect autonomy, lawful decision-making and support that is appropriate. There should be no discrimination based on personal beliefs.</w:t>
      </w:r>
    </w:p>
    <w:p>
      <w:pPr>
        <w:pStyle w:val="Body"/>
        <w:spacing w:before="100" w:after="100" w:line="360" w:lineRule="auto"/>
        <w:jc w:val="both"/>
      </w:pPr>
      <w:r>
        <w:rPr>
          <w:rtl w:val="0"/>
          <w:lang w:val="it-IT"/>
        </w:rPr>
        <w:t>Professionals</w:t>
      </w:r>
      <w:r>
        <w:rPr>
          <w:rtl w:val="1"/>
        </w:rPr>
        <w:t xml:space="preserve">’ </w:t>
      </w:r>
      <w:r>
        <w:rPr>
          <w:rtl w:val="0"/>
          <w:lang w:val="en-US"/>
        </w:rPr>
        <w:t>personal values and boundaries must be considered through HCPC standards, which require them to behave fairly, be aware of how their own values and attitudes affect their work and maintain appropriate boundaries (Health and Care Professions Council, 2024a). The standards are not directly applicable to healthcare assistants, but they provide a useful benchmark for HCPC registrants. Professional identity is vital to providing consistent behaviour, but it must remain responsive to feedback and experience.</w:t>
      </w:r>
    </w:p>
    <w:p>
      <w:pPr>
        <w:pStyle w:val="Body"/>
        <w:spacing w:before="100" w:after="100" w:line="360" w:lineRule="auto"/>
        <w:jc w:val="both"/>
        <w:outlineLvl w:val="0"/>
        <w:rPr>
          <w:b w:val="1"/>
          <w:bCs w:val="1"/>
          <w:kern w:val="36"/>
          <w:sz w:val="32"/>
          <w:szCs w:val="32"/>
        </w:rPr>
      </w:pPr>
      <w:r>
        <w:rPr>
          <w:b w:val="1"/>
          <w:bCs w:val="1"/>
          <w:kern w:val="36"/>
          <w:sz w:val="32"/>
          <w:szCs w:val="32"/>
          <w:rtl w:val="0"/>
          <w:lang w:val="en-US"/>
        </w:rPr>
        <w:t>4. Personal Branding</w:t>
      </w:r>
    </w:p>
    <w:p>
      <w:pPr>
        <w:pStyle w:val="Body"/>
        <w:spacing w:before="100" w:after="100" w:line="360" w:lineRule="auto"/>
        <w:jc w:val="both"/>
      </w:pPr>
      <w:r>
        <w:rPr>
          <w:rtl w:val="0"/>
          <w:lang w:val="de-DE"/>
        </w:rPr>
        <w:t>[INSERT FIGURE 3 HERE]</w:t>
      </w:r>
    </w:p>
    <w:p>
      <w:pPr>
        <w:pStyle w:val="Body"/>
        <w:spacing w:before="100" w:after="100" w:line="360" w:lineRule="auto"/>
        <w:jc w:val="center"/>
        <w:rPr>
          <w:b w:val="1"/>
          <w:bCs w:val="1"/>
          <w:i w:val="1"/>
          <w:iCs w:val="1"/>
        </w:rPr>
      </w:pPr>
      <w:r>
        <w:rPr>
          <w:b w:val="1"/>
          <w:bCs w:val="1"/>
          <w:i w:val="1"/>
          <w:iCs w:val="1"/>
          <w:rtl w:val="0"/>
          <w:lang w:val="en-US"/>
        </w:rPr>
        <w:t>Figure 3: Evidence of the completed Moodle personal-branding activity or forum post.</w:t>
      </w:r>
    </w:p>
    <w:p>
      <w:pPr>
        <w:pStyle w:val="Body"/>
        <w:spacing w:before="100" w:after="100" w:line="360" w:lineRule="auto"/>
        <w:jc w:val="both"/>
      </w:pPr>
      <w:r>
        <w:rPr>
          <w:rtl w:val="0"/>
          <w:lang w:val="en-US"/>
        </w:rPr>
        <w:t>There was a personal-branding activity that illustrated that a professional brand should tell a true and succinct story about what the person can provide. It should not be a list of positive words. The professional brand is a link between skills, values, behaviours and career direction. It needs to be consistent across a CV, application, interview, professional profile and workplace behaviour.</w:t>
      </w:r>
    </w:p>
    <w:p>
      <w:pPr>
        <w:pStyle w:val="Body"/>
        <w:spacing w:before="100" w:after="100" w:line="360" w:lineRule="auto"/>
        <w:jc w:val="both"/>
      </w:pPr>
      <w:r>
        <w:rPr>
          <w:rtl w:val="0"/>
          <w:lang w:val="en-US"/>
        </w:rPr>
        <w:t>Personal branding can help advance a person</w:t>
      </w:r>
      <w:r>
        <w:rPr>
          <w:rtl w:val="1"/>
        </w:rPr>
        <w:t>’</w:t>
      </w:r>
      <w:r>
        <w:rPr>
          <w:rtl w:val="0"/>
          <w:lang w:val="en-US"/>
        </w:rPr>
        <w:t>s career, as it can help them describe their worth and direction. Personal branding was associated with perceived employability and career satisfaction by Gorbatov, Khapova and Lysova (2019). By no means is self-promotion a path to competence. The benefit is based upon true career behaviour and evidence.</w:t>
      </w:r>
    </w:p>
    <w:p>
      <w:pPr>
        <w:pStyle w:val="Body"/>
        <w:spacing w:before="100" w:after="100" w:line="360" w:lineRule="auto"/>
        <w:jc w:val="both"/>
      </w:pPr>
      <w:r>
        <w:rPr>
          <w:rtl w:val="0"/>
          <w:lang w:val="en-US"/>
        </w:rPr>
        <w:t>The key word for personal branding is most definitely clarity. It allows an employer to see how much potential an applicant has and what sort of contribution these attributes can make. The major disadvantage is embellishment. An impressive profile can mask poor evidence, limited experience and a lack of understanding of professional responsibility.</w:t>
      </w:r>
    </w:p>
    <w:p>
      <w:pPr>
        <w:pStyle w:val="Body"/>
        <w:spacing w:before="100" w:after="100" w:line="360" w:lineRule="auto"/>
        <w:jc w:val="both"/>
      </w:pPr>
      <w:r>
        <w:rPr>
          <w:rtl w:val="0"/>
          <w:lang w:val="en-US"/>
        </w:rPr>
        <w:t>Service, responsibility and safe conduct are the key aspects of an appropriate brand in health and social care. Claims such as caring, reliable or professional should be backed up with examples. When evidence is limited, it is best to state the quality as a goal that the person is working toward. For future use, I will simply mention the quality needed, give one true example and explain how the quality relates to the role.</w:t>
      </w:r>
    </w:p>
    <w:p>
      <w:pPr>
        <w:pStyle w:val="Body"/>
        <w:spacing w:before="100" w:after="100" w:line="360" w:lineRule="auto"/>
        <w:jc w:val="both"/>
        <w:outlineLvl w:val="0"/>
        <w:rPr>
          <w:b w:val="1"/>
          <w:bCs w:val="1"/>
          <w:kern w:val="36"/>
          <w:sz w:val="32"/>
          <w:szCs w:val="32"/>
        </w:rPr>
      </w:pPr>
      <w:r>
        <w:rPr>
          <w:b w:val="1"/>
          <w:bCs w:val="1"/>
          <w:kern w:val="36"/>
          <w:sz w:val="32"/>
          <w:szCs w:val="32"/>
          <w:rtl w:val="0"/>
        </w:rPr>
        <w:t>5. Digital Professionalism</w:t>
      </w:r>
    </w:p>
    <w:p>
      <w:pPr>
        <w:pStyle w:val="Body"/>
        <w:spacing w:before="100" w:after="100" w:line="360" w:lineRule="auto"/>
        <w:jc w:val="both"/>
      </w:pPr>
      <w:r>
        <w:rPr>
          <w:rtl w:val="0"/>
          <w:lang w:val="de-DE"/>
        </w:rPr>
        <w:t>[INSERT FIGURE 4 HERE]</w:t>
      </w:r>
    </w:p>
    <w:p>
      <w:pPr>
        <w:pStyle w:val="Body"/>
        <w:spacing w:before="100" w:after="100" w:line="360" w:lineRule="auto"/>
        <w:jc w:val="center"/>
        <w:rPr>
          <w:b w:val="1"/>
          <w:bCs w:val="1"/>
          <w:i w:val="1"/>
          <w:iCs w:val="1"/>
        </w:rPr>
      </w:pPr>
      <w:r>
        <w:rPr>
          <w:b w:val="1"/>
          <w:bCs w:val="1"/>
          <w:i w:val="1"/>
          <w:iCs w:val="1"/>
          <w:rtl w:val="0"/>
          <w:lang w:val="en-US"/>
        </w:rPr>
        <w:t>Figure 4: Evidence of the completed Moodle digital professionalism activity.</w:t>
      </w:r>
    </w:p>
    <w:p>
      <w:pPr>
        <w:pStyle w:val="Body"/>
        <w:spacing w:before="100" w:after="100" w:line="360" w:lineRule="auto"/>
        <w:jc w:val="both"/>
      </w:pPr>
      <w:r>
        <w:rPr>
          <w:rtl w:val="0"/>
          <w:lang w:val="en-US"/>
        </w:rPr>
        <w:t>The digital professionalism activity made it clear that online behaviour is part of professionalism. However, a private account can have an impact on job opportunities if posts are copied, shared or viewed beyond the intended audience. Privacy controls decrease access, but do not guarantee privacy.</w:t>
      </w:r>
    </w:p>
    <w:p>
      <w:pPr>
        <w:pStyle w:val="Body"/>
        <w:spacing w:before="100" w:after="100" w:line="360" w:lineRule="auto"/>
        <w:jc w:val="both"/>
      </w:pPr>
      <w:r>
        <w:rPr>
          <w:rtl w:val="0"/>
          <w:lang w:val="en-US"/>
        </w:rPr>
        <w:t>The most common risks include confidentiality issues, disrespectful communication, false information and unclear boundaries. A service user may be identified without their name if information relating to their age, location, condition or circumstances is provided. Responsible communication, confidentiality, appropriate boundaries and transparency are expected when using social media for personal or professional purposes (Health and Care Professions Council, 2024b).</w:t>
      </w:r>
    </w:p>
    <w:p>
      <w:pPr>
        <w:pStyle w:val="Body"/>
        <w:spacing w:before="100" w:after="100" w:line="360" w:lineRule="auto"/>
        <w:jc w:val="both"/>
      </w:pPr>
      <w:r>
        <w:rPr>
          <w:rtl w:val="0"/>
          <w:lang w:val="en-US"/>
        </w:rPr>
        <w:t>Digital working processes are also part of digital professionalism. Continuity, accountability and safe decisions are supported by accurate and secure records. Providers are required to keep accurate, complete, secure and up-to-date records about service users and their care (Care Quality Commission, 2024).</w:t>
      </w:r>
    </w:p>
    <w:p>
      <w:pPr>
        <w:pStyle w:val="Body"/>
        <w:spacing w:before="100" w:after="100" w:line="360" w:lineRule="auto"/>
        <w:jc w:val="both"/>
      </w:pPr>
      <w:r>
        <w:rPr>
          <w:rtl w:val="0"/>
          <w:lang w:val="en-US"/>
        </w:rPr>
        <w:t>Having a professional online presence can help to build a network and demonstrate appropriate learning. It can create the impression, however, that one is more experienced than one really is. In my approach, I will examine public information, be respectful in my language, confirm the accuracy of declared skills and qualifications, and avoid online discussion about a care situation.</w:t>
      </w:r>
    </w:p>
    <w:p>
      <w:pPr>
        <w:pStyle w:val="Body"/>
        <w:spacing w:before="100" w:after="100" w:line="360" w:lineRule="auto"/>
        <w:jc w:val="both"/>
        <w:outlineLvl w:val="0"/>
        <w:rPr>
          <w:b w:val="1"/>
          <w:bCs w:val="1"/>
          <w:kern w:val="36"/>
          <w:sz w:val="32"/>
          <w:szCs w:val="32"/>
        </w:rPr>
      </w:pPr>
      <w:r>
        <w:rPr>
          <w:b w:val="1"/>
          <w:bCs w:val="1"/>
          <w:kern w:val="36"/>
          <w:sz w:val="32"/>
          <w:szCs w:val="32"/>
          <w:rtl w:val="0"/>
          <w:lang w:val="en-US"/>
        </w:rPr>
        <w:t>6. Comparison with the Healthcare Assistant Role</w:t>
      </w:r>
    </w:p>
    <w:p>
      <w:pPr>
        <w:pStyle w:val="Body"/>
        <w:spacing w:before="100" w:after="100" w:line="360" w:lineRule="auto"/>
        <w:jc w:val="both"/>
      </w:pPr>
      <w:r>
        <w:rPr>
          <w:rtl w:val="0"/>
          <w:lang w:val="de-DE"/>
        </w:rPr>
        <w:t>[INSERT FIGURE 5 HERE]</w:t>
      </w:r>
    </w:p>
    <w:p>
      <w:pPr>
        <w:pStyle w:val="Body"/>
        <w:spacing w:before="100" w:after="100" w:line="360" w:lineRule="auto"/>
        <w:jc w:val="center"/>
        <w:rPr>
          <w:b w:val="1"/>
          <w:bCs w:val="1"/>
          <w:i w:val="1"/>
          <w:iCs w:val="1"/>
        </w:rPr>
      </w:pPr>
      <w:r>
        <w:rPr>
          <w:b w:val="1"/>
          <w:bCs w:val="1"/>
          <w:i w:val="1"/>
          <w:iCs w:val="1"/>
          <w:rtl w:val="0"/>
          <w:lang w:val="en-US"/>
        </w:rPr>
        <w:t>Figure 5: Evidence of the Moodle career activity or forum post linked to the selected role.</w:t>
      </w:r>
    </w:p>
    <w:p>
      <w:pPr>
        <w:pStyle w:val="Body"/>
        <w:spacing w:before="100" w:after="100" w:line="360" w:lineRule="auto"/>
        <w:jc w:val="both"/>
      </w:pPr>
      <w:r>
        <w:rPr>
          <w:rtl w:val="0"/>
          <w:lang w:val="en-US"/>
        </w:rPr>
        <w:t>The role of a healthcare assistant is a good comparison, as the values of health and social care are used and applied directly to it. Healthcare assistants may provide assistance to patients with personal care, meals, mobility and basic observations. They can also provide reassurance and liaise with other healthcare workers. A patient and sensitive nature, teamwork, attention to detail, communication and the ability to remain calm under pressure are required (National Careers Service, n.d.).</w:t>
      </w:r>
    </w:p>
    <w:p>
      <w:pPr>
        <w:pStyle w:val="Body"/>
        <w:spacing w:before="100" w:after="100" w:line="360" w:lineRule="auto"/>
        <w:jc w:val="both"/>
      </w:pPr>
      <w:r>
        <w:rPr>
          <w:rtl w:val="0"/>
          <w:lang w:val="en-US"/>
        </w:rPr>
        <w:t>My degree learning can contribute to an awareness of person-centred care, equality, communication and professional responsibility. Academic knowledge is not an indicator of practical ability, however. Role-specific teaching, supervision and assessment are necessary for safe personal care, record-keeping, infection prevention, safeguarding and observation skills.</w:t>
      </w:r>
    </w:p>
    <w:p>
      <w:pPr>
        <w:pStyle w:val="isselectedend"/>
        <w:spacing w:line="360" w:lineRule="auto"/>
        <w:rPr>
          <w:rFonts w:ascii="Calibri" w:cs="Calibri" w:hAnsi="Calibri" w:eastAsia="Calibri"/>
          <w:sz w:val="22"/>
          <w:szCs w:val="22"/>
        </w:rPr>
      </w:pPr>
      <w:r>
        <w:rPr>
          <w:rFonts w:ascii="Calibri" w:hAnsi="Calibri"/>
          <w:sz w:val="22"/>
          <w:szCs w:val="22"/>
          <w:rtl w:val="0"/>
          <w:lang w:val="en-US"/>
        </w:rPr>
        <w:t>The Care Certificate defines the knowledge, skills and behaviours that are expected of workers who are new to health and social care. The Care Certificate has been updated to include duty of care, communication, privacy and dignity, safeguarding, person-centred support, and handling information (Skills for Care, 2025).</w:t>
      </w:r>
    </w:p>
    <w:p>
      <w:pPr>
        <w:pStyle w:val="Body"/>
        <w:spacing w:before="100" w:after="100" w:line="360" w:lineRule="auto"/>
      </w:pPr>
      <w:r>
        <w:rPr>
          <w:rtl w:val="0"/>
          <w:lang w:val="en-US"/>
        </w:rPr>
        <w:t>The above comparison demonstrates that transferable skills do not transfer well except within well-defined limits. The healthcare assistant should recognise when a task is not within their capability and ask for help. If a worker is too sure, they may be too willing to take risks, and if they are too unsure, they may take too long. I can now present myself as a developing health and social care professional and not as a fully-fledged health and social care practitioner. Training, supervised practice and feedback should be used to assess my readiness.</w:t>
      </w:r>
    </w:p>
    <w:p>
      <w:pPr>
        <w:pStyle w:val="Body"/>
        <w:spacing w:before="100" w:after="100" w:line="360" w:lineRule="auto"/>
        <w:outlineLvl w:val="1"/>
        <w:rPr>
          <w:b w:val="1"/>
          <w:bCs w:val="1"/>
          <w:sz w:val="32"/>
          <w:szCs w:val="32"/>
        </w:rPr>
      </w:pPr>
      <w:r>
        <w:rPr>
          <w:b w:val="1"/>
          <w:bCs w:val="1"/>
          <w:sz w:val="32"/>
          <w:szCs w:val="32"/>
          <w:rtl w:val="0"/>
          <w:lang w:val="en-US"/>
        </w:rPr>
        <w:t>Personal Development Action Plan (7)</w:t>
      </w:r>
    </w:p>
    <w:p>
      <w:pPr>
        <w:pStyle w:val="Body"/>
        <w:spacing w:before="100" w:after="100" w:line="360" w:lineRule="auto"/>
      </w:pPr>
      <w:r>
        <w:rPr>
          <w:rtl w:val="0"/>
          <w:lang w:val="en-US"/>
        </w:rPr>
        <w:t>If reflection results in a change in future action, then it is valuable. The following plan focuses on digital conduct, evidence, role knowledge and practical understanding.</w:t>
      </w:r>
    </w:p>
    <w:tbl>
      <w:tblPr>
        <w:tblW w:w="95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30"/>
        <w:gridCol w:w="3506"/>
        <w:gridCol w:w="2052"/>
        <w:gridCol w:w="1988"/>
      </w:tblGrid>
      <w:tr>
        <w:tblPrEx>
          <w:shd w:val="clear" w:color="auto" w:fill="ced7e7"/>
        </w:tblPrEx>
        <w:trPr>
          <w:trHeight w:val="587" w:hRule="atLeast"/>
        </w:trPr>
        <w:tc>
          <w:tcPr>
            <w:tcW w:type="dxa" w:w="2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center"/>
            </w:pPr>
            <w:r>
              <w:rPr>
                <w:b w:val="1"/>
                <w:bCs w:val="1"/>
                <w:shd w:val="nil" w:color="auto" w:fill="auto"/>
                <w:rtl w:val="0"/>
                <w:lang w:val="en-US"/>
              </w:rPr>
              <w:t>Areas of progress</w:t>
            </w:r>
          </w:p>
        </w:tc>
        <w:tc>
          <w:tcPr>
            <w:tcW w:type="dxa" w:w="35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center"/>
            </w:pPr>
            <w:r>
              <w:rPr>
                <w:b w:val="1"/>
                <w:bCs w:val="1"/>
                <w:shd w:val="nil" w:color="auto" w:fill="auto"/>
                <w:rtl w:val="0"/>
                <w:lang w:val="en-US"/>
              </w:rPr>
              <w:t>Projections expected to take place</w:t>
            </w:r>
          </w:p>
        </w:tc>
        <w:tc>
          <w:tcPr>
            <w:tcW w:type="dxa" w:w="20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center"/>
            </w:pPr>
            <w:r>
              <w:rPr>
                <w:b w:val="1"/>
                <w:bCs w:val="1"/>
                <w:shd w:val="nil" w:color="auto" w:fill="auto"/>
                <w:rtl w:val="0"/>
                <w:lang w:val="en-US"/>
              </w:rPr>
              <w:t>Timeframe of the plan to take place</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center"/>
            </w:pPr>
            <w:r>
              <w:rPr>
                <w:b w:val="1"/>
                <w:bCs w:val="1"/>
                <w:shd w:val="nil" w:color="auto" w:fill="auto"/>
                <w:rtl w:val="0"/>
                <w:lang w:val="en-US"/>
              </w:rPr>
              <w:t>Evidence of progress</w:t>
            </w:r>
          </w:p>
        </w:tc>
      </w:tr>
      <w:tr>
        <w:tblPrEx>
          <w:shd w:val="clear" w:color="auto" w:fill="ced7e7"/>
        </w:tblPrEx>
        <w:trPr>
          <w:trHeight w:val="953" w:hRule="atLeast"/>
        </w:trPr>
        <w:tc>
          <w:tcPr>
            <w:tcW w:type="dxa" w:w="2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Professional Communication</w:t>
            </w:r>
          </w:p>
        </w:tc>
        <w:tc>
          <w:tcPr>
            <w:tcW w:type="dxa" w:w="35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Give a presentation and/or complete a role-play activity twice and receive feedback on clarity and listening.</w:t>
            </w:r>
          </w:p>
        </w:tc>
        <w:tc>
          <w:tcPr>
            <w:tcW w:type="dxa" w:w="20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Within three months</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Written feedback and a short review</w:t>
            </w:r>
          </w:p>
        </w:tc>
      </w:tr>
      <w:tr>
        <w:tblPrEx>
          <w:shd w:val="clear" w:color="auto" w:fill="ced7e7"/>
        </w:tblPrEx>
        <w:trPr>
          <w:trHeight w:val="953" w:hRule="atLeast"/>
        </w:trPr>
        <w:tc>
          <w:tcPr>
            <w:tcW w:type="dxa" w:w="2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Role-Specific Knowledge</w:t>
            </w:r>
          </w:p>
        </w:tc>
        <w:tc>
          <w:tcPr>
            <w:tcW w:type="dxa" w:w="35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Complete learning in safeguarding, infection prevention, equality and the Care Certificate standards.</w:t>
            </w:r>
          </w:p>
        </w:tc>
        <w:tc>
          <w:tcPr>
            <w:tcW w:type="dxa" w:w="20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Within six months</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Certificates and more robust answers</w:t>
            </w:r>
          </w:p>
        </w:tc>
      </w:tr>
      <w:tr>
        <w:tblPrEx>
          <w:shd w:val="clear" w:color="auto" w:fill="ced7e7"/>
        </w:tblPrEx>
        <w:trPr>
          <w:trHeight w:val="953" w:hRule="atLeast"/>
        </w:trPr>
        <w:tc>
          <w:tcPr>
            <w:tcW w:type="dxa" w:w="2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Digital Professionalism</w:t>
            </w:r>
          </w:p>
        </w:tc>
        <w:tc>
          <w:tcPr>
            <w:tcW w:type="dxa" w:w="35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Examine my public presence, privacy settings and recorded qualifications.</w:t>
            </w:r>
          </w:p>
        </w:tc>
        <w:tc>
          <w:tcPr>
            <w:tcW w:type="dxa" w:w="20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Within one month and then every three months</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Completed review checklist</w:t>
            </w:r>
          </w:p>
        </w:tc>
      </w:tr>
      <w:tr>
        <w:tblPrEx>
          <w:shd w:val="clear" w:color="auto" w:fill="ced7e7"/>
        </w:tblPrEx>
        <w:trPr>
          <w:trHeight w:val="1319" w:hRule="atLeast"/>
        </w:trPr>
        <w:tc>
          <w:tcPr>
            <w:tcW w:type="dxa" w:w="20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Practical Understanding</w:t>
            </w:r>
          </w:p>
        </w:tc>
        <w:tc>
          <w:tcPr>
            <w:tcW w:type="dxa" w:w="35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Identify an appropriate placement, volunteering opportunity or supervised experience in care-related activities.</w:t>
            </w:r>
          </w:p>
        </w:tc>
        <w:tc>
          <w:tcPr>
            <w:tcW w:type="dxa" w:w="20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Within six months</w:t>
            </w:r>
          </w:p>
        </w:tc>
        <w:tc>
          <w:tcPr>
            <w:tcW w:type="dxa" w:w="198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pPr>
            <w:r>
              <w:rPr>
                <w:shd w:val="nil" w:color="auto" w:fill="auto"/>
                <w:rtl w:val="0"/>
                <w:lang w:val="en-US"/>
              </w:rPr>
              <w:t>Attendance record and supervisor feedback</w:t>
            </w:r>
          </w:p>
        </w:tc>
      </w:tr>
    </w:tbl>
    <w:p>
      <w:pPr>
        <w:pStyle w:val="Body"/>
        <w:widowControl w:val="0"/>
        <w:spacing w:before="100" w:after="100" w:line="240" w:lineRule="auto"/>
      </w:pPr>
    </w:p>
    <w:p>
      <w:pPr>
        <w:pStyle w:val="Body"/>
        <w:spacing w:before="100" w:after="100" w:line="360" w:lineRule="auto"/>
      </w:pPr>
      <w:r>
        <w:rPr>
          <w:rtl w:val="0"/>
          <w:lang w:val="en-US"/>
        </w:rPr>
        <w:t>The plan is realistic, as each goal has an action, timescale and evidence. Actions do not necessarily imply development. Participation in a programme does not mean that the learning from the programme has been applied safely. Progress needs to be assessed through feedback and/or changes in performance.</w:t>
      </w:r>
    </w:p>
    <w:p>
      <w:pPr>
        <w:pStyle w:val="Body"/>
        <w:spacing w:before="100" w:after="100" w:line="360" w:lineRule="auto"/>
        <w:jc w:val="both"/>
      </w:pPr>
      <w:r>
        <w:rPr>
          <w:rtl w:val="0"/>
          <w:lang w:val="en-US"/>
        </w:rPr>
        <w:t>Placement availability, personal commitments and/or recruitment requirements may limit access to appropriate experience. Role-play, volunteering, observation and formal training can prepare a person for some aspects of a task where direct experience is not possible, but they cannot be a substitute for supervised practice. I will check the plan each month and update any action as needed if it is too general or outdated.</w:t>
      </w:r>
    </w:p>
    <w:p>
      <w:pPr>
        <w:pStyle w:val="Body"/>
        <w:spacing w:before="100" w:after="100" w:line="360" w:lineRule="auto"/>
        <w:jc w:val="both"/>
        <w:outlineLvl w:val="0"/>
        <w:rPr>
          <w:b w:val="1"/>
          <w:bCs w:val="1"/>
          <w:kern w:val="36"/>
          <w:sz w:val="32"/>
          <w:szCs w:val="32"/>
        </w:rPr>
      </w:pPr>
      <w:r>
        <w:rPr>
          <w:b w:val="1"/>
          <w:bCs w:val="1"/>
          <w:kern w:val="36"/>
          <w:sz w:val="32"/>
          <w:szCs w:val="32"/>
          <w:rtl w:val="0"/>
          <w:lang w:val="it-IT"/>
        </w:rPr>
        <w:t>8. Conclusion</w:t>
      </w:r>
    </w:p>
    <w:p>
      <w:pPr>
        <w:pStyle w:val="Body"/>
        <w:spacing w:before="100" w:after="100" w:line="360" w:lineRule="auto"/>
        <w:jc w:val="both"/>
      </w:pPr>
      <w:r>
        <w:rPr>
          <w:rtl w:val="0"/>
          <w:lang w:val="en-US"/>
        </w:rPr>
        <w:t>The Moodle activities demonstrated that evidence is more important than self-description for employability. Feedback and performance should be reviewed against the results of skills audits to ensure that the priorities are appropriate. Personal values become professional when they inform fair and responsible action. Personal brands can help to make things clearer, but they lose value when exaggerated. Digital behaviour also has an impact on confidentiality, trust and employment.</w:t>
      </w:r>
    </w:p>
    <w:p>
      <w:pPr>
        <w:pStyle w:val="Body"/>
        <w:spacing w:before="100" w:after="100" w:line="360" w:lineRule="auto"/>
        <w:jc w:val="both"/>
      </w:pPr>
      <w:r>
        <w:rPr>
          <w:rtl w:val="0"/>
          <w:lang w:val="en-US"/>
        </w:rPr>
        <w:t>The role comparison demonstrated that academic learning is a foundation, not full competence. I will now develop further knowledge of the role, gain feedback and gather on-site evidence. This allows for a professional stance that is honest, responsible and open to further growth.</w:t>
      </w:r>
    </w:p>
    <w:p>
      <w:pPr>
        <w:pStyle w:val="Body"/>
        <w:spacing w:before="100" w:after="100" w:line="360" w:lineRule="auto"/>
        <w:jc w:val="both"/>
      </w:pPr>
    </w:p>
    <w:p>
      <w:pPr>
        <w:pStyle w:val="Body"/>
        <w:spacing w:before="100" w:after="100" w:line="360" w:lineRule="auto"/>
        <w:jc w:val="both"/>
      </w:pPr>
    </w:p>
    <w:p>
      <w:pPr>
        <w:pStyle w:val="Body"/>
        <w:spacing w:before="100" w:after="100" w:line="360" w:lineRule="auto"/>
        <w:jc w:val="both"/>
        <w:outlineLvl w:val="0"/>
        <w:rPr>
          <w:b w:val="1"/>
          <w:bCs w:val="1"/>
          <w:kern w:val="36"/>
          <w:sz w:val="32"/>
          <w:szCs w:val="32"/>
        </w:rPr>
      </w:pPr>
      <w:r>
        <w:rPr>
          <w:b w:val="1"/>
          <w:bCs w:val="1"/>
          <w:kern w:val="36"/>
          <w:sz w:val="32"/>
          <w:szCs w:val="32"/>
          <w:rtl w:val="0"/>
          <w:lang w:val="en-US"/>
        </w:rPr>
        <w:t>9. Gibbs Reflective Cycle</w:t>
      </w:r>
    </w:p>
    <w:p>
      <w:pPr>
        <w:pStyle w:val="Body"/>
        <w:jc w:val="center"/>
      </w:pPr>
      <w:r>
        <w:drawing xmlns:a="http://schemas.openxmlformats.org/drawingml/2006/main">
          <wp:inline distT="0" distB="0" distL="0" distR="0">
            <wp:extent cx="5048250" cy="3572036"/>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5048250" cy="3572036"/>
                    </a:xfrm>
                    <a:prstGeom prst="rect">
                      <a:avLst/>
                    </a:prstGeom>
                    <a:ln w="12700" cap="flat">
                      <a:noFill/>
                      <a:miter lim="400000"/>
                    </a:ln>
                    <a:effectLst/>
                  </pic:spPr>
                </pic:pic>
              </a:graphicData>
            </a:graphic>
          </wp:inline>
        </w:drawing>
      </w:r>
    </w:p>
    <w:p>
      <w:pPr>
        <w:pStyle w:val="Body"/>
        <w:spacing w:line="360" w:lineRule="auto"/>
        <w:jc w:val="center"/>
        <w:rPr>
          <w:b w:val="1"/>
          <w:bCs w:val="1"/>
          <w:i w:val="1"/>
          <w:iCs w:val="1"/>
        </w:rPr>
      </w:pPr>
      <w:r>
        <w:rPr>
          <w:b w:val="1"/>
          <w:bCs w:val="1"/>
          <w:i w:val="1"/>
          <w:iCs w:val="1"/>
          <w:rtl w:val="0"/>
          <w:lang w:val="en-US"/>
        </w:rPr>
        <w:t>Figure 6: The six stages of Gibbs</w:t>
      </w:r>
      <w:r>
        <w:rPr>
          <w:b w:val="1"/>
          <w:bCs w:val="1"/>
          <w:i w:val="1"/>
          <w:iCs w:val="1"/>
          <w:rtl w:val="1"/>
        </w:rPr>
        <w:t xml:space="preserve">’ </w:t>
      </w:r>
      <w:r>
        <w:rPr>
          <w:b w:val="1"/>
          <w:bCs w:val="1"/>
          <w:i w:val="1"/>
          <w:iCs w:val="1"/>
          <w:rtl w:val="0"/>
          <w:lang w:val="en-US"/>
        </w:rPr>
        <w:t>Reflective Cycle, adapted from Gibbs (1988).</w:t>
      </w:r>
    </w:p>
    <w:tbl>
      <w:tblPr>
        <w:tblW w:w="957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908"/>
        <w:gridCol w:w="7668"/>
      </w:tblGrid>
      <w:tr>
        <w:tblPrEx>
          <w:shd w:val="clear" w:color="auto" w:fill="ced7e7"/>
        </w:tblPrEx>
        <w:trPr>
          <w:trHeight w:val="221" w:hRule="atLeast"/>
        </w:trPr>
        <w:tc>
          <w:tcPr>
            <w:tcW w:type="dxa" w:w="19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b w:val="1"/>
                <w:bCs w:val="1"/>
                <w:shd w:val="nil" w:color="auto" w:fill="auto"/>
                <w:rtl w:val="0"/>
                <w:lang w:val="en-US"/>
              </w:rPr>
              <w:t>Gibbs Stage</w:t>
            </w:r>
          </w:p>
        </w:tc>
        <w:tc>
          <w:tcPr>
            <w:tcW w:type="dxa" w:w="7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b w:val="1"/>
                <w:bCs w:val="1"/>
                <w:shd w:val="nil" w:color="auto" w:fill="auto"/>
                <w:rtl w:val="0"/>
                <w:lang w:val="en-US"/>
              </w:rPr>
              <w:t>Overall Reflection</w:t>
            </w:r>
          </w:p>
        </w:tc>
      </w:tr>
      <w:tr>
        <w:tblPrEx>
          <w:shd w:val="clear" w:color="auto" w:fill="ced7e7"/>
        </w:tblPrEx>
        <w:trPr>
          <w:trHeight w:val="1319" w:hRule="atLeast"/>
        </w:trPr>
        <w:tc>
          <w:tcPr>
            <w:tcW w:type="dxa" w:w="19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Description</w:t>
            </w:r>
          </w:p>
        </w:tc>
        <w:tc>
          <w:tcPr>
            <w:tcW w:type="dxa" w:w="7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Employability, personal values, professional identity, personal branding, digital professionalism and career planning were the topics of the Moodle activities that I reviewed. I then made a comparison of the learning with the healthcare assistant role and created a personal development plan.</w:t>
            </w:r>
          </w:p>
        </w:tc>
      </w:tr>
      <w:tr>
        <w:tblPrEx>
          <w:shd w:val="clear" w:color="auto" w:fill="ced7e7"/>
        </w:tblPrEx>
        <w:trPr>
          <w:trHeight w:val="953" w:hRule="atLeast"/>
        </w:trPr>
        <w:tc>
          <w:tcPr>
            <w:tcW w:type="dxa" w:w="19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Feelings</w:t>
            </w:r>
          </w:p>
        </w:tc>
        <w:tc>
          <w:tcPr>
            <w:tcW w:type="dxa" w:w="7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At the beginning, the activities seemed to be primarily about strengths. During reflection, I became more aware that a positive claim is of limited value if it is unproven. This was a more difficult task, but it was also beneficial.</w:t>
            </w:r>
          </w:p>
        </w:tc>
      </w:tr>
      <w:tr>
        <w:tblPrEx>
          <w:shd w:val="clear" w:color="auto" w:fill="ced7e7"/>
        </w:tblPrEx>
        <w:trPr>
          <w:trHeight w:val="1319" w:hRule="atLeast"/>
        </w:trPr>
        <w:tc>
          <w:tcPr>
            <w:tcW w:type="dxa" w:w="19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Evaluation</w:t>
            </w:r>
          </w:p>
        </w:tc>
        <w:tc>
          <w:tcPr>
            <w:tcW w:type="dxa" w:w="7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The activities offered a good framework for the assessment of career readiness. They related personal development to career aspirations. Their biggest limitation was their reliance on self-report, as they could not show how I would react under pressure or when directly interacting with patients.</w:t>
            </w:r>
          </w:p>
        </w:tc>
      </w:tr>
      <w:tr>
        <w:tblPrEx>
          <w:shd w:val="clear" w:color="auto" w:fill="ced7e7"/>
        </w:tblPrEx>
        <w:trPr>
          <w:trHeight w:val="1684" w:hRule="atLeast"/>
        </w:trPr>
        <w:tc>
          <w:tcPr>
            <w:tcW w:type="dxa" w:w="19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Analysis</w:t>
            </w:r>
          </w:p>
        </w:tc>
        <w:tc>
          <w:tcPr>
            <w:tcW w:type="dxa" w:w="7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Reflection needs a judgement on what was learned and what should change. There is a link between reflection and continued improvement in HCPC guidance, while skills are developed through practice, feedback and review (Orih et al., 2024; Health and Care Professions Council, 2021). Personal branding can only be beneficial if backed up by actions and proof.</w:t>
            </w:r>
          </w:p>
        </w:tc>
      </w:tr>
      <w:tr>
        <w:tblPrEx>
          <w:shd w:val="clear" w:color="auto" w:fill="ced7e7"/>
        </w:tblPrEx>
        <w:trPr>
          <w:trHeight w:val="1319" w:hRule="atLeast"/>
        </w:trPr>
        <w:tc>
          <w:tcPr>
            <w:tcW w:type="dxa" w:w="19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Conclusion</w:t>
            </w:r>
          </w:p>
        </w:tc>
        <w:tc>
          <w:tcPr>
            <w:tcW w:type="dxa" w:w="7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I discovered that professional identity is developed through consistent action. Supervised practice cannot be replaced by academic knowledge, online presentation and/or confidence. Feedback and practical evidence, not just personal opinion, should be used for future self-assessment.</w:t>
            </w:r>
          </w:p>
        </w:tc>
      </w:tr>
      <w:tr>
        <w:tblPrEx>
          <w:shd w:val="clear" w:color="auto" w:fill="ced7e7"/>
        </w:tblPrEx>
        <w:trPr>
          <w:trHeight w:val="953" w:hRule="atLeast"/>
        </w:trPr>
        <w:tc>
          <w:tcPr>
            <w:tcW w:type="dxa" w:w="19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Action Plan</w:t>
            </w:r>
          </w:p>
        </w:tc>
        <w:tc>
          <w:tcPr>
            <w:tcW w:type="dxa" w:w="76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shd w:val="nil" w:color="auto" w:fill="auto"/>
                <w:rtl w:val="0"/>
                <w:lang w:val="en-US"/>
              </w:rPr>
              <w:t>I will adhere to the development plan, review progress monthly and document training, feedback and practical learning. I will also update my personal brand when my skills and/or career path evolve.</w:t>
            </w:r>
          </w:p>
        </w:tc>
      </w:tr>
    </w:tbl>
    <w:p>
      <w:pPr>
        <w:pStyle w:val="Body"/>
        <w:widowControl w:val="0"/>
        <w:spacing w:line="240" w:lineRule="auto"/>
        <w:jc w:val="center"/>
        <w:rPr>
          <w:b w:val="1"/>
          <w:bCs w:val="1"/>
          <w:i w:val="1"/>
          <w:iCs w:val="1"/>
        </w:rPr>
      </w:pPr>
    </w:p>
    <w:p>
      <w:pPr>
        <w:pStyle w:val="Body"/>
        <w:spacing w:line="360" w:lineRule="auto"/>
        <w:jc w:val="both"/>
      </w:pPr>
      <w:r>
        <w:rPr>
          <w:b w:val="1"/>
          <w:bCs w:val="1"/>
          <w:i w:val="1"/>
          <w:iCs w:val="1"/>
        </w:rPr>
        <w:drawing xmlns:a="http://schemas.openxmlformats.org/drawingml/2006/main">
          <wp:anchor distT="152400" distB="152400" distL="152400" distR="152400" simplePos="0" relativeHeight="251659264" behindDoc="0" locked="0" layoutInCell="1" allowOverlap="1">
            <wp:simplePos x="0" y="0"/>
            <wp:positionH relativeFrom="margin">
              <wp:posOffset>-238203</wp:posOffset>
            </wp:positionH>
            <wp:positionV relativeFrom="page">
              <wp:posOffset>1001406</wp:posOffset>
            </wp:positionV>
            <wp:extent cx="1842575" cy="4005996"/>
            <wp:effectExtent l="0" t="0" r="0" b="0"/>
            <wp:wrapThrough wrapText="bothSides" distL="152400" distR="152400">
              <wp:wrapPolygon edited="1">
                <wp:start x="0" y="0"/>
                <wp:lineTo x="21600" y="0"/>
                <wp:lineTo x="21600" y="21600"/>
                <wp:lineTo x="0" y="21600"/>
                <wp:lineTo x="0" y="0"/>
              </wp:wrapPolygon>
            </wp:wrapThrough>
            <wp:docPr id="1073741826" name="officeArt object" descr="IMG_7257.png"/>
            <wp:cNvGraphicFramePr/>
            <a:graphic xmlns:a="http://schemas.openxmlformats.org/drawingml/2006/main">
              <a:graphicData uri="http://schemas.openxmlformats.org/drawingml/2006/picture">
                <pic:pic xmlns:pic="http://schemas.openxmlformats.org/drawingml/2006/picture">
                  <pic:nvPicPr>
                    <pic:cNvPr id="1073741826" name="IMG_7257.png" descr="IMG_7257.png"/>
                    <pic:cNvPicPr>
                      <a:picLocks noChangeAspect="1"/>
                    </pic:cNvPicPr>
                  </pic:nvPicPr>
                  <pic:blipFill>
                    <a:blip r:embed="rId5">
                      <a:extLst/>
                    </a:blip>
                    <a:stretch>
                      <a:fillRect/>
                    </a:stretch>
                  </pic:blipFill>
                  <pic:spPr>
                    <a:xfrm>
                      <a:off x="0" y="0"/>
                      <a:ext cx="1842575" cy="4005996"/>
                    </a:xfrm>
                    <a:prstGeom prst="rect">
                      <a:avLst/>
                    </a:prstGeom>
                    <a:ln w="12700" cap="flat">
                      <a:noFill/>
                      <a:miter lim="400000"/>
                    </a:ln>
                    <a:effectLst/>
                  </pic:spPr>
                </pic:pic>
              </a:graphicData>
            </a:graphic>
          </wp:anchor>
        </w:drawing>
      </w:r>
      <w:r>
        <w:rPr>
          <w:b w:val="1"/>
          <w:bCs w:val="1"/>
          <w:i w:val="1"/>
          <w:iCs w:val="1"/>
        </w:rPr>
        <w:drawing xmlns:a="http://schemas.openxmlformats.org/drawingml/2006/main">
          <wp:anchor distT="152400" distB="152400" distL="152400" distR="152400" simplePos="0" relativeHeight="251660288" behindDoc="0" locked="0" layoutInCell="1" allowOverlap="1">
            <wp:simplePos x="0" y="0"/>
            <wp:positionH relativeFrom="margin">
              <wp:posOffset>1871158</wp:posOffset>
            </wp:positionH>
            <wp:positionV relativeFrom="page">
              <wp:posOffset>1003591</wp:posOffset>
            </wp:positionV>
            <wp:extent cx="1840565" cy="4001626"/>
            <wp:effectExtent l="0" t="0" r="0" b="0"/>
            <wp:wrapThrough wrapText="bothSides" distL="152400" distR="152400">
              <wp:wrapPolygon edited="1">
                <wp:start x="0" y="0"/>
                <wp:lineTo x="21600" y="0"/>
                <wp:lineTo x="21600" y="21600"/>
                <wp:lineTo x="0" y="21600"/>
                <wp:lineTo x="0" y="0"/>
              </wp:wrapPolygon>
            </wp:wrapThrough>
            <wp:docPr id="1073741827" name="officeArt object" descr="IMG_7256.png"/>
            <wp:cNvGraphicFramePr/>
            <a:graphic xmlns:a="http://schemas.openxmlformats.org/drawingml/2006/main">
              <a:graphicData uri="http://schemas.openxmlformats.org/drawingml/2006/picture">
                <pic:pic xmlns:pic="http://schemas.openxmlformats.org/drawingml/2006/picture">
                  <pic:nvPicPr>
                    <pic:cNvPr id="1073741827" name="IMG_7256.png" descr="IMG_7256.png"/>
                    <pic:cNvPicPr>
                      <a:picLocks noChangeAspect="1"/>
                    </pic:cNvPicPr>
                  </pic:nvPicPr>
                  <pic:blipFill>
                    <a:blip r:embed="rId6">
                      <a:extLst/>
                    </a:blip>
                    <a:stretch>
                      <a:fillRect/>
                    </a:stretch>
                  </pic:blipFill>
                  <pic:spPr>
                    <a:xfrm>
                      <a:off x="0" y="0"/>
                      <a:ext cx="1840565" cy="4001626"/>
                    </a:xfrm>
                    <a:prstGeom prst="rect">
                      <a:avLst/>
                    </a:prstGeom>
                    <a:ln w="12700" cap="flat">
                      <a:noFill/>
                      <a:miter lim="400000"/>
                    </a:ln>
                    <a:effectLst/>
                  </pic:spPr>
                </pic:pic>
              </a:graphicData>
            </a:graphic>
          </wp:anchor>
        </w:drawing>
      </w:r>
      <w:r>
        <w:rPr>
          <w:b w:val="1"/>
          <w:bCs w:val="1"/>
          <w:i w:val="1"/>
          <w:iCs w:val="1"/>
        </w:rPr>
        <w:drawing xmlns:a="http://schemas.openxmlformats.org/drawingml/2006/main">
          <wp:anchor distT="152400" distB="152400" distL="152400" distR="152400" simplePos="0" relativeHeight="251661312" behindDoc="0" locked="0" layoutInCell="1" allowOverlap="1">
            <wp:simplePos x="0" y="0"/>
            <wp:positionH relativeFrom="margin">
              <wp:posOffset>4164145</wp:posOffset>
            </wp:positionH>
            <wp:positionV relativeFrom="page">
              <wp:posOffset>1026625</wp:posOffset>
            </wp:positionV>
            <wp:extent cx="1916759" cy="4167282"/>
            <wp:effectExtent l="0" t="0" r="0" b="0"/>
            <wp:wrapThrough wrapText="bothSides" distL="152400" distR="152400">
              <wp:wrapPolygon edited="1">
                <wp:start x="0" y="0"/>
                <wp:lineTo x="21600" y="0"/>
                <wp:lineTo x="21600" y="21600"/>
                <wp:lineTo x="0" y="21600"/>
                <wp:lineTo x="0" y="0"/>
              </wp:wrapPolygon>
            </wp:wrapThrough>
            <wp:docPr id="1073741828" name="officeArt object" descr="IMG_7255.png"/>
            <wp:cNvGraphicFramePr/>
            <a:graphic xmlns:a="http://schemas.openxmlformats.org/drawingml/2006/main">
              <a:graphicData uri="http://schemas.openxmlformats.org/drawingml/2006/picture">
                <pic:pic xmlns:pic="http://schemas.openxmlformats.org/drawingml/2006/picture">
                  <pic:nvPicPr>
                    <pic:cNvPr id="1073741828" name="IMG_7255.png" descr="IMG_7255.png"/>
                    <pic:cNvPicPr>
                      <a:picLocks noChangeAspect="1"/>
                    </pic:cNvPicPr>
                  </pic:nvPicPr>
                  <pic:blipFill>
                    <a:blip r:embed="rId7">
                      <a:extLst/>
                    </a:blip>
                    <a:stretch>
                      <a:fillRect/>
                    </a:stretch>
                  </pic:blipFill>
                  <pic:spPr>
                    <a:xfrm>
                      <a:off x="0" y="0"/>
                      <a:ext cx="1916759" cy="4167282"/>
                    </a:xfrm>
                    <a:prstGeom prst="rect">
                      <a:avLst/>
                    </a:prstGeom>
                    <a:ln w="12700" cap="flat">
                      <a:noFill/>
                      <a:miter lim="400000"/>
                    </a:ln>
                    <a:effectLst/>
                  </pic:spPr>
                </pic:pic>
              </a:graphicData>
            </a:graphic>
          </wp:anchor>
        </w:drawing>
      </w:r>
    </w:p>
    <w:p>
      <w:pPr>
        <w:pStyle w:val="Body"/>
        <w:spacing w:line="360" w:lineRule="auto"/>
        <w:jc w:val="both"/>
      </w:pPr>
      <w:r>
        <w:rPr>
          <w:rFonts w:ascii="Arial Unicode MS" w:cs="Arial Unicode MS" w:hAnsi="Arial Unicode MS" w:eastAsia="Arial Unicode MS"/>
          <w:b w:val="0"/>
          <w:bCs w:val="0"/>
          <w:i w:val="0"/>
          <w:iCs w:val="0"/>
        </w:rPr>
        <w:br w:type="page"/>
      </w:r>
    </w:p>
    <w:p>
      <w:pPr>
        <w:pStyle w:val="Body"/>
        <w:spacing w:before="100" w:after="100" w:line="360" w:lineRule="auto"/>
        <w:jc w:val="both"/>
        <w:outlineLvl w:val="0"/>
        <w:rPr>
          <w:b w:val="1"/>
          <w:bCs w:val="1"/>
          <w:kern w:val="36"/>
          <w:sz w:val="32"/>
          <w:szCs w:val="32"/>
        </w:rPr>
      </w:pPr>
      <w:r>
        <w:rPr>
          <w:b w:val="1"/>
          <w:bCs w:val="1"/>
          <w:kern w:val="36"/>
          <w:sz w:val="32"/>
          <w:szCs w:val="32"/>
          <w:rtl w:val="0"/>
          <w:lang w:val="fr-FR"/>
        </w:rPr>
        <w:t>Reference List</w:t>
      </w:r>
    </w:p>
    <w:p>
      <w:pPr>
        <w:pStyle w:val="Body"/>
        <w:spacing w:before="100" w:after="100" w:line="360" w:lineRule="auto"/>
        <w:ind w:left="720" w:hanging="720"/>
        <w:rPr>
          <w:rStyle w:val="None"/>
        </w:rPr>
      </w:pPr>
      <w:r>
        <w:rPr>
          <w:rtl w:val="0"/>
        </w:rPr>
        <w:t xml:space="preserve">Care Quality Commission (2024) </w:t>
      </w:r>
      <w:r>
        <w:rPr>
          <w:rtl w:val="1"/>
        </w:rPr>
        <w:t>‘</w:t>
      </w:r>
      <w:r>
        <w:rPr>
          <w:rtl w:val="0"/>
          <w:lang w:val="en-US"/>
        </w:rPr>
        <w:t>Regulation 17: Good governance</w:t>
      </w:r>
      <w:r>
        <w:rPr>
          <w:rtl w:val="1"/>
        </w:rPr>
        <w:t>’</w:t>
      </w:r>
      <w:r>
        <w:rPr>
          <w:rtl w:val="0"/>
          <w:lang w:val="en-US"/>
        </w:rPr>
        <w:t xml:space="preserve">. Available at: </w:t>
      </w:r>
      <w:r>
        <w:rPr>
          <w:rStyle w:val="Hyperlink.0"/>
        </w:rPr>
        <w:fldChar w:fldCharType="begin" w:fldLock="0"/>
      </w:r>
      <w:r>
        <w:rPr>
          <w:rStyle w:val="Hyperlink.0"/>
        </w:rPr>
        <w:instrText xml:space="preserve"> HYPERLINK "https://www.cqc.org.uk/guidance-regulation/providers/regulations-service-providers-and-managers/health-social-care-act/regulation-17"</w:instrText>
      </w:r>
      <w:r>
        <w:rPr>
          <w:rStyle w:val="Hyperlink.0"/>
        </w:rPr>
        <w:fldChar w:fldCharType="separate" w:fldLock="0"/>
      </w:r>
      <w:r>
        <w:rPr>
          <w:rStyle w:val="Hyperlink.0"/>
          <w:rtl w:val="0"/>
          <w:lang w:val="en-US"/>
        </w:rPr>
        <w:t>https://www.cqc.org.uk/guidance-regulation/providers/regulations-service-providers-and-managers/health-social-care-act/regulation-17</w:t>
      </w:r>
      <w:r>
        <w:rPr/>
        <w:fldChar w:fldCharType="end" w:fldLock="0"/>
      </w:r>
      <w:r>
        <w:rPr>
          <w:rStyle w:val="None"/>
          <w:rtl w:val="0"/>
          <w:lang w:val="en-US"/>
        </w:rPr>
        <w:t xml:space="preserve"> (Accessed: 30 July 2026).</w:t>
      </w:r>
    </w:p>
    <w:p>
      <w:pPr>
        <w:pStyle w:val="Body"/>
        <w:spacing w:before="100" w:after="100" w:line="360" w:lineRule="auto"/>
        <w:ind w:left="720" w:hanging="720"/>
        <w:rPr>
          <w:rStyle w:val="None"/>
        </w:rPr>
      </w:pPr>
      <w:r>
        <w:rPr>
          <w:rStyle w:val="None"/>
          <w:rtl w:val="0"/>
          <w:lang w:val="en-US"/>
        </w:rPr>
        <w:t xml:space="preserve">Department of Health and Social Care (2023) </w:t>
      </w:r>
      <w:r>
        <w:rPr>
          <w:rStyle w:val="None"/>
          <w:i w:val="1"/>
          <w:iCs w:val="1"/>
          <w:rtl w:val="0"/>
          <w:lang w:val="en-US"/>
        </w:rPr>
        <w:t>The NHS Constitution for England</w:t>
      </w:r>
      <w:r>
        <w:rPr>
          <w:rStyle w:val="None"/>
          <w:rtl w:val="0"/>
          <w:lang w:val="en-US"/>
        </w:rPr>
        <w:t xml:space="preserve">. Available at: </w:t>
      </w:r>
      <w:r>
        <w:rPr>
          <w:rStyle w:val="Hyperlink.0"/>
        </w:rPr>
        <w:fldChar w:fldCharType="begin" w:fldLock="0"/>
      </w:r>
      <w:r>
        <w:rPr>
          <w:rStyle w:val="Hyperlink.0"/>
        </w:rPr>
        <w:instrText xml:space="preserve"> HYPERLINK "https://www.gov.uk/government/publications/the-nhs-constitution-for-england/the-nhs-constitution-for-england"</w:instrText>
      </w:r>
      <w:r>
        <w:rPr>
          <w:rStyle w:val="Hyperlink.0"/>
        </w:rPr>
        <w:fldChar w:fldCharType="separate" w:fldLock="0"/>
      </w:r>
      <w:r>
        <w:rPr>
          <w:rStyle w:val="Hyperlink.0"/>
          <w:rtl w:val="0"/>
          <w:lang w:val="en-US"/>
        </w:rPr>
        <w:t>https://www.gov.uk/government/publications/the-nhs-constitution-for-england/the-nhs-constitution-for-england</w:t>
      </w:r>
      <w:r>
        <w:rPr/>
        <w:fldChar w:fldCharType="end" w:fldLock="0"/>
      </w:r>
      <w:r>
        <w:rPr>
          <w:rStyle w:val="None"/>
          <w:rtl w:val="0"/>
          <w:lang w:val="en-US"/>
        </w:rPr>
        <w:t xml:space="preserve"> (Accessed: 30 July 2026).</w:t>
      </w:r>
    </w:p>
    <w:p>
      <w:pPr>
        <w:pStyle w:val="Body"/>
        <w:spacing w:before="100" w:after="100" w:line="360" w:lineRule="auto"/>
        <w:ind w:left="720" w:hanging="720"/>
        <w:rPr>
          <w:rStyle w:val="None"/>
        </w:rPr>
      </w:pPr>
      <w:r>
        <w:rPr>
          <w:rStyle w:val="None"/>
          <w:rtl w:val="0"/>
        </w:rPr>
        <w:t xml:space="preserve">Gibbs, G. (1988) </w:t>
      </w:r>
      <w:r>
        <w:rPr>
          <w:rStyle w:val="None"/>
          <w:i w:val="1"/>
          <w:iCs w:val="1"/>
          <w:rtl w:val="0"/>
          <w:lang w:val="en-US"/>
        </w:rPr>
        <w:t>Learning by Doing: A Guide to Teaching and Learning Methods</w:t>
      </w:r>
      <w:r>
        <w:rPr>
          <w:rStyle w:val="None"/>
          <w:rtl w:val="0"/>
          <w:lang w:val="en-US"/>
        </w:rPr>
        <w:t>. Oxford: Further Education Unit, Oxford Polytechnic.</w:t>
      </w:r>
    </w:p>
    <w:p>
      <w:pPr>
        <w:pStyle w:val="Body"/>
        <w:spacing w:before="100" w:after="100" w:line="360" w:lineRule="auto"/>
        <w:ind w:left="720" w:hanging="720"/>
        <w:rPr>
          <w:rStyle w:val="None"/>
        </w:rPr>
      </w:pPr>
      <w:r>
        <w:rPr>
          <w:rStyle w:val="None"/>
          <w:rtl w:val="0"/>
        </w:rPr>
        <w:t xml:space="preserve">Gorbatov, S., Khapova, S.N. and Lysova, E.I. (2019) </w:t>
      </w:r>
      <w:r>
        <w:rPr>
          <w:rStyle w:val="None"/>
          <w:rtl w:val="1"/>
        </w:rPr>
        <w:t>‘</w:t>
      </w:r>
      <w:r>
        <w:rPr>
          <w:rStyle w:val="None"/>
          <w:rtl w:val="0"/>
          <w:lang w:val="en-US"/>
        </w:rPr>
        <w:t>Get noticed to get ahead: The impact of personal branding on career success</w:t>
      </w:r>
      <w:r>
        <w:rPr>
          <w:rStyle w:val="None"/>
          <w:rtl w:val="1"/>
        </w:rPr>
        <w:t>’</w:t>
      </w:r>
      <w:r>
        <w:rPr>
          <w:rStyle w:val="None"/>
          <w:rtl w:val="0"/>
        </w:rPr>
        <w:t xml:space="preserve">, </w:t>
      </w:r>
      <w:r>
        <w:rPr>
          <w:rStyle w:val="None"/>
          <w:i w:val="1"/>
          <w:iCs w:val="1"/>
          <w:rtl w:val="0"/>
          <w:lang w:val="en-US"/>
        </w:rPr>
        <w:t>Frontiers in Psychology</w:t>
      </w:r>
      <w:r>
        <w:rPr>
          <w:rStyle w:val="None"/>
          <w:rtl w:val="0"/>
        </w:rPr>
        <w:t>, 10, 2662. doi: 10.3389/fpsyg.2019.02662.</w:t>
      </w:r>
    </w:p>
    <w:p>
      <w:pPr>
        <w:pStyle w:val="Body"/>
        <w:spacing w:before="100" w:after="100" w:line="360" w:lineRule="auto"/>
        <w:ind w:left="720" w:hanging="720"/>
        <w:rPr>
          <w:rStyle w:val="None"/>
        </w:rPr>
      </w:pPr>
      <w:r>
        <w:rPr>
          <w:rStyle w:val="None"/>
          <w:rtl w:val="0"/>
          <w:lang w:val="en-US"/>
        </w:rPr>
        <w:t xml:space="preserve">Health and Care Professions Council (2021) </w:t>
      </w:r>
      <w:r>
        <w:rPr>
          <w:rStyle w:val="None"/>
          <w:rtl w:val="1"/>
        </w:rPr>
        <w:t>‘</w:t>
      </w:r>
      <w:r>
        <w:rPr>
          <w:rStyle w:val="None"/>
          <w:rtl w:val="0"/>
          <w:lang w:val="en-US"/>
        </w:rPr>
        <w:t>What is reflection?</w:t>
      </w:r>
      <w:r>
        <w:rPr>
          <w:rStyle w:val="None"/>
          <w:rtl w:val="1"/>
        </w:rPr>
        <w:t>’</w:t>
      </w:r>
      <w:r>
        <w:rPr>
          <w:rStyle w:val="None"/>
          <w:rtl w:val="0"/>
          <w:lang w:val="en-US"/>
        </w:rPr>
        <w:t xml:space="preserve">. Available at: </w:t>
      </w:r>
      <w:r>
        <w:rPr>
          <w:rStyle w:val="Hyperlink.0"/>
        </w:rPr>
        <w:fldChar w:fldCharType="begin" w:fldLock="0"/>
      </w:r>
      <w:r>
        <w:rPr>
          <w:rStyle w:val="Hyperlink.0"/>
        </w:rPr>
        <w:instrText xml:space="preserve"> HYPERLINK "https://www.hcpc-uk.org/standards/meeting-our-standards/reflective-practice/what-is-reflection/"</w:instrText>
      </w:r>
      <w:r>
        <w:rPr>
          <w:rStyle w:val="Hyperlink.0"/>
        </w:rPr>
        <w:fldChar w:fldCharType="separate" w:fldLock="0"/>
      </w:r>
      <w:r>
        <w:rPr>
          <w:rStyle w:val="Hyperlink.0"/>
          <w:rtl w:val="0"/>
          <w:lang w:val="en-US"/>
        </w:rPr>
        <w:t>https://www.hcpc-uk.org/standards/meeting-our-standards/reflective-practice/what-is-reflection/</w:t>
      </w:r>
      <w:r>
        <w:rPr/>
        <w:fldChar w:fldCharType="end" w:fldLock="0"/>
      </w:r>
      <w:r>
        <w:rPr>
          <w:rStyle w:val="None"/>
          <w:rtl w:val="0"/>
          <w:lang w:val="en-US"/>
        </w:rPr>
        <w:t xml:space="preserve"> (Accessed: 30 July 2026).</w:t>
      </w:r>
    </w:p>
    <w:p>
      <w:pPr>
        <w:pStyle w:val="Body"/>
        <w:spacing w:before="100" w:after="100" w:line="360" w:lineRule="auto"/>
        <w:ind w:left="720" w:hanging="720"/>
        <w:rPr>
          <w:rStyle w:val="None"/>
        </w:rPr>
      </w:pPr>
      <w:r>
        <w:rPr>
          <w:rStyle w:val="None"/>
          <w:rtl w:val="0"/>
          <w:lang w:val="en-US"/>
        </w:rPr>
        <w:t xml:space="preserve">Health and Care Professions Council (2024a) </w:t>
      </w:r>
      <w:r>
        <w:rPr>
          <w:rStyle w:val="None"/>
          <w:i w:val="1"/>
          <w:iCs w:val="1"/>
          <w:rtl w:val="0"/>
          <w:lang w:val="en-US"/>
        </w:rPr>
        <w:t>Standards of Conduct, Performance and Ethics</w:t>
      </w:r>
      <w:r>
        <w:rPr>
          <w:rStyle w:val="None"/>
          <w:rtl w:val="0"/>
          <w:lang w:val="en-US"/>
        </w:rPr>
        <w:t xml:space="preserve">. Available at: </w:t>
      </w:r>
      <w:r>
        <w:rPr>
          <w:rStyle w:val="Hyperlink.0"/>
        </w:rPr>
        <w:fldChar w:fldCharType="begin" w:fldLock="0"/>
      </w:r>
      <w:r>
        <w:rPr>
          <w:rStyle w:val="Hyperlink.0"/>
        </w:rPr>
        <w:instrText xml:space="preserve"> HYPERLINK "https://www.hcpc-uk.org/standards/standards-of-conduct-performance-and-ethics/"</w:instrText>
      </w:r>
      <w:r>
        <w:rPr>
          <w:rStyle w:val="Hyperlink.0"/>
        </w:rPr>
        <w:fldChar w:fldCharType="separate" w:fldLock="0"/>
      </w:r>
      <w:r>
        <w:rPr>
          <w:rStyle w:val="Hyperlink.0"/>
          <w:rtl w:val="0"/>
          <w:lang w:val="en-US"/>
        </w:rPr>
        <w:t>https://www.hcpc-uk.org/standards/standards-of-conduct-performance-and-ethics/</w:t>
      </w:r>
      <w:r>
        <w:rPr/>
        <w:fldChar w:fldCharType="end" w:fldLock="0"/>
      </w:r>
      <w:r>
        <w:rPr>
          <w:rStyle w:val="None"/>
          <w:rtl w:val="0"/>
          <w:lang w:val="en-US"/>
        </w:rPr>
        <w:t xml:space="preserve"> (Accessed: 30 July 2026).</w:t>
      </w:r>
    </w:p>
    <w:p>
      <w:pPr>
        <w:pStyle w:val="Body"/>
        <w:spacing w:before="100" w:after="100" w:line="360" w:lineRule="auto"/>
        <w:ind w:left="720" w:hanging="720"/>
        <w:rPr>
          <w:rStyle w:val="None"/>
        </w:rPr>
      </w:pPr>
      <w:r>
        <w:rPr>
          <w:rStyle w:val="None"/>
          <w:rtl w:val="0"/>
          <w:lang w:val="en-US"/>
        </w:rPr>
        <w:t xml:space="preserve">Health and Care Professions Council (2024b) </w:t>
      </w:r>
      <w:r>
        <w:rPr>
          <w:rStyle w:val="None"/>
          <w:i w:val="1"/>
          <w:iCs w:val="1"/>
          <w:rtl w:val="0"/>
          <w:lang w:val="en-US"/>
        </w:rPr>
        <w:t>Guidance on the Use of Social Media</w:t>
      </w:r>
      <w:r>
        <w:rPr>
          <w:rStyle w:val="None"/>
          <w:rtl w:val="0"/>
          <w:lang w:val="en-US"/>
        </w:rPr>
        <w:t xml:space="preserve">. Available at: </w:t>
      </w:r>
      <w:r>
        <w:rPr>
          <w:rStyle w:val="Hyperlink.0"/>
        </w:rPr>
        <w:fldChar w:fldCharType="begin" w:fldLock="0"/>
      </w:r>
      <w:r>
        <w:rPr>
          <w:rStyle w:val="Hyperlink.0"/>
        </w:rPr>
        <w:instrText xml:space="preserve"> HYPERLINK "https://www.hcpc-uk.org/standards/meeting-our-standards/communication-and-using-social-media/guidance-on-use-of-social-media/"</w:instrText>
      </w:r>
      <w:r>
        <w:rPr>
          <w:rStyle w:val="Hyperlink.0"/>
        </w:rPr>
        <w:fldChar w:fldCharType="separate" w:fldLock="0"/>
      </w:r>
      <w:r>
        <w:rPr>
          <w:rStyle w:val="Hyperlink.0"/>
          <w:rtl w:val="0"/>
          <w:lang w:val="en-US"/>
        </w:rPr>
        <w:t>https://www.hcpc-uk.org/standards/meeting-our-standards/communication-and-using-social-media/guidance-on-use-of-social-media/</w:t>
      </w:r>
      <w:r>
        <w:rPr/>
        <w:fldChar w:fldCharType="end" w:fldLock="0"/>
      </w:r>
      <w:r>
        <w:rPr>
          <w:rStyle w:val="None"/>
          <w:rtl w:val="0"/>
          <w:lang w:val="en-US"/>
        </w:rPr>
        <w:t xml:space="preserve"> (Accessed: 30 July 2026).</w:t>
      </w:r>
    </w:p>
    <w:p>
      <w:pPr>
        <w:pStyle w:val="Body"/>
        <w:spacing w:before="100" w:after="100" w:line="360" w:lineRule="auto"/>
        <w:ind w:left="720" w:hanging="720"/>
        <w:rPr>
          <w:rStyle w:val="None"/>
        </w:rPr>
      </w:pPr>
      <w:r>
        <w:rPr>
          <w:rStyle w:val="None"/>
          <w:rtl w:val="0"/>
          <w:lang w:val="nl-NL"/>
        </w:rPr>
        <w:t xml:space="preserve">National Careers Service (n.d.) </w:t>
      </w:r>
      <w:r>
        <w:rPr>
          <w:rStyle w:val="None"/>
          <w:rtl w:val="1"/>
        </w:rPr>
        <w:t>‘</w:t>
      </w:r>
      <w:r>
        <w:rPr>
          <w:rStyle w:val="None"/>
          <w:rtl w:val="0"/>
          <w:lang w:val="en-US"/>
        </w:rPr>
        <w:t>Healthcare assistant</w:t>
      </w:r>
      <w:r>
        <w:rPr>
          <w:rStyle w:val="None"/>
          <w:rtl w:val="1"/>
        </w:rPr>
        <w:t>’</w:t>
      </w:r>
      <w:r>
        <w:rPr>
          <w:rStyle w:val="None"/>
          <w:rtl w:val="0"/>
          <w:lang w:val="en-US"/>
        </w:rPr>
        <w:t xml:space="preserve">. Available at: </w:t>
      </w:r>
      <w:r>
        <w:rPr>
          <w:rStyle w:val="Hyperlink.0"/>
        </w:rPr>
        <w:fldChar w:fldCharType="begin" w:fldLock="0"/>
      </w:r>
      <w:r>
        <w:rPr>
          <w:rStyle w:val="Hyperlink.0"/>
        </w:rPr>
        <w:instrText xml:space="preserve"> HYPERLINK "https://nationalcareers.service.gov.uk/job-profiles/healthcare-assistant"</w:instrText>
      </w:r>
      <w:r>
        <w:rPr>
          <w:rStyle w:val="Hyperlink.0"/>
        </w:rPr>
        <w:fldChar w:fldCharType="separate" w:fldLock="0"/>
      </w:r>
      <w:r>
        <w:rPr>
          <w:rStyle w:val="Hyperlink.0"/>
          <w:rtl w:val="0"/>
          <w:lang w:val="en-US"/>
        </w:rPr>
        <w:t>https://nationalcareers.service.gov.uk/job-profiles/healthcare-assistant</w:t>
      </w:r>
      <w:r>
        <w:rPr/>
        <w:fldChar w:fldCharType="end" w:fldLock="0"/>
      </w:r>
      <w:r>
        <w:rPr>
          <w:rStyle w:val="None"/>
          <w:rtl w:val="0"/>
          <w:lang w:val="en-US"/>
        </w:rPr>
        <w:t xml:space="preserve"> (Accessed: 30 July 2026).</w:t>
      </w:r>
    </w:p>
    <w:p>
      <w:pPr>
        <w:pStyle w:val="Body"/>
        <w:spacing w:before="100" w:after="100" w:line="360" w:lineRule="auto"/>
        <w:ind w:left="720" w:hanging="720"/>
        <w:rPr>
          <w:rStyle w:val="None"/>
        </w:rPr>
      </w:pPr>
      <w:r>
        <w:rPr>
          <w:rStyle w:val="None"/>
          <w:rtl w:val="0"/>
        </w:rPr>
        <w:t xml:space="preserve">Orih, D., Heyeres, M., Morgan, R., Udah, H. and Tsey, K. (2024) </w:t>
      </w:r>
      <w:r>
        <w:rPr>
          <w:rStyle w:val="None"/>
          <w:rtl w:val="1"/>
        </w:rPr>
        <w:t>‘</w:t>
      </w:r>
      <w:r>
        <w:rPr>
          <w:rStyle w:val="None"/>
          <w:rtl w:val="0"/>
          <w:lang w:val="en-US"/>
        </w:rPr>
        <w:t>A systematic review of soft skills interventions within curricula from school to university level</w:t>
      </w:r>
      <w:r>
        <w:rPr>
          <w:rStyle w:val="None"/>
          <w:rtl w:val="1"/>
        </w:rPr>
        <w:t>’</w:t>
      </w:r>
      <w:r>
        <w:rPr>
          <w:rStyle w:val="None"/>
          <w:rtl w:val="0"/>
        </w:rPr>
        <w:t xml:space="preserve">, </w:t>
      </w:r>
      <w:r>
        <w:rPr>
          <w:rStyle w:val="None"/>
          <w:i w:val="1"/>
          <w:iCs w:val="1"/>
          <w:rtl w:val="0"/>
          <w:lang w:val="fr-FR"/>
        </w:rPr>
        <w:t>Frontiers in Education</w:t>
      </w:r>
      <w:r>
        <w:rPr>
          <w:rStyle w:val="None"/>
          <w:rtl w:val="0"/>
        </w:rPr>
        <w:t>, 9, 1383297. doi: 10.3389/feduc.2024.1383297.</w:t>
      </w:r>
    </w:p>
    <w:p>
      <w:pPr>
        <w:pStyle w:val="Body"/>
        <w:spacing w:before="100" w:after="100" w:line="360" w:lineRule="auto"/>
        <w:ind w:left="720" w:hanging="720"/>
        <w:rPr>
          <w:rStyle w:val="None"/>
        </w:rPr>
      </w:pPr>
      <w:r>
        <w:rPr>
          <w:rStyle w:val="None"/>
          <w:rtl w:val="0"/>
        </w:rPr>
        <w:t xml:space="preserve">Skills for Care (2025) </w:t>
      </w:r>
      <w:r>
        <w:rPr>
          <w:rStyle w:val="None"/>
          <w:rtl w:val="1"/>
        </w:rPr>
        <w:t>‘</w:t>
      </w:r>
      <w:r>
        <w:rPr>
          <w:rStyle w:val="None"/>
          <w:rtl w:val="0"/>
          <w:lang w:val="it-IT"/>
        </w:rPr>
        <w:t>Care Certificate standards</w:t>
      </w:r>
      <w:r>
        <w:rPr>
          <w:rStyle w:val="None"/>
          <w:rtl w:val="1"/>
        </w:rPr>
        <w:t>’</w:t>
      </w:r>
      <w:r>
        <w:rPr>
          <w:rStyle w:val="None"/>
          <w:rtl w:val="0"/>
          <w:lang w:val="en-US"/>
        </w:rPr>
        <w:t xml:space="preserve">. Available at: </w:t>
      </w:r>
      <w:r>
        <w:rPr>
          <w:rStyle w:val="Hyperlink.0"/>
        </w:rPr>
        <w:fldChar w:fldCharType="begin" w:fldLock="0"/>
      </w:r>
      <w:r>
        <w:rPr>
          <w:rStyle w:val="Hyperlink.0"/>
        </w:rPr>
        <w:instrText xml:space="preserve"> HYPERLINK "https://www.skillsforcare.org.uk/Developing-your-workforce/Care-Certificate/Care-Certificate-standards.aspx"</w:instrText>
      </w:r>
      <w:r>
        <w:rPr>
          <w:rStyle w:val="Hyperlink.0"/>
        </w:rPr>
        <w:fldChar w:fldCharType="separate" w:fldLock="0"/>
      </w:r>
      <w:r>
        <w:rPr>
          <w:rStyle w:val="Hyperlink.0"/>
          <w:rtl w:val="0"/>
          <w:lang w:val="en-US"/>
        </w:rPr>
        <w:t>https://www.skillsforcare.org.uk/Developing-your-workforce/Care-Certificate/Care-Certificate-standards.aspx</w:t>
      </w:r>
      <w:r>
        <w:rPr/>
        <w:fldChar w:fldCharType="end" w:fldLock="0"/>
      </w:r>
      <w:r>
        <w:rPr>
          <w:rStyle w:val="None"/>
          <w:rtl w:val="0"/>
          <w:lang w:val="en-US"/>
        </w:rPr>
        <w:t xml:space="preserve"> (Accessed: 30 July 2026).</w:t>
      </w:r>
    </w:p>
    <w:p>
      <w:pPr>
        <w:pStyle w:val="Body"/>
        <w:spacing w:before="100" w:after="100" w:line="360" w:lineRule="auto"/>
        <w:ind w:left="720" w:hanging="720"/>
        <w:rPr>
          <w:rStyle w:val="None"/>
        </w:rPr>
      </w:pPr>
      <w:r>
        <w:rPr>
          <w:rStyle w:val="None"/>
          <w:rtl w:val="0"/>
        </w:rPr>
        <w:t>Tuononen, T., Hyytinen, H., Kleemola, K., Hailikari, T., M</w:t>
      </w:r>
      <w:r>
        <w:rPr>
          <w:rStyle w:val="None"/>
          <w:rtl w:val="0"/>
        </w:rPr>
        <w:t>ä</w:t>
      </w:r>
      <w:r>
        <w:rPr>
          <w:rStyle w:val="None"/>
          <w:rtl w:val="0"/>
        </w:rPr>
        <w:t>nnikk</w:t>
      </w:r>
      <w:r>
        <w:rPr>
          <w:rStyle w:val="None"/>
          <w:rtl w:val="0"/>
        </w:rPr>
        <w:t>ö</w:t>
      </w:r>
      <w:r>
        <w:rPr>
          <w:rStyle w:val="None"/>
          <w:rtl w:val="0"/>
        </w:rPr>
        <w:t xml:space="preserve">, I. and Toom, A. (2022) </w:t>
      </w:r>
      <w:r>
        <w:rPr>
          <w:rStyle w:val="None"/>
          <w:rtl w:val="1"/>
        </w:rPr>
        <w:t>‘</w:t>
      </w:r>
      <w:r>
        <w:rPr>
          <w:rStyle w:val="None"/>
          <w:rtl w:val="0"/>
          <w:lang w:val="en-US"/>
        </w:rPr>
        <w:t>Systematic review of learning generic skills in higher education: Enhancing and impeding factors</w:t>
      </w:r>
      <w:r>
        <w:rPr>
          <w:rStyle w:val="None"/>
          <w:rtl w:val="1"/>
        </w:rPr>
        <w:t>’</w:t>
      </w:r>
      <w:r>
        <w:rPr>
          <w:rStyle w:val="None"/>
          <w:rtl w:val="0"/>
        </w:rPr>
        <w:t xml:space="preserve">, </w:t>
      </w:r>
      <w:r>
        <w:rPr>
          <w:rStyle w:val="None"/>
          <w:i w:val="1"/>
          <w:iCs w:val="1"/>
          <w:rtl w:val="0"/>
          <w:lang w:val="fr-FR"/>
        </w:rPr>
        <w:t>Frontiers in Education</w:t>
      </w:r>
      <w:r>
        <w:rPr>
          <w:rStyle w:val="None"/>
          <w:rtl w:val="0"/>
          <w:lang w:val="pt-PT"/>
        </w:rPr>
        <w:t>, 7, 885917. doi: 10.3389/feduc.2022.885917.</w:t>
      </w:r>
    </w:p>
    <w:p>
      <w:pPr>
        <w:pStyle w:val="Body"/>
        <w:spacing w:before="100" w:after="100" w:line="360" w:lineRule="auto"/>
        <w:ind w:left="720" w:hanging="720"/>
      </w:pPr>
      <w:r>
        <w:rPr>
          <w:rStyle w:val="None"/>
          <w:rtl w:val="0"/>
        </w:rPr>
        <w:t xml:space="preserve">Tushar, H. and Sooraksa, N. (2023) </w:t>
      </w:r>
      <w:r>
        <w:rPr>
          <w:rStyle w:val="None"/>
          <w:rtl w:val="1"/>
        </w:rPr>
        <w:t>‘</w:t>
      </w:r>
      <w:r>
        <w:rPr>
          <w:rStyle w:val="None"/>
          <w:rtl w:val="0"/>
          <w:lang w:val="en-US"/>
        </w:rPr>
        <w:t>Global employability skills in the 21st century workplace: A semi-systematic literature review</w:t>
      </w:r>
      <w:r>
        <w:rPr>
          <w:rStyle w:val="None"/>
          <w:rtl w:val="1"/>
        </w:rPr>
        <w:t>’</w:t>
      </w:r>
      <w:r>
        <w:rPr>
          <w:rStyle w:val="None"/>
          <w:rtl w:val="0"/>
        </w:rPr>
        <w:t xml:space="preserve">, </w:t>
      </w:r>
      <w:r>
        <w:rPr>
          <w:rStyle w:val="None"/>
          <w:i w:val="1"/>
          <w:iCs w:val="1"/>
          <w:rtl w:val="0"/>
        </w:rPr>
        <w:t>Heliyon</w:t>
      </w:r>
      <w:r>
        <w:rPr>
          <w:rStyle w:val="None"/>
          <w:rtl w:val="0"/>
        </w:rPr>
        <w:t>, 9(11), e21023. doi: 10.1016/j.heliyon.2023.e21023.</w:t>
      </w:r>
    </w:p>
    <w:sectPr>
      <w:headerReference w:type="default" r:id="rId8"/>
      <w:footerReference w:type="default" r:id="rId9"/>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pt-PT"/>
      <w14:textOutline>
        <w14:noFill/>
      </w14:textOutline>
      <w14:textFill>
        <w14:solidFill>
          <w14:srgbClr w14:val="000000"/>
        </w14:solidFill>
      </w14:textFill>
    </w:rPr>
  </w:style>
  <w:style w:type="paragraph" w:styleId="isselectedend">
    <w:name w:val="isselectedend"/>
    <w:next w:val="isselectedend"/>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None">
    <w:name w:val="None"/>
  </w:style>
  <w:style w:type="character" w:styleId="Hyperlink.0">
    <w:name w:val="Hyperlink.0"/>
    <w:basedOn w:val="None"/>
    <w:next w:val="Hyperlink.0"/>
    <w:rPr>
      <w:rFonts w:ascii="Calibri" w:cs="Calibri" w:hAnsi="Calibri" w:eastAsia="Calibri"/>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