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1" w14:textId="2AAC49D4" w:rsidR="00564E22" w:rsidRPr="00A64E56" w:rsidRDefault="009352EE" w:rsidP="00A64E56">
      <w:pPr>
        <w:spacing w:before="240" w:after="240" w:line="360" w:lineRule="auto"/>
        <w:jc w:val="both"/>
        <w:rPr>
          <w:rFonts w:ascii="Times New Roman" w:eastAsia="Times New Roman" w:hAnsi="Times New Roman" w:cs="Times New Roman"/>
          <w:b/>
          <w:sz w:val="24"/>
          <w:szCs w:val="32"/>
        </w:rPr>
      </w:pPr>
      <w:r>
        <w:rPr>
          <w:rFonts w:ascii="Times New Roman" w:eastAsia="Times New Roman" w:hAnsi="Times New Roman" w:cs="Times New Roman"/>
          <w:b/>
          <w:noProof/>
          <w:sz w:val="24"/>
          <w:szCs w:val="32"/>
        </w:rPr>
        <w:drawing>
          <wp:inline distT="0" distB="0" distL="0" distR="0" wp14:anchorId="2E991D1D" wp14:editId="3C201295">
            <wp:extent cx="2865120" cy="1017666"/>
            <wp:effectExtent l="0" t="0" r="0" b="0"/>
            <wp:docPr id="1261584268"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584268" name="Picture 1" descr="A black background with white tex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2874302" cy="1020927"/>
                    </a:xfrm>
                    <a:prstGeom prst="rect">
                      <a:avLst/>
                    </a:prstGeom>
                  </pic:spPr>
                </pic:pic>
              </a:graphicData>
            </a:graphic>
          </wp:inline>
        </w:drawing>
      </w:r>
    </w:p>
    <w:p w14:paraId="00000002" w14:textId="77777777" w:rsidR="00564E22" w:rsidRPr="00A64E56" w:rsidRDefault="00564E22" w:rsidP="00A64E56">
      <w:pPr>
        <w:spacing w:before="240" w:after="240" w:line="360" w:lineRule="auto"/>
        <w:jc w:val="both"/>
        <w:rPr>
          <w:rFonts w:ascii="Times New Roman" w:eastAsia="Times New Roman" w:hAnsi="Times New Roman" w:cs="Times New Roman"/>
          <w:b/>
          <w:sz w:val="24"/>
          <w:szCs w:val="32"/>
        </w:rPr>
      </w:pPr>
    </w:p>
    <w:p w14:paraId="00000003" w14:textId="77777777" w:rsidR="00564E22" w:rsidRPr="00A64E56" w:rsidRDefault="00564E22" w:rsidP="00A64E56">
      <w:pPr>
        <w:spacing w:before="240" w:after="240" w:line="360" w:lineRule="auto"/>
        <w:jc w:val="both"/>
        <w:rPr>
          <w:rFonts w:ascii="Times New Roman" w:eastAsia="Times New Roman" w:hAnsi="Times New Roman" w:cs="Times New Roman"/>
          <w:b/>
          <w:sz w:val="24"/>
          <w:szCs w:val="32"/>
        </w:rPr>
      </w:pPr>
    </w:p>
    <w:p w14:paraId="00000004" w14:textId="77777777" w:rsidR="00564E22" w:rsidRPr="00A64E56" w:rsidRDefault="00564E22" w:rsidP="00A64E56">
      <w:pPr>
        <w:spacing w:before="240" w:after="240" w:line="360" w:lineRule="auto"/>
        <w:jc w:val="both"/>
        <w:rPr>
          <w:rFonts w:ascii="Times New Roman" w:eastAsia="Times New Roman" w:hAnsi="Times New Roman" w:cs="Times New Roman"/>
          <w:b/>
          <w:sz w:val="24"/>
          <w:szCs w:val="32"/>
        </w:rPr>
      </w:pPr>
    </w:p>
    <w:p w14:paraId="00000005" w14:textId="77777777" w:rsidR="00564E22" w:rsidRPr="00A64E56" w:rsidRDefault="00564E22" w:rsidP="00A64E56">
      <w:pPr>
        <w:spacing w:before="240" w:after="240" w:line="360" w:lineRule="auto"/>
        <w:jc w:val="both"/>
        <w:rPr>
          <w:rFonts w:ascii="Times New Roman" w:eastAsia="Times New Roman" w:hAnsi="Times New Roman" w:cs="Times New Roman"/>
          <w:b/>
          <w:sz w:val="24"/>
          <w:szCs w:val="32"/>
        </w:rPr>
      </w:pPr>
    </w:p>
    <w:p w14:paraId="00000006" w14:textId="77777777" w:rsidR="00564E22" w:rsidRPr="00A64E56" w:rsidRDefault="00564E22" w:rsidP="00A64E56">
      <w:pPr>
        <w:spacing w:before="240" w:after="240" w:line="360" w:lineRule="auto"/>
        <w:jc w:val="both"/>
        <w:rPr>
          <w:rFonts w:ascii="Times New Roman" w:eastAsia="Times New Roman" w:hAnsi="Times New Roman" w:cs="Times New Roman"/>
          <w:b/>
          <w:sz w:val="24"/>
          <w:szCs w:val="32"/>
        </w:rPr>
      </w:pPr>
    </w:p>
    <w:p w14:paraId="00000007" w14:textId="77777777" w:rsidR="00564E22" w:rsidRPr="00A64E56" w:rsidRDefault="00564E22" w:rsidP="00A64E56">
      <w:pPr>
        <w:spacing w:before="240" w:after="240" w:line="360" w:lineRule="auto"/>
        <w:jc w:val="both"/>
        <w:rPr>
          <w:rFonts w:ascii="Times New Roman" w:eastAsia="Times New Roman" w:hAnsi="Times New Roman" w:cs="Times New Roman"/>
          <w:b/>
          <w:sz w:val="24"/>
          <w:szCs w:val="32"/>
        </w:rPr>
      </w:pPr>
    </w:p>
    <w:p w14:paraId="017981A5" w14:textId="4994DF59" w:rsidR="009352EE" w:rsidRPr="009352EE" w:rsidRDefault="009352EE" w:rsidP="009352EE">
      <w:pPr>
        <w:pStyle w:val="IntenseQuote"/>
        <w:rPr>
          <w:rFonts w:eastAsia="Times New Roman"/>
          <w:sz w:val="36"/>
          <w:szCs w:val="36"/>
        </w:rPr>
      </w:pPr>
      <w:r w:rsidRPr="009352EE">
        <w:rPr>
          <w:sz w:val="36"/>
          <w:szCs w:val="36"/>
        </w:rPr>
        <w:t>Component 1 Coursework: Written Report</w:t>
      </w:r>
    </w:p>
    <w:p w14:paraId="1EB25D23" w14:textId="77777777" w:rsidR="009352EE" w:rsidRDefault="009352EE" w:rsidP="00A64E56">
      <w:pPr>
        <w:spacing w:before="240" w:after="240" w:line="360" w:lineRule="auto"/>
        <w:jc w:val="both"/>
        <w:rPr>
          <w:rFonts w:ascii="Times New Roman" w:eastAsia="Times New Roman" w:hAnsi="Times New Roman" w:cs="Times New Roman"/>
          <w:b/>
          <w:sz w:val="24"/>
          <w:szCs w:val="32"/>
        </w:rPr>
      </w:pPr>
    </w:p>
    <w:p w14:paraId="484890BE" w14:textId="77777777" w:rsidR="009352EE" w:rsidRDefault="009352EE" w:rsidP="00A64E56">
      <w:pPr>
        <w:spacing w:before="240" w:after="240" w:line="360" w:lineRule="auto"/>
        <w:jc w:val="both"/>
        <w:rPr>
          <w:rFonts w:ascii="Times New Roman" w:eastAsia="Times New Roman" w:hAnsi="Times New Roman" w:cs="Times New Roman"/>
          <w:b/>
          <w:sz w:val="24"/>
          <w:szCs w:val="32"/>
        </w:rPr>
      </w:pPr>
    </w:p>
    <w:p w14:paraId="4A282015" w14:textId="77777777" w:rsidR="009352EE" w:rsidRDefault="009352EE" w:rsidP="00A64E56">
      <w:pPr>
        <w:spacing w:before="240" w:after="240" w:line="360" w:lineRule="auto"/>
        <w:jc w:val="both"/>
        <w:rPr>
          <w:rFonts w:ascii="Times New Roman" w:eastAsia="Times New Roman" w:hAnsi="Times New Roman" w:cs="Times New Roman"/>
          <w:b/>
          <w:sz w:val="24"/>
          <w:szCs w:val="32"/>
        </w:rPr>
      </w:pPr>
    </w:p>
    <w:p w14:paraId="5D5B38D4" w14:textId="6C2F5D04" w:rsidR="009352EE" w:rsidRDefault="009352EE" w:rsidP="00A64E56">
      <w:pPr>
        <w:spacing w:before="240" w:after="240" w:line="360" w:lineRule="auto"/>
        <w:jc w:val="both"/>
        <w:rPr>
          <w:rFonts w:ascii="Times New Roman" w:eastAsia="Times New Roman" w:hAnsi="Times New Roman" w:cs="Times New Roman"/>
          <w:b/>
          <w:sz w:val="24"/>
          <w:szCs w:val="32"/>
        </w:rPr>
      </w:pPr>
      <w:r>
        <w:rPr>
          <w:rFonts w:ascii="Times New Roman" w:eastAsia="Times New Roman" w:hAnsi="Times New Roman" w:cs="Times New Roman"/>
          <w:b/>
          <w:sz w:val="24"/>
          <w:szCs w:val="32"/>
        </w:rPr>
        <w:br/>
      </w:r>
    </w:p>
    <w:p w14:paraId="3BDCE470" w14:textId="77777777" w:rsidR="009352EE" w:rsidRDefault="009352EE" w:rsidP="009352EE">
      <w:pPr>
        <w:spacing w:before="240" w:after="240"/>
        <w:jc w:val="both"/>
        <w:rPr>
          <w:rFonts w:ascii="Times New Roman" w:eastAsia="Times New Roman" w:hAnsi="Times New Roman" w:cs="Times New Roman"/>
          <w:b/>
          <w:sz w:val="24"/>
          <w:szCs w:val="32"/>
        </w:rPr>
      </w:pPr>
    </w:p>
    <w:p w14:paraId="799CB6C9" w14:textId="77777777" w:rsidR="009352EE" w:rsidRDefault="009352EE" w:rsidP="009352EE">
      <w:pPr>
        <w:spacing w:before="240" w:after="240"/>
        <w:jc w:val="both"/>
        <w:rPr>
          <w:rFonts w:ascii="Times New Roman" w:eastAsia="Times New Roman" w:hAnsi="Times New Roman" w:cs="Times New Roman"/>
          <w:b/>
          <w:sz w:val="24"/>
          <w:szCs w:val="32"/>
        </w:rPr>
      </w:pPr>
    </w:p>
    <w:p w14:paraId="27F269A7" w14:textId="77777777" w:rsidR="009352EE" w:rsidRPr="009352EE" w:rsidRDefault="009352EE" w:rsidP="009352EE">
      <w:pPr>
        <w:spacing w:before="240" w:after="240"/>
        <w:jc w:val="both"/>
        <w:rPr>
          <w:rFonts w:eastAsia="Times New Roman"/>
          <w:bCs/>
          <w:sz w:val="24"/>
          <w:szCs w:val="32"/>
        </w:rPr>
      </w:pPr>
      <w:r w:rsidRPr="009352EE">
        <w:rPr>
          <w:rFonts w:eastAsia="Times New Roman"/>
          <w:bCs/>
          <w:sz w:val="24"/>
          <w:szCs w:val="32"/>
        </w:rPr>
        <w:t>Name: Sahil Bhuva</w:t>
      </w:r>
    </w:p>
    <w:p w14:paraId="1AF86A92" w14:textId="77777777" w:rsidR="009352EE" w:rsidRPr="009352EE" w:rsidRDefault="009352EE" w:rsidP="009352EE">
      <w:pPr>
        <w:spacing w:before="240" w:after="240"/>
        <w:jc w:val="both"/>
        <w:rPr>
          <w:rFonts w:eastAsia="Times New Roman"/>
          <w:bCs/>
          <w:sz w:val="24"/>
          <w:szCs w:val="32"/>
        </w:rPr>
      </w:pPr>
      <w:r w:rsidRPr="009352EE">
        <w:rPr>
          <w:rFonts w:eastAsia="Times New Roman"/>
          <w:bCs/>
          <w:sz w:val="24"/>
          <w:szCs w:val="32"/>
        </w:rPr>
        <w:t xml:space="preserve">Student </w:t>
      </w:r>
      <w:proofErr w:type="gramStart"/>
      <w:r w:rsidRPr="009352EE">
        <w:rPr>
          <w:rFonts w:eastAsia="Times New Roman"/>
          <w:bCs/>
          <w:sz w:val="24"/>
          <w:szCs w:val="32"/>
        </w:rPr>
        <w:t>Number:-</w:t>
      </w:r>
      <w:proofErr w:type="gramEnd"/>
      <w:r w:rsidRPr="009352EE">
        <w:rPr>
          <w:rFonts w:eastAsia="Times New Roman"/>
          <w:bCs/>
          <w:sz w:val="24"/>
          <w:szCs w:val="32"/>
        </w:rPr>
        <w:t xml:space="preserve"> 2127449</w:t>
      </w:r>
    </w:p>
    <w:p w14:paraId="01678BF0" w14:textId="77777777" w:rsidR="009352EE" w:rsidRDefault="009352EE" w:rsidP="009352EE">
      <w:pPr>
        <w:spacing w:before="240" w:after="240"/>
        <w:jc w:val="both"/>
        <w:rPr>
          <w:rFonts w:eastAsia="Times New Roman"/>
          <w:bCs/>
          <w:sz w:val="24"/>
          <w:szCs w:val="32"/>
        </w:rPr>
      </w:pPr>
      <w:r w:rsidRPr="009352EE">
        <w:rPr>
          <w:rFonts w:eastAsia="Times New Roman"/>
          <w:bCs/>
          <w:sz w:val="24"/>
          <w:szCs w:val="32"/>
        </w:rPr>
        <w:t>Module Code: LCBB6002</w:t>
      </w:r>
    </w:p>
    <w:p w14:paraId="520B98CC" w14:textId="6C61DCFB" w:rsidR="00633A06" w:rsidRPr="009352EE" w:rsidRDefault="009352EE" w:rsidP="009352EE">
      <w:pPr>
        <w:spacing w:before="240" w:after="240"/>
        <w:jc w:val="both"/>
        <w:rPr>
          <w:rFonts w:eastAsia="Times New Roman"/>
          <w:bCs/>
          <w:sz w:val="24"/>
          <w:szCs w:val="32"/>
        </w:rPr>
      </w:pPr>
      <w:r w:rsidRPr="009352EE">
        <w:rPr>
          <w:rFonts w:eastAsia="Times New Roman"/>
          <w:bCs/>
          <w:sz w:val="24"/>
          <w:szCs w:val="32"/>
        </w:rPr>
        <w:t xml:space="preserve">Lecturer Name: </w:t>
      </w:r>
      <w:r w:rsidRPr="009352EE">
        <w:rPr>
          <w:rFonts w:eastAsia="Times New Roman"/>
          <w:bCs/>
          <w:sz w:val="24"/>
          <w:szCs w:val="32"/>
        </w:rPr>
        <w:t xml:space="preserve">Dr Andry </w:t>
      </w:r>
      <w:proofErr w:type="spellStart"/>
      <w:r w:rsidRPr="009352EE">
        <w:rPr>
          <w:rFonts w:eastAsia="Times New Roman"/>
          <w:bCs/>
          <w:sz w:val="24"/>
          <w:szCs w:val="32"/>
        </w:rPr>
        <w:t>Rakotovololona</w:t>
      </w:r>
      <w:proofErr w:type="spellEnd"/>
      <w:r w:rsidRPr="009352EE">
        <w:rPr>
          <w:rFonts w:ascii="Times New Roman" w:eastAsia="Times New Roman" w:hAnsi="Times New Roman" w:cs="Times New Roman"/>
          <w:b/>
          <w:sz w:val="24"/>
          <w:szCs w:val="32"/>
        </w:rPr>
        <w:t xml:space="preserve"> </w:t>
      </w:r>
      <w:r w:rsidR="00633A06" w:rsidRPr="00A64E56">
        <w:rPr>
          <w:rFonts w:ascii="Times New Roman" w:eastAsia="Times New Roman" w:hAnsi="Times New Roman" w:cs="Times New Roman"/>
          <w:b/>
          <w:sz w:val="24"/>
          <w:szCs w:val="32"/>
        </w:rPr>
        <w:br w:type="page"/>
      </w:r>
    </w:p>
    <w:sdt>
      <w:sdtPr>
        <w:rPr>
          <w:rFonts w:ascii="Times New Roman" w:eastAsia="Arial" w:hAnsi="Times New Roman" w:cs="Arial"/>
          <w:color w:val="auto"/>
          <w:sz w:val="24"/>
          <w:szCs w:val="22"/>
          <w:lang w:val="en-GB" w:eastAsia="en-IN"/>
        </w:rPr>
        <w:id w:val="1170376315"/>
        <w:docPartObj>
          <w:docPartGallery w:val="Table of Contents"/>
          <w:docPartUnique/>
        </w:docPartObj>
      </w:sdtPr>
      <w:sdtEndPr>
        <w:rPr>
          <w:b/>
          <w:bCs/>
          <w:noProof/>
        </w:rPr>
      </w:sdtEndPr>
      <w:sdtContent>
        <w:p w14:paraId="3EA4CF77" w14:textId="55F49414" w:rsidR="00633A06" w:rsidRPr="00A64E56" w:rsidRDefault="00633A06" w:rsidP="00A64E56">
          <w:pPr>
            <w:pStyle w:val="TOCHeading"/>
            <w:spacing w:after="240" w:line="360" w:lineRule="auto"/>
            <w:jc w:val="both"/>
            <w:rPr>
              <w:rFonts w:ascii="Times New Roman" w:hAnsi="Times New Roman" w:cs="Times New Roman"/>
              <w:b/>
              <w:bCs/>
              <w:color w:val="auto"/>
              <w:sz w:val="24"/>
              <w:szCs w:val="28"/>
            </w:rPr>
          </w:pPr>
          <w:r w:rsidRPr="00A64E56">
            <w:rPr>
              <w:rFonts w:ascii="Times New Roman" w:hAnsi="Times New Roman" w:cs="Times New Roman"/>
              <w:b/>
              <w:bCs/>
              <w:color w:val="auto"/>
              <w:sz w:val="24"/>
              <w:szCs w:val="28"/>
            </w:rPr>
            <w:t>Table of Contents</w:t>
          </w:r>
        </w:p>
        <w:p w14:paraId="07A3AA65" w14:textId="058FDA27" w:rsidR="00A64E56" w:rsidRDefault="00633A06">
          <w:pPr>
            <w:pStyle w:val="TOC1"/>
            <w:tabs>
              <w:tab w:val="right" w:leader="dot" w:pos="9019"/>
            </w:tabs>
            <w:rPr>
              <w:rFonts w:asciiTheme="minorHAnsi" w:eastAsiaTheme="minorEastAsia" w:hAnsiTheme="minorHAnsi" w:cstheme="minorBidi"/>
              <w:noProof/>
              <w:lang w:val="en-IN"/>
            </w:rPr>
          </w:pPr>
          <w:r w:rsidRPr="00A64E56">
            <w:rPr>
              <w:rFonts w:ascii="Times New Roman" w:hAnsi="Times New Roman" w:cs="Times New Roman"/>
              <w:sz w:val="24"/>
              <w:szCs w:val="24"/>
            </w:rPr>
            <w:fldChar w:fldCharType="begin"/>
          </w:r>
          <w:r w:rsidRPr="00A64E56">
            <w:rPr>
              <w:rFonts w:ascii="Times New Roman" w:hAnsi="Times New Roman" w:cs="Times New Roman"/>
              <w:sz w:val="24"/>
              <w:szCs w:val="24"/>
            </w:rPr>
            <w:instrText xml:space="preserve"> TOC \o "1-3" \h \z \u </w:instrText>
          </w:r>
          <w:r w:rsidRPr="00A64E56">
            <w:rPr>
              <w:rFonts w:ascii="Times New Roman" w:hAnsi="Times New Roman" w:cs="Times New Roman"/>
              <w:sz w:val="24"/>
              <w:szCs w:val="24"/>
            </w:rPr>
            <w:fldChar w:fldCharType="separate"/>
          </w:r>
          <w:hyperlink w:anchor="_Toc172969274" w:history="1">
            <w:r w:rsidR="00A64E56" w:rsidRPr="00081F99">
              <w:rPr>
                <w:rStyle w:val="Hyperlink"/>
                <w:noProof/>
              </w:rPr>
              <w:t>Introduction</w:t>
            </w:r>
            <w:r w:rsidR="00A64E56">
              <w:rPr>
                <w:noProof/>
                <w:webHidden/>
              </w:rPr>
              <w:tab/>
            </w:r>
            <w:r w:rsidR="00A64E56">
              <w:rPr>
                <w:noProof/>
                <w:webHidden/>
              </w:rPr>
              <w:fldChar w:fldCharType="begin"/>
            </w:r>
            <w:r w:rsidR="00A64E56">
              <w:rPr>
                <w:noProof/>
                <w:webHidden/>
              </w:rPr>
              <w:instrText xml:space="preserve"> PAGEREF _Toc172969274 \h </w:instrText>
            </w:r>
            <w:r w:rsidR="00A64E56">
              <w:rPr>
                <w:noProof/>
                <w:webHidden/>
              </w:rPr>
            </w:r>
            <w:r w:rsidR="00A64E56">
              <w:rPr>
                <w:noProof/>
                <w:webHidden/>
              </w:rPr>
              <w:fldChar w:fldCharType="separate"/>
            </w:r>
            <w:r w:rsidR="00A64E56">
              <w:rPr>
                <w:noProof/>
                <w:webHidden/>
              </w:rPr>
              <w:t>3</w:t>
            </w:r>
            <w:r w:rsidR="00A64E56">
              <w:rPr>
                <w:noProof/>
                <w:webHidden/>
              </w:rPr>
              <w:fldChar w:fldCharType="end"/>
            </w:r>
          </w:hyperlink>
        </w:p>
        <w:p w14:paraId="2CCC8DAE" w14:textId="1A638193" w:rsidR="00A64E56" w:rsidRDefault="00000000">
          <w:pPr>
            <w:pStyle w:val="TOC1"/>
            <w:tabs>
              <w:tab w:val="right" w:leader="dot" w:pos="9019"/>
            </w:tabs>
            <w:rPr>
              <w:rFonts w:asciiTheme="minorHAnsi" w:eastAsiaTheme="minorEastAsia" w:hAnsiTheme="minorHAnsi" w:cstheme="minorBidi"/>
              <w:noProof/>
              <w:lang w:val="en-IN"/>
            </w:rPr>
          </w:pPr>
          <w:hyperlink w:anchor="_Toc172969275" w:history="1">
            <w:r w:rsidR="00A64E56" w:rsidRPr="00081F99">
              <w:rPr>
                <w:rStyle w:val="Hyperlink"/>
                <w:noProof/>
              </w:rPr>
              <w:t>Critical Evaluation and Application of Theoretical Framework and Models of International Financial Management</w:t>
            </w:r>
            <w:r w:rsidR="00A64E56">
              <w:rPr>
                <w:noProof/>
                <w:webHidden/>
              </w:rPr>
              <w:tab/>
            </w:r>
            <w:r w:rsidR="00A64E56">
              <w:rPr>
                <w:noProof/>
                <w:webHidden/>
              </w:rPr>
              <w:fldChar w:fldCharType="begin"/>
            </w:r>
            <w:r w:rsidR="00A64E56">
              <w:rPr>
                <w:noProof/>
                <w:webHidden/>
              </w:rPr>
              <w:instrText xml:space="preserve"> PAGEREF _Toc172969275 \h </w:instrText>
            </w:r>
            <w:r w:rsidR="00A64E56">
              <w:rPr>
                <w:noProof/>
                <w:webHidden/>
              </w:rPr>
            </w:r>
            <w:r w:rsidR="00A64E56">
              <w:rPr>
                <w:noProof/>
                <w:webHidden/>
              </w:rPr>
              <w:fldChar w:fldCharType="separate"/>
            </w:r>
            <w:r w:rsidR="00A64E56">
              <w:rPr>
                <w:noProof/>
                <w:webHidden/>
              </w:rPr>
              <w:t>3</w:t>
            </w:r>
            <w:r w:rsidR="00A64E56">
              <w:rPr>
                <w:noProof/>
                <w:webHidden/>
              </w:rPr>
              <w:fldChar w:fldCharType="end"/>
            </w:r>
          </w:hyperlink>
        </w:p>
        <w:p w14:paraId="3E640D66" w14:textId="334E8B8E" w:rsidR="00A64E56" w:rsidRDefault="00000000">
          <w:pPr>
            <w:pStyle w:val="TOC1"/>
            <w:tabs>
              <w:tab w:val="right" w:leader="dot" w:pos="9019"/>
            </w:tabs>
            <w:rPr>
              <w:rFonts w:asciiTheme="minorHAnsi" w:eastAsiaTheme="minorEastAsia" w:hAnsiTheme="minorHAnsi" w:cstheme="minorBidi"/>
              <w:noProof/>
              <w:lang w:val="en-IN"/>
            </w:rPr>
          </w:pPr>
          <w:hyperlink w:anchor="_Toc172969276" w:history="1">
            <w:r w:rsidR="00A64E56" w:rsidRPr="00081F99">
              <w:rPr>
                <w:rStyle w:val="Hyperlink"/>
                <w:noProof/>
              </w:rPr>
              <w:t>Evaluation, Application and Discussion of Various Methods and Techniques Related to Financing of an International Business</w:t>
            </w:r>
            <w:r w:rsidR="00A64E56">
              <w:rPr>
                <w:noProof/>
                <w:webHidden/>
              </w:rPr>
              <w:tab/>
            </w:r>
            <w:r w:rsidR="00A64E56">
              <w:rPr>
                <w:noProof/>
                <w:webHidden/>
              </w:rPr>
              <w:fldChar w:fldCharType="begin"/>
            </w:r>
            <w:r w:rsidR="00A64E56">
              <w:rPr>
                <w:noProof/>
                <w:webHidden/>
              </w:rPr>
              <w:instrText xml:space="preserve"> PAGEREF _Toc172969276 \h </w:instrText>
            </w:r>
            <w:r w:rsidR="00A64E56">
              <w:rPr>
                <w:noProof/>
                <w:webHidden/>
              </w:rPr>
            </w:r>
            <w:r w:rsidR="00A64E56">
              <w:rPr>
                <w:noProof/>
                <w:webHidden/>
              </w:rPr>
              <w:fldChar w:fldCharType="separate"/>
            </w:r>
            <w:r w:rsidR="00A64E56">
              <w:rPr>
                <w:noProof/>
                <w:webHidden/>
              </w:rPr>
              <w:t>5</w:t>
            </w:r>
            <w:r w:rsidR="00A64E56">
              <w:rPr>
                <w:noProof/>
                <w:webHidden/>
              </w:rPr>
              <w:fldChar w:fldCharType="end"/>
            </w:r>
          </w:hyperlink>
        </w:p>
        <w:p w14:paraId="1F62DCF2" w14:textId="64C1C83D" w:rsidR="00A64E56" w:rsidRDefault="00000000">
          <w:pPr>
            <w:pStyle w:val="TOC1"/>
            <w:tabs>
              <w:tab w:val="right" w:leader="dot" w:pos="9019"/>
            </w:tabs>
            <w:rPr>
              <w:rFonts w:asciiTheme="minorHAnsi" w:eastAsiaTheme="minorEastAsia" w:hAnsiTheme="minorHAnsi" w:cstheme="minorBidi"/>
              <w:noProof/>
              <w:lang w:val="en-IN"/>
            </w:rPr>
          </w:pPr>
          <w:hyperlink w:anchor="_Toc172969277" w:history="1">
            <w:r w:rsidR="00A64E56" w:rsidRPr="00081F99">
              <w:rPr>
                <w:rStyle w:val="Hyperlink"/>
                <w:noProof/>
              </w:rPr>
              <w:t>Critical Appraisal of Various Theoretical Models of Corporate Value, International Cost of Capital and Financial Structure</w:t>
            </w:r>
            <w:r w:rsidR="00A64E56">
              <w:rPr>
                <w:noProof/>
                <w:webHidden/>
              </w:rPr>
              <w:tab/>
            </w:r>
            <w:r w:rsidR="00A64E56">
              <w:rPr>
                <w:noProof/>
                <w:webHidden/>
              </w:rPr>
              <w:fldChar w:fldCharType="begin"/>
            </w:r>
            <w:r w:rsidR="00A64E56">
              <w:rPr>
                <w:noProof/>
                <w:webHidden/>
              </w:rPr>
              <w:instrText xml:space="preserve"> PAGEREF _Toc172969277 \h </w:instrText>
            </w:r>
            <w:r w:rsidR="00A64E56">
              <w:rPr>
                <w:noProof/>
                <w:webHidden/>
              </w:rPr>
            </w:r>
            <w:r w:rsidR="00A64E56">
              <w:rPr>
                <w:noProof/>
                <w:webHidden/>
              </w:rPr>
              <w:fldChar w:fldCharType="separate"/>
            </w:r>
            <w:r w:rsidR="00A64E56">
              <w:rPr>
                <w:noProof/>
                <w:webHidden/>
              </w:rPr>
              <w:t>5</w:t>
            </w:r>
            <w:r w:rsidR="00A64E56">
              <w:rPr>
                <w:noProof/>
                <w:webHidden/>
              </w:rPr>
              <w:fldChar w:fldCharType="end"/>
            </w:r>
          </w:hyperlink>
        </w:p>
        <w:p w14:paraId="2EC2F00E" w14:textId="1122D9E1" w:rsidR="00A64E56" w:rsidRDefault="00000000">
          <w:pPr>
            <w:pStyle w:val="TOC1"/>
            <w:tabs>
              <w:tab w:val="right" w:leader="dot" w:pos="9019"/>
            </w:tabs>
            <w:rPr>
              <w:rFonts w:asciiTheme="minorHAnsi" w:eastAsiaTheme="minorEastAsia" w:hAnsiTheme="minorHAnsi" w:cstheme="minorBidi"/>
              <w:noProof/>
              <w:lang w:val="en-IN"/>
            </w:rPr>
          </w:pPr>
          <w:hyperlink w:anchor="_Toc172969278" w:history="1">
            <w:r w:rsidR="00A64E56" w:rsidRPr="00081F99">
              <w:rPr>
                <w:rStyle w:val="Hyperlink"/>
                <w:noProof/>
              </w:rPr>
              <w:t>Recommendations</w:t>
            </w:r>
            <w:r w:rsidR="00A64E56">
              <w:rPr>
                <w:noProof/>
                <w:webHidden/>
              </w:rPr>
              <w:tab/>
            </w:r>
            <w:r w:rsidR="00A64E56">
              <w:rPr>
                <w:noProof/>
                <w:webHidden/>
              </w:rPr>
              <w:fldChar w:fldCharType="begin"/>
            </w:r>
            <w:r w:rsidR="00A64E56">
              <w:rPr>
                <w:noProof/>
                <w:webHidden/>
              </w:rPr>
              <w:instrText xml:space="preserve"> PAGEREF _Toc172969278 \h </w:instrText>
            </w:r>
            <w:r w:rsidR="00A64E56">
              <w:rPr>
                <w:noProof/>
                <w:webHidden/>
              </w:rPr>
            </w:r>
            <w:r w:rsidR="00A64E56">
              <w:rPr>
                <w:noProof/>
                <w:webHidden/>
              </w:rPr>
              <w:fldChar w:fldCharType="separate"/>
            </w:r>
            <w:r w:rsidR="00A64E56">
              <w:rPr>
                <w:noProof/>
                <w:webHidden/>
              </w:rPr>
              <w:t>6</w:t>
            </w:r>
            <w:r w:rsidR="00A64E56">
              <w:rPr>
                <w:noProof/>
                <w:webHidden/>
              </w:rPr>
              <w:fldChar w:fldCharType="end"/>
            </w:r>
          </w:hyperlink>
        </w:p>
        <w:p w14:paraId="07800F26" w14:textId="74E390F0" w:rsidR="00A64E56" w:rsidRDefault="00000000">
          <w:pPr>
            <w:pStyle w:val="TOC1"/>
            <w:tabs>
              <w:tab w:val="right" w:leader="dot" w:pos="9019"/>
            </w:tabs>
            <w:rPr>
              <w:rFonts w:asciiTheme="minorHAnsi" w:eastAsiaTheme="minorEastAsia" w:hAnsiTheme="minorHAnsi" w:cstheme="minorBidi"/>
              <w:noProof/>
              <w:lang w:val="en-IN"/>
            </w:rPr>
          </w:pPr>
          <w:hyperlink w:anchor="_Toc172969279" w:history="1">
            <w:r w:rsidR="00A64E56" w:rsidRPr="00081F99">
              <w:rPr>
                <w:rStyle w:val="Hyperlink"/>
                <w:noProof/>
              </w:rPr>
              <w:t>Conclusion</w:t>
            </w:r>
            <w:r w:rsidR="00A64E56">
              <w:rPr>
                <w:noProof/>
                <w:webHidden/>
              </w:rPr>
              <w:tab/>
            </w:r>
            <w:r w:rsidR="00A64E56">
              <w:rPr>
                <w:noProof/>
                <w:webHidden/>
              </w:rPr>
              <w:fldChar w:fldCharType="begin"/>
            </w:r>
            <w:r w:rsidR="00A64E56">
              <w:rPr>
                <w:noProof/>
                <w:webHidden/>
              </w:rPr>
              <w:instrText xml:space="preserve"> PAGEREF _Toc172969279 \h </w:instrText>
            </w:r>
            <w:r w:rsidR="00A64E56">
              <w:rPr>
                <w:noProof/>
                <w:webHidden/>
              </w:rPr>
            </w:r>
            <w:r w:rsidR="00A64E56">
              <w:rPr>
                <w:noProof/>
                <w:webHidden/>
              </w:rPr>
              <w:fldChar w:fldCharType="separate"/>
            </w:r>
            <w:r w:rsidR="00A64E56">
              <w:rPr>
                <w:noProof/>
                <w:webHidden/>
              </w:rPr>
              <w:t>7</w:t>
            </w:r>
            <w:r w:rsidR="00A64E56">
              <w:rPr>
                <w:noProof/>
                <w:webHidden/>
              </w:rPr>
              <w:fldChar w:fldCharType="end"/>
            </w:r>
          </w:hyperlink>
        </w:p>
        <w:p w14:paraId="56D1D1E9" w14:textId="4C3DE140" w:rsidR="00A64E56" w:rsidRDefault="00000000">
          <w:pPr>
            <w:pStyle w:val="TOC1"/>
            <w:tabs>
              <w:tab w:val="right" w:leader="dot" w:pos="9019"/>
            </w:tabs>
            <w:rPr>
              <w:rFonts w:asciiTheme="minorHAnsi" w:eastAsiaTheme="minorEastAsia" w:hAnsiTheme="minorHAnsi" w:cstheme="minorBidi"/>
              <w:noProof/>
              <w:lang w:val="en-IN"/>
            </w:rPr>
          </w:pPr>
          <w:hyperlink w:anchor="_Toc172969280" w:history="1">
            <w:r w:rsidR="00A64E56" w:rsidRPr="00081F99">
              <w:rPr>
                <w:rStyle w:val="Hyperlink"/>
                <w:noProof/>
              </w:rPr>
              <w:t>References</w:t>
            </w:r>
            <w:r w:rsidR="00A64E56">
              <w:rPr>
                <w:noProof/>
                <w:webHidden/>
              </w:rPr>
              <w:tab/>
            </w:r>
            <w:r w:rsidR="00A64E56">
              <w:rPr>
                <w:noProof/>
                <w:webHidden/>
              </w:rPr>
              <w:fldChar w:fldCharType="begin"/>
            </w:r>
            <w:r w:rsidR="00A64E56">
              <w:rPr>
                <w:noProof/>
                <w:webHidden/>
              </w:rPr>
              <w:instrText xml:space="preserve"> PAGEREF _Toc172969280 \h </w:instrText>
            </w:r>
            <w:r w:rsidR="00A64E56">
              <w:rPr>
                <w:noProof/>
                <w:webHidden/>
              </w:rPr>
            </w:r>
            <w:r w:rsidR="00A64E56">
              <w:rPr>
                <w:noProof/>
                <w:webHidden/>
              </w:rPr>
              <w:fldChar w:fldCharType="separate"/>
            </w:r>
            <w:r w:rsidR="00A64E56">
              <w:rPr>
                <w:noProof/>
                <w:webHidden/>
              </w:rPr>
              <w:t>8</w:t>
            </w:r>
            <w:r w:rsidR="00A64E56">
              <w:rPr>
                <w:noProof/>
                <w:webHidden/>
              </w:rPr>
              <w:fldChar w:fldCharType="end"/>
            </w:r>
          </w:hyperlink>
        </w:p>
        <w:p w14:paraId="53B7EDFB" w14:textId="4A6EBED2" w:rsidR="00633A06" w:rsidRPr="00A64E56" w:rsidRDefault="00633A06" w:rsidP="00A64E56">
          <w:pPr>
            <w:spacing w:before="240" w:after="240" w:line="360" w:lineRule="auto"/>
            <w:jc w:val="both"/>
            <w:rPr>
              <w:rFonts w:ascii="Times New Roman" w:hAnsi="Times New Roman"/>
              <w:sz w:val="24"/>
            </w:rPr>
          </w:pPr>
          <w:r w:rsidRPr="00A64E56">
            <w:rPr>
              <w:rFonts w:ascii="Times New Roman" w:hAnsi="Times New Roman" w:cs="Times New Roman"/>
              <w:b/>
              <w:bCs/>
              <w:noProof/>
              <w:sz w:val="24"/>
              <w:szCs w:val="24"/>
            </w:rPr>
            <w:fldChar w:fldCharType="end"/>
          </w:r>
        </w:p>
      </w:sdtContent>
    </w:sdt>
    <w:p w14:paraId="0000000A" w14:textId="563889CE" w:rsidR="00564E22" w:rsidRPr="00A64E56" w:rsidRDefault="000B2F1E" w:rsidP="00A64E56">
      <w:pPr>
        <w:spacing w:before="240" w:after="240" w:line="360" w:lineRule="auto"/>
        <w:jc w:val="both"/>
        <w:rPr>
          <w:rFonts w:ascii="Times New Roman" w:eastAsia="Times New Roman" w:hAnsi="Times New Roman" w:cs="Times New Roman"/>
          <w:b/>
          <w:sz w:val="24"/>
          <w:szCs w:val="24"/>
        </w:rPr>
      </w:pPr>
      <w:r w:rsidRPr="00A64E56">
        <w:rPr>
          <w:rFonts w:ascii="Times New Roman" w:hAnsi="Times New Roman"/>
          <w:sz w:val="24"/>
        </w:rPr>
        <w:br w:type="page"/>
      </w:r>
    </w:p>
    <w:p w14:paraId="0000000B" w14:textId="77777777" w:rsidR="00564E22" w:rsidRPr="00A64E56" w:rsidRDefault="000B2F1E" w:rsidP="00A64E56">
      <w:pPr>
        <w:pStyle w:val="Heading1"/>
        <w:spacing w:before="240"/>
        <w:rPr>
          <w:b w:val="0"/>
          <w:sz w:val="24"/>
        </w:rPr>
      </w:pPr>
      <w:bookmarkStart w:id="0" w:name="_Toc172969274"/>
      <w:r w:rsidRPr="00A64E56">
        <w:rPr>
          <w:sz w:val="24"/>
        </w:rPr>
        <w:lastRenderedPageBreak/>
        <w:t>Introduction</w:t>
      </w:r>
      <w:bookmarkEnd w:id="0"/>
      <w:r w:rsidRPr="00A64E56">
        <w:rPr>
          <w:sz w:val="24"/>
        </w:rPr>
        <w:t xml:space="preserve"> </w:t>
      </w:r>
    </w:p>
    <w:p w14:paraId="0000000C" w14:textId="1C859886" w:rsidR="00564E22" w:rsidRPr="00A64E56" w:rsidRDefault="000B2F1E" w:rsidP="00A64E56">
      <w:pPr>
        <w:spacing w:before="240" w:after="240" w:line="360" w:lineRule="auto"/>
        <w:jc w:val="both"/>
        <w:rPr>
          <w:rFonts w:ascii="Times New Roman" w:eastAsia="Times New Roman" w:hAnsi="Times New Roman" w:cs="Times New Roman"/>
          <w:sz w:val="24"/>
          <w:szCs w:val="24"/>
        </w:rPr>
      </w:pPr>
      <w:r w:rsidRPr="00A64E56">
        <w:rPr>
          <w:rFonts w:ascii="Times New Roman" w:eastAsia="Times New Roman" w:hAnsi="Times New Roman" w:cs="Times New Roman"/>
          <w:sz w:val="24"/>
          <w:szCs w:val="24"/>
        </w:rPr>
        <w:t>International financial management is a comprehensive study and strategic practice of finance performed in a global business environment. It defines efficient management of finance practised in a multinational context by highlighting several factors such as cross-border transactions, changes in foreign exchange rates and other operations. Generally, international financial management contemplates analysis of the global market atmosphere where multinational companies execute their trades (</w:t>
      </w:r>
      <w:r w:rsidRPr="00A64E56">
        <w:rPr>
          <w:rFonts w:ascii="Times New Roman" w:eastAsia="Times New Roman" w:hAnsi="Times New Roman" w:cs="Times New Roman"/>
          <w:color w:val="222222"/>
          <w:sz w:val="24"/>
          <w:szCs w:val="24"/>
          <w:highlight w:val="white"/>
        </w:rPr>
        <w:t>Eun</w:t>
      </w:r>
      <w:r w:rsidR="004B0260" w:rsidRPr="00A64E56">
        <w:rPr>
          <w:rFonts w:ascii="Times New Roman" w:eastAsia="Times New Roman" w:hAnsi="Times New Roman" w:cs="Times New Roman"/>
          <w:color w:val="222222"/>
          <w:sz w:val="24"/>
          <w:szCs w:val="24"/>
          <w:highlight w:val="white"/>
        </w:rPr>
        <w:t>,</w:t>
      </w:r>
      <w:r w:rsidRPr="00A64E56">
        <w:rPr>
          <w:rFonts w:ascii="Times New Roman" w:eastAsia="Times New Roman" w:hAnsi="Times New Roman" w:cs="Times New Roman"/>
          <w:color w:val="222222"/>
          <w:sz w:val="24"/>
          <w:szCs w:val="24"/>
          <w:highlight w:val="white"/>
        </w:rPr>
        <w:t xml:space="preserve"> </w:t>
      </w:r>
      <w:r w:rsidRPr="00A64E56">
        <w:rPr>
          <w:rFonts w:ascii="Times New Roman" w:eastAsia="Times New Roman" w:hAnsi="Times New Roman" w:cs="Times New Roman"/>
          <w:i/>
          <w:color w:val="222222"/>
          <w:sz w:val="24"/>
          <w:szCs w:val="24"/>
          <w:highlight w:val="white"/>
        </w:rPr>
        <w:t>et al.</w:t>
      </w:r>
      <w:r w:rsidR="004B0260" w:rsidRPr="00A64E56">
        <w:rPr>
          <w:rFonts w:ascii="Times New Roman" w:eastAsia="Times New Roman" w:hAnsi="Times New Roman" w:cs="Times New Roman"/>
          <w:color w:val="222222"/>
          <w:sz w:val="24"/>
          <w:szCs w:val="24"/>
          <w:highlight w:val="white"/>
        </w:rPr>
        <w:t xml:space="preserve">, </w:t>
      </w:r>
      <w:r w:rsidRPr="00A64E56">
        <w:rPr>
          <w:rFonts w:ascii="Times New Roman" w:eastAsia="Times New Roman" w:hAnsi="Times New Roman" w:cs="Times New Roman"/>
          <w:color w:val="222222"/>
          <w:sz w:val="24"/>
          <w:szCs w:val="24"/>
          <w:highlight w:val="white"/>
        </w:rPr>
        <w:t>2022</w:t>
      </w:r>
      <w:r w:rsidRPr="00A64E56">
        <w:rPr>
          <w:rFonts w:ascii="Times New Roman" w:eastAsia="Times New Roman" w:hAnsi="Times New Roman" w:cs="Times New Roman"/>
          <w:sz w:val="24"/>
          <w:szCs w:val="24"/>
        </w:rPr>
        <w:t>). It also mandates control in foreign exchange practices which helps in navigating potential opportunities and risks present in the fluctuation of exchange rates. Companies that intend to propose international investment decisions have to perform this management aspect to direct better portfolio and foreign direct investment. International financial management allows corporate entities to enhance their economic performance by controlling monetary flow across multiple nations while mitigating associated risks (</w:t>
      </w:r>
      <w:r w:rsidRPr="00A64E56">
        <w:rPr>
          <w:rFonts w:ascii="Times New Roman" w:eastAsia="Times New Roman" w:hAnsi="Times New Roman" w:cs="Times New Roman"/>
          <w:sz w:val="24"/>
          <w:szCs w:val="24"/>
          <w:highlight w:val="white"/>
        </w:rPr>
        <w:t>Widjanarko</w:t>
      </w:r>
      <w:r w:rsidR="004B0260" w:rsidRPr="00A64E56">
        <w:rPr>
          <w:rFonts w:ascii="Times New Roman" w:eastAsia="Times New Roman" w:hAnsi="Times New Roman" w:cs="Times New Roman"/>
          <w:sz w:val="24"/>
          <w:szCs w:val="24"/>
          <w:highlight w:val="white"/>
        </w:rPr>
        <w:t>,</w:t>
      </w:r>
      <w:r w:rsidRPr="00A64E56">
        <w:rPr>
          <w:rFonts w:ascii="Times New Roman" w:eastAsia="Times New Roman" w:hAnsi="Times New Roman" w:cs="Times New Roman"/>
          <w:i/>
          <w:sz w:val="24"/>
          <w:szCs w:val="24"/>
          <w:highlight w:val="white"/>
        </w:rPr>
        <w:t xml:space="preserve"> et al.</w:t>
      </w:r>
      <w:r w:rsidR="004B0260" w:rsidRPr="00A64E56">
        <w:rPr>
          <w:rFonts w:ascii="Times New Roman" w:eastAsia="Times New Roman" w:hAnsi="Times New Roman" w:cs="Times New Roman"/>
          <w:i/>
          <w:sz w:val="24"/>
          <w:szCs w:val="24"/>
          <w:highlight w:val="white"/>
        </w:rPr>
        <w:t>,</w:t>
      </w:r>
      <w:r w:rsidRPr="00A64E56">
        <w:rPr>
          <w:rFonts w:ascii="Times New Roman" w:eastAsia="Times New Roman" w:hAnsi="Times New Roman" w:cs="Times New Roman"/>
          <w:sz w:val="24"/>
          <w:szCs w:val="24"/>
          <w:highlight w:val="white"/>
        </w:rPr>
        <w:t xml:space="preserve"> 2022</w:t>
      </w:r>
      <w:r w:rsidRPr="00A64E56">
        <w:rPr>
          <w:rFonts w:ascii="Times New Roman" w:eastAsia="Times New Roman" w:hAnsi="Times New Roman" w:cs="Times New Roman"/>
          <w:sz w:val="24"/>
          <w:szCs w:val="24"/>
        </w:rPr>
        <w:t xml:space="preserve">). For this reason, it is compulsory for companies to evaluate the applicability, advantages and core strategies present in international financial management. This particular report will aim to explore different strategies that multinational companies can follow to manage their exposure to foreign exchange risks. Interpreting relevant theories, models and strategies, this report will also provide recommendations for multinational corporations to mitigate adverse challenges. </w:t>
      </w:r>
    </w:p>
    <w:p w14:paraId="0000000D" w14:textId="77777777" w:rsidR="00564E22" w:rsidRPr="00A64E56" w:rsidRDefault="000B2F1E" w:rsidP="00A64E56">
      <w:pPr>
        <w:pStyle w:val="Heading1"/>
        <w:spacing w:before="240"/>
        <w:rPr>
          <w:sz w:val="24"/>
        </w:rPr>
      </w:pPr>
      <w:bookmarkStart w:id="1" w:name="_Toc172969275"/>
      <w:r w:rsidRPr="00A64E56">
        <w:rPr>
          <w:sz w:val="24"/>
        </w:rPr>
        <w:t>Critical Evaluation and Application of Theoretical Framework and Models of International Financial Management</w:t>
      </w:r>
      <w:bookmarkEnd w:id="1"/>
      <w:r w:rsidRPr="00A64E56">
        <w:rPr>
          <w:sz w:val="24"/>
        </w:rPr>
        <w:t xml:space="preserve"> </w:t>
      </w:r>
    </w:p>
    <w:p w14:paraId="47330ABE" w14:textId="0F354E61" w:rsidR="00B32689" w:rsidRPr="00A64E56" w:rsidRDefault="000B2F1E" w:rsidP="00A64E56">
      <w:pPr>
        <w:spacing w:before="240" w:after="240" w:line="360" w:lineRule="auto"/>
        <w:jc w:val="both"/>
        <w:rPr>
          <w:rFonts w:ascii="Times New Roman" w:eastAsia="Times New Roman" w:hAnsi="Times New Roman" w:cs="Times New Roman"/>
          <w:sz w:val="24"/>
          <w:szCs w:val="24"/>
        </w:rPr>
      </w:pPr>
      <w:r w:rsidRPr="00A64E56">
        <w:rPr>
          <w:rFonts w:ascii="Times New Roman" w:eastAsia="Times New Roman" w:hAnsi="Times New Roman" w:cs="Times New Roman"/>
          <w:sz w:val="24"/>
          <w:szCs w:val="24"/>
        </w:rPr>
        <w:t>International financial management comprises several theories, models and frameworks to be followed by multinational corporations in conducting informed economic decisions. The application of these frameworks and models holds both strengths and weaknesses for companies in terms of managing international finance. Multinational corporations can also follow the international fisher effect theory on international finance to observe the distinguish in nominal interest rates between two nations. Depending on the Fisher effect that underpins changes in inflation expectations by nominal interest rates in a country, it demonstrates the context of the international arena. According to this theory, currency values of nations with higher nominal rates will depreciate with currency values of nations with lower nominal interest rates (</w:t>
      </w:r>
      <w:r w:rsidRPr="00A64E56">
        <w:rPr>
          <w:rFonts w:ascii="Times New Roman" w:eastAsia="Times New Roman" w:hAnsi="Times New Roman" w:cs="Times New Roman"/>
          <w:sz w:val="24"/>
          <w:szCs w:val="24"/>
          <w:highlight w:val="white"/>
        </w:rPr>
        <w:t>Ongan and Gocer, 2020</w:t>
      </w:r>
      <w:r w:rsidRPr="00A64E56">
        <w:rPr>
          <w:rFonts w:ascii="Times New Roman" w:eastAsia="Times New Roman" w:hAnsi="Times New Roman" w:cs="Times New Roman"/>
          <w:sz w:val="24"/>
          <w:szCs w:val="24"/>
        </w:rPr>
        <w:t xml:space="preserve">). Multinational corporations can imply IFE theory to evaluate the attractiveness of investments by considering predicted exchange rates for making informed decisions. It also indicates the completion of capital budgeting for international </w:t>
      </w:r>
      <w:r w:rsidRPr="00A64E56">
        <w:rPr>
          <w:rFonts w:ascii="Times New Roman" w:eastAsia="Times New Roman" w:hAnsi="Times New Roman" w:cs="Times New Roman"/>
          <w:sz w:val="24"/>
          <w:szCs w:val="24"/>
        </w:rPr>
        <w:lastRenderedPageBreak/>
        <w:t>investment projects to adjust expected cash flows through performing net present value and internal rate of return. On the other hand, discrepancies in data quality may affect the effectiveness of this theory as well as short-term market volatility such as geopolitical events and speculative trade. In the context of international financial management, the foreign exchange risk management model can be followed which reflects on three types of exposure such as transactional, economic and translation. Through the help of transaction exposure, companies can identify risks associated with specific transactions that dominate foreign currencies. Translation exposure directs in mitigating the effect of exchange rate fluctuations on the economic performance of subsidiaries by consolidating parent companies (</w:t>
      </w:r>
      <w:r w:rsidRPr="00A64E56">
        <w:rPr>
          <w:rFonts w:ascii="Times New Roman" w:eastAsia="Times New Roman" w:hAnsi="Times New Roman" w:cs="Times New Roman"/>
          <w:sz w:val="24"/>
          <w:szCs w:val="24"/>
          <w:highlight w:val="white"/>
        </w:rPr>
        <w:t>Saunders</w:t>
      </w:r>
      <w:r w:rsidR="008974E2" w:rsidRPr="00A64E56">
        <w:rPr>
          <w:rFonts w:ascii="Times New Roman" w:eastAsia="Times New Roman" w:hAnsi="Times New Roman" w:cs="Times New Roman"/>
          <w:sz w:val="24"/>
          <w:szCs w:val="24"/>
          <w:highlight w:val="white"/>
        </w:rPr>
        <w:t>,</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et al</w:t>
      </w:r>
      <w:r w:rsidRPr="00A64E56">
        <w:rPr>
          <w:rFonts w:ascii="Times New Roman" w:eastAsia="Times New Roman" w:hAnsi="Times New Roman" w:cs="Times New Roman"/>
          <w:sz w:val="24"/>
          <w:szCs w:val="24"/>
          <w:highlight w:val="white"/>
        </w:rPr>
        <w:t>.</w:t>
      </w:r>
      <w:r w:rsidR="008974E2" w:rsidRPr="00A64E56">
        <w:rPr>
          <w:rFonts w:ascii="Times New Roman" w:eastAsia="Times New Roman" w:hAnsi="Times New Roman" w:cs="Times New Roman"/>
          <w:sz w:val="24"/>
          <w:szCs w:val="24"/>
          <w:highlight w:val="white"/>
        </w:rPr>
        <w:t>,</w:t>
      </w:r>
      <w:r w:rsidRPr="00A64E56">
        <w:rPr>
          <w:rFonts w:ascii="Times New Roman" w:eastAsia="Times New Roman" w:hAnsi="Times New Roman" w:cs="Times New Roman"/>
          <w:sz w:val="24"/>
          <w:szCs w:val="24"/>
          <w:highlight w:val="white"/>
        </w:rPr>
        <w:t xml:space="preserve"> 2021</w:t>
      </w:r>
      <w:r w:rsidRPr="00A64E56">
        <w:rPr>
          <w:rFonts w:ascii="Times New Roman" w:eastAsia="Times New Roman" w:hAnsi="Times New Roman" w:cs="Times New Roman"/>
          <w:sz w:val="24"/>
          <w:szCs w:val="24"/>
        </w:rPr>
        <w:t xml:space="preserve">). Along with that, multinational companies can indicate the long-term impact of exchange rates by economic exposure. However, several limitations are present in this model such as the lack of appropriate performance tracking in market vulnerabilities and absence of structured hedging tactics. </w:t>
      </w:r>
    </w:p>
    <w:p w14:paraId="6E51F289" w14:textId="6D0A823B" w:rsidR="005F1A59" w:rsidRPr="00A64E56" w:rsidRDefault="005F1A59" w:rsidP="00A64E56">
      <w:pPr>
        <w:spacing w:before="240" w:after="240" w:line="360" w:lineRule="auto"/>
        <w:jc w:val="both"/>
        <w:rPr>
          <w:rFonts w:ascii="Times New Roman" w:eastAsia="Times New Roman" w:hAnsi="Times New Roman" w:cs="Times New Roman"/>
          <w:b/>
          <w:sz w:val="24"/>
          <w:szCs w:val="24"/>
        </w:rPr>
      </w:pPr>
      <w:r w:rsidRPr="00A64E56">
        <w:rPr>
          <w:rFonts w:ascii="Times New Roman" w:eastAsia="Times New Roman" w:hAnsi="Times New Roman" w:cs="Times New Roman"/>
          <w:sz w:val="24"/>
          <w:szCs w:val="24"/>
        </w:rPr>
        <w:t>Companies which intend to decline their exposure to dynamic foreign exchange risks can optimise the benefits associated with purchasing power parity theory. The nature of the foreign exchange market is decentralised where market elements remain separated from other transactions and entities, increasing economic risks for companies to lose money on international trade (</w:t>
      </w:r>
      <w:r w:rsidRPr="00A64E56">
        <w:rPr>
          <w:rFonts w:ascii="Times New Roman" w:eastAsia="Times New Roman" w:hAnsi="Times New Roman" w:cs="Times New Roman"/>
          <w:sz w:val="24"/>
          <w:szCs w:val="24"/>
          <w:highlight w:val="white"/>
        </w:rPr>
        <w:t>Rabe and Waddle, 2020</w:t>
      </w:r>
      <w:r w:rsidRPr="00A64E56">
        <w:rPr>
          <w:rFonts w:ascii="Times New Roman" w:eastAsia="Times New Roman" w:hAnsi="Times New Roman" w:cs="Times New Roman"/>
          <w:sz w:val="24"/>
          <w:szCs w:val="24"/>
        </w:rPr>
        <w:t xml:space="preserve">). In this term, purchasing power parity demonstrates that exchange rates should be adjusted being equalised prices for identical goods across different nations. Considering the relationship between exchange rates and relative price levels among countries, this theory can be applied to estimate changes in exchange rates while predicting long-term trends in inflation differentials. Multinational corporations can follow the purchasing power parity theory to determine prices for commodities and help in maintaining consistency in economic planning across different subsidiaries. However, this theory can raise further challenges for companies due to differences in productivity, economic structures and consumption patterns. Its effectiveness can also decline in making short-term predictions for the occurrence of market speculation and imperfections. </w:t>
      </w:r>
    </w:p>
    <w:p w14:paraId="00000014" w14:textId="58D2513A" w:rsidR="00564E22" w:rsidRPr="00A64E56" w:rsidRDefault="00564E22" w:rsidP="00A64E56">
      <w:pPr>
        <w:spacing w:before="240" w:after="240" w:line="360" w:lineRule="auto"/>
        <w:jc w:val="both"/>
        <w:rPr>
          <w:rFonts w:ascii="Times New Roman" w:eastAsia="Times New Roman" w:hAnsi="Times New Roman" w:cs="Times New Roman"/>
          <w:sz w:val="24"/>
          <w:szCs w:val="24"/>
        </w:rPr>
      </w:pPr>
    </w:p>
    <w:p w14:paraId="00000015" w14:textId="77777777" w:rsidR="00564E22" w:rsidRPr="00A64E56" w:rsidRDefault="000B2F1E" w:rsidP="00A64E56">
      <w:pPr>
        <w:pStyle w:val="Heading1"/>
        <w:spacing w:before="240"/>
        <w:rPr>
          <w:sz w:val="24"/>
        </w:rPr>
      </w:pPr>
      <w:bookmarkStart w:id="2" w:name="_Toc172969276"/>
      <w:r w:rsidRPr="00A64E56">
        <w:rPr>
          <w:sz w:val="24"/>
        </w:rPr>
        <w:lastRenderedPageBreak/>
        <w:t>Evaluation, Application and Discussion of Various Methods and Techniques Related to Financing of an International Business</w:t>
      </w:r>
      <w:bookmarkEnd w:id="2"/>
      <w:r w:rsidRPr="00A64E56">
        <w:rPr>
          <w:sz w:val="24"/>
        </w:rPr>
        <w:t xml:space="preserve"> </w:t>
      </w:r>
    </w:p>
    <w:p w14:paraId="00000018" w14:textId="389DABC5" w:rsidR="00564E22" w:rsidRPr="00A64E56" w:rsidRDefault="000B2F1E" w:rsidP="00A64E56">
      <w:pPr>
        <w:spacing w:before="240" w:after="240" w:line="360" w:lineRule="auto"/>
        <w:jc w:val="both"/>
        <w:rPr>
          <w:rFonts w:ascii="Times New Roman" w:eastAsia="Times New Roman" w:hAnsi="Times New Roman" w:cs="Times New Roman"/>
          <w:b/>
          <w:sz w:val="24"/>
          <w:szCs w:val="24"/>
        </w:rPr>
      </w:pPr>
      <w:r w:rsidRPr="00A64E56">
        <w:rPr>
          <w:rFonts w:ascii="Times New Roman" w:eastAsia="Times New Roman" w:hAnsi="Times New Roman" w:cs="Times New Roman"/>
          <w:sz w:val="24"/>
          <w:szCs w:val="24"/>
        </w:rPr>
        <w:t>The concept of financial international business operations is interrelated with complex economic landscapes, optimisation of capital structure and risk assessment activities. There are several methods and techniques to guide an international business to execute its financial operations by which it can secure liquidity and funding. Equity finance is a comprehensive method that assists businesses in raising capital funds by selling shares to other companies, public and financial institutions. In this method, a company allows individuals to gain ownership of the company in terms of collecting fresh capital funds (</w:t>
      </w:r>
      <w:r w:rsidRPr="00A64E56">
        <w:rPr>
          <w:rFonts w:ascii="Times New Roman" w:eastAsia="Times New Roman" w:hAnsi="Times New Roman" w:cs="Times New Roman"/>
          <w:sz w:val="24"/>
          <w:szCs w:val="24"/>
          <w:highlight w:val="white"/>
        </w:rPr>
        <w:t>Yasar, 2021</w:t>
      </w:r>
      <w:r w:rsidRPr="00A64E56">
        <w:rPr>
          <w:rFonts w:ascii="Times New Roman" w:eastAsia="Times New Roman" w:hAnsi="Times New Roman" w:cs="Times New Roman"/>
          <w:sz w:val="24"/>
          <w:szCs w:val="24"/>
        </w:rPr>
        <w:t>). Individuals who purchase shares are identified shareholders of the company as they receive a part of ownership interest. Equity financing does not raise any repayment debt for a business and is suitable for collecting large capital. For this reason, it can be applied to executing initial public offerings and cross-listing of multiple stock exchanges. However, equity financing comes with a higher dividend which is not tax-</w:t>
      </w:r>
      <w:r w:rsidR="00B27353" w:rsidRPr="00A64E56">
        <w:rPr>
          <w:rFonts w:ascii="Times New Roman" w:eastAsia="Times New Roman" w:hAnsi="Times New Roman" w:cs="Times New Roman"/>
          <w:sz w:val="24"/>
          <w:szCs w:val="24"/>
        </w:rPr>
        <w:t>deductible</w:t>
      </w:r>
      <w:r w:rsidRPr="00A64E56">
        <w:rPr>
          <w:rFonts w:ascii="Times New Roman" w:eastAsia="Times New Roman" w:hAnsi="Times New Roman" w:cs="Times New Roman"/>
          <w:sz w:val="24"/>
          <w:szCs w:val="24"/>
        </w:rPr>
        <w:t xml:space="preserve"> and consists of high costs for issuing new shares.</w:t>
      </w:r>
      <w:r w:rsidR="00E66330" w:rsidRPr="00A64E56">
        <w:rPr>
          <w:rFonts w:ascii="Times New Roman" w:eastAsia="Times New Roman" w:hAnsi="Times New Roman" w:cs="Times New Roman"/>
          <w:b/>
          <w:sz w:val="24"/>
          <w:szCs w:val="24"/>
        </w:rPr>
        <w:t xml:space="preserve"> </w:t>
      </w:r>
      <w:r w:rsidRPr="00A64E56">
        <w:rPr>
          <w:rFonts w:ascii="Times New Roman" w:eastAsia="Times New Roman" w:hAnsi="Times New Roman" w:cs="Times New Roman"/>
          <w:sz w:val="24"/>
          <w:szCs w:val="24"/>
        </w:rPr>
        <w:t>Debt financing refers to an efficient form of business finance which involves borrowing money from individuals, banks and capital funding organisations. Businesses following this technique hold the liability to repay the borrowed money including interests over a specific period (</w:t>
      </w:r>
      <w:r w:rsidRPr="00A64E56">
        <w:rPr>
          <w:rFonts w:ascii="Times New Roman" w:eastAsia="Times New Roman" w:hAnsi="Times New Roman" w:cs="Times New Roman"/>
          <w:sz w:val="24"/>
          <w:szCs w:val="24"/>
          <w:highlight w:val="white"/>
        </w:rPr>
        <w:t>Giaretta and Chesini, 2021</w:t>
      </w:r>
      <w:r w:rsidRPr="00A64E56">
        <w:rPr>
          <w:rFonts w:ascii="Times New Roman" w:eastAsia="Times New Roman" w:hAnsi="Times New Roman" w:cs="Times New Roman"/>
          <w:sz w:val="24"/>
          <w:szCs w:val="24"/>
        </w:rPr>
        <w:t xml:space="preserve">). Debt financing includes interest payments that are tax-deductible and require to be paid as fixed repayment instalments following particular time intervals. The applicability of debt financing includes bank loans, bonds and Eurobonds allowing businesses to trade in international markets. On the other hand, limitations of debt financing include regular payment of interest, increase in financial risks and inclusion of restrictive covenants. </w:t>
      </w:r>
    </w:p>
    <w:p w14:paraId="00000019" w14:textId="77777777" w:rsidR="00564E22" w:rsidRPr="00A64E56" w:rsidRDefault="000B2F1E" w:rsidP="00A64E56">
      <w:pPr>
        <w:pStyle w:val="Heading1"/>
        <w:spacing w:before="240"/>
        <w:rPr>
          <w:sz w:val="24"/>
        </w:rPr>
      </w:pPr>
      <w:bookmarkStart w:id="3" w:name="_Toc172969277"/>
      <w:r w:rsidRPr="00A64E56">
        <w:rPr>
          <w:sz w:val="24"/>
        </w:rPr>
        <w:t>Critical Appraisal of Various Theoretical Models of Corporate Value, International Cost of Capital and Financial Structure</w:t>
      </w:r>
      <w:bookmarkEnd w:id="3"/>
      <w:r w:rsidRPr="00A64E56">
        <w:rPr>
          <w:sz w:val="24"/>
        </w:rPr>
        <w:t xml:space="preserve"> </w:t>
      </w:r>
    </w:p>
    <w:p w14:paraId="0000001C" w14:textId="2EDC9FCB" w:rsidR="00564E22" w:rsidRPr="00A64E56" w:rsidRDefault="000B2F1E" w:rsidP="00A64E56">
      <w:pPr>
        <w:spacing w:before="240" w:after="240" w:line="360" w:lineRule="auto"/>
        <w:jc w:val="both"/>
        <w:rPr>
          <w:rFonts w:ascii="Times New Roman" w:eastAsia="Times New Roman" w:hAnsi="Times New Roman" w:cs="Times New Roman"/>
          <w:sz w:val="24"/>
          <w:szCs w:val="24"/>
        </w:rPr>
      </w:pPr>
      <w:r w:rsidRPr="00A64E56">
        <w:rPr>
          <w:rFonts w:ascii="Times New Roman" w:eastAsia="Times New Roman" w:hAnsi="Times New Roman" w:cs="Times New Roman"/>
          <w:sz w:val="24"/>
          <w:szCs w:val="24"/>
        </w:rPr>
        <w:t xml:space="preserve">WACC helps in determining the cost of equity and initial debts present in different markets. This theory highlights three major elements such as the cost of equity, the cost of debt and the capital structure of an organisation to recognise financial flows in different markets. </w:t>
      </w:r>
      <w:r w:rsidR="007723AD" w:rsidRPr="00A64E56">
        <w:rPr>
          <w:rFonts w:ascii="Times New Roman" w:eastAsia="Times New Roman" w:hAnsi="Times New Roman" w:cs="Times New Roman"/>
          <w:sz w:val="24"/>
          <w:szCs w:val="24"/>
        </w:rPr>
        <w:t>C</w:t>
      </w:r>
      <w:r w:rsidRPr="00A64E56">
        <w:rPr>
          <w:rFonts w:ascii="Times New Roman" w:eastAsia="Times New Roman" w:hAnsi="Times New Roman" w:cs="Times New Roman"/>
          <w:sz w:val="24"/>
          <w:szCs w:val="24"/>
        </w:rPr>
        <w:t xml:space="preserve">ompanies may face issues in predicting accurate cost components that may be complex in multinational atmosphere due to dynamic risk profiles and tax rates. The </w:t>
      </w:r>
      <w:r w:rsidR="007723AD" w:rsidRPr="00A64E56">
        <w:rPr>
          <w:rFonts w:ascii="Times New Roman" w:eastAsia="Times New Roman" w:hAnsi="Times New Roman" w:cs="Times New Roman"/>
          <w:sz w:val="24"/>
          <w:szCs w:val="24"/>
        </w:rPr>
        <w:t xml:space="preserve">modigliani-miller </w:t>
      </w:r>
      <w:r w:rsidRPr="00A64E56">
        <w:rPr>
          <w:rFonts w:ascii="Times New Roman" w:eastAsia="Times New Roman" w:hAnsi="Times New Roman" w:cs="Times New Roman"/>
          <w:sz w:val="24"/>
          <w:szCs w:val="24"/>
        </w:rPr>
        <w:t xml:space="preserve">theorem defines the value of a business that remains unaffected by the changes in its capital structure in a perfect market environment. This particular theory highlights the financial structure of multinational corporations by categorising two key concepts such as leverage irrelevance and capital </w:t>
      </w:r>
      <w:r w:rsidRPr="00A64E56">
        <w:rPr>
          <w:rFonts w:ascii="Times New Roman" w:eastAsia="Times New Roman" w:hAnsi="Times New Roman" w:cs="Times New Roman"/>
          <w:sz w:val="24"/>
          <w:szCs w:val="24"/>
        </w:rPr>
        <w:lastRenderedPageBreak/>
        <w:t>structure irrelevance (</w:t>
      </w:r>
      <w:r w:rsidRPr="00A64E56">
        <w:rPr>
          <w:rFonts w:ascii="Times New Roman" w:eastAsia="Times New Roman" w:hAnsi="Times New Roman" w:cs="Times New Roman"/>
          <w:sz w:val="24"/>
          <w:szCs w:val="24"/>
          <w:highlight w:val="white"/>
        </w:rPr>
        <w:t>Brusov</w:t>
      </w:r>
      <w:r w:rsidR="0018101B" w:rsidRPr="00A64E56">
        <w:rPr>
          <w:rFonts w:ascii="Times New Roman" w:eastAsia="Times New Roman" w:hAnsi="Times New Roman" w:cs="Times New Roman"/>
          <w:sz w:val="24"/>
          <w:szCs w:val="24"/>
          <w:highlight w:val="white"/>
        </w:rPr>
        <w:t>,</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et al.</w:t>
      </w:r>
      <w:r w:rsidR="0018101B" w:rsidRPr="00A64E56">
        <w:rPr>
          <w:rFonts w:ascii="Times New Roman" w:eastAsia="Times New Roman" w:hAnsi="Times New Roman" w:cs="Times New Roman"/>
          <w:i/>
          <w:sz w:val="24"/>
          <w:szCs w:val="24"/>
          <w:highlight w:val="white"/>
        </w:rPr>
        <w:t>,</w:t>
      </w:r>
      <w:r w:rsidRPr="00A64E56">
        <w:rPr>
          <w:rFonts w:ascii="Times New Roman" w:eastAsia="Times New Roman" w:hAnsi="Times New Roman" w:cs="Times New Roman"/>
          <w:sz w:val="24"/>
          <w:szCs w:val="24"/>
          <w:highlight w:val="white"/>
        </w:rPr>
        <w:t xml:space="preserve"> 2021</w:t>
      </w:r>
      <w:r w:rsidRPr="00A64E56">
        <w:rPr>
          <w:rFonts w:ascii="Times New Roman" w:eastAsia="Times New Roman" w:hAnsi="Times New Roman" w:cs="Times New Roman"/>
          <w:sz w:val="24"/>
          <w:szCs w:val="24"/>
        </w:rPr>
        <w:t xml:space="preserve">). As per leverage irrelevance, equity and debt financing remain interchangeable without impacting firm value. On the other hand, capital structure irrelevance shows changes in firm value under different adverse circumstances such as bankruptcy and no tax. This theory provides fundamental guidance for businesses to underpin capital structure. However, limitations are present in assuming the real-time performance excluding no taxes and no bankruptcy. </w:t>
      </w:r>
      <w:r w:rsidR="0078013E" w:rsidRPr="00A64E56">
        <w:rPr>
          <w:rFonts w:ascii="Times New Roman" w:eastAsia="Times New Roman" w:hAnsi="Times New Roman" w:cs="Times New Roman"/>
          <w:sz w:val="24"/>
          <w:szCs w:val="24"/>
        </w:rPr>
        <w:t>The aspect of discounted cash flow theory is based observation of present value by predicting future cash flows. This process helps in defining the corporate value of a business by estimating free cash inflows and outflows, adding with discounting rates (</w:t>
      </w:r>
      <w:r w:rsidR="0078013E" w:rsidRPr="00A64E56">
        <w:rPr>
          <w:rFonts w:ascii="Times New Roman" w:eastAsia="Times New Roman" w:hAnsi="Times New Roman" w:cs="Times New Roman"/>
          <w:sz w:val="24"/>
          <w:szCs w:val="24"/>
          <w:highlight w:val="white"/>
        </w:rPr>
        <w:t>Oosterom and Hall, 2022</w:t>
      </w:r>
      <w:r w:rsidR="0078013E" w:rsidRPr="00A64E56">
        <w:rPr>
          <w:rFonts w:ascii="Times New Roman" w:eastAsia="Times New Roman" w:hAnsi="Times New Roman" w:cs="Times New Roman"/>
          <w:sz w:val="24"/>
          <w:szCs w:val="24"/>
        </w:rPr>
        <w:t>). The main aim of this theory is to determine two elements such as free cash flow and cost of capital for a company over a particular period. Through the DCF theory, a brief overview can be found on the intrinsic valuation of the cash-generating and liquidity performance of businesses. However, the effectiveness of discounted cash flow can be impacted negatively due to inaccuracy in cash flows and poor identification of discounting rates. The weighted average cost of capital is a significant theory defining the international cost of capital. According to this theory, the company needs to identify an average rate of return on which they are expected to pay its security holders for generating funds for assets (</w:t>
      </w:r>
      <w:r w:rsidR="0078013E" w:rsidRPr="00A64E56">
        <w:rPr>
          <w:rFonts w:ascii="Times New Roman" w:eastAsia="Times New Roman" w:hAnsi="Times New Roman" w:cs="Times New Roman"/>
          <w:sz w:val="24"/>
          <w:szCs w:val="24"/>
          <w:highlight w:val="white"/>
        </w:rPr>
        <w:t>Steffen, 2020</w:t>
      </w:r>
      <w:r w:rsidR="0078013E" w:rsidRPr="00A64E56">
        <w:rPr>
          <w:rFonts w:ascii="Times New Roman" w:eastAsia="Times New Roman" w:hAnsi="Times New Roman" w:cs="Times New Roman"/>
          <w:sz w:val="24"/>
          <w:szCs w:val="24"/>
        </w:rPr>
        <w:t>).</w:t>
      </w:r>
    </w:p>
    <w:p w14:paraId="0000001D" w14:textId="77777777" w:rsidR="00564E22" w:rsidRPr="00A64E56" w:rsidRDefault="000B2F1E" w:rsidP="00A64E56">
      <w:pPr>
        <w:pStyle w:val="Heading1"/>
        <w:spacing w:before="240"/>
        <w:rPr>
          <w:sz w:val="24"/>
        </w:rPr>
      </w:pPr>
      <w:bookmarkStart w:id="4" w:name="_Toc172969278"/>
      <w:r w:rsidRPr="00A64E56">
        <w:rPr>
          <w:sz w:val="24"/>
        </w:rPr>
        <w:t>Recommendations</w:t>
      </w:r>
      <w:bookmarkEnd w:id="4"/>
      <w:r w:rsidRPr="00A64E56">
        <w:rPr>
          <w:sz w:val="24"/>
        </w:rPr>
        <w:t xml:space="preserve"> </w:t>
      </w:r>
    </w:p>
    <w:p w14:paraId="0000001F" w14:textId="77777777" w:rsidR="00564E22" w:rsidRPr="00A64E56" w:rsidRDefault="000B2F1E" w:rsidP="00A64E56">
      <w:pPr>
        <w:spacing w:before="240" w:after="240" w:line="360" w:lineRule="auto"/>
        <w:jc w:val="both"/>
        <w:rPr>
          <w:rFonts w:ascii="Times New Roman" w:eastAsia="Times New Roman" w:hAnsi="Times New Roman" w:cs="Times New Roman"/>
          <w:sz w:val="24"/>
          <w:szCs w:val="24"/>
        </w:rPr>
      </w:pPr>
      <w:r w:rsidRPr="00A64E56">
        <w:rPr>
          <w:rFonts w:ascii="Times New Roman" w:eastAsia="Times New Roman" w:hAnsi="Times New Roman" w:cs="Times New Roman"/>
          <w:b/>
          <w:sz w:val="24"/>
          <w:szCs w:val="24"/>
        </w:rPr>
        <w:t>Optimisation of natural hedging:</w:t>
      </w:r>
      <w:r w:rsidRPr="00A64E56">
        <w:rPr>
          <w:rFonts w:ascii="Times New Roman" w:eastAsia="Times New Roman" w:hAnsi="Times New Roman" w:cs="Times New Roman"/>
          <w:sz w:val="24"/>
          <w:szCs w:val="24"/>
        </w:rPr>
        <w:t xml:space="preserve"> Multinational companies can optimise natural hedging that will assist in aligning expenses and revenues with the same currency to mitigate exchange rate risk. It will also help in establishing local production facilities and sourcing materials locally in the countries where the products are sold.</w:t>
      </w:r>
    </w:p>
    <w:p w14:paraId="00000020" w14:textId="77777777" w:rsidR="00564E22" w:rsidRPr="00A64E56" w:rsidRDefault="000B2F1E" w:rsidP="00A64E56">
      <w:pPr>
        <w:spacing w:before="240" w:after="240" w:line="360" w:lineRule="auto"/>
        <w:jc w:val="both"/>
        <w:rPr>
          <w:rFonts w:ascii="Times New Roman" w:eastAsia="Times New Roman" w:hAnsi="Times New Roman" w:cs="Times New Roman"/>
          <w:sz w:val="24"/>
          <w:szCs w:val="24"/>
        </w:rPr>
      </w:pPr>
      <w:r w:rsidRPr="00A64E56">
        <w:rPr>
          <w:rFonts w:ascii="Times New Roman" w:eastAsia="Times New Roman" w:hAnsi="Times New Roman" w:cs="Times New Roman"/>
          <w:b/>
          <w:sz w:val="24"/>
          <w:szCs w:val="24"/>
        </w:rPr>
        <w:t>Utilisation of currency swaps:</w:t>
      </w:r>
      <w:r w:rsidRPr="00A64E56">
        <w:rPr>
          <w:rFonts w:ascii="Times New Roman" w:eastAsia="Times New Roman" w:hAnsi="Times New Roman" w:cs="Times New Roman"/>
          <w:sz w:val="24"/>
          <w:szCs w:val="24"/>
        </w:rPr>
        <w:t xml:space="preserve"> Companies can also utilise currency swaps which involves exchanging principal and interest payments in different currencies between two parties. This process can allow businesses to convert debt services obligations from one currency to another, aligning them with cash flows.</w:t>
      </w:r>
    </w:p>
    <w:p w14:paraId="00000021" w14:textId="77777777" w:rsidR="00564E22" w:rsidRPr="00A64E56" w:rsidRDefault="000B2F1E" w:rsidP="00A64E56">
      <w:pPr>
        <w:spacing w:before="240" w:after="240" w:line="360" w:lineRule="auto"/>
        <w:jc w:val="both"/>
        <w:rPr>
          <w:rFonts w:ascii="Times New Roman" w:eastAsia="Times New Roman" w:hAnsi="Times New Roman" w:cs="Times New Roman"/>
          <w:b/>
          <w:sz w:val="24"/>
          <w:szCs w:val="24"/>
        </w:rPr>
      </w:pPr>
      <w:r w:rsidRPr="00A64E56">
        <w:rPr>
          <w:rFonts w:ascii="Times New Roman" w:eastAsia="Times New Roman" w:hAnsi="Times New Roman" w:cs="Times New Roman"/>
          <w:b/>
          <w:sz w:val="24"/>
          <w:szCs w:val="24"/>
        </w:rPr>
        <w:t xml:space="preserve">Diversification of operations, investment and financing: </w:t>
      </w:r>
      <w:r w:rsidRPr="00A64E56">
        <w:rPr>
          <w:rFonts w:ascii="Times New Roman" w:eastAsia="Times New Roman" w:hAnsi="Times New Roman" w:cs="Times New Roman"/>
          <w:sz w:val="24"/>
          <w:szCs w:val="24"/>
        </w:rPr>
        <w:t xml:space="preserve">Multinational companies can focus on diversifying their investments, operations and financing for understanding the changes in multiple currencies to minimise exposure to exchange rates for a single currency. This strategy can assist in determining the maximisation of capital for multiple currencies for meeting geographical changes focused on companies’s operations. </w:t>
      </w:r>
    </w:p>
    <w:p w14:paraId="00000022" w14:textId="77777777" w:rsidR="00564E22" w:rsidRPr="00A64E56" w:rsidRDefault="000B2F1E" w:rsidP="00A64E56">
      <w:pPr>
        <w:pStyle w:val="Heading1"/>
        <w:spacing w:before="240"/>
        <w:rPr>
          <w:sz w:val="24"/>
        </w:rPr>
      </w:pPr>
      <w:bookmarkStart w:id="5" w:name="_Toc172969279"/>
      <w:r w:rsidRPr="00A64E56">
        <w:rPr>
          <w:sz w:val="24"/>
        </w:rPr>
        <w:lastRenderedPageBreak/>
        <w:t>Conclusion</w:t>
      </w:r>
      <w:bookmarkEnd w:id="5"/>
      <w:r w:rsidRPr="00A64E56">
        <w:rPr>
          <w:sz w:val="24"/>
        </w:rPr>
        <w:t xml:space="preserve"> </w:t>
      </w:r>
    </w:p>
    <w:p w14:paraId="00000023" w14:textId="77777777" w:rsidR="00564E22" w:rsidRPr="00A64E56" w:rsidRDefault="000B2F1E" w:rsidP="00A64E56">
      <w:pPr>
        <w:spacing w:before="240" w:after="240" w:line="360" w:lineRule="auto"/>
        <w:jc w:val="both"/>
        <w:rPr>
          <w:rFonts w:ascii="Times New Roman" w:eastAsia="Times New Roman" w:hAnsi="Times New Roman" w:cs="Times New Roman"/>
          <w:sz w:val="24"/>
          <w:szCs w:val="24"/>
        </w:rPr>
      </w:pPr>
      <w:r w:rsidRPr="00A64E56">
        <w:rPr>
          <w:rFonts w:ascii="Times New Roman" w:eastAsia="Times New Roman" w:hAnsi="Times New Roman" w:cs="Times New Roman"/>
          <w:sz w:val="24"/>
          <w:szCs w:val="24"/>
        </w:rPr>
        <w:t xml:space="preserve">From the above discussion, it can be concluded that international financial management plays a prominent role in recognising the suitability of a business environment where companies can perform trade practices outside national borders. Purchasing power parity theory, international fisher effect theory and foreign exchange risk management model possess vital benefits for businesses to proceed with international financial management. Along with that, discounted cash flow theory, the weighted average cost of capital and the modigliani-miller theorem can help MNCs to maintain their corporate value, international cost of capital and financial structure. </w:t>
      </w:r>
      <w:r w:rsidRPr="00A64E56">
        <w:rPr>
          <w:rFonts w:ascii="Times New Roman" w:hAnsi="Times New Roman"/>
          <w:sz w:val="24"/>
        </w:rPr>
        <w:br w:type="page"/>
      </w:r>
    </w:p>
    <w:p w14:paraId="12382B5B" w14:textId="6600913D" w:rsidR="00B27353" w:rsidRPr="00A64E56" w:rsidRDefault="000B2F1E" w:rsidP="00A64E56">
      <w:pPr>
        <w:pStyle w:val="Heading1"/>
        <w:spacing w:before="240"/>
        <w:rPr>
          <w:sz w:val="24"/>
        </w:rPr>
      </w:pPr>
      <w:bookmarkStart w:id="6" w:name="_Toc172969280"/>
      <w:r w:rsidRPr="00A64E56">
        <w:rPr>
          <w:sz w:val="24"/>
        </w:rPr>
        <w:lastRenderedPageBreak/>
        <w:t>Reference</w:t>
      </w:r>
      <w:r w:rsidR="00F25032" w:rsidRPr="00A64E56">
        <w:rPr>
          <w:sz w:val="24"/>
        </w:rPr>
        <w:t>s</w:t>
      </w:r>
      <w:bookmarkEnd w:id="6"/>
    </w:p>
    <w:p w14:paraId="0FE3FB9B"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Brusov, P., Filatova, T., Orekhova, N., Kulik, V., Chang, S.I. and Lin, G., 2021. Generalization of the Modigliani–Miller theory for the case of variable profit. </w:t>
      </w:r>
      <w:r w:rsidRPr="00A64E56">
        <w:rPr>
          <w:rFonts w:ascii="Times New Roman" w:eastAsia="Times New Roman" w:hAnsi="Times New Roman" w:cs="Times New Roman"/>
          <w:i/>
          <w:sz w:val="24"/>
          <w:szCs w:val="24"/>
          <w:highlight w:val="white"/>
        </w:rPr>
        <w:t>Mathematics</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9</w:t>
      </w:r>
      <w:r w:rsidRPr="00A64E56">
        <w:rPr>
          <w:rFonts w:ascii="Times New Roman" w:eastAsia="Times New Roman" w:hAnsi="Times New Roman" w:cs="Times New Roman"/>
          <w:sz w:val="24"/>
          <w:szCs w:val="24"/>
          <w:highlight w:val="white"/>
        </w:rPr>
        <w:t>(11), p.1286.</w:t>
      </w:r>
      <w:hyperlink r:id="rId8">
        <w:r w:rsidRPr="00A64E56">
          <w:rPr>
            <w:rFonts w:ascii="Times New Roman" w:eastAsia="Times New Roman" w:hAnsi="Times New Roman" w:cs="Times New Roman"/>
            <w:sz w:val="24"/>
            <w:szCs w:val="24"/>
            <w:highlight w:val="white"/>
            <w:u w:val="single"/>
          </w:rPr>
          <w:t>https://www.mdpi.com/2227-7390/9/11/1286</w:t>
        </w:r>
      </w:hyperlink>
      <w:r w:rsidRPr="00A64E56">
        <w:rPr>
          <w:rFonts w:ascii="Times New Roman" w:eastAsia="Times New Roman" w:hAnsi="Times New Roman" w:cs="Times New Roman"/>
          <w:sz w:val="24"/>
          <w:szCs w:val="24"/>
          <w:highlight w:val="white"/>
        </w:rPr>
        <w:t xml:space="preserve"> </w:t>
      </w:r>
    </w:p>
    <w:p w14:paraId="38382FF7"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Eun, C.S., Resnick, B.G. and Chuluun, T., 2021. </w:t>
      </w:r>
      <w:r w:rsidRPr="00A64E56">
        <w:rPr>
          <w:rFonts w:ascii="Times New Roman" w:eastAsia="Times New Roman" w:hAnsi="Times New Roman" w:cs="Times New Roman"/>
          <w:i/>
          <w:sz w:val="24"/>
          <w:szCs w:val="24"/>
          <w:highlight w:val="white"/>
        </w:rPr>
        <w:t>International financial management</w:t>
      </w:r>
      <w:r w:rsidRPr="00A64E56">
        <w:rPr>
          <w:rFonts w:ascii="Times New Roman" w:eastAsia="Times New Roman" w:hAnsi="Times New Roman" w:cs="Times New Roman"/>
          <w:sz w:val="24"/>
          <w:szCs w:val="24"/>
          <w:highlight w:val="white"/>
        </w:rPr>
        <w:t>. McGraw-Hill.</w:t>
      </w:r>
      <w:hyperlink r:id="rId9">
        <w:r w:rsidRPr="00A64E56">
          <w:rPr>
            <w:rFonts w:ascii="Times New Roman" w:eastAsia="Times New Roman" w:hAnsi="Times New Roman" w:cs="Times New Roman"/>
            <w:sz w:val="24"/>
            <w:szCs w:val="24"/>
            <w:highlight w:val="white"/>
            <w:u w:val="single"/>
          </w:rPr>
          <w:t>https://thuvienso.hoasen.edu.vn/handle/123456789/12533</w:t>
        </w:r>
      </w:hyperlink>
      <w:r w:rsidRPr="00A64E56">
        <w:rPr>
          <w:rFonts w:ascii="Times New Roman" w:eastAsia="Times New Roman" w:hAnsi="Times New Roman" w:cs="Times New Roman"/>
          <w:sz w:val="24"/>
          <w:szCs w:val="24"/>
          <w:highlight w:val="white"/>
        </w:rPr>
        <w:t xml:space="preserve"> </w:t>
      </w:r>
    </w:p>
    <w:p w14:paraId="5E94FB95"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Giaretta, E. and Chesini, G., 2021. The determinants of debt financing: The case of fintech start-ups. </w:t>
      </w:r>
      <w:r w:rsidRPr="00A64E56">
        <w:rPr>
          <w:rFonts w:ascii="Times New Roman" w:eastAsia="Times New Roman" w:hAnsi="Times New Roman" w:cs="Times New Roman"/>
          <w:i/>
          <w:sz w:val="24"/>
          <w:szCs w:val="24"/>
          <w:highlight w:val="white"/>
        </w:rPr>
        <w:t>Journal of Innovation &amp; Knowledge</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6</w:t>
      </w:r>
      <w:r w:rsidRPr="00A64E56">
        <w:rPr>
          <w:rFonts w:ascii="Times New Roman" w:eastAsia="Times New Roman" w:hAnsi="Times New Roman" w:cs="Times New Roman"/>
          <w:sz w:val="24"/>
          <w:szCs w:val="24"/>
          <w:highlight w:val="white"/>
        </w:rPr>
        <w:t>(4), pp.268-279.</w:t>
      </w:r>
      <w:hyperlink r:id="rId10">
        <w:r w:rsidRPr="00A64E56">
          <w:rPr>
            <w:rFonts w:ascii="Times New Roman" w:eastAsia="Times New Roman" w:hAnsi="Times New Roman" w:cs="Times New Roman"/>
            <w:sz w:val="24"/>
            <w:szCs w:val="24"/>
            <w:highlight w:val="white"/>
            <w:u w:val="single"/>
          </w:rPr>
          <w:t>https://www.sciencedirect.com/science/article/pii/S2444569X21000330</w:t>
        </w:r>
      </w:hyperlink>
      <w:r w:rsidRPr="00A64E56">
        <w:rPr>
          <w:rFonts w:ascii="Times New Roman" w:eastAsia="Times New Roman" w:hAnsi="Times New Roman" w:cs="Times New Roman"/>
          <w:sz w:val="24"/>
          <w:szCs w:val="24"/>
          <w:highlight w:val="white"/>
        </w:rPr>
        <w:t xml:space="preserve"> </w:t>
      </w:r>
    </w:p>
    <w:p w14:paraId="14846FB4"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Ongan, S. and Gocer, I., 2020. Testing fisher effect for the USA: application of nonlinear ARDL model. </w:t>
      </w:r>
      <w:r w:rsidRPr="00A64E56">
        <w:rPr>
          <w:rFonts w:ascii="Times New Roman" w:eastAsia="Times New Roman" w:hAnsi="Times New Roman" w:cs="Times New Roman"/>
          <w:i/>
          <w:sz w:val="24"/>
          <w:szCs w:val="24"/>
          <w:highlight w:val="white"/>
        </w:rPr>
        <w:t>Journal of Financial Economic Policy</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12</w:t>
      </w:r>
      <w:r w:rsidRPr="00A64E56">
        <w:rPr>
          <w:rFonts w:ascii="Times New Roman" w:eastAsia="Times New Roman" w:hAnsi="Times New Roman" w:cs="Times New Roman"/>
          <w:sz w:val="24"/>
          <w:szCs w:val="24"/>
          <w:highlight w:val="white"/>
        </w:rPr>
        <w:t>(2), pp.293-304.</w:t>
      </w:r>
      <w:hyperlink r:id="rId11">
        <w:r w:rsidRPr="00A64E56">
          <w:rPr>
            <w:rFonts w:ascii="Times New Roman" w:eastAsia="Times New Roman" w:hAnsi="Times New Roman" w:cs="Times New Roman"/>
            <w:sz w:val="24"/>
            <w:szCs w:val="24"/>
            <w:highlight w:val="white"/>
            <w:u w:val="single"/>
          </w:rPr>
          <w:t>https://www.emerald.com/insight/content/doi/10.1108/JFEP-09-2018-0127/full/html</w:t>
        </w:r>
      </w:hyperlink>
      <w:r w:rsidRPr="00A64E56">
        <w:rPr>
          <w:rFonts w:ascii="Times New Roman" w:eastAsia="Times New Roman" w:hAnsi="Times New Roman" w:cs="Times New Roman"/>
          <w:sz w:val="24"/>
          <w:szCs w:val="24"/>
          <w:highlight w:val="white"/>
        </w:rPr>
        <w:t xml:space="preserve"> </w:t>
      </w:r>
    </w:p>
    <w:p w14:paraId="37BE076F"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Oosterom, J.P. and Hall, C.A., 2022. Enhancing the evaluation of Energy Investments by supplementing traditional discounted cash flow with Energy Return on Investment analysis. </w:t>
      </w:r>
      <w:r w:rsidRPr="00A64E56">
        <w:rPr>
          <w:rFonts w:ascii="Times New Roman" w:eastAsia="Times New Roman" w:hAnsi="Times New Roman" w:cs="Times New Roman"/>
          <w:i/>
          <w:sz w:val="24"/>
          <w:szCs w:val="24"/>
          <w:highlight w:val="white"/>
        </w:rPr>
        <w:t>Energy Policy</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168</w:t>
      </w:r>
      <w:r w:rsidRPr="00A64E56">
        <w:rPr>
          <w:rFonts w:ascii="Times New Roman" w:eastAsia="Times New Roman" w:hAnsi="Times New Roman" w:cs="Times New Roman"/>
          <w:sz w:val="24"/>
          <w:szCs w:val="24"/>
          <w:highlight w:val="white"/>
        </w:rPr>
        <w:t>, p.112953.</w:t>
      </w:r>
      <w:hyperlink r:id="rId12">
        <w:r w:rsidRPr="00A64E56">
          <w:rPr>
            <w:rFonts w:ascii="Times New Roman" w:eastAsia="Times New Roman" w:hAnsi="Times New Roman" w:cs="Times New Roman"/>
            <w:sz w:val="24"/>
            <w:szCs w:val="24"/>
            <w:highlight w:val="white"/>
            <w:u w:val="single"/>
          </w:rPr>
          <w:t>https://www.sciencedirect.com/science/article/pii/S0301421522001781</w:t>
        </w:r>
      </w:hyperlink>
      <w:r w:rsidRPr="00A64E56">
        <w:rPr>
          <w:rFonts w:ascii="Times New Roman" w:eastAsia="Times New Roman" w:hAnsi="Times New Roman" w:cs="Times New Roman"/>
          <w:sz w:val="24"/>
          <w:szCs w:val="24"/>
          <w:highlight w:val="white"/>
        </w:rPr>
        <w:t xml:space="preserve"> </w:t>
      </w:r>
    </w:p>
    <w:p w14:paraId="10300C43"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Rabe, C. and Waddle, A., 2020. The evolution of purchasing power parity. </w:t>
      </w:r>
      <w:r w:rsidRPr="00A64E56">
        <w:rPr>
          <w:rFonts w:ascii="Times New Roman" w:eastAsia="Times New Roman" w:hAnsi="Times New Roman" w:cs="Times New Roman"/>
          <w:i/>
          <w:sz w:val="24"/>
          <w:szCs w:val="24"/>
          <w:highlight w:val="white"/>
        </w:rPr>
        <w:t>Journal of International Money and Finance</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109</w:t>
      </w:r>
      <w:r w:rsidRPr="00A64E56">
        <w:rPr>
          <w:rFonts w:ascii="Times New Roman" w:eastAsia="Times New Roman" w:hAnsi="Times New Roman" w:cs="Times New Roman"/>
          <w:sz w:val="24"/>
          <w:szCs w:val="24"/>
          <w:highlight w:val="white"/>
        </w:rPr>
        <w:t>, p.102237.</w:t>
      </w:r>
      <w:hyperlink r:id="rId13">
        <w:r w:rsidRPr="00A64E56">
          <w:rPr>
            <w:rFonts w:ascii="Times New Roman" w:eastAsia="Times New Roman" w:hAnsi="Times New Roman" w:cs="Times New Roman"/>
            <w:sz w:val="24"/>
            <w:szCs w:val="24"/>
            <w:highlight w:val="white"/>
            <w:u w:val="single"/>
          </w:rPr>
          <w:t>https://www.sciencedirect.com/science/article/pii/S0261560620301935</w:t>
        </w:r>
      </w:hyperlink>
      <w:r w:rsidRPr="00A64E56">
        <w:rPr>
          <w:rFonts w:ascii="Times New Roman" w:eastAsia="Times New Roman" w:hAnsi="Times New Roman" w:cs="Times New Roman"/>
          <w:sz w:val="24"/>
          <w:szCs w:val="24"/>
          <w:highlight w:val="white"/>
        </w:rPr>
        <w:t xml:space="preserve"> </w:t>
      </w:r>
    </w:p>
    <w:p w14:paraId="1E531F23"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Saunders, A., Cornett, M.M. and Erhemjamts, O., 2021. </w:t>
      </w:r>
      <w:r w:rsidRPr="00A64E56">
        <w:rPr>
          <w:rFonts w:ascii="Times New Roman" w:eastAsia="Times New Roman" w:hAnsi="Times New Roman" w:cs="Times New Roman"/>
          <w:i/>
          <w:sz w:val="24"/>
          <w:szCs w:val="24"/>
          <w:highlight w:val="white"/>
        </w:rPr>
        <w:t>Financial institutions management: A risk management approach</w:t>
      </w:r>
      <w:r w:rsidRPr="00A64E56">
        <w:rPr>
          <w:rFonts w:ascii="Times New Roman" w:eastAsia="Times New Roman" w:hAnsi="Times New Roman" w:cs="Times New Roman"/>
          <w:sz w:val="24"/>
          <w:szCs w:val="24"/>
          <w:highlight w:val="white"/>
        </w:rPr>
        <w:t>. McGraw-Hill.</w:t>
      </w:r>
      <w:hyperlink r:id="rId14">
        <w:r w:rsidRPr="00A64E56">
          <w:rPr>
            <w:rFonts w:ascii="Times New Roman" w:eastAsia="Times New Roman" w:hAnsi="Times New Roman" w:cs="Times New Roman"/>
            <w:sz w:val="24"/>
            <w:szCs w:val="24"/>
            <w:highlight w:val="white"/>
            <w:u w:val="single"/>
          </w:rPr>
          <w:t>https://thuvienso.hoasen.edu.vn/handle/123456789/12867</w:t>
        </w:r>
      </w:hyperlink>
      <w:r w:rsidRPr="00A64E56">
        <w:rPr>
          <w:rFonts w:ascii="Times New Roman" w:eastAsia="Times New Roman" w:hAnsi="Times New Roman" w:cs="Times New Roman"/>
          <w:sz w:val="24"/>
          <w:szCs w:val="24"/>
          <w:highlight w:val="white"/>
        </w:rPr>
        <w:t xml:space="preserve"> </w:t>
      </w:r>
    </w:p>
    <w:p w14:paraId="75DE4F6A"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Steffen, B., 2020. Estimating the cost of capital for renewable energy projects. </w:t>
      </w:r>
      <w:r w:rsidRPr="00A64E56">
        <w:rPr>
          <w:rFonts w:ascii="Times New Roman" w:eastAsia="Times New Roman" w:hAnsi="Times New Roman" w:cs="Times New Roman"/>
          <w:i/>
          <w:sz w:val="24"/>
          <w:szCs w:val="24"/>
          <w:highlight w:val="white"/>
        </w:rPr>
        <w:t>Energy Economics</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88</w:t>
      </w:r>
      <w:r w:rsidRPr="00A64E56">
        <w:rPr>
          <w:rFonts w:ascii="Times New Roman" w:eastAsia="Times New Roman" w:hAnsi="Times New Roman" w:cs="Times New Roman"/>
          <w:sz w:val="24"/>
          <w:szCs w:val="24"/>
          <w:highlight w:val="white"/>
        </w:rPr>
        <w:t>, p.104783.</w:t>
      </w:r>
      <w:hyperlink r:id="rId15">
        <w:r w:rsidRPr="00A64E56">
          <w:rPr>
            <w:rFonts w:ascii="Times New Roman" w:eastAsia="Times New Roman" w:hAnsi="Times New Roman" w:cs="Times New Roman"/>
            <w:sz w:val="24"/>
            <w:szCs w:val="24"/>
            <w:highlight w:val="white"/>
            <w:u w:val="single"/>
          </w:rPr>
          <w:t>https://www.sciencedirect.com/science/article/pii/S0140988320301237</w:t>
        </w:r>
      </w:hyperlink>
      <w:r w:rsidRPr="00A64E56">
        <w:rPr>
          <w:rFonts w:ascii="Times New Roman" w:eastAsia="Times New Roman" w:hAnsi="Times New Roman" w:cs="Times New Roman"/>
          <w:sz w:val="24"/>
          <w:szCs w:val="24"/>
          <w:highlight w:val="white"/>
        </w:rPr>
        <w:t xml:space="preserve"> </w:t>
      </w:r>
    </w:p>
    <w:p w14:paraId="6C997D35"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t xml:space="preserve">Widjanarko, W., Pramukty, R., Hadita, H. and Yulianah, Y., 2022. Strategic Financial Management in Micro, Small and Medium Enterprises (Msmes). </w:t>
      </w:r>
      <w:r w:rsidRPr="00A64E56">
        <w:rPr>
          <w:rFonts w:ascii="Times New Roman" w:eastAsia="Times New Roman" w:hAnsi="Times New Roman" w:cs="Times New Roman"/>
          <w:i/>
          <w:sz w:val="24"/>
          <w:szCs w:val="24"/>
          <w:highlight w:val="white"/>
        </w:rPr>
        <w:t>Jurnal Ekonomi</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11</w:t>
      </w:r>
      <w:r w:rsidRPr="00A64E56">
        <w:rPr>
          <w:rFonts w:ascii="Times New Roman" w:eastAsia="Times New Roman" w:hAnsi="Times New Roman" w:cs="Times New Roman"/>
          <w:sz w:val="24"/>
          <w:szCs w:val="24"/>
          <w:highlight w:val="white"/>
        </w:rPr>
        <w:t>(01), pp.255-260.</w:t>
      </w:r>
      <w:hyperlink r:id="rId16">
        <w:r w:rsidRPr="00A64E56">
          <w:rPr>
            <w:rFonts w:ascii="Times New Roman" w:eastAsia="Times New Roman" w:hAnsi="Times New Roman" w:cs="Times New Roman"/>
            <w:sz w:val="24"/>
            <w:szCs w:val="24"/>
            <w:highlight w:val="white"/>
            <w:u w:val="single"/>
          </w:rPr>
          <w:t>https://www.ejournal.seaninstitute.or.id/index.php/Ekonomi/article/view/230</w:t>
        </w:r>
      </w:hyperlink>
      <w:r w:rsidRPr="00A64E56">
        <w:rPr>
          <w:rFonts w:ascii="Times New Roman" w:eastAsia="Times New Roman" w:hAnsi="Times New Roman" w:cs="Times New Roman"/>
          <w:sz w:val="24"/>
          <w:szCs w:val="24"/>
          <w:highlight w:val="white"/>
        </w:rPr>
        <w:t xml:space="preserve"> </w:t>
      </w:r>
    </w:p>
    <w:p w14:paraId="57654314" w14:textId="77777777" w:rsidR="00B27353" w:rsidRPr="00A64E56" w:rsidRDefault="00B27353" w:rsidP="00A64E56">
      <w:pPr>
        <w:spacing w:before="240" w:after="240" w:line="360" w:lineRule="auto"/>
        <w:jc w:val="both"/>
        <w:rPr>
          <w:rFonts w:ascii="Times New Roman" w:eastAsia="Times New Roman" w:hAnsi="Times New Roman" w:cs="Times New Roman"/>
          <w:sz w:val="24"/>
          <w:szCs w:val="24"/>
          <w:highlight w:val="white"/>
        </w:rPr>
      </w:pPr>
      <w:r w:rsidRPr="00A64E56">
        <w:rPr>
          <w:rFonts w:ascii="Times New Roman" w:eastAsia="Times New Roman" w:hAnsi="Times New Roman" w:cs="Times New Roman"/>
          <w:sz w:val="24"/>
          <w:szCs w:val="24"/>
          <w:highlight w:val="white"/>
        </w:rPr>
        <w:lastRenderedPageBreak/>
        <w:t xml:space="preserve">Yasar, B., 2021. The new investment landscape: Equity crowdfunding. </w:t>
      </w:r>
      <w:r w:rsidRPr="00A64E56">
        <w:rPr>
          <w:rFonts w:ascii="Times New Roman" w:eastAsia="Times New Roman" w:hAnsi="Times New Roman" w:cs="Times New Roman"/>
          <w:i/>
          <w:sz w:val="24"/>
          <w:szCs w:val="24"/>
          <w:highlight w:val="white"/>
        </w:rPr>
        <w:t>Central Bank Review</w:t>
      </w:r>
      <w:r w:rsidRPr="00A64E56">
        <w:rPr>
          <w:rFonts w:ascii="Times New Roman" w:eastAsia="Times New Roman" w:hAnsi="Times New Roman" w:cs="Times New Roman"/>
          <w:sz w:val="24"/>
          <w:szCs w:val="24"/>
          <w:highlight w:val="white"/>
        </w:rPr>
        <w:t xml:space="preserve">, </w:t>
      </w:r>
      <w:r w:rsidRPr="00A64E56">
        <w:rPr>
          <w:rFonts w:ascii="Times New Roman" w:eastAsia="Times New Roman" w:hAnsi="Times New Roman" w:cs="Times New Roman"/>
          <w:i/>
          <w:sz w:val="24"/>
          <w:szCs w:val="24"/>
          <w:highlight w:val="white"/>
        </w:rPr>
        <w:t>21</w:t>
      </w:r>
      <w:r w:rsidRPr="00A64E56">
        <w:rPr>
          <w:rFonts w:ascii="Times New Roman" w:eastAsia="Times New Roman" w:hAnsi="Times New Roman" w:cs="Times New Roman"/>
          <w:sz w:val="24"/>
          <w:szCs w:val="24"/>
          <w:highlight w:val="white"/>
        </w:rPr>
        <w:t>(1), pp.1-16.</w:t>
      </w:r>
      <w:hyperlink r:id="rId17">
        <w:r w:rsidRPr="00A64E56">
          <w:rPr>
            <w:rFonts w:ascii="Times New Roman" w:eastAsia="Times New Roman" w:hAnsi="Times New Roman" w:cs="Times New Roman"/>
            <w:sz w:val="24"/>
            <w:szCs w:val="24"/>
            <w:highlight w:val="white"/>
            <w:u w:val="single"/>
          </w:rPr>
          <w:t>https://www.sciencedirect.com/science/article/pii/S1303070121000019</w:t>
        </w:r>
      </w:hyperlink>
      <w:r w:rsidRPr="00A64E56">
        <w:rPr>
          <w:rFonts w:ascii="Times New Roman" w:eastAsia="Times New Roman" w:hAnsi="Times New Roman" w:cs="Times New Roman"/>
          <w:sz w:val="24"/>
          <w:szCs w:val="24"/>
          <w:highlight w:val="white"/>
        </w:rPr>
        <w:t xml:space="preserve"> </w:t>
      </w:r>
    </w:p>
    <w:sectPr w:rsidR="00B27353" w:rsidRPr="00A64E56" w:rsidSect="004B0260">
      <w:footerReference w:type="default" r:id="rId18"/>
      <w:pgSz w:w="11909" w:h="16834"/>
      <w:pgMar w:top="1440" w:right="1440" w:bottom="1440" w:left="1440" w:header="720" w:footer="720" w:gutter="0"/>
      <w:pgBorders w:offsetFrom="page">
        <w:top w:val="double" w:sz="18" w:space="24" w:color="000000" w:themeColor="text1"/>
        <w:left w:val="double" w:sz="18" w:space="24" w:color="000000" w:themeColor="text1"/>
        <w:bottom w:val="double" w:sz="18" w:space="24" w:color="000000" w:themeColor="text1"/>
        <w:right w:val="double" w:sz="18" w:space="24" w:color="000000" w:themeColor="text1"/>
      </w:pgBorders>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1A04F4" w14:textId="77777777" w:rsidR="00B15C90" w:rsidRDefault="00B15C90">
      <w:pPr>
        <w:spacing w:line="240" w:lineRule="auto"/>
      </w:pPr>
      <w:r>
        <w:separator/>
      </w:r>
    </w:p>
  </w:endnote>
  <w:endnote w:type="continuationSeparator" w:id="0">
    <w:p w14:paraId="57707F97" w14:textId="77777777" w:rsidR="00B15C90" w:rsidRDefault="00B15C9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94792800"/>
      <w:docPartObj>
        <w:docPartGallery w:val="Page Numbers (Bottom of Page)"/>
        <w:docPartUnique/>
      </w:docPartObj>
    </w:sdtPr>
    <w:sdtEndPr>
      <w:rPr>
        <w:rFonts w:ascii="Times New Roman" w:hAnsi="Times New Roman" w:cs="Times New Roman"/>
        <w:noProof/>
        <w:sz w:val="20"/>
        <w:szCs w:val="20"/>
      </w:rPr>
    </w:sdtEndPr>
    <w:sdtContent>
      <w:p w14:paraId="55042941" w14:textId="356609E7" w:rsidR="009D6415" w:rsidRPr="009D6415" w:rsidRDefault="009D6415">
        <w:pPr>
          <w:pStyle w:val="Footer"/>
          <w:jc w:val="right"/>
          <w:rPr>
            <w:rFonts w:ascii="Times New Roman" w:hAnsi="Times New Roman" w:cs="Times New Roman"/>
            <w:sz w:val="20"/>
            <w:szCs w:val="20"/>
          </w:rPr>
        </w:pPr>
        <w:r w:rsidRPr="009D6415">
          <w:rPr>
            <w:rFonts w:ascii="Times New Roman" w:hAnsi="Times New Roman" w:cs="Times New Roman"/>
            <w:sz w:val="20"/>
            <w:szCs w:val="20"/>
          </w:rPr>
          <w:fldChar w:fldCharType="begin"/>
        </w:r>
        <w:r w:rsidRPr="009D6415">
          <w:rPr>
            <w:rFonts w:ascii="Times New Roman" w:hAnsi="Times New Roman" w:cs="Times New Roman"/>
            <w:sz w:val="20"/>
            <w:szCs w:val="20"/>
          </w:rPr>
          <w:instrText xml:space="preserve"> PAGE   \* MERGEFORMAT </w:instrText>
        </w:r>
        <w:r w:rsidRPr="009D6415">
          <w:rPr>
            <w:rFonts w:ascii="Times New Roman" w:hAnsi="Times New Roman" w:cs="Times New Roman"/>
            <w:sz w:val="20"/>
            <w:szCs w:val="20"/>
          </w:rPr>
          <w:fldChar w:fldCharType="separate"/>
        </w:r>
        <w:r w:rsidRPr="009D6415">
          <w:rPr>
            <w:rFonts w:ascii="Times New Roman" w:hAnsi="Times New Roman" w:cs="Times New Roman"/>
            <w:noProof/>
            <w:sz w:val="20"/>
            <w:szCs w:val="20"/>
          </w:rPr>
          <w:t>2</w:t>
        </w:r>
        <w:r w:rsidRPr="009D6415">
          <w:rPr>
            <w:rFonts w:ascii="Times New Roman" w:hAnsi="Times New Roman" w:cs="Times New Roman"/>
            <w:noProof/>
            <w:sz w:val="20"/>
            <w:szCs w:val="20"/>
          </w:rPr>
          <w:fldChar w:fldCharType="end"/>
        </w:r>
      </w:p>
    </w:sdtContent>
  </w:sdt>
  <w:p w14:paraId="00000030" w14:textId="77777777" w:rsidR="00564E22" w:rsidRDefault="00564E22"/>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5C5ADDC" w14:textId="77777777" w:rsidR="00B15C90" w:rsidRDefault="00B15C90">
      <w:pPr>
        <w:spacing w:line="240" w:lineRule="auto"/>
      </w:pPr>
      <w:r>
        <w:separator/>
      </w:r>
    </w:p>
  </w:footnote>
  <w:footnote w:type="continuationSeparator" w:id="0">
    <w:p w14:paraId="13838F5C" w14:textId="77777777" w:rsidR="00B15C90" w:rsidRDefault="00B15C9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4E22"/>
    <w:rsid w:val="00016F5D"/>
    <w:rsid w:val="00025C88"/>
    <w:rsid w:val="000B2F1E"/>
    <w:rsid w:val="00162FD0"/>
    <w:rsid w:val="0018101B"/>
    <w:rsid w:val="003D539D"/>
    <w:rsid w:val="004649CB"/>
    <w:rsid w:val="004B0260"/>
    <w:rsid w:val="00564E22"/>
    <w:rsid w:val="00582CF8"/>
    <w:rsid w:val="005F1A59"/>
    <w:rsid w:val="00601EED"/>
    <w:rsid w:val="00633A06"/>
    <w:rsid w:val="007723AD"/>
    <w:rsid w:val="0078013E"/>
    <w:rsid w:val="008974E2"/>
    <w:rsid w:val="00933142"/>
    <w:rsid w:val="009352EE"/>
    <w:rsid w:val="009D6415"/>
    <w:rsid w:val="00A318DE"/>
    <w:rsid w:val="00A64E56"/>
    <w:rsid w:val="00B15C90"/>
    <w:rsid w:val="00B27353"/>
    <w:rsid w:val="00B32689"/>
    <w:rsid w:val="00CA445D"/>
    <w:rsid w:val="00DC56D0"/>
    <w:rsid w:val="00E66330"/>
    <w:rsid w:val="00E905A6"/>
    <w:rsid w:val="00F2503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48E6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n-GB"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00B27353"/>
    <w:pPr>
      <w:keepNext/>
      <w:keepLines/>
      <w:spacing w:before="520" w:after="240" w:line="360" w:lineRule="auto"/>
      <w:jc w:val="both"/>
      <w:outlineLvl w:val="0"/>
    </w:pPr>
    <w:rPr>
      <w:rFonts w:ascii="Times New Roman" w:hAnsi="Times New Roman"/>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D6415"/>
    <w:pPr>
      <w:tabs>
        <w:tab w:val="center" w:pos="4513"/>
        <w:tab w:val="right" w:pos="9026"/>
      </w:tabs>
      <w:spacing w:line="240" w:lineRule="auto"/>
    </w:pPr>
  </w:style>
  <w:style w:type="character" w:customStyle="1" w:styleId="HeaderChar">
    <w:name w:val="Header Char"/>
    <w:basedOn w:val="DefaultParagraphFont"/>
    <w:link w:val="Header"/>
    <w:uiPriority w:val="99"/>
    <w:rsid w:val="009D6415"/>
  </w:style>
  <w:style w:type="paragraph" w:styleId="Footer">
    <w:name w:val="footer"/>
    <w:basedOn w:val="Normal"/>
    <w:link w:val="FooterChar"/>
    <w:uiPriority w:val="99"/>
    <w:unhideWhenUsed/>
    <w:rsid w:val="009D6415"/>
    <w:pPr>
      <w:tabs>
        <w:tab w:val="center" w:pos="4513"/>
        <w:tab w:val="right" w:pos="9026"/>
      </w:tabs>
      <w:spacing w:line="240" w:lineRule="auto"/>
    </w:pPr>
  </w:style>
  <w:style w:type="character" w:customStyle="1" w:styleId="FooterChar">
    <w:name w:val="Footer Char"/>
    <w:basedOn w:val="DefaultParagraphFont"/>
    <w:link w:val="Footer"/>
    <w:uiPriority w:val="99"/>
    <w:rsid w:val="009D6415"/>
  </w:style>
  <w:style w:type="paragraph" w:styleId="TOCHeading">
    <w:name w:val="TOC Heading"/>
    <w:basedOn w:val="Heading1"/>
    <w:next w:val="Normal"/>
    <w:uiPriority w:val="39"/>
    <w:unhideWhenUsed/>
    <w:qFormat/>
    <w:rsid w:val="00633A0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633A06"/>
    <w:pPr>
      <w:spacing w:after="100"/>
    </w:pPr>
  </w:style>
  <w:style w:type="character" w:styleId="Hyperlink">
    <w:name w:val="Hyperlink"/>
    <w:basedOn w:val="DefaultParagraphFont"/>
    <w:uiPriority w:val="99"/>
    <w:unhideWhenUsed/>
    <w:rsid w:val="00633A06"/>
    <w:rPr>
      <w:color w:val="0000FF" w:themeColor="hyperlink"/>
      <w:u w:val="single"/>
    </w:rPr>
  </w:style>
  <w:style w:type="paragraph" w:styleId="IntenseQuote">
    <w:name w:val="Intense Quote"/>
    <w:basedOn w:val="Normal"/>
    <w:next w:val="Normal"/>
    <w:link w:val="IntenseQuoteChar"/>
    <w:uiPriority w:val="30"/>
    <w:qFormat/>
    <w:rsid w:val="009352EE"/>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IntenseQuoteChar">
    <w:name w:val="Intense Quote Char"/>
    <w:basedOn w:val="DefaultParagraphFont"/>
    <w:link w:val="IntenseQuote"/>
    <w:uiPriority w:val="30"/>
    <w:rsid w:val="009352EE"/>
    <w:rPr>
      <w:i/>
      <w:iCs/>
      <w:color w:val="4F81BD"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www.mdpi.com/2227-7390/9/11/1286" TargetMode="External"/><Relationship Id="rId13" Type="http://schemas.openxmlformats.org/officeDocument/2006/relationships/hyperlink" Target="https://www.sciencedirect.com/science/article/pii/S0261560620301935"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sciencedirect.com/science/article/pii/S0301421522001781" TargetMode="External"/><Relationship Id="rId17" Type="http://schemas.openxmlformats.org/officeDocument/2006/relationships/hyperlink" Target="https://www.sciencedirect.com/science/article/pii/S1303070121000019" TargetMode="External"/><Relationship Id="rId2" Type="http://schemas.openxmlformats.org/officeDocument/2006/relationships/styles" Target="styles.xml"/><Relationship Id="rId16" Type="http://schemas.openxmlformats.org/officeDocument/2006/relationships/hyperlink" Target="https://www.ejournal.seaninstitute.or.id/index.php/Ekonomi/article/view/230"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merald.com/insight/content/doi/10.1108/JFEP-09-2018-0127/full/html" TargetMode="External"/><Relationship Id="rId5" Type="http://schemas.openxmlformats.org/officeDocument/2006/relationships/footnotes" Target="footnotes.xml"/><Relationship Id="rId15" Type="http://schemas.openxmlformats.org/officeDocument/2006/relationships/hyperlink" Target="https://www.sciencedirect.com/science/article/pii/S0140988320301237" TargetMode="External"/><Relationship Id="rId10" Type="http://schemas.openxmlformats.org/officeDocument/2006/relationships/hyperlink" Target="https://www.sciencedirect.com/science/article/pii/S2444569X21000330"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thuvienso.hoasen.edu.vn/handle/123456789/12533" TargetMode="External"/><Relationship Id="rId14" Type="http://schemas.openxmlformats.org/officeDocument/2006/relationships/hyperlink" Target="https://thuvienso.hoasen.edu.vn/handle/123456789/1286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E4E170-D8D8-4BD0-9D3D-0193A8012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2281</Words>
  <Characters>13006</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2024-08-20T18:29:00Z</dcterms:created>
  <dcterms:modified xsi:type="dcterms:W3CDTF">2024-08-20T18:29:00Z</dcterms:modified>
</cp:coreProperties>
</file>