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680B58" w14:textId="5F09FE5D" w:rsidR="00C56634" w:rsidRPr="0018669C" w:rsidRDefault="00DE2BB0">
      <w:pPr>
        <w:rPr>
          <w:u w:val="single"/>
        </w:rPr>
      </w:pPr>
      <w:r>
        <w:rPr>
          <w:u w:val="single"/>
        </w:rPr>
        <w:t xml:space="preserve">It is no longer news to see art in the news. </w:t>
      </w:r>
    </w:p>
    <w:p w14:paraId="5AB11014" w14:textId="77777777" w:rsidR="00E11358" w:rsidRDefault="00116572" w:rsidP="00C11977">
      <w:pPr>
        <w:pStyle w:val="NormalWeb"/>
        <w:spacing w:before="0" w:beforeAutospacing="0" w:after="0" w:afterAutospacing="0" w:line="360" w:lineRule="atLeast"/>
        <w:rPr>
          <w:rFonts w:asciiTheme="minorHAnsi" w:hAnsiTheme="minorHAnsi"/>
          <w:sz w:val="32"/>
          <w:szCs w:val="32"/>
        </w:rPr>
      </w:pPr>
      <w:r w:rsidRPr="00D973C6">
        <w:rPr>
          <w:rFonts w:asciiTheme="minorHAnsi" w:hAnsiTheme="minorHAnsi"/>
          <w:sz w:val="32"/>
          <w:szCs w:val="32"/>
        </w:rPr>
        <w:t>“It is no longer news to see art in the news”</w:t>
      </w:r>
    </w:p>
    <w:p w14:paraId="330BE9A3" w14:textId="5007EA37" w:rsidR="008E5234" w:rsidRDefault="008005D1" w:rsidP="00C11977">
      <w:pPr>
        <w:pStyle w:val="NormalWeb"/>
        <w:spacing w:before="0" w:beforeAutospacing="0" w:after="0" w:afterAutospacing="0" w:line="360" w:lineRule="atLeast"/>
        <w:rPr>
          <w:rFonts w:asciiTheme="minorHAnsi" w:hAnsiTheme="minorHAnsi" w:cs="Calibri"/>
          <w:color w:val="000000"/>
          <w:sz w:val="32"/>
          <w:szCs w:val="32"/>
        </w:rPr>
      </w:pPr>
      <w:r w:rsidRPr="00D973C6">
        <w:rPr>
          <w:rFonts w:asciiTheme="minorHAnsi" w:hAnsiTheme="minorHAnsi" w:cs="Calibri"/>
          <w:color w:val="000000"/>
          <w:sz w:val="32"/>
          <w:szCs w:val="32"/>
        </w:rPr>
        <w:t xml:space="preserve"> John, W. and Mitchell, T. (1992). </w:t>
      </w:r>
      <w:r w:rsidRPr="00D973C6">
        <w:rPr>
          <w:rFonts w:asciiTheme="minorHAnsi" w:hAnsiTheme="minorHAnsi" w:cs="Calibri"/>
          <w:i/>
          <w:iCs/>
          <w:color w:val="000000"/>
          <w:sz w:val="32"/>
          <w:szCs w:val="32"/>
        </w:rPr>
        <w:t>Art and the Public Sphere</w:t>
      </w:r>
      <w:r w:rsidRPr="00D973C6">
        <w:rPr>
          <w:rFonts w:asciiTheme="minorHAnsi" w:hAnsiTheme="minorHAnsi" w:cs="Calibri"/>
          <w:color w:val="000000"/>
          <w:sz w:val="32"/>
          <w:szCs w:val="32"/>
        </w:rPr>
        <w:t>.</w:t>
      </w:r>
    </w:p>
    <w:p w14:paraId="38823250" w14:textId="77777777" w:rsidR="00E02820" w:rsidRDefault="00E02820" w:rsidP="00C11977">
      <w:pPr>
        <w:pStyle w:val="NormalWeb"/>
        <w:spacing w:before="0" w:beforeAutospacing="0" w:after="0" w:afterAutospacing="0" w:line="360" w:lineRule="atLeast"/>
        <w:rPr>
          <w:rFonts w:asciiTheme="minorHAnsi" w:hAnsiTheme="minorHAnsi" w:cs="Calibri"/>
          <w:color w:val="000000"/>
          <w:sz w:val="32"/>
          <w:szCs w:val="32"/>
        </w:rPr>
      </w:pPr>
    </w:p>
    <w:p w14:paraId="5D631655" w14:textId="0CA37EF6" w:rsidR="00500112" w:rsidRDefault="003B1D0A" w:rsidP="00500112">
      <w:pPr>
        <w:pStyle w:val="NormalWeb"/>
        <w:spacing w:before="0" w:beforeAutospacing="0" w:after="0" w:afterAutospacing="0" w:line="360" w:lineRule="atLeast"/>
        <w:rPr>
          <w:rFonts w:asciiTheme="minorHAnsi" w:hAnsiTheme="minorHAnsi"/>
        </w:rPr>
      </w:pPr>
      <w:r w:rsidRPr="00500112">
        <w:rPr>
          <w:rFonts w:asciiTheme="minorHAnsi" w:hAnsiTheme="minorHAnsi" w:cs="Calibri"/>
          <w:color w:val="000000"/>
        </w:rPr>
        <w:t>The title of the exhibition references the book “Art and the Public Sphere”</w:t>
      </w:r>
      <w:r w:rsidR="00003935">
        <w:rPr>
          <w:rFonts w:asciiTheme="minorHAnsi" w:hAnsiTheme="minorHAnsi" w:cs="Calibri"/>
          <w:color w:val="000000"/>
        </w:rPr>
        <w:t>, a</w:t>
      </w:r>
      <w:r w:rsidR="003C73D1" w:rsidRPr="00500112">
        <w:rPr>
          <w:rFonts w:asciiTheme="minorHAnsi" w:hAnsiTheme="minorHAnsi" w:cs="Calibri"/>
          <w:color w:val="000000"/>
        </w:rPr>
        <w:t xml:space="preserve">n anthology of wide-ranging essays </w:t>
      </w:r>
      <w:r w:rsidR="00787211" w:rsidRPr="00500112">
        <w:rPr>
          <w:rFonts w:asciiTheme="minorHAnsi" w:hAnsiTheme="minorHAnsi" w:cs="Calibri"/>
          <w:color w:val="000000"/>
        </w:rPr>
        <w:t>by leading critics and artists addressing recent controversies in American Public art.</w:t>
      </w:r>
      <w:r w:rsidR="00CD0BDA" w:rsidRPr="00500112">
        <w:rPr>
          <w:rFonts w:asciiTheme="minorHAnsi" w:hAnsiTheme="minorHAnsi" w:cs="Calibri"/>
          <w:color w:val="000000"/>
        </w:rPr>
        <w:t xml:space="preserve"> Prevailing issues focus on historical, symbolic, political, legal and cultural concerns. </w:t>
      </w:r>
      <w:r w:rsidR="00500112" w:rsidRPr="00500112">
        <w:rPr>
          <w:rFonts w:asciiTheme="minorHAnsi" w:hAnsiTheme="minorHAnsi" w:cs="Calibri"/>
          <w:color w:val="000000"/>
        </w:rPr>
        <w:t xml:space="preserve"> </w:t>
      </w:r>
      <w:r w:rsidR="007144A0" w:rsidRPr="00500112">
        <w:rPr>
          <w:rFonts w:asciiTheme="minorHAnsi" w:hAnsiTheme="minorHAnsi"/>
        </w:rPr>
        <w:t xml:space="preserve">It can often be said that in history when examining art, whatever historical, political or cultural turmoil that was happening can be reflected in the art of the </w:t>
      </w:r>
      <w:r w:rsidR="00C7492F" w:rsidRPr="00500112">
        <w:rPr>
          <w:rFonts w:asciiTheme="minorHAnsi" w:hAnsiTheme="minorHAnsi"/>
        </w:rPr>
        <w:t>time</w:t>
      </w:r>
      <w:r w:rsidR="00C7492F">
        <w:rPr>
          <w:rFonts w:asciiTheme="minorHAnsi" w:hAnsiTheme="minorHAnsi"/>
        </w:rPr>
        <w:t xml:space="preserve">; </w:t>
      </w:r>
      <w:r w:rsidR="00C7492F" w:rsidRPr="00500112">
        <w:rPr>
          <w:rFonts w:asciiTheme="minorHAnsi" w:hAnsiTheme="minorHAnsi"/>
        </w:rPr>
        <w:t>within</w:t>
      </w:r>
      <w:r w:rsidR="00D4055D" w:rsidRPr="00500112">
        <w:rPr>
          <w:rFonts w:asciiTheme="minorHAnsi" w:hAnsiTheme="minorHAnsi"/>
        </w:rPr>
        <w:t xml:space="preserve"> the mediums</w:t>
      </w:r>
      <w:r w:rsidR="00E06A9B" w:rsidRPr="00500112">
        <w:rPr>
          <w:rFonts w:asciiTheme="minorHAnsi" w:hAnsiTheme="minorHAnsi"/>
        </w:rPr>
        <w:t>, the subject matter, the references, or even the colours chosen</w:t>
      </w:r>
      <w:r w:rsidR="004C68FE">
        <w:rPr>
          <w:rFonts w:asciiTheme="minorHAnsi" w:hAnsiTheme="minorHAnsi"/>
        </w:rPr>
        <w:t xml:space="preserve">. </w:t>
      </w:r>
      <w:r w:rsidR="00993948" w:rsidRPr="00500112">
        <w:rPr>
          <w:rFonts w:asciiTheme="minorHAnsi" w:hAnsiTheme="minorHAnsi"/>
        </w:rPr>
        <w:t xml:space="preserve">It can often be clear to the </w:t>
      </w:r>
      <w:r w:rsidR="008826C3" w:rsidRPr="00500112">
        <w:rPr>
          <w:rFonts w:asciiTheme="minorHAnsi" w:hAnsiTheme="minorHAnsi"/>
        </w:rPr>
        <w:t>viewer</w:t>
      </w:r>
      <w:r w:rsidR="00C4446D">
        <w:rPr>
          <w:rFonts w:asciiTheme="minorHAnsi" w:hAnsiTheme="minorHAnsi"/>
        </w:rPr>
        <w:t xml:space="preserve"> t</w:t>
      </w:r>
      <w:r w:rsidR="00DA3F4D" w:rsidRPr="00500112">
        <w:rPr>
          <w:rFonts w:asciiTheme="minorHAnsi" w:hAnsiTheme="minorHAnsi"/>
        </w:rPr>
        <w:t>hat ther</w:t>
      </w:r>
      <w:r w:rsidR="00C462EB" w:rsidRPr="00500112">
        <w:rPr>
          <w:rFonts w:asciiTheme="minorHAnsi" w:hAnsiTheme="minorHAnsi"/>
        </w:rPr>
        <w:t>e are</w:t>
      </w:r>
      <w:r w:rsidR="008826C3" w:rsidRPr="00500112">
        <w:rPr>
          <w:rFonts w:asciiTheme="minorHAnsi" w:hAnsiTheme="minorHAnsi"/>
        </w:rPr>
        <w:t xml:space="preserve"> intricate and deliberate choices to the art </w:t>
      </w:r>
      <w:r w:rsidR="007144A0" w:rsidRPr="00500112">
        <w:rPr>
          <w:rFonts w:asciiTheme="minorHAnsi" w:hAnsiTheme="minorHAnsi"/>
        </w:rPr>
        <w:t xml:space="preserve">that reflect the surrounding world. Throughout history and even now </w:t>
      </w:r>
      <w:r w:rsidR="007144A0" w:rsidRPr="00C942A7">
        <w:rPr>
          <w:rFonts w:asciiTheme="minorHAnsi" w:hAnsiTheme="minorHAnsi"/>
        </w:rPr>
        <w:t>in modern culture, art has been used as a creative outlet</w:t>
      </w:r>
      <w:r w:rsidR="00AA1D81" w:rsidRPr="00C942A7">
        <w:rPr>
          <w:rFonts w:asciiTheme="minorHAnsi" w:hAnsiTheme="minorHAnsi"/>
        </w:rPr>
        <w:t xml:space="preserve">, </w:t>
      </w:r>
      <w:r w:rsidR="007D2EBD" w:rsidRPr="00C942A7">
        <w:rPr>
          <w:rFonts w:asciiTheme="minorHAnsi" w:hAnsiTheme="minorHAnsi"/>
        </w:rPr>
        <w:t>ref</w:t>
      </w:r>
      <w:r w:rsidR="00BC74B2" w:rsidRPr="00C942A7">
        <w:rPr>
          <w:rFonts w:asciiTheme="minorHAnsi" w:hAnsiTheme="minorHAnsi"/>
        </w:rPr>
        <w:t>l</w:t>
      </w:r>
      <w:r w:rsidR="007D2EBD" w:rsidRPr="00C942A7">
        <w:rPr>
          <w:rFonts w:asciiTheme="minorHAnsi" w:hAnsiTheme="minorHAnsi"/>
        </w:rPr>
        <w:t>ecting</w:t>
      </w:r>
      <w:r w:rsidR="007144A0" w:rsidRPr="00C942A7">
        <w:rPr>
          <w:rFonts w:asciiTheme="minorHAnsi" w:hAnsiTheme="minorHAnsi"/>
        </w:rPr>
        <w:t xml:space="preserve"> </w:t>
      </w:r>
      <w:r w:rsidR="00EB588B" w:rsidRPr="00C942A7">
        <w:rPr>
          <w:rFonts w:asciiTheme="minorHAnsi" w:hAnsiTheme="minorHAnsi"/>
        </w:rPr>
        <w:t>the curren</w:t>
      </w:r>
      <w:r w:rsidR="0081599A" w:rsidRPr="00C942A7">
        <w:rPr>
          <w:rFonts w:asciiTheme="minorHAnsi" w:hAnsiTheme="minorHAnsi"/>
        </w:rPr>
        <w:t>t</w:t>
      </w:r>
      <w:r w:rsidR="007144A0" w:rsidRPr="00C942A7">
        <w:rPr>
          <w:rFonts w:asciiTheme="minorHAnsi" w:hAnsiTheme="minorHAnsi"/>
        </w:rPr>
        <w:t xml:space="preserve"> social, economic, political</w:t>
      </w:r>
      <w:r w:rsidR="00EB588B" w:rsidRPr="00C942A7">
        <w:rPr>
          <w:rFonts w:asciiTheme="minorHAnsi" w:hAnsiTheme="minorHAnsi"/>
        </w:rPr>
        <w:t xml:space="preserve"> climates</w:t>
      </w:r>
      <w:r w:rsidR="00C16951" w:rsidRPr="00500112">
        <w:rPr>
          <w:rFonts w:asciiTheme="minorHAnsi" w:hAnsiTheme="minorHAnsi"/>
        </w:rPr>
        <w:t xml:space="preserve"> </w:t>
      </w:r>
      <w:r w:rsidR="00485257">
        <w:rPr>
          <w:rFonts w:asciiTheme="minorHAnsi" w:hAnsiTheme="minorHAnsi"/>
        </w:rPr>
        <w:t xml:space="preserve">in </w:t>
      </w:r>
      <w:r w:rsidR="00C16951" w:rsidRPr="00500112">
        <w:rPr>
          <w:rFonts w:asciiTheme="minorHAnsi" w:hAnsiTheme="minorHAnsi"/>
        </w:rPr>
        <w:t>the artists experience. Art can be used as a highly detailed medium of reflection. Looking at various decades of art through a p</w:t>
      </w:r>
      <w:r w:rsidR="00DD1EB1" w:rsidRPr="00500112">
        <w:rPr>
          <w:rFonts w:asciiTheme="minorHAnsi" w:hAnsiTheme="minorHAnsi"/>
        </w:rPr>
        <w:t xml:space="preserve">olitical and social </w:t>
      </w:r>
      <w:r w:rsidR="0020762B">
        <w:rPr>
          <w:rFonts w:asciiTheme="minorHAnsi" w:hAnsiTheme="minorHAnsi"/>
        </w:rPr>
        <w:t>l</w:t>
      </w:r>
      <w:r w:rsidR="0020762B" w:rsidRPr="00500112">
        <w:rPr>
          <w:rFonts w:asciiTheme="minorHAnsi" w:hAnsiTheme="minorHAnsi"/>
        </w:rPr>
        <w:t>ens</w:t>
      </w:r>
      <w:r w:rsidR="00DD1EB1" w:rsidRPr="00500112">
        <w:rPr>
          <w:rFonts w:asciiTheme="minorHAnsi" w:hAnsiTheme="minorHAnsi"/>
        </w:rPr>
        <w:t xml:space="preserve"> </w:t>
      </w:r>
      <w:r w:rsidR="00C16951" w:rsidRPr="00500112">
        <w:rPr>
          <w:rFonts w:asciiTheme="minorHAnsi" w:hAnsiTheme="minorHAnsi"/>
        </w:rPr>
        <w:t>we can see various reflections on th</w:t>
      </w:r>
      <w:r w:rsidR="00326DAB" w:rsidRPr="00500112">
        <w:rPr>
          <w:rFonts w:asciiTheme="minorHAnsi" w:hAnsiTheme="minorHAnsi"/>
        </w:rPr>
        <w:t xml:space="preserve">e </w:t>
      </w:r>
      <w:r w:rsidR="00944FE1" w:rsidRPr="00500112">
        <w:rPr>
          <w:rFonts w:asciiTheme="minorHAnsi" w:hAnsiTheme="minorHAnsi"/>
        </w:rPr>
        <w:t>political and social atmosphere</w:t>
      </w:r>
      <w:r w:rsidR="007547C1">
        <w:rPr>
          <w:rFonts w:asciiTheme="minorHAnsi" w:hAnsiTheme="minorHAnsi"/>
        </w:rPr>
        <w:t>.</w:t>
      </w:r>
      <w:r w:rsidR="00944FE1" w:rsidRPr="00500112">
        <w:rPr>
          <w:rFonts w:asciiTheme="minorHAnsi" w:hAnsiTheme="minorHAnsi"/>
        </w:rPr>
        <w:t xml:space="preserve"> </w:t>
      </w:r>
      <w:r w:rsidR="00D47DE8">
        <w:rPr>
          <w:rFonts w:asciiTheme="minorHAnsi" w:hAnsiTheme="minorHAnsi"/>
        </w:rPr>
        <w:t xml:space="preserve">This exhibition analyses that further, exploring various pieces </w:t>
      </w:r>
      <w:r w:rsidR="00F105C9">
        <w:rPr>
          <w:rFonts w:asciiTheme="minorHAnsi" w:hAnsiTheme="minorHAnsi"/>
        </w:rPr>
        <w:t xml:space="preserve">of artwork within </w:t>
      </w:r>
      <w:r w:rsidR="007547C1">
        <w:rPr>
          <w:rFonts w:asciiTheme="minorHAnsi" w:hAnsiTheme="minorHAnsi"/>
        </w:rPr>
        <w:t>these</w:t>
      </w:r>
      <w:r w:rsidR="001C7C63">
        <w:rPr>
          <w:rFonts w:asciiTheme="minorHAnsi" w:hAnsiTheme="minorHAnsi"/>
        </w:rPr>
        <w:t xml:space="preserve"> viewpoints</w:t>
      </w:r>
      <w:r w:rsidR="00645FCF">
        <w:rPr>
          <w:rFonts w:asciiTheme="minorHAnsi" w:hAnsiTheme="minorHAnsi"/>
        </w:rPr>
        <w:t xml:space="preserve">, but </w:t>
      </w:r>
      <w:r w:rsidR="00485257">
        <w:rPr>
          <w:rFonts w:asciiTheme="minorHAnsi" w:hAnsiTheme="minorHAnsi"/>
        </w:rPr>
        <w:t>these</w:t>
      </w:r>
      <w:r w:rsidR="00B5071E">
        <w:rPr>
          <w:rFonts w:asciiTheme="minorHAnsi" w:hAnsiTheme="minorHAnsi"/>
        </w:rPr>
        <w:t xml:space="preserve"> pieces link through their use of art as an outlet. Differ</w:t>
      </w:r>
      <w:r w:rsidR="00F5168E">
        <w:rPr>
          <w:rFonts w:asciiTheme="minorHAnsi" w:hAnsiTheme="minorHAnsi"/>
        </w:rPr>
        <w:t>ing political expressions are portrayed, within different tim</w:t>
      </w:r>
      <w:r w:rsidR="00540FF5">
        <w:rPr>
          <w:rFonts w:asciiTheme="minorHAnsi" w:hAnsiTheme="minorHAnsi"/>
        </w:rPr>
        <w:t xml:space="preserve">e eras and social and cultural context, with varying </w:t>
      </w:r>
      <w:r w:rsidR="00D0508E">
        <w:rPr>
          <w:rFonts w:asciiTheme="minorHAnsi" w:hAnsiTheme="minorHAnsi"/>
        </w:rPr>
        <w:t xml:space="preserve">contexts but intertwining expression of art as a political </w:t>
      </w:r>
      <w:r w:rsidR="00F07806">
        <w:rPr>
          <w:rFonts w:asciiTheme="minorHAnsi" w:hAnsiTheme="minorHAnsi"/>
        </w:rPr>
        <w:t>outlet.</w:t>
      </w:r>
      <w:r w:rsidR="00BF0A7B">
        <w:rPr>
          <w:rFonts w:asciiTheme="minorHAnsi" w:hAnsiTheme="minorHAnsi"/>
        </w:rPr>
        <w:t xml:space="preserve"> </w:t>
      </w:r>
      <w:r w:rsidR="00F07806">
        <w:rPr>
          <w:rFonts w:asciiTheme="minorHAnsi" w:hAnsiTheme="minorHAnsi"/>
        </w:rPr>
        <w:t>I</w:t>
      </w:r>
      <w:r w:rsidR="00D0508E">
        <w:rPr>
          <w:rFonts w:asciiTheme="minorHAnsi" w:hAnsiTheme="minorHAnsi"/>
        </w:rPr>
        <w:t>t is used to highlight different decades of not only art moveme</w:t>
      </w:r>
      <w:r w:rsidR="001C7C63">
        <w:rPr>
          <w:rFonts w:asciiTheme="minorHAnsi" w:hAnsiTheme="minorHAnsi"/>
        </w:rPr>
        <w:t xml:space="preserve">nts but also </w:t>
      </w:r>
      <w:r w:rsidR="00087AC7">
        <w:rPr>
          <w:rFonts w:asciiTheme="minorHAnsi" w:hAnsiTheme="minorHAnsi"/>
        </w:rPr>
        <w:t xml:space="preserve">cultural movements. </w:t>
      </w:r>
    </w:p>
    <w:p w14:paraId="4E5D67F2" w14:textId="77777777" w:rsidR="00645FCF" w:rsidRPr="00645FCF" w:rsidRDefault="00645FCF" w:rsidP="00500112">
      <w:pPr>
        <w:pStyle w:val="NormalWeb"/>
        <w:spacing w:before="0" w:beforeAutospacing="0" w:after="0" w:afterAutospacing="0" w:line="360" w:lineRule="atLeast"/>
        <w:rPr>
          <w:rFonts w:asciiTheme="minorHAnsi" w:hAnsiTheme="minorHAnsi"/>
        </w:rPr>
      </w:pPr>
    </w:p>
    <w:p w14:paraId="69081952" w14:textId="01B02B6F" w:rsidR="00F06DBF" w:rsidRDefault="00746F84" w:rsidP="00116572">
      <w:r>
        <w:t>The bo</w:t>
      </w:r>
      <w:r w:rsidR="00C440E2">
        <w:t>ok “</w:t>
      </w:r>
      <w:r w:rsidR="00C440E2" w:rsidRPr="004424BA">
        <w:rPr>
          <w:i/>
          <w:iCs/>
        </w:rPr>
        <w:t>After Auschwitz</w:t>
      </w:r>
      <w:r w:rsidR="00C440E2">
        <w:t xml:space="preserve">” discusses responses to the </w:t>
      </w:r>
      <w:r w:rsidR="005B6852">
        <w:t xml:space="preserve">Holocaust in Contemporary-Art, it composes </w:t>
      </w:r>
      <w:r w:rsidR="004D4658">
        <w:t>illustrated essays</w:t>
      </w:r>
      <w:r w:rsidR="004D4658" w:rsidRPr="00C942A7">
        <w:t xml:space="preserve">, </w:t>
      </w:r>
      <w:r w:rsidR="007567B3" w:rsidRPr="00C942A7">
        <w:t>theory and</w:t>
      </w:r>
      <w:r w:rsidR="001C0FEB" w:rsidRPr="00C942A7">
        <w:t xml:space="preserve"> </w:t>
      </w:r>
      <w:r w:rsidR="00C942A7" w:rsidRPr="00C942A7">
        <w:t>discussions of</w:t>
      </w:r>
      <w:r w:rsidR="001C0FEB" w:rsidRPr="00C942A7">
        <w:t xml:space="preserve"> </w:t>
      </w:r>
      <w:r w:rsidR="00605D6B" w:rsidRPr="00C942A7">
        <w:t>the impact on contempor</w:t>
      </w:r>
      <w:r w:rsidR="008D3757" w:rsidRPr="00C942A7">
        <w:t>ar</w:t>
      </w:r>
      <w:r w:rsidR="00605D6B" w:rsidRPr="00C942A7">
        <w:t xml:space="preserve">y art. Featuring art created by victims of </w:t>
      </w:r>
      <w:r w:rsidR="00C71F72" w:rsidRPr="00C942A7">
        <w:t xml:space="preserve">the Holocaust </w:t>
      </w:r>
      <w:r w:rsidR="008D3757" w:rsidRPr="00C942A7">
        <w:t>and</w:t>
      </w:r>
      <w:r w:rsidR="00C71F72" w:rsidRPr="00C942A7">
        <w:t xml:space="preserve"> the influence </w:t>
      </w:r>
      <w:r w:rsidR="00730A7B" w:rsidRPr="00C942A7">
        <w:t xml:space="preserve">it </w:t>
      </w:r>
      <w:r w:rsidR="007567B3" w:rsidRPr="00C942A7">
        <w:t>had, by</w:t>
      </w:r>
      <w:r w:rsidR="0078653A" w:rsidRPr="00C942A7">
        <w:t xml:space="preserve"> </w:t>
      </w:r>
      <w:r w:rsidR="00730A7B" w:rsidRPr="00C942A7">
        <w:t>analysing art during</w:t>
      </w:r>
      <w:r w:rsidR="00732672" w:rsidRPr="00C942A7">
        <w:t xml:space="preserve"> the war and post-war period. </w:t>
      </w:r>
      <w:r w:rsidR="00D82CA3" w:rsidRPr="00C942A7">
        <w:t>During the second world war, a lot of artists took to art not as a creative outl</w:t>
      </w:r>
      <w:r w:rsidR="003C3C8D" w:rsidRPr="00C942A7">
        <w:t xml:space="preserve">et </w:t>
      </w:r>
      <w:r w:rsidR="00D82CA3" w:rsidRPr="00C942A7">
        <w:t>but rather as a form of documentation to</w:t>
      </w:r>
      <w:r w:rsidR="00D82CA3">
        <w:t xml:space="preserve"> record the </w:t>
      </w:r>
      <w:r w:rsidR="00A767EA">
        <w:t>atrocities</w:t>
      </w:r>
      <w:r w:rsidR="00D82CA3">
        <w:t xml:space="preserve"> </w:t>
      </w:r>
      <w:r w:rsidR="00A767EA">
        <w:t xml:space="preserve">of the Holocaust since photographs were not allowed. </w:t>
      </w:r>
      <w:r w:rsidR="00510755">
        <w:t>Jean Paul- Satre</w:t>
      </w:r>
      <w:r w:rsidR="002A7185">
        <w:t xml:space="preserve"> </w:t>
      </w:r>
      <w:r w:rsidR="005F1A56">
        <w:t>and Theodor W. Adorno theori</w:t>
      </w:r>
      <w:r w:rsidR="000C52C3">
        <w:t>s</w:t>
      </w:r>
      <w:r w:rsidR="005F1A56">
        <w:t>e</w:t>
      </w:r>
      <w:r w:rsidR="00C52DE1">
        <w:t xml:space="preserve"> on the creation of art in reflection to such a tragedy, and the ethics of doing so. </w:t>
      </w:r>
      <w:r w:rsidR="00B66CC8">
        <w:t>“</w:t>
      </w:r>
      <w:r w:rsidR="00B341D1" w:rsidRPr="00BE6ACB">
        <w:rPr>
          <w:i/>
          <w:iCs/>
        </w:rPr>
        <w:t>For a</w:t>
      </w:r>
      <w:r w:rsidR="009D2508" w:rsidRPr="00BE6ACB">
        <w:rPr>
          <w:i/>
          <w:iCs/>
        </w:rPr>
        <w:t xml:space="preserve"> self-willed man in a room with windows overlooking a concentration camp</w:t>
      </w:r>
      <w:r w:rsidR="00457B95" w:rsidRPr="00BE6ACB">
        <w:rPr>
          <w:i/>
          <w:iCs/>
        </w:rPr>
        <w:t xml:space="preserve"> to paint a compote is not serious; his sin is one of negligence”. </w:t>
      </w:r>
      <w:r w:rsidR="00B9724E">
        <w:t xml:space="preserve">In </w:t>
      </w:r>
      <w:r w:rsidR="004C1489">
        <w:t>Marc Chagall’s painting “</w:t>
      </w:r>
      <w:r w:rsidR="004C1489" w:rsidRPr="00BE6ACB">
        <w:rPr>
          <w:i/>
          <w:iCs/>
        </w:rPr>
        <w:t>White Crucifixion</w:t>
      </w:r>
      <w:r w:rsidR="004C1489">
        <w:t>”</w:t>
      </w:r>
      <w:r w:rsidR="007E45AA">
        <w:t xml:space="preserve"> </w:t>
      </w:r>
      <w:r w:rsidR="00BE3214">
        <w:t xml:space="preserve">he </w:t>
      </w:r>
      <w:r w:rsidR="007E45AA">
        <w:t xml:space="preserve">uses biblical imagery to </w:t>
      </w:r>
      <w:r w:rsidR="00245F85">
        <w:t>portray an interpretive depiction of the persecution of Jewish people under Nazi rule.</w:t>
      </w:r>
      <w:r w:rsidR="00A763CF">
        <w:t xml:space="preserve"> This depiction was also used by </w:t>
      </w:r>
      <w:r w:rsidR="00BE3214">
        <w:t xml:space="preserve">other </w:t>
      </w:r>
      <w:r w:rsidR="003869D0">
        <w:t>artists</w:t>
      </w:r>
      <w:r w:rsidR="00BE3214">
        <w:t>,</w:t>
      </w:r>
      <w:r w:rsidR="003869D0">
        <w:t xml:space="preserve"> such as Otto Pankok.</w:t>
      </w:r>
      <w:r w:rsidR="00245F85">
        <w:t xml:space="preserve"> </w:t>
      </w:r>
      <w:r w:rsidR="00F06DBF">
        <w:t xml:space="preserve">Although this is not the first of Chagall’s paintings to have reflected </w:t>
      </w:r>
      <w:r w:rsidR="00C77E57">
        <w:t xml:space="preserve">the Holocaust. </w:t>
      </w:r>
      <w:r w:rsidR="00AD7172">
        <w:t xml:space="preserve">Chagall’s piece </w:t>
      </w:r>
      <w:r w:rsidR="00C77E57">
        <w:t>“Solitude” (</w:t>
      </w:r>
      <w:r w:rsidR="00BF11F8">
        <w:t>1933)</w:t>
      </w:r>
      <w:r w:rsidR="00AD7172">
        <w:t xml:space="preserve"> also </w:t>
      </w:r>
      <w:r w:rsidR="00871210">
        <w:t xml:space="preserve">portrays anti-Nazi </w:t>
      </w:r>
      <w:r w:rsidR="002A2D6C">
        <w:t>themes</w:t>
      </w:r>
      <w:r w:rsidR="00790BDE">
        <w:t xml:space="preserve">. </w:t>
      </w:r>
      <w:r w:rsidR="009A464F">
        <w:t>A lot of artists at the time recognised the potential dangers of using their art as a political platform</w:t>
      </w:r>
      <w:r w:rsidR="00DC2A3C">
        <w:t xml:space="preserve"> and tried to use the expressive medium as a warning to the public</w:t>
      </w:r>
      <w:r w:rsidR="007E45AA">
        <w:t>.</w:t>
      </w:r>
      <w:r w:rsidR="00245F85">
        <w:t xml:space="preserve"> </w:t>
      </w:r>
      <w:r w:rsidR="00A13F84">
        <w:t>“</w:t>
      </w:r>
      <w:r w:rsidR="00A13F84" w:rsidRPr="00BE6ACB">
        <w:rPr>
          <w:i/>
          <w:iCs/>
        </w:rPr>
        <w:t>Genocide, when it is made into a cultural possessio</w:t>
      </w:r>
      <w:r w:rsidR="000A65CB" w:rsidRPr="00BE6ACB">
        <w:rPr>
          <w:i/>
          <w:iCs/>
        </w:rPr>
        <w:t>n</w:t>
      </w:r>
      <w:r w:rsidR="00A13F84" w:rsidRPr="00BE6ACB">
        <w:rPr>
          <w:i/>
          <w:iCs/>
        </w:rPr>
        <w:t xml:space="preserve"> makes it easier to continue playing with the culture that gave it birth</w:t>
      </w:r>
      <w:r w:rsidR="000A65CB" w:rsidRPr="00BE6ACB">
        <w:rPr>
          <w:i/>
          <w:iCs/>
        </w:rPr>
        <w:t xml:space="preserve">. </w:t>
      </w:r>
      <w:r w:rsidR="00A13F84" w:rsidRPr="00BE6ACB">
        <w:rPr>
          <w:i/>
          <w:iCs/>
        </w:rPr>
        <w:t xml:space="preserve">The </w:t>
      </w:r>
      <w:r w:rsidR="000A65CB" w:rsidRPr="00BE6ACB">
        <w:rPr>
          <w:i/>
          <w:iCs/>
        </w:rPr>
        <w:t>distinction</w:t>
      </w:r>
      <w:r w:rsidR="00A13F84" w:rsidRPr="00BE6ACB">
        <w:rPr>
          <w:i/>
          <w:iCs/>
        </w:rPr>
        <w:t xml:space="preserve"> between </w:t>
      </w:r>
      <w:r w:rsidR="000A65CB" w:rsidRPr="00BE6ACB">
        <w:rPr>
          <w:i/>
          <w:iCs/>
        </w:rPr>
        <w:t>executioner</w:t>
      </w:r>
      <w:r w:rsidR="00A13F84" w:rsidRPr="00BE6ACB">
        <w:rPr>
          <w:i/>
          <w:iCs/>
        </w:rPr>
        <w:t xml:space="preserve"> and </w:t>
      </w:r>
      <w:r w:rsidR="000A65CB" w:rsidRPr="00BE6ACB">
        <w:rPr>
          <w:i/>
          <w:iCs/>
        </w:rPr>
        <w:t>victim</w:t>
      </w:r>
      <w:r w:rsidR="00A13F84" w:rsidRPr="00BE6ACB">
        <w:rPr>
          <w:i/>
          <w:iCs/>
        </w:rPr>
        <w:t xml:space="preserve"> grows hazy”</w:t>
      </w:r>
      <w:r w:rsidR="00A13F84">
        <w:t xml:space="preserve"> </w:t>
      </w:r>
      <w:r w:rsidR="000A65CB">
        <w:t xml:space="preserve">– Theodor W. Adorno. </w:t>
      </w:r>
      <w:r w:rsidR="007718FE">
        <w:t xml:space="preserve">The purposeful </w:t>
      </w:r>
      <w:r w:rsidR="0035514F">
        <w:t>depiction</w:t>
      </w:r>
      <w:r w:rsidR="007718FE">
        <w:t xml:space="preserve"> of </w:t>
      </w:r>
      <w:r w:rsidR="007718FE" w:rsidRPr="00FA19C2">
        <w:t xml:space="preserve">Jesus </w:t>
      </w:r>
      <w:r w:rsidR="00DC3F31" w:rsidRPr="00FA19C2">
        <w:t xml:space="preserve">being crucified </w:t>
      </w:r>
      <w:r w:rsidR="007718FE" w:rsidRPr="00FA19C2">
        <w:t xml:space="preserve">as visibly Jewish caused </w:t>
      </w:r>
      <w:r w:rsidR="00FF3ECF" w:rsidRPr="00FA19C2">
        <w:t>reactions amongst the German Christian public,</w:t>
      </w:r>
      <w:r w:rsidR="00DC3F31" w:rsidRPr="00FA19C2">
        <w:t xml:space="preserve"> as </w:t>
      </w:r>
      <w:r w:rsidR="003A11FC" w:rsidRPr="00FA19C2">
        <w:t>it makes the</w:t>
      </w:r>
      <w:r w:rsidR="003A11FC">
        <w:t xml:space="preserve"> audience at the time reflect on their actions not only as a Christian but as a witness</w:t>
      </w:r>
      <w:r w:rsidR="002A2D6C">
        <w:t xml:space="preserve"> to the persecution</w:t>
      </w:r>
      <w:r w:rsidR="003A11FC">
        <w:t xml:space="preserve">. </w:t>
      </w:r>
      <w:r w:rsidR="002A2D6C">
        <w:t>It creates a feeling of Jesus being persecuted a</w:t>
      </w:r>
      <w:r w:rsidR="00F3706C">
        <w:t xml:space="preserve"> second time, this time not for being the son of God, but for being Jewish. </w:t>
      </w:r>
      <w:r w:rsidR="007F61AB">
        <w:t xml:space="preserve">The imagery of Christ’s crucifixion can be seen repeatedly in </w:t>
      </w:r>
      <w:r w:rsidR="00EF19A3">
        <w:t xml:space="preserve">art opposing Nazi </w:t>
      </w:r>
      <w:r w:rsidR="0035514F">
        <w:t>persecution</w:t>
      </w:r>
      <w:r w:rsidR="00EF19A3">
        <w:t xml:space="preserve"> of Jewish people during the 1930’s. </w:t>
      </w:r>
      <w:r w:rsidR="00B40994">
        <w:t xml:space="preserve">It is noted as one of the earliest and most popular artistic symbols </w:t>
      </w:r>
      <w:r w:rsidR="006F3AB2">
        <w:t xml:space="preserve">used during the time. Other artists like Joseph </w:t>
      </w:r>
      <w:r w:rsidR="00371999">
        <w:t xml:space="preserve">Foshko and </w:t>
      </w:r>
      <w:r w:rsidR="00093930">
        <w:t>Ivan Mestrovic used biblical depictions to create powerful messages through their own work.</w:t>
      </w:r>
      <w:r w:rsidR="00285EF5">
        <w:t xml:space="preserve"> Chagall</w:t>
      </w:r>
      <w:r w:rsidR="00294323">
        <w:t xml:space="preserve"> reenforced Jesus as a </w:t>
      </w:r>
      <w:r w:rsidR="00664AD0">
        <w:t>martyr and</w:t>
      </w:r>
      <w:r w:rsidR="00F5522E">
        <w:t xml:space="preserve"> with scenes of violence and </w:t>
      </w:r>
      <w:r w:rsidR="00AB4189">
        <w:t>persecution</w:t>
      </w:r>
      <w:r w:rsidR="00F5522E">
        <w:t xml:space="preserve">. The </w:t>
      </w:r>
      <w:r w:rsidR="00AC7B5A">
        <w:t xml:space="preserve">piece shows a burning synagogue, </w:t>
      </w:r>
      <w:r w:rsidR="00BD2AFD">
        <w:t>a burning village, refugees</w:t>
      </w:r>
      <w:r w:rsidR="004574A6">
        <w:t xml:space="preserve"> and what appear to be nazi soldiers. </w:t>
      </w:r>
      <w:r w:rsidR="00115289">
        <w:t xml:space="preserve">This visible act of defiance against Nazi persecution and the use </w:t>
      </w:r>
      <w:r w:rsidR="00115289" w:rsidRPr="00FA19C2">
        <w:t xml:space="preserve">of Biblical imagery creates a haunting and powerful piece and is a </w:t>
      </w:r>
      <w:r w:rsidR="00605808" w:rsidRPr="00FA19C2">
        <w:t xml:space="preserve">great example of art of the 1930s. </w:t>
      </w:r>
      <w:r w:rsidR="005205E9" w:rsidRPr="00FA19C2">
        <w:t xml:space="preserve">When deconstructing the meaning of </w:t>
      </w:r>
      <w:r w:rsidR="00AB4189" w:rsidRPr="00FA19C2">
        <w:t>art,</w:t>
      </w:r>
      <w:r w:rsidR="005205E9" w:rsidRPr="00FA19C2">
        <w:t xml:space="preserve"> it is important to </w:t>
      </w:r>
      <w:r w:rsidR="008C201B" w:rsidRPr="00FA19C2">
        <w:t xml:space="preserve">take the context into consideration, with Chagall’s work even without the context the message is still </w:t>
      </w:r>
      <w:r w:rsidR="00664AD0" w:rsidRPr="00FA19C2">
        <w:t>clear.</w:t>
      </w:r>
      <w:r w:rsidR="00E235E9" w:rsidRPr="00FA19C2">
        <w:t xml:space="preserve"> However, </w:t>
      </w:r>
      <w:r w:rsidR="00E0073D" w:rsidRPr="00FA19C2">
        <w:t xml:space="preserve">when we dive deeper into the historical </w:t>
      </w:r>
      <w:r w:rsidR="000A45C5" w:rsidRPr="00FA19C2">
        <w:t>context,</w:t>
      </w:r>
      <w:r w:rsidR="00E0073D" w:rsidRPr="00FA19C2">
        <w:t xml:space="preserve"> we</w:t>
      </w:r>
      <w:r w:rsidR="00FA19C2" w:rsidRPr="00FA19C2">
        <w:t xml:space="preserve"> </w:t>
      </w:r>
      <w:r w:rsidR="00E0073D" w:rsidRPr="00FA19C2">
        <w:t>find that</w:t>
      </w:r>
      <w:r w:rsidR="00D33B9F" w:rsidRPr="00FA19C2">
        <w:t xml:space="preserve"> some key details of the piece were painted over</w:t>
      </w:r>
      <w:r w:rsidR="00F573A1" w:rsidRPr="00FA19C2">
        <w:t xml:space="preserve"> to avoid Nazi </w:t>
      </w:r>
      <w:r w:rsidR="000A45C5" w:rsidRPr="00FA19C2">
        <w:t>censorship</w:t>
      </w:r>
      <w:r w:rsidR="00F573A1" w:rsidRPr="00FA19C2">
        <w:t xml:space="preserve"> and potential danger for the artist. Details like</w:t>
      </w:r>
      <w:r w:rsidR="00DD0F2F" w:rsidRPr="00FA19C2">
        <w:t xml:space="preserve"> a swastika armband on a solider, </w:t>
      </w:r>
      <w:r w:rsidR="005B6D18" w:rsidRPr="00FA19C2">
        <w:t>and “</w:t>
      </w:r>
      <w:r w:rsidR="005B6D18" w:rsidRPr="00FA19C2">
        <w:rPr>
          <w:i/>
          <w:iCs/>
        </w:rPr>
        <w:t>ich bin Jude</w:t>
      </w:r>
      <w:r w:rsidR="005B6D18" w:rsidRPr="00FA19C2">
        <w:t xml:space="preserve">” were painted over, with </w:t>
      </w:r>
      <w:r w:rsidR="000A45C5" w:rsidRPr="00FA19C2">
        <w:t>these details</w:t>
      </w:r>
      <w:r w:rsidR="005B6D18" w:rsidRPr="00FA19C2">
        <w:t xml:space="preserve"> the message would hav</w:t>
      </w:r>
      <w:r w:rsidR="00BF5315" w:rsidRPr="00FA19C2">
        <w:t xml:space="preserve">e </w:t>
      </w:r>
      <w:r w:rsidR="000A45C5" w:rsidRPr="00FA19C2">
        <w:t>been</w:t>
      </w:r>
      <w:r w:rsidR="00BF5315" w:rsidRPr="00FA19C2">
        <w:t xml:space="preserve"> </w:t>
      </w:r>
      <w:r w:rsidR="004F6317" w:rsidRPr="00FA19C2">
        <w:t>bolder</w:t>
      </w:r>
      <w:r w:rsidR="00BF5315" w:rsidRPr="00FA19C2">
        <w:t xml:space="preserve">. </w:t>
      </w:r>
      <w:r w:rsidR="005E0CBF" w:rsidRPr="00FA19C2">
        <w:t xml:space="preserve"> This act</w:t>
      </w:r>
      <w:r w:rsidR="000A45C5" w:rsidRPr="00FA19C2">
        <w:t xml:space="preserve"> makes us think about the use of censorship in art and politics and the complexities of the intertwining two. Chagall’s </w:t>
      </w:r>
      <w:r w:rsidR="003D4648" w:rsidRPr="00FA19C2">
        <w:t>experimentation with colour defers from his usual style taking on a more serious tone</w:t>
      </w:r>
      <w:r w:rsidR="00A67185" w:rsidRPr="00FA19C2">
        <w:t xml:space="preserve">, the use of greys and whites reflect </w:t>
      </w:r>
      <w:r w:rsidR="004F6317" w:rsidRPr="00FA19C2">
        <w:t>the oppressive and mundane and violent environment. With the only uses of colour being from acts of violence in the background highlighted</w:t>
      </w:r>
      <w:r w:rsidR="004F6317">
        <w:t xml:space="preserve"> against the white. </w:t>
      </w:r>
    </w:p>
    <w:p w14:paraId="67806953" w14:textId="6E420DE7" w:rsidR="00CB223D" w:rsidRDefault="00817CA9" w:rsidP="00116572">
      <w:r w:rsidRPr="00D927A6">
        <w:rPr>
          <w:i/>
          <w:iCs/>
        </w:rPr>
        <w:t xml:space="preserve">“In Germany, the memorializing of the Holocaust in public monuments has involved unprecedented levels of complexity and public debate over the general of art in </w:t>
      </w:r>
      <w:r w:rsidR="00285EF5" w:rsidRPr="00D927A6">
        <w:rPr>
          <w:i/>
          <w:iCs/>
        </w:rPr>
        <w:t>public</w:t>
      </w:r>
      <w:r w:rsidRPr="00D927A6">
        <w:rPr>
          <w:i/>
          <w:iCs/>
        </w:rPr>
        <w:t xml:space="preserve"> places and the specific responsibility of a nation to remember its own shame</w:t>
      </w:r>
      <w:r w:rsidRPr="00817CA9">
        <w:t>.</w:t>
      </w:r>
      <w:r>
        <w:t>”</w:t>
      </w:r>
    </w:p>
    <w:p w14:paraId="6D87FCE7" w14:textId="77777777" w:rsidR="00466022" w:rsidRDefault="00466022" w:rsidP="00116572"/>
    <w:p w14:paraId="093DBC3D" w14:textId="77777777" w:rsidR="00466022" w:rsidRDefault="00466022" w:rsidP="00466022">
      <w:r>
        <w:t xml:space="preserve">When displaying the first piece by Chagall the wall behind is a plain white to tie into the painting but to also allow the painting to be taken in fully without any distractions. Due to the lack of colours in the painting but the white ray of light in the centre of the piece this choice of display makes sense with the colour pallet. To highlight the piece and its colour but not to distract from it. </w:t>
      </w:r>
    </w:p>
    <w:p w14:paraId="71168D75" w14:textId="77777777" w:rsidR="00466022" w:rsidRDefault="00466022" w:rsidP="00116572"/>
    <w:p w14:paraId="205E4C1B" w14:textId="59F3377D" w:rsidR="00CB223D" w:rsidRDefault="00B9724E" w:rsidP="00116572">
      <w:r>
        <w:rPr>
          <w:noProof/>
        </w:rPr>
        <w:drawing>
          <wp:inline distT="0" distB="0" distL="0" distR="0" wp14:anchorId="143510E9" wp14:editId="216EC80C">
            <wp:extent cx="6089015" cy="6718913"/>
            <wp:effectExtent l="0" t="0" r="6985" b="6350"/>
            <wp:docPr id="9360894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32688" cy="6767104"/>
                    </a:xfrm>
                    <a:prstGeom prst="rect">
                      <a:avLst/>
                    </a:prstGeom>
                    <a:noFill/>
                  </pic:spPr>
                </pic:pic>
              </a:graphicData>
            </a:graphic>
          </wp:inline>
        </w:drawing>
      </w:r>
    </w:p>
    <w:p w14:paraId="2BF70B4D" w14:textId="775B528D" w:rsidR="00CB223D" w:rsidRPr="00D927A6" w:rsidRDefault="007B2FE9" w:rsidP="00116572">
      <w:pPr>
        <w:rPr>
          <w:i/>
          <w:iCs/>
        </w:rPr>
      </w:pPr>
      <w:r w:rsidRPr="00D927A6">
        <w:rPr>
          <w:i/>
          <w:iCs/>
        </w:rPr>
        <w:t>“White Crucifixion”, Marc</w:t>
      </w:r>
      <w:r w:rsidR="00F546AA" w:rsidRPr="00D927A6">
        <w:rPr>
          <w:i/>
          <w:iCs/>
        </w:rPr>
        <w:t xml:space="preserve"> Chagall, 1938, oil on canvas, 1.40 x 1.15 m.</w:t>
      </w:r>
    </w:p>
    <w:p w14:paraId="01BD1A77" w14:textId="2F1EFF4A" w:rsidR="000E7772" w:rsidRDefault="000E7772" w:rsidP="00116572"/>
    <w:p w14:paraId="11F5EEC3" w14:textId="77777777" w:rsidR="00A2505A" w:rsidRDefault="00A2505A" w:rsidP="00116572"/>
    <w:p w14:paraId="6049713C" w14:textId="158FCC24" w:rsidR="00A835D4" w:rsidRDefault="00436667" w:rsidP="00116572">
      <w:r>
        <w:rPr>
          <w:noProof/>
        </w:rPr>
        <w:drawing>
          <wp:inline distT="0" distB="0" distL="0" distR="0" wp14:anchorId="64EDACCC" wp14:editId="44F8AE82">
            <wp:extent cx="6057900" cy="4248397"/>
            <wp:effectExtent l="0" t="0" r="0" b="0"/>
            <wp:docPr id="8834200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57900" cy="4248397"/>
                    </a:xfrm>
                    <a:prstGeom prst="rect">
                      <a:avLst/>
                    </a:prstGeom>
                    <a:noFill/>
                  </pic:spPr>
                </pic:pic>
              </a:graphicData>
            </a:graphic>
          </wp:inline>
        </w:drawing>
      </w:r>
    </w:p>
    <w:p w14:paraId="409BE831" w14:textId="793DA21A" w:rsidR="00A2505A" w:rsidRDefault="00297EC0" w:rsidP="00116572">
      <w:pPr>
        <w:rPr>
          <w:i/>
          <w:iCs/>
        </w:rPr>
      </w:pPr>
      <w:r>
        <w:t>“</w:t>
      </w:r>
      <w:r w:rsidRPr="00D927A6">
        <w:rPr>
          <w:i/>
          <w:iCs/>
        </w:rPr>
        <w:t>Defacement</w:t>
      </w:r>
      <w:r w:rsidR="00860005" w:rsidRPr="00D927A6">
        <w:rPr>
          <w:i/>
          <w:iCs/>
        </w:rPr>
        <w:t xml:space="preserve"> (The Death of Michael Stewart)</w:t>
      </w:r>
      <w:r w:rsidRPr="00D927A6">
        <w:rPr>
          <w:i/>
          <w:iCs/>
        </w:rPr>
        <w:t>”, Jean</w:t>
      </w:r>
      <w:r w:rsidR="00436667" w:rsidRPr="00D927A6">
        <w:rPr>
          <w:i/>
          <w:iCs/>
        </w:rPr>
        <w:t xml:space="preserve"> Michael Basquiat</w:t>
      </w:r>
      <w:r w:rsidRPr="00D927A6">
        <w:rPr>
          <w:i/>
          <w:iCs/>
        </w:rPr>
        <w:t>, 19</w:t>
      </w:r>
      <w:r w:rsidR="00C063B5" w:rsidRPr="00D927A6">
        <w:rPr>
          <w:i/>
          <w:iCs/>
        </w:rPr>
        <w:t xml:space="preserve">83, </w:t>
      </w:r>
      <w:r w:rsidR="00772504" w:rsidRPr="00D927A6">
        <w:rPr>
          <w:i/>
          <w:iCs/>
        </w:rPr>
        <w:t xml:space="preserve">Acrylic and marker </w:t>
      </w:r>
      <w:r w:rsidR="00860005" w:rsidRPr="00D927A6">
        <w:rPr>
          <w:i/>
          <w:iCs/>
        </w:rPr>
        <w:t xml:space="preserve">on wood, framed, </w:t>
      </w:r>
      <w:r w:rsidR="00E250D0" w:rsidRPr="00D927A6">
        <w:rPr>
          <w:i/>
          <w:iCs/>
        </w:rPr>
        <w:t>63.5 x 77.5 cm.</w:t>
      </w:r>
    </w:p>
    <w:p w14:paraId="76FE078D" w14:textId="2AB10521" w:rsidR="00E112F2" w:rsidRPr="00FA19C2" w:rsidRDefault="00173F12" w:rsidP="00116572">
      <w:pPr>
        <w:rPr>
          <w:i/>
          <w:iCs/>
        </w:rPr>
      </w:pPr>
      <w:r w:rsidRPr="0052775B">
        <w:t xml:space="preserve">The reoccurring theme of political violence is highlighted in this piece, but from a new </w:t>
      </w:r>
      <w:r w:rsidR="0034484E" w:rsidRPr="0052775B">
        <w:t xml:space="preserve">context and perspective. </w:t>
      </w:r>
      <w:r w:rsidR="0052775B" w:rsidRPr="0052775B">
        <w:t>This piece</w:t>
      </w:r>
      <w:r w:rsidR="0052775B">
        <w:t xml:space="preserve"> </w:t>
      </w:r>
      <w:r w:rsidR="0034484E" w:rsidRPr="0052775B">
        <w:t>created fifty years after the previous</w:t>
      </w:r>
      <w:r w:rsidR="00964D4E">
        <w:t>,</w:t>
      </w:r>
      <w:r w:rsidR="0034484E" w:rsidRPr="0052775B">
        <w:t xml:space="preserve"> </w:t>
      </w:r>
      <w:r w:rsidR="009043A5" w:rsidRPr="0052775B">
        <w:t>highlight’s</w:t>
      </w:r>
      <w:r w:rsidR="0034484E" w:rsidRPr="0052775B">
        <w:t xml:space="preserve"> </w:t>
      </w:r>
      <w:r w:rsidR="0034484E" w:rsidRPr="00FA19C2">
        <w:t xml:space="preserve">systemic violence from a modern and American perspective. </w:t>
      </w:r>
      <w:r w:rsidR="00A1308B" w:rsidRPr="00FA19C2">
        <w:t xml:space="preserve">Basquiat is often referred to as a highly influential painter and cultural </w:t>
      </w:r>
      <w:r w:rsidR="00900E6F" w:rsidRPr="00FA19C2">
        <w:t>figure in</w:t>
      </w:r>
      <w:r w:rsidR="006369A3" w:rsidRPr="00FA19C2">
        <w:t xml:space="preserve"> modern art</w:t>
      </w:r>
      <w:r w:rsidR="004D3204" w:rsidRPr="00FA19C2">
        <w:t>,</w:t>
      </w:r>
      <w:r w:rsidR="00900E6F" w:rsidRPr="00FA19C2">
        <w:t xml:space="preserve"> o</w:t>
      </w:r>
      <w:r w:rsidR="006B222E" w:rsidRPr="00FA19C2">
        <w:t xml:space="preserve">ften seen with Andy Warhol, Basquiat </w:t>
      </w:r>
      <w:r w:rsidR="009043A5" w:rsidRPr="00FA19C2">
        <w:t xml:space="preserve">often </w:t>
      </w:r>
      <w:r w:rsidR="006B222E" w:rsidRPr="00FA19C2">
        <w:t>incorporated</w:t>
      </w:r>
      <w:r w:rsidR="00E119ED" w:rsidRPr="00FA19C2">
        <w:t xml:space="preserve"> </w:t>
      </w:r>
      <w:r w:rsidR="009043A5" w:rsidRPr="00FA19C2">
        <w:t xml:space="preserve">political and </w:t>
      </w:r>
      <w:r w:rsidR="00E119ED" w:rsidRPr="00FA19C2">
        <w:t>social meanings in his art</w:t>
      </w:r>
      <w:r w:rsidR="00900E6F" w:rsidRPr="00FA19C2">
        <w:t>.</w:t>
      </w:r>
      <w:r w:rsidR="00A5690B" w:rsidRPr="00FA19C2">
        <w:t xml:space="preserve"> </w:t>
      </w:r>
      <w:r w:rsidR="00E119ED" w:rsidRPr="00FA19C2">
        <w:t xml:space="preserve"> </w:t>
      </w:r>
      <w:r w:rsidR="00900E6F" w:rsidRPr="00FA19C2">
        <w:t xml:space="preserve">Repeatedly </w:t>
      </w:r>
      <w:r w:rsidR="00E119ED" w:rsidRPr="00FA19C2">
        <w:t xml:space="preserve">dissecting aspects of life </w:t>
      </w:r>
      <w:r w:rsidR="007C3110" w:rsidRPr="00FA19C2">
        <w:t>as a black artist at the time.</w:t>
      </w:r>
      <w:r w:rsidR="006B222E" w:rsidRPr="00FA19C2">
        <w:t xml:space="preserve"> </w:t>
      </w:r>
      <w:r w:rsidR="00A1308B" w:rsidRPr="00FA19C2">
        <w:t xml:space="preserve">In 1983 </w:t>
      </w:r>
      <w:r w:rsidR="004D0E5D" w:rsidRPr="00FA19C2">
        <w:t>Basquiat created “</w:t>
      </w:r>
      <w:r w:rsidR="004D0E5D" w:rsidRPr="00FA19C2">
        <w:rPr>
          <w:i/>
          <w:iCs/>
        </w:rPr>
        <w:t>Defacement”,</w:t>
      </w:r>
      <w:r w:rsidR="004D0E5D" w:rsidRPr="00FA19C2">
        <w:t xml:space="preserve"> a painting reflecting on the death of fellow artist Michael Stewart. </w:t>
      </w:r>
      <w:r w:rsidR="007C3110" w:rsidRPr="00FA19C2">
        <w:t>Originally painted on the walls of Kieth Haring</w:t>
      </w:r>
      <w:r w:rsidR="00871B94" w:rsidRPr="00FA19C2">
        <w:t xml:space="preserve">’s studio; a political artist within his own right, this piece </w:t>
      </w:r>
      <w:r w:rsidR="00C07F56" w:rsidRPr="00FA19C2">
        <w:t xml:space="preserve">addressed police brutality and the </w:t>
      </w:r>
      <w:r w:rsidR="00C66327" w:rsidRPr="00FA19C2">
        <w:t xml:space="preserve">intersection </w:t>
      </w:r>
      <w:r w:rsidR="00C07F56" w:rsidRPr="00FA19C2">
        <w:t>of racism and the police force.</w:t>
      </w:r>
      <w:r w:rsidR="008211F4" w:rsidRPr="00FA19C2">
        <w:t xml:space="preserve"> Multiple works by Basquiat have illustrated his thoughts about state authority, often depicting police figures. </w:t>
      </w:r>
      <w:r w:rsidR="00AD0F99" w:rsidRPr="00FA19C2">
        <w:t xml:space="preserve">Other artists also </w:t>
      </w:r>
      <w:r w:rsidR="00F7193F" w:rsidRPr="00FA19C2">
        <w:t xml:space="preserve">created pieces highlighting this after the death of their peer Michael Stewart. Keith Haring creating </w:t>
      </w:r>
      <w:r w:rsidR="003321BC" w:rsidRPr="00FA19C2">
        <w:rPr>
          <w:i/>
          <w:iCs/>
        </w:rPr>
        <w:t xml:space="preserve">“Michael Stewart, USA </w:t>
      </w:r>
      <w:r w:rsidR="00062B99" w:rsidRPr="00FA19C2">
        <w:rPr>
          <w:i/>
          <w:iCs/>
        </w:rPr>
        <w:t>For Africa”</w:t>
      </w:r>
      <w:r w:rsidR="00062B99" w:rsidRPr="00FA19C2">
        <w:t xml:space="preserve"> 1985, and Andy Warhol creating “</w:t>
      </w:r>
      <w:r w:rsidR="00062B99" w:rsidRPr="00FA19C2">
        <w:rPr>
          <w:i/>
          <w:iCs/>
        </w:rPr>
        <w:t>Headline”</w:t>
      </w:r>
      <w:r w:rsidR="004B5D37" w:rsidRPr="00FA19C2">
        <w:rPr>
          <w:i/>
          <w:iCs/>
        </w:rPr>
        <w:t>.</w:t>
      </w:r>
      <w:r w:rsidR="00E112F2" w:rsidRPr="00FA19C2">
        <w:rPr>
          <w:i/>
          <w:iCs/>
        </w:rPr>
        <w:t xml:space="preserve"> </w:t>
      </w:r>
      <w:r w:rsidR="00E112F2" w:rsidRPr="00FA19C2">
        <w:t xml:space="preserve">The death hit the New York art scene hard, with </w:t>
      </w:r>
      <w:r w:rsidR="00BD3721" w:rsidRPr="00FA19C2">
        <w:t>his</w:t>
      </w:r>
      <w:r w:rsidR="00151AED" w:rsidRPr="00FA19C2">
        <w:t xml:space="preserve"> </w:t>
      </w:r>
      <w:r w:rsidR="00E112F2" w:rsidRPr="00FA19C2">
        <w:t xml:space="preserve">death becoming not only a loss but a symbol to </w:t>
      </w:r>
      <w:r w:rsidR="007567B3" w:rsidRPr="00FA19C2">
        <w:t>many, but</w:t>
      </w:r>
      <w:r w:rsidR="00472C08" w:rsidRPr="00FA19C2">
        <w:t xml:space="preserve"> to the downtown arts community especially.</w:t>
      </w:r>
      <w:r w:rsidR="00EE40A8" w:rsidRPr="00FA19C2">
        <w:t xml:space="preserve"> </w:t>
      </w:r>
    </w:p>
    <w:p w14:paraId="6C03DDA7" w14:textId="7B7733AD" w:rsidR="004F40EC" w:rsidRPr="00A1308B" w:rsidRDefault="004B5D37" w:rsidP="00116572">
      <w:r w:rsidRPr="00FA19C2">
        <w:t xml:space="preserve"> </w:t>
      </w:r>
      <w:r w:rsidR="00B845E5" w:rsidRPr="00FA19C2">
        <w:t xml:space="preserve">Displayed on a black background to highlight the main </w:t>
      </w:r>
      <w:r w:rsidR="00301BD7" w:rsidRPr="00FA19C2">
        <w:t>figure</w:t>
      </w:r>
      <w:r w:rsidR="00B845E5" w:rsidRPr="00FA19C2">
        <w:t xml:space="preserve"> in the piece</w:t>
      </w:r>
      <w:r w:rsidR="00301BD7" w:rsidRPr="00FA19C2">
        <w:t xml:space="preserve"> and to tie into the</w:t>
      </w:r>
      <w:r w:rsidR="008B3D24" w:rsidRPr="00FA19C2">
        <w:t xml:space="preserve"> colours seen there, to draw you into the middle of the painting</w:t>
      </w:r>
      <w:r w:rsidR="00901487" w:rsidRPr="00FA19C2">
        <w:t xml:space="preserve"> by sharing similar colours.</w:t>
      </w:r>
      <w:r w:rsidR="00B845E5" w:rsidRPr="00FA19C2">
        <w:t xml:space="preserve"> </w:t>
      </w:r>
      <w:r w:rsidR="00901487" w:rsidRPr="00FA19C2">
        <w:t xml:space="preserve">But to also not </w:t>
      </w:r>
      <w:r w:rsidR="00B845E5" w:rsidRPr="00FA19C2">
        <w:t>overshadow the bright</w:t>
      </w:r>
      <w:r w:rsidR="00B845E5">
        <w:t xml:space="preserve"> colours used in the piece</w:t>
      </w:r>
      <w:r w:rsidR="00966058">
        <w:t>.</w:t>
      </w:r>
    </w:p>
    <w:p w14:paraId="00C6C655" w14:textId="6DB52E3A" w:rsidR="00E250D0" w:rsidRDefault="005C0B77" w:rsidP="00116572">
      <w:r>
        <w:rPr>
          <w:noProof/>
        </w:rPr>
        <w:drawing>
          <wp:inline distT="0" distB="0" distL="0" distR="0" wp14:anchorId="7335D7F4" wp14:editId="7D24942D">
            <wp:extent cx="6019800" cy="2751432"/>
            <wp:effectExtent l="0" t="0" r="0" b="0"/>
            <wp:docPr id="6223640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19800" cy="2751432"/>
                    </a:xfrm>
                    <a:prstGeom prst="rect">
                      <a:avLst/>
                    </a:prstGeom>
                    <a:noFill/>
                  </pic:spPr>
                </pic:pic>
              </a:graphicData>
            </a:graphic>
          </wp:inline>
        </w:drawing>
      </w:r>
    </w:p>
    <w:p w14:paraId="442CFFAD" w14:textId="5EB2682B" w:rsidR="00927B86" w:rsidRPr="009E0119" w:rsidRDefault="009E0119" w:rsidP="00116572">
      <w:pPr>
        <w:rPr>
          <w:color w:val="393939"/>
          <w:shd w:val="clear" w:color="auto" w:fill="FFFFFF"/>
        </w:rPr>
      </w:pPr>
      <w:r>
        <w:rPr>
          <w:color w:val="393939"/>
          <w:shd w:val="clear" w:color="auto" w:fill="FFFFFF"/>
        </w:rPr>
        <w:t>“</w:t>
      </w:r>
      <w:r w:rsidR="00885454" w:rsidRPr="00C47160">
        <w:rPr>
          <w:i/>
          <w:iCs/>
          <w:color w:val="393939"/>
          <w:shd w:val="clear" w:color="auto" w:fill="FFFFFF"/>
        </w:rPr>
        <w:t xml:space="preserve">Do women have to be naked to get into the Met. Museum? </w:t>
      </w:r>
      <w:r w:rsidR="00D46913" w:rsidRPr="00C47160">
        <w:rPr>
          <w:i/>
          <w:iCs/>
          <w:color w:val="393939"/>
          <w:shd w:val="clear" w:color="auto" w:fill="FFFFFF"/>
        </w:rPr>
        <w:t>“</w:t>
      </w:r>
      <w:r w:rsidR="00D46913" w:rsidRPr="00C47160">
        <w:rPr>
          <w:color w:val="393939"/>
          <w:shd w:val="clear" w:color="auto" w:fill="FFFFFF"/>
        </w:rPr>
        <w:t>1989,</w:t>
      </w:r>
      <w:r w:rsidR="00D46913">
        <w:rPr>
          <w:color w:val="393939"/>
          <w:shd w:val="clear" w:color="auto" w:fill="FFFFFF"/>
        </w:rPr>
        <w:t xml:space="preserve"> </w:t>
      </w:r>
      <w:r w:rsidR="00885454" w:rsidRPr="009E0119">
        <w:rPr>
          <w:color w:val="393939"/>
          <w:shd w:val="clear" w:color="auto" w:fill="FFFFFF"/>
        </w:rPr>
        <w:t>Guerrilla Girls</w:t>
      </w:r>
      <w:r w:rsidR="00D46913">
        <w:rPr>
          <w:color w:val="393939"/>
          <w:shd w:val="clear" w:color="auto" w:fill="FFFFFF"/>
        </w:rPr>
        <w:t>.</w:t>
      </w:r>
      <w:r w:rsidR="00885454" w:rsidRPr="009E0119">
        <w:rPr>
          <w:color w:val="393939"/>
          <w:shd w:val="clear" w:color="auto" w:fill="FFFFFF"/>
        </w:rPr>
        <w:t xml:space="preserve"> Mixed media (electrostatic print on paper, ink on paper and acetate). </w:t>
      </w:r>
    </w:p>
    <w:p w14:paraId="3AD66F7F" w14:textId="2AB0CBC9" w:rsidR="00927B86" w:rsidRPr="009E0119" w:rsidRDefault="00EC73DF" w:rsidP="00116572">
      <w:pPr>
        <w:rPr>
          <w:rFonts w:cs="Arial"/>
          <w:color w:val="444444"/>
          <w:shd w:val="clear" w:color="auto" w:fill="FFFFFF"/>
        </w:rPr>
      </w:pPr>
      <w:r w:rsidRPr="00D46913">
        <w:rPr>
          <w:color w:val="393939"/>
          <w:shd w:val="clear" w:color="auto" w:fill="FFFFFF"/>
        </w:rPr>
        <w:t xml:space="preserve">Four years later </w:t>
      </w:r>
      <w:r w:rsidR="00B23E5D" w:rsidRPr="00D46913">
        <w:rPr>
          <w:color w:val="393939"/>
          <w:shd w:val="clear" w:color="auto" w:fill="FFFFFF"/>
        </w:rPr>
        <w:t xml:space="preserve">after Basquiat’s piece we </w:t>
      </w:r>
      <w:r w:rsidR="004B17F4" w:rsidRPr="00D46913">
        <w:rPr>
          <w:color w:val="393939"/>
          <w:shd w:val="clear" w:color="auto" w:fill="FFFFFF"/>
        </w:rPr>
        <w:t>get the rise of The Guerilla Girl’s.</w:t>
      </w:r>
      <w:r w:rsidR="004B17F4" w:rsidRPr="00D46913">
        <w:rPr>
          <w:rFonts w:cs="Arial"/>
          <w:color w:val="444444"/>
          <w:shd w:val="clear" w:color="auto" w:fill="FFFFFF"/>
        </w:rPr>
        <w:t xml:space="preserve"> </w:t>
      </w:r>
      <w:r w:rsidR="00150E72" w:rsidRPr="00D46913">
        <w:rPr>
          <w:rFonts w:cs="Arial"/>
          <w:color w:val="444444"/>
          <w:shd w:val="clear" w:color="auto" w:fill="FFFFFF"/>
        </w:rPr>
        <w:t>Using bold colours and imagery resembling an advertisement, the Guerilla Girls</w:t>
      </w:r>
      <w:r w:rsidR="00150E72" w:rsidRPr="009E0119">
        <w:rPr>
          <w:rFonts w:cs="Arial"/>
          <w:color w:val="444444"/>
          <w:shd w:val="clear" w:color="auto" w:fill="FFFFFF"/>
        </w:rPr>
        <w:t xml:space="preserve"> choices are deliberate and bold. The decision to adopt the language used in advertising was in reaction to their </w:t>
      </w:r>
      <w:r w:rsidR="001C5E08" w:rsidRPr="009E0119">
        <w:rPr>
          <w:rFonts w:cs="Arial"/>
          <w:color w:val="444444"/>
          <w:shd w:val="clear" w:color="auto" w:fill="FFFFFF"/>
        </w:rPr>
        <w:t>feelings of traditional protests being “</w:t>
      </w:r>
      <w:r w:rsidR="0020175D" w:rsidRPr="009E0119">
        <w:rPr>
          <w:rFonts w:cs="Arial"/>
          <w:color w:val="444444"/>
          <w:shd w:val="clear" w:color="auto" w:fill="FFFFFF"/>
        </w:rPr>
        <w:t>ineffective</w:t>
      </w:r>
      <w:r w:rsidR="001C5E08" w:rsidRPr="009E0119">
        <w:rPr>
          <w:rFonts w:cs="Arial"/>
          <w:color w:val="444444"/>
          <w:shd w:val="clear" w:color="auto" w:fill="FFFFFF"/>
        </w:rPr>
        <w:t xml:space="preserve">”. Formed in 1985, the group </w:t>
      </w:r>
      <w:r w:rsidR="004B69BC" w:rsidRPr="009E0119">
        <w:rPr>
          <w:rFonts w:cs="Arial"/>
          <w:color w:val="444444"/>
          <w:shd w:val="clear" w:color="auto" w:fill="FFFFFF"/>
        </w:rPr>
        <w:t xml:space="preserve">holds themselves on addressing feminism and feminist intersectionality in the art world. </w:t>
      </w:r>
      <w:r w:rsidR="008810C3">
        <w:rPr>
          <w:rFonts w:cs="Arial"/>
          <w:color w:val="444444"/>
          <w:shd w:val="clear" w:color="auto" w:fill="FFFFFF"/>
        </w:rPr>
        <w:t>I</w:t>
      </w:r>
      <w:r w:rsidR="006853D4" w:rsidRPr="009E0119">
        <w:rPr>
          <w:rFonts w:cs="Arial"/>
          <w:color w:val="444444"/>
          <w:shd w:val="clear" w:color="auto" w:fill="FFFFFF"/>
        </w:rPr>
        <w:t>ntertwining the theory of intersectional feminism, coined by Kimberle Crenshaw</w:t>
      </w:r>
      <w:r w:rsidR="0020175D" w:rsidRPr="009E0119">
        <w:rPr>
          <w:rFonts w:cs="Arial"/>
          <w:color w:val="444444"/>
          <w:shd w:val="clear" w:color="auto" w:fill="FFFFFF"/>
        </w:rPr>
        <w:t xml:space="preserve"> in 1989; although the concept and roots of th</w:t>
      </w:r>
      <w:r w:rsidR="00B65C46" w:rsidRPr="009E0119">
        <w:rPr>
          <w:rFonts w:cs="Arial"/>
          <w:color w:val="444444"/>
          <w:shd w:val="clear" w:color="auto" w:fill="FFFFFF"/>
        </w:rPr>
        <w:t xml:space="preserve">ought </w:t>
      </w:r>
      <w:r w:rsidR="0020175D" w:rsidRPr="009E0119">
        <w:rPr>
          <w:rFonts w:cs="Arial"/>
          <w:color w:val="444444"/>
          <w:shd w:val="clear" w:color="auto" w:fill="FFFFFF"/>
        </w:rPr>
        <w:t xml:space="preserve">surrounding intersectionality predate her work. </w:t>
      </w:r>
      <w:r w:rsidR="007132E1" w:rsidRPr="009E0119">
        <w:rPr>
          <w:rFonts w:cs="Arial"/>
          <w:color w:val="444444"/>
          <w:shd w:val="clear" w:color="auto" w:fill="FFFFFF"/>
        </w:rPr>
        <w:t xml:space="preserve">Addressing the lack of women artists on display but the </w:t>
      </w:r>
      <w:r w:rsidR="00616FB7" w:rsidRPr="009E0119">
        <w:rPr>
          <w:rFonts w:cs="Arial"/>
          <w:color w:val="444444"/>
          <w:shd w:val="clear" w:color="auto" w:fill="FFFFFF"/>
        </w:rPr>
        <w:t xml:space="preserve">use of </w:t>
      </w:r>
      <w:r w:rsidR="006C2966" w:rsidRPr="009E0119">
        <w:rPr>
          <w:rFonts w:cs="Arial"/>
          <w:color w:val="444444"/>
          <w:shd w:val="clear" w:color="auto" w:fill="FFFFFF"/>
        </w:rPr>
        <w:t>women’s</w:t>
      </w:r>
      <w:r w:rsidR="00616FB7" w:rsidRPr="009E0119">
        <w:rPr>
          <w:rFonts w:cs="Arial"/>
          <w:color w:val="444444"/>
          <w:shd w:val="clear" w:color="auto" w:fill="FFFFFF"/>
        </w:rPr>
        <w:t xml:space="preserve"> naked bodies as subject pieces and objects to be perceived in art The Guerilla Girls create a bold and almost satirical piece </w:t>
      </w:r>
      <w:r w:rsidR="009A14D7" w:rsidRPr="009E0119">
        <w:rPr>
          <w:rFonts w:cs="Arial"/>
          <w:color w:val="444444"/>
          <w:shd w:val="clear" w:color="auto" w:fill="FFFFFF"/>
        </w:rPr>
        <w:t xml:space="preserve">addressing the lack of representation head on. </w:t>
      </w:r>
      <w:r w:rsidR="006C2966" w:rsidRPr="009E0119">
        <w:rPr>
          <w:rFonts w:cs="Arial"/>
          <w:color w:val="444444"/>
          <w:shd w:val="clear" w:color="auto" w:fill="FFFFFF"/>
        </w:rPr>
        <w:t>Noticeable</w:t>
      </w:r>
      <w:r w:rsidR="009A14D7" w:rsidRPr="009E0119">
        <w:rPr>
          <w:rFonts w:cs="Arial"/>
          <w:color w:val="444444"/>
          <w:shd w:val="clear" w:color="auto" w:fill="FFFFFF"/>
        </w:rPr>
        <w:t xml:space="preserve"> is their signature Gorilla head, </w:t>
      </w:r>
      <w:r w:rsidR="00733622" w:rsidRPr="009E0119">
        <w:rPr>
          <w:rFonts w:cs="Arial"/>
          <w:color w:val="444444"/>
          <w:shd w:val="clear" w:color="auto" w:fill="FFFFFF"/>
        </w:rPr>
        <w:t xml:space="preserve">some could suggest the gorilla head adds not only a mask of </w:t>
      </w:r>
      <w:r w:rsidR="00E37449" w:rsidRPr="009E0119">
        <w:rPr>
          <w:rFonts w:cs="Arial"/>
          <w:color w:val="444444"/>
          <w:shd w:val="clear" w:color="auto" w:fill="FFFFFF"/>
        </w:rPr>
        <w:t xml:space="preserve">anonymity </w:t>
      </w:r>
      <w:r w:rsidR="00733622" w:rsidRPr="009E0119">
        <w:rPr>
          <w:rFonts w:cs="Arial"/>
          <w:color w:val="444444"/>
          <w:shd w:val="clear" w:color="auto" w:fill="FFFFFF"/>
        </w:rPr>
        <w:t xml:space="preserve">but also takes away from the traditional </w:t>
      </w:r>
      <w:r w:rsidR="008B560C" w:rsidRPr="009E0119">
        <w:rPr>
          <w:rFonts w:cs="Arial"/>
          <w:color w:val="444444"/>
          <w:shd w:val="clear" w:color="auto" w:fill="FFFFFF"/>
        </w:rPr>
        <w:t xml:space="preserve">perceptions forced </w:t>
      </w:r>
      <w:r w:rsidR="00266A9C" w:rsidRPr="009E0119">
        <w:rPr>
          <w:rFonts w:cs="Arial"/>
          <w:color w:val="444444"/>
          <w:shd w:val="clear" w:color="auto" w:fill="FFFFFF"/>
        </w:rPr>
        <w:t>upon</w:t>
      </w:r>
      <w:r w:rsidR="008B560C" w:rsidRPr="009E0119">
        <w:rPr>
          <w:rFonts w:cs="Arial"/>
          <w:color w:val="444444"/>
          <w:shd w:val="clear" w:color="auto" w:fill="FFFFFF"/>
        </w:rPr>
        <w:t xml:space="preserve"> women. The gorilla is aggressive and bold, opposing the traditional soft and delicate </w:t>
      </w:r>
      <w:r w:rsidR="006F6489" w:rsidRPr="009E0119">
        <w:rPr>
          <w:rFonts w:cs="Arial"/>
          <w:color w:val="444444"/>
          <w:shd w:val="clear" w:color="auto" w:fill="FFFFFF"/>
        </w:rPr>
        <w:t xml:space="preserve">femininity expected of women, and especially women featured in art. </w:t>
      </w:r>
      <w:r w:rsidR="00266A9C" w:rsidRPr="009E0119">
        <w:rPr>
          <w:rFonts w:cs="Arial"/>
          <w:color w:val="444444"/>
          <w:shd w:val="clear" w:color="auto" w:fill="FFFFFF"/>
        </w:rPr>
        <w:t xml:space="preserve">The work builds onto Laura Mulvey’s male gaze theory </w:t>
      </w:r>
      <w:r w:rsidR="00AB5ACA" w:rsidRPr="009E0119">
        <w:rPr>
          <w:rFonts w:cs="Arial"/>
          <w:color w:val="444444"/>
          <w:shd w:val="clear" w:color="auto" w:fill="FFFFFF"/>
        </w:rPr>
        <w:t xml:space="preserve">and the use of </w:t>
      </w:r>
      <w:r w:rsidR="009E0119" w:rsidRPr="009E0119">
        <w:rPr>
          <w:rFonts w:cs="Arial"/>
          <w:color w:val="444444"/>
          <w:shd w:val="clear" w:color="auto" w:fill="FFFFFF"/>
        </w:rPr>
        <w:t>women’s</w:t>
      </w:r>
      <w:r w:rsidR="00AB5ACA" w:rsidRPr="009E0119">
        <w:rPr>
          <w:rFonts w:cs="Arial"/>
          <w:color w:val="444444"/>
          <w:shd w:val="clear" w:color="auto" w:fill="FFFFFF"/>
        </w:rPr>
        <w:t xml:space="preserve"> bodies as objects to be seen, it merges the use of female nudity and </w:t>
      </w:r>
      <w:r w:rsidR="009E0119" w:rsidRPr="009E0119">
        <w:rPr>
          <w:rFonts w:cs="Arial"/>
          <w:color w:val="444444"/>
          <w:shd w:val="clear" w:color="auto" w:fill="FFFFFF"/>
        </w:rPr>
        <w:t xml:space="preserve">pop art to create a bold political statement. </w:t>
      </w:r>
    </w:p>
    <w:p w14:paraId="441C0396" w14:textId="77777777" w:rsidR="00927B86" w:rsidRDefault="00927B86" w:rsidP="00116572"/>
    <w:p w14:paraId="5A33B6A0" w14:textId="77777777" w:rsidR="00A2505A" w:rsidRDefault="00A2505A" w:rsidP="00116572"/>
    <w:p w14:paraId="5D657F48" w14:textId="77777777" w:rsidR="005D18DD" w:rsidRDefault="005D18DD" w:rsidP="00116572"/>
    <w:p w14:paraId="790A5AD5" w14:textId="77777777" w:rsidR="005D18DD" w:rsidRDefault="005D18DD" w:rsidP="00116572"/>
    <w:p w14:paraId="77765FA1" w14:textId="77777777" w:rsidR="005D18DD" w:rsidRDefault="005D18DD" w:rsidP="00116572"/>
    <w:p w14:paraId="0CAB214A" w14:textId="09AEAC33" w:rsidR="005D18DD" w:rsidRDefault="005F386D" w:rsidP="00116572">
      <w:r>
        <w:rPr>
          <w:noProof/>
        </w:rPr>
        <w:drawing>
          <wp:inline distT="0" distB="0" distL="0" distR="0" wp14:anchorId="1C5CDE07" wp14:editId="6CA3747F">
            <wp:extent cx="6134100" cy="3586605"/>
            <wp:effectExtent l="0" t="0" r="0" b="0"/>
            <wp:docPr id="2020284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34100" cy="3586605"/>
                    </a:xfrm>
                    <a:prstGeom prst="rect">
                      <a:avLst/>
                    </a:prstGeom>
                    <a:noFill/>
                  </pic:spPr>
                </pic:pic>
              </a:graphicData>
            </a:graphic>
          </wp:inline>
        </w:drawing>
      </w:r>
    </w:p>
    <w:p w14:paraId="62A30F88" w14:textId="13991E13" w:rsidR="005D18DD" w:rsidRDefault="002F744B" w:rsidP="00116572">
      <w:r>
        <w:t>“</w:t>
      </w:r>
      <w:r w:rsidR="008C6782" w:rsidRPr="00C47160">
        <w:rPr>
          <w:i/>
          <w:iCs/>
        </w:rPr>
        <w:t>Massacre in Korea”,</w:t>
      </w:r>
      <w:r w:rsidR="008C6782">
        <w:t xml:space="preserve"> 1951, Pablo Picasso, </w:t>
      </w:r>
      <w:r w:rsidR="00C47160">
        <w:t>Oil on canvas, 110 x 210 cm.</w:t>
      </w:r>
    </w:p>
    <w:p w14:paraId="3385F8F5" w14:textId="0E284241" w:rsidR="00642C07" w:rsidRDefault="0010576A" w:rsidP="00116572">
      <w:r>
        <w:t>“</w:t>
      </w:r>
      <w:r w:rsidRPr="0010576A">
        <w:rPr>
          <w:i/>
          <w:iCs/>
        </w:rPr>
        <w:t>Massacre in Korea</w:t>
      </w:r>
      <w:r>
        <w:t xml:space="preserve">” </w:t>
      </w:r>
      <w:r w:rsidR="00642C07">
        <w:t>is a poignant piece</w:t>
      </w:r>
      <w:r w:rsidR="00492A08">
        <w:t xml:space="preserve"> of Picasso’s, used to denounce the deaths of civilians during the advance </w:t>
      </w:r>
      <w:r w:rsidR="00492A08" w:rsidRPr="00FA19C2">
        <w:t xml:space="preserve">of </w:t>
      </w:r>
      <w:r w:rsidR="00884E1B" w:rsidRPr="00FA19C2">
        <w:t>the</w:t>
      </w:r>
      <w:r w:rsidR="00492A08" w:rsidRPr="00FA19C2">
        <w:t xml:space="preserve"> </w:t>
      </w:r>
      <w:r w:rsidR="007C1050" w:rsidRPr="00FA19C2">
        <w:t>U.S</w:t>
      </w:r>
      <w:r w:rsidR="00884E1B">
        <w:t xml:space="preserve"> </w:t>
      </w:r>
      <w:r w:rsidR="00492A08" w:rsidRPr="00FA19C2">
        <w:t xml:space="preserve">Army within North </w:t>
      </w:r>
      <w:r w:rsidR="00A47965" w:rsidRPr="00FA19C2">
        <w:t>Korean</w:t>
      </w:r>
      <w:r w:rsidR="00492A08" w:rsidRPr="00FA19C2">
        <w:t xml:space="preserve"> territory</w:t>
      </w:r>
      <w:r w:rsidR="00CE1F98" w:rsidRPr="00FA19C2">
        <w:t xml:space="preserve"> during the Korean War. Picasso used muted colours and expressionist elements to capture a brutal moment of history. Despite being painted </w:t>
      </w:r>
      <w:r w:rsidR="00056DE3" w:rsidRPr="00FA19C2">
        <w:t xml:space="preserve">with the Korean War in mind, the lack of identifiable features means this piece can be used to portray anyone. This </w:t>
      </w:r>
      <w:r w:rsidR="004B20EE" w:rsidRPr="00FA19C2">
        <w:t>piece is</w:t>
      </w:r>
      <w:r w:rsidR="00E70136" w:rsidRPr="00FA19C2">
        <w:t xml:space="preserve"> a symbol of anti-war art and a </w:t>
      </w:r>
      <w:r w:rsidR="005C6189" w:rsidRPr="00FA19C2">
        <w:t xml:space="preserve">protest against </w:t>
      </w:r>
      <w:r w:rsidR="00E70136" w:rsidRPr="00FA19C2">
        <w:t>violence</w:t>
      </w:r>
      <w:r w:rsidR="003F23B3" w:rsidRPr="00FA19C2">
        <w:t>.</w:t>
      </w:r>
      <w:r w:rsidR="00E70136" w:rsidRPr="00FA19C2">
        <w:t xml:space="preserve"> </w:t>
      </w:r>
      <w:r w:rsidR="00057134" w:rsidRPr="00FA19C2">
        <w:t xml:space="preserve">The civilians are painted with rounder lines, scared and helpless, but contrasting this </w:t>
      </w:r>
      <w:r w:rsidR="000A6F69" w:rsidRPr="00FA19C2">
        <w:t xml:space="preserve">a military group is </w:t>
      </w:r>
      <w:r w:rsidR="005C6189" w:rsidRPr="00FA19C2">
        <w:t>depicted, with</w:t>
      </w:r>
      <w:r w:rsidR="000A6F69" w:rsidRPr="00FA19C2">
        <w:t xml:space="preserve"> harsher straight and rigid lines</w:t>
      </w:r>
      <w:r w:rsidR="00055414" w:rsidRPr="00FA19C2">
        <w:t xml:space="preserve">. They resemble robotic beings, </w:t>
      </w:r>
      <w:r w:rsidR="0059336F" w:rsidRPr="00FA19C2">
        <w:t xml:space="preserve">juxtaposing the </w:t>
      </w:r>
      <w:r w:rsidR="00322688" w:rsidRPr="00FA19C2">
        <w:t>depiction</w:t>
      </w:r>
      <w:r w:rsidR="0059336F" w:rsidRPr="00FA19C2">
        <w:t xml:space="preserve"> of the </w:t>
      </w:r>
      <w:r w:rsidR="00322688" w:rsidRPr="00FA19C2">
        <w:t>civilians</w:t>
      </w:r>
      <w:r w:rsidR="0059336F" w:rsidRPr="00FA19C2">
        <w:t>, this portrayal is impersonal and mechanical</w:t>
      </w:r>
      <w:r w:rsidR="00B84EB3" w:rsidRPr="00FA19C2">
        <w:t>, a</w:t>
      </w:r>
      <w:r w:rsidR="00F87230" w:rsidRPr="00FA19C2">
        <w:t xml:space="preserve">ccentuating the </w:t>
      </w:r>
      <w:r w:rsidR="00322688" w:rsidRPr="00FA19C2">
        <w:t>dehumanizing</w:t>
      </w:r>
      <w:r w:rsidR="00F87230" w:rsidRPr="00FA19C2">
        <w:t xml:space="preserve"> aspect of war and military rule.</w:t>
      </w:r>
      <w:r w:rsidR="00600917" w:rsidRPr="00FA19C2">
        <w:t xml:space="preserve"> The colours are soft and muted in the </w:t>
      </w:r>
      <w:r w:rsidR="00322688" w:rsidRPr="00FA19C2">
        <w:t>background, so the grey seems bold and stark in comparison, highlighting the figures.</w:t>
      </w:r>
      <w:r w:rsidR="00322688">
        <w:t xml:space="preserve"> </w:t>
      </w:r>
    </w:p>
    <w:p w14:paraId="50220A10" w14:textId="77777777" w:rsidR="00854CF5" w:rsidRDefault="00854CF5" w:rsidP="00116572"/>
    <w:p w14:paraId="62593EC3" w14:textId="3572D85B" w:rsidR="007530AC" w:rsidRDefault="00E83498">
      <w:r w:rsidRPr="0057390C">
        <w:t xml:space="preserve"> </w:t>
      </w:r>
      <w:r w:rsidR="00E8042F">
        <w:t>To conclude</w:t>
      </w:r>
      <w:r w:rsidRPr="0057390C">
        <w:t>, when analysing art, it is often important to consider the time in which it is being created. The time and the cultural influences of th</w:t>
      </w:r>
      <w:r w:rsidR="00013926">
        <w:t xml:space="preserve">e </w:t>
      </w:r>
      <w:r w:rsidRPr="0057390C">
        <w:t xml:space="preserve">time can often be intersected through art, even unintentionally. With the social, economic, and historical context </w:t>
      </w:r>
      <w:r w:rsidRPr="00F37D6B">
        <w:t xml:space="preserve">being relevant but also the artists place in that society, as their role in that context would also affect their perspective. </w:t>
      </w:r>
      <w:r w:rsidR="003646C8">
        <w:t>This being seen in the exhibition, as every piece highlights a different social injustice and political climate. The first piece highlighting the Holocaust, the second</w:t>
      </w:r>
      <w:r w:rsidR="0072415D">
        <w:t>,</w:t>
      </w:r>
      <w:r w:rsidR="003646C8">
        <w:t xml:space="preserve"> systemic </w:t>
      </w:r>
      <w:r w:rsidR="00E42A48">
        <w:t xml:space="preserve">racism and police brutality, the third underrepresentation and objectification of women, and the fourth being an anti-war piece. </w:t>
      </w:r>
      <w:r w:rsidRPr="00F37D6B">
        <w:t xml:space="preserve">With many social constraints being intersectional it is also important to acknowledge the intersections that </w:t>
      </w:r>
      <w:r w:rsidR="00F37D6B" w:rsidRPr="00F37D6B">
        <w:t xml:space="preserve">coincide. Controversies over public support and reception of the arts have become a staple of the mass media in the late twentieth century. In the U.S, cultural </w:t>
      </w:r>
      <w:r w:rsidR="004F564C" w:rsidRPr="00F37D6B">
        <w:t>institutions</w:t>
      </w:r>
      <w:r w:rsidR="00F37D6B" w:rsidRPr="00F37D6B">
        <w:t xml:space="preserve"> like the National Endowment for the Arts and the National Endowment for the Humanities, principial sponsors for the state-supported production of research in the arts, have been targeted for political takeovers by right-wing political interests</w:t>
      </w:r>
      <w:r w:rsidR="004E0A44">
        <w:t xml:space="preserve">. Art has always been intertwined within society and its expectations, so it is no surprise that is political. </w:t>
      </w:r>
      <w:r w:rsidR="00FD6D1B">
        <w:t>Art reflects the times, and with doing so, also its politics.</w:t>
      </w:r>
      <w:r w:rsidR="00F37D6B" w:rsidRPr="00F37D6B">
        <w:t xml:space="preserve"> </w:t>
      </w:r>
      <w:r w:rsidRPr="00F37D6B">
        <w:t>W</w:t>
      </w:r>
      <w:r w:rsidR="00FD6D1B">
        <w:t xml:space="preserve">hen understanding </w:t>
      </w:r>
      <w:r w:rsidR="00013926">
        <w:t>art,</w:t>
      </w:r>
      <w:r w:rsidR="00FD6D1B">
        <w:t xml:space="preserve"> we must also understand </w:t>
      </w:r>
      <w:r w:rsidRPr="00F37D6B">
        <w:t>the</w:t>
      </w:r>
      <w:r w:rsidR="005C7DBC">
        <w:t xml:space="preserve"> </w:t>
      </w:r>
      <w:r w:rsidRPr="00F37D6B">
        <w:t>historical systems</w:t>
      </w:r>
      <w:r w:rsidR="00F37D6B" w:rsidRPr="00F37D6B">
        <w:t xml:space="preserve"> </w:t>
      </w:r>
      <w:r w:rsidRPr="00F37D6B">
        <w:t>being passed down not only systematically but socially and culturally</w:t>
      </w:r>
      <w:r w:rsidR="005C7DBC">
        <w:t xml:space="preserve">, </w:t>
      </w:r>
      <w:r w:rsidR="00013926">
        <w:t>to</w:t>
      </w:r>
      <w:r w:rsidR="005C7DBC">
        <w:t xml:space="preserve"> fully understand the expression of art. It</w:t>
      </w:r>
      <w:r w:rsidRPr="00F37D6B">
        <w:t xml:space="preserve"> is important to acknowledge the history that they come from and how they adapt over time and become rooted into our modern day lives due to their long history.</w:t>
      </w:r>
    </w:p>
    <w:p w14:paraId="156057F9" w14:textId="77777777" w:rsidR="007530AC" w:rsidRDefault="007530AC"/>
    <w:p w14:paraId="76DCA1A1" w14:textId="3BADC8C1" w:rsidR="00F1224E" w:rsidRPr="00E65407" w:rsidRDefault="009F5758">
      <w:r>
        <w:t>These paintings are displayed in The Glynn Vivian Gallery</w:t>
      </w:r>
    </w:p>
    <w:p w14:paraId="1208A00C" w14:textId="3914F6AD" w:rsidR="00600917" w:rsidRDefault="002F2010">
      <w:pPr>
        <w:rPr>
          <w:u w:val="single"/>
        </w:rPr>
      </w:pPr>
      <w:r>
        <w:rPr>
          <w:noProof/>
          <w:u w:val="single"/>
        </w:rPr>
        <w:drawing>
          <wp:inline distT="0" distB="0" distL="0" distR="0" wp14:anchorId="7448213D" wp14:editId="7708BE02">
            <wp:extent cx="6489939" cy="4876800"/>
            <wp:effectExtent l="0" t="0" r="6350" b="0"/>
            <wp:docPr id="21222942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294263" name="Picture 2122294263"/>
                    <pic:cNvPicPr/>
                  </pic:nvPicPr>
                  <pic:blipFill>
                    <a:blip r:embed="rId14">
                      <a:extLst>
                        <a:ext uri="{28A0092B-C50C-407E-A947-70E740481C1C}">
                          <a14:useLocalDpi xmlns:a14="http://schemas.microsoft.com/office/drawing/2010/main" val="0"/>
                        </a:ext>
                      </a:extLst>
                    </a:blip>
                    <a:stretch>
                      <a:fillRect/>
                    </a:stretch>
                  </pic:blipFill>
                  <pic:spPr>
                    <a:xfrm>
                      <a:off x="0" y="0"/>
                      <a:ext cx="6492171" cy="4878477"/>
                    </a:xfrm>
                    <a:prstGeom prst="rect">
                      <a:avLst/>
                    </a:prstGeom>
                  </pic:spPr>
                </pic:pic>
              </a:graphicData>
            </a:graphic>
          </wp:inline>
        </w:drawing>
      </w:r>
    </w:p>
    <w:p w14:paraId="10995AB6" w14:textId="77777777" w:rsidR="00B34766" w:rsidRDefault="00B34766">
      <w:pPr>
        <w:rPr>
          <w:u w:val="single"/>
        </w:rPr>
      </w:pPr>
    </w:p>
    <w:p w14:paraId="3A230EB4" w14:textId="7F3E358D" w:rsidR="007530AC" w:rsidRDefault="007530AC">
      <w:pPr>
        <w:rPr>
          <w:u w:val="single"/>
        </w:rPr>
      </w:pPr>
      <w:r w:rsidRPr="007530AC">
        <w:rPr>
          <w:u w:val="single"/>
        </w:rPr>
        <w:t>Reference List:</w:t>
      </w:r>
    </w:p>
    <w:p w14:paraId="62E17859" w14:textId="77777777" w:rsidR="009F073E" w:rsidRDefault="009F073E" w:rsidP="009F073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John, W. and Mitchell, T. (1992). </w:t>
      </w:r>
      <w:r>
        <w:rPr>
          <w:rFonts w:ascii="Calibri" w:hAnsi="Calibri" w:cs="Calibri"/>
          <w:i/>
          <w:iCs/>
          <w:color w:val="000000"/>
          <w:sz w:val="27"/>
          <w:szCs w:val="27"/>
        </w:rPr>
        <w:t>Art and the Public Sphere</w:t>
      </w:r>
      <w:r>
        <w:rPr>
          <w:rFonts w:ascii="Calibri" w:hAnsi="Calibri" w:cs="Calibri"/>
          <w:color w:val="000000"/>
          <w:sz w:val="27"/>
          <w:szCs w:val="27"/>
        </w:rPr>
        <w:t>.</w:t>
      </w:r>
    </w:p>
    <w:p w14:paraId="6049789E" w14:textId="77777777" w:rsidR="00F87F74" w:rsidRDefault="00F87F74" w:rsidP="009F073E">
      <w:pPr>
        <w:pStyle w:val="NormalWeb"/>
        <w:spacing w:before="0" w:beforeAutospacing="0" w:after="0" w:afterAutospacing="0" w:line="360" w:lineRule="atLeast"/>
        <w:rPr>
          <w:rFonts w:ascii="Calibri" w:hAnsi="Calibri" w:cs="Calibri"/>
          <w:color w:val="000000"/>
          <w:sz w:val="27"/>
          <w:szCs w:val="27"/>
        </w:rPr>
      </w:pPr>
    </w:p>
    <w:p w14:paraId="5AF0B6A4" w14:textId="4E862CC0" w:rsidR="00F87F74" w:rsidRDefault="00F87F74" w:rsidP="00F87F7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Nikolay, M. (2025). Arts and Social Sciences Journal Commentary Power of Art in Politics: Shaping Through Creative Expression. [online] ://doi.org/10.37421/2151-6200.2025.16.646.</w:t>
      </w:r>
    </w:p>
    <w:p w14:paraId="66338DD1" w14:textId="77777777" w:rsidR="00510755" w:rsidRDefault="00510755" w:rsidP="00F87F74">
      <w:pPr>
        <w:pStyle w:val="NormalWeb"/>
        <w:spacing w:before="0" w:beforeAutospacing="0" w:after="0" w:afterAutospacing="0" w:line="360" w:lineRule="atLeast"/>
        <w:rPr>
          <w:rFonts w:ascii="Calibri" w:hAnsi="Calibri" w:cs="Calibri"/>
          <w:color w:val="000000"/>
          <w:sz w:val="27"/>
          <w:szCs w:val="27"/>
        </w:rPr>
      </w:pPr>
    </w:p>
    <w:p w14:paraId="0CF3394C" w14:textId="7A23AB33" w:rsidR="00510755" w:rsidRDefault="00510755" w:rsidP="00F87F7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Jean</w:t>
      </w:r>
      <w:r w:rsidR="009535E4">
        <w:rPr>
          <w:rFonts w:ascii="Calibri" w:hAnsi="Calibri" w:cs="Calibri"/>
          <w:color w:val="000000"/>
          <w:sz w:val="27"/>
          <w:szCs w:val="27"/>
        </w:rPr>
        <w:t>-Paul Satre</w:t>
      </w:r>
    </w:p>
    <w:p w14:paraId="2031B3B8" w14:textId="77777777" w:rsidR="00C52DE1" w:rsidRDefault="00C52DE1" w:rsidP="00F87F74">
      <w:pPr>
        <w:pStyle w:val="NormalWeb"/>
        <w:spacing w:before="0" w:beforeAutospacing="0" w:after="0" w:afterAutospacing="0" w:line="360" w:lineRule="atLeast"/>
        <w:rPr>
          <w:rFonts w:ascii="Calibri" w:hAnsi="Calibri" w:cs="Calibri"/>
          <w:color w:val="000000"/>
          <w:sz w:val="27"/>
          <w:szCs w:val="27"/>
        </w:rPr>
      </w:pPr>
    </w:p>
    <w:p w14:paraId="3C5B290E" w14:textId="3262F731" w:rsidR="00DA288C" w:rsidRPr="00992C9E" w:rsidRDefault="00DA288C" w:rsidP="00F87F74">
      <w:pPr>
        <w:pStyle w:val="NormalWeb"/>
        <w:spacing w:before="0" w:beforeAutospacing="0" w:after="0" w:afterAutospacing="0" w:line="360" w:lineRule="atLeast"/>
        <w:rPr>
          <w:rFonts w:asciiTheme="minorHAnsi" w:hAnsiTheme="minorHAnsi" w:cs="Calibri"/>
          <w:color w:val="000000"/>
          <w:sz w:val="27"/>
          <w:szCs w:val="27"/>
        </w:rPr>
      </w:pPr>
      <w:r w:rsidRPr="00992C9E">
        <w:rPr>
          <w:rFonts w:asciiTheme="minorHAnsi" w:hAnsiTheme="minorHAnsi"/>
        </w:rPr>
        <w:t>Theodor W. Adorno</w:t>
      </w:r>
    </w:p>
    <w:p w14:paraId="4FDF4A19" w14:textId="77777777" w:rsidR="009535E4" w:rsidRDefault="009535E4" w:rsidP="00F87F74">
      <w:pPr>
        <w:pStyle w:val="NormalWeb"/>
        <w:spacing w:before="0" w:beforeAutospacing="0" w:after="0" w:afterAutospacing="0" w:line="360" w:lineRule="atLeast"/>
        <w:rPr>
          <w:rFonts w:ascii="Calibri" w:hAnsi="Calibri" w:cs="Calibri"/>
          <w:color w:val="000000"/>
          <w:sz w:val="27"/>
          <w:szCs w:val="27"/>
        </w:rPr>
      </w:pPr>
    </w:p>
    <w:p w14:paraId="2C672528" w14:textId="21671664" w:rsidR="009535E4" w:rsidRDefault="00232C87" w:rsidP="00F87F7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Monica Bohm-Duchen</w:t>
      </w:r>
      <w:r w:rsidR="00F93FD4">
        <w:rPr>
          <w:rFonts w:ascii="Calibri" w:hAnsi="Calibri" w:cs="Calibri"/>
          <w:color w:val="000000"/>
          <w:sz w:val="27"/>
          <w:szCs w:val="27"/>
        </w:rPr>
        <w:t>. (1995)</w:t>
      </w:r>
      <w:r w:rsidR="00D638F4">
        <w:rPr>
          <w:rFonts w:ascii="Calibri" w:hAnsi="Calibri" w:cs="Calibri"/>
          <w:color w:val="000000"/>
          <w:sz w:val="27"/>
          <w:szCs w:val="27"/>
        </w:rPr>
        <w:t>. After Auschwitz. Responses to the Holocaust in Contemporary Art</w:t>
      </w:r>
    </w:p>
    <w:p w14:paraId="25F8E888" w14:textId="77777777" w:rsidR="00C11977" w:rsidRDefault="00C11977" w:rsidP="00F87F74">
      <w:pPr>
        <w:pStyle w:val="NormalWeb"/>
        <w:spacing w:before="0" w:beforeAutospacing="0" w:after="0" w:afterAutospacing="0" w:line="360" w:lineRule="atLeast"/>
        <w:rPr>
          <w:rFonts w:ascii="Calibri" w:hAnsi="Calibri" w:cs="Calibri"/>
          <w:color w:val="000000"/>
          <w:sz w:val="27"/>
          <w:szCs w:val="27"/>
        </w:rPr>
      </w:pPr>
    </w:p>
    <w:p w14:paraId="4DA29A64" w14:textId="77777777" w:rsidR="008549F3" w:rsidRDefault="008549F3" w:rsidP="008549F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Powell, R.J. (2002). </w:t>
      </w:r>
      <w:r>
        <w:rPr>
          <w:rFonts w:ascii="Calibri" w:hAnsi="Calibri" w:cs="Calibri"/>
          <w:i/>
          <w:iCs/>
          <w:color w:val="000000"/>
          <w:sz w:val="27"/>
          <w:szCs w:val="27"/>
        </w:rPr>
        <w:t>Black art and culture in the 20th century</w:t>
      </w:r>
      <w:r>
        <w:rPr>
          <w:rFonts w:ascii="Calibri" w:hAnsi="Calibri" w:cs="Calibri"/>
          <w:color w:val="000000"/>
          <w:sz w:val="27"/>
          <w:szCs w:val="27"/>
        </w:rPr>
        <w:t>. London: Thames &amp; Hudson.</w:t>
      </w:r>
    </w:p>
    <w:p w14:paraId="6BBFC9F0" w14:textId="77777777" w:rsidR="00821E51" w:rsidRDefault="00821E51" w:rsidP="008549F3">
      <w:pPr>
        <w:pStyle w:val="NormalWeb"/>
        <w:spacing w:before="0" w:beforeAutospacing="0" w:after="0" w:afterAutospacing="0" w:line="360" w:lineRule="atLeast"/>
        <w:rPr>
          <w:rFonts w:ascii="Calibri" w:hAnsi="Calibri" w:cs="Calibri"/>
          <w:color w:val="000000"/>
          <w:sz w:val="27"/>
          <w:szCs w:val="27"/>
        </w:rPr>
      </w:pPr>
    </w:p>
    <w:p w14:paraId="4836D7F3" w14:textId="77777777" w:rsidR="00821E51" w:rsidRDefault="00821E51" w:rsidP="00821E51">
      <w:pPr>
        <w:pStyle w:val="NormalWeb"/>
        <w:rPr>
          <w:rFonts w:ascii="Calibri" w:hAnsi="Calibri" w:cs="Calibri"/>
          <w:color w:val="000000"/>
          <w:sz w:val="27"/>
          <w:szCs w:val="27"/>
        </w:rPr>
      </w:pPr>
      <w:r w:rsidRPr="00821E51">
        <w:rPr>
          <w:rFonts w:ascii="Calibri" w:hAnsi="Calibri" w:cs="Calibri"/>
          <w:color w:val="000000"/>
          <w:sz w:val="27"/>
          <w:szCs w:val="27"/>
        </w:rPr>
        <w:t>Jo Anna Isaak (2002). </w:t>
      </w:r>
      <w:r w:rsidRPr="00821E51">
        <w:rPr>
          <w:rFonts w:ascii="Calibri" w:hAnsi="Calibri" w:cs="Calibri"/>
          <w:i/>
          <w:iCs/>
          <w:color w:val="000000"/>
          <w:sz w:val="27"/>
          <w:szCs w:val="27"/>
        </w:rPr>
        <w:t>Feminism and Contemporary Art</w:t>
      </w:r>
      <w:r w:rsidRPr="00821E51">
        <w:rPr>
          <w:rFonts w:ascii="Calibri" w:hAnsi="Calibri" w:cs="Calibri"/>
          <w:color w:val="000000"/>
          <w:sz w:val="27"/>
          <w:szCs w:val="27"/>
        </w:rPr>
        <w:t>. Routledge.</w:t>
      </w:r>
    </w:p>
    <w:p w14:paraId="374FA9BE" w14:textId="7DD233D9" w:rsidR="002074F5" w:rsidRDefault="002074F5" w:rsidP="002074F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Guggenheim. (2018). </w:t>
      </w:r>
      <w:r>
        <w:rPr>
          <w:rFonts w:ascii="Calibri" w:hAnsi="Calibri" w:cs="Calibri"/>
          <w:i/>
          <w:iCs/>
          <w:color w:val="000000"/>
          <w:sz w:val="27"/>
          <w:szCs w:val="27"/>
        </w:rPr>
        <w:t>Basquiat’s ‘Defacement’: The Untold Story</w:t>
      </w:r>
      <w:r>
        <w:rPr>
          <w:rFonts w:ascii="Calibri" w:hAnsi="Calibri" w:cs="Calibri"/>
          <w:color w:val="000000"/>
          <w:sz w:val="27"/>
          <w:szCs w:val="27"/>
        </w:rPr>
        <w:t xml:space="preserve">. [online] Available at: </w:t>
      </w:r>
      <w:hyperlink r:id="rId15" w:history="1">
        <w:r w:rsidR="00173F12" w:rsidRPr="00A426F6">
          <w:rPr>
            <w:rStyle w:val="Hyperlink"/>
            <w:rFonts w:ascii="Calibri" w:hAnsi="Calibri" w:cs="Calibri"/>
            <w:sz w:val="27"/>
            <w:szCs w:val="27"/>
          </w:rPr>
          <w:t>https://www.guggenheim.org/exhibition/basquiats-defacement-the-untold-story</w:t>
        </w:r>
      </w:hyperlink>
      <w:r>
        <w:rPr>
          <w:rFonts w:ascii="Calibri" w:hAnsi="Calibri" w:cs="Calibri"/>
          <w:color w:val="000000"/>
          <w:sz w:val="27"/>
          <w:szCs w:val="27"/>
        </w:rPr>
        <w:t>.</w:t>
      </w:r>
    </w:p>
    <w:p w14:paraId="7573C62B" w14:textId="77777777" w:rsidR="00173F12" w:rsidRDefault="00173F12" w:rsidP="002074F5">
      <w:pPr>
        <w:pStyle w:val="NormalWeb"/>
        <w:spacing w:before="0" w:beforeAutospacing="0" w:after="0" w:afterAutospacing="0" w:line="360" w:lineRule="atLeast"/>
        <w:rPr>
          <w:rFonts w:ascii="Calibri" w:hAnsi="Calibri" w:cs="Calibri"/>
          <w:color w:val="000000"/>
          <w:sz w:val="27"/>
          <w:szCs w:val="27"/>
        </w:rPr>
      </w:pPr>
    </w:p>
    <w:p w14:paraId="368199D9" w14:textId="08720791" w:rsidR="00173F12" w:rsidRDefault="00173F12" w:rsidP="00173F1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McInerney, R. (2021). </w:t>
      </w:r>
      <w:r>
        <w:rPr>
          <w:rFonts w:ascii="Calibri" w:hAnsi="Calibri" w:cs="Calibri"/>
          <w:i/>
          <w:iCs/>
          <w:color w:val="000000"/>
          <w:sz w:val="27"/>
          <w:szCs w:val="27"/>
        </w:rPr>
        <w:t>The Male Gaze</w:t>
      </w:r>
      <w:r>
        <w:rPr>
          <w:rFonts w:ascii="Calibri" w:hAnsi="Calibri" w:cs="Calibri"/>
          <w:color w:val="000000"/>
          <w:sz w:val="27"/>
          <w:szCs w:val="27"/>
        </w:rPr>
        <w:t xml:space="preserve">. [online] Art History Perspectives. Available at: </w:t>
      </w:r>
      <w:hyperlink r:id="rId16" w:history="1">
        <w:r w:rsidRPr="00A426F6">
          <w:rPr>
            <w:rStyle w:val="Hyperlink"/>
            <w:rFonts w:ascii="Calibri" w:hAnsi="Calibri" w:cs="Calibri"/>
            <w:sz w:val="27"/>
            <w:szCs w:val="27"/>
          </w:rPr>
          <w:t>https://www.arthistoryperspectives.com/posts/themalegaze</w:t>
        </w:r>
      </w:hyperlink>
      <w:r>
        <w:rPr>
          <w:rFonts w:ascii="Calibri" w:hAnsi="Calibri" w:cs="Calibri"/>
          <w:color w:val="000000"/>
          <w:sz w:val="27"/>
          <w:szCs w:val="27"/>
        </w:rPr>
        <w:t>.</w:t>
      </w:r>
    </w:p>
    <w:p w14:paraId="06ACFD71" w14:textId="77777777" w:rsidR="00024830" w:rsidRDefault="00024830" w:rsidP="00173F12">
      <w:pPr>
        <w:pStyle w:val="NormalWeb"/>
        <w:spacing w:before="0" w:beforeAutospacing="0" w:after="0" w:afterAutospacing="0" w:line="360" w:lineRule="atLeast"/>
        <w:rPr>
          <w:rFonts w:ascii="Calibri" w:hAnsi="Calibri" w:cs="Calibri"/>
          <w:color w:val="000000"/>
          <w:sz w:val="27"/>
          <w:szCs w:val="27"/>
        </w:rPr>
      </w:pPr>
    </w:p>
    <w:p w14:paraId="1424B95B" w14:textId="77777777" w:rsidR="00024830" w:rsidRDefault="00024830" w:rsidP="00173F12">
      <w:pPr>
        <w:pStyle w:val="NormalWeb"/>
        <w:spacing w:before="0" w:beforeAutospacing="0" w:after="0" w:afterAutospacing="0" w:line="360" w:lineRule="atLeast"/>
        <w:rPr>
          <w:rFonts w:ascii="Calibri" w:hAnsi="Calibri" w:cs="Calibri"/>
          <w:color w:val="000000"/>
          <w:sz w:val="27"/>
          <w:szCs w:val="27"/>
        </w:rPr>
      </w:pPr>
    </w:p>
    <w:p w14:paraId="43793066" w14:textId="4D653E85" w:rsidR="00024830" w:rsidRDefault="00024830" w:rsidP="0002483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Retrospect Journal. (2025). </w:t>
      </w:r>
      <w:r>
        <w:rPr>
          <w:rFonts w:ascii="Calibri" w:hAnsi="Calibri" w:cs="Calibri"/>
          <w:i/>
          <w:iCs/>
          <w:color w:val="000000"/>
          <w:sz w:val="27"/>
          <w:szCs w:val="27"/>
        </w:rPr>
        <w:t>Feminist Interventions in Art from 1970 – 2010</w:t>
      </w:r>
      <w:r>
        <w:rPr>
          <w:rFonts w:ascii="Calibri" w:hAnsi="Calibri" w:cs="Calibri"/>
          <w:color w:val="000000"/>
          <w:sz w:val="27"/>
          <w:szCs w:val="27"/>
        </w:rPr>
        <w:t xml:space="preserve">. [online] Available at: </w:t>
      </w:r>
      <w:hyperlink r:id="rId17" w:history="1">
        <w:r w:rsidR="000B17A5" w:rsidRPr="00A426F6">
          <w:rPr>
            <w:rStyle w:val="Hyperlink"/>
            <w:rFonts w:ascii="Calibri" w:hAnsi="Calibri" w:cs="Calibri"/>
            <w:sz w:val="27"/>
            <w:szCs w:val="27"/>
          </w:rPr>
          <w:t>https://retrospectjournal.com/2025/04/13/feminist-interventions-in-art-from-1970-2010/</w:t>
        </w:r>
      </w:hyperlink>
      <w:r>
        <w:rPr>
          <w:rFonts w:ascii="Calibri" w:hAnsi="Calibri" w:cs="Calibri"/>
          <w:color w:val="000000"/>
          <w:sz w:val="27"/>
          <w:szCs w:val="27"/>
        </w:rPr>
        <w:t xml:space="preserve">. </w:t>
      </w:r>
    </w:p>
    <w:p w14:paraId="048A19AE" w14:textId="77777777" w:rsidR="007F224B" w:rsidRDefault="007F224B" w:rsidP="00024830">
      <w:pPr>
        <w:pStyle w:val="NormalWeb"/>
        <w:spacing w:before="0" w:beforeAutospacing="0" w:after="0" w:afterAutospacing="0" w:line="360" w:lineRule="atLeast"/>
        <w:rPr>
          <w:rFonts w:ascii="Calibri" w:hAnsi="Calibri" w:cs="Calibri"/>
          <w:color w:val="000000"/>
          <w:sz w:val="27"/>
          <w:szCs w:val="27"/>
        </w:rPr>
      </w:pPr>
    </w:p>
    <w:p w14:paraId="31DC5560" w14:textId="77777777" w:rsidR="007F224B" w:rsidRDefault="007F224B" w:rsidP="007F224B">
      <w:pPr>
        <w:pStyle w:val="NormalWeb"/>
        <w:rPr>
          <w:rFonts w:ascii="Calibri" w:hAnsi="Calibri" w:cs="Calibri"/>
          <w:color w:val="000000"/>
          <w:sz w:val="27"/>
          <w:szCs w:val="27"/>
        </w:rPr>
      </w:pPr>
      <w:r w:rsidRPr="007F224B">
        <w:rPr>
          <w:rFonts w:ascii="Calibri" w:hAnsi="Calibri" w:cs="Calibri"/>
          <w:color w:val="000000"/>
          <w:sz w:val="27"/>
          <w:szCs w:val="27"/>
        </w:rPr>
        <w:t>Guttsman, W.L. (1997). </w:t>
      </w:r>
      <w:r w:rsidRPr="007F224B">
        <w:rPr>
          <w:rFonts w:ascii="Calibri" w:hAnsi="Calibri" w:cs="Calibri"/>
          <w:i/>
          <w:iCs/>
          <w:color w:val="000000"/>
          <w:sz w:val="27"/>
          <w:szCs w:val="27"/>
        </w:rPr>
        <w:t>Art for the workers : ideology and the visual arts in Weimar Germany</w:t>
      </w:r>
      <w:r w:rsidRPr="007F224B">
        <w:rPr>
          <w:rFonts w:ascii="Calibri" w:hAnsi="Calibri" w:cs="Calibri"/>
          <w:color w:val="000000"/>
          <w:sz w:val="27"/>
          <w:szCs w:val="27"/>
        </w:rPr>
        <w:t>. Manchester ; New York: Manchester University Press ; New York.</w:t>
      </w:r>
    </w:p>
    <w:p w14:paraId="4EF4470D" w14:textId="22117788" w:rsidR="00F1224E" w:rsidRDefault="00F1224E" w:rsidP="007F224B">
      <w:pPr>
        <w:pStyle w:val="NormalWeb"/>
        <w:rPr>
          <w:rFonts w:ascii="Calibri" w:hAnsi="Calibri" w:cs="Calibri"/>
          <w:color w:val="000000"/>
          <w:sz w:val="27"/>
          <w:szCs w:val="27"/>
        </w:rPr>
      </w:pPr>
      <w:r>
        <w:rPr>
          <w:rFonts w:ascii="Calibri" w:hAnsi="Calibri" w:cs="Calibri"/>
          <w:color w:val="000000"/>
          <w:sz w:val="27"/>
          <w:szCs w:val="27"/>
        </w:rPr>
        <w:t>Laura Mulvey, and The Male Gaze Theory</w:t>
      </w:r>
    </w:p>
    <w:p w14:paraId="71B0B70E" w14:textId="77777777" w:rsidR="00F1224E" w:rsidRDefault="00F1224E" w:rsidP="007F224B">
      <w:pPr>
        <w:pStyle w:val="NormalWeb"/>
        <w:rPr>
          <w:rFonts w:ascii="Calibri" w:hAnsi="Calibri" w:cs="Calibri"/>
          <w:color w:val="000000"/>
          <w:sz w:val="27"/>
          <w:szCs w:val="27"/>
        </w:rPr>
      </w:pPr>
    </w:p>
    <w:p w14:paraId="6F0844F1" w14:textId="4E6ADA15" w:rsidR="00F1224E" w:rsidRDefault="00F1224E" w:rsidP="007F224B">
      <w:pPr>
        <w:pStyle w:val="NormalWeb"/>
        <w:rPr>
          <w:rFonts w:ascii="Calibri" w:hAnsi="Calibri" w:cs="Calibri"/>
          <w:color w:val="000000"/>
          <w:sz w:val="27"/>
          <w:szCs w:val="27"/>
        </w:rPr>
      </w:pPr>
      <w:r>
        <w:rPr>
          <w:rFonts w:ascii="Calibri" w:hAnsi="Calibri" w:cs="Calibri"/>
          <w:color w:val="000000"/>
          <w:sz w:val="27"/>
          <w:szCs w:val="27"/>
        </w:rPr>
        <w:t>Kimberle Crenshaw, and Intersectional Feminism</w:t>
      </w:r>
    </w:p>
    <w:p w14:paraId="402F5D2A" w14:textId="77777777" w:rsidR="00992C9E" w:rsidRDefault="00992C9E" w:rsidP="007F224B">
      <w:pPr>
        <w:pStyle w:val="NormalWeb"/>
        <w:rPr>
          <w:rFonts w:ascii="Calibri" w:hAnsi="Calibri" w:cs="Calibri"/>
          <w:color w:val="000000"/>
          <w:sz w:val="27"/>
          <w:szCs w:val="27"/>
        </w:rPr>
      </w:pPr>
    </w:p>
    <w:p w14:paraId="0F47E839" w14:textId="00F6BCB3" w:rsidR="00992C9E" w:rsidRDefault="00992C9E" w:rsidP="00992C9E">
      <w:pPr>
        <w:pStyle w:val="NormalWeb"/>
        <w:rPr>
          <w:rFonts w:ascii="Calibri" w:hAnsi="Calibri" w:cs="Calibri"/>
          <w:color w:val="000000"/>
          <w:sz w:val="27"/>
          <w:szCs w:val="27"/>
        </w:rPr>
      </w:pPr>
      <w:r w:rsidRPr="00992C9E">
        <w:rPr>
          <w:rFonts w:ascii="Calibri" w:hAnsi="Calibri" w:cs="Calibri"/>
          <w:color w:val="000000"/>
          <w:sz w:val="27"/>
          <w:szCs w:val="27"/>
        </w:rPr>
        <w:t>Artchive.com. (2024). </w:t>
      </w:r>
      <w:r w:rsidRPr="00992C9E">
        <w:rPr>
          <w:rFonts w:ascii="Calibri" w:hAnsi="Calibri" w:cs="Calibri"/>
          <w:i/>
          <w:iCs/>
          <w:color w:val="000000"/>
          <w:sz w:val="27"/>
          <w:szCs w:val="27"/>
        </w:rPr>
        <w:t>Massacre in Korea (1951) by Pablo Picasso</w:t>
      </w:r>
      <w:r w:rsidRPr="00992C9E">
        <w:rPr>
          <w:rFonts w:ascii="Calibri" w:hAnsi="Calibri" w:cs="Calibri"/>
          <w:color w:val="000000"/>
          <w:sz w:val="27"/>
          <w:szCs w:val="27"/>
        </w:rPr>
        <w:t>. [online] Available at: https://www.artchive.com/artwork/massacre-in-korea-pablo-picasso-1951/ [Accessed 12 May 2026].</w:t>
      </w:r>
    </w:p>
    <w:p w14:paraId="023F0F10" w14:textId="77777777" w:rsidR="00992C9E" w:rsidRPr="00992C9E" w:rsidRDefault="00992C9E" w:rsidP="00992C9E">
      <w:pPr>
        <w:pStyle w:val="NormalWeb"/>
        <w:rPr>
          <w:rFonts w:ascii="Calibri" w:hAnsi="Calibri" w:cs="Calibri"/>
          <w:color w:val="000000"/>
          <w:sz w:val="27"/>
          <w:szCs w:val="27"/>
        </w:rPr>
      </w:pPr>
    </w:p>
    <w:p w14:paraId="31E8540A" w14:textId="77777777" w:rsidR="00992C9E" w:rsidRPr="00992C9E" w:rsidRDefault="00992C9E" w:rsidP="00992C9E">
      <w:pPr>
        <w:pStyle w:val="NormalWeb"/>
        <w:spacing w:before="0" w:beforeAutospacing="0" w:after="0" w:afterAutospacing="0" w:line="360" w:lineRule="atLeast"/>
        <w:rPr>
          <w:rFonts w:ascii="Calibri" w:hAnsi="Calibri" w:cs="Calibri"/>
          <w:color w:val="000000"/>
          <w:sz w:val="27"/>
          <w:szCs w:val="27"/>
        </w:rPr>
      </w:pPr>
      <w:r w:rsidRPr="00992C9E">
        <w:rPr>
          <w:rFonts w:ascii="Calibri" w:hAnsi="Calibri" w:cs="Calibri"/>
          <w:color w:val="000000"/>
          <w:sz w:val="27"/>
          <w:szCs w:val="27"/>
        </w:rPr>
        <w:t>‌</w:t>
      </w:r>
    </w:p>
    <w:p w14:paraId="6CC4019D" w14:textId="77777777" w:rsidR="007F224B" w:rsidRPr="007F224B" w:rsidRDefault="007F224B" w:rsidP="007F224B">
      <w:pPr>
        <w:pStyle w:val="NormalWeb"/>
        <w:spacing w:before="0" w:beforeAutospacing="0" w:after="0" w:afterAutospacing="0" w:line="360" w:lineRule="atLeast"/>
        <w:rPr>
          <w:rFonts w:ascii="Calibri" w:hAnsi="Calibri" w:cs="Calibri"/>
          <w:color w:val="000000"/>
          <w:sz w:val="27"/>
          <w:szCs w:val="27"/>
        </w:rPr>
      </w:pPr>
      <w:r w:rsidRPr="007F224B">
        <w:rPr>
          <w:rFonts w:ascii="Calibri" w:hAnsi="Calibri" w:cs="Calibri"/>
          <w:color w:val="000000"/>
          <w:sz w:val="27"/>
          <w:szCs w:val="27"/>
        </w:rPr>
        <w:t>‌</w:t>
      </w:r>
    </w:p>
    <w:p w14:paraId="67F9A537" w14:textId="77777777" w:rsidR="00024830" w:rsidRDefault="00024830" w:rsidP="00024830">
      <w:pPr>
        <w:pStyle w:val="NormalWeb"/>
        <w:spacing w:before="0" w:beforeAutospacing="0" w:after="0" w:afterAutospacing="0" w:line="360" w:lineRule="atLeast"/>
        <w:rPr>
          <w:rFonts w:ascii="Calibri" w:hAnsi="Calibri" w:cs="Calibri"/>
          <w:color w:val="000000"/>
          <w:sz w:val="27"/>
          <w:szCs w:val="27"/>
        </w:rPr>
      </w:pPr>
    </w:p>
    <w:p w14:paraId="22AB3417" w14:textId="77777777" w:rsidR="00024830" w:rsidRDefault="00024830" w:rsidP="00024830">
      <w:pPr>
        <w:pStyle w:val="NormalWeb"/>
        <w:spacing w:before="0" w:beforeAutospacing="0" w:after="0" w:afterAutospacing="0" w:line="360" w:lineRule="atLeast"/>
        <w:rPr>
          <w:rFonts w:ascii="Calibri" w:hAnsi="Calibri" w:cs="Calibri"/>
          <w:color w:val="000000"/>
          <w:sz w:val="27"/>
          <w:szCs w:val="27"/>
        </w:rPr>
      </w:pPr>
    </w:p>
    <w:p w14:paraId="1B427EF7" w14:textId="77777777" w:rsidR="00024830" w:rsidRDefault="00024830" w:rsidP="00024830">
      <w:pPr>
        <w:pStyle w:val="NormalWeb"/>
        <w:rPr>
          <w:rFonts w:ascii="Calibri" w:hAnsi="Calibri" w:cs="Calibri"/>
          <w:color w:val="000000"/>
          <w:sz w:val="27"/>
          <w:szCs w:val="27"/>
        </w:rPr>
      </w:pPr>
      <w:r>
        <w:rPr>
          <w:rFonts w:ascii="Calibri" w:hAnsi="Calibri" w:cs="Calibri"/>
          <w:color w:val="000000"/>
          <w:sz w:val="27"/>
          <w:szCs w:val="27"/>
        </w:rPr>
        <w:t>‌</w:t>
      </w:r>
    </w:p>
    <w:p w14:paraId="1B499D91" w14:textId="77777777" w:rsidR="00173F12" w:rsidRDefault="00173F12" w:rsidP="00173F12">
      <w:pPr>
        <w:pStyle w:val="NormalWeb"/>
        <w:spacing w:before="0" w:beforeAutospacing="0" w:after="0" w:afterAutospacing="0" w:line="360" w:lineRule="atLeast"/>
        <w:rPr>
          <w:rFonts w:ascii="Calibri" w:hAnsi="Calibri" w:cs="Calibri"/>
          <w:color w:val="000000"/>
          <w:sz w:val="27"/>
          <w:szCs w:val="27"/>
        </w:rPr>
      </w:pPr>
    </w:p>
    <w:p w14:paraId="11DA29AF" w14:textId="77777777" w:rsidR="00173F12" w:rsidRDefault="00173F12" w:rsidP="00173F12">
      <w:pPr>
        <w:pStyle w:val="NormalWeb"/>
        <w:spacing w:before="0" w:beforeAutospacing="0" w:after="0" w:afterAutospacing="0" w:line="360" w:lineRule="atLeast"/>
        <w:rPr>
          <w:rFonts w:ascii="Calibri" w:hAnsi="Calibri" w:cs="Calibri"/>
          <w:color w:val="000000"/>
          <w:sz w:val="27"/>
          <w:szCs w:val="27"/>
        </w:rPr>
      </w:pPr>
    </w:p>
    <w:p w14:paraId="6935624F" w14:textId="77777777" w:rsidR="00173F12" w:rsidRDefault="00173F12" w:rsidP="00173F12">
      <w:pPr>
        <w:pStyle w:val="NormalWeb"/>
        <w:spacing w:before="0" w:beforeAutospacing="0" w:after="0" w:afterAutospacing="0" w:line="360" w:lineRule="atLeast"/>
        <w:rPr>
          <w:rFonts w:ascii="Calibri" w:hAnsi="Calibri" w:cs="Calibri"/>
          <w:color w:val="000000"/>
          <w:sz w:val="27"/>
          <w:szCs w:val="27"/>
        </w:rPr>
      </w:pPr>
    </w:p>
    <w:p w14:paraId="24F7EA02" w14:textId="77777777" w:rsidR="00173F12" w:rsidRDefault="00173F12" w:rsidP="00173F12">
      <w:pPr>
        <w:pStyle w:val="NormalWeb"/>
        <w:rPr>
          <w:rFonts w:ascii="Calibri" w:hAnsi="Calibri" w:cs="Calibri"/>
          <w:color w:val="000000"/>
          <w:sz w:val="27"/>
          <w:szCs w:val="27"/>
        </w:rPr>
      </w:pPr>
      <w:r>
        <w:rPr>
          <w:rFonts w:ascii="Calibri" w:hAnsi="Calibri" w:cs="Calibri"/>
          <w:color w:val="000000"/>
          <w:sz w:val="27"/>
          <w:szCs w:val="27"/>
        </w:rPr>
        <w:t>‌</w:t>
      </w:r>
    </w:p>
    <w:p w14:paraId="0185FB04" w14:textId="77777777" w:rsidR="00173F12" w:rsidRDefault="00173F12" w:rsidP="002074F5">
      <w:pPr>
        <w:pStyle w:val="NormalWeb"/>
        <w:spacing w:before="0" w:beforeAutospacing="0" w:after="0" w:afterAutospacing="0" w:line="360" w:lineRule="atLeast"/>
        <w:rPr>
          <w:rFonts w:ascii="Calibri" w:hAnsi="Calibri" w:cs="Calibri"/>
          <w:color w:val="000000"/>
          <w:sz w:val="27"/>
          <w:szCs w:val="27"/>
        </w:rPr>
      </w:pPr>
    </w:p>
    <w:p w14:paraId="062F9D57" w14:textId="77777777" w:rsidR="002074F5" w:rsidRDefault="002074F5" w:rsidP="002074F5">
      <w:pPr>
        <w:pStyle w:val="NormalWeb"/>
        <w:rPr>
          <w:rFonts w:ascii="Calibri" w:hAnsi="Calibri" w:cs="Calibri"/>
          <w:color w:val="000000"/>
          <w:sz w:val="27"/>
          <w:szCs w:val="27"/>
        </w:rPr>
      </w:pPr>
      <w:r>
        <w:rPr>
          <w:rFonts w:ascii="Calibri" w:hAnsi="Calibri" w:cs="Calibri"/>
          <w:color w:val="000000"/>
          <w:sz w:val="27"/>
          <w:szCs w:val="27"/>
        </w:rPr>
        <w:t>‌</w:t>
      </w:r>
    </w:p>
    <w:p w14:paraId="3F4D8931" w14:textId="77777777" w:rsidR="002074F5" w:rsidRPr="00821E51" w:rsidRDefault="002074F5" w:rsidP="00821E51">
      <w:pPr>
        <w:pStyle w:val="NormalWeb"/>
        <w:rPr>
          <w:rFonts w:ascii="Calibri" w:hAnsi="Calibri" w:cs="Calibri"/>
          <w:color w:val="000000"/>
          <w:sz w:val="27"/>
          <w:szCs w:val="27"/>
        </w:rPr>
      </w:pPr>
    </w:p>
    <w:p w14:paraId="7209DD38" w14:textId="599D838D" w:rsidR="008549F3" w:rsidRDefault="00821E51" w:rsidP="008549F3">
      <w:pPr>
        <w:pStyle w:val="NormalWeb"/>
        <w:rPr>
          <w:rFonts w:ascii="Calibri" w:hAnsi="Calibri" w:cs="Calibri"/>
          <w:color w:val="000000"/>
          <w:sz w:val="27"/>
          <w:szCs w:val="27"/>
        </w:rPr>
      </w:pPr>
      <w:r w:rsidRPr="00821E51">
        <w:rPr>
          <w:rFonts w:ascii="Calibri" w:hAnsi="Calibri" w:cs="Calibri"/>
          <w:color w:val="000000"/>
          <w:sz w:val="27"/>
          <w:szCs w:val="27"/>
        </w:rPr>
        <w:t>‌</w:t>
      </w:r>
      <w:r w:rsidR="008549F3">
        <w:rPr>
          <w:rFonts w:ascii="Calibri" w:hAnsi="Calibri" w:cs="Calibri"/>
          <w:color w:val="000000"/>
          <w:sz w:val="27"/>
          <w:szCs w:val="27"/>
        </w:rPr>
        <w:t>‌</w:t>
      </w:r>
    </w:p>
    <w:p w14:paraId="7F803E55" w14:textId="3588A670" w:rsidR="00D973C6" w:rsidRDefault="00D973C6" w:rsidP="00D973C6"/>
    <w:p w14:paraId="4B81D74D" w14:textId="77777777" w:rsidR="008549F3" w:rsidRDefault="008549F3" w:rsidP="00F87F74">
      <w:pPr>
        <w:pStyle w:val="NormalWeb"/>
        <w:spacing w:before="0" w:beforeAutospacing="0" w:after="0" w:afterAutospacing="0" w:line="360" w:lineRule="atLeast"/>
        <w:rPr>
          <w:rFonts w:ascii="Calibri" w:hAnsi="Calibri" w:cs="Calibri"/>
          <w:color w:val="000000"/>
          <w:sz w:val="27"/>
          <w:szCs w:val="27"/>
        </w:rPr>
      </w:pPr>
    </w:p>
    <w:p w14:paraId="0B54169B" w14:textId="77777777" w:rsidR="00C11977" w:rsidRDefault="00C11977" w:rsidP="00F87F74">
      <w:pPr>
        <w:pStyle w:val="NormalWeb"/>
        <w:spacing w:before="0" w:beforeAutospacing="0" w:after="0" w:afterAutospacing="0" w:line="360" w:lineRule="atLeast"/>
        <w:rPr>
          <w:rFonts w:ascii="Calibri" w:hAnsi="Calibri" w:cs="Calibri"/>
          <w:color w:val="000000"/>
          <w:sz w:val="27"/>
          <w:szCs w:val="27"/>
        </w:rPr>
      </w:pPr>
    </w:p>
    <w:p w14:paraId="5F9B98E7" w14:textId="77777777" w:rsidR="00F87F74" w:rsidRDefault="00F87F74" w:rsidP="00F87F74">
      <w:pPr>
        <w:pStyle w:val="NormalWeb"/>
        <w:rPr>
          <w:rFonts w:ascii="Calibri" w:hAnsi="Calibri" w:cs="Calibri"/>
          <w:color w:val="000000"/>
          <w:sz w:val="27"/>
          <w:szCs w:val="27"/>
        </w:rPr>
      </w:pPr>
      <w:r>
        <w:rPr>
          <w:rFonts w:ascii="Calibri" w:hAnsi="Calibri" w:cs="Calibri"/>
          <w:color w:val="000000"/>
          <w:sz w:val="27"/>
          <w:szCs w:val="27"/>
        </w:rPr>
        <w:t>‌</w:t>
      </w:r>
    </w:p>
    <w:p w14:paraId="665FEB20" w14:textId="77777777" w:rsidR="006A34C0" w:rsidRDefault="006A34C0" w:rsidP="00F87F74">
      <w:pPr>
        <w:pStyle w:val="NormalWeb"/>
        <w:rPr>
          <w:rFonts w:ascii="Calibri" w:hAnsi="Calibri" w:cs="Calibri"/>
          <w:color w:val="000000"/>
          <w:sz w:val="27"/>
          <w:szCs w:val="27"/>
        </w:rPr>
      </w:pPr>
    </w:p>
    <w:p w14:paraId="44BD2109" w14:textId="77777777" w:rsidR="00F87F74" w:rsidRDefault="00F87F74" w:rsidP="009F073E">
      <w:pPr>
        <w:pStyle w:val="NormalWeb"/>
        <w:spacing w:before="0" w:beforeAutospacing="0" w:after="0" w:afterAutospacing="0" w:line="360" w:lineRule="atLeast"/>
        <w:rPr>
          <w:rFonts w:ascii="Calibri" w:hAnsi="Calibri" w:cs="Calibri"/>
          <w:color w:val="000000"/>
          <w:sz w:val="27"/>
          <w:szCs w:val="27"/>
        </w:rPr>
      </w:pPr>
    </w:p>
    <w:p w14:paraId="7ED2D548" w14:textId="77777777" w:rsidR="009F073E" w:rsidRDefault="009F073E" w:rsidP="009F073E">
      <w:pPr>
        <w:pStyle w:val="NormalWeb"/>
        <w:rPr>
          <w:rFonts w:ascii="Calibri" w:hAnsi="Calibri" w:cs="Calibri"/>
          <w:color w:val="000000"/>
          <w:sz w:val="27"/>
          <w:szCs w:val="27"/>
        </w:rPr>
      </w:pPr>
      <w:r>
        <w:rPr>
          <w:rFonts w:ascii="Calibri" w:hAnsi="Calibri" w:cs="Calibri"/>
          <w:color w:val="000000"/>
          <w:sz w:val="27"/>
          <w:szCs w:val="27"/>
        </w:rPr>
        <w:t>‌</w:t>
      </w:r>
    </w:p>
    <w:p w14:paraId="197B7C4E" w14:textId="4667A020" w:rsidR="009F073E" w:rsidRPr="007530AC" w:rsidRDefault="009F073E">
      <w:pPr>
        <w:rPr>
          <w:u w:val="single"/>
        </w:rPr>
      </w:pPr>
    </w:p>
    <w:p w14:paraId="1845DD66" w14:textId="77777777" w:rsidR="007530AC" w:rsidRDefault="007530AC"/>
    <w:p w14:paraId="312A0919" w14:textId="77777777" w:rsidR="000D02FE" w:rsidRDefault="000D02FE"/>
    <w:p w14:paraId="3F090871" w14:textId="77777777" w:rsidR="000D02FE" w:rsidRDefault="000D02FE"/>
    <w:p w14:paraId="33F6CAF7" w14:textId="77777777" w:rsidR="00AB24AD" w:rsidRDefault="00AB24AD"/>
    <w:p w14:paraId="263F98C5" w14:textId="77777777" w:rsidR="00AB24AD" w:rsidRDefault="00AB24AD"/>
    <w:sectPr w:rsidR="00AB24AD">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32DE4" w14:textId="77777777" w:rsidR="00D20389" w:rsidRDefault="00D20389" w:rsidP="00075B10">
      <w:pPr>
        <w:spacing w:after="0" w:line="240" w:lineRule="auto"/>
      </w:pPr>
      <w:r>
        <w:separator/>
      </w:r>
    </w:p>
  </w:endnote>
  <w:endnote w:type="continuationSeparator" w:id="0">
    <w:p w14:paraId="465B485B" w14:textId="77777777" w:rsidR="00D20389" w:rsidRDefault="00D20389" w:rsidP="00075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4631689"/>
      <w:docPartObj>
        <w:docPartGallery w:val="Page Numbers (Bottom of Page)"/>
        <w:docPartUnique/>
      </w:docPartObj>
    </w:sdtPr>
    <w:sdtContent>
      <w:p w14:paraId="299D1C1E" w14:textId="0DB8E46F" w:rsidR="00075B10" w:rsidRDefault="00075B10">
        <w:pPr>
          <w:pStyle w:val="Footer"/>
          <w:jc w:val="center"/>
        </w:pPr>
        <w:r>
          <w:fldChar w:fldCharType="begin"/>
        </w:r>
        <w:r>
          <w:instrText>PAGE   \* MERGEFORMAT</w:instrText>
        </w:r>
        <w:r>
          <w:fldChar w:fldCharType="separate"/>
        </w:r>
        <w:r>
          <w:t>2</w:t>
        </w:r>
        <w:r>
          <w:fldChar w:fldCharType="end"/>
        </w:r>
      </w:p>
    </w:sdtContent>
  </w:sdt>
  <w:p w14:paraId="4422C4AE" w14:textId="77777777" w:rsidR="00075B10" w:rsidRDefault="00075B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765823" w14:textId="77777777" w:rsidR="00D20389" w:rsidRDefault="00D20389" w:rsidP="00075B10">
      <w:pPr>
        <w:spacing w:after="0" w:line="240" w:lineRule="auto"/>
      </w:pPr>
      <w:r>
        <w:separator/>
      </w:r>
    </w:p>
  </w:footnote>
  <w:footnote w:type="continuationSeparator" w:id="0">
    <w:p w14:paraId="5241F39A" w14:textId="77777777" w:rsidR="00D20389" w:rsidRDefault="00D20389" w:rsidP="00075B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F915D4" w14:textId="76F2B337" w:rsidR="00075B10" w:rsidRDefault="00075B10">
    <w:pPr>
      <w:pStyle w:val="Header"/>
    </w:pPr>
    <w:r>
      <w:t>2517693                                                         ADDA4023                                                       Estefani Bouza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B95"/>
    <w:rsid w:val="00003935"/>
    <w:rsid w:val="00013926"/>
    <w:rsid w:val="00016D68"/>
    <w:rsid w:val="00024830"/>
    <w:rsid w:val="00034B00"/>
    <w:rsid w:val="00041ED4"/>
    <w:rsid w:val="00055414"/>
    <w:rsid w:val="00056DE3"/>
    <w:rsid w:val="00057134"/>
    <w:rsid w:val="00062B99"/>
    <w:rsid w:val="0006383A"/>
    <w:rsid w:val="00074258"/>
    <w:rsid w:val="00075B10"/>
    <w:rsid w:val="00087AC7"/>
    <w:rsid w:val="00093930"/>
    <w:rsid w:val="000A45C5"/>
    <w:rsid w:val="000A65CB"/>
    <w:rsid w:val="000A6F69"/>
    <w:rsid w:val="000B17A5"/>
    <w:rsid w:val="000C32AA"/>
    <w:rsid w:val="000C52C3"/>
    <w:rsid w:val="000D02FE"/>
    <w:rsid w:val="000D031C"/>
    <w:rsid w:val="000D04A6"/>
    <w:rsid w:val="000E7772"/>
    <w:rsid w:val="000F630F"/>
    <w:rsid w:val="0010059D"/>
    <w:rsid w:val="0010576A"/>
    <w:rsid w:val="00115289"/>
    <w:rsid w:val="00116572"/>
    <w:rsid w:val="0012098C"/>
    <w:rsid w:val="00134176"/>
    <w:rsid w:val="00150E72"/>
    <w:rsid w:val="00151AED"/>
    <w:rsid w:val="00166B13"/>
    <w:rsid w:val="00173F12"/>
    <w:rsid w:val="00176440"/>
    <w:rsid w:val="0018669C"/>
    <w:rsid w:val="00190675"/>
    <w:rsid w:val="0019261F"/>
    <w:rsid w:val="00197AE7"/>
    <w:rsid w:val="001C0FEB"/>
    <w:rsid w:val="001C5E08"/>
    <w:rsid w:val="001C7C63"/>
    <w:rsid w:val="001D5B46"/>
    <w:rsid w:val="0020175D"/>
    <w:rsid w:val="002074F5"/>
    <w:rsid w:val="0020762B"/>
    <w:rsid w:val="002138FD"/>
    <w:rsid w:val="00232C87"/>
    <w:rsid w:val="00237F71"/>
    <w:rsid w:val="00245F85"/>
    <w:rsid w:val="00263BF7"/>
    <w:rsid w:val="00264FD2"/>
    <w:rsid w:val="00266A9C"/>
    <w:rsid w:val="00285EF5"/>
    <w:rsid w:val="00294323"/>
    <w:rsid w:val="00297EC0"/>
    <w:rsid w:val="002A2D6C"/>
    <w:rsid w:val="002A7185"/>
    <w:rsid w:val="002B177E"/>
    <w:rsid w:val="002B7044"/>
    <w:rsid w:val="002C4F26"/>
    <w:rsid w:val="002D25FB"/>
    <w:rsid w:val="002D5C08"/>
    <w:rsid w:val="002D6C1D"/>
    <w:rsid w:val="002E1411"/>
    <w:rsid w:val="002F2010"/>
    <w:rsid w:val="002F744B"/>
    <w:rsid w:val="00301BD7"/>
    <w:rsid w:val="00316349"/>
    <w:rsid w:val="003200CE"/>
    <w:rsid w:val="00322688"/>
    <w:rsid w:val="00326DAB"/>
    <w:rsid w:val="003321BC"/>
    <w:rsid w:val="0033746B"/>
    <w:rsid w:val="0034484E"/>
    <w:rsid w:val="00345734"/>
    <w:rsid w:val="0035514F"/>
    <w:rsid w:val="003646C8"/>
    <w:rsid w:val="00371999"/>
    <w:rsid w:val="00372C50"/>
    <w:rsid w:val="00374A09"/>
    <w:rsid w:val="003869D0"/>
    <w:rsid w:val="003A11FC"/>
    <w:rsid w:val="003B1D0A"/>
    <w:rsid w:val="003B341E"/>
    <w:rsid w:val="003C3C8D"/>
    <w:rsid w:val="003C73D1"/>
    <w:rsid w:val="003C7EC9"/>
    <w:rsid w:val="003D4648"/>
    <w:rsid w:val="003F1846"/>
    <w:rsid w:val="003F23B3"/>
    <w:rsid w:val="00404567"/>
    <w:rsid w:val="0042251F"/>
    <w:rsid w:val="00436667"/>
    <w:rsid w:val="00442071"/>
    <w:rsid w:val="004424BA"/>
    <w:rsid w:val="004574A6"/>
    <w:rsid w:val="00457B95"/>
    <w:rsid w:val="00466022"/>
    <w:rsid w:val="00466890"/>
    <w:rsid w:val="00472C08"/>
    <w:rsid w:val="00483196"/>
    <w:rsid w:val="00485257"/>
    <w:rsid w:val="00492A08"/>
    <w:rsid w:val="004B17F4"/>
    <w:rsid w:val="004B20EE"/>
    <w:rsid w:val="004B5D37"/>
    <w:rsid w:val="004B69BC"/>
    <w:rsid w:val="004B6C39"/>
    <w:rsid w:val="004C1489"/>
    <w:rsid w:val="004C68FE"/>
    <w:rsid w:val="004D0E5D"/>
    <w:rsid w:val="004D3204"/>
    <w:rsid w:val="004D35AA"/>
    <w:rsid w:val="004D409B"/>
    <w:rsid w:val="004D4658"/>
    <w:rsid w:val="004E0A44"/>
    <w:rsid w:val="004F40EC"/>
    <w:rsid w:val="004F564C"/>
    <w:rsid w:val="004F62D9"/>
    <w:rsid w:val="004F6317"/>
    <w:rsid w:val="00500112"/>
    <w:rsid w:val="00510755"/>
    <w:rsid w:val="005179D4"/>
    <w:rsid w:val="005205E9"/>
    <w:rsid w:val="00521FF9"/>
    <w:rsid w:val="0052775B"/>
    <w:rsid w:val="00540FF5"/>
    <w:rsid w:val="00542B38"/>
    <w:rsid w:val="00544820"/>
    <w:rsid w:val="00544FC8"/>
    <w:rsid w:val="005516C0"/>
    <w:rsid w:val="00554A9D"/>
    <w:rsid w:val="005914AA"/>
    <w:rsid w:val="0059336F"/>
    <w:rsid w:val="00595C74"/>
    <w:rsid w:val="0059641D"/>
    <w:rsid w:val="005B1786"/>
    <w:rsid w:val="005B2481"/>
    <w:rsid w:val="005B6852"/>
    <w:rsid w:val="005B6D18"/>
    <w:rsid w:val="005C0B77"/>
    <w:rsid w:val="005C6189"/>
    <w:rsid w:val="005C6BFC"/>
    <w:rsid w:val="005C7DBC"/>
    <w:rsid w:val="005D18DD"/>
    <w:rsid w:val="005D7D6E"/>
    <w:rsid w:val="005E0CBF"/>
    <w:rsid w:val="005F1A56"/>
    <w:rsid w:val="005F253C"/>
    <w:rsid w:val="005F386D"/>
    <w:rsid w:val="006007B2"/>
    <w:rsid w:val="00600917"/>
    <w:rsid w:val="00605808"/>
    <w:rsid w:val="00605D6B"/>
    <w:rsid w:val="00610EEB"/>
    <w:rsid w:val="00612187"/>
    <w:rsid w:val="00616FB7"/>
    <w:rsid w:val="006309CA"/>
    <w:rsid w:val="006369A3"/>
    <w:rsid w:val="00642C07"/>
    <w:rsid w:val="00642FB9"/>
    <w:rsid w:val="00645FCF"/>
    <w:rsid w:val="00664AD0"/>
    <w:rsid w:val="00664BDD"/>
    <w:rsid w:val="00682934"/>
    <w:rsid w:val="006853D4"/>
    <w:rsid w:val="006A34C0"/>
    <w:rsid w:val="006B222E"/>
    <w:rsid w:val="006C197A"/>
    <w:rsid w:val="006C2966"/>
    <w:rsid w:val="006D6D4F"/>
    <w:rsid w:val="006E6A21"/>
    <w:rsid w:val="006F1842"/>
    <w:rsid w:val="006F3AB2"/>
    <w:rsid w:val="006F6489"/>
    <w:rsid w:val="007072AF"/>
    <w:rsid w:val="0071129A"/>
    <w:rsid w:val="007132E1"/>
    <w:rsid w:val="007144A0"/>
    <w:rsid w:val="00716E99"/>
    <w:rsid w:val="0072415D"/>
    <w:rsid w:val="00730A7B"/>
    <w:rsid w:val="00732672"/>
    <w:rsid w:val="00733622"/>
    <w:rsid w:val="00746F84"/>
    <w:rsid w:val="007530AC"/>
    <w:rsid w:val="007547C1"/>
    <w:rsid w:val="007567B3"/>
    <w:rsid w:val="007718FE"/>
    <w:rsid w:val="00772504"/>
    <w:rsid w:val="0078653A"/>
    <w:rsid w:val="00787211"/>
    <w:rsid w:val="00790BDE"/>
    <w:rsid w:val="007A0AF7"/>
    <w:rsid w:val="007A28B8"/>
    <w:rsid w:val="007B2FE9"/>
    <w:rsid w:val="007C1050"/>
    <w:rsid w:val="007C3110"/>
    <w:rsid w:val="007D2EBD"/>
    <w:rsid w:val="007D4C21"/>
    <w:rsid w:val="007D6DCF"/>
    <w:rsid w:val="007E32AA"/>
    <w:rsid w:val="007E353D"/>
    <w:rsid w:val="007E45AA"/>
    <w:rsid w:val="007F02F2"/>
    <w:rsid w:val="007F224B"/>
    <w:rsid w:val="007F61AB"/>
    <w:rsid w:val="008005D1"/>
    <w:rsid w:val="00812490"/>
    <w:rsid w:val="0081332D"/>
    <w:rsid w:val="0081599A"/>
    <w:rsid w:val="00817592"/>
    <w:rsid w:val="00817CA9"/>
    <w:rsid w:val="008211F4"/>
    <w:rsid w:val="00821E51"/>
    <w:rsid w:val="008377AC"/>
    <w:rsid w:val="0084363C"/>
    <w:rsid w:val="00845A1A"/>
    <w:rsid w:val="008467A2"/>
    <w:rsid w:val="008549F3"/>
    <w:rsid w:val="00854CF5"/>
    <w:rsid w:val="00860005"/>
    <w:rsid w:val="00871210"/>
    <w:rsid w:val="00871B94"/>
    <w:rsid w:val="008810C3"/>
    <w:rsid w:val="008826C3"/>
    <w:rsid w:val="00884E1B"/>
    <w:rsid w:val="00885454"/>
    <w:rsid w:val="008A2152"/>
    <w:rsid w:val="008A2E3E"/>
    <w:rsid w:val="008B3D24"/>
    <w:rsid w:val="008B560C"/>
    <w:rsid w:val="008B6AB2"/>
    <w:rsid w:val="008B7DCD"/>
    <w:rsid w:val="008C201B"/>
    <w:rsid w:val="008C6782"/>
    <w:rsid w:val="008D3757"/>
    <w:rsid w:val="008E3031"/>
    <w:rsid w:val="008E5234"/>
    <w:rsid w:val="00900E6F"/>
    <w:rsid w:val="00901487"/>
    <w:rsid w:val="00902DA4"/>
    <w:rsid w:val="009043A5"/>
    <w:rsid w:val="00910EF1"/>
    <w:rsid w:val="009137CB"/>
    <w:rsid w:val="00927B86"/>
    <w:rsid w:val="009315ED"/>
    <w:rsid w:val="009348B0"/>
    <w:rsid w:val="00944FE1"/>
    <w:rsid w:val="00950D26"/>
    <w:rsid w:val="009535E4"/>
    <w:rsid w:val="00964D4E"/>
    <w:rsid w:val="00966058"/>
    <w:rsid w:val="0097044C"/>
    <w:rsid w:val="00973FC5"/>
    <w:rsid w:val="00975CAB"/>
    <w:rsid w:val="00992C9E"/>
    <w:rsid w:val="00993948"/>
    <w:rsid w:val="009A14D7"/>
    <w:rsid w:val="009A1922"/>
    <w:rsid w:val="009A464F"/>
    <w:rsid w:val="009A4E1A"/>
    <w:rsid w:val="009D2508"/>
    <w:rsid w:val="009E0119"/>
    <w:rsid w:val="009F073E"/>
    <w:rsid w:val="009F5758"/>
    <w:rsid w:val="00A04E95"/>
    <w:rsid w:val="00A1308B"/>
    <w:rsid w:val="00A13F84"/>
    <w:rsid w:val="00A2505A"/>
    <w:rsid w:val="00A2668E"/>
    <w:rsid w:val="00A32429"/>
    <w:rsid w:val="00A4027A"/>
    <w:rsid w:val="00A47965"/>
    <w:rsid w:val="00A5690B"/>
    <w:rsid w:val="00A67185"/>
    <w:rsid w:val="00A70B12"/>
    <w:rsid w:val="00A763CF"/>
    <w:rsid w:val="00A767EA"/>
    <w:rsid w:val="00A835D4"/>
    <w:rsid w:val="00A90923"/>
    <w:rsid w:val="00AA0E98"/>
    <w:rsid w:val="00AA1D81"/>
    <w:rsid w:val="00AB02A3"/>
    <w:rsid w:val="00AB24AD"/>
    <w:rsid w:val="00AB3B95"/>
    <w:rsid w:val="00AB4189"/>
    <w:rsid w:val="00AB5ACA"/>
    <w:rsid w:val="00AC0157"/>
    <w:rsid w:val="00AC7B5A"/>
    <w:rsid w:val="00AD0F99"/>
    <w:rsid w:val="00AD7172"/>
    <w:rsid w:val="00AE790F"/>
    <w:rsid w:val="00B10034"/>
    <w:rsid w:val="00B14622"/>
    <w:rsid w:val="00B1654B"/>
    <w:rsid w:val="00B23E5D"/>
    <w:rsid w:val="00B341D1"/>
    <w:rsid w:val="00B34766"/>
    <w:rsid w:val="00B40994"/>
    <w:rsid w:val="00B5071E"/>
    <w:rsid w:val="00B5168A"/>
    <w:rsid w:val="00B54300"/>
    <w:rsid w:val="00B606BE"/>
    <w:rsid w:val="00B650D1"/>
    <w:rsid w:val="00B65C46"/>
    <w:rsid w:val="00B66CC8"/>
    <w:rsid w:val="00B845E5"/>
    <w:rsid w:val="00B84EB3"/>
    <w:rsid w:val="00B87F15"/>
    <w:rsid w:val="00B9724E"/>
    <w:rsid w:val="00BA0764"/>
    <w:rsid w:val="00BA3380"/>
    <w:rsid w:val="00BA553C"/>
    <w:rsid w:val="00BB4F62"/>
    <w:rsid w:val="00BC0874"/>
    <w:rsid w:val="00BC1745"/>
    <w:rsid w:val="00BC17D7"/>
    <w:rsid w:val="00BC74B2"/>
    <w:rsid w:val="00BC7BD4"/>
    <w:rsid w:val="00BD2AFD"/>
    <w:rsid w:val="00BD3721"/>
    <w:rsid w:val="00BE3214"/>
    <w:rsid w:val="00BE6ACB"/>
    <w:rsid w:val="00BF0A7B"/>
    <w:rsid w:val="00BF11F8"/>
    <w:rsid w:val="00BF5315"/>
    <w:rsid w:val="00C063B5"/>
    <w:rsid w:val="00C07F56"/>
    <w:rsid w:val="00C118A0"/>
    <w:rsid w:val="00C11977"/>
    <w:rsid w:val="00C16951"/>
    <w:rsid w:val="00C173DF"/>
    <w:rsid w:val="00C306E7"/>
    <w:rsid w:val="00C41DF5"/>
    <w:rsid w:val="00C440E2"/>
    <w:rsid w:val="00C4446D"/>
    <w:rsid w:val="00C462EB"/>
    <w:rsid w:val="00C47160"/>
    <w:rsid w:val="00C47B93"/>
    <w:rsid w:val="00C52DE1"/>
    <w:rsid w:val="00C56634"/>
    <w:rsid w:val="00C573D5"/>
    <w:rsid w:val="00C66327"/>
    <w:rsid w:val="00C71F72"/>
    <w:rsid w:val="00C7492F"/>
    <w:rsid w:val="00C77E57"/>
    <w:rsid w:val="00C852CD"/>
    <w:rsid w:val="00C942A7"/>
    <w:rsid w:val="00C94E53"/>
    <w:rsid w:val="00CB2162"/>
    <w:rsid w:val="00CB223D"/>
    <w:rsid w:val="00CD03F7"/>
    <w:rsid w:val="00CD0BDA"/>
    <w:rsid w:val="00CE1F98"/>
    <w:rsid w:val="00D0508E"/>
    <w:rsid w:val="00D10639"/>
    <w:rsid w:val="00D20389"/>
    <w:rsid w:val="00D33B9F"/>
    <w:rsid w:val="00D33C39"/>
    <w:rsid w:val="00D4055D"/>
    <w:rsid w:val="00D43429"/>
    <w:rsid w:val="00D4689D"/>
    <w:rsid w:val="00D46913"/>
    <w:rsid w:val="00D47DE8"/>
    <w:rsid w:val="00D638F4"/>
    <w:rsid w:val="00D82CA3"/>
    <w:rsid w:val="00D927A6"/>
    <w:rsid w:val="00D973C6"/>
    <w:rsid w:val="00DA288C"/>
    <w:rsid w:val="00DA3F4D"/>
    <w:rsid w:val="00DA7104"/>
    <w:rsid w:val="00DC2A3C"/>
    <w:rsid w:val="00DC3F31"/>
    <w:rsid w:val="00DD0F2F"/>
    <w:rsid w:val="00DD1EB1"/>
    <w:rsid w:val="00DD6294"/>
    <w:rsid w:val="00DE2BB0"/>
    <w:rsid w:val="00DE419B"/>
    <w:rsid w:val="00E0073D"/>
    <w:rsid w:val="00E02820"/>
    <w:rsid w:val="00E06A9B"/>
    <w:rsid w:val="00E112F2"/>
    <w:rsid w:val="00E11358"/>
    <w:rsid w:val="00E119ED"/>
    <w:rsid w:val="00E15D55"/>
    <w:rsid w:val="00E235E9"/>
    <w:rsid w:val="00E250D0"/>
    <w:rsid w:val="00E26D08"/>
    <w:rsid w:val="00E30875"/>
    <w:rsid w:val="00E37449"/>
    <w:rsid w:val="00E42A48"/>
    <w:rsid w:val="00E55FFB"/>
    <w:rsid w:val="00E65407"/>
    <w:rsid w:val="00E70136"/>
    <w:rsid w:val="00E8042F"/>
    <w:rsid w:val="00E83498"/>
    <w:rsid w:val="00E84B57"/>
    <w:rsid w:val="00E854A0"/>
    <w:rsid w:val="00EB588B"/>
    <w:rsid w:val="00EC2C53"/>
    <w:rsid w:val="00EC73DF"/>
    <w:rsid w:val="00EE40A8"/>
    <w:rsid w:val="00EF0266"/>
    <w:rsid w:val="00EF19A3"/>
    <w:rsid w:val="00F0033A"/>
    <w:rsid w:val="00F06DBF"/>
    <w:rsid w:val="00F07806"/>
    <w:rsid w:val="00F10360"/>
    <w:rsid w:val="00F105C9"/>
    <w:rsid w:val="00F11BF4"/>
    <w:rsid w:val="00F1224E"/>
    <w:rsid w:val="00F142AD"/>
    <w:rsid w:val="00F3706C"/>
    <w:rsid w:val="00F37D6B"/>
    <w:rsid w:val="00F413EF"/>
    <w:rsid w:val="00F45D3D"/>
    <w:rsid w:val="00F5168E"/>
    <w:rsid w:val="00F546AA"/>
    <w:rsid w:val="00F5522E"/>
    <w:rsid w:val="00F573A1"/>
    <w:rsid w:val="00F7193F"/>
    <w:rsid w:val="00F863E1"/>
    <w:rsid w:val="00F87230"/>
    <w:rsid w:val="00F87F74"/>
    <w:rsid w:val="00F93D09"/>
    <w:rsid w:val="00F93FD4"/>
    <w:rsid w:val="00FA183B"/>
    <w:rsid w:val="00FA19C2"/>
    <w:rsid w:val="00FA1D5C"/>
    <w:rsid w:val="00FA5D77"/>
    <w:rsid w:val="00FB4F5A"/>
    <w:rsid w:val="00FD6D1B"/>
    <w:rsid w:val="00FF3ECF"/>
    <w:rsid w:val="00FF6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78BC4"/>
  <w15:chartTrackingRefBased/>
  <w15:docId w15:val="{4C727EAB-A7B9-4A6D-811F-80CE99F55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B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3B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3B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3B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B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B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B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B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B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B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3B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3B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3B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3B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3B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3B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3B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3B95"/>
    <w:rPr>
      <w:rFonts w:eastAsiaTheme="majorEastAsia" w:cstheme="majorBidi"/>
      <w:color w:val="272727" w:themeColor="text1" w:themeTint="D8"/>
    </w:rPr>
  </w:style>
  <w:style w:type="paragraph" w:styleId="Title">
    <w:name w:val="Title"/>
    <w:basedOn w:val="Normal"/>
    <w:next w:val="Normal"/>
    <w:link w:val="TitleChar"/>
    <w:uiPriority w:val="10"/>
    <w:qFormat/>
    <w:rsid w:val="00AB3B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B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3B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B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3B95"/>
    <w:pPr>
      <w:spacing w:before="160"/>
      <w:jc w:val="center"/>
    </w:pPr>
    <w:rPr>
      <w:i/>
      <w:iCs/>
      <w:color w:val="404040" w:themeColor="text1" w:themeTint="BF"/>
    </w:rPr>
  </w:style>
  <w:style w:type="character" w:customStyle="1" w:styleId="QuoteChar">
    <w:name w:val="Quote Char"/>
    <w:basedOn w:val="DefaultParagraphFont"/>
    <w:link w:val="Quote"/>
    <w:uiPriority w:val="29"/>
    <w:rsid w:val="00AB3B95"/>
    <w:rPr>
      <w:i/>
      <w:iCs/>
      <w:color w:val="404040" w:themeColor="text1" w:themeTint="BF"/>
    </w:rPr>
  </w:style>
  <w:style w:type="paragraph" w:styleId="ListParagraph">
    <w:name w:val="List Paragraph"/>
    <w:basedOn w:val="Normal"/>
    <w:uiPriority w:val="34"/>
    <w:qFormat/>
    <w:rsid w:val="00AB3B95"/>
    <w:pPr>
      <w:ind w:left="720"/>
      <w:contextualSpacing/>
    </w:pPr>
  </w:style>
  <w:style w:type="character" w:styleId="IntenseEmphasis">
    <w:name w:val="Intense Emphasis"/>
    <w:basedOn w:val="DefaultParagraphFont"/>
    <w:uiPriority w:val="21"/>
    <w:qFormat/>
    <w:rsid w:val="00AB3B95"/>
    <w:rPr>
      <w:i/>
      <w:iCs/>
      <w:color w:val="0F4761" w:themeColor="accent1" w:themeShade="BF"/>
    </w:rPr>
  </w:style>
  <w:style w:type="paragraph" w:styleId="IntenseQuote">
    <w:name w:val="Intense Quote"/>
    <w:basedOn w:val="Normal"/>
    <w:next w:val="Normal"/>
    <w:link w:val="IntenseQuoteChar"/>
    <w:uiPriority w:val="30"/>
    <w:qFormat/>
    <w:rsid w:val="00AB3B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B95"/>
    <w:rPr>
      <w:i/>
      <w:iCs/>
      <w:color w:val="0F4761" w:themeColor="accent1" w:themeShade="BF"/>
    </w:rPr>
  </w:style>
  <w:style w:type="character" w:styleId="IntenseReference">
    <w:name w:val="Intense Reference"/>
    <w:basedOn w:val="DefaultParagraphFont"/>
    <w:uiPriority w:val="32"/>
    <w:qFormat/>
    <w:rsid w:val="00AB3B95"/>
    <w:rPr>
      <w:b/>
      <w:bCs/>
      <w:smallCaps/>
      <w:color w:val="0F4761" w:themeColor="accent1" w:themeShade="BF"/>
      <w:spacing w:val="5"/>
    </w:rPr>
  </w:style>
  <w:style w:type="paragraph" w:styleId="Header">
    <w:name w:val="header"/>
    <w:basedOn w:val="Normal"/>
    <w:link w:val="HeaderChar"/>
    <w:uiPriority w:val="99"/>
    <w:unhideWhenUsed/>
    <w:rsid w:val="00075B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B10"/>
  </w:style>
  <w:style w:type="paragraph" w:styleId="Footer">
    <w:name w:val="footer"/>
    <w:basedOn w:val="Normal"/>
    <w:link w:val="FooterChar"/>
    <w:uiPriority w:val="99"/>
    <w:unhideWhenUsed/>
    <w:rsid w:val="00075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B10"/>
  </w:style>
  <w:style w:type="paragraph" w:styleId="NormalWeb">
    <w:name w:val="Normal (Web)"/>
    <w:basedOn w:val="Normal"/>
    <w:uiPriority w:val="99"/>
    <w:unhideWhenUsed/>
    <w:rsid w:val="009F073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73F12"/>
    <w:rPr>
      <w:color w:val="467886" w:themeColor="hyperlink"/>
      <w:u w:val="single"/>
    </w:rPr>
  </w:style>
  <w:style w:type="character" w:styleId="UnresolvedMention">
    <w:name w:val="Unresolved Mention"/>
    <w:basedOn w:val="DefaultParagraphFont"/>
    <w:uiPriority w:val="99"/>
    <w:semiHidden/>
    <w:unhideWhenUsed/>
    <w:rsid w:val="00173F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retrospectjournal.com/2025/04/13/feminist-interventions-in-art-from-1970-2010/" TargetMode="External"/><Relationship Id="rId2" Type="http://schemas.openxmlformats.org/officeDocument/2006/relationships/customXml" Target="../customXml/item2.xml"/><Relationship Id="rId16" Type="http://schemas.openxmlformats.org/officeDocument/2006/relationships/hyperlink" Target="https://www.arthistoryperspectives.com/posts/themalegaz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guggenheim.org/exhibition/basquiats-defacement-the-untold-story"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bf44b9e45c6a4df69beeadf4d4403d5c">
  <xsd:schema xmlns:xsd="http://www.w3.org/2001/XMLSchema" xmlns:xs="http://www.w3.org/2001/XMLSchema" xmlns:p="http://schemas.microsoft.com/office/2006/metadata/properties" xmlns:ns3="b4f9f7ee-5770-4a14-8925-17f3d16e50b7" targetNamespace="http://schemas.microsoft.com/office/2006/metadata/properties" ma:root="true" ma:fieldsID="5d222a9ea907c9dcfc47031ba7c8681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37777A-102C-4C71-B7B5-6C5E12FD618F}">
  <ds:schemaRefs>
    <ds:schemaRef ds:uri="http://schemas.microsoft.com/sharepoint/v3/contenttype/forms"/>
  </ds:schemaRefs>
</ds:datastoreItem>
</file>

<file path=customXml/itemProps2.xml><?xml version="1.0" encoding="utf-8"?>
<ds:datastoreItem xmlns:ds="http://schemas.openxmlformats.org/officeDocument/2006/customXml" ds:itemID="{4C1C1C00-2347-42DD-A121-205EDAD6C6D8}">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83BFCE2D-26C9-4DA1-A141-EB6FFFA29B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595</TotalTime>
  <Pages>1</Pages>
  <Words>2041</Words>
  <Characters>11634</Characters>
  <Application>Microsoft Office Word</Application>
  <DocSecurity>4</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Cariad Lewis (2517693)</dc:creator>
  <cp:keywords/>
  <dc:description/>
  <cp:lastModifiedBy>Cariad Lewis (2517693)</cp:lastModifiedBy>
  <cp:revision>394</cp:revision>
  <dcterms:created xsi:type="dcterms:W3CDTF">2026-04-29T08:56:00Z</dcterms:created>
  <dcterms:modified xsi:type="dcterms:W3CDTF">2026-05-22T19:06:00Z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