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Override PartName="/word/glossary/fontTable.xml" ContentType="application/vnd.openxmlformats-officedocument.wordprocessingml.fontTable+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3.xml" ContentType="application/vnd.openxmlformats-officedocument.wordprocessingml.footer+xml"/>
  <Override PartName="/word/glossary/document.xml" ContentType="application/vnd.openxmlformats-officedocument.wordprocessingml.document.glossary+xml"/>
  <Override PartName="/word/footer1.xml" ContentType="application/vnd.openxmlformats-officedocument.wordprocessingml.footer+xml"/>
  <Override PartName="/word/theme/theme1.xml" ContentType="application/vnd.openxmlformats-officedocument.theme+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0E5111" w:rsidRDefault="000E5111" w:rsidP="00D4406F">
      <w:pPr>
        <w:spacing w:line="360" w:lineRule="auto"/>
        <w:jc w:val="center"/>
        <w:rPr>
          <w:rFonts w:cstheme="minorHAnsi"/>
          <w:b/>
          <w:sz w:val="24"/>
          <w:szCs w:val="24"/>
          <w:u w:val="single"/>
        </w:rPr>
      </w:pPr>
    </w:p>
    <w:p w:rsidR="000E5111" w:rsidRPr="00F87689" w:rsidRDefault="009B2299" w:rsidP="00D4406F">
      <w:pPr>
        <w:spacing w:line="360" w:lineRule="auto"/>
        <w:jc w:val="center"/>
        <w:rPr>
          <w:rFonts w:cstheme="minorHAnsi"/>
          <w:b/>
          <w:sz w:val="24"/>
          <w:szCs w:val="24"/>
          <w:u w:val="single"/>
        </w:rPr>
      </w:pPr>
      <w:r>
        <w:rPr>
          <w:rFonts w:cstheme="minorHAnsi"/>
          <w:b/>
          <w:sz w:val="24"/>
          <w:szCs w:val="24"/>
          <w:u w:val="single"/>
        </w:rPr>
        <w:t>Concepts of Teaching and Learning</w:t>
      </w:r>
    </w:p>
    <w:p w:rsidR="000E5111" w:rsidRDefault="000E5111" w:rsidP="00D4406F">
      <w:pPr>
        <w:spacing w:line="360" w:lineRule="auto"/>
        <w:rPr>
          <w:rFonts w:cstheme="minorHAnsi"/>
          <w:sz w:val="24"/>
          <w:szCs w:val="24"/>
        </w:rPr>
      </w:pPr>
      <w:r w:rsidRPr="00A712F7">
        <w:rPr>
          <w:rFonts w:cstheme="minorHAnsi"/>
          <w:sz w:val="24"/>
          <w:szCs w:val="24"/>
        </w:rPr>
        <w:t xml:space="preserve">Higher education, described by the former council for National Academic Awards, as the development of students intellectual and imaginative powers, their understanding and judgment, their problem-solving skills, their ability to see relationships within what they have learned and to perceive their field of study in a broader perspective. The programme must aim to stimulate an enquiring, analytical and creative approach, encouraging independent judgment and critical self-awareness </w:t>
      </w:r>
      <w:sdt>
        <w:sdtPr>
          <w:rPr>
            <w:rFonts w:cstheme="minorHAnsi"/>
            <w:sz w:val="24"/>
            <w:szCs w:val="24"/>
          </w:rPr>
          <w:id w:val="1941331261"/>
          <w:citation/>
        </w:sdtPr>
        <w:sdtContent>
          <w:r w:rsidR="00870D93">
            <w:rPr>
              <w:rFonts w:cstheme="minorHAnsi"/>
              <w:sz w:val="24"/>
              <w:szCs w:val="24"/>
            </w:rPr>
            <w:fldChar w:fldCharType="begin"/>
          </w:r>
          <w:r>
            <w:rPr>
              <w:rFonts w:cstheme="minorHAnsi"/>
              <w:sz w:val="24"/>
              <w:szCs w:val="24"/>
            </w:rPr>
            <w:instrText xml:space="preserve"> CITATION Pau03 \l 2057 </w:instrText>
          </w:r>
          <w:r w:rsidR="00870D93">
            <w:rPr>
              <w:rFonts w:cstheme="minorHAnsi"/>
              <w:sz w:val="24"/>
              <w:szCs w:val="24"/>
            </w:rPr>
            <w:fldChar w:fldCharType="separate"/>
          </w:r>
          <w:r w:rsidRPr="004E4057">
            <w:rPr>
              <w:rFonts w:cstheme="minorHAnsi"/>
              <w:noProof/>
              <w:sz w:val="24"/>
              <w:szCs w:val="24"/>
            </w:rPr>
            <w:t>(Ramsden, 2003)</w:t>
          </w:r>
          <w:r w:rsidR="00870D93">
            <w:rPr>
              <w:rFonts w:cstheme="minorHAnsi"/>
              <w:sz w:val="24"/>
              <w:szCs w:val="24"/>
            </w:rPr>
            <w:fldChar w:fldCharType="end"/>
          </w:r>
        </w:sdtContent>
      </w:sdt>
      <w:r>
        <w:rPr>
          <w:rFonts w:cstheme="minorHAnsi"/>
          <w:sz w:val="24"/>
          <w:szCs w:val="24"/>
        </w:rPr>
        <w:t>.</w:t>
      </w:r>
    </w:p>
    <w:p w:rsidR="000E5111" w:rsidRDefault="000E5111" w:rsidP="00D4406F">
      <w:pPr>
        <w:spacing w:line="360" w:lineRule="auto"/>
        <w:rPr>
          <w:rFonts w:cstheme="minorHAnsi"/>
          <w:sz w:val="24"/>
          <w:szCs w:val="24"/>
        </w:rPr>
      </w:pPr>
      <w:r w:rsidRPr="00A712F7">
        <w:rPr>
          <w:rFonts w:cstheme="minorHAnsi"/>
          <w:sz w:val="24"/>
          <w:szCs w:val="24"/>
        </w:rPr>
        <w:t xml:space="preserve">Research conducted by Marton and Salijo (1976) at the University of Gothenburg suggests that, higher education is approached by students in two qualitatively different </w:t>
      </w:r>
      <w:r>
        <w:rPr>
          <w:rFonts w:cstheme="minorHAnsi"/>
          <w:sz w:val="24"/>
          <w:szCs w:val="24"/>
        </w:rPr>
        <w:t>approaches</w:t>
      </w:r>
      <w:r w:rsidRPr="00A712F7">
        <w:rPr>
          <w:rFonts w:cstheme="minorHAnsi"/>
          <w:sz w:val="24"/>
          <w:szCs w:val="24"/>
        </w:rPr>
        <w:t xml:space="preserve">. </w:t>
      </w:r>
      <w:proofErr w:type="gramStart"/>
      <w:r>
        <w:rPr>
          <w:rFonts w:cstheme="minorHAnsi"/>
          <w:sz w:val="24"/>
          <w:szCs w:val="24"/>
        </w:rPr>
        <w:t>Deep and Surface learning.</w:t>
      </w:r>
      <w:proofErr w:type="gramEnd"/>
      <w:r>
        <w:rPr>
          <w:rFonts w:cstheme="minorHAnsi"/>
          <w:sz w:val="24"/>
          <w:szCs w:val="24"/>
        </w:rPr>
        <w:t xml:space="preserve"> The first</w:t>
      </w:r>
      <w:r w:rsidRPr="00A712F7">
        <w:rPr>
          <w:rFonts w:cstheme="minorHAnsi"/>
          <w:sz w:val="24"/>
          <w:szCs w:val="24"/>
        </w:rPr>
        <w:t xml:space="preserve"> approach</w:t>
      </w:r>
      <w:r>
        <w:rPr>
          <w:rFonts w:cstheme="minorHAnsi"/>
          <w:sz w:val="24"/>
          <w:szCs w:val="24"/>
        </w:rPr>
        <w:t xml:space="preserve"> identified by Marton and Salijo (1976) was the deep approach to learning, this is where the</w:t>
      </w:r>
      <w:r w:rsidRPr="00A712F7">
        <w:rPr>
          <w:rFonts w:cstheme="minorHAnsi"/>
          <w:sz w:val="24"/>
          <w:szCs w:val="24"/>
        </w:rPr>
        <w:t xml:space="preserve"> </w:t>
      </w:r>
      <w:r>
        <w:rPr>
          <w:rFonts w:cstheme="minorHAnsi"/>
          <w:sz w:val="24"/>
          <w:szCs w:val="24"/>
        </w:rPr>
        <w:t>reaches beyond the stages of information retainment and attempts to seek meanings and better understandings of ideas</w:t>
      </w:r>
      <w:r w:rsidRPr="00A712F7">
        <w:rPr>
          <w:rFonts w:cstheme="minorHAnsi"/>
          <w:sz w:val="24"/>
          <w:szCs w:val="24"/>
        </w:rPr>
        <w:t>.</w:t>
      </w:r>
      <w:r>
        <w:rPr>
          <w:rFonts w:cstheme="minorHAnsi"/>
          <w:sz w:val="24"/>
          <w:szCs w:val="24"/>
        </w:rPr>
        <w:t xml:space="preserve"> Within a deep approach to learning students will</w:t>
      </w:r>
      <w:r w:rsidRPr="00A712F7">
        <w:rPr>
          <w:rFonts w:cstheme="minorHAnsi"/>
          <w:sz w:val="24"/>
          <w:szCs w:val="24"/>
        </w:rPr>
        <w:t xml:space="preserve"> have an intrinsic interest in the task and an expectation of enjoyment in carrying it </w:t>
      </w:r>
      <w:proofErr w:type="gramStart"/>
      <w:r w:rsidRPr="00A712F7">
        <w:rPr>
          <w:rFonts w:cstheme="minorHAnsi"/>
          <w:sz w:val="24"/>
          <w:szCs w:val="24"/>
        </w:rPr>
        <w:t>out.</w:t>
      </w:r>
      <w:proofErr w:type="gramEnd"/>
      <w:r w:rsidRPr="00A712F7">
        <w:rPr>
          <w:rFonts w:cstheme="minorHAnsi"/>
          <w:sz w:val="24"/>
          <w:szCs w:val="24"/>
        </w:rPr>
        <w:t xml:space="preserve"> </w:t>
      </w:r>
      <w:r>
        <w:rPr>
          <w:rFonts w:cstheme="minorHAnsi"/>
          <w:sz w:val="24"/>
          <w:szCs w:val="24"/>
        </w:rPr>
        <w:t>Learners who are characterised as deep learners will develop</w:t>
      </w:r>
      <w:r w:rsidRPr="00A712F7">
        <w:rPr>
          <w:rFonts w:cstheme="minorHAnsi"/>
          <w:sz w:val="24"/>
          <w:szCs w:val="24"/>
        </w:rPr>
        <w:t xml:space="preserve"> strategies that help satisfy their curiosity, such as making the task coherent with their own </w:t>
      </w:r>
      <w:proofErr w:type="gramStart"/>
      <w:r w:rsidRPr="00A712F7">
        <w:rPr>
          <w:rFonts w:cstheme="minorHAnsi"/>
          <w:sz w:val="24"/>
          <w:szCs w:val="24"/>
        </w:rPr>
        <w:t>experiences,</w:t>
      </w:r>
      <w:proofErr w:type="gramEnd"/>
      <w:r w:rsidRPr="00A712F7">
        <w:rPr>
          <w:rFonts w:cstheme="minorHAnsi"/>
          <w:sz w:val="24"/>
          <w:szCs w:val="24"/>
        </w:rPr>
        <w:t xml:space="preserve"> </w:t>
      </w:r>
      <w:r>
        <w:rPr>
          <w:rFonts w:cstheme="minorHAnsi"/>
          <w:sz w:val="24"/>
          <w:szCs w:val="24"/>
        </w:rPr>
        <w:t>they will seek to discuss various perspectives and arguments and will seek out evidence and experiences that support these. Deep learners will l</w:t>
      </w:r>
      <w:r w:rsidRPr="00A712F7">
        <w:rPr>
          <w:rFonts w:cstheme="minorHAnsi"/>
          <w:sz w:val="24"/>
          <w:szCs w:val="24"/>
        </w:rPr>
        <w:t>ook for patterns and underlying principles, integrating the task with existing awareness, seeing the parts as making up the whole, theorising about it, formulating hypothesis and relating what they understand from other parts of the same subject and from different subjects. Overall, they will have a focus on the relationship in the argument, the message or the relationship</w:t>
      </w:r>
      <w:r>
        <w:rPr>
          <w:rFonts w:cstheme="minorHAnsi"/>
          <w:sz w:val="24"/>
          <w:szCs w:val="24"/>
        </w:rPr>
        <w:t xml:space="preserve"> </w:t>
      </w:r>
      <w:sdt>
        <w:sdtPr>
          <w:rPr>
            <w:rFonts w:cstheme="minorHAnsi"/>
            <w:sz w:val="24"/>
            <w:szCs w:val="24"/>
          </w:rPr>
          <w:id w:val="1143235377"/>
          <w:citation/>
        </w:sdtPr>
        <w:sdtContent>
          <w:r w:rsidR="00870D93">
            <w:rPr>
              <w:rFonts w:cstheme="minorHAnsi"/>
              <w:sz w:val="24"/>
              <w:szCs w:val="24"/>
            </w:rPr>
            <w:fldChar w:fldCharType="begin"/>
          </w:r>
          <w:r>
            <w:rPr>
              <w:rFonts w:cstheme="minorHAnsi"/>
              <w:sz w:val="24"/>
              <w:szCs w:val="24"/>
            </w:rPr>
            <w:instrText xml:space="preserve"> CITATION Ste131 \l 2057 </w:instrText>
          </w:r>
          <w:r w:rsidR="00870D93">
            <w:rPr>
              <w:rFonts w:cstheme="minorHAnsi"/>
              <w:sz w:val="24"/>
              <w:szCs w:val="24"/>
            </w:rPr>
            <w:fldChar w:fldCharType="separate"/>
          </w:r>
          <w:r w:rsidRPr="00EE4FCB">
            <w:rPr>
              <w:rFonts w:cstheme="minorHAnsi"/>
              <w:noProof/>
              <w:sz w:val="24"/>
              <w:szCs w:val="24"/>
            </w:rPr>
            <w:t>(Draper, 2013)</w:t>
          </w:r>
          <w:r w:rsidR="00870D93">
            <w:rPr>
              <w:rFonts w:cstheme="minorHAnsi"/>
              <w:sz w:val="24"/>
              <w:szCs w:val="24"/>
            </w:rPr>
            <w:fldChar w:fldCharType="end"/>
          </w:r>
        </w:sdtContent>
      </w:sdt>
      <w:r w:rsidRPr="00A712F7">
        <w:rPr>
          <w:rFonts w:cstheme="minorHAnsi"/>
          <w:sz w:val="24"/>
          <w:szCs w:val="24"/>
        </w:rPr>
        <w:t xml:space="preserve">. </w:t>
      </w:r>
    </w:p>
    <w:p w:rsidR="000E5111" w:rsidRPr="00A712F7" w:rsidRDefault="000E5111" w:rsidP="00D4406F">
      <w:pPr>
        <w:spacing w:line="360" w:lineRule="auto"/>
        <w:rPr>
          <w:rFonts w:cstheme="minorHAnsi"/>
          <w:sz w:val="24"/>
          <w:szCs w:val="24"/>
        </w:rPr>
      </w:pPr>
      <w:r>
        <w:rPr>
          <w:rFonts w:cstheme="minorHAnsi"/>
          <w:sz w:val="24"/>
          <w:szCs w:val="24"/>
        </w:rPr>
        <w:t>The second approach is described as the</w:t>
      </w:r>
      <w:r w:rsidRPr="00A712F7">
        <w:rPr>
          <w:rFonts w:cstheme="minorHAnsi"/>
          <w:sz w:val="24"/>
          <w:szCs w:val="24"/>
        </w:rPr>
        <w:t xml:space="preserve"> Surface approach, students </w:t>
      </w:r>
      <w:r>
        <w:rPr>
          <w:rFonts w:cstheme="minorHAnsi"/>
          <w:sz w:val="24"/>
          <w:szCs w:val="24"/>
        </w:rPr>
        <w:t>categorised in this approach are more concerned with and motivated by the meeting of the needs of a task with minimum effort. T</w:t>
      </w:r>
      <w:r w:rsidRPr="00A712F7">
        <w:rPr>
          <w:rFonts w:cstheme="minorHAnsi"/>
          <w:sz w:val="24"/>
          <w:szCs w:val="24"/>
        </w:rPr>
        <w:t>hey adopt</w:t>
      </w:r>
      <w:r>
        <w:rPr>
          <w:rFonts w:cstheme="minorHAnsi"/>
          <w:sz w:val="24"/>
          <w:szCs w:val="24"/>
        </w:rPr>
        <w:t xml:space="preserve"> very few</w:t>
      </w:r>
      <w:r w:rsidRPr="00A712F7">
        <w:rPr>
          <w:rFonts w:cstheme="minorHAnsi"/>
          <w:sz w:val="24"/>
          <w:szCs w:val="24"/>
        </w:rPr>
        <w:t xml:space="preserve"> strategies</w:t>
      </w:r>
      <w:r>
        <w:rPr>
          <w:rFonts w:cstheme="minorHAnsi"/>
          <w:sz w:val="24"/>
          <w:szCs w:val="24"/>
        </w:rPr>
        <w:t xml:space="preserve"> for meaningful learning </w:t>
      </w:r>
      <w:proofErr w:type="gramStart"/>
      <w:r>
        <w:rPr>
          <w:rFonts w:cstheme="minorHAnsi"/>
          <w:sz w:val="24"/>
          <w:szCs w:val="24"/>
        </w:rPr>
        <w:t>outcomes,</w:t>
      </w:r>
      <w:proofErr w:type="gramEnd"/>
      <w:r>
        <w:rPr>
          <w:rFonts w:cstheme="minorHAnsi"/>
          <w:sz w:val="24"/>
          <w:szCs w:val="24"/>
        </w:rPr>
        <w:t xml:space="preserve"> rather they tend to focus on representation.</w:t>
      </w:r>
      <w:r w:rsidRPr="00A712F7">
        <w:rPr>
          <w:rFonts w:cstheme="minorHAnsi"/>
          <w:sz w:val="24"/>
          <w:szCs w:val="24"/>
        </w:rPr>
        <w:t xml:space="preserve"> </w:t>
      </w:r>
      <w:r>
        <w:rPr>
          <w:rFonts w:cstheme="minorHAnsi"/>
          <w:sz w:val="24"/>
          <w:szCs w:val="24"/>
        </w:rPr>
        <w:t xml:space="preserve">Surface learner often </w:t>
      </w:r>
      <w:r w:rsidRPr="00A712F7">
        <w:rPr>
          <w:rFonts w:cstheme="minorHAnsi"/>
          <w:sz w:val="24"/>
          <w:szCs w:val="24"/>
        </w:rPr>
        <w:t xml:space="preserve">focus on what are essential, the reproduction of the essentials as accurately as possible, and </w:t>
      </w:r>
      <w:r>
        <w:rPr>
          <w:rFonts w:cstheme="minorHAnsi"/>
          <w:sz w:val="24"/>
          <w:szCs w:val="24"/>
        </w:rPr>
        <w:t xml:space="preserve">demonstrate a habitual repetition of information memorised for assessment, </w:t>
      </w:r>
      <w:r w:rsidRPr="00A712F7">
        <w:rPr>
          <w:rFonts w:cstheme="minorHAnsi"/>
          <w:sz w:val="24"/>
          <w:szCs w:val="24"/>
        </w:rPr>
        <w:t xml:space="preserve">rather than for understanding. Overall this would appear to be involved in sturdy without reflection on </w:t>
      </w:r>
      <w:r w:rsidRPr="00A712F7">
        <w:rPr>
          <w:rFonts w:cstheme="minorHAnsi"/>
          <w:sz w:val="24"/>
          <w:szCs w:val="24"/>
        </w:rPr>
        <w:lastRenderedPageBreak/>
        <w:t>purpose and strategy, with the focus of that study being on the words, the text or the formulae</w:t>
      </w:r>
      <w:r>
        <w:rPr>
          <w:rFonts w:cstheme="minorHAnsi"/>
          <w:sz w:val="24"/>
          <w:szCs w:val="24"/>
        </w:rPr>
        <w:t xml:space="preserve"> </w:t>
      </w:r>
      <w:sdt>
        <w:sdtPr>
          <w:rPr>
            <w:rFonts w:cstheme="minorHAnsi"/>
            <w:sz w:val="24"/>
            <w:szCs w:val="24"/>
          </w:rPr>
          <w:id w:val="-526722844"/>
          <w:citation/>
        </w:sdtPr>
        <w:sdtContent>
          <w:r w:rsidR="00870D93">
            <w:rPr>
              <w:rFonts w:cstheme="minorHAnsi"/>
              <w:sz w:val="24"/>
              <w:szCs w:val="24"/>
            </w:rPr>
            <w:fldChar w:fldCharType="begin"/>
          </w:r>
          <w:r>
            <w:rPr>
              <w:rFonts w:cstheme="minorHAnsi"/>
              <w:sz w:val="24"/>
              <w:szCs w:val="24"/>
            </w:rPr>
            <w:instrText xml:space="preserve"> CITATION Ste13 \l 2057 </w:instrText>
          </w:r>
          <w:r w:rsidR="00870D93">
            <w:rPr>
              <w:rFonts w:cstheme="minorHAnsi"/>
              <w:sz w:val="24"/>
              <w:szCs w:val="24"/>
            </w:rPr>
            <w:fldChar w:fldCharType="separate"/>
          </w:r>
          <w:r w:rsidRPr="004E4057">
            <w:rPr>
              <w:rFonts w:cstheme="minorHAnsi"/>
              <w:noProof/>
              <w:sz w:val="24"/>
              <w:szCs w:val="24"/>
            </w:rPr>
            <w:t>(Draper, 2013)</w:t>
          </w:r>
          <w:r w:rsidR="00870D93">
            <w:rPr>
              <w:rFonts w:cstheme="minorHAnsi"/>
              <w:sz w:val="24"/>
              <w:szCs w:val="24"/>
            </w:rPr>
            <w:fldChar w:fldCharType="end"/>
          </w:r>
        </w:sdtContent>
      </w:sdt>
      <w:r>
        <w:rPr>
          <w:rFonts w:cstheme="minorHAnsi"/>
          <w:sz w:val="24"/>
          <w:szCs w:val="24"/>
        </w:rPr>
        <w:t>.</w:t>
      </w:r>
    </w:p>
    <w:p w:rsidR="000E5111" w:rsidRPr="00A712F7" w:rsidRDefault="000E5111" w:rsidP="00D4406F">
      <w:pPr>
        <w:spacing w:before="240" w:line="360" w:lineRule="auto"/>
        <w:rPr>
          <w:rFonts w:cstheme="minorHAnsi"/>
          <w:sz w:val="24"/>
          <w:szCs w:val="24"/>
        </w:rPr>
      </w:pPr>
      <w:r>
        <w:rPr>
          <w:rFonts w:cstheme="minorHAnsi"/>
          <w:sz w:val="24"/>
          <w:szCs w:val="24"/>
        </w:rPr>
        <w:t>Marton and Sljios studies suggested that surface learners associate learning with anxiety and that they have little passion towards the learning materials used. In most cases students reported that they felt</w:t>
      </w:r>
      <w:r w:rsidRPr="00A712F7">
        <w:rPr>
          <w:rFonts w:cstheme="minorHAnsi"/>
          <w:sz w:val="24"/>
          <w:szCs w:val="24"/>
        </w:rPr>
        <w:t xml:space="preserve"> pressurised and rushed into retention of information thus they only memorised</w:t>
      </w:r>
      <w:r>
        <w:rPr>
          <w:rFonts w:cstheme="minorHAnsi"/>
          <w:sz w:val="24"/>
          <w:szCs w:val="24"/>
        </w:rPr>
        <w:t xml:space="preserve"> information, rather than explore it further. Surface learners</w:t>
      </w:r>
      <w:r w:rsidRPr="00A712F7">
        <w:rPr>
          <w:rFonts w:cstheme="minorHAnsi"/>
          <w:sz w:val="24"/>
          <w:szCs w:val="24"/>
        </w:rPr>
        <w:t xml:space="preserve"> </w:t>
      </w:r>
      <w:r>
        <w:rPr>
          <w:rFonts w:cstheme="minorHAnsi"/>
          <w:sz w:val="24"/>
          <w:szCs w:val="24"/>
        </w:rPr>
        <w:t>lacked</w:t>
      </w:r>
      <w:r w:rsidRPr="00A712F7">
        <w:rPr>
          <w:rFonts w:cstheme="minorHAnsi"/>
          <w:sz w:val="24"/>
          <w:szCs w:val="24"/>
        </w:rPr>
        <w:t xml:space="preserve"> understand</w:t>
      </w:r>
      <w:r>
        <w:rPr>
          <w:rFonts w:cstheme="minorHAnsi"/>
          <w:sz w:val="24"/>
          <w:szCs w:val="24"/>
        </w:rPr>
        <w:t>ing in relation to</w:t>
      </w:r>
      <w:r w:rsidRPr="00A712F7">
        <w:rPr>
          <w:rFonts w:cstheme="minorHAnsi"/>
          <w:sz w:val="24"/>
          <w:szCs w:val="24"/>
        </w:rPr>
        <w:t xml:space="preserve"> the meaning behind the material.</w:t>
      </w:r>
      <w:r>
        <w:rPr>
          <w:rFonts w:cstheme="minorHAnsi"/>
          <w:sz w:val="24"/>
          <w:szCs w:val="24"/>
        </w:rPr>
        <w:t xml:space="preserve"> </w:t>
      </w:r>
      <w:r w:rsidR="00F17EBD">
        <w:rPr>
          <w:rFonts w:cstheme="minorHAnsi"/>
          <w:sz w:val="24"/>
          <w:szCs w:val="24"/>
        </w:rPr>
        <w:t>S</w:t>
      </w:r>
      <w:r w:rsidRPr="00A712F7">
        <w:rPr>
          <w:rFonts w:cstheme="minorHAnsi"/>
          <w:sz w:val="24"/>
          <w:szCs w:val="24"/>
        </w:rPr>
        <w:t xml:space="preserve">urface learning </w:t>
      </w:r>
      <w:r w:rsidR="00F17EBD">
        <w:rPr>
          <w:rFonts w:cstheme="minorHAnsi"/>
          <w:sz w:val="24"/>
          <w:szCs w:val="24"/>
        </w:rPr>
        <w:t>presents as not being the ideal process for learning and as a result is not considers as an effective method</w:t>
      </w:r>
      <w:r>
        <w:rPr>
          <w:rFonts w:cstheme="minorHAnsi"/>
          <w:sz w:val="24"/>
          <w:szCs w:val="24"/>
        </w:rPr>
        <w:t>,</w:t>
      </w:r>
      <w:r w:rsidRPr="00A712F7">
        <w:rPr>
          <w:rFonts w:cstheme="minorHAnsi"/>
          <w:sz w:val="24"/>
          <w:szCs w:val="24"/>
        </w:rPr>
        <w:t xml:space="preserve"> </w:t>
      </w:r>
      <w:r w:rsidR="00F17EBD">
        <w:rPr>
          <w:rFonts w:cstheme="minorHAnsi"/>
          <w:sz w:val="24"/>
          <w:szCs w:val="24"/>
        </w:rPr>
        <w:t>surface learners will concentrate mostly on memorising information</w:t>
      </w:r>
      <w:r w:rsidRPr="00A712F7">
        <w:rPr>
          <w:rFonts w:cstheme="minorHAnsi"/>
          <w:sz w:val="24"/>
          <w:szCs w:val="24"/>
        </w:rPr>
        <w:t xml:space="preserve"> rather than understanding</w:t>
      </w:r>
      <w:r w:rsidR="00F17EBD">
        <w:rPr>
          <w:rFonts w:cstheme="minorHAnsi"/>
          <w:sz w:val="24"/>
          <w:szCs w:val="24"/>
        </w:rPr>
        <w:t xml:space="preserve"> or exploring further concepts to support understanding</w:t>
      </w:r>
      <w:r w:rsidRPr="00A712F7">
        <w:rPr>
          <w:rFonts w:cstheme="minorHAnsi"/>
          <w:sz w:val="24"/>
          <w:szCs w:val="24"/>
        </w:rPr>
        <w:t xml:space="preserve">. </w:t>
      </w:r>
      <w:r w:rsidR="00F17EBD">
        <w:rPr>
          <w:rFonts w:cstheme="minorHAnsi"/>
          <w:sz w:val="24"/>
          <w:szCs w:val="24"/>
        </w:rPr>
        <w:t>Deep learning on the other hand is perceived as the better method of learning as</w:t>
      </w:r>
      <w:r w:rsidRPr="00A712F7">
        <w:rPr>
          <w:rFonts w:cstheme="minorHAnsi"/>
          <w:sz w:val="24"/>
          <w:szCs w:val="24"/>
        </w:rPr>
        <w:t xml:space="preserve"> deep learners </w:t>
      </w:r>
      <w:r w:rsidR="00F17EBD">
        <w:rPr>
          <w:rFonts w:cstheme="minorHAnsi"/>
          <w:sz w:val="24"/>
          <w:szCs w:val="24"/>
        </w:rPr>
        <w:t>will transform</w:t>
      </w:r>
      <w:r w:rsidRPr="00A712F7">
        <w:rPr>
          <w:rFonts w:cstheme="minorHAnsi"/>
          <w:sz w:val="24"/>
          <w:szCs w:val="24"/>
        </w:rPr>
        <w:t xml:space="preserve"> </w:t>
      </w:r>
      <w:r w:rsidR="00F17EBD">
        <w:rPr>
          <w:rFonts w:cstheme="minorHAnsi"/>
          <w:sz w:val="24"/>
          <w:szCs w:val="24"/>
        </w:rPr>
        <w:t>the knowledge they gain</w:t>
      </w:r>
      <w:r w:rsidRPr="00A712F7">
        <w:rPr>
          <w:rFonts w:cstheme="minorHAnsi"/>
          <w:sz w:val="24"/>
          <w:szCs w:val="24"/>
        </w:rPr>
        <w:t xml:space="preserve"> by exploring beyond the main point</w:t>
      </w:r>
      <w:r>
        <w:rPr>
          <w:rFonts w:cstheme="minorHAnsi"/>
          <w:sz w:val="24"/>
          <w:szCs w:val="24"/>
        </w:rPr>
        <w:t xml:space="preserve"> through further research, practical application and experiences, which led to a better understanding</w:t>
      </w:r>
      <w:r w:rsidRPr="00A712F7">
        <w:rPr>
          <w:rFonts w:cstheme="minorHAnsi"/>
          <w:sz w:val="24"/>
          <w:szCs w:val="24"/>
        </w:rPr>
        <w:t xml:space="preserve">. </w:t>
      </w:r>
      <w:r w:rsidR="00F17EBD">
        <w:rPr>
          <w:rFonts w:cstheme="minorHAnsi"/>
          <w:sz w:val="24"/>
          <w:szCs w:val="24"/>
        </w:rPr>
        <w:t>Those who are characterised in the deeper learning category aim</w:t>
      </w:r>
      <w:r w:rsidRPr="00A712F7">
        <w:rPr>
          <w:rFonts w:cstheme="minorHAnsi"/>
          <w:sz w:val="24"/>
          <w:szCs w:val="24"/>
        </w:rPr>
        <w:t xml:space="preserve"> to understand the meaning behind the text</w:t>
      </w:r>
      <w:r w:rsidR="00F17EBD">
        <w:rPr>
          <w:rFonts w:cstheme="minorHAnsi"/>
          <w:sz w:val="24"/>
          <w:szCs w:val="24"/>
        </w:rPr>
        <w:t xml:space="preserve"> and have</w:t>
      </w:r>
      <w:r>
        <w:rPr>
          <w:rFonts w:cstheme="minorHAnsi"/>
          <w:sz w:val="24"/>
          <w:szCs w:val="24"/>
        </w:rPr>
        <w:t xml:space="preserve"> a </w:t>
      </w:r>
      <w:r w:rsidR="00F17EBD">
        <w:rPr>
          <w:rFonts w:cstheme="minorHAnsi"/>
          <w:sz w:val="24"/>
          <w:szCs w:val="24"/>
        </w:rPr>
        <w:t>strong emphasis</w:t>
      </w:r>
      <w:r>
        <w:rPr>
          <w:rFonts w:cstheme="minorHAnsi"/>
          <w:sz w:val="24"/>
          <w:szCs w:val="24"/>
        </w:rPr>
        <w:t xml:space="preserve"> to</w:t>
      </w:r>
      <w:r w:rsidR="00F17EBD">
        <w:rPr>
          <w:rFonts w:cstheme="minorHAnsi"/>
          <w:sz w:val="24"/>
          <w:szCs w:val="24"/>
        </w:rPr>
        <w:t>wards creating meaningful</w:t>
      </w:r>
      <w:r>
        <w:rPr>
          <w:rFonts w:cstheme="minorHAnsi"/>
          <w:sz w:val="24"/>
          <w:szCs w:val="24"/>
        </w:rPr>
        <w:t xml:space="preserve"> </w:t>
      </w:r>
      <w:r w:rsidRPr="00A712F7">
        <w:rPr>
          <w:rFonts w:cstheme="minorHAnsi"/>
          <w:sz w:val="24"/>
          <w:szCs w:val="24"/>
        </w:rPr>
        <w:t>interact</w:t>
      </w:r>
      <w:r w:rsidR="00F17EBD">
        <w:rPr>
          <w:rFonts w:cstheme="minorHAnsi"/>
          <w:sz w:val="24"/>
          <w:szCs w:val="24"/>
        </w:rPr>
        <w:t>ion</w:t>
      </w:r>
      <w:r w:rsidRPr="00A712F7">
        <w:rPr>
          <w:rFonts w:cstheme="minorHAnsi"/>
          <w:sz w:val="24"/>
          <w:szCs w:val="24"/>
        </w:rPr>
        <w:t xml:space="preserve"> with the material by </w:t>
      </w:r>
      <w:r w:rsidR="00F17EBD">
        <w:rPr>
          <w:rFonts w:cstheme="minorHAnsi"/>
          <w:sz w:val="24"/>
          <w:szCs w:val="24"/>
        </w:rPr>
        <w:t>engaging in</w:t>
      </w:r>
      <w:r w:rsidRPr="00A712F7">
        <w:rPr>
          <w:rFonts w:cstheme="minorHAnsi"/>
          <w:sz w:val="24"/>
          <w:szCs w:val="24"/>
        </w:rPr>
        <w:t xml:space="preserve"> relevant </w:t>
      </w:r>
      <w:r w:rsidR="00F17EBD">
        <w:rPr>
          <w:rFonts w:cstheme="minorHAnsi"/>
          <w:sz w:val="24"/>
          <w:szCs w:val="24"/>
        </w:rPr>
        <w:t>activities or seeking out relevant arguments</w:t>
      </w:r>
      <w:r w:rsidRPr="00A712F7">
        <w:rPr>
          <w:rFonts w:cstheme="minorHAnsi"/>
          <w:sz w:val="24"/>
          <w:szCs w:val="24"/>
        </w:rPr>
        <w:t xml:space="preserve"> and examples related to their daily lives. </w:t>
      </w:r>
      <w:r w:rsidR="00F17EBD">
        <w:rPr>
          <w:rFonts w:cstheme="minorHAnsi"/>
          <w:sz w:val="24"/>
          <w:szCs w:val="24"/>
        </w:rPr>
        <w:t>Deep learners</w:t>
      </w:r>
      <w:r w:rsidRPr="00A712F7">
        <w:rPr>
          <w:rFonts w:cstheme="minorHAnsi"/>
          <w:sz w:val="24"/>
          <w:szCs w:val="24"/>
        </w:rPr>
        <w:t xml:space="preserve"> </w:t>
      </w:r>
      <w:r w:rsidR="00F17EBD">
        <w:rPr>
          <w:rFonts w:cstheme="minorHAnsi"/>
          <w:sz w:val="24"/>
          <w:szCs w:val="24"/>
        </w:rPr>
        <w:t>show</w:t>
      </w:r>
      <w:r w:rsidRPr="00A712F7">
        <w:rPr>
          <w:rFonts w:cstheme="minorHAnsi"/>
          <w:sz w:val="24"/>
          <w:szCs w:val="24"/>
        </w:rPr>
        <w:t xml:space="preserve"> great interest</w:t>
      </w:r>
      <w:r w:rsidR="00F17EBD">
        <w:rPr>
          <w:rFonts w:cstheme="minorHAnsi"/>
          <w:sz w:val="24"/>
          <w:szCs w:val="24"/>
        </w:rPr>
        <w:t xml:space="preserve"> in the exploration of further research on topics</w:t>
      </w:r>
      <w:r w:rsidRPr="00A712F7">
        <w:rPr>
          <w:rFonts w:cstheme="minorHAnsi"/>
          <w:sz w:val="24"/>
          <w:szCs w:val="24"/>
        </w:rPr>
        <w:t xml:space="preserve"> and were calm in their learning of the information. As deep learners are more engaged, information is more likely to be retained long- term</w:t>
      </w:r>
      <w:r w:rsidR="00F17EBD">
        <w:rPr>
          <w:rFonts w:cstheme="minorHAnsi"/>
          <w:sz w:val="24"/>
          <w:szCs w:val="24"/>
        </w:rPr>
        <w:t xml:space="preserve"> providing the learning experience with a varied and holistic approach such as this can support in the achievement of great things in education</w:t>
      </w:r>
      <w:r w:rsidRPr="00A712F7">
        <w:rPr>
          <w:rFonts w:cstheme="minorHAnsi"/>
          <w:sz w:val="24"/>
          <w:szCs w:val="24"/>
        </w:rPr>
        <w:t xml:space="preserve"> </w:t>
      </w:r>
      <w:sdt>
        <w:sdtPr>
          <w:rPr>
            <w:rFonts w:cstheme="minorHAnsi"/>
            <w:sz w:val="24"/>
            <w:szCs w:val="24"/>
          </w:rPr>
          <w:id w:val="-1235536518"/>
          <w:citation/>
        </w:sdtPr>
        <w:sdtContent>
          <w:r w:rsidR="00870D93">
            <w:rPr>
              <w:rFonts w:cstheme="minorHAnsi"/>
              <w:sz w:val="24"/>
              <w:szCs w:val="24"/>
            </w:rPr>
            <w:fldChar w:fldCharType="begin"/>
          </w:r>
          <w:r>
            <w:rPr>
              <w:rFonts w:cstheme="minorHAnsi"/>
              <w:sz w:val="24"/>
              <w:szCs w:val="24"/>
            </w:rPr>
            <w:instrText xml:space="preserve"> CITATION Ste13 \l 2057 </w:instrText>
          </w:r>
          <w:r w:rsidR="00870D93">
            <w:rPr>
              <w:rFonts w:cstheme="minorHAnsi"/>
              <w:sz w:val="24"/>
              <w:szCs w:val="24"/>
            </w:rPr>
            <w:fldChar w:fldCharType="separate"/>
          </w:r>
          <w:r w:rsidRPr="004E4057">
            <w:rPr>
              <w:rFonts w:cstheme="minorHAnsi"/>
              <w:noProof/>
              <w:sz w:val="24"/>
              <w:szCs w:val="24"/>
            </w:rPr>
            <w:t>(Draper, 2013)</w:t>
          </w:r>
          <w:r w:rsidR="00870D93">
            <w:rPr>
              <w:rFonts w:cstheme="minorHAnsi"/>
              <w:sz w:val="24"/>
              <w:szCs w:val="24"/>
            </w:rPr>
            <w:fldChar w:fldCharType="end"/>
          </w:r>
        </w:sdtContent>
      </w:sdt>
      <w:r>
        <w:rPr>
          <w:rFonts w:cstheme="minorHAnsi"/>
          <w:sz w:val="24"/>
          <w:szCs w:val="24"/>
        </w:rPr>
        <w:t>.</w:t>
      </w:r>
    </w:p>
    <w:p w:rsidR="000E5111" w:rsidRPr="00A712F7" w:rsidRDefault="000E5111" w:rsidP="00D4406F">
      <w:pPr>
        <w:spacing w:before="240" w:line="360" w:lineRule="auto"/>
        <w:rPr>
          <w:rFonts w:cstheme="minorHAnsi"/>
          <w:sz w:val="24"/>
          <w:szCs w:val="24"/>
        </w:rPr>
      </w:pPr>
      <w:r w:rsidRPr="00A712F7">
        <w:rPr>
          <w:rFonts w:cstheme="minorHAnsi"/>
          <w:sz w:val="24"/>
          <w:szCs w:val="24"/>
        </w:rPr>
        <w:t xml:space="preserve">There is growing evidence in the United Kingdom of the importance of higher education providing innovation and creativity for the development of a knowledge-based economy. </w:t>
      </w:r>
      <w:r w:rsidR="00B45FE1" w:rsidRPr="00A712F7">
        <w:rPr>
          <w:rFonts w:cstheme="minorHAnsi"/>
          <w:sz w:val="24"/>
          <w:szCs w:val="24"/>
        </w:rPr>
        <w:t>Student’s</w:t>
      </w:r>
      <w:r w:rsidRPr="00A712F7">
        <w:rPr>
          <w:rFonts w:cstheme="minorHAnsi"/>
          <w:sz w:val="24"/>
          <w:szCs w:val="24"/>
        </w:rPr>
        <w:t xml:space="preserve"> motivation may stem for their need to be competitive in an increasingly competitive global market</w:t>
      </w:r>
      <w:r>
        <w:rPr>
          <w:rFonts w:cstheme="minorHAnsi"/>
          <w:sz w:val="24"/>
          <w:szCs w:val="24"/>
        </w:rPr>
        <w:t xml:space="preserve"> </w:t>
      </w:r>
      <w:sdt>
        <w:sdtPr>
          <w:rPr>
            <w:rFonts w:cstheme="minorHAnsi"/>
            <w:sz w:val="24"/>
            <w:szCs w:val="24"/>
          </w:rPr>
          <w:id w:val="-144979240"/>
          <w:citation/>
        </w:sdtPr>
        <w:sdtContent>
          <w:r w:rsidR="00870D93">
            <w:rPr>
              <w:rFonts w:cstheme="minorHAnsi"/>
              <w:sz w:val="24"/>
              <w:szCs w:val="24"/>
            </w:rPr>
            <w:fldChar w:fldCharType="begin"/>
          </w:r>
          <w:r>
            <w:rPr>
              <w:rFonts w:cstheme="minorHAnsi"/>
              <w:sz w:val="24"/>
              <w:szCs w:val="24"/>
            </w:rPr>
            <w:instrText xml:space="preserve"> CITATION Geo10 \l 2057 </w:instrText>
          </w:r>
          <w:r w:rsidR="00870D93">
            <w:rPr>
              <w:rFonts w:cstheme="minorHAnsi"/>
              <w:sz w:val="24"/>
              <w:szCs w:val="24"/>
            </w:rPr>
            <w:fldChar w:fldCharType="separate"/>
          </w:r>
          <w:r w:rsidRPr="004E4057">
            <w:rPr>
              <w:rFonts w:cstheme="minorHAnsi"/>
              <w:noProof/>
              <w:sz w:val="24"/>
              <w:szCs w:val="24"/>
            </w:rPr>
            <w:t>(Crossick, 2010)</w:t>
          </w:r>
          <w:r w:rsidR="00870D93">
            <w:rPr>
              <w:rFonts w:cstheme="minorHAnsi"/>
              <w:sz w:val="24"/>
              <w:szCs w:val="24"/>
            </w:rPr>
            <w:fldChar w:fldCharType="end"/>
          </w:r>
        </w:sdtContent>
      </w:sdt>
      <w:r w:rsidRPr="00A712F7">
        <w:rPr>
          <w:rFonts w:cstheme="minorHAnsi"/>
          <w:sz w:val="24"/>
          <w:szCs w:val="24"/>
        </w:rPr>
        <w:t xml:space="preserve">. </w:t>
      </w:r>
      <w:r>
        <w:rPr>
          <w:rFonts w:cstheme="minorHAnsi"/>
          <w:sz w:val="24"/>
          <w:szCs w:val="24"/>
        </w:rPr>
        <w:t xml:space="preserve"> </w:t>
      </w:r>
      <w:r w:rsidR="00C93BC5">
        <w:rPr>
          <w:rFonts w:cstheme="minorHAnsi"/>
          <w:sz w:val="24"/>
          <w:szCs w:val="24"/>
        </w:rPr>
        <w:t>H</w:t>
      </w:r>
      <w:r w:rsidRPr="00A712F7">
        <w:rPr>
          <w:rFonts w:cstheme="minorHAnsi"/>
          <w:sz w:val="24"/>
          <w:szCs w:val="24"/>
        </w:rPr>
        <w:t>igher education</w:t>
      </w:r>
      <w:r w:rsidR="00C93BC5">
        <w:rPr>
          <w:rFonts w:cstheme="minorHAnsi"/>
          <w:sz w:val="24"/>
          <w:szCs w:val="24"/>
        </w:rPr>
        <w:t xml:space="preserve"> is constantly changing alongside the need to keep up with the needs and wants of prospective employers</w:t>
      </w:r>
      <w:r w:rsidRPr="00A712F7">
        <w:rPr>
          <w:rFonts w:cstheme="minorHAnsi"/>
          <w:sz w:val="24"/>
          <w:szCs w:val="24"/>
        </w:rPr>
        <w:t xml:space="preserve"> </w:t>
      </w:r>
      <w:r w:rsidR="00C93BC5">
        <w:rPr>
          <w:rFonts w:cstheme="minorHAnsi"/>
          <w:sz w:val="24"/>
          <w:szCs w:val="24"/>
        </w:rPr>
        <w:t xml:space="preserve">for graduates </w:t>
      </w:r>
      <w:sdt>
        <w:sdtPr>
          <w:rPr>
            <w:rFonts w:cstheme="minorHAnsi"/>
            <w:sz w:val="24"/>
            <w:szCs w:val="24"/>
          </w:rPr>
          <w:id w:val="303195931"/>
          <w:citation/>
        </w:sdtPr>
        <w:sdtContent>
          <w:r w:rsidR="00C93BC5">
            <w:rPr>
              <w:rFonts w:cstheme="minorHAnsi"/>
              <w:sz w:val="24"/>
              <w:szCs w:val="24"/>
            </w:rPr>
            <w:fldChar w:fldCharType="begin"/>
          </w:r>
          <w:r w:rsidR="00C93BC5">
            <w:rPr>
              <w:rFonts w:cstheme="minorHAnsi"/>
              <w:sz w:val="24"/>
              <w:szCs w:val="24"/>
            </w:rPr>
            <w:instrText xml:space="preserve"> CITATION Lee \l 2057 </w:instrText>
          </w:r>
          <w:r w:rsidR="00C93BC5">
            <w:rPr>
              <w:rFonts w:cstheme="minorHAnsi"/>
              <w:sz w:val="24"/>
              <w:szCs w:val="24"/>
            </w:rPr>
            <w:fldChar w:fldCharType="separate"/>
          </w:r>
          <w:r w:rsidR="00C93BC5" w:rsidRPr="00C93BC5">
            <w:rPr>
              <w:rFonts w:cstheme="minorHAnsi"/>
              <w:noProof/>
              <w:sz w:val="24"/>
              <w:szCs w:val="24"/>
            </w:rPr>
            <w:t>(Harvey, 2003)</w:t>
          </w:r>
          <w:r w:rsidR="00C93BC5">
            <w:rPr>
              <w:rFonts w:cstheme="minorHAnsi"/>
              <w:sz w:val="24"/>
              <w:szCs w:val="24"/>
            </w:rPr>
            <w:fldChar w:fldCharType="end"/>
          </w:r>
        </w:sdtContent>
      </w:sdt>
      <w:r w:rsidR="00C93BC5">
        <w:rPr>
          <w:rFonts w:cstheme="minorHAnsi"/>
          <w:sz w:val="24"/>
          <w:szCs w:val="24"/>
        </w:rPr>
        <w:t>.</w:t>
      </w:r>
      <w:r w:rsidRPr="00A712F7">
        <w:rPr>
          <w:rFonts w:cstheme="minorHAnsi"/>
          <w:sz w:val="24"/>
          <w:szCs w:val="24"/>
        </w:rPr>
        <w:t xml:space="preserve"> </w:t>
      </w:r>
      <w:r w:rsidR="00C93BC5">
        <w:rPr>
          <w:rFonts w:cstheme="minorHAnsi"/>
          <w:sz w:val="24"/>
          <w:szCs w:val="24"/>
        </w:rPr>
        <w:t>These types of changes has led to the need for research to be conducted to ensure that Higher education is facilitating these changes, recent studies have</w:t>
      </w:r>
      <w:r w:rsidRPr="00A712F7">
        <w:rPr>
          <w:rFonts w:cstheme="minorHAnsi"/>
          <w:sz w:val="24"/>
          <w:szCs w:val="24"/>
        </w:rPr>
        <w:t xml:space="preserve"> revealed a consistent core set of desirable skills required are, communication skills, interpersonal skills and team work and personal attributes including, intellect and problem solving, analytical critical and reflective ability, willingness to learn and continue learning, </w:t>
      </w:r>
      <w:r w:rsidRPr="00A712F7">
        <w:rPr>
          <w:rFonts w:cstheme="minorHAnsi"/>
          <w:sz w:val="24"/>
          <w:szCs w:val="24"/>
        </w:rPr>
        <w:lastRenderedPageBreak/>
        <w:t>flexibility and adaptability, risk taking and reflective skills</w:t>
      </w:r>
      <w:r>
        <w:rPr>
          <w:rFonts w:cstheme="minorHAnsi"/>
          <w:sz w:val="24"/>
          <w:szCs w:val="24"/>
        </w:rPr>
        <w:t xml:space="preserve"> </w:t>
      </w:r>
      <w:sdt>
        <w:sdtPr>
          <w:rPr>
            <w:rFonts w:cstheme="minorHAnsi"/>
            <w:sz w:val="24"/>
            <w:szCs w:val="24"/>
          </w:rPr>
          <w:id w:val="303195932"/>
          <w:citation/>
        </w:sdtPr>
        <w:sdtContent>
          <w:r w:rsidR="00C93BC5">
            <w:rPr>
              <w:rFonts w:cstheme="minorHAnsi"/>
              <w:sz w:val="24"/>
              <w:szCs w:val="24"/>
            </w:rPr>
            <w:fldChar w:fldCharType="begin"/>
          </w:r>
          <w:r w:rsidR="00C93BC5">
            <w:rPr>
              <w:rFonts w:cstheme="minorHAnsi"/>
              <w:sz w:val="24"/>
              <w:szCs w:val="24"/>
            </w:rPr>
            <w:instrText xml:space="preserve"> CITATION Lee \l 2057 </w:instrText>
          </w:r>
          <w:r w:rsidR="00C93BC5">
            <w:rPr>
              <w:rFonts w:cstheme="minorHAnsi"/>
              <w:sz w:val="24"/>
              <w:szCs w:val="24"/>
            </w:rPr>
            <w:fldChar w:fldCharType="separate"/>
          </w:r>
          <w:r w:rsidR="00C93BC5" w:rsidRPr="00C93BC5">
            <w:rPr>
              <w:rFonts w:cstheme="minorHAnsi"/>
              <w:noProof/>
              <w:sz w:val="24"/>
              <w:szCs w:val="24"/>
            </w:rPr>
            <w:t>(Harvey, 2003)</w:t>
          </w:r>
          <w:r w:rsidR="00C93BC5">
            <w:rPr>
              <w:rFonts w:cstheme="minorHAnsi"/>
              <w:sz w:val="24"/>
              <w:szCs w:val="24"/>
            </w:rPr>
            <w:fldChar w:fldCharType="end"/>
          </w:r>
        </w:sdtContent>
      </w:sdt>
      <w:r w:rsidRPr="00A712F7">
        <w:rPr>
          <w:rFonts w:cstheme="minorHAnsi"/>
          <w:sz w:val="24"/>
          <w:szCs w:val="24"/>
        </w:rPr>
        <w:t xml:space="preserve">. </w:t>
      </w:r>
      <w:r w:rsidR="00C93BC5">
        <w:rPr>
          <w:rFonts w:cstheme="minorHAnsi"/>
          <w:sz w:val="24"/>
          <w:szCs w:val="24"/>
        </w:rPr>
        <w:t>E</w:t>
      </w:r>
      <w:r w:rsidRPr="00A712F7">
        <w:rPr>
          <w:rFonts w:cstheme="minorHAnsi"/>
          <w:sz w:val="24"/>
          <w:szCs w:val="24"/>
        </w:rPr>
        <w:t xml:space="preserve">mployability within higher education has become </w:t>
      </w:r>
      <w:r w:rsidR="00C93BC5">
        <w:rPr>
          <w:rFonts w:cstheme="minorHAnsi"/>
          <w:sz w:val="24"/>
          <w:szCs w:val="24"/>
        </w:rPr>
        <w:t>a significant area of change</w:t>
      </w:r>
      <w:r w:rsidRPr="00A712F7">
        <w:rPr>
          <w:rFonts w:cstheme="minorHAnsi"/>
          <w:sz w:val="24"/>
          <w:szCs w:val="24"/>
        </w:rPr>
        <w:t xml:space="preserve">, </w:t>
      </w:r>
      <w:r w:rsidR="00C93BC5">
        <w:rPr>
          <w:rFonts w:cstheme="minorHAnsi"/>
          <w:sz w:val="24"/>
          <w:szCs w:val="24"/>
        </w:rPr>
        <w:t xml:space="preserve">and as a result there is a need </w:t>
      </w:r>
      <w:r w:rsidRPr="00A712F7">
        <w:rPr>
          <w:rFonts w:cstheme="minorHAnsi"/>
          <w:sz w:val="24"/>
          <w:szCs w:val="24"/>
        </w:rPr>
        <w:t>to develop</w:t>
      </w:r>
      <w:r w:rsidR="00C93BC5">
        <w:rPr>
          <w:rFonts w:cstheme="minorHAnsi"/>
          <w:sz w:val="24"/>
          <w:szCs w:val="24"/>
        </w:rPr>
        <w:t xml:space="preserve"> learners to acquire</w:t>
      </w:r>
      <w:r w:rsidRPr="00A712F7">
        <w:rPr>
          <w:rFonts w:cstheme="minorHAnsi"/>
          <w:sz w:val="24"/>
          <w:szCs w:val="24"/>
        </w:rPr>
        <w:t xml:space="preserve"> a range of attributes through the learning process</w:t>
      </w:r>
      <w:r w:rsidR="00C93BC5">
        <w:rPr>
          <w:rFonts w:cstheme="minorHAnsi"/>
          <w:sz w:val="24"/>
          <w:szCs w:val="24"/>
        </w:rPr>
        <w:t>,</w:t>
      </w:r>
      <w:r w:rsidRPr="00A712F7">
        <w:rPr>
          <w:rFonts w:cstheme="minorHAnsi"/>
          <w:sz w:val="24"/>
          <w:szCs w:val="24"/>
        </w:rPr>
        <w:t xml:space="preserve"> with a significant need for institutions such as universities to have a holistic approach to curriculum development and teaching strategies</w:t>
      </w:r>
      <w:r>
        <w:rPr>
          <w:rFonts w:cstheme="minorHAnsi"/>
          <w:sz w:val="24"/>
          <w:szCs w:val="24"/>
        </w:rPr>
        <w:t xml:space="preserve"> </w:t>
      </w:r>
      <w:sdt>
        <w:sdtPr>
          <w:rPr>
            <w:rFonts w:cstheme="minorHAnsi"/>
            <w:sz w:val="24"/>
            <w:szCs w:val="24"/>
          </w:rPr>
          <w:id w:val="1612774364"/>
          <w:citation/>
        </w:sdtPr>
        <w:sdtContent>
          <w:r w:rsidR="00870D93">
            <w:rPr>
              <w:rFonts w:cstheme="minorHAnsi"/>
              <w:sz w:val="24"/>
              <w:szCs w:val="24"/>
            </w:rPr>
            <w:fldChar w:fldCharType="begin"/>
          </w:r>
          <w:r>
            <w:rPr>
              <w:rFonts w:cstheme="minorHAnsi"/>
              <w:sz w:val="24"/>
              <w:szCs w:val="24"/>
            </w:rPr>
            <w:instrText xml:space="preserve">CITATION Lee \l 2057 </w:instrText>
          </w:r>
          <w:r w:rsidR="00870D93">
            <w:rPr>
              <w:rFonts w:cstheme="minorHAnsi"/>
              <w:sz w:val="24"/>
              <w:szCs w:val="24"/>
            </w:rPr>
            <w:fldChar w:fldCharType="separate"/>
          </w:r>
          <w:r w:rsidRPr="004E4057">
            <w:rPr>
              <w:rFonts w:cstheme="minorHAnsi"/>
              <w:noProof/>
              <w:sz w:val="24"/>
              <w:szCs w:val="24"/>
            </w:rPr>
            <w:t>(Harvey, 2003)</w:t>
          </w:r>
          <w:r w:rsidR="00870D93">
            <w:rPr>
              <w:rFonts w:cstheme="minorHAnsi"/>
              <w:sz w:val="24"/>
              <w:szCs w:val="24"/>
            </w:rPr>
            <w:fldChar w:fldCharType="end"/>
          </w:r>
        </w:sdtContent>
      </w:sdt>
      <w:r>
        <w:rPr>
          <w:rFonts w:cstheme="minorHAnsi"/>
          <w:sz w:val="24"/>
          <w:szCs w:val="24"/>
        </w:rPr>
        <w:t>.</w:t>
      </w:r>
    </w:p>
    <w:p w:rsidR="000E5111" w:rsidRPr="00A712F7" w:rsidRDefault="000E5111" w:rsidP="00D4406F">
      <w:pPr>
        <w:spacing w:before="240" w:line="360" w:lineRule="auto"/>
        <w:rPr>
          <w:rFonts w:cstheme="minorHAnsi"/>
          <w:sz w:val="24"/>
          <w:szCs w:val="24"/>
        </w:rPr>
      </w:pPr>
      <w:r w:rsidRPr="00A712F7">
        <w:rPr>
          <w:rFonts w:cstheme="minorHAnsi"/>
          <w:sz w:val="24"/>
          <w:szCs w:val="24"/>
        </w:rPr>
        <w:t>Higher education emphasis is focussed on enabling and empowering students to take advantage of their educational experience, in 1997 in the UK an important turning point for higher education was the publication of the higher education in the learning society (The Dearing report), which was the report of the national committee of enquiry on higher education. The first comprehensive review of higher education since the 1960`s. this report reconsidered the aims of higher education, and defined them as:</w:t>
      </w:r>
    </w:p>
    <w:p w:rsidR="000E5111" w:rsidRPr="00A712F7" w:rsidRDefault="000E5111" w:rsidP="00D4406F">
      <w:pPr>
        <w:pStyle w:val="ListParagraph"/>
        <w:numPr>
          <w:ilvl w:val="0"/>
          <w:numId w:val="3"/>
        </w:numPr>
        <w:spacing w:before="240" w:after="200" w:line="360" w:lineRule="auto"/>
        <w:rPr>
          <w:rFonts w:cstheme="minorHAnsi"/>
          <w:sz w:val="24"/>
          <w:szCs w:val="24"/>
        </w:rPr>
      </w:pPr>
      <w:r w:rsidRPr="00A712F7">
        <w:rPr>
          <w:rFonts w:cstheme="minorHAnsi"/>
          <w:sz w:val="24"/>
          <w:szCs w:val="24"/>
        </w:rPr>
        <w:t>To inspire and enable individuals to develop their capabilities</w:t>
      </w:r>
    </w:p>
    <w:p w:rsidR="000E5111" w:rsidRPr="00A712F7" w:rsidRDefault="000E5111" w:rsidP="00D4406F">
      <w:pPr>
        <w:pStyle w:val="ListParagraph"/>
        <w:numPr>
          <w:ilvl w:val="0"/>
          <w:numId w:val="3"/>
        </w:numPr>
        <w:spacing w:before="240" w:after="200" w:line="360" w:lineRule="auto"/>
        <w:rPr>
          <w:rFonts w:cstheme="minorHAnsi"/>
          <w:sz w:val="24"/>
          <w:szCs w:val="24"/>
        </w:rPr>
      </w:pPr>
      <w:r w:rsidRPr="00A712F7">
        <w:rPr>
          <w:rFonts w:cstheme="minorHAnsi"/>
          <w:sz w:val="24"/>
          <w:szCs w:val="24"/>
        </w:rPr>
        <w:t>To increase knowledge and understanding for their own sake</w:t>
      </w:r>
    </w:p>
    <w:p w:rsidR="000E5111" w:rsidRPr="00A712F7" w:rsidRDefault="000E5111" w:rsidP="00D4406F">
      <w:pPr>
        <w:pStyle w:val="ListParagraph"/>
        <w:numPr>
          <w:ilvl w:val="0"/>
          <w:numId w:val="3"/>
        </w:numPr>
        <w:spacing w:before="240" w:after="200" w:line="360" w:lineRule="auto"/>
        <w:rPr>
          <w:rFonts w:cstheme="minorHAnsi"/>
          <w:sz w:val="24"/>
          <w:szCs w:val="24"/>
        </w:rPr>
      </w:pPr>
      <w:r w:rsidRPr="00A712F7">
        <w:rPr>
          <w:rFonts w:cstheme="minorHAnsi"/>
          <w:sz w:val="24"/>
          <w:szCs w:val="24"/>
        </w:rPr>
        <w:t>To serve the needs of a knowledge-based economy</w:t>
      </w:r>
    </w:p>
    <w:p w:rsidR="000E5111" w:rsidRPr="00A712F7" w:rsidRDefault="000E5111" w:rsidP="00D4406F">
      <w:pPr>
        <w:pStyle w:val="ListParagraph"/>
        <w:numPr>
          <w:ilvl w:val="0"/>
          <w:numId w:val="3"/>
        </w:numPr>
        <w:spacing w:before="240" w:after="200" w:line="360" w:lineRule="auto"/>
        <w:rPr>
          <w:rFonts w:cstheme="minorHAnsi"/>
          <w:sz w:val="24"/>
          <w:szCs w:val="24"/>
        </w:rPr>
      </w:pPr>
      <w:r w:rsidRPr="00A712F7">
        <w:rPr>
          <w:rFonts w:cstheme="minorHAnsi"/>
          <w:sz w:val="24"/>
          <w:szCs w:val="24"/>
        </w:rPr>
        <w:t xml:space="preserve">To play a major role in shaping a democratic, civilised, inclusive society </w:t>
      </w:r>
      <w:sdt>
        <w:sdtPr>
          <w:rPr>
            <w:rFonts w:cstheme="minorHAnsi"/>
            <w:sz w:val="24"/>
            <w:szCs w:val="24"/>
          </w:rPr>
          <w:id w:val="198599974"/>
          <w:citation/>
        </w:sdtPr>
        <w:sdtContent>
          <w:r w:rsidR="00870D93">
            <w:rPr>
              <w:rFonts w:cstheme="minorHAnsi"/>
              <w:sz w:val="24"/>
              <w:szCs w:val="24"/>
            </w:rPr>
            <w:fldChar w:fldCharType="begin"/>
          </w:r>
          <w:r>
            <w:rPr>
              <w:rFonts w:cstheme="minorHAnsi"/>
              <w:sz w:val="24"/>
              <w:szCs w:val="24"/>
            </w:rPr>
            <w:instrText xml:space="preserve"> CITATION Dia02 \l 2057 </w:instrText>
          </w:r>
          <w:r w:rsidR="00870D93">
            <w:rPr>
              <w:rFonts w:cstheme="minorHAnsi"/>
              <w:sz w:val="24"/>
              <w:szCs w:val="24"/>
            </w:rPr>
            <w:fldChar w:fldCharType="separate"/>
          </w:r>
          <w:r w:rsidRPr="004E4057">
            <w:rPr>
              <w:rFonts w:cstheme="minorHAnsi"/>
              <w:noProof/>
              <w:sz w:val="24"/>
              <w:szCs w:val="24"/>
            </w:rPr>
            <w:t>(Laurillard, 2002)</w:t>
          </w:r>
          <w:r w:rsidR="00870D93">
            <w:rPr>
              <w:rFonts w:cstheme="minorHAnsi"/>
              <w:sz w:val="24"/>
              <w:szCs w:val="24"/>
            </w:rPr>
            <w:fldChar w:fldCharType="end"/>
          </w:r>
        </w:sdtContent>
      </w:sdt>
    </w:p>
    <w:p w:rsidR="000E5111" w:rsidRDefault="000E5111" w:rsidP="00D4406F">
      <w:pPr>
        <w:spacing w:before="240" w:line="360" w:lineRule="auto"/>
        <w:rPr>
          <w:rFonts w:cstheme="minorHAnsi"/>
          <w:sz w:val="24"/>
          <w:szCs w:val="24"/>
        </w:rPr>
      </w:pPr>
      <w:r w:rsidRPr="00A712F7">
        <w:rPr>
          <w:rFonts w:cstheme="minorHAnsi"/>
          <w:sz w:val="24"/>
          <w:szCs w:val="24"/>
        </w:rPr>
        <w:t>Drawing upon a BA degree as an example of higher education and its description</w:t>
      </w:r>
      <w:r w:rsidR="00B45FE1">
        <w:rPr>
          <w:rFonts w:cstheme="minorHAnsi"/>
          <w:sz w:val="24"/>
          <w:szCs w:val="24"/>
        </w:rPr>
        <w:t xml:space="preserve"> (see appendix 1</w:t>
      </w:r>
      <w:r>
        <w:rPr>
          <w:rFonts w:cstheme="minorHAnsi"/>
          <w:sz w:val="24"/>
          <w:szCs w:val="24"/>
        </w:rPr>
        <w:t>)</w:t>
      </w:r>
      <w:r w:rsidRPr="00A712F7">
        <w:rPr>
          <w:rFonts w:cstheme="minorHAnsi"/>
          <w:sz w:val="24"/>
          <w:szCs w:val="24"/>
        </w:rPr>
        <w:t>, it is clear to see that university life is attempting to encompass all that has been discussed previously</w:t>
      </w:r>
      <w:r>
        <w:rPr>
          <w:rFonts w:cstheme="minorHAnsi"/>
          <w:sz w:val="24"/>
          <w:szCs w:val="24"/>
        </w:rPr>
        <w:t>.</w:t>
      </w:r>
      <w:r w:rsidRPr="00A712F7">
        <w:rPr>
          <w:rFonts w:cstheme="minorHAnsi"/>
          <w:sz w:val="24"/>
          <w:szCs w:val="24"/>
        </w:rPr>
        <w:t xml:space="preserve"> This method of delivery is reminiscent of the social constructivist approach</w:t>
      </w:r>
      <w:r>
        <w:rPr>
          <w:rFonts w:cstheme="minorHAnsi"/>
          <w:sz w:val="24"/>
          <w:szCs w:val="24"/>
        </w:rPr>
        <w:t xml:space="preserve"> </w:t>
      </w:r>
      <w:sdt>
        <w:sdtPr>
          <w:rPr>
            <w:rFonts w:cstheme="minorHAnsi"/>
            <w:sz w:val="24"/>
            <w:szCs w:val="24"/>
          </w:rPr>
          <w:id w:val="303195933"/>
          <w:citation/>
        </w:sdtPr>
        <w:sdtContent>
          <w:r w:rsidR="00B45FE1">
            <w:rPr>
              <w:rFonts w:cstheme="minorHAnsi"/>
              <w:sz w:val="24"/>
              <w:szCs w:val="24"/>
            </w:rPr>
            <w:fldChar w:fldCharType="begin"/>
          </w:r>
          <w:r w:rsidR="00B45FE1">
            <w:rPr>
              <w:rFonts w:cstheme="minorHAnsi"/>
              <w:sz w:val="24"/>
              <w:szCs w:val="24"/>
            </w:rPr>
            <w:instrText xml:space="preserve"> CITATION Tri17 \l 2057 </w:instrText>
          </w:r>
          <w:r w:rsidR="00B45FE1">
            <w:rPr>
              <w:rFonts w:cstheme="minorHAnsi"/>
              <w:sz w:val="24"/>
              <w:szCs w:val="24"/>
            </w:rPr>
            <w:fldChar w:fldCharType="separate"/>
          </w:r>
          <w:r w:rsidR="00B45FE1" w:rsidRPr="00B45FE1">
            <w:rPr>
              <w:rFonts w:cstheme="minorHAnsi"/>
              <w:noProof/>
              <w:sz w:val="24"/>
              <w:szCs w:val="24"/>
            </w:rPr>
            <w:t>(David, 2017)</w:t>
          </w:r>
          <w:r w:rsidR="00B45FE1">
            <w:rPr>
              <w:rFonts w:cstheme="minorHAnsi"/>
              <w:sz w:val="24"/>
              <w:szCs w:val="24"/>
            </w:rPr>
            <w:fldChar w:fldCharType="end"/>
          </w:r>
        </w:sdtContent>
      </w:sdt>
    </w:p>
    <w:p w:rsidR="000E5111" w:rsidRPr="00A712F7" w:rsidRDefault="000E5111" w:rsidP="00D4406F">
      <w:pPr>
        <w:spacing w:before="240" w:line="360" w:lineRule="auto"/>
        <w:rPr>
          <w:rFonts w:cstheme="minorHAnsi"/>
          <w:sz w:val="24"/>
          <w:szCs w:val="24"/>
        </w:rPr>
      </w:pPr>
      <w:r w:rsidRPr="00A712F7">
        <w:rPr>
          <w:rFonts w:cstheme="minorHAnsi"/>
          <w:sz w:val="24"/>
          <w:szCs w:val="24"/>
        </w:rPr>
        <w:t xml:space="preserve">Social constructivism is a very complex approach, in its simplest form it means knowledge is constructed by learners. All constructivists whatever their distinctive </w:t>
      </w:r>
      <w:proofErr w:type="gramStart"/>
      <w:r w:rsidRPr="00A712F7">
        <w:rPr>
          <w:rFonts w:cstheme="minorHAnsi"/>
          <w:sz w:val="24"/>
          <w:szCs w:val="24"/>
        </w:rPr>
        <w:t>emphasis agree</w:t>
      </w:r>
      <w:proofErr w:type="gramEnd"/>
      <w:r w:rsidRPr="00A712F7">
        <w:rPr>
          <w:rFonts w:cstheme="minorHAnsi"/>
          <w:sz w:val="24"/>
          <w:szCs w:val="24"/>
        </w:rPr>
        <w:t xml:space="preserve"> that learners construct their own knowledge. As Dewey (1916) said, “education is not an affair of `telling` and being told, but an active constructive process”. Even when we use other people’s ideas, we asses them and modify them rather than just absorbing them in present </w:t>
      </w:r>
      <w:proofErr w:type="gramStart"/>
      <w:r w:rsidRPr="00A712F7">
        <w:rPr>
          <w:rFonts w:cstheme="minorHAnsi"/>
          <w:sz w:val="24"/>
          <w:szCs w:val="24"/>
        </w:rPr>
        <w:t>form</w:t>
      </w:r>
      <w:r>
        <w:rPr>
          <w:rFonts w:cstheme="minorHAnsi"/>
          <w:sz w:val="24"/>
          <w:szCs w:val="24"/>
        </w:rPr>
        <w:t xml:space="preserve">  </w:t>
      </w:r>
      <w:proofErr w:type="gramEnd"/>
      <w:sdt>
        <w:sdtPr>
          <w:rPr>
            <w:rFonts w:cstheme="minorHAnsi"/>
            <w:sz w:val="24"/>
            <w:szCs w:val="24"/>
          </w:rPr>
          <w:id w:val="798577912"/>
          <w:citation/>
        </w:sdtPr>
        <w:sdtContent>
          <w:r w:rsidR="00870D93">
            <w:rPr>
              <w:rFonts w:cstheme="minorHAnsi"/>
              <w:sz w:val="24"/>
              <w:szCs w:val="24"/>
            </w:rPr>
            <w:fldChar w:fldCharType="begin"/>
          </w:r>
          <w:r>
            <w:rPr>
              <w:rFonts w:cstheme="minorHAnsi"/>
              <w:sz w:val="24"/>
              <w:szCs w:val="24"/>
            </w:rPr>
            <w:instrText xml:space="preserve"> CITATION Bec06 \l 2057 </w:instrText>
          </w:r>
          <w:r w:rsidR="00870D93">
            <w:rPr>
              <w:rFonts w:cstheme="minorHAnsi"/>
              <w:sz w:val="24"/>
              <w:szCs w:val="24"/>
            </w:rPr>
            <w:fldChar w:fldCharType="separate"/>
          </w:r>
          <w:r w:rsidRPr="004E4057">
            <w:rPr>
              <w:rFonts w:cstheme="minorHAnsi"/>
              <w:noProof/>
              <w:sz w:val="24"/>
              <w:szCs w:val="24"/>
            </w:rPr>
            <w:t>(Beck &amp; Kosnick, 2006)</w:t>
          </w:r>
          <w:r w:rsidR="00870D93">
            <w:rPr>
              <w:rFonts w:cstheme="minorHAnsi"/>
              <w:sz w:val="24"/>
              <w:szCs w:val="24"/>
            </w:rPr>
            <w:fldChar w:fldCharType="end"/>
          </w:r>
        </w:sdtContent>
      </w:sdt>
      <w:r w:rsidRPr="00A712F7">
        <w:rPr>
          <w:rFonts w:cstheme="minorHAnsi"/>
          <w:sz w:val="24"/>
          <w:szCs w:val="24"/>
        </w:rPr>
        <w:t>. Constructing one’s own knowledge is a necessary part of learning, because that is how the mind works. One cannot grasp new ideas without linking them to existing concepts. According to Dewey (1916) “no thought, no idea can possibly be conveyed as an idea from one person to another</w:t>
      </w:r>
      <w:r>
        <w:rPr>
          <w:rFonts w:cstheme="minorHAnsi"/>
          <w:sz w:val="24"/>
          <w:szCs w:val="24"/>
        </w:rPr>
        <w:t xml:space="preserve"> </w:t>
      </w:r>
      <w:sdt>
        <w:sdtPr>
          <w:rPr>
            <w:rFonts w:cstheme="minorHAnsi"/>
            <w:sz w:val="24"/>
            <w:szCs w:val="24"/>
          </w:rPr>
          <w:id w:val="-1032180846"/>
          <w:citation/>
        </w:sdtPr>
        <w:sdtContent>
          <w:r w:rsidR="00870D93">
            <w:rPr>
              <w:rFonts w:cstheme="minorHAnsi"/>
              <w:sz w:val="24"/>
              <w:szCs w:val="24"/>
            </w:rPr>
            <w:fldChar w:fldCharType="begin"/>
          </w:r>
          <w:r>
            <w:rPr>
              <w:rFonts w:cstheme="minorHAnsi"/>
              <w:sz w:val="24"/>
              <w:szCs w:val="24"/>
            </w:rPr>
            <w:instrText xml:space="preserve"> CITATION Bec06 \l 2057 </w:instrText>
          </w:r>
          <w:r w:rsidR="00870D93">
            <w:rPr>
              <w:rFonts w:cstheme="minorHAnsi"/>
              <w:sz w:val="24"/>
              <w:szCs w:val="24"/>
            </w:rPr>
            <w:fldChar w:fldCharType="separate"/>
          </w:r>
          <w:r w:rsidRPr="004E4057">
            <w:rPr>
              <w:rFonts w:cstheme="minorHAnsi"/>
              <w:noProof/>
              <w:sz w:val="24"/>
              <w:szCs w:val="24"/>
            </w:rPr>
            <w:t>(Beck &amp; Kosnick, 2006)</w:t>
          </w:r>
          <w:r w:rsidR="00870D93">
            <w:rPr>
              <w:rFonts w:cstheme="minorHAnsi"/>
              <w:sz w:val="24"/>
              <w:szCs w:val="24"/>
            </w:rPr>
            <w:fldChar w:fldCharType="end"/>
          </w:r>
        </w:sdtContent>
      </w:sdt>
      <w:r w:rsidRPr="00A712F7">
        <w:rPr>
          <w:rFonts w:cstheme="minorHAnsi"/>
          <w:sz w:val="24"/>
          <w:szCs w:val="24"/>
        </w:rPr>
        <w:t xml:space="preserve">. Learners must </w:t>
      </w:r>
      <w:r w:rsidRPr="00A712F7">
        <w:rPr>
          <w:rFonts w:cstheme="minorHAnsi"/>
          <w:sz w:val="24"/>
          <w:szCs w:val="24"/>
        </w:rPr>
        <w:lastRenderedPageBreak/>
        <w:t xml:space="preserve">interpret new Ideas in the context of their present interests and understandings, if they are to have thoughts at all”. We must be able to construct </w:t>
      </w:r>
      <w:proofErr w:type="gramStart"/>
      <w:r w:rsidRPr="00A712F7">
        <w:rPr>
          <w:rFonts w:cstheme="minorHAnsi"/>
          <w:sz w:val="24"/>
          <w:szCs w:val="24"/>
        </w:rPr>
        <w:t>their own</w:t>
      </w:r>
      <w:proofErr w:type="gramEnd"/>
      <w:r w:rsidRPr="00A712F7">
        <w:rPr>
          <w:rFonts w:cstheme="minorHAnsi"/>
          <w:sz w:val="24"/>
          <w:szCs w:val="24"/>
        </w:rPr>
        <w:t xml:space="preserve"> knowledge to ensure that it is useful. From a constructivist point of view, the primary purpose of knowledge is to keep humans function in the world </w:t>
      </w:r>
      <w:sdt>
        <w:sdtPr>
          <w:rPr>
            <w:rFonts w:cstheme="minorHAnsi"/>
            <w:sz w:val="24"/>
            <w:szCs w:val="24"/>
          </w:rPr>
          <w:id w:val="-671883196"/>
          <w:citation/>
        </w:sdtPr>
        <w:sdtContent>
          <w:r w:rsidR="00870D93">
            <w:rPr>
              <w:rFonts w:cstheme="minorHAnsi"/>
              <w:sz w:val="24"/>
              <w:szCs w:val="24"/>
            </w:rPr>
            <w:fldChar w:fldCharType="begin"/>
          </w:r>
          <w:r>
            <w:rPr>
              <w:rFonts w:cstheme="minorHAnsi"/>
              <w:sz w:val="24"/>
              <w:szCs w:val="24"/>
            </w:rPr>
            <w:instrText xml:space="preserve"> CITATION Ste15 \l 2057 </w:instrText>
          </w:r>
          <w:r w:rsidR="00870D93">
            <w:rPr>
              <w:rFonts w:cstheme="minorHAnsi"/>
              <w:sz w:val="24"/>
              <w:szCs w:val="24"/>
            </w:rPr>
            <w:fldChar w:fldCharType="separate"/>
          </w:r>
          <w:r w:rsidRPr="004E4057">
            <w:rPr>
              <w:rFonts w:cstheme="minorHAnsi"/>
              <w:noProof/>
              <w:sz w:val="24"/>
              <w:szCs w:val="24"/>
            </w:rPr>
            <w:t>(Olusegun, 2015)</w:t>
          </w:r>
          <w:r w:rsidR="00870D93">
            <w:rPr>
              <w:rFonts w:cstheme="minorHAnsi"/>
              <w:sz w:val="24"/>
              <w:szCs w:val="24"/>
            </w:rPr>
            <w:fldChar w:fldCharType="end"/>
          </w:r>
        </w:sdtContent>
      </w:sdt>
    </w:p>
    <w:p w:rsidR="000E5111" w:rsidRDefault="000E5111" w:rsidP="00D4406F">
      <w:pPr>
        <w:pStyle w:val="NormalWeb"/>
        <w:spacing w:before="0" w:beforeAutospacing="0" w:after="300" w:afterAutospacing="0" w:line="360" w:lineRule="auto"/>
        <w:rPr>
          <w:rFonts w:asciiTheme="minorHAnsi" w:hAnsiTheme="minorHAnsi" w:cstheme="minorHAnsi"/>
        </w:rPr>
      </w:pPr>
      <w:r w:rsidRPr="00A712F7">
        <w:rPr>
          <w:rFonts w:asciiTheme="minorHAnsi" w:hAnsiTheme="minorHAnsi" w:cstheme="minorHAnsi"/>
        </w:rPr>
        <w:t>Current constructivist pedagogies draw upon the writings of early 20</w:t>
      </w:r>
      <w:r w:rsidRPr="00A712F7">
        <w:rPr>
          <w:rFonts w:asciiTheme="minorHAnsi" w:hAnsiTheme="minorHAnsi" w:cstheme="minorHAnsi"/>
          <w:vertAlign w:val="superscript"/>
        </w:rPr>
        <w:t>th</w:t>
      </w:r>
      <w:r w:rsidRPr="00A712F7">
        <w:rPr>
          <w:rFonts w:asciiTheme="minorHAnsi" w:hAnsiTheme="minorHAnsi" w:cstheme="minorHAnsi"/>
        </w:rPr>
        <w:t xml:space="preserve"> century Russian psychologists Vygotsky and the American philosopher/ psychologist Dewey </w:t>
      </w:r>
      <w:sdt>
        <w:sdtPr>
          <w:rPr>
            <w:rFonts w:asciiTheme="minorHAnsi" w:hAnsiTheme="minorHAnsi" w:cstheme="minorHAnsi"/>
          </w:rPr>
          <w:id w:val="343218684"/>
          <w:citation/>
        </w:sdtPr>
        <w:sdtContent>
          <w:r w:rsidR="00870D93">
            <w:rPr>
              <w:rFonts w:asciiTheme="minorHAnsi" w:hAnsiTheme="minorHAnsi" w:cstheme="minorHAnsi"/>
            </w:rPr>
            <w:fldChar w:fldCharType="begin"/>
          </w:r>
          <w:r>
            <w:rPr>
              <w:rFonts w:asciiTheme="minorHAnsi" w:hAnsiTheme="minorHAnsi" w:cstheme="minorHAnsi"/>
            </w:rPr>
            <w:instrText xml:space="preserve"> CITATION Tho98 \l 2057 </w:instrText>
          </w:r>
          <w:r w:rsidR="00870D93">
            <w:rPr>
              <w:rFonts w:asciiTheme="minorHAnsi" w:hAnsiTheme="minorHAnsi" w:cstheme="minorHAnsi"/>
            </w:rPr>
            <w:fldChar w:fldCharType="separate"/>
          </w:r>
          <w:r w:rsidRPr="004E4057">
            <w:rPr>
              <w:rFonts w:asciiTheme="minorHAnsi" w:hAnsiTheme="minorHAnsi" w:cstheme="minorHAnsi"/>
              <w:noProof/>
            </w:rPr>
            <w:t>(Popkewitz, 1998)</w:t>
          </w:r>
          <w:r w:rsidR="00870D93">
            <w:rPr>
              <w:rFonts w:asciiTheme="minorHAnsi" w:hAnsiTheme="minorHAnsi" w:cstheme="minorHAnsi"/>
            </w:rPr>
            <w:fldChar w:fldCharType="end"/>
          </w:r>
        </w:sdtContent>
      </w:sdt>
      <w:r>
        <w:rPr>
          <w:rFonts w:asciiTheme="minorHAnsi" w:hAnsiTheme="minorHAnsi" w:cstheme="minorHAnsi"/>
        </w:rPr>
        <w:t>.</w:t>
      </w:r>
      <w:r w:rsidRPr="00A712F7">
        <w:rPr>
          <w:rFonts w:asciiTheme="minorHAnsi" w:hAnsiTheme="minorHAnsi" w:cstheme="minorHAnsi"/>
        </w:rPr>
        <w:t xml:space="preserve"> Vygotsky (1916) stated direct teaching of concepts is impossible and fruitless. A teacher who tries to do this usually accomplishes nothing but empty verbalism a parrot like repetition of words by the student, simulating knowledge of the corresponding concepts but covering up a vacuum</w:t>
      </w:r>
      <w:r>
        <w:rPr>
          <w:rFonts w:asciiTheme="minorHAnsi" w:hAnsiTheme="minorHAnsi" w:cstheme="minorHAnsi"/>
        </w:rPr>
        <w:t xml:space="preserve"> </w:t>
      </w:r>
      <w:sdt>
        <w:sdtPr>
          <w:rPr>
            <w:rFonts w:asciiTheme="minorHAnsi" w:hAnsiTheme="minorHAnsi" w:cstheme="minorHAnsi"/>
          </w:rPr>
          <w:id w:val="-210108113"/>
          <w:citation/>
        </w:sdtPr>
        <w:sdtContent>
          <w:r w:rsidR="00870D93">
            <w:rPr>
              <w:rFonts w:asciiTheme="minorHAnsi" w:hAnsiTheme="minorHAnsi" w:cstheme="minorHAnsi"/>
            </w:rPr>
            <w:fldChar w:fldCharType="begin"/>
          </w:r>
          <w:r>
            <w:rPr>
              <w:rFonts w:asciiTheme="minorHAnsi" w:hAnsiTheme="minorHAnsi" w:cstheme="minorHAnsi"/>
            </w:rPr>
            <w:instrText xml:space="preserve"> CITATION Ale18 \l 2057 </w:instrText>
          </w:r>
          <w:r w:rsidR="00870D93">
            <w:rPr>
              <w:rFonts w:asciiTheme="minorHAnsi" w:hAnsiTheme="minorHAnsi" w:cstheme="minorHAnsi"/>
            </w:rPr>
            <w:fldChar w:fldCharType="separate"/>
          </w:r>
          <w:r w:rsidRPr="004E4057">
            <w:rPr>
              <w:rFonts w:asciiTheme="minorHAnsi" w:hAnsiTheme="minorHAnsi" w:cstheme="minorHAnsi"/>
              <w:noProof/>
            </w:rPr>
            <w:t>(Invhinil, 2018)</w:t>
          </w:r>
          <w:r w:rsidR="00870D93">
            <w:rPr>
              <w:rFonts w:asciiTheme="minorHAnsi" w:hAnsiTheme="minorHAnsi" w:cstheme="minorHAnsi"/>
            </w:rPr>
            <w:fldChar w:fldCharType="end"/>
          </w:r>
        </w:sdtContent>
      </w:sdt>
      <w:r w:rsidRPr="00A712F7">
        <w:rPr>
          <w:rFonts w:asciiTheme="minorHAnsi" w:hAnsiTheme="minorHAnsi" w:cstheme="minorHAnsi"/>
        </w:rPr>
        <w:t xml:space="preserve">. Mediated concept formulation comprises the core of Vygotskian view of developmental processes. Facts are not simply transferred to teaching </w:t>
      </w:r>
      <w:proofErr w:type="gramStart"/>
      <w:r w:rsidRPr="00A712F7">
        <w:rPr>
          <w:rFonts w:asciiTheme="minorHAnsi" w:hAnsiTheme="minorHAnsi" w:cstheme="minorHAnsi"/>
        </w:rPr>
        <w:t>candidates,</w:t>
      </w:r>
      <w:proofErr w:type="gramEnd"/>
      <w:r w:rsidRPr="00A712F7">
        <w:rPr>
          <w:rFonts w:asciiTheme="minorHAnsi" w:hAnsiTheme="minorHAnsi" w:cstheme="minorHAnsi"/>
        </w:rPr>
        <w:t xml:space="preserve"> rather, the candidates take the facts and appropriate their own meanings by means of cultural tools. This process grows in systematicity and complexity as the teacher knowledge is continually re</w:t>
      </w:r>
      <w:r>
        <w:rPr>
          <w:rFonts w:asciiTheme="minorHAnsi" w:hAnsiTheme="minorHAnsi" w:cstheme="minorHAnsi"/>
        </w:rPr>
        <w:t>-</w:t>
      </w:r>
      <w:r w:rsidRPr="00A712F7">
        <w:rPr>
          <w:rFonts w:asciiTheme="minorHAnsi" w:hAnsiTheme="minorHAnsi" w:cstheme="minorHAnsi"/>
        </w:rPr>
        <w:t xml:space="preserve"> shaped to accommodate the dynamic nature of learning environments, consequently a Vygotsk</w:t>
      </w:r>
      <w:r>
        <w:rPr>
          <w:rFonts w:asciiTheme="minorHAnsi" w:hAnsiTheme="minorHAnsi" w:cstheme="minorHAnsi"/>
        </w:rPr>
        <w:t>ian</w:t>
      </w:r>
      <w:r w:rsidRPr="00A712F7">
        <w:rPr>
          <w:rFonts w:asciiTheme="minorHAnsi" w:hAnsiTheme="minorHAnsi" w:cstheme="minorHAnsi"/>
        </w:rPr>
        <w:t xml:space="preserve"> approach to teaching is that it requires teachers to follow a situational teaching and learning curriculum </w:t>
      </w:r>
      <w:sdt>
        <w:sdtPr>
          <w:rPr>
            <w:rFonts w:asciiTheme="minorHAnsi" w:hAnsiTheme="minorHAnsi" w:cstheme="minorHAnsi"/>
          </w:rPr>
          <w:id w:val="-1330520113"/>
          <w:citation/>
        </w:sdtPr>
        <w:sdtContent>
          <w:r w:rsidR="00870D93">
            <w:rPr>
              <w:rFonts w:asciiTheme="minorHAnsi" w:hAnsiTheme="minorHAnsi" w:cstheme="minorHAnsi"/>
            </w:rPr>
            <w:fldChar w:fldCharType="begin"/>
          </w:r>
          <w:r>
            <w:rPr>
              <w:rFonts w:asciiTheme="minorHAnsi" w:hAnsiTheme="minorHAnsi" w:cstheme="minorHAnsi"/>
            </w:rPr>
            <w:instrText xml:space="preserve">CITATION Fan \l 2057 </w:instrText>
          </w:r>
          <w:r w:rsidR="00870D93">
            <w:rPr>
              <w:rFonts w:asciiTheme="minorHAnsi" w:hAnsiTheme="minorHAnsi" w:cstheme="minorHAnsi"/>
            </w:rPr>
            <w:fldChar w:fldCharType="separate"/>
          </w:r>
          <w:r w:rsidRPr="004E4057">
            <w:rPr>
              <w:rFonts w:asciiTheme="minorHAnsi" w:hAnsiTheme="minorHAnsi" w:cstheme="minorHAnsi"/>
              <w:noProof/>
            </w:rPr>
            <w:t>(Fani &amp; Ghaemi, 2011)</w:t>
          </w:r>
          <w:r w:rsidR="00870D93">
            <w:rPr>
              <w:rFonts w:asciiTheme="minorHAnsi" w:hAnsiTheme="minorHAnsi" w:cstheme="minorHAnsi"/>
            </w:rPr>
            <w:fldChar w:fldCharType="end"/>
          </w:r>
        </w:sdtContent>
      </w:sdt>
    </w:p>
    <w:p w:rsidR="000E5111" w:rsidRPr="00A712F7" w:rsidRDefault="000E5111" w:rsidP="00D4406F">
      <w:pPr>
        <w:pStyle w:val="NormalWeb"/>
        <w:spacing w:before="0" w:beforeAutospacing="0" w:after="300" w:afterAutospacing="0" w:line="360" w:lineRule="auto"/>
        <w:rPr>
          <w:rFonts w:asciiTheme="minorHAnsi" w:hAnsiTheme="minorHAnsi" w:cstheme="minorHAnsi"/>
        </w:rPr>
      </w:pPr>
      <w:r w:rsidRPr="00A712F7">
        <w:rPr>
          <w:rFonts w:asciiTheme="minorHAnsi" w:hAnsiTheme="minorHAnsi" w:cstheme="minorHAnsi"/>
        </w:rPr>
        <w:t xml:space="preserve">As socially situated view of teaching and learning, takes the movement of pedagogical knowledge from </w:t>
      </w:r>
      <w:proofErr w:type="gramStart"/>
      <w:r w:rsidRPr="00A712F7">
        <w:rPr>
          <w:rFonts w:asciiTheme="minorHAnsi" w:hAnsiTheme="minorHAnsi" w:cstheme="minorHAnsi"/>
        </w:rPr>
        <w:t>the inter</w:t>
      </w:r>
      <w:proofErr w:type="gramEnd"/>
      <w:r w:rsidRPr="00A712F7">
        <w:rPr>
          <w:rFonts w:asciiTheme="minorHAnsi" w:hAnsiTheme="minorHAnsi" w:cstheme="minorHAnsi"/>
        </w:rPr>
        <w:t>, to the intermental plane. Vygotsky (1916</w:t>
      </w:r>
      <w:proofErr w:type="gramStart"/>
      <w:r w:rsidRPr="00A712F7">
        <w:rPr>
          <w:rFonts w:asciiTheme="minorHAnsi" w:hAnsiTheme="minorHAnsi" w:cstheme="minorHAnsi"/>
        </w:rPr>
        <w:t>),</w:t>
      </w:r>
      <w:proofErr w:type="gramEnd"/>
      <w:r w:rsidRPr="00A712F7">
        <w:rPr>
          <w:rFonts w:asciiTheme="minorHAnsi" w:hAnsiTheme="minorHAnsi" w:cstheme="minorHAnsi"/>
        </w:rPr>
        <w:t xml:space="preserve"> used the Zone of Proximal development</w:t>
      </w:r>
      <w:r>
        <w:rPr>
          <w:rFonts w:asciiTheme="minorHAnsi" w:hAnsiTheme="minorHAnsi" w:cstheme="minorHAnsi"/>
        </w:rPr>
        <w:t xml:space="preserve"> (ZPD)</w:t>
      </w:r>
      <w:r w:rsidRPr="00A712F7">
        <w:rPr>
          <w:rFonts w:asciiTheme="minorHAnsi" w:hAnsiTheme="minorHAnsi" w:cstheme="minorHAnsi"/>
        </w:rPr>
        <w:t xml:space="preserve"> to describe this complex process </w:t>
      </w:r>
      <w:sdt>
        <w:sdtPr>
          <w:rPr>
            <w:rFonts w:asciiTheme="minorHAnsi" w:hAnsiTheme="minorHAnsi" w:cstheme="minorHAnsi"/>
          </w:rPr>
          <w:id w:val="-1046679068"/>
          <w:citation/>
        </w:sdtPr>
        <w:sdtContent>
          <w:r w:rsidR="00870D93">
            <w:rPr>
              <w:rFonts w:asciiTheme="minorHAnsi" w:hAnsiTheme="minorHAnsi" w:cstheme="minorHAnsi"/>
            </w:rPr>
            <w:fldChar w:fldCharType="begin"/>
          </w:r>
          <w:r>
            <w:rPr>
              <w:rFonts w:asciiTheme="minorHAnsi" w:hAnsiTheme="minorHAnsi" w:cstheme="minorHAnsi"/>
            </w:rPr>
            <w:instrText xml:space="preserve"> CITATION Mar111 \l 2057 </w:instrText>
          </w:r>
          <w:r w:rsidR="00870D93">
            <w:rPr>
              <w:rFonts w:asciiTheme="minorHAnsi" w:hAnsiTheme="minorHAnsi" w:cstheme="minorHAnsi"/>
            </w:rPr>
            <w:fldChar w:fldCharType="separate"/>
          </w:r>
          <w:r>
            <w:rPr>
              <w:rFonts w:asciiTheme="minorHAnsi" w:hAnsiTheme="minorHAnsi" w:cstheme="minorHAnsi"/>
              <w:noProof/>
            </w:rPr>
            <w:t xml:space="preserve"> </w:t>
          </w:r>
          <w:r w:rsidRPr="004E4057">
            <w:rPr>
              <w:rFonts w:asciiTheme="minorHAnsi" w:hAnsiTheme="minorHAnsi" w:cstheme="minorHAnsi"/>
              <w:noProof/>
            </w:rPr>
            <w:t>(Warford, 2011)</w:t>
          </w:r>
          <w:r w:rsidR="00870D93">
            <w:rPr>
              <w:rFonts w:asciiTheme="minorHAnsi" w:hAnsiTheme="minorHAnsi" w:cstheme="minorHAnsi"/>
            </w:rPr>
            <w:fldChar w:fldCharType="end"/>
          </w:r>
        </w:sdtContent>
      </w:sdt>
      <w:r>
        <w:rPr>
          <w:rFonts w:asciiTheme="minorHAnsi" w:hAnsiTheme="minorHAnsi" w:cstheme="minorHAnsi"/>
        </w:rPr>
        <w:t>.</w:t>
      </w:r>
      <w:r w:rsidRPr="00A712F7">
        <w:rPr>
          <w:rFonts w:asciiTheme="minorHAnsi" w:hAnsiTheme="minorHAnsi" w:cstheme="minorHAnsi"/>
        </w:rPr>
        <w:t xml:space="preserve"> Vygotsky (1916) relates ZPD to the relationship between learning and development, and the aim is development. It concerns the whole student as an integral person, not a skill or meeting of an assessment criterion or specific pre-defined learning outcome but learning of a specific skill or prerequisite for development</w:t>
      </w:r>
      <w:r>
        <w:rPr>
          <w:rFonts w:asciiTheme="minorHAnsi" w:hAnsiTheme="minorHAnsi" w:cstheme="minorHAnsi"/>
        </w:rPr>
        <w:t xml:space="preserve"> </w:t>
      </w:r>
      <w:sdt>
        <w:sdtPr>
          <w:rPr>
            <w:rFonts w:asciiTheme="minorHAnsi" w:hAnsiTheme="minorHAnsi" w:cstheme="minorHAnsi"/>
          </w:rPr>
          <w:id w:val="-386257279"/>
          <w:citation/>
        </w:sdtPr>
        <w:sdtContent>
          <w:r w:rsidR="00870D93">
            <w:rPr>
              <w:rFonts w:asciiTheme="minorHAnsi" w:hAnsiTheme="minorHAnsi" w:cstheme="minorHAnsi"/>
            </w:rPr>
            <w:fldChar w:fldCharType="begin"/>
          </w:r>
          <w:r>
            <w:rPr>
              <w:rFonts w:asciiTheme="minorHAnsi" w:hAnsiTheme="minorHAnsi" w:cstheme="minorHAnsi"/>
            </w:rPr>
            <w:instrText xml:space="preserve"> CITATION Kar10 \l 2057 </w:instrText>
          </w:r>
          <w:r w:rsidR="00870D93">
            <w:rPr>
              <w:rFonts w:asciiTheme="minorHAnsi" w:hAnsiTheme="minorHAnsi" w:cstheme="minorHAnsi"/>
            </w:rPr>
            <w:fldChar w:fldCharType="separate"/>
          </w:r>
          <w:r w:rsidRPr="004E4057">
            <w:rPr>
              <w:rFonts w:asciiTheme="minorHAnsi" w:hAnsiTheme="minorHAnsi" w:cstheme="minorHAnsi"/>
              <w:noProof/>
            </w:rPr>
            <w:t>(Shalbani, 2010)</w:t>
          </w:r>
          <w:r w:rsidR="00870D93">
            <w:rPr>
              <w:rFonts w:asciiTheme="minorHAnsi" w:hAnsiTheme="minorHAnsi" w:cstheme="minorHAnsi"/>
            </w:rPr>
            <w:fldChar w:fldCharType="end"/>
          </w:r>
        </w:sdtContent>
      </w:sdt>
      <w:r w:rsidRPr="00A712F7">
        <w:rPr>
          <w:rFonts w:asciiTheme="minorHAnsi" w:hAnsiTheme="minorHAnsi" w:cstheme="minorHAnsi"/>
        </w:rPr>
        <w:t>. When comparing the social constructivist theory with the BA degree used as an example, suggests there may be elements of another approach, like the social constructivist approach, however, more concerned with the measuring and assessing of learner’s knowledge, the cognitivist approach</w:t>
      </w:r>
      <w:r>
        <w:rPr>
          <w:rFonts w:asciiTheme="minorHAnsi" w:hAnsiTheme="minorHAnsi" w:cstheme="minorHAnsi"/>
        </w:rPr>
        <w:t xml:space="preserve"> </w:t>
      </w:r>
      <w:sdt>
        <w:sdtPr>
          <w:rPr>
            <w:rFonts w:asciiTheme="minorHAnsi" w:hAnsiTheme="minorHAnsi" w:cstheme="minorHAnsi"/>
          </w:rPr>
          <w:id w:val="2125882091"/>
          <w:citation/>
        </w:sdtPr>
        <w:sdtContent>
          <w:r w:rsidR="00870D93">
            <w:rPr>
              <w:rFonts w:asciiTheme="minorHAnsi" w:hAnsiTheme="minorHAnsi" w:cstheme="minorHAnsi"/>
            </w:rPr>
            <w:fldChar w:fldCharType="begin"/>
          </w:r>
          <w:r>
            <w:rPr>
              <w:rFonts w:asciiTheme="minorHAnsi" w:hAnsiTheme="minorHAnsi" w:cstheme="minorHAnsi"/>
            </w:rPr>
            <w:instrText xml:space="preserve"> CITATION Ste131 \l 2057 </w:instrText>
          </w:r>
          <w:r w:rsidR="00870D93">
            <w:rPr>
              <w:rFonts w:asciiTheme="minorHAnsi" w:hAnsiTheme="minorHAnsi" w:cstheme="minorHAnsi"/>
            </w:rPr>
            <w:fldChar w:fldCharType="separate"/>
          </w:r>
          <w:r w:rsidRPr="004E4057">
            <w:rPr>
              <w:rFonts w:asciiTheme="minorHAnsi" w:hAnsiTheme="minorHAnsi" w:cstheme="minorHAnsi"/>
              <w:noProof/>
            </w:rPr>
            <w:t>(Draper, 2013)</w:t>
          </w:r>
          <w:r w:rsidR="00870D93">
            <w:rPr>
              <w:rFonts w:asciiTheme="minorHAnsi" w:hAnsiTheme="minorHAnsi" w:cstheme="minorHAnsi"/>
            </w:rPr>
            <w:fldChar w:fldCharType="end"/>
          </w:r>
        </w:sdtContent>
      </w:sdt>
      <w:r w:rsidRPr="00A712F7">
        <w:rPr>
          <w:rFonts w:asciiTheme="minorHAnsi" w:hAnsiTheme="minorHAnsi" w:cstheme="minorHAnsi"/>
        </w:rPr>
        <w:t xml:space="preserve">. </w:t>
      </w:r>
    </w:p>
    <w:p w:rsidR="000E5111" w:rsidRPr="00A712F7" w:rsidRDefault="000E5111" w:rsidP="00D4406F">
      <w:pPr>
        <w:pStyle w:val="NormalWeb"/>
        <w:spacing w:before="0" w:beforeAutospacing="0" w:after="300" w:afterAutospacing="0" w:line="360" w:lineRule="auto"/>
        <w:rPr>
          <w:rFonts w:asciiTheme="minorHAnsi" w:hAnsiTheme="minorHAnsi" w:cstheme="minorHAnsi"/>
        </w:rPr>
      </w:pPr>
      <w:r w:rsidRPr="00A712F7">
        <w:rPr>
          <w:rFonts w:asciiTheme="minorHAnsi" w:hAnsiTheme="minorHAnsi" w:cstheme="minorHAnsi"/>
        </w:rPr>
        <w:t xml:space="preserve">Cognitivist approach to learning is mostly influenced by child psychologist Jean Piaget (1968). Piaget (1968) proposed that learning was a dynamic process comprising successive stages of adaption to reality, during which learners actively construct knowledge by creating </w:t>
      </w:r>
      <w:r w:rsidRPr="00A712F7">
        <w:rPr>
          <w:rFonts w:asciiTheme="minorHAnsi" w:hAnsiTheme="minorHAnsi" w:cstheme="minorHAnsi"/>
        </w:rPr>
        <w:lastRenderedPageBreak/>
        <w:t>and testing their own theories of the world</w:t>
      </w:r>
      <w:r>
        <w:rPr>
          <w:rFonts w:asciiTheme="minorHAnsi" w:hAnsiTheme="minorHAnsi" w:cstheme="minorHAnsi"/>
        </w:rPr>
        <w:t xml:space="preserve"> </w:t>
      </w:r>
      <w:sdt>
        <w:sdtPr>
          <w:rPr>
            <w:rFonts w:asciiTheme="minorHAnsi" w:hAnsiTheme="minorHAnsi" w:cstheme="minorHAnsi"/>
          </w:rPr>
          <w:id w:val="-2045057251"/>
          <w:citation/>
        </w:sdtPr>
        <w:sdtContent>
          <w:r w:rsidR="00870D93">
            <w:rPr>
              <w:rFonts w:asciiTheme="minorHAnsi" w:hAnsiTheme="minorHAnsi" w:cstheme="minorHAnsi"/>
            </w:rPr>
            <w:fldChar w:fldCharType="begin"/>
          </w:r>
          <w:r>
            <w:rPr>
              <w:rFonts w:asciiTheme="minorHAnsi" w:hAnsiTheme="minorHAnsi" w:cstheme="minorHAnsi"/>
            </w:rPr>
            <w:instrText xml:space="preserve"> CITATION Ber18 \l 2057 </w:instrText>
          </w:r>
          <w:r w:rsidR="00870D93">
            <w:rPr>
              <w:rFonts w:asciiTheme="minorHAnsi" w:hAnsiTheme="minorHAnsi" w:cstheme="minorHAnsi"/>
            </w:rPr>
            <w:fldChar w:fldCharType="separate"/>
          </w:r>
          <w:r w:rsidRPr="004E4057">
            <w:rPr>
              <w:rFonts w:asciiTheme="minorHAnsi" w:hAnsiTheme="minorHAnsi" w:cstheme="minorHAnsi"/>
              <w:noProof/>
            </w:rPr>
            <w:t>(Division, 2018)</w:t>
          </w:r>
          <w:r w:rsidR="00870D93">
            <w:rPr>
              <w:rFonts w:asciiTheme="minorHAnsi" w:hAnsiTheme="minorHAnsi" w:cstheme="minorHAnsi"/>
            </w:rPr>
            <w:fldChar w:fldCharType="end"/>
          </w:r>
        </w:sdtContent>
      </w:sdt>
      <w:r w:rsidRPr="00A712F7">
        <w:rPr>
          <w:rFonts w:asciiTheme="minorHAnsi" w:hAnsiTheme="minorHAnsi" w:cstheme="minorHAnsi"/>
        </w:rPr>
        <w:t xml:space="preserve">. Piaget’s theory has two main strands; first an account of the mechanisms by which cognitive development takes place; and secondly an account of the four main </w:t>
      </w:r>
      <w:r w:rsidR="00B45FE1">
        <w:rPr>
          <w:rFonts w:asciiTheme="minorHAnsi" w:hAnsiTheme="minorHAnsi" w:cstheme="minorHAnsi"/>
        </w:rPr>
        <w:t xml:space="preserve">stages of cognitive development </w:t>
      </w:r>
      <w:sdt>
        <w:sdtPr>
          <w:rPr>
            <w:rFonts w:asciiTheme="minorHAnsi" w:hAnsiTheme="minorHAnsi" w:cstheme="minorHAnsi"/>
          </w:rPr>
          <w:id w:val="303195934"/>
          <w:citation/>
        </w:sdtPr>
        <w:sdtContent>
          <w:r w:rsidR="00B45FE1">
            <w:rPr>
              <w:rFonts w:asciiTheme="minorHAnsi" w:hAnsiTheme="minorHAnsi" w:cstheme="minorHAnsi"/>
            </w:rPr>
            <w:fldChar w:fldCharType="begin"/>
          </w:r>
          <w:r w:rsidR="00B45FE1">
            <w:rPr>
              <w:rFonts w:asciiTheme="minorHAnsi" w:hAnsiTheme="minorHAnsi" w:cstheme="minorHAnsi"/>
            </w:rPr>
            <w:instrText xml:space="preserve"> CITATION Ken17 \l 2057 </w:instrText>
          </w:r>
          <w:r w:rsidR="00B45FE1">
            <w:rPr>
              <w:rFonts w:asciiTheme="minorHAnsi" w:hAnsiTheme="minorHAnsi" w:cstheme="minorHAnsi"/>
            </w:rPr>
            <w:fldChar w:fldCharType="separate"/>
          </w:r>
          <w:r w:rsidR="00B45FE1" w:rsidRPr="00B45FE1">
            <w:rPr>
              <w:rFonts w:asciiTheme="minorHAnsi" w:hAnsiTheme="minorHAnsi" w:cstheme="minorHAnsi"/>
              <w:noProof/>
            </w:rPr>
            <w:t>(Cherry, 2017)</w:t>
          </w:r>
          <w:r w:rsidR="00B45FE1">
            <w:rPr>
              <w:rFonts w:asciiTheme="minorHAnsi" w:hAnsiTheme="minorHAnsi" w:cstheme="minorHAnsi"/>
            </w:rPr>
            <w:fldChar w:fldCharType="end"/>
          </w:r>
        </w:sdtContent>
      </w:sdt>
      <w:r w:rsidR="009B2299">
        <w:rPr>
          <w:rFonts w:asciiTheme="minorHAnsi" w:hAnsiTheme="minorHAnsi" w:cstheme="minorHAnsi"/>
        </w:rPr>
        <w:t xml:space="preserve">. </w:t>
      </w:r>
      <w:r w:rsidRPr="00A712F7">
        <w:rPr>
          <w:rFonts w:asciiTheme="minorHAnsi" w:hAnsiTheme="minorHAnsi" w:cstheme="minorHAnsi"/>
        </w:rPr>
        <w:t>The basic principle underlying Piaget</w:t>
      </w:r>
      <w:r>
        <w:rPr>
          <w:rFonts w:asciiTheme="minorHAnsi" w:hAnsiTheme="minorHAnsi" w:cstheme="minorHAnsi"/>
        </w:rPr>
        <w:t>`</w:t>
      </w:r>
      <w:r w:rsidRPr="00A712F7">
        <w:rPr>
          <w:rFonts w:asciiTheme="minorHAnsi" w:hAnsiTheme="minorHAnsi" w:cstheme="minorHAnsi"/>
        </w:rPr>
        <w:t>s theory is the principle of equilibrium; all cognitive affective development processes towards increasingly complex and stable levels of organisation</w:t>
      </w:r>
      <w:r>
        <w:rPr>
          <w:rFonts w:asciiTheme="minorHAnsi" w:hAnsiTheme="minorHAnsi" w:cstheme="minorHAnsi"/>
        </w:rPr>
        <w:t xml:space="preserve"> </w:t>
      </w:r>
      <w:sdt>
        <w:sdtPr>
          <w:rPr>
            <w:rFonts w:asciiTheme="minorHAnsi" w:hAnsiTheme="minorHAnsi" w:cstheme="minorHAnsi"/>
          </w:rPr>
          <w:id w:val="-896043685"/>
          <w:citation/>
        </w:sdtPr>
        <w:sdtContent>
          <w:r w:rsidR="00870D93">
            <w:rPr>
              <w:rFonts w:asciiTheme="minorHAnsi" w:hAnsiTheme="minorHAnsi" w:cstheme="minorHAnsi"/>
            </w:rPr>
            <w:fldChar w:fldCharType="begin"/>
          </w:r>
          <w:r>
            <w:rPr>
              <w:rFonts w:asciiTheme="minorHAnsi" w:hAnsiTheme="minorHAnsi" w:cstheme="minorHAnsi"/>
            </w:rPr>
            <w:instrText xml:space="preserve"> CITATION Ell99 \l 2057 </w:instrText>
          </w:r>
          <w:r w:rsidR="00870D93">
            <w:rPr>
              <w:rFonts w:asciiTheme="minorHAnsi" w:hAnsiTheme="minorHAnsi" w:cstheme="minorHAnsi"/>
            </w:rPr>
            <w:fldChar w:fldCharType="separate"/>
          </w:r>
          <w:r w:rsidRPr="004E4057">
            <w:rPr>
              <w:rFonts w:asciiTheme="minorHAnsi" w:hAnsiTheme="minorHAnsi" w:cstheme="minorHAnsi"/>
              <w:noProof/>
            </w:rPr>
            <w:t>(Kofsky, 1999)</w:t>
          </w:r>
          <w:r w:rsidR="00870D93">
            <w:rPr>
              <w:rFonts w:asciiTheme="minorHAnsi" w:hAnsiTheme="minorHAnsi" w:cstheme="minorHAnsi"/>
            </w:rPr>
            <w:fldChar w:fldCharType="end"/>
          </w:r>
        </w:sdtContent>
      </w:sdt>
      <w:r w:rsidRPr="00A712F7">
        <w:rPr>
          <w:rFonts w:asciiTheme="minorHAnsi" w:hAnsiTheme="minorHAnsi" w:cstheme="minorHAnsi"/>
        </w:rPr>
        <w:t>. Equilibration takes place though the process of adoption, that is, assimilation of new information to existing cognitive structures and the accommodation of that information through the formation of new cognitive structures. For example, learners who already have the cognitive structures necessary to solve percentage problems in mathematics will have some of the structures necessary to solve time- rate</w:t>
      </w:r>
      <w:r>
        <w:rPr>
          <w:rFonts w:asciiTheme="minorHAnsi" w:hAnsiTheme="minorHAnsi" w:cstheme="minorHAnsi"/>
        </w:rPr>
        <w:t>-</w:t>
      </w:r>
      <w:r w:rsidRPr="00A712F7">
        <w:rPr>
          <w:rFonts w:asciiTheme="minorHAnsi" w:hAnsiTheme="minorHAnsi" w:cstheme="minorHAnsi"/>
        </w:rPr>
        <w:t xml:space="preserve">distance problems, but they will need to modify their existing information to solve the new type of problem. Thus, the </w:t>
      </w:r>
      <w:r w:rsidR="009B2299" w:rsidRPr="00A712F7">
        <w:rPr>
          <w:rFonts w:asciiTheme="minorHAnsi" w:hAnsiTheme="minorHAnsi" w:cstheme="minorHAnsi"/>
        </w:rPr>
        <w:t>learners adapt and develop</w:t>
      </w:r>
      <w:r w:rsidRPr="00A712F7">
        <w:rPr>
          <w:rFonts w:asciiTheme="minorHAnsi" w:hAnsiTheme="minorHAnsi" w:cstheme="minorHAnsi"/>
        </w:rPr>
        <w:t xml:space="preserve"> by assimilating and accommodating new information into existing cognitive structures</w:t>
      </w:r>
      <w:r>
        <w:rPr>
          <w:rFonts w:asciiTheme="minorHAnsi" w:hAnsiTheme="minorHAnsi" w:cstheme="minorHAnsi"/>
        </w:rPr>
        <w:t xml:space="preserve"> </w:t>
      </w:r>
      <w:sdt>
        <w:sdtPr>
          <w:rPr>
            <w:rFonts w:asciiTheme="minorHAnsi" w:hAnsiTheme="minorHAnsi" w:cstheme="minorHAnsi"/>
          </w:rPr>
          <w:id w:val="1180852685"/>
          <w:citation/>
        </w:sdtPr>
        <w:sdtContent>
          <w:r w:rsidR="00870D93">
            <w:rPr>
              <w:rFonts w:asciiTheme="minorHAnsi" w:hAnsiTheme="minorHAnsi" w:cstheme="minorHAnsi"/>
            </w:rPr>
            <w:fldChar w:fldCharType="begin"/>
          </w:r>
          <w:r>
            <w:rPr>
              <w:rFonts w:asciiTheme="minorHAnsi" w:hAnsiTheme="minorHAnsi" w:cstheme="minorHAnsi"/>
            </w:rPr>
            <w:instrText xml:space="preserve"> CITATION Ber181 \l 2057 </w:instrText>
          </w:r>
          <w:r w:rsidR="00870D93">
            <w:rPr>
              <w:rFonts w:asciiTheme="minorHAnsi" w:hAnsiTheme="minorHAnsi" w:cstheme="minorHAnsi"/>
            </w:rPr>
            <w:fldChar w:fldCharType="separate"/>
          </w:r>
          <w:r w:rsidRPr="004E4057">
            <w:rPr>
              <w:rFonts w:asciiTheme="minorHAnsi" w:hAnsiTheme="minorHAnsi" w:cstheme="minorHAnsi"/>
              <w:noProof/>
            </w:rPr>
            <w:t>(Division, 2018)</w:t>
          </w:r>
          <w:r w:rsidR="00870D93">
            <w:rPr>
              <w:rFonts w:asciiTheme="minorHAnsi" w:hAnsiTheme="minorHAnsi" w:cstheme="minorHAnsi"/>
            </w:rPr>
            <w:fldChar w:fldCharType="end"/>
          </w:r>
        </w:sdtContent>
      </w:sdt>
      <w:r>
        <w:rPr>
          <w:rFonts w:asciiTheme="minorHAnsi" w:hAnsiTheme="minorHAnsi" w:cstheme="minorHAnsi"/>
        </w:rPr>
        <w:t>.</w:t>
      </w:r>
    </w:p>
    <w:p w:rsidR="000E5111" w:rsidRPr="00A712F7" w:rsidRDefault="000E5111" w:rsidP="00D4406F">
      <w:pPr>
        <w:pStyle w:val="NormalWeb"/>
        <w:spacing w:before="0" w:beforeAutospacing="0" w:after="300" w:afterAutospacing="0" w:line="360" w:lineRule="auto"/>
        <w:rPr>
          <w:rFonts w:asciiTheme="minorHAnsi" w:hAnsiTheme="minorHAnsi" w:cstheme="minorHAnsi"/>
        </w:rPr>
      </w:pPr>
      <w:r w:rsidRPr="00A712F7">
        <w:rPr>
          <w:rFonts w:asciiTheme="minorHAnsi" w:hAnsiTheme="minorHAnsi" w:cstheme="minorHAnsi"/>
        </w:rPr>
        <w:t>The combination of the Cognitivist and the Social cognitivist approach to developing curriculum and teaching methods aim to assist the learner in assimilating new information to existing knowledge, enabling them to make appropriate modifications to their existing intellectual framework to accommodate the new information</w:t>
      </w:r>
      <w:r>
        <w:rPr>
          <w:rFonts w:asciiTheme="minorHAnsi" w:hAnsiTheme="minorHAnsi" w:cstheme="minorHAnsi"/>
        </w:rPr>
        <w:t xml:space="preserve"> </w:t>
      </w:r>
      <w:sdt>
        <w:sdtPr>
          <w:rPr>
            <w:rFonts w:asciiTheme="minorHAnsi" w:hAnsiTheme="minorHAnsi" w:cstheme="minorHAnsi"/>
          </w:rPr>
          <w:id w:val="-1604248499"/>
          <w:citation/>
        </w:sdtPr>
        <w:sdtContent>
          <w:r w:rsidR="00870D93">
            <w:rPr>
              <w:rFonts w:asciiTheme="minorHAnsi" w:hAnsiTheme="minorHAnsi" w:cstheme="minorHAnsi"/>
            </w:rPr>
            <w:fldChar w:fldCharType="begin"/>
          </w:r>
          <w:r>
            <w:rPr>
              <w:rFonts w:asciiTheme="minorHAnsi" w:hAnsiTheme="minorHAnsi" w:cstheme="minorHAnsi"/>
            </w:rPr>
            <w:instrText xml:space="preserve"> CITATION UNE15 \l 2057 </w:instrText>
          </w:r>
          <w:r w:rsidR="00870D93">
            <w:rPr>
              <w:rFonts w:asciiTheme="minorHAnsi" w:hAnsiTheme="minorHAnsi" w:cstheme="minorHAnsi"/>
            </w:rPr>
            <w:fldChar w:fldCharType="separate"/>
          </w:r>
          <w:r w:rsidRPr="004E4057">
            <w:rPr>
              <w:rFonts w:asciiTheme="minorHAnsi" w:hAnsiTheme="minorHAnsi" w:cstheme="minorHAnsi"/>
              <w:noProof/>
            </w:rPr>
            <w:t>(UNESCO, 2015)</w:t>
          </w:r>
          <w:r w:rsidR="00870D93">
            <w:rPr>
              <w:rFonts w:asciiTheme="minorHAnsi" w:hAnsiTheme="minorHAnsi" w:cstheme="minorHAnsi"/>
            </w:rPr>
            <w:fldChar w:fldCharType="end"/>
          </w:r>
        </w:sdtContent>
      </w:sdt>
      <w:r w:rsidRPr="00A712F7">
        <w:rPr>
          <w:rFonts w:asciiTheme="minorHAnsi" w:hAnsiTheme="minorHAnsi" w:cstheme="minorHAnsi"/>
        </w:rPr>
        <w:t xml:space="preserve">. </w:t>
      </w:r>
      <w:r>
        <w:rPr>
          <w:rFonts w:asciiTheme="minorHAnsi" w:hAnsiTheme="minorHAnsi" w:cstheme="minorHAnsi"/>
        </w:rPr>
        <w:t>T</w:t>
      </w:r>
      <w:r w:rsidRPr="00A712F7">
        <w:rPr>
          <w:rFonts w:asciiTheme="minorHAnsi" w:hAnsiTheme="minorHAnsi" w:cstheme="minorHAnsi"/>
        </w:rPr>
        <w:t xml:space="preserve">he both approaches complement each other and allow learners to exercise the memorisation of facts, formulation and lists, </w:t>
      </w:r>
      <w:r>
        <w:rPr>
          <w:rFonts w:asciiTheme="minorHAnsi" w:hAnsiTheme="minorHAnsi" w:cstheme="minorHAnsi"/>
        </w:rPr>
        <w:t xml:space="preserve">however, </w:t>
      </w:r>
      <w:r w:rsidRPr="00A712F7">
        <w:rPr>
          <w:rFonts w:asciiTheme="minorHAnsi" w:hAnsiTheme="minorHAnsi" w:cstheme="minorHAnsi"/>
        </w:rPr>
        <w:t xml:space="preserve">they place great emphasis on strategies that help learners to actively assimilate and accommodate new materials </w:t>
      </w:r>
      <w:sdt>
        <w:sdtPr>
          <w:rPr>
            <w:rFonts w:asciiTheme="minorHAnsi" w:hAnsiTheme="minorHAnsi" w:cstheme="minorHAnsi"/>
          </w:rPr>
          <w:id w:val="-1795283088"/>
          <w:citation/>
        </w:sdtPr>
        <w:sdtContent>
          <w:r w:rsidR="00870D93">
            <w:rPr>
              <w:rFonts w:asciiTheme="minorHAnsi" w:hAnsiTheme="minorHAnsi" w:cstheme="minorHAnsi"/>
            </w:rPr>
            <w:fldChar w:fldCharType="begin"/>
          </w:r>
          <w:r>
            <w:rPr>
              <w:rFonts w:asciiTheme="minorHAnsi" w:hAnsiTheme="minorHAnsi" w:cstheme="minorHAnsi"/>
            </w:rPr>
            <w:instrText xml:space="preserve"> CITATION Ber181 \l 2057 </w:instrText>
          </w:r>
          <w:r w:rsidR="00870D93">
            <w:rPr>
              <w:rFonts w:asciiTheme="minorHAnsi" w:hAnsiTheme="minorHAnsi" w:cstheme="minorHAnsi"/>
            </w:rPr>
            <w:fldChar w:fldCharType="separate"/>
          </w:r>
          <w:r w:rsidRPr="004E4057">
            <w:rPr>
              <w:rFonts w:asciiTheme="minorHAnsi" w:hAnsiTheme="minorHAnsi" w:cstheme="minorHAnsi"/>
              <w:noProof/>
            </w:rPr>
            <w:t>(Division, 2018)</w:t>
          </w:r>
          <w:r w:rsidR="00870D93">
            <w:rPr>
              <w:rFonts w:asciiTheme="minorHAnsi" w:hAnsiTheme="minorHAnsi" w:cstheme="minorHAnsi"/>
            </w:rPr>
            <w:fldChar w:fldCharType="end"/>
          </w:r>
        </w:sdtContent>
      </w:sdt>
      <w:r>
        <w:rPr>
          <w:rFonts w:asciiTheme="minorHAnsi" w:hAnsiTheme="minorHAnsi" w:cstheme="minorHAnsi"/>
        </w:rPr>
        <w:t xml:space="preserve">. </w:t>
      </w:r>
      <w:r w:rsidRPr="00A712F7">
        <w:rPr>
          <w:rFonts w:asciiTheme="minorHAnsi" w:hAnsiTheme="minorHAnsi" w:cstheme="minorHAnsi"/>
        </w:rPr>
        <w:t>For example, a BA degree in childcare and education is relevant to the vocational curriculum, but also requires that learners are assessed during various modules. Constructed and delivered using the both theories from constructivist and social constructivist the course will be delivered through experientially based context of teaching, it will be directly relevant to the learners needs, there will be an emphasis on core skills, the outcomes will tend to be explicit i.e. a progression within a professional field, the selection of content will have been designed with the input from industry, government, community as well as educators, the emphasis will be on student – c</w:t>
      </w:r>
      <w:r>
        <w:rPr>
          <w:rFonts w:asciiTheme="minorHAnsi" w:hAnsiTheme="minorHAnsi" w:cstheme="minorHAnsi"/>
        </w:rPr>
        <w:t>entred</w:t>
      </w:r>
      <w:r w:rsidRPr="00A712F7">
        <w:rPr>
          <w:rFonts w:asciiTheme="minorHAnsi" w:hAnsiTheme="minorHAnsi" w:cstheme="minorHAnsi"/>
        </w:rPr>
        <w:t xml:space="preserve"> learning</w:t>
      </w:r>
      <w:r>
        <w:rPr>
          <w:rFonts w:asciiTheme="minorHAnsi" w:hAnsiTheme="minorHAnsi" w:cstheme="minorHAnsi"/>
        </w:rPr>
        <w:t xml:space="preserve">, </w:t>
      </w:r>
      <w:r w:rsidRPr="00A712F7">
        <w:rPr>
          <w:rFonts w:asciiTheme="minorHAnsi" w:hAnsiTheme="minorHAnsi" w:cstheme="minorHAnsi"/>
        </w:rPr>
        <w:t xml:space="preserve"> often with option modules designed to broaden learners skills and abilities in a chosen area</w:t>
      </w:r>
      <w:r>
        <w:rPr>
          <w:rFonts w:asciiTheme="minorHAnsi" w:hAnsiTheme="minorHAnsi" w:cstheme="minorHAnsi"/>
        </w:rPr>
        <w:t xml:space="preserve"> of interest</w:t>
      </w:r>
      <w:r w:rsidRPr="00A712F7">
        <w:rPr>
          <w:rFonts w:asciiTheme="minorHAnsi" w:hAnsiTheme="minorHAnsi" w:cstheme="minorHAnsi"/>
        </w:rPr>
        <w:t xml:space="preserve"> and they are typically based on small units which are then separately assessed and certified</w:t>
      </w:r>
      <w:r>
        <w:rPr>
          <w:rFonts w:asciiTheme="minorHAnsi" w:hAnsiTheme="minorHAnsi" w:cstheme="minorHAnsi"/>
        </w:rPr>
        <w:t xml:space="preserve">, thus creating a combination </w:t>
      </w:r>
      <w:r>
        <w:rPr>
          <w:rFonts w:asciiTheme="minorHAnsi" w:hAnsiTheme="minorHAnsi" w:cstheme="minorHAnsi"/>
        </w:rPr>
        <w:lastRenderedPageBreak/>
        <w:t xml:space="preserve">of situational and experiential learning that provides the learners with many opportunities for deeper learning to take place </w:t>
      </w:r>
      <w:sdt>
        <w:sdtPr>
          <w:rPr>
            <w:rFonts w:asciiTheme="minorHAnsi" w:hAnsiTheme="minorHAnsi" w:cstheme="minorHAnsi"/>
          </w:rPr>
          <w:id w:val="-2087532345"/>
          <w:citation/>
        </w:sdtPr>
        <w:sdtContent>
          <w:r w:rsidR="00870D93">
            <w:rPr>
              <w:rFonts w:asciiTheme="minorHAnsi" w:hAnsiTheme="minorHAnsi" w:cstheme="minorHAnsi"/>
            </w:rPr>
            <w:fldChar w:fldCharType="begin"/>
          </w:r>
          <w:r>
            <w:rPr>
              <w:rFonts w:asciiTheme="minorHAnsi" w:hAnsiTheme="minorHAnsi" w:cstheme="minorHAnsi"/>
            </w:rPr>
            <w:instrText xml:space="preserve"> CITATION Ger15 \l 2057 </w:instrText>
          </w:r>
          <w:r w:rsidR="00870D93">
            <w:rPr>
              <w:rFonts w:asciiTheme="minorHAnsi" w:hAnsiTheme="minorHAnsi" w:cstheme="minorHAnsi"/>
            </w:rPr>
            <w:fldChar w:fldCharType="separate"/>
          </w:r>
          <w:r w:rsidRPr="004E4057">
            <w:rPr>
              <w:rFonts w:asciiTheme="minorHAnsi" w:hAnsiTheme="minorHAnsi" w:cstheme="minorHAnsi"/>
              <w:noProof/>
            </w:rPr>
            <w:t>(O`Neill, 2015)</w:t>
          </w:r>
          <w:r w:rsidR="00870D93">
            <w:rPr>
              <w:rFonts w:asciiTheme="minorHAnsi" w:hAnsiTheme="minorHAnsi" w:cstheme="minorHAnsi"/>
            </w:rPr>
            <w:fldChar w:fldCharType="end"/>
          </w:r>
        </w:sdtContent>
      </w:sdt>
      <w:r>
        <w:rPr>
          <w:rFonts w:asciiTheme="minorHAnsi" w:hAnsiTheme="minorHAnsi" w:cstheme="minorHAnsi"/>
        </w:rPr>
        <w:t>.</w:t>
      </w:r>
    </w:p>
    <w:p w:rsidR="000E5111" w:rsidRDefault="000E5111" w:rsidP="00D4406F">
      <w:pPr>
        <w:spacing w:line="360" w:lineRule="auto"/>
        <w:rPr>
          <w:rFonts w:cstheme="minorHAnsi"/>
          <w:sz w:val="24"/>
          <w:szCs w:val="24"/>
        </w:rPr>
      </w:pPr>
    </w:p>
    <w:p w:rsidR="000E5111" w:rsidRDefault="000E5111" w:rsidP="00D4406F">
      <w:pPr>
        <w:spacing w:line="360" w:lineRule="auto"/>
        <w:rPr>
          <w:rFonts w:cstheme="minorHAnsi"/>
          <w:sz w:val="24"/>
          <w:szCs w:val="24"/>
        </w:rPr>
      </w:pPr>
    </w:p>
    <w:p w:rsidR="000E5111" w:rsidRDefault="000E5111" w:rsidP="00D4406F">
      <w:pPr>
        <w:spacing w:line="360" w:lineRule="auto"/>
        <w:rPr>
          <w:rFonts w:cstheme="minorHAnsi"/>
          <w:sz w:val="24"/>
          <w:szCs w:val="24"/>
        </w:rPr>
      </w:pPr>
    </w:p>
    <w:p w:rsidR="000E5111" w:rsidRDefault="000E5111" w:rsidP="00D4406F">
      <w:pPr>
        <w:spacing w:line="360" w:lineRule="auto"/>
        <w:rPr>
          <w:rFonts w:cstheme="minorHAnsi"/>
          <w:sz w:val="24"/>
          <w:szCs w:val="24"/>
        </w:rPr>
      </w:pPr>
    </w:p>
    <w:p w:rsidR="000E5111" w:rsidRDefault="000E5111" w:rsidP="00D4406F">
      <w:pPr>
        <w:spacing w:line="360" w:lineRule="auto"/>
        <w:rPr>
          <w:rFonts w:cstheme="minorHAnsi"/>
          <w:sz w:val="24"/>
          <w:szCs w:val="24"/>
        </w:rPr>
      </w:pPr>
    </w:p>
    <w:p w:rsidR="000E5111" w:rsidRDefault="000E5111" w:rsidP="00D4406F">
      <w:pPr>
        <w:spacing w:line="360" w:lineRule="auto"/>
        <w:rPr>
          <w:rFonts w:cstheme="minorHAnsi"/>
          <w:sz w:val="24"/>
          <w:szCs w:val="24"/>
        </w:rPr>
      </w:pPr>
    </w:p>
    <w:p w:rsidR="000E5111" w:rsidRDefault="000E5111" w:rsidP="00D4406F">
      <w:pPr>
        <w:spacing w:line="360" w:lineRule="auto"/>
        <w:rPr>
          <w:rFonts w:cstheme="minorHAnsi"/>
          <w:sz w:val="24"/>
          <w:szCs w:val="24"/>
        </w:rPr>
      </w:pPr>
    </w:p>
    <w:p w:rsidR="000E5111" w:rsidRDefault="000E5111" w:rsidP="00D4406F">
      <w:pPr>
        <w:spacing w:line="360" w:lineRule="auto"/>
        <w:rPr>
          <w:rFonts w:cstheme="minorHAnsi"/>
          <w:sz w:val="24"/>
          <w:szCs w:val="24"/>
        </w:rPr>
      </w:pPr>
    </w:p>
    <w:p w:rsidR="000E5111" w:rsidRDefault="000E5111" w:rsidP="00D4406F">
      <w:pPr>
        <w:spacing w:line="360" w:lineRule="auto"/>
        <w:rPr>
          <w:rFonts w:cstheme="minorHAnsi"/>
          <w:sz w:val="24"/>
          <w:szCs w:val="24"/>
        </w:rPr>
      </w:pPr>
    </w:p>
    <w:sdt>
      <w:sdtPr>
        <w:rPr>
          <w:rFonts w:asciiTheme="minorHAnsi" w:eastAsiaTheme="minorHAnsi" w:hAnsiTheme="minorHAnsi" w:cstheme="minorBidi"/>
          <w:color w:val="auto"/>
          <w:sz w:val="22"/>
          <w:szCs w:val="22"/>
          <w:lang w:val="en-GB"/>
        </w:rPr>
        <w:id w:val="954135678"/>
        <w:docPartObj>
          <w:docPartGallery w:val="Bibliographies"/>
          <w:docPartUnique/>
        </w:docPartObj>
      </w:sdtPr>
      <w:sdtContent>
        <w:p w:rsidR="000E5111" w:rsidRDefault="000E5111" w:rsidP="00D4406F">
          <w:pPr>
            <w:pStyle w:val="Heading1"/>
            <w:spacing w:line="360" w:lineRule="auto"/>
          </w:pPr>
          <w:r>
            <w:t>References</w:t>
          </w:r>
        </w:p>
        <w:sdt>
          <w:sdtPr>
            <w:id w:val="-426425153"/>
            <w:bibliography/>
          </w:sdtPr>
          <w:sdtContent>
            <w:p w:rsidR="000E5111" w:rsidRDefault="00870D93" w:rsidP="00D4406F">
              <w:pPr>
                <w:pStyle w:val="Bibliography"/>
                <w:spacing w:line="360" w:lineRule="auto"/>
                <w:rPr>
                  <w:noProof/>
                  <w:sz w:val="24"/>
                  <w:szCs w:val="24"/>
                  <w:lang w:val="en-US"/>
                </w:rPr>
              </w:pPr>
              <w:r w:rsidRPr="00870D93">
                <w:fldChar w:fldCharType="begin"/>
              </w:r>
              <w:r w:rsidR="000E5111">
                <w:instrText xml:space="preserve"> BIBLIOGRAPHY </w:instrText>
              </w:r>
              <w:r w:rsidRPr="00870D93">
                <w:fldChar w:fldCharType="separate"/>
              </w:r>
              <w:r w:rsidR="000E5111">
                <w:rPr>
                  <w:noProof/>
                  <w:lang w:val="en-US"/>
                </w:rPr>
                <w:t xml:space="preserve">Beck, C. &amp; Kosnick, C., 2006. </w:t>
              </w:r>
              <w:r w:rsidR="000E5111">
                <w:rPr>
                  <w:i/>
                  <w:iCs/>
                  <w:noProof/>
                  <w:lang w:val="en-US"/>
                </w:rPr>
                <w:t xml:space="preserve">Innovations in Teacher Education: A social Constructivist Approach. </w:t>
              </w:r>
              <w:r w:rsidR="000E5111">
                <w:rPr>
                  <w:noProof/>
                  <w:lang w:val="en-US"/>
                </w:rPr>
                <w:t>New York: State Univdersity of New York Press.</w:t>
              </w:r>
            </w:p>
            <w:p w:rsidR="000E5111" w:rsidRDefault="000E5111" w:rsidP="00D4406F">
              <w:pPr>
                <w:pStyle w:val="Bibliography"/>
                <w:spacing w:line="360" w:lineRule="auto"/>
                <w:rPr>
                  <w:noProof/>
                  <w:lang w:val="en-US"/>
                </w:rPr>
              </w:pPr>
              <w:r>
                <w:rPr>
                  <w:noProof/>
                  <w:lang w:val="en-US"/>
                </w:rPr>
                <w:t xml:space="preserve">Crossick, G., 2010. </w:t>
              </w:r>
              <w:r>
                <w:rPr>
                  <w:i/>
                  <w:iCs/>
                  <w:noProof/>
                  <w:lang w:val="en-US"/>
                </w:rPr>
                <w:t xml:space="preserve">Creating Prosperity: the role of higher education in driving the UK`s creative economy, </w:t>
              </w:r>
              <w:r>
                <w:rPr>
                  <w:noProof/>
                  <w:lang w:val="en-US"/>
                </w:rPr>
                <w:t>London: University of Londoon.</w:t>
              </w:r>
            </w:p>
            <w:p w:rsidR="000E5111" w:rsidRDefault="000E5111" w:rsidP="00D4406F">
              <w:pPr>
                <w:pStyle w:val="Bibliography"/>
                <w:spacing w:line="360" w:lineRule="auto"/>
                <w:rPr>
                  <w:noProof/>
                  <w:lang w:val="en-US"/>
                </w:rPr>
              </w:pPr>
              <w:r>
                <w:rPr>
                  <w:noProof/>
                  <w:lang w:val="en-US"/>
                </w:rPr>
                <w:t xml:space="preserve">Division, B. G., 2018. </w:t>
              </w:r>
              <w:r>
                <w:rPr>
                  <w:i/>
                  <w:iCs/>
                  <w:noProof/>
                  <w:lang w:val="en-US"/>
                </w:rPr>
                <w:t xml:space="preserve">Cognitive Constructivism. </w:t>
              </w:r>
              <w:r>
                <w:rPr>
                  <w:noProof/>
                  <w:lang w:val="en-US"/>
                </w:rPr>
                <w:t xml:space="preserve">[Online] </w:t>
              </w:r>
              <w:r>
                <w:rPr>
                  <w:noProof/>
                  <w:lang w:val="en-US"/>
                </w:rPr>
                <w:br/>
                <w:t xml:space="preserve">Available at: </w:t>
              </w:r>
              <w:r>
                <w:rPr>
                  <w:noProof/>
                  <w:u w:val="single"/>
                  <w:lang w:val="en-US"/>
                </w:rPr>
                <w:t>http://gsi.berkeley.edu/gsi-guide-contents/learning-theory-research/cognitive-constructivism/</w:t>
              </w:r>
              <w:r>
                <w:rPr>
                  <w:noProof/>
                  <w:lang w:val="en-US"/>
                </w:rPr>
                <w:br/>
                <w:t>[Accessed 14 February 2018].</w:t>
              </w:r>
            </w:p>
            <w:p w:rsidR="000E5111" w:rsidRDefault="000E5111" w:rsidP="00D4406F">
              <w:pPr>
                <w:pStyle w:val="Bibliography"/>
                <w:spacing w:line="360" w:lineRule="auto"/>
                <w:rPr>
                  <w:noProof/>
                  <w:lang w:val="en-US"/>
                </w:rPr>
              </w:pPr>
              <w:r>
                <w:rPr>
                  <w:noProof/>
                  <w:lang w:val="en-US"/>
                </w:rPr>
                <w:t xml:space="preserve">Division, B. G., 2018. </w:t>
              </w:r>
              <w:r>
                <w:rPr>
                  <w:i/>
                  <w:iCs/>
                  <w:noProof/>
                  <w:lang w:val="en-US"/>
                </w:rPr>
                <w:t xml:space="preserve">Graduate student instuctor: Teaching and Resource Centre. </w:t>
              </w:r>
              <w:r>
                <w:rPr>
                  <w:noProof/>
                  <w:lang w:val="en-US"/>
                </w:rPr>
                <w:t xml:space="preserve">[Online] </w:t>
              </w:r>
              <w:r>
                <w:rPr>
                  <w:noProof/>
                  <w:lang w:val="en-US"/>
                </w:rPr>
                <w:br/>
                <w:t xml:space="preserve">Available at: </w:t>
              </w:r>
              <w:r>
                <w:rPr>
                  <w:noProof/>
                  <w:u w:val="single"/>
                  <w:lang w:val="en-US"/>
                </w:rPr>
                <w:t>http://gsi.berkeley.edu/gsi-guide-contents/learning-theory-research/cognitive-constructivism/</w:t>
              </w:r>
              <w:r>
                <w:rPr>
                  <w:noProof/>
                  <w:lang w:val="en-US"/>
                </w:rPr>
                <w:br/>
                <w:t>[Accessed 14 February 2018].</w:t>
              </w:r>
            </w:p>
            <w:p w:rsidR="000E5111" w:rsidRDefault="000E5111" w:rsidP="00D4406F">
              <w:pPr>
                <w:pStyle w:val="Bibliography"/>
                <w:spacing w:line="360" w:lineRule="auto"/>
                <w:rPr>
                  <w:noProof/>
                  <w:lang w:val="en-US"/>
                </w:rPr>
              </w:pPr>
              <w:r>
                <w:rPr>
                  <w:noProof/>
                  <w:lang w:val="en-US"/>
                </w:rPr>
                <w:t xml:space="preserve">Draper, S., 2013. </w:t>
              </w:r>
              <w:r>
                <w:rPr>
                  <w:i/>
                  <w:iCs/>
                  <w:noProof/>
                  <w:lang w:val="en-US"/>
                </w:rPr>
                <w:t xml:space="preserve">Deep and Surface Learning: The literature. </w:t>
              </w:r>
              <w:r>
                <w:rPr>
                  <w:noProof/>
                  <w:lang w:val="en-US"/>
                </w:rPr>
                <w:t xml:space="preserve">[Online] </w:t>
              </w:r>
              <w:r>
                <w:rPr>
                  <w:noProof/>
                  <w:lang w:val="en-US"/>
                </w:rPr>
                <w:br/>
                <w:t xml:space="preserve">Available at: </w:t>
              </w:r>
              <w:r>
                <w:rPr>
                  <w:noProof/>
                  <w:u w:val="single"/>
                  <w:lang w:val="en-US"/>
                </w:rPr>
                <w:t>http://www.psy.gla.ac.uk/~steve/courses/archive/CERE12-13-safari-archive/topic9/webarchive-index.html</w:t>
              </w:r>
            </w:p>
            <w:p w:rsidR="000E5111" w:rsidRDefault="000E5111" w:rsidP="00D4406F">
              <w:pPr>
                <w:pStyle w:val="Bibliography"/>
                <w:spacing w:line="360" w:lineRule="auto"/>
                <w:rPr>
                  <w:noProof/>
                  <w:lang w:val="en-US"/>
                </w:rPr>
              </w:pPr>
              <w:r>
                <w:rPr>
                  <w:noProof/>
                  <w:lang w:val="en-US"/>
                </w:rPr>
                <w:lastRenderedPageBreak/>
                <w:t xml:space="preserve">Draper, S., 2013. </w:t>
              </w:r>
              <w:r>
                <w:rPr>
                  <w:i/>
                  <w:iCs/>
                  <w:noProof/>
                  <w:lang w:val="en-US"/>
                </w:rPr>
                <w:t xml:space="preserve">Social Constructivism. </w:t>
              </w:r>
              <w:r>
                <w:rPr>
                  <w:noProof/>
                  <w:lang w:val="en-US"/>
                </w:rPr>
                <w:t xml:space="preserve">[Online] </w:t>
              </w:r>
              <w:r>
                <w:rPr>
                  <w:noProof/>
                  <w:lang w:val="en-US"/>
                </w:rPr>
                <w:br/>
                <w:t xml:space="preserve">Available at: </w:t>
              </w:r>
              <w:r>
                <w:rPr>
                  <w:noProof/>
                  <w:u w:val="single"/>
                  <w:lang w:val="en-US"/>
                </w:rPr>
                <w:t>http://www.psy.gla.ac.uk/~steve/courses/archive/CERE12-13-safari-archive/topic3/webarchive-index.html</w:t>
              </w:r>
              <w:r>
                <w:rPr>
                  <w:noProof/>
                  <w:lang w:val="en-US"/>
                </w:rPr>
                <w:br/>
                <w:t>[Accessed 14 February 2018].</w:t>
              </w:r>
            </w:p>
            <w:p w:rsidR="000E5111" w:rsidRDefault="000E5111" w:rsidP="00D4406F">
              <w:pPr>
                <w:pStyle w:val="Bibliography"/>
                <w:spacing w:line="360" w:lineRule="auto"/>
                <w:rPr>
                  <w:noProof/>
                  <w:lang w:val="en-US"/>
                </w:rPr>
              </w:pPr>
              <w:r>
                <w:rPr>
                  <w:noProof/>
                  <w:lang w:val="en-US"/>
                </w:rPr>
                <w:t xml:space="preserve">Fani, T. &amp; Ghaemi, F., 2011. Implications of Vygotsky`s Zone of Proximel Development (ZPD) in Teacher Education: ZPTD and Self- Scaffolding. </w:t>
              </w:r>
              <w:r>
                <w:rPr>
                  <w:i/>
                  <w:iCs/>
                  <w:noProof/>
                  <w:lang w:val="en-US"/>
                </w:rPr>
                <w:t xml:space="preserve">Procedia Social and Behavioural Sciences, </w:t>
              </w:r>
              <w:r>
                <w:rPr>
                  <w:noProof/>
                  <w:lang w:val="en-US"/>
                </w:rPr>
                <w:t>Volume 29, pp. 1534- 1549.</w:t>
              </w:r>
            </w:p>
            <w:p w:rsidR="000E5111" w:rsidRDefault="000E5111" w:rsidP="00D4406F">
              <w:pPr>
                <w:pStyle w:val="Bibliography"/>
                <w:spacing w:line="360" w:lineRule="auto"/>
                <w:rPr>
                  <w:noProof/>
                  <w:lang w:val="en-US"/>
                </w:rPr>
              </w:pPr>
              <w:r>
                <w:rPr>
                  <w:noProof/>
                  <w:lang w:val="en-US"/>
                </w:rPr>
                <w:t xml:space="preserve">Glasgow, U. o., 2011. </w:t>
              </w:r>
              <w:r>
                <w:rPr>
                  <w:i/>
                  <w:iCs/>
                  <w:noProof/>
                  <w:lang w:val="en-US"/>
                </w:rPr>
                <w:t xml:space="preserve">Employers perceptions of the employability skills of new graduates, </w:t>
              </w:r>
              <w:r>
                <w:rPr>
                  <w:noProof/>
                  <w:lang w:val="en-US"/>
                </w:rPr>
                <w:t>Glasgow: The SCRE Centre Research in Education.</w:t>
              </w:r>
            </w:p>
            <w:p w:rsidR="000E5111" w:rsidRDefault="000E5111" w:rsidP="00D4406F">
              <w:pPr>
                <w:pStyle w:val="Bibliography"/>
                <w:spacing w:line="360" w:lineRule="auto"/>
                <w:rPr>
                  <w:noProof/>
                  <w:lang w:val="en-US"/>
                </w:rPr>
              </w:pPr>
              <w:r>
                <w:rPr>
                  <w:noProof/>
                  <w:lang w:val="en-US"/>
                </w:rPr>
                <w:t xml:space="preserve">Harvey, L., 2003. </w:t>
              </w:r>
              <w:r>
                <w:rPr>
                  <w:i/>
                  <w:iCs/>
                  <w:noProof/>
                  <w:lang w:val="en-US"/>
                </w:rPr>
                <w:t xml:space="preserve">Enhanicng Employability, Recognising Diversity, </w:t>
              </w:r>
              <w:r>
                <w:rPr>
                  <w:noProof/>
                  <w:lang w:val="en-US"/>
                </w:rPr>
                <w:t>Sheffield: Centre for Research and Evaluation.</w:t>
              </w:r>
            </w:p>
            <w:p w:rsidR="000E5111" w:rsidRDefault="000E5111" w:rsidP="00D4406F">
              <w:pPr>
                <w:pStyle w:val="Bibliography"/>
                <w:spacing w:line="360" w:lineRule="auto"/>
                <w:rPr>
                  <w:noProof/>
                  <w:lang w:val="en-US"/>
                </w:rPr>
              </w:pPr>
              <w:r>
                <w:rPr>
                  <w:noProof/>
                  <w:lang w:val="en-US"/>
                </w:rPr>
                <w:t xml:space="preserve">Invhinil, A. K., 2018. </w:t>
              </w:r>
              <w:r>
                <w:rPr>
                  <w:i/>
                  <w:iCs/>
                  <w:noProof/>
                  <w:lang w:val="en-US"/>
                </w:rPr>
                <w:t xml:space="preserve">Scribd. </w:t>
              </w:r>
              <w:r>
                <w:rPr>
                  <w:noProof/>
                  <w:lang w:val="en-US"/>
                </w:rPr>
                <w:t xml:space="preserve">[Online] </w:t>
              </w:r>
              <w:r>
                <w:rPr>
                  <w:noProof/>
                  <w:lang w:val="en-US"/>
                </w:rPr>
                <w:br/>
                <w:t xml:space="preserve">Available at: </w:t>
              </w:r>
              <w:r>
                <w:rPr>
                  <w:noProof/>
                  <w:u w:val="single"/>
                  <w:lang w:val="en-US"/>
                </w:rPr>
                <w:t>https://www.scribd.com/document/receipt/168049800?format=docx</w:t>
              </w:r>
              <w:r>
                <w:rPr>
                  <w:noProof/>
                  <w:lang w:val="en-US"/>
                </w:rPr>
                <w:br/>
                <w:t>[Accessed 15 February 2018].</w:t>
              </w:r>
            </w:p>
            <w:p w:rsidR="000E5111" w:rsidRDefault="000E5111" w:rsidP="00D4406F">
              <w:pPr>
                <w:pStyle w:val="Bibliography"/>
                <w:spacing w:line="360" w:lineRule="auto"/>
                <w:rPr>
                  <w:noProof/>
                  <w:lang w:val="en-US"/>
                </w:rPr>
              </w:pPr>
              <w:r>
                <w:rPr>
                  <w:noProof/>
                  <w:lang w:val="en-US"/>
                </w:rPr>
                <w:t xml:space="preserve">Kofsky, E., 1999. </w:t>
              </w:r>
              <w:r>
                <w:rPr>
                  <w:i/>
                  <w:iCs/>
                  <w:noProof/>
                  <w:lang w:val="en-US"/>
                </w:rPr>
                <w:t xml:space="preserve">Conceptual development: Piaget`s Legacy Jean Piaget symposium series. </w:t>
              </w:r>
              <w:r>
                <w:rPr>
                  <w:noProof/>
                  <w:lang w:val="en-US"/>
                </w:rPr>
                <w:t>s.l.:Laurence Erlibaum Associates.</w:t>
              </w:r>
            </w:p>
            <w:p w:rsidR="000E5111" w:rsidRDefault="000E5111" w:rsidP="00D4406F">
              <w:pPr>
                <w:pStyle w:val="Bibliography"/>
                <w:spacing w:line="360" w:lineRule="auto"/>
                <w:rPr>
                  <w:noProof/>
                  <w:lang w:val="en-US"/>
                </w:rPr>
              </w:pPr>
              <w:r>
                <w:rPr>
                  <w:noProof/>
                  <w:lang w:val="en-US"/>
                </w:rPr>
                <w:t xml:space="preserve">Laurillard, D., 2002. </w:t>
              </w:r>
              <w:r>
                <w:rPr>
                  <w:i/>
                  <w:iCs/>
                  <w:noProof/>
                  <w:lang w:val="en-US"/>
                </w:rPr>
                <w:t xml:space="preserve">Rethinking University Teaching: A conversational Framework for the effective us of learning technologies. </w:t>
              </w:r>
              <w:r>
                <w:rPr>
                  <w:noProof/>
                  <w:lang w:val="en-US"/>
                </w:rPr>
                <w:t>London: RoutledgeFalmer.</w:t>
              </w:r>
            </w:p>
            <w:p w:rsidR="000E5111" w:rsidRDefault="000E5111" w:rsidP="00D4406F">
              <w:pPr>
                <w:pStyle w:val="Bibliography"/>
                <w:spacing w:line="360" w:lineRule="auto"/>
                <w:rPr>
                  <w:noProof/>
                  <w:lang w:val="en-US"/>
                </w:rPr>
              </w:pPr>
              <w:r>
                <w:rPr>
                  <w:noProof/>
                  <w:lang w:val="en-US"/>
                </w:rPr>
                <w:t xml:space="preserve">O`Neill, G., 2015. </w:t>
              </w:r>
              <w:r>
                <w:rPr>
                  <w:i/>
                  <w:iCs/>
                  <w:noProof/>
                  <w:lang w:val="en-US"/>
                </w:rPr>
                <w:t xml:space="preserve">Curriculum Design in Higher Education: Theory to Practice. </w:t>
              </w:r>
              <w:r>
                <w:rPr>
                  <w:noProof/>
                  <w:lang w:val="en-US"/>
                </w:rPr>
                <w:t>First ed. Dublin: UCD Teaching and Learning.</w:t>
              </w:r>
            </w:p>
            <w:p w:rsidR="000E5111" w:rsidRDefault="000E5111" w:rsidP="00D4406F">
              <w:pPr>
                <w:pStyle w:val="Bibliography"/>
                <w:spacing w:line="360" w:lineRule="auto"/>
                <w:rPr>
                  <w:noProof/>
                  <w:lang w:val="en-US"/>
                </w:rPr>
              </w:pPr>
              <w:r>
                <w:rPr>
                  <w:noProof/>
                  <w:lang w:val="en-US"/>
                </w:rPr>
                <w:t xml:space="preserve">Olusegun, S., 2015. Constructivism Learning Theory: A Paradigm for Teaching and Learning. </w:t>
              </w:r>
              <w:r>
                <w:rPr>
                  <w:i/>
                  <w:iCs/>
                  <w:noProof/>
                  <w:lang w:val="en-US"/>
                </w:rPr>
                <w:t xml:space="preserve">Journal of Research and Methods in Education, </w:t>
              </w:r>
              <w:r>
                <w:rPr>
                  <w:noProof/>
                  <w:lang w:val="en-US"/>
                </w:rPr>
                <w:t>5(6), pp. 66- 70.</w:t>
              </w:r>
            </w:p>
            <w:p w:rsidR="000E5111" w:rsidRDefault="000E5111" w:rsidP="00D4406F">
              <w:pPr>
                <w:pStyle w:val="Bibliography"/>
                <w:spacing w:line="360" w:lineRule="auto"/>
                <w:rPr>
                  <w:noProof/>
                  <w:lang w:val="en-US"/>
                </w:rPr>
              </w:pPr>
              <w:r>
                <w:rPr>
                  <w:noProof/>
                  <w:lang w:val="en-US"/>
                </w:rPr>
                <w:t xml:space="preserve">Popkewitz, T., 1998. Dewey ,Vygotsky, and the social administration of the individual: Constructivist Pedagogy systems of ideas in historical spaces. </w:t>
              </w:r>
              <w:r>
                <w:rPr>
                  <w:i/>
                  <w:iCs/>
                  <w:noProof/>
                  <w:lang w:val="en-US"/>
                </w:rPr>
                <w:t xml:space="preserve">American and Educational Research Journal, </w:t>
              </w:r>
              <w:r>
                <w:rPr>
                  <w:noProof/>
                  <w:lang w:val="en-US"/>
                </w:rPr>
                <w:t>35(4), pp. 535- 570.</w:t>
              </w:r>
            </w:p>
            <w:p w:rsidR="000E5111" w:rsidRDefault="000E5111" w:rsidP="00D4406F">
              <w:pPr>
                <w:pStyle w:val="Bibliography"/>
                <w:spacing w:line="360" w:lineRule="auto"/>
                <w:rPr>
                  <w:noProof/>
                  <w:lang w:val="en-US"/>
                </w:rPr>
              </w:pPr>
              <w:r>
                <w:rPr>
                  <w:noProof/>
                  <w:lang w:val="en-US"/>
                </w:rPr>
                <w:t xml:space="preserve">Ramsden, P., 2003. </w:t>
              </w:r>
              <w:r>
                <w:rPr>
                  <w:i/>
                  <w:iCs/>
                  <w:noProof/>
                  <w:lang w:val="en-US"/>
                </w:rPr>
                <w:t xml:space="preserve">Learning to Teach in Higher Education. </w:t>
              </w:r>
              <w:r>
                <w:rPr>
                  <w:noProof/>
                  <w:lang w:val="en-US"/>
                </w:rPr>
                <w:t>New York: RoutledgeFalmer.</w:t>
              </w:r>
            </w:p>
            <w:p w:rsidR="000E5111" w:rsidRDefault="000E5111" w:rsidP="00D4406F">
              <w:pPr>
                <w:pStyle w:val="Bibliography"/>
                <w:spacing w:line="360" w:lineRule="auto"/>
                <w:rPr>
                  <w:noProof/>
                  <w:lang w:val="en-US"/>
                </w:rPr>
              </w:pPr>
              <w:r>
                <w:rPr>
                  <w:noProof/>
                  <w:lang w:val="en-US"/>
                </w:rPr>
                <w:t xml:space="preserve">Shalbani, K., 2010. Vygotsky`s Zone of Proximal Development: Instructional Implications and Teachers Proffesional Development. </w:t>
              </w:r>
              <w:r>
                <w:rPr>
                  <w:i/>
                  <w:iCs/>
                  <w:noProof/>
                  <w:lang w:val="en-US"/>
                </w:rPr>
                <w:t xml:space="preserve">English Language Teaching, </w:t>
              </w:r>
              <w:r>
                <w:rPr>
                  <w:noProof/>
                  <w:lang w:val="en-US"/>
                </w:rPr>
                <w:t>3(4).</w:t>
              </w:r>
            </w:p>
            <w:p w:rsidR="000E5111" w:rsidRDefault="000E5111" w:rsidP="00D4406F">
              <w:pPr>
                <w:pStyle w:val="Bibliography"/>
                <w:spacing w:line="360" w:lineRule="auto"/>
                <w:rPr>
                  <w:noProof/>
                  <w:lang w:val="en-US"/>
                </w:rPr>
              </w:pPr>
              <w:r>
                <w:rPr>
                  <w:noProof/>
                  <w:lang w:val="en-US"/>
                </w:rPr>
                <w:t xml:space="preserve">UNESCO, 2015. The Futures of Learning 3: What Kind of Pedagogies. </w:t>
              </w:r>
              <w:r>
                <w:rPr>
                  <w:i/>
                  <w:iCs/>
                  <w:noProof/>
                  <w:lang w:val="en-US"/>
                </w:rPr>
                <w:t>Education and Research.</w:t>
              </w:r>
            </w:p>
            <w:p w:rsidR="000E5111" w:rsidRDefault="000E5111" w:rsidP="00D4406F">
              <w:pPr>
                <w:pStyle w:val="Bibliography"/>
                <w:spacing w:line="360" w:lineRule="auto"/>
                <w:rPr>
                  <w:noProof/>
                  <w:lang w:val="en-US"/>
                </w:rPr>
              </w:pPr>
              <w:r>
                <w:rPr>
                  <w:noProof/>
                  <w:lang w:val="en-US"/>
                </w:rPr>
                <w:lastRenderedPageBreak/>
                <w:t xml:space="preserve">Warford, M., 2011. The Zone of Proximal teachers development. </w:t>
              </w:r>
              <w:r>
                <w:rPr>
                  <w:i/>
                  <w:iCs/>
                  <w:noProof/>
                  <w:lang w:val="en-US"/>
                </w:rPr>
                <w:t xml:space="preserve">Teaching and Teacher education, </w:t>
              </w:r>
              <w:r>
                <w:rPr>
                  <w:noProof/>
                  <w:lang w:val="en-US"/>
                </w:rPr>
                <w:t>27(2), pp. 252- 258.</w:t>
              </w:r>
            </w:p>
            <w:p w:rsidR="000E5111" w:rsidRDefault="00870D93" w:rsidP="00D4406F">
              <w:pPr>
                <w:spacing w:line="360" w:lineRule="auto"/>
              </w:pPr>
              <w:r>
                <w:rPr>
                  <w:b/>
                  <w:bCs/>
                  <w:noProof/>
                </w:rPr>
                <w:fldChar w:fldCharType="end"/>
              </w:r>
            </w:p>
          </w:sdtContent>
        </w:sdt>
      </w:sdtContent>
    </w:sdt>
    <w:p w:rsidR="000E5111" w:rsidRDefault="000E5111" w:rsidP="00D4406F">
      <w:pPr>
        <w:spacing w:line="360" w:lineRule="auto"/>
        <w:rPr>
          <w:rFonts w:cstheme="minorHAnsi"/>
          <w:sz w:val="24"/>
          <w:szCs w:val="24"/>
        </w:rPr>
      </w:pPr>
    </w:p>
    <w:p w:rsidR="000E5111" w:rsidRDefault="000E5111" w:rsidP="00D4406F">
      <w:pPr>
        <w:spacing w:line="360" w:lineRule="auto"/>
      </w:pPr>
    </w:p>
    <w:p w:rsidR="000E5111" w:rsidRDefault="000E5111" w:rsidP="00D4406F">
      <w:pPr>
        <w:spacing w:line="360" w:lineRule="auto"/>
      </w:pPr>
    </w:p>
    <w:p w:rsidR="000E5111" w:rsidRDefault="000E5111" w:rsidP="00D4406F">
      <w:pPr>
        <w:spacing w:line="360" w:lineRule="auto"/>
        <w:rPr>
          <w:rFonts w:ascii="Arial" w:hAnsi="Arial" w:cs="Arial"/>
          <w:b/>
          <w:u w:val="single"/>
        </w:rPr>
      </w:pPr>
    </w:p>
    <w:p w:rsidR="000E5111" w:rsidRDefault="000E5111" w:rsidP="00D4406F">
      <w:pPr>
        <w:spacing w:line="360" w:lineRule="auto"/>
        <w:rPr>
          <w:rFonts w:ascii="Arial" w:hAnsi="Arial" w:cs="Arial"/>
          <w:b/>
          <w:u w:val="single"/>
        </w:rPr>
      </w:pPr>
    </w:p>
    <w:p w:rsidR="000E5111" w:rsidRDefault="000E5111" w:rsidP="00D4406F">
      <w:pPr>
        <w:spacing w:line="360" w:lineRule="auto"/>
        <w:rPr>
          <w:rFonts w:ascii="Arial" w:hAnsi="Arial" w:cs="Arial"/>
          <w:b/>
          <w:u w:val="single"/>
        </w:rPr>
      </w:pPr>
    </w:p>
    <w:p w:rsidR="000E5111" w:rsidRDefault="000E5111" w:rsidP="00D4406F">
      <w:pPr>
        <w:spacing w:line="360" w:lineRule="auto"/>
        <w:rPr>
          <w:rFonts w:ascii="Arial" w:hAnsi="Arial" w:cs="Arial"/>
          <w:b/>
          <w:u w:val="single"/>
        </w:rPr>
      </w:pPr>
    </w:p>
    <w:p w:rsidR="000E5111" w:rsidRDefault="000E5111" w:rsidP="00D4406F">
      <w:pPr>
        <w:spacing w:line="360" w:lineRule="auto"/>
        <w:rPr>
          <w:rFonts w:ascii="Arial" w:hAnsi="Arial" w:cs="Arial"/>
          <w:b/>
          <w:u w:val="single"/>
        </w:rPr>
      </w:pPr>
    </w:p>
    <w:p w:rsidR="000E5111" w:rsidRDefault="000E5111" w:rsidP="00D4406F">
      <w:pPr>
        <w:spacing w:line="360" w:lineRule="auto"/>
        <w:rPr>
          <w:rFonts w:ascii="Arial" w:hAnsi="Arial" w:cs="Arial"/>
          <w:b/>
          <w:u w:val="single"/>
        </w:rPr>
      </w:pPr>
    </w:p>
    <w:p w:rsidR="000E5111" w:rsidRDefault="000E5111" w:rsidP="00D4406F">
      <w:pPr>
        <w:spacing w:line="360" w:lineRule="auto"/>
        <w:rPr>
          <w:rFonts w:ascii="Arial" w:hAnsi="Arial" w:cs="Arial"/>
          <w:b/>
          <w:u w:val="single"/>
        </w:rPr>
      </w:pPr>
    </w:p>
    <w:p w:rsidR="000E5111" w:rsidRDefault="000E5111" w:rsidP="00D4406F">
      <w:pPr>
        <w:spacing w:line="360" w:lineRule="auto"/>
        <w:rPr>
          <w:rFonts w:ascii="Arial" w:hAnsi="Arial" w:cs="Arial"/>
          <w:b/>
          <w:u w:val="single"/>
        </w:rPr>
      </w:pPr>
    </w:p>
    <w:p w:rsidR="000E5111" w:rsidRDefault="000E5111" w:rsidP="00D4406F">
      <w:pPr>
        <w:spacing w:line="360" w:lineRule="auto"/>
        <w:rPr>
          <w:rFonts w:ascii="Arial" w:hAnsi="Arial" w:cs="Arial"/>
          <w:b/>
          <w:u w:val="single"/>
        </w:rPr>
      </w:pPr>
    </w:p>
    <w:p w:rsidR="00CB5758" w:rsidRDefault="00CB5758" w:rsidP="00D4406F">
      <w:pPr>
        <w:spacing w:line="360" w:lineRule="auto"/>
      </w:pPr>
    </w:p>
    <w:p w:rsidR="00E61141" w:rsidRDefault="00E61141" w:rsidP="00D4406F">
      <w:pPr>
        <w:spacing w:line="360" w:lineRule="auto"/>
        <w:jc w:val="center"/>
        <w:rPr>
          <w:b/>
          <w:sz w:val="24"/>
          <w:szCs w:val="24"/>
          <w:u w:val="single"/>
        </w:rPr>
      </w:pPr>
    </w:p>
    <w:p w:rsidR="00E61141" w:rsidRDefault="00E61141" w:rsidP="00D4406F">
      <w:pPr>
        <w:spacing w:line="360" w:lineRule="auto"/>
        <w:jc w:val="center"/>
        <w:rPr>
          <w:b/>
          <w:sz w:val="24"/>
          <w:szCs w:val="24"/>
          <w:u w:val="single"/>
        </w:rPr>
      </w:pPr>
    </w:p>
    <w:p w:rsidR="00E61141" w:rsidRDefault="00E61141" w:rsidP="00D4406F">
      <w:pPr>
        <w:spacing w:line="360" w:lineRule="auto"/>
        <w:jc w:val="center"/>
        <w:rPr>
          <w:b/>
          <w:sz w:val="24"/>
          <w:szCs w:val="24"/>
          <w:u w:val="single"/>
        </w:rPr>
      </w:pPr>
    </w:p>
    <w:p w:rsidR="00E61141" w:rsidRDefault="00E61141" w:rsidP="00D4406F">
      <w:pPr>
        <w:spacing w:line="360" w:lineRule="auto"/>
        <w:jc w:val="center"/>
        <w:rPr>
          <w:b/>
          <w:sz w:val="24"/>
          <w:szCs w:val="24"/>
          <w:u w:val="single"/>
        </w:rPr>
      </w:pPr>
    </w:p>
    <w:p w:rsidR="00E61141" w:rsidRDefault="00E61141" w:rsidP="00D4406F">
      <w:pPr>
        <w:spacing w:line="360" w:lineRule="auto"/>
        <w:jc w:val="center"/>
        <w:rPr>
          <w:b/>
          <w:sz w:val="24"/>
          <w:szCs w:val="24"/>
          <w:u w:val="single"/>
        </w:rPr>
      </w:pPr>
    </w:p>
    <w:p w:rsidR="00E61141" w:rsidRDefault="00E61141" w:rsidP="00D4406F">
      <w:pPr>
        <w:spacing w:line="360" w:lineRule="auto"/>
        <w:jc w:val="center"/>
        <w:rPr>
          <w:b/>
          <w:sz w:val="24"/>
          <w:szCs w:val="24"/>
          <w:u w:val="single"/>
        </w:rPr>
      </w:pPr>
    </w:p>
    <w:p w:rsidR="000E5111" w:rsidRDefault="000E5111" w:rsidP="00D4406F">
      <w:pPr>
        <w:spacing w:line="360" w:lineRule="auto"/>
        <w:jc w:val="center"/>
        <w:rPr>
          <w:b/>
          <w:sz w:val="24"/>
          <w:szCs w:val="24"/>
          <w:u w:val="single"/>
        </w:rPr>
      </w:pPr>
    </w:p>
    <w:p w:rsidR="00D4406F" w:rsidRDefault="00D4406F" w:rsidP="00D4406F">
      <w:pPr>
        <w:spacing w:line="360" w:lineRule="auto"/>
        <w:jc w:val="center"/>
        <w:rPr>
          <w:rFonts w:ascii="Arial" w:hAnsi="Arial" w:cs="Arial"/>
          <w:b/>
          <w:u w:val="single"/>
        </w:rPr>
      </w:pPr>
    </w:p>
    <w:p w:rsidR="00D4406F" w:rsidRDefault="00D4406F" w:rsidP="00D4406F">
      <w:pPr>
        <w:spacing w:line="360" w:lineRule="auto"/>
        <w:jc w:val="center"/>
        <w:rPr>
          <w:rFonts w:ascii="Arial" w:hAnsi="Arial" w:cs="Arial"/>
          <w:b/>
          <w:u w:val="single"/>
        </w:rPr>
      </w:pPr>
    </w:p>
    <w:p w:rsidR="000E5111" w:rsidRDefault="000E5111" w:rsidP="00D4406F">
      <w:pPr>
        <w:spacing w:line="360" w:lineRule="auto"/>
        <w:jc w:val="center"/>
        <w:rPr>
          <w:rFonts w:ascii="Arial" w:hAnsi="Arial" w:cs="Arial"/>
          <w:b/>
          <w:u w:val="single"/>
        </w:rPr>
      </w:pPr>
      <w:r>
        <w:rPr>
          <w:rFonts w:ascii="Arial" w:hAnsi="Arial" w:cs="Arial"/>
          <w:b/>
          <w:u w:val="single"/>
        </w:rPr>
        <w:lastRenderedPageBreak/>
        <w:t>Comprehensive rationale</w:t>
      </w:r>
    </w:p>
    <w:p w:rsidR="000E5111" w:rsidRPr="00412025" w:rsidRDefault="000E5111" w:rsidP="00D4406F">
      <w:pPr>
        <w:spacing w:line="360" w:lineRule="auto"/>
        <w:rPr>
          <w:b/>
          <w:u w:val="single"/>
        </w:rPr>
      </w:pPr>
      <w:r>
        <w:rPr>
          <w:rFonts w:ascii="Arial" w:hAnsi="Arial" w:cs="Arial"/>
          <w:b/>
          <w:u w:val="single"/>
        </w:rPr>
        <w:t>T</w:t>
      </w:r>
      <w:r w:rsidRPr="00412025">
        <w:rPr>
          <w:rFonts w:ascii="Arial" w:hAnsi="Arial" w:cs="Arial"/>
          <w:b/>
          <w:u w:val="single"/>
        </w:rPr>
        <w:t>he learning programmes</w:t>
      </w:r>
    </w:p>
    <w:p w:rsidR="000E5111" w:rsidRDefault="000E5111" w:rsidP="00D4406F">
      <w:pPr>
        <w:spacing w:line="360" w:lineRule="auto"/>
        <w:rPr>
          <w:rFonts w:cstheme="minorHAnsi"/>
          <w:color w:val="000000"/>
        </w:rPr>
      </w:pPr>
      <w:r>
        <w:t xml:space="preserve">This module will be concerned with language development and Welsh language development through the medium of play. </w:t>
      </w:r>
      <w:r>
        <w:rPr>
          <w:rFonts w:cstheme="minorHAnsi"/>
          <w:color w:val="000000"/>
        </w:rPr>
        <w:t>Various studies of children`s education have revealed that children have a naturel ability to play and are naturally drawn to play</w:t>
      </w:r>
      <w:r w:rsidRPr="00041D01">
        <w:rPr>
          <w:rFonts w:cstheme="minorHAnsi"/>
          <w:color w:val="000000"/>
        </w:rPr>
        <w:t xml:space="preserve"> (Wood, 2013).</w:t>
      </w:r>
      <w:r>
        <w:rPr>
          <w:rFonts w:cstheme="minorHAnsi"/>
          <w:color w:val="000000"/>
        </w:rPr>
        <w:t xml:space="preserve"> Welsh Assembly Government (WAG) state that the importance of play in young children’s learning, should be viewed as a significant and valuable element to childhood and children`s progression into learning (Play active wag). Attitudes towards children over time has hugely shifted towards positive play opportunities, and this has led to better developed provisions for their care and education. Education has significantly improved in the early years since the importance of play has been identified</w:t>
      </w:r>
      <w:r w:rsidRPr="00041D01">
        <w:rPr>
          <w:rFonts w:cstheme="minorHAnsi"/>
          <w:color w:val="000000"/>
        </w:rPr>
        <w:t xml:space="preserve"> (Wood, 2013)</w:t>
      </w:r>
      <w:r>
        <w:rPr>
          <w:rFonts w:cstheme="minorHAnsi"/>
          <w:color w:val="000000"/>
        </w:rPr>
        <w:t xml:space="preserve">. </w:t>
      </w:r>
      <w:r w:rsidR="009B2299">
        <w:rPr>
          <w:rFonts w:cstheme="minorHAnsi"/>
          <w:color w:val="000000"/>
        </w:rPr>
        <w:t>This in turn has led to the importance of play, being highlighted through various policies and current legislation (Lillemyr, Dockett, &amp; Perry, 2013).</w:t>
      </w:r>
      <w:r w:rsidRPr="00041D01">
        <w:rPr>
          <w:rFonts w:cstheme="minorHAnsi"/>
          <w:color w:val="000000"/>
        </w:rPr>
        <w:t xml:space="preserve"> The United Convention on the Rights of the Child (UNCRC) which is a legally binding, international agreement setting out the civil, political, economic, social and cultural rights of every child, regardless of their race, religion or abilities</w:t>
      </w:r>
      <w:r>
        <w:rPr>
          <w:rFonts w:cstheme="minorHAnsi"/>
          <w:color w:val="000000"/>
        </w:rPr>
        <w:t xml:space="preserve"> </w:t>
      </w:r>
      <w:sdt>
        <w:sdtPr>
          <w:rPr>
            <w:rFonts w:cstheme="minorHAnsi"/>
            <w:color w:val="000000"/>
          </w:rPr>
          <w:id w:val="-1880925380"/>
          <w:citation/>
        </w:sdtPr>
        <w:sdtContent>
          <w:r w:rsidR="00870D93">
            <w:rPr>
              <w:rFonts w:cstheme="minorHAnsi"/>
              <w:color w:val="000000"/>
            </w:rPr>
            <w:fldChar w:fldCharType="begin"/>
          </w:r>
          <w:r>
            <w:rPr>
              <w:rFonts w:cstheme="minorHAnsi"/>
              <w:color w:val="000000"/>
            </w:rPr>
            <w:instrText xml:space="preserve"> CITATION She17 \l 2057 </w:instrText>
          </w:r>
          <w:r w:rsidR="00870D93">
            <w:rPr>
              <w:rFonts w:cstheme="minorHAnsi"/>
              <w:color w:val="000000"/>
            </w:rPr>
            <w:fldChar w:fldCharType="separate"/>
          </w:r>
          <w:r w:rsidRPr="00241589">
            <w:rPr>
              <w:rFonts w:cstheme="minorHAnsi"/>
              <w:noProof/>
              <w:color w:val="000000"/>
            </w:rPr>
            <w:t>(Williams, 2017)</w:t>
          </w:r>
          <w:r w:rsidR="00870D93">
            <w:rPr>
              <w:rFonts w:cstheme="minorHAnsi"/>
              <w:color w:val="000000"/>
            </w:rPr>
            <w:fldChar w:fldCharType="end"/>
          </w:r>
        </w:sdtContent>
      </w:sdt>
      <w:r w:rsidRPr="00041D01">
        <w:rPr>
          <w:rFonts w:cstheme="minorHAnsi"/>
          <w:color w:val="000000"/>
        </w:rPr>
        <w:t xml:space="preserve">. </w:t>
      </w:r>
    </w:p>
    <w:p w:rsidR="000E5111" w:rsidRPr="00D97988" w:rsidRDefault="000E5111" w:rsidP="00D4406F">
      <w:pPr>
        <w:spacing w:line="360" w:lineRule="auto"/>
        <w:rPr>
          <w:b/>
          <w:u w:val="single"/>
        </w:rPr>
      </w:pPr>
      <w:r>
        <w:rPr>
          <w:rFonts w:ascii="Arial" w:hAnsi="Arial" w:cs="Arial"/>
          <w:b/>
          <w:u w:val="single"/>
        </w:rPr>
        <w:t>T</w:t>
      </w:r>
      <w:r w:rsidRPr="00D97988">
        <w:rPr>
          <w:rFonts w:ascii="Arial" w:hAnsi="Arial" w:cs="Arial"/>
          <w:b/>
          <w:u w:val="single"/>
        </w:rPr>
        <w:t>he target audience</w:t>
      </w:r>
    </w:p>
    <w:p w:rsidR="000E5111" w:rsidRDefault="000E5111" w:rsidP="00D4406F">
      <w:pPr>
        <w:spacing w:line="360" w:lineRule="auto"/>
      </w:pPr>
      <w:r>
        <w:t xml:space="preserve">The target audience for this module is childcare managers and childcare services owners, as well as childcare practitioners working within an early year setting. As an early years and childcare provider, one of the most important skills to have is communication skills. These are skills in communicating both with children and their families, as well as other professionals, but most importantly communication in the child’s preferred language is important to ensure the child’s needs are met </w:t>
      </w:r>
      <w:sdt>
        <w:sdtPr>
          <w:id w:val="-1584990563"/>
          <w:citation/>
        </w:sdtPr>
        <w:sdtContent>
          <w:r w:rsidR="00870D93">
            <w:fldChar w:fldCharType="begin"/>
          </w:r>
          <w:r>
            <w:instrText xml:space="preserve"> CITATION Car18 \l 2057 </w:instrText>
          </w:r>
          <w:r w:rsidR="00870D93">
            <w:fldChar w:fldCharType="separate"/>
          </w:r>
          <w:r w:rsidRPr="00241589">
            <w:rPr>
              <w:noProof/>
            </w:rPr>
            <w:t>(Wales, 2018)</w:t>
          </w:r>
          <w:r w:rsidR="00870D93">
            <w:fldChar w:fldCharType="end"/>
          </w:r>
        </w:sdtContent>
      </w:sdt>
      <w:r>
        <w:t xml:space="preserve">. Children and young people have a right to express their views (see UNCRC), and they have the right to influence things that affect them using their preferred language </w:t>
      </w:r>
      <w:sdt>
        <w:sdtPr>
          <w:id w:val="-868683638"/>
          <w:citation/>
        </w:sdtPr>
        <w:sdtContent>
          <w:r w:rsidR="00870D93">
            <w:fldChar w:fldCharType="begin"/>
          </w:r>
          <w:r>
            <w:instrText xml:space="preserve"> CITATION Ger11 \l 2057 </w:instrText>
          </w:r>
          <w:r w:rsidR="00870D93">
            <w:fldChar w:fldCharType="separate"/>
          </w:r>
          <w:r w:rsidRPr="00241589">
            <w:rPr>
              <w:noProof/>
            </w:rPr>
            <w:t>(Lansdown, 2011)</w:t>
          </w:r>
          <w:r w:rsidR="00870D93">
            <w:fldChar w:fldCharType="end"/>
          </w:r>
        </w:sdtContent>
      </w:sdt>
      <w:r>
        <w:t xml:space="preserve">. The communication skills that a child learns early in life will be the foundation for his or her communication abilities for the future. Strong language skills are an asset that will promote a lifetime of affective communication </w:t>
      </w:r>
      <w:sdt>
        <w:sdtPr>
          <w:id w:val="-1263996507"/>
          <w:citation/>
        </w:sdtPr>
        <w:sdtContent>
          <w:r w:rsidR="00870D93">
            <w:fldChar w:fldCharType="begin"/>
          </w:r>
          <w:r>
            <w:instrText xml:space="preserve"> CITATION Leo14 \l 2057 </w:instrText>
          </w:r>
          <w:r w:rsidR="00870D93">
            <w:fldChar w:fldCharType="separate"/>
          </w:r>
          <w:r w:rsidRPr="00241589">
            <w:rPr>
              <w:noProof/>
            </w:rPr>
            <w:t>(Valoes, 2014)</w:t>
          </w:r>
          <w:r w:rsidR="00870D93">
            <w:fldChar w:fldCharType="end"/>
          </w:r>
        </w:sdtContent>
      </w:sdt>
      <w:r>
        <w:t xml:space="preserve">. Childcare practitioners and childcare managers will be given the opportunity to discover the benefits of play and the benefits of the Welsh language and implement these in their settings for the benefit of the children within their care. Recent research, on childminding settings conducted by the department of education, tracked 6000 children from the age of 2 since 2014, and found that childminders had a positive impact on young children’s cognitive development and verbal ability </w:t>
      </w:r>
      <w:sdt>
        <w:sdtPr>
          <w:id w:val="189269991"/>
          <w:citation/>
        </w:sdtPr>
        <w:sdtContent>
          <w:r w:rsidR="00870D93">
            <w:fldChar w:fldCharType="begin"/>
          </w:r>
          <w:r>
            <w:instrText xml:space="preserve"> CITATION Liz17 \l 2057 </w:instrText>
          </w:r>
          <w:r w:rsidR="00870D93">
            <w:fldChar w:fldCharType="separate"/>
          </w:r>
          <w:r w:rsidRPr="00241589">
            <w:rPr>
              <w:noProof/>
            </w:rPr>
            <w:t>(Bayram, 2017)</w:t>
          </w:r>
          <w:r w:rsidR="00870D93">
            <w:fldChar w:fldCharType="end"/>
          </w:r>
        </w:sdtContent>
      </w:sdt>
      <w:r>
        <w:t xml:space="preserve">. Childcare managers and childcare setting owners including childminders will have the opportunity to assess their own settings and will be provided with the relevant guidance on how to increase Welsh language provision in their own </w:t>
      </w:r>
      <w:r>
        <w:lastRenderedPageBreak/>
        <w:t xml:space="preserve">settings. Welsh Government’s vision is to see the Welsh language thriving in Wales and to see the number of Welsh speakers increase to one million by 2050 </w:t>
      </w:r>
      <w:sdt>
        <w:sdtPr>
          <w:id w:val="2072763923"/>
          <w:citation/>
        </w:sdtPr>
        <w:sdtContent>
          <w:r w:rsidR="00870D93">
            <w:fldChar w:fldCharType="begin"/>
          </w:r>
          <w:r>
            <w:instrText xml:space="preserve"> CITATION Car18 \l 2057 </w:instrText>
          </w:r>
          <w:r w:rsidR="00870D93">
            <w:fldChar w:fldCharType="separate"/>
          </w:r>
          <w:r w:rsidRPr="008F7E34">
            <w:rPr>
              <w:noProof/>
            </w:rPr>
            <w:t>(Wales, 2018)</w:t>
          </w:r>
          <w:r w:rsidR="00870D93">
            <w:fldChar w:fldCharType="end"/>
          </w:r>
        </w:sdtContent>
      </w:sdt>
      <w:r>
        <w:t xml:space="preserve">. In Building a Brighter Future: Early Years Plan, the Welsh Government aims to support parents to raise their children bilingually and to ensure there is an adequate supply of Welsh Language practitioners and services available in the early years and childcare sector </w:t>
      </w:r>
      <w:sdt>
        <w:sdtPr>
          <w:id w:val="1081027323"/>
          <w:citation/>
        </w:sdtPr>
        <w:sdtContent>
          <w:r w:rsidR="00870D93">
            <w:fldChar w:fldCharType="begin"/>
          </w:r>
          <w:r>
            <w:instrText xml:space="preserve"> CITATION Car18 \l 2057 </w:instrText>
          </w:r>
          <w:r w:rsidR="00870D93">
            <w:fldChar w:fldCharType="separate"/>
          </w:r>
          <w:r w:rsidRPr="008F7E34">
            <w:rPr>
              <w:noProof/>
            </w:rPr>
            <w:t>(Wales, 2018)</w:t>
          </w:r>
          <w:r w:rsidR="00870D93">
            <w:fldChar w:fldCharType="end"/>
          </w:r>
        </w:sdtContent>
      </w:sdt>
      <w:r>
        <w:t>.</w:t>
      </w:r>
      <w:r w:rsidR="00481030">
        <w:t xml:space="preserve"> Sessions have been designed at times that are accessible to those in current employment, to ensure maximum participation can be achieved, it is also designed to fit around other aspects of a busy life, such as children, work and other roles people may have.</w:t>
      </w:r>
    </w:p>
    <w:p w:rsidR="000E5111" w:rsidRPr="00510740" w:rsidRDefault="000E5111" w:rsidP="00D4406F">
      <w:pPr>
        <w:spacing w:line="360" w:lineRule="auto"/>
        <w:rPr>
          <w:b/>
          <w:u w:val="single"/>
        </w:rPr>
      </w:pPr>
      <w:r w:rsidRPr="00510740">
        <w:rPr>
          <w:b/>
          <w:u w:val="single"/>
        </w:rPr>
        <w:t>Aim and Objectives</w:t>
      </w:r>
    </w:p>
    <w:p w:rsidR="000E5111" w:rsidRDefault="000E5111" w:rsidP="00D4406F">
      <w:pPr>
        <w:spacing w:line="360" w:lineRule="auto"/>
      </w:pPr>
      <w:r>
        <w:t xml:space="preserve">A BA degree allows students to study in an area that is relevant to their needs and aspirations. This module is targeted at those intending to broaden their professional knowledge to enhance their skills and abilities when working within early years settings. How children develop and learn is a fascinating area of study. Current policy and initiatives such as the foundation phase curriculum for young children and flying start, demonstrate a commitment to the principle that educational and childcare services for young children should be the highest quality. A rigorously trained, well informed, knowledgeable, skilled and confident early </w:t>
      </w:r>
      <w:r w:rsidR="009B2299">
        <w:t>year’s</w:t>
      </w:r>
      <w:r>
        <w:t xml:space="preserve"> workforce is crucial to provide high quality services for young children </w:t>
      </w:r>
      <w:sdt>
        <w:sdtPr>
          <w:id w:val="-754050365"/>
          <w:citation/>
        </w:sdtPr>
        <w:sdtContent>
          <w:r w:rsidR="00870D93">
            <w:fldChar w:fldCharType="begin"/>
          </w:r>
          <w:r>
            <w:instrText xml:space="preserve"> CITATION Uni17 \l 2057 </w:instrText>
          </w:r>
          <w:r w:rsidR="00870D93">
            <w:fldChar w:fldCharType="separate"/>
          </w:r>
          <w:r w:rsidRPr="008F7E34">
            <w:rPr>
              <w:noProof/>
            </w:rPr>
            <w:t>(David, 2017)</w:t>
          </w:r>
          <w:r w:rsidR="00870D93">
            <w:fldChar w:fldCharType="end"/>
          </w:r>
        </w:sdtContent>
      </w:sdt>
      <w:r>
        <w:t>.</w:t>
      </w:r>
    </w:p>
    <w:p w:rsidR="000E5111" w:rsidRDefault="000E5111" w:rsidP="00D4406F">
      <w:pPr>
        <w:spacing w:line="360" w:lineRule="auto"/>
        <w:rPr>
          <w:rFonts w:cstheme="minorHAnsi"/>
        </w:rPr>
      </w:pPr>
      <w:r>
        <w:t xml:space="preserve">Foundation phase is the statutory curriculum for all 3 to 7-year olds in Wales, both in maintained and non-maintained settings. It encourages children to be creative, imaginative and makes learning more enjoyable. Through the foundation phase curriculum, children are given opportunities to explore the world around them and understand how things work by taking part in practical activities relevant to their development stages </w:t>
      </w:r>
      <w:sdt>
        <w:sdtPr>
          <w:id w:val="-29964270"/>
          <w:citation/>
        </w:sdtPr>
        <w:sdtContent>
          <w:r w:rsidR="00870D93">
            <w:fldChar w:fldCharType="begin"/>
          </w:r>
          <w:r>
            <w:instrText xml:space="preserve"> CITATION Wel18 \l 2057 </w:instrText>
          </w:r>
          <w:r w:rsidR="00870D93">
            <w:fldChar w:fldCharType="separate"/>
          </w:r>
          <w:r w:rsidRPr="008F7E34">
            <w:rPr>
              <w:noProof/>
            </w:rPr>
            <w:t>(Government, 2018)</w:t>
          </w:r>
          <w:r w:rsidR="00870D93">
            <w:fldChar w:fldCharType="end"/>
          </w:r>
        </w:sdtContent>
      </w:sdt>
      <w:r w:rsidR="009B2299">
        <w:t>. This</w:t>
      </w:r>
      <w:r>
        <w:t xml:space="preserve"> course is aimed at providing childcare practitioners a deeper understanding of how children learn. According to the foundation phase there are </w:t>
      </w:r>
      <w:r w:rsidRPr="00510740">
        <w:rPr>
          <w:rFonts w:cstheme="minorHAnsi"/>
        </w:rPr>
        <w:t>7 areas of lea</w:t>
      </w:r>
      <w:r w:rsidR="009B2299">
        <w:rPr>
          <w:rFonts w:cstheme="minorHAnsi"/>
        </w:rPr>
        <w:t xml:space="preserve">rning children must go through </w:t>
      </w:r>
      <w:sdt>
        <w:sdtPr>
          <w:rPr>
            <w:rFonts w:cstheme="minorHAnsi"/>
          </w:rPr>
          <w:id w:val="-268701863"/>
          <w:citation/>
        </w:sdtPr>
        <w:sdtContent>
          <w:r w:rsidR="00870D93" w:rsidRPr="00510740">
            <w:rPr>
              <w:rFonts w:cstheme="minorHAnsi"/>
            </w:rPr>
            <w:fldChar w:fldCharType="begin"/>
          </w:r>
          <w:r w:rsidRPr="00510740">
            <w:rPr>
              <w:rFonts w:cstheme="minorHAnsi"/>
            </w:rPr>
            <w:instrText xml:space="preserve"> CITATION Wel18 \l 2057 </w:instrText>
          </w:r>
          <w:r w:rsidR="00870D93" w:rsidRPr="00510740">
            <w:rPr>
              <w:rFonts w:cstheme="minorHAnsi"/>
            </w:rPr>
            <w:fldChar w:fldCharType="separate"/>
          </w:r>
          <w:r w:rsidRPr="00510740">
            <w:rPr>
              <w:rFonts w:cstheme="minorHAnsi"/>
              <w:noProof/>
            </w:rPr>
            <w:t xml:space="preserve"> (Government, 2018)</w:t>
          </w:r>
          <w:r w:rsidR="00870D93" w:rsidRPr="00510740">
            <w:rPr>
              <w:rFonts w:cstheme="minorHAnsi"/>
            </w:rPr>
            <w:fldChar w:fldCharType="end"/>
          </w:r>
        </w:sdtContent>
      </w:sdt>
      <w:r w:rsidRPr="00510740">
        <w:rPr>
          <w:rFonts w:cstheme="minorHAnsi"/>
        </w:rPr>
        <w:t>.</w:t>
      </w:r>
      <w:r>
        <w:rPr>
          <w:rFonts w:cstheme="minorHAnsi"/>
        </w:rPr>
        <w:t xml:space="preserve"> </w:t>
      </w:r>
    </w:p>
    <w:p w:rsidR="000E5111" w:rsidRPr="00510740" w:rsidRDefault="000E5111" w:rsidP="00D4406F">
      <w:pPr>
        <w:spacing w:line="360" w:lineRule="auto"/>
        <w:rPr>
          <w:rFonts w:cstheme="minorHAnsi"/>
        </w:rPr>
      </w:pPr>
      <w:r w:rsidRPr="00510740">
        <w:rPr>
          <w:rFonts w:eastAsia="Times New Roman" w:cstheme="minorHAnsi"/>
        </w:rPr>
        <w:t>The importance of play in language development and the importance of encouraging Welsh language through play in childcare settings.</w:t>
      </w:r>
    </w:p>
    <w:p w:rsidR="000E5111" w:rsidRPr="00510740" w:rsidRDefault="000E5111" w:rsidP="00D4406F">
      <w:pPr>
        <w:widowControl w:val="0"/>
        <w:numPr>
          <w:ilvl w:val="0"/>
          <w:numId w:val="5"/>
        </w:numPr>
        <w:tabs>
          <w:tab w:val="left" w:pos="822"/>
        </w:tabs>
        <w:spacing w:after="0" w:line="360" w:lineRule="auto"/>
        <w:ind w:left="822"/>
        <w:rPr>
          <w:rFonts w:eastAsia="Times New Roman" w:cstheme="minorHAnsi"/>
          <w:lang w:val="en-US"/>
        </w:rPr>
      </w:pPr>
      <w:r w:rsidRPr="00510740">
        <w:rPr>
          <w:rFonts w:eastAsia="Times New Roman" w:cstheme="minorHAnsi"/>
          <w:lang w:val="en-US"/>
        </w:rPr>
        <w:t>To t</w:t>
      </w:r>
      <w:r w:rsidRPr="00510740">
        <w:rPr>
          <w:rFonts w:eastAsia="Times New Roman" w:cstheme="minorHAnsi"/>
          <w:spacing w:val="-2"/>
          <w:lang w:val="en-US"/>
        </w:rPr>
        <w:t>e</w:t>
      </w:r>
      <w:r w:rsidRPr="00510740">
        <w:rPr>
          <w:rFonts w:eastAsia="Times New Roman" w:cstheme="minorHAnsi"/>
          <w:spacing w:val="-1"/>
          <w:lang w:val="en-US"/>
        </w:rPr>
        <w:t>ac</w:t>
      </w:r>
      <w:r w:rsidRPr="00510740">
        <w:rPr>
          <w:rFonts w:eastAsia="Times New Roman" w:cstheme="minorHAnsi"/>
          <w:lang w:val="en-US"/>
        </w:rPr>
        <w:t>h stud</w:t>
      </w:r>
      <w:r w:rsidRPr="00510740">
        <w:rPr>
          <w:rFonts w:eastAsia="Times New Roman" w:cstheme="minorHAnsi"/>
          <w:spacing w:val="-1"/>
          <w:lang w:val="en-US"/>
        </w:rPr>
        <w:t>e</w:t>
      </w:r>
      <w:r w:rsidRPr="00510740">
        <w:rPr>
          <w:rFonts w:eastAsia="Times New Roman" w:cstheme="minorHAnsi"/>
          <w:lang w:val="en-US"/>
        </w:rPr>
        <w:t>nts an overview of the Foundation phase, specifically language development</w:t>
      </w:r>
    </w:p>
    <w:p w:rsidR="000E5111" w:rsidRPr="00510740" w:rsidRDefault="000E5111" w:rsidP="00D4406F">
      <w:pPr>
        <w:widowControl w:val="0"/>
        <w:numPr>
          <w:ilvl w:val="0"/>
          <w:numId w:val="5"/>
        </w:numPr>
        <w:tabs>
          <w:tab w:val="left" w:pos="822"/>
        </w:tabs>
        <w:spacing w:before="21" w:after="0" w:line="360" w:lineRule="auto"/>
        <w:ind w:left="822" w:right="283"/>
        <w:rPr>
          <w:rFonts w:eastAsia="Times New Roman" w:cstheme="minorHAnsi"/>
          <w:lang w:val="en-US"/>
        </w:rPr>
      </w:pPr>
      <w:r w:rsidRPr="00510740">
        <w:rPr>
          <w:rFonts w:eastAsia="Times New Roman" w:cstheme="minorHAnsi"/>
          <w:lang w:val="en-US"/>
        </w:rPr>
        <w:t>To provide</w:t>
      </w:r>
      <w:r w:rsidRPr="00510740">
        <w:rPr>
          <w:rFonts w:eastAsia="Times New Roman" w:cstheme="minorHAnsi"/>
          <w:spacing w:val="-2"/>
          <w:lang w:val="en-US"/>
        </w:rPr>
        <w:t xml:space="preserve"> </w:t>
      </w:r>
      <w:r w:rsidRPr="00510740">
        <w:rPr>
          <w:rFonts w:eastAsia="Times New Roman" w:cstheme="minorHAnsi"/>
          <w:lang w:val="en-US"/>
        </w:rPr>
        <w:t xml:space="preserve">students with </w:t>
      </w:r>
      <w:r w:rsidRPr="00510740">
        <w:rPr>
          <w:rFonts w:eastAsia="Times New Roman" w:cstheme="minorHAnsi"/>
          <w:spacing w:val="-1"/>
          <w:lang w:val="en-US"/>
        </w:rPr>
        <w:t>a</w:t>
      </w:r>
      <w:r w:rsidRPr="00510740">
        <w:rPr>
          <w:rFonts w:eastAsia="Times New Roman" w:cstheme="minorHAnsi"/>
          <w:lang w:val="en-US"/>
        </w:rPr>
        <w:t xml:space="preserve">n </w:t>
      </w:r>
      <w:r w:rsidRPr="00510740">
        <w:rPr>
          <w:rFonts w:eastAsia="Times New Roman" w:cstheme="minorHAnsi"/>
          <w:spacing w:val="-1"/>
          <w:lang w:val="en-US"/>
        </w:rPr>
        <w:t>a</w:t>
      </w:r>
      <w:r w:rsidRPr="00510740">
        <w:rPr>
          <w:rFonts w:eastAsia="Times New Roman" w:cstheme="minorHAnsi"/>
          <w:lang w:val="en-US"/>
        </w:rPr>
        <w:t>w</w:t>
      </w:r>
      <w:r w:rsidRPr="00510740">
        <w:rPr>
          <w:rFonts w:eastAsia="Times New Roman" w:cstheme="minorHAnsi"/>
          <w:spacing w:val="-2"/>
          <w:lang w:val="en-US"/>
        </w:rPr>
        <w:t>a</w:t>
      </w:r>
      <w:r w:rsidRPr="00510740">
        <w:rPr>
          <w:rFonts w:eastAsia="Times New Roman" w:cstheme="minorHAnsi"/>
          <w:spacing w:val="1"/>
          <w:lang w:val="en-US"/>
        </w:rPr>
        <w:t>r</w:t>
      </w:r>
      <w:r w:rsidRPr="00510740">
        <w:rPr>
          <w:rFonts w:eastAsia="Times New Roman" w:cstheme="minorHAnsi"/>
          <w:spacing w:val="-1"/>
          <w:lang w:val="en-US"/>
        </w:rPr>
        <w:t>e</w:t>
      </w:r>
      <w:r w:rsidRPr="00510740">
        <w:rPr>
          <w:rFonts w:eastAsia="Times New Roman" w:cstheme="minorHAnsi"/>
          <w:lang w:val="en-US"/>
        </w:rPr>
        <w:t>n</w:t>
      </w:r>
      <w:r w:rsidRPr="00510740">
        <w:rPr>
          <w:rFonts w:eastAsia="Times New Roman" w:cstheme="minorHAnsi"/>
          <w:spacing w:val="-1"/>
          <w:lang w:val="en-US"/>
        </w:rPr>
        <w:t>e</w:t>
      </w:r>
      <w:r w:rsidRPr="00510740">
        <w:rPr>
          <w:rFonts w:eastAsia="Times New Roman" w:cstheme="minorHAnsi"/>
          <w:lang w:val="en-US"/>
        </w:rPr>
        <w:t>ss the importance of play in language development for early years children</w:t>
      </w:r>
    </w:p>
    <w:p w:rsidR="000E5111" w:rsidRPr="00510740" w:rsidRDefault="000E5111" w:rsidP="00D4406F">
      <w:pPr>
        <w:widowControl w:val="0"/>
        <w:numPr>
          <w:ilvl w:val="0"/>
          <w:numId w:val="5"/>
        </w:numPr>
        <w:tabs>
          <w:tab w:val="left" w:pos="822"/>
        </w:tabs>
        <w:spacing w:after="0" w:line="360" w:lineRule="auto"/>
        <w:ind w:left="822"/>
        <w:rPr>
          <w:rFonts w:eastAsia="Times New Roman" w:cstheme="minorHAnsi"/>
          <w:lang w:val="en-US"/>
        </w:rPr>
      </w:pPr>
      <w:r w:rsidRPr="00510740">
        <w:rPr>
          <w:rFonts w:eastAsia="Times New Roman" w:cstheme="minorHAnsi"/>
          <w:lang w:val="en-US"/>
        </w:rPr>
        <w:t>To e</w:t>
      </w:r>
      <w:r w:rsidRPr="00510740">
        <w:rPr>
          <w:rFonts w:eastAsia="Times New Roman" w:cstheme="minorHAnsi"/>
          <w:spacing w:val="1"/>
          <w:lang w:val="en-US"/>
        </w:rPr>
        <w:t>x</w:t>
      </w:r>
      <w:r w:rsidRPr="00510740">
        <w:rPr>
          <w:rFonts w:eastAsia="Times New Roman" w:cstheme="minorHAnsi"/>
          <w:lang w:val="en-US"/>
        </w:rPr>
        <w:t>plore</w:t>
      </w:r>
      <w:r w:rsidRPr="00510740">
        <w:rPr>
          <w:rFonts w:eastAsia="Times New Roman" w:cstheme="minorHAnsi"/>
          <w:spacing w:val="-2"/>
          <w:lang w:val="en-US"/>
        </w:rPr>
        <w:t xml:space="preserve"> </w:t>
      </w:r>
      <w:r w:rsidRPr="00510740">
        <w:rPr>
          <w:rFonts w:eastAsia="Times New Roman" w:cstheme="minorHAnsi"/>
          <w:lang w:val="en-US"/>
        </w:rPr>
        <w:t>new initiatives linked to Welsh language in relation to childcare settings in Wales</w:t>
      </w:r>
    </w:p>
    <w:p w:rsidR="000E5111" w:rsidRPr="00510740" w:rsidRDefault="000E5111" w:rsidP="00D4406F">
      <w:pPr>
        <w:widowControl w:val="0"/>
        <w:numPr>
          <w:ilvl w:val="0"/>
          <w:numId w:val="5"/>
        </w:numPr>
        <w:tabs>
          <w:tab w:val="left" w:pos="822"/>
        </w:tabs>
        <w:spacing w:after="0" w:line="360" w:lineRule="auto"/>
        <w:ind w:left="822"/>
        <w:rPr>
          <w:rFonts w:eastAsia="Times New Roman" w:cstheme="minorHAnsi"/>
          <w:lang w:val="en-US"/>
        </w:rPr>
      </w:pPr>
      <w:r w:rsidRPr="00510740">
        <w:rPr>
          <w:rFonts w:eastAsia="Times New Roman" w:cstheme="minorHAnsi"/>
          <w:spacing w:val="-4"/>
          <w:lang w:val="en-US"/>
        </w:rPr>
        <w:t>To i</w:t>
      </w:r>
      <w:r w:rsidRPr="00510740">
        <w:rPr>
          <w:rFonts w:eastAsia="Times New Roman" w:cstheme="minorHAnsi"/>
          <w:lang w:val="en-US"/>
        </w:rPr>
        <w:t>ntrod</w:t>
      </w:r>
      <w:r w:rsidRPr="00510740">
        <w:rPr>
          <w:rFonts w:eastAsia="Times New Roman" w:cstheme="minorHAnsi"/>
          <w:spacing w:val="1"/>
          <w:lang w:val="en-US"/>
        </w:rPr>
        <w:t>u</w:t>
      </w:r>
      <w:r w:rsidRPr="00510740">
        <w:rPr>
          <w:rFonts w:eastAsia="Times New Roman" w:cstheme="minorHAnsi"/>
          <w:spacing w:val="-1"/>
          <w:lang w:val="en-US"/>
        </w:rPr>
        <w:t>c</w:t>
      </w:r>
      <w:r w:rsidRPr="00510740">
        <w:rPr>
          <w:rFonts w:eastAsia="Times New Roman" w:cstheme="minorHAnsi"/>
          <w:lang w:val="en-US"/>
        </w:rPr>
        <w:t>e</w:t>
      </w:r>
      <w:r w:rsidRPr="00510740">
        <w:rPr>
          <w:rFonts w:eastAsia="Times New Roman" w:cstheme="minorHAnsi"/>
          <w:spacing w:val="-1"/>
          <w:lang w:val="en-US"/>
        </w:rPr>
        <w:t xml:space="preserve"> </w:t>
      </w:r>
      <w:r w:rsidRPr="00510740">
        <w:rPr>
          <w:rFonts w:eastAsia="Times New Roman" w:cstheme="minorHAnsi"/>
          <w:lang w:val="en-US"/>
        </w:rPr>
        <w:t xml:space="preserve">practical application of Welsh government initiatives, play opportunities and </w:t>
      </w:r>
      <w:r w:rsidRPr="00510740">
        <w:rPr>
          <w:rFonts w:eastAsia="Times New Roman" w:cstheme="minorHAnsi"/>
          <w:lang w:val="en-US"/>
        </w:rPr>
        <w:lastRenderedPageBreak/>
        <w:t>support staff in understanding the importance of play and language development in practice</w:t>
      </w:r>
    </w:p>
    <w:p w:rsidR="000E5111" w:rsidRDefault="000E5111" w:rsidP="00D4406F">
      <w:pPr>
        <w:spacing w:line="360" w:lineRule="auto"/>
      </w:pPr>
    </w:p>
    <w:p w:rsidR="000E5111" w:rsidRPr="00D97988" w:rsidRDefault="000E5111" w:rsidP="00D4406F">
      <w:pPr>
        <w:spacing w:line="360" w:lineRule="auto"/>
        <w:rPr>
          <w:b/>
          <w:u w:val="single"/>
        </w:rPr>
      </w:pPr>
      <w:r>
        <w:rPr>
          <w:rFonts w:ascii="Arial" w:hAnsi="Arial" w:cs="Arial"/>
          <w:b/>
          <w:u w:val="single"/>
        </w:rPr>
        <w:t>C</w:t>
      </w:r>
      <w:r w:rsidRPr="00D97988">
        <w:rPr>
          <w:rFonts w:ascii="Arial" w:hAnsi="Arial" w:cs="Arial"/>
          <w:b/>
          <w:u w:val="single"/>
        </w:rPr>
        <w:t>ross-cutting themes</w:t>
      </w:r>
    </w:p>
    <w:p w:rsidR="000E5111" w:rsidRDefault="000E5111" w:rsidP="00D4406F">
      <w:pPr>
        <w:spacing w:line="360" w:lineRule="auto"/>
      </w:pPr>
      <w:r>
        <w:t xml:space="preserve">The cross-cutting themes within this module are language development, Welsh language, employability skills and entrepreneurship. Language development and the Welsh language are obvious themes within the module and have been discussed above. Employability skills and entrepreneurship will be encouraged throughout this module , these skills are vital in an ever changing global market and in particular through Wales at present where we are being encouraged to become more focussed on up skilling people </w:t>
      </w:r>
      <w:sdt>
        <w:sdtPr>
          <w:id w:val="-327373445"/>
          <w:citation/>
        </w:sdtPr>
        <w:sdtContent>
          <w:r w:rsidR="00870D93">
            <w:fldChar w:fldCharType="begin"/>
          </w:r>
          <w:r>
            <w:instrText xml:space="preserve"> CITATION Owe14 \l 2057 </w:instrText>
          </w:r>
          <w:r w:rsidR="00870D93">
            <w:fldChar w:fldCharType="separate"/>
          </w:r>
          <w:r w:rsidRPr="008F7E34">
            <w:rPr>
              <w:noProof/>
            </w:rPr>
            <w:t>(Owens &amp; Tibby, 2014)</w:t>
          </w:r>
          <w:r w:rsidR="00870D93">
            <w:fldChar w:fldCharType="end"/>
          </w:r>
        </w:sdtContent>
      </w:sdt>
      <w:r>
        <w:t xml:space="preserve">, and through evidence through a variety of legislation and initiatives in Wales such as Well- being of Future Generations (Wales) Act (2015), an Act designed to improve the social, economic, environmental and cultural well- being of Wales. The Act highlights improvements and developments across public bodies, including education. The Act aims to enable public bodies to develop long term thinking, work better with people, communities and build better partnerships with one another to prevent and improve the issues identified as cross cutting themes in Wales </w:t>
      </w:r>
      <w:sdt>
        <w:sdtPr>
          <w:id w:val="109289803"/>
          <w:citation/>
        </w:sdtPr>
        <w:sdtContent>
          <w:r w:rsidR="00870D93">
            <w:fldChar w:fldCharType="begin"/>
          </w:r>
          <w:r>
            <w:instrText xml:space="preserve"> CITATION Wel15 \l 2057 </w:instrText>
          </w:r>
          <w:r w:rsidR="00870D93">
            <w:fldChar w:fldCharType="separate"/>
          </w:r>
          <w:r w:rsidRPr="00241589">
            <w:rPr>
              <w:noProof/>
            </w:rPr>
            <w:t>(Government, 2015)</w:t>
          </w:r>
          <w:r w:rsidR="00870D93">
            <w:rPr>
              <w:noProof/>
            </w:rPr>
            <w:fldChar w:fldCharType="end"/>
          </w:r>
        </w:sdtContent>
      </w:sdt>
      <w:r>
        <w:t xml:space="preserve">. </w:t>
      </w:r>
    </w:p>
    <w:p w:rsidR="000E5111" w:rsidRDefault="000E5111" w:rsidP="00D4406F">
      <w:pPr>
        <w:spacing w:line="360" w:lineRule="auto"/>
      </w:pPr>
      <w:r>
        <w:t xml:space="preserve">“To improve the future of Wales the Well-being of Future Generations Wales Act 2015 the vision is for everyone to be working together in the same way and towards the same purpose, the vision for achieving this is set out in 7 well- being goals. The Act highlights the importance of prosperity and stability within Welsh communities. This is significantly reliant on embedding the relevant skills and values into the people of Wales. Education has a fundamental role to play in creating personal fulfilment, community development and wealth creation. The focus is on creating opportunities for all and bridging the gap in equal opportunities. Education has the potential to change lives and can have significant positive impacts on the growth of the economy </w:t>
      </w:r>
      <w:sdt>
        <w:sdtPr>
          <w:id w:val="109289798"/>
          <w:citation/>
        </w:sdtPr>
        <w:sdtContent>
          <w:r w:rsidR="00870D93">
            <w:fldChar w:fldCharType="begin"/>
          </w:r>
          <w:r>
            <w:instrText xml:space="preserve"> CITATION Pat11 \l 2057 </w:instrText>
          </w:r>
          <w:r w:rsidR="00870D93">
            <w:fldChar w:fldCharType="separate"/>
          </w:r>
          <w:r w:rsidRPr="00241589">
            <w:rPr>
              <w:noProof/>
            </w:rPr>
            <w:t>(Felicia, 2011)</w:t>
          </w:r>
          <w:r w:rsidR="00870D93">
            <w:rPr>
              <w:noProof/>
            </w:rPr>
            <w:fldChar w:fldCharType="end"/>
          </w:r>
        </w:sdtContent>
      </w:sdt>
      <w:r>
        <w:t xml:space="preserve">. </w:t>
      </w:r>
    </w:p>
    <w:p w:rsidR="000E5111" w:rsidRDefault="000E5111" w:rsidP="00D4406F">
      <w:pPr>
        <w:spacing w:line="360" w:lineRule="auto"/>
      </w:pPr>
      <w:r>
        <w:t xml:space="preserve">In November 2016 the Welsh Assembly Government implemented the five-year plan, to support the delivery of the Well-being for Future Generations (Wales) Act 2015 and the achievement of the 7 wellbeing goals within this. Taking Wales Forward 2016 aims to maximise the 7-national wellbeing goals as well as creating a further 14 wellbeing objectives, which reflect their aspirations for change over the long term. The key priorities for improvement focus on the society, the environment and culture. Taking Wales Forward 2016 highlights the need to continuously transform the education and skills sector, by supporting a vibrant further and higher education sector. Educating people and supporting business and Universities to prioritise support for enhanced links between education and industry, enabling innovation and entrepreneurship across public and private sectors and by </w:t>
      </w:r>
      <w:r>
        <w:lastRenderedPageBreak/>
        <w:t xml:space="preserve">promoting and enhancing both academic and vocational routes into and through further and higher education, and the national, international, and civic roles of the education institutions, to include both full and part time opportunities, that benefit learners of all ages, employers and communities </w:t>
      </w:r>
      <w:sdt>
        <w:sdtPr>
          <w:id w:val="109289805"/>
          <w:citation/>
        </w:sdtPr>
        <w:sdtContent>
          <w:r w:rsidR="00870D93">
            <w:fldChar w:fldCharType="begin"/>
          </w:r>
          <w:r>
            <w:instrText xml:space="preserve"> CITATION Wel161 \l 2057 </w:instrText>
          </w:r>
          <w:r w:rsidR="00870D93">
            <w:fldChar w:fldCharType="separate"/>
          </w:r>
          <w:r w:rsidRPr="00241589">
            <w:rPr>
              <w:noProof/>
            </w:rPr>
            <w:t>(Government, 2016)</w:t>
          </w:r>
          <w:r w:rsidR="00870D93">
            <w:rPr>
              <w:noProof/>
            </w:rPr>
            <w:fldChar w:fldCharType="end"/>
          </w:r>
        </w:sdtContent>
      </w:sdt>
      <w:r>
        <w:t>.</w:t>
      </w:r>
    </w:p>
    <w:p w:rsidR="000E5111" w:rsidRPr="00D97988" w:rsidRDefault="000E5111" w:rsidP="00D4406F">
      <w:pPr>
        <w:spacing w:line="360" w:lineRule="auto"/>
        <w:rPr>
          <w:b/>
          <w:u w:val="single"/>
        </w:rPr>
      </w:pPr>
      <w:r>
        <w:rPr>
          <w:rFonts w:ascii="Arial" w:hAnsi="Arial" w:cs="Arial"/>
          <w:b/>
          <w:u w:val="single"/>
        </w:rPr>
        <w:t>T</w:t>
      </w:r>
      <w:r w:rsidRPr="00D97988">
        <w:rPr>
          <w:rFonts w:ascii="Arial" w:hAnsi="Arial" w:cs="Arial"/>
          <w:b/>
          <w:u w:val="single"/>
        </w:rPr>
        <w:t>he teaching and learning strategies</w:t>
      </w:r>
    </w:p>
    <w:p w:rsidR="000E5111" w:rsidRDefault="000E5111" w:rsidP="00D4406F">
      <w:pPr>
        <w:spacing w:line="360" w:lineRule="auto"/>
      </w:pPr>
      <w:r>
        <w:t xml:space="preserve">To support teaching and learning, this module will incorporate a variety of traditional teaching methods to support active learning and self-directed study. Active learning has been described as a mixture of traditional activity methods which has been linked to those such as Dewey, and more recently that of constructivism such as Illeris (2003), it is used for the basis for effective learning </w:t>
      </w:r>
      <w:sdt>
        <w:sdtPr>
          <w:id w:val="-303927620"/>
          <w:citation/>
        </w:sdtPr>
        <w:sdtContent>
          <w:r w:rsidR="00870D93">
            <w:fldChar w:fldCharType="begin"/>
          </w:r>
          <w:r>
            <w:instrText xml:space="preserve"> CITATION Cur13 \l 2057 </w:instrText>
          </w:r>
          <w:r w:rsidR="00870D93">
            <w:fldChar w:fldCharType="separate"/>
          </w:r>
          <w:r w:rsidRPr="00241589">
            <w:rPr>
              <w:noProof/>
            </w:rPr>
            <w:t>(Curzon &amp; Tummons, 2013)</w:t>
          </w:r>
          <w:r w:rsidR="00870D93">
            <w:fldChar w:fldCharType="end"/>
          </w:r>
        </w:sdtContent>
      </w:sdt>
      <w:r>
        <w:t xml:space="preserve">The aim of delivering the module in this style is to encourage learning through action and experience, the intention is to bring together action learning (learning by doing) and experiential learning to form the basis of the sessions. Illeris (2002) highlighted that individuals are all part of and live in an external world, therefore the social dimension is significant to understanding learning, this element of Illeris theory of learning is viewed as the direction of interaction brought through participation, communication, and cooperation of leaner’s, through a variety of teaching methods </w:t>
      </w:r>
      <w:sdt>
        <w:sdtPr>
          <w:id w:val="1274517943"/>
          <w:citation/>
        </w:sdtPr>
        <w:sdtContent>
          <w:r w:rsidR="00870D93">
            <w:fldChar w:fldCharType="begin"/>
          </w:r>
          <w:r>
            <w:instrText xml:space="preserve"> CITATION Ill03 \l 2057 </w:instrText>
          </w:r>
          <w:r w:rsidR="00870D93">
            <w:fldChar w:fldCharType="separate"/>
          </w:r>
          <w:r w:rsidRPr="00241589">
            <w:rPr>
              <w:noProof/>
            </w:rPr>
            <w:t>(Illeris, 2003)</w:t>
          </w:r>
          <w:r w:rsidR="00870D93">
            <w:fldChar w:fldCharType="end"/>
          </w:r>
        </w:sdtContent>
      </w:sdt>
      <w:r>
        <w:t xml:space="preserve">.  Illeris`s theory is strongly based on Piaget`s cognitive theory, which describes learning as a progressive reorganisation of mental processes because of biological maturation and environmental experiences </w:t>
      </w:r>
      <w:sdt>
        <w:sdtPr>
          <w:id w:val="-1690912793"/>
          <w:citation/>
        </w:sdtPr>
        <w:sdtContent>
          <w:r w:rsidR="00870D93">
            <w:fldChar w:fldCharType="begin"/>
          </w:r>
          <w:r>
            <w:instrText xml:space="preserve"> CITATION Ill03 \l 2057 </w:instrText>
          </w:r>
          <w:r w:rsidR="00870D93">
            <w:fldChar w:fldCharType="separate"/>
          </w:r>
          <w:r w:rsidRPr="00241589">
            <w:rPr>
              <w:noProof/>
            </w:rPr>
            <w:t>(Illeris, 2003)</w:t>
          </w:r>
          <w:r w:rsidR="00870D93">
            <w:fldChar w:fldCharType="end"/>
          </w:r>
        </w:sdtContent>
      </w:sdt>
      <w:r>
        <w:t>. One crucial element of Illeris`s theory is that the results of learning must be structured before they are retained, the structuring being based on 1 of 4 levels (see app</w:t>
      </w:r>
      <w:r w:rsidR="009B2299">
        <w:t>endix 2</w:t>
      </w:r>
      <w:r>
        <w:t>)</w:t>
      </w:r>
      <w:r w:rsidRPr="00C60B8F">
        <w:t xml:space="preserve"> </w:t>
      </w:r>
      <w:sdt>
        <w:sdtPr>
          <w:id w:val="699166938"/>
          <w:citation/>
        </w:sdtPr>
        <w:sdtContent>
          <w:r w:rsidR="00870D93">
            <w:fldChar w:fldCharType="begin"/>
          </w:r>
          <w:r>
            <w:instrText xml:space="preserve"> CITATION Sci17 \l 2057 </w:instrText>
          </w:r>
          <w:r w:rsidR="00870D93">
            <w:fldChar w:fldCharType="separate"/>
          </w:r>
          <w:r w:rsidRPr="00241589">
            <w:rPr>
              <w:noProof/>
            </w:rPr>
            <w:t>(Scittl, 2017)</w:t>
          </w:r>
          <w:r w:rsidR="00870D93">
            <w:rPr>
              <w:noProof/>
            </w:rPr>
            <w:fldChar w:fldCharType="end"/>
          </w:r>
        </w:sdtContent>
      </w:sdt>
    </w:p>
    <w:p w:rsidR="000E5111" w:rsidRPr="00D97988" w:rsidRDefault="000E5111" w:rsidP="00D4406F">
      <w:pPr>
        <w:spacing w:line="360" w:lineRule="auto"/>
        <w:rPr>
          <w:b/>
          <w:u w:val="single"/>
        </w:rPr>
      </w:pPr>
      <w:r>
        <w:rPr>
          <w:rFonts w:ascii="Arial" w:hAnsi="Arial" w:cs="Arial"/>
          <w:b/>
          <w:u w:val="single"/>
        </w:rPr>
        <w:t>T</w:t>
      </w:r>
      <w:r w:rsidRPr="00D97988">
        <w:rPr>
          <w:rFonts w:ascii="Arial" w:hAnsi="Arial" w:cs="Arial"/>
          <w:b/>
          <w:u w:val="single"/>
        </w:rPr>
        <w:t>he assessment strategies/methods</w:t>
      </w:r>
    </w:p>
    <w:p w:rsidR="000E5111" w:rsidRDefault="000E5111" w:rsidP="00D4406F">
      <w:pPr>
        <w:spacing w:line="360" w:lineRule="auto"/>
      </w:pPr>
      <w:r>
        <w:t xml:space="preserve">The goal of formative assessment is to monitor student learning and to provide ongoing feedback, throughout this module this will be conducted through questioning and small group work. This will allow teaching to improve the learners experience and help their strengths and weaknesses and allow for targeted areas that may need work, it will also allow for assessment on learners understanding of the topic which can facilitate further support for those who may be struggling and can resolve problems immediately </w:t>
      </w:r>
      <w:sdt>
        <w:sdtPr>
          <w:id w:val="-2025387011"/>
          <w:citation/>
        </w:sdtPr>
        <w:sdtContent>
          <w:r w:rsidR="00870D93">
            <w:fldChar w:fldCharType="begin"/>
          </w:r>
          <w:r>
            <w:instrText xml:space="preserve"> CITATION Ebe16 \l 2057 </w:instrText>
          </w:r>
          <w:r w:rsidR="00870D93">
            <w:fldChar w:fldCharType="separate"/>
          </w:r>
          <w:r w:rsidRPr="00017A5D">
            <w:rPr>
              <w:noProof/>
            </w:rPr>
            <w:t>(EberlyCenter, 2016)</w:t>
          </w:r>
          <w:r w:rsidR="00870D93">
            <w:fldChar w:fldCharType="end"/>
          </w:r>
        </w:sdtContent>
      </w:sdt>
      <w:r>
        <w:t>.</w:t>
      </w:r>
    </w:p>
    <w:p w:rsidR="000E5111" w:rsidRDefault="000E5111" w:rsidP="00D4406F">
      <w:pPr>
        <w:spacing w:line="360" w:lineRule="auto"/>
      </w:pPr>
      <w:r>
        <w:t xml:space="preserve">Questioning is an interactive process that performs many functions. The theory of learning known as constructivism argues that learning happens through experience and reflection. Questions stimulate learning, as we encounter new information one is always comparing it to what one already </w:t>
      </w:r>
      <w:r w:rsidR="009B2299">
        <w:t>knows</w:t>
      </w:r>
      <w:r>
        <w:t xml:space="preserve"> other previous ideas and experiences, individuals then change and modify what they believed to dismiss it </w:t>
      </w:r>
      <w:sdt>
        <w:sdtPr>
          <w:id w:val="1797022510"/>
          <w:citation/>
        </w:sdtPr>
        <w:sdtContent>
          <w:r w:rsidR="00870D93">
            <w:fldChar w:fldCharType="begin"/>
          </w:r>
          <w:r>
            <w:instrText xml:space="preserve"> CITATION Gor14 \l 2057 </w:instrText>
          </w:r>
          <w:r w:rsidR="00870D93">
            <w:fldChar w:fldCharType="separate"/>
          </w:r>
          <w:r w:rsidRPr="00017A5D">
            <w:rPr>
              <w:noProof/>
            </w:rPr>
            <w:t>(Pope, 2014)</w:t>
          </w:r>
          <w:r w:rsidR="00870D93">
            <w:fldChar w:fldCharType="end"/>
          </w:r>
        </w:sdtContent>
      </w:sdt>
      <w:r>
        <w:t xml:space="preserve">. Questions and dialogue are highly effective ways of generating cognitive conflict to build new learning and of identifying the misunderstandings that constructing our own </w:t>
      </w:r>
      <w:r>
        <w:lastRenderedPageBreak/>
        <w:t xml:space="preserve">meaning can cause. Therefore, effective teaching and questioning can both extend individuals learning and can monitor thinking </w:t>
      </w:r>
      <w:sdt>
        <w:sdtPr>
          <w:id w:val="1159652539"/>
          <w:citation/>
        </w:sdtPr>
        <w:sdtContent>
          <w:r w:rsidR="00870D93">
            <w:fldChar w:fldCharType="begin"/>
          </w:r>
          <w:r>
            <w:instrText xml:space="preserve"> CITATION Wel10 \l 2057 </w:instrText>
          </w:r>
          <w:r w:rsidR="00870D93">
            <w:fldChar w:fldCharType="separate"/>
          </w:r>
          <w:r w:rsidRPr="00281ED6">
            <w:rPr>
              <w:noProof/>
            </w:rPr>
            <w:t>(Government, 2010)</w:t>
          </w:r>
          <w:r w:rsidR="00870D93">
            <w:fldChar w:fldCharType="end"/>
          </w:r>
        </w:sdtContent>
      </w:sdt>
      <w:r>
        <w:t>.</w:t>
      </w:r>
    </w:p>
    <w:p w:rsidR="000E5111" w:rsidRDefault="000E5111" w:rsidP="00D4406F">
      <w:pPr>
        <w:spacing w:line="360" w:lineRule="auto"/>
      </w:pPr>
      <w:r>
        <w:t xml:space="preserve">Small group work encourages action learning (learning by doing) and experiential </w:t>
      </w:r>
      <w:r w:rsidR="009B2299">
        <w:t>learning;</w:t>
      </w:r>
      <w:r>
        <w:t xml:space="preserve"> small group work can achieve this with carefully planned activities. Group work is often considered collaborative learning, to collaborate is to work with another or others in practice, collaborative learning has come to mean learners working in pairs or small groups to achieve shared learning </w:t>
      </w:r>
      <w:sdt>
        <w:sdtPr>
          <w:id w:val="-1891557260"/>
          <w:citation/>
        </w:sdtPr>
        <w:sdtContent>
          <w:r w:rsidR="00870D93">
            <w:fldChar w:fldCharType="begin"/>
          </w:r>
          <w:r>
            <w:instrText xml:space="preserve"> CITATION Bar14 \l 2057 </w:instrText>
          </w:r>
          <w:r w:rsidR="00870D93">
            <w:fldChar w:fldCharType="separate"/>
          </w:r>
          <w:r w:rsidRPr="00241589">
            <w:rPr>
              <w:noProof/>
            </w:rPr>
            <w:t>(Barkeley, et al., 2014)</w:t>
          </w:r>
          <w:r w:rsidR="00870D93">
            <w:fldChar w:fldCharType="end"/>
          </w:r>
        </w:sdtContent>
      </w:sdt>
      <w:r>
        <w:t xml:space="preserve">. During group collaboration, learners can present their ideas, and thereby convey information to others (e.g. When solving a problem, completing a task or summarizing material) they can explain to others in their group to support with understanding material or learn how to complete a task. Group work offers both the speakers and listeners involved in the communication process to learn, by engaging in many cognitive processes </w:t>
      </w:r>
      <w:sdt>
        <w:sdtPr>
          <w:id w:val="109289793"/>
          <w:citation/>
        </w:sdtPr>
        <w:sdtContent>
          <w:r w:rsidR="00870D93">
            <w:fldChar w:fldCharType="begin"/>
          </w:r>
          <w:r>
            <w:instrText xml:space="preserve"> CITATION Sil13 \l 2057 </w:instrText>
          </w:r>
          <w:r w:rsidR="00870D93">
            <w:fldChar w:fldCharType="separate"/>
          </w:r>
          <w:r w:rsidRPr="00241589">
            <w:rPr>
              <w:noProof/>
            </w:rPr>
            <w:t>(Silver, et al., 2013)</w:t>
          </w:r>
          <w:r w:rsidR="00870D93">
            <w:rPr>
              <w:noProof/>
            </w:rPr>
            <w:fldChar w:fldCharType="end"/>
          </w:r>
        </w:sdtContent>
      </w:sdt>
      <w:r>
        <w:t xml:space="preserve">. Lipman and colleagues (2003) developed the Community of Enquiry teaching technique that aims to encourage people to become better thinkers in collaboration with others </w:t>
      </w:r>
      <w:bookmarkStart w:id="0" w:name="_GoBack"/>
      <w:bookmarkEnd w:id="0"/>
      <w:sdt>
        <w:sdtPr>
          <w:id w:val="804204755"/>
          <w:citation/>
        </w:sdtPr>
        <w:sdtContent>
          <w:r w:rsidR="00870D93">
            <w:fldChar w:fldCharType="begin"/>
          </w:r>
          <w:r>
            <w:instrText xml:space="preserve"> CITATION Gre161 \l 2057 </w:instrText>
          </w:r>
          <w:r w:rsidR="00870D93">
            <w:fldChar w:fldCharType="separate"/>
          </w:r>
          <w:r w:rsidRPr="00281ED6">
            <w:rPr>
              <w:noProof/>
            </w:rPr>
            <w:t>(Gregson &amp; Hillier, 2016)</w:t>
          </w:r>
          <w:r w:rsidR="00870D93">
            <w:fldChar w:fldCharType="end"/>
          </w:r>
        </w:sdtContent>
      </w:sdt>
      <w:r>
        <w:t>.</w:t>
      </w:r>
    </w:p>
    <w:p w:rsidR="000E5111" w:rsidRDefault="000E5111" w:rsidP="00D4406F">
      <w:pPr>
        <w:spacing w:line="360" w:lineRule="auto"/>
      </w:pPr>
      <w:r>
        <w:t xml:space="preserve">Summative assessment also known as assessment of learning, is a snap shot of achievement and is often carried out periodically, usually at the end of a unit, term or key stage </w:t>
      </w:r>
      <w:sdt>
        <w:sdtPr>
          <w:id w:val="1455367214"/>
          <w:citation/>
        </w:sdtPr>
        <w:sdtContent>
          <w:r w:rsidR="00870D93">
            <w:fldChar w:fldCharType="begin"/>
          </w:r>
          <w:r>
            <w:instrText xml:space="preserve"> CITATION Nei121 \l 2057 </w:instrText>
          </w:r>
          <w:r w:rsidR="00870D93">
            <w:fldChar w:fldCharType="separate"/>
          </w:r>
          <w:r w:rsidRPr="00281ED6">
            <w:rPr>
              <w:noProof/>
            </w:rPr>
            <w:t>(Denby, 2012)</w:t>
          </w:r>
          <w:r w:rsidR="00870D93">
            <w:fldChar w:fldCharType="end"/>
          </w:r>
        </w:sdtContent>
      </w:sdt>
      <w:r>
        <w:t xml:space="preserve">. The main purpose of summative assessment is to make judgment regarding a learner’s performance. The results of the assessment are then expressed as marks, grades or classifications </w:t>
      </w:r>
      <w:sdt>
        <w:sdtPr>
          <w:id w:val="249931944"/>
          <w:citation/>
        </w:sdtPr>
        <w:sdtContent>
          <w:r w:rsidR="00870D93">
            <w:fldChar w:fldCharType="begin"/>
          </w:r>
          <w:r>
            <w:instrText xml:space="preserve"> CITATION Cox13 \l 2057 </w:instrText>
          </w:r>
          <w:r w:rsidR="00870D93">
            <w:fldChar w:fldCharType="separate"/>
          </w:r>
          <w:r w:rsidRPr="00281ED6">
            <w:rPr>
              <w:noProof/>
            </w:rPr>
            <w:t>(Cox, et al., 2013)</w:t>
          </w:r>
          <w:r w:rsidR="00870D93">
            <w:fldChar w:fldCharType="end"/>
          </w:r>
        </w:sdtContent>
      </w:sdt>
      <w:r>
        <w:t>. This module requires learners to complete an essay for the theory-based elements and a poster presentation that will enable demonstration of the learner’s conceptualisation of theory into practice.</w:t>
      </w:r>
    </w:p>
    <w:p w:rsidR="000E5111" w:rsidRDefault="000E5111" w:rsidP="00D4406F">
      <w:pPr>
        <w:spacing w:line="360" w:lineRule="auto"/>
      </w:pPr>
      <w:r>
        <w:t xml:space="preserve">Essay writing can aid the development of important skills and educational functions. It allows learners to practice and develop transferable skills that are valuable for continuing education and post education, in a professional role. Skills acquired through the essay writing process can include reading and note making, critical thinking and analysis, organising ideas, arguing a case and communicating clearly with authority. Essays can support learners to develop and organise their thinking about key concepts that they are studying. The essay writing process is inextricably linked to learning, and allows teachers to assess the degree to which an individual has engaged with the learning process and how they have transformed information into knowledge </w:t>
      </w:r>
      <w:sdt>
        <w:sdtPr>
          <w:id w:val="-134106358"/>
          <w:citation/>
        </w:sdtPr>
        <w:sdtContent>
          <w:r w:rsidR="00870D93">
            <w:fldChar w:fldCharType="begin"/>
          </w:r>
          <w:r>
            <w:instrText xml:space="preserve"> CITATION Uni18 \l 2057 </w:instrText>
          </w:r>
          <w:r w:rsidR="00870D93">
            <w:fldChar w:fldCharType="separate"/>
          </w:r>
          <w:r w:rsidRPr="00BB6A12">
            <w:rPr>
              <w:noProof/>
            </w:rPr>
            <w:t>(Curtin, 2018)</w:t>
          </w:r>
          <w:r w:rsidR="00870D93">
            <w:fldChar w:fldCharType="end"/>
          </w:r>
        </w:sdtContent>
      </w:sdt>
    </w:p>
    <w:p w:rsidR="000E5111" w:rsidRDefault="000E5111" w:rsidP="00D4406F">
      <w:pPr>
        <w:spacing w:line="360" w:lineRule="auto"/>
      </w:pPr>
      <w:r>
        <w:t xml:space="preserve">Poster presentations are an experiential learning activity, that stimulates curiosity and interest, they encourage exploring and integration of concepts and provides learners with a novel way of demonstrating understanding </w:t>
      </w:r>
      <w:sdt>
        <w:sdtPr>
          <w:id w:val="-875079409"/>
          <w:citation/>
        </w:sdtPr>
        <w:sdtContent>
          <w:r w:rsidR="00870D93">
            <w:fldChar w:fldCharType="begin"/>
          </w:r>
          <w:r>
            <w:instrText xml:space="preserve"> CITATION Nei122 \l 2057 </w:instrText>
          </w:r>
          <w:r w:rsidR="00870D93">
            <w:fldChar w:fldCharType="separate"/>
          </w:r>
          <w:r w:rsidRPr="00BB6A12">
            <w:rPr>
              <w:noProof/>
            </w:rPr>
            <w:t>(Neill &amp; Jennings, 2012)</w:t>
          </w:r>
          <w:r w:rsidR="00870D93">
            <w:fldChar w:fldCharType="end"/>
          </w:r>
        </w:sdtContent>
      </w:sdt>
      <w:r>
        <w:t>.</w:t>
      </w:r>
    </w:p>
    <w:p w:rsidR="000E5111" w:rsidRPr="00D97988" w:rsidRDefault="000E5111" w:rsidP="00D4406F">
      <w:pPr>
        <w:spacing w:line="360" w:lineRule="auto"/>
        <w:rPr>
          <w:b/>
          <w:u w:val="single"/>
        </w:rPr>
      </w:pPr>
      <w:r>
        <w:rPr>
          <w:rFonts w:ascii="Arial" w:hAnsi="Arial" w:cs="Arial"/>
          <w:b/>
          <w:u w:val="single"/>
        </w:rPr>
        <w:t>T</w:t>
      </w:r>
      <w:r w:rsidRPr="00D97988">
        <w:rPr>
          <w:rFonts w:ascii="Arial" w:hAnsi="Arial" w:cs="Arial"/>
          <w:b/>
          <w:u w:val="single"/>
        </w:rPr>
        <w:t>he evaluation techniques</w:t>
      </w:r>
    </w:p>
    <w:p w:rsidR="000E5111" w:rsidRDefault="000E5111" w:rsidP="00D4406F">
      <w:pPr>
        <w:spacing w:line="360" w:lineRule="auto"/>
      </w:pPr>
      <w:r>
        <w:lastRenderedPageBreak/>
        <w:t xml:space="preserve">Evaluation techniques included in this module include the formative and summative assessments discussed above. Implemented at different points across the educational cycle of the module. These will be significant in tracking learners progress along the way and the summative evaluation will enable the identification of the longitudinal value of the module in relation to students learning </w:t>
      </w:r>
      <w:sdt>
        <w:sdtPr>
          <w:id w:val="6881617"/>
          <w:citation/>
        </w:sdtPr>
        <w:sdtContent>
          <w:r w:rsidR="00870D93">
            <w:fldChar w:fldCharType="begin"/>
          </w:r>
          <w:r>
            <w:instrText xml:space="preserve"> CITATION Stu07 \l 2057 </w:instrText>
          </w:r>
          <w:r w:rsidR="00870D93">
            <w:fldChar w:fldCharType="separate"/>
          </w:r>
          <w:r w:rsidRPr="00BB6A12">
            <w:rPr>
              <w:noProof/>
            </w:rPr>
            <w:t>(Stufflebam &amp; Shinkfield, 2007)</w:t>
          </w:r>
          <w:r w:rsidR="00870D93">
            <w:fldChar w:fldCharType="end"/>
          </w:r>
        </w:sdtContent>
      </w:sdt>
      <w:r>
        <w:t>.</w:t>
      </w:r>
    </w:p>
    <w:p w:rsidR="000E5111" w:rsidRDefault="000E5111" w:rsidP="00D4406F">
      <w:pPr>
        <w:spacing w:line="360" w:lineRule="auto"/>
      </w:pPr>
      <w:r>
        <w:t xml:space="preserve"> The overarching philosophy with Higher education and Post compulsory education is currently to create opportunities and an environment that stimulates the development of situational understanding and incorporating systematic reflection and self- evaluation to form the basis of evaluation in relation to teaching strategies used and delivered. For this module, to achieve this a reflective tool will be utilised.</w:t>
      </w:r>
    </w:p>
    <w:p w:rsidR="000E5111" w:rsidRDefault="000E5111" w:rsidP="00D4406F">
      <w:pPr>
        <w:spacing w:line="360" w:lineRule="auto"/>
      </w:pPr>
      <w:r>
        <w:t>Through the work of Schon (1983) it was highlighted that there was a great value in the importance of a situational understanding of incorporating systematic reflection and self-evaluation, and through his work Schon (1983) developed and often referred to three main types of reflection:</w:t>
      </w:r>
    </w:p>
    <w:p w:rsidR="000E5111" w:rsidRDefault="000E5111" w:rsidP="00D4406F">
      <w:pPr>
        <w:pStyle w:val="ListParagraph"/>
        <w:numPr>
          <w:ilvl w:val="0"/>
          <w:numId w:val="4"/>
        </w:numPr>
        <w:spacing w:line="360" w:lineRule="auto"/>
      </w:pPr>
      <w:r>
        <w:t>Reflection about action (the goals and practices of one’s profession)</w:t>
      </w:r>
    </w:p>
    <w:p w:rsidR="000E5111" w:rsidRDefault="000E5111" w:rsidP="00D4406F">
      <w:pPr>
        <w:pStyle w:val="ListParagraph"/>
        <w:numPr>
          <w:ilvl w:val="0"/>
          <w:numId w:val="4"/>
        </w:numPr>
        <w:spacing w:line="360" w:lineRule="auto"/>
      </w:pPr>
      <w:r>
        <w:t>Reflection on action (weighing competing viewpoints and then exploring alternative solutions)</w:t>
      </w:r>
    </w:p>
    <w:p w:rsidR="000E5111" w:rsidRDefault="000E5111" w:rsidP="00D4406F">
      <w:pPr>
        <w:pStyle w:val="ListParagraph"/>
        <w:numPr>
          <w:ilvl w:val="0"/>
          <w:numId w:val="4"/>
        </w:numPr>
        <w:spacing w:line="360" w:lineRule="auto"/>
      </w:pPr>
      <w:r>
        <w:t xml:space="preserve">Reflection in action (drawing upon experience and knowledge)” </w:t>
      </w:r>
      <w:sdt>
        <w:sdtPr>
          <w:id w:val="998081125"/>
          <w:citation/>
        </w:sdtPr>
        <w:sdtContent>
          <w:r w:rsidR="00870D93">
            <w:fldChar w:fldCharType="begin"/>
          </w:r>
          <w:r>
            <w:instrText xml:space="preserve"> CITATION Lin17 \l 2057 </w:instrText>
          </w:r>
          <w:r w:rsidR="00870D93">
            <w:fldChar w:fldCharType="separate"/>
          </w:r>
          <w:r w:rsidRPr="00241589">
            <w:rPr>
              <w:noProof/>
            </w:rPr>
            <w:t>(Lawrence, 2017)</w:t>
          </w:r>
          <w:r w:rsidR="00870D93">
            <w:fldChar w:fldCharType="end"/>
          </w:r>
        </w:sdtContent>
      </w:sdt>
    </w:p>
    <w:p w:rsidR="000E5111" w:rsidRDefault="000E5111" w:rsidP="00D4406F">
      <w:pPr>
        <w:spacing w:line="360" w:lineRule="auto"/>
      </w:pPr>
      <w:r>
        <w:t>Schon`s model of reflection has had a significant impact on how others have developed tools for reflection. Gibbs (1988) extended the knowledge from Schon`s studies and developed, The Action Research</w:t>
      </w:r>
      <w:r w:rsidRPr="00517F09">
        <w:t xml:space="preserve"> </w:t>
      </w:r>
      <w:r>
        <w:t xml:space="preserve">Model, which a cyclical process that can be used when studying one’s own situations. This model will be used as an evaluation tool in this model and will be useful when developing changes in the future and improving the educators work </w:t>
      </w:r>
      <w:sdt>
        <w:sdtPr>
          <w:id w:val="-1250658425"/>
          <w:citation/>
        </w:sdtPr>
        <w:sdtContent>
          <w:r w:rsidR="00870D93">
            <w:fldChar w:fldCharType="begin"/>
          </w:r>
          <w:r>
            <w:instrText xml:space="preserve"> CITATION Fur12 \l 2057 </w:instrText>
          </w:r>
          <w:r w:rsidR="00870D93">
            <w:fldChar w:fldCharType="separate"/>
          </w:r>
          <w:r w:rsidRPr="00241589">
            <w:rPr>
              <w:noProof/>
            </w:rPr>
            <w:t>(Furtado &amp; Anderson, 2012)</w:t>
          </w:r>
          <w:r w:rsidR="00870D93">
            <w:fldChar w:fldCharType="end"/>
          </w:r>
        </w:sdtContent>
      </w:sdt>
      <w:r>
        <w:t>. This model enables the practitioner to focus on one’s own and others’ feelings views and perceptions.  Gibbs (1988) highlights that to complete the full reflective cycle we need to move from reflecting on practice to reflecting in practice. That is, once we have described, identified and analysed a situation, we need to be able to apply these lessons in the real world. Reflecting on practice is essentially stepping outside the situation as an observer of one’s own actions. It provides an opportunity to recognise situations or emotions then act appropriately considering new knowledge</w:t>
      </w:r>
      <w:sdt>
        <w:sdtPr>
          <w:id w:val="616962632"/>
          <w:citation/>
        </w:sdtPr>
        <w:sdtContent>
          <w:r w:rsidR="00870D93">
            <w:fldChar w:fldCharType="begin"/>
          </w:r>
          <w:r>
            <w:instrText xml:space="preserve"> CITATION Lin17 \l 2057 </w:instrText>
          </w:r>
          <w:r w:rsidR="00870D93">
            <w:fldChar w:fldCharType="separate"/>
          </w:r>
          <w:r>
            <w:rPr>
              <w:noProof/>
            </w:rPr>
            <w:t xml:space="preserve"> </w:t>
          </w:r>
          <w:r w:rsidRPr="00241589">
            <w:rPr>
              <w:noProof/>
            </w:rPr>
            <w:t>(Lawrence, 2017)</w:t>
          </w:r>
          <w:r w:rsidR="00870D93">
            <w:fldChar w:fldCharType="end"/>
          </w:r>
        </w:sdtContent>
      </w:sdt>
      <w:r>
        <w:t xml:space="preserve">. </w:t>
      </w:r>
    </w:p>
    <w:p w:rsidR="000E5111" w:rsidRDefault="000E5111" w:rsidP="000E5111"/>
    <w:p w:rsidR="000E5111" w:rsidRDefault="000E5111" w:rsidP="000E5111"/>
    <w:p w:rsidR="000E5111" w:rsidRDefault="000E5111" w:rsidP="000E5111"/>
    <w:p w:rsidR="000E5111" w:rsidRDefault="000E5111" w:rsidP="000E5111"/>
    <w:p w:rsidR="000E5111" w:rsidRDefault="000E5111" w:rsidP="000E5111"/>
    <w:p w:rsidR="000E5111" w:rsidRDefault="000E5111" w:rsidP="000E5111"/>
    <w:p w:rsidR="000E5111" w:rsidRDefault="000E5111" w:rsidP="000E5111"/>
    <w:p w:rsidR="000E5111" w:rsidRDefault="000E5111" w:rsidP="000E5111"/>
    <w:p w:rsidR="000E5111" w:rsidRDefault="000E5111" w:rsidP="000E5111"/>
    <w:p w:rsidR="000E5111" w:rsidRDefault="000E5111" w:rsidP="000E5111"/>
    <w:p w:rsidR="000E5111" w:rsidRDefault="000E5111" w:rsidP="000E5111"/>
    <w:p w:rsidR="000E5111" w:rsidRDefault="000E5111" w:rsidP="000E5111"/>
    <w:p w:rsidR="000E5111" w:rsidRDefault="000E5111" w:rsidP="000E5111"/>
    <w:p w:rsidR="000E5111" w:rsidRDefault="000E5111" w:rsidP="000E5111"/>
    <w:p w:rsidR="000E5111" w:rsidRDefault="000E5111" w:rsidP="000E5111"/>
    <w:p w:rsidR="000E5111" w:rsidRDefault="000E5111" w:rsidP="000E5111"/>
    <w:p w:rsidR="000E5111" w:rsidRDefault="000E5111" w:rsidP="000E5111"/>
    <w:p w:rsidR="000E5111" w:rsidRDefault="000E5111" w:rsidP="000E5111"/>
    <w:p w:rsidR="000E5111" w:rsidRDefault="000E5111" w:rsidP="000E5111"/>
    <w:p w:rsidR="000E5111" w:rsidRDefault="000E5111" w:rsidP="000E5111"/>
    <w:p w:rsidR="000E5111" w:rsidRDefault="000E5111" w:rsidP="000E5111"/>
    <w:p w:rsidR="000E5111" w:rsidRDefault="000E5111" w:rsidP="000E5111"/>
    <w:p w:rsidR="000E5111" w:rsidRDefault="000E5111" w:rsidP="000E5111"/>
    <w:p w:rsidR="000E5111" w:rsidRDefault="000E5111" w:rsidP="000E5111"/>
    <w:p w:rsidR="000E5111" w:rsidRDefault="000E5111" w:rsidP="000E5111"/>
    <w:p w:rsidR="000E5111" w:rsidRDefault="000E5111" w:rsidP="000E5111"/>
    <w:p w:rsidR="000E5111" w:rsidRDefault="000E5111" w:rsidP="000E5111"/>
    <w:p w:rsidR="000E5111" w:rsidRDefault="000E5111" w:rsidP="000E5111"/>
    <w:p w:rsidR="000E5111" w:rsidRDefault="000E5111" w:rsidP="000E5111"/>
    <w:sdt>
      <w:sdtPr>
        <w:rPr>
          <w:rFonts w:asciiTheme="minorHAnsi" w:eastAsiaTheme="minorHAnsi" w:hAnsiTheme="minorHAnsi" w:cstheme="minorBidi"/>
          <w:color w:val="auto"/>
          <w:sz w:val="22"/>
          <w:szCs w:val="22"/>
          <w:lang w:val="en-GB"/>
        </w:rPr>
        <w:id w:val="-166410284"/>
        <w:docPartObj>
          <w:docPartGallery w:val="Bibliographies"/>
          <w:docPartUnique/>
        </w:docPartObj>
      </w:sdtPr>
      <w:sdtContent>
        <w:p w:rsidR="000E5111" w:rsidRDefault="000E5111" w:rsidP="000E5111">
          <w:pPr>
            <w:pStyle w:val="Heading1"/>
          </w:pPr>
          <w:r>
            <w:t>References</w:t>
          </w:r>
        </w:p>
        <w:sdt>
          <w:sdtPr>
            <w:id w:val="-1636870580"/>
            <w:bibliography/>
          </w:sdtPr>
          <w:sdtContent>
            <w:p w:rsidR="000E5111" w:rsidRDefault="00870D93" w:rsidP="000E5111">
              <w:pPr>
                <w:pStyle w:val="Bibliography"/>
                <w:rPr>
                  <w:noProof/>
                  <w:sz w:val="24"/>
                  <w:szCs w:val="24"/>
                  <w:lang w:val="en-US"/>
                </w:rPr>
              </w:pPr>
              <w:r w:rsidRPr="00870D93">
                <w:fldChar w:fldCharType="begin"/>
              </w:r>
              <w:r w:rsidR="000E5111">
                <w:instrText xml:space="preserve"> BIBLIOGRAPHY </w:instrText>
              </w:r>
              <w:r w:rsidRPr="00870D93">
                <w:fldChar w:fldCharType="separate"/>
              </w:r>
              <w:r w:rsidR="000E5111">
                <w:rPr>
                  <w:noProof/>
                  <w:lang w:val="en-US"/>
                </w:rPr>
                <w:t xml:space="preserve">Barkeley, E. F., Major, C. H. &amp; Cross, K. P., 2014. </w:t>
              </w:r>
              <w:r w:rsidR="000E5111">
                <w:rPr>
                  <w:i/>
                  <w:iCs/>
                  <w:noProof/>
                  <w:lang w:val="en-US"/>
                </w:rPr>
                <w:t xml:space="preserve">Collaborative learning techniques. </w:t>
              </w:r>
              <w:r w:rsidR="000E5111">
                <w:rPr>
                  <w:noProof/>
                  <w:lang w:val="en-US"/>
                </w:rPr>
                <w:t>San Francisco: Jossey- Bass.</w:t>
              </w:r>
            </w:p>
            <w:p w:rsidR="000E5111" w:rsidRDefault="000E5111" w:rsidP="000E5111">
              <w:pPr>
                <w:pStyle w:val="Bibliography"/>
                <w:rPr>
                  <w:noProof/>
                  <w:lang w:val="en-US"/>
                </w:rPr>
              </w:pPr>
              <w:r>
                <w:rPr>
                  <w:noProof/>
                  <w:lang w:val="en-US"/>
                </w:rPr>
                <w:t xml:space="preserve">Bayram, L., 2017. Childminders Improve Language and Behaviour. </w:t>
              </w:r>
              <w:r>
                <w:rPr>
                  <w:i/>
                  <w:iCs/>
                  <w:noProof/>
                  <w:lang w:val="en-US"/>
                </w:rPr>
                <w:t>Childcare Proffesional</w:t>
              </w:r>
              <w:r>
                <w:rPr>
                  <w:noProof/>
                  <w:lang w:val="en-US"/>
                </w:rPr>
                <w:t>, October, p. 9.</w:t>
              </w:r>
            </w:p>
            <w:p w:rsidR="000E5111" w:rsidRDefault="000E5111" w:rsidP="000E5111">
              <w:pPr>
                <w:pStyle w:val="Bibliography"/>
                <w:rPr>
                  <w:noProof/>
                  <w:lang w:val="en-US"/>
                </w:rPr>
              </w:pPr>
              <w:r>
                <w:rPr>
                  <w:noProof/>
                  <w:lang w:val="en-US"/>
                </w:rPr>
                <w:t xml:space="preserve">Cox, K., Bradford, I. &amp; Allen, M., 2013. </w:t>
              </w:r>
              <w:r>
                <w:rPr>
                  <w:i/>
                  <w:iCs/>
                  <w:noProof/>
                  <w:lang w:val="en-US"/>
                </w:rPr>
                <w:t xml:space="preserve">Student Assesment in Higher Educarion. </w:t>
              </w:r>
              <w:r>
                <w:rPr>
                  <w:noProof/>
                  <w:lang w:val="en-US"/>
                </w:rPr>
                <w:t>First ed. New York: Routledge.</w:t>
              </w:r>
            </w:p>
            <w:p w:rsidR="000E5111" w:rsidRDefault="000E5111" w:rsidP="000E5111">
              <w:pPr>
                <w:pStyle w:val="Bibliography"/>
                <w:rPr>
                  <w:noProof/>
                  <w:lang w:val="en-US"/>
                </w:rPr>
              </w:pPr>
              <w:r>
                <w:rPr>
                  <w:noProof/>
                  <w:lang w:val="en-US"/>
                </w:rPr>
                <w:lastRenderedPageBreak/>
                <w:t xml:space="preserve">Crawley, J., 2011. </w:t>
              </w:r>
              <w:r>
                <w:rPr>
                  <w:i/>
                  <w:iCs/>
                  <w:noProof/>
                  <w:lang w:val="en-US"/>
                </w:rPr>
                <w:t xml:space="preserve">In at the Deep End. </w:t>
              </w:r>
              <w:r>
                <w:rPr>
                  <w:noProof/>
                  <w:lang w:val="en-US"/>
                </w:rPr>
                <w:t>Oxon: Routledge.</w:t>
              </w:r>
            </w:p>
            <w:p w:rsidR="000E5111" w:rsidRDefault="000E5111" w:rsidP="000E5111">
              <w:pPr>
                <w:pStyle w:val="Bibliography"/>
                <w:rPr>
                  <w:noProof/>
                  <w:lang w:val="en-US"/>
                </w:rPr>
              </w:pPr>
              <w:r>
                <w:rPr>
                  <w:noProof/>
                  <w:lang w:val="en-US"/>
                </w:rPr>
                <w:t xml:space="preserve">Curtin, U. o., 2018. </w:t>
              </w:r>
              <w:r>
                <w:rPr>
                  <w:i/>
                  <w:iCs/>
                  <w:noProof/>
                  <w:lang w:val="en-US"/>
                </w:rPr>
                <w:t xml:space="preserve">Why Write Essays?. </w:t>
              </w:r>
              <w:r>
                <w:rPr>
                  <w:noProof/>
                  <w:lang w:val="en-US"/>
                </w:rPr>
                <w:t xml:space="preserve">[Online] </w:t>
              </w:r>
              <w:r>
                <w:rPr>
                  <w:noProof/>
                  <w:lang w:val="en-US"/>
                </w:rPr>
                <w:br/>
                <w:t xml:space="preserve">Available at: </w:t>
              </w:r>
              <w:r>
                <w:rPr>
                  <w:noProof/>
                  <w:u w:val="single"/>
                  <w:lang w:val="en-US"/>
                </w:rPr>
                <w:t>http://studyskills.curtin.edu.au/essays/introduction/why-write-essays/</w:t>
              </w:r>
              <w:r>
                <w:rPr>
                  <w:noProof/>
                  <w:lang w:val="en-US"/>
                </w:rPr>
                <w:br/>
                <w:t>[Accessed 14 February 2018].</w:t>
              </w:r>
            </w:p>
            <w:p w:rsidR="000E5111" w:rsidRDefault="000E5111" w:rsidP="000E5111">
              <w:pPr>
                <w:pStyle w:val="Bibliography"/>
                <w:rPr>
                  <w:noProof/>
                  <w:lang w:val="en-US"/>
                </w:rPr>
              </w:pPr>
              <w:r>
                <w:rPr>
                  <w:noProof/>
                  <w:lang w:val="en-US"/>
                </w:rPr>
                <w:t xml:space="preserve">Curzon, L. B. &amp; Tummons, J., 2013. </w:t>
              </w:r>
              <w:r>
                <w:rPr>
                  <w:i/>
                  <w:iCs/>
                  <w:noProof/>
                  <w:lang w:val="en-US"/>
                </w:rPr>
                <w:t xml:space="preserve">Teaching in further education. </w:t>
              </w:r>
              <w:r>
                <w:rPr>
                  <w:noProof/>
                  <w:lang w:val="en-US"/>
                </w:rPr>
                <w:t>London: Bloomsbury.</w:t>
              </w:r>
            </w:p>
            <w:p w:rsidR="000E5111" w:rsidRDefault="000E5111" w:rsidP="000E5111">
              <w:pPr>
                <w:pStyle w:val="Bibliography"/>
                <w:rPr>
                  <w:noProof/>
                  <w:lang w:val="en-US"/>
                </w:rPr>
              </w:pPr>
              <w:r>
                <w:rPr>
                  <w:noProof/>
                  <w:lang w:val="en-US"/>
                </w:rPr>
                <w:t xml:space="preserve">David, U. o. W. T. S., 2017. </w:t>
              </w:r>
              <w:r>
                <w:rPr>
                  <w:i/>
                  <w:iCs/>
                  <w:noProof/>
                  <w:lang w:val="en-US"/>
                </w:rPr>
                <w:t xml:space="preserve">BA Early Years Education and Care (Early Years Practitioner). </w:t>
              </w:r>
              <w:r>
                <w:rPr>
                  <w:noProof/>
                  <w:lang w:val="en-US"/>
                </w:rPr>
                <w:t xml:space="preserve">[Online] </w:t>
              </w:r>
              <w:r>
                <w:rPr>
                  <w:noProof/>
                  <w:lang w:val="en-US"/>
                </w:rPr>
                <w:br/>
                <w:t xml:space="preserve">Available at: </w:t>
              </w:r>
              <w:r>
                <w:rPr>
                  <w:noProof/>
                  <w:u w:val="single"/>
                  <w:lang w:val="en-US"/>
                </w:rPr>
                <w:t>http://www.uwtsd.ac.uk/undergraduate/early-years/ba-early-years-education-and-care-early-years-practitioner---2-years/</w:t>
              </w:r>
              <w:r>
                <w:rPr>
                  <w:noProof/>
                  <w:lang w:val="en-US"/>
                </w:rPr>
                <w:br/>
                <w:t>[Accessed 14 February 2018].</w:t>
              </w:r>
            </w:p>
            <w:p w:rsidR="000E5111" w:rsidRDefault="000E5111" w:rsidP="000E5111">
              <w:pPr>
                <w:pStyle w:val="Bibliography"/>
                <w:rPr>
                  <w:noProof/>
                  <w:lang w:val="en-US"/>
                </w:rPr>
              </w:pPr>
              <w:r>
                <w:rPr>
                  <w:noProof/>
                  <w:lang w:val="en-US"/>
                </w:rPr>
                <w:t xml:space="preserve">Denby, N., 2012. </w:t>
              </w:r>
              <w:r>
                <w:rPr>
                  <w:i/>
                  <w:iCs/>
                  <w:noProof/>
                  <w:lang w:val="en-US"/>
                </w:rPr>
                <w:t xml:space="preserve">Training to Teach: A guide for students. </w:t>
              </w:r>
              <w:r>
                <w:rPr>
                  <w:noProof/>
                  <w:lang w:val="en-US"/>
                </w:rPr>
                <w:t>Second ed. London: SAGE.</w:t>
              </w:r>
            </w:p>
            <w:p w:rsidR="000E5111" w:rsidRDefault="000E5111" w:rsidP="000E5111">
              <w:pPr>
                <w:pStyle w:val="Bibliography"/>
                <w:rPr>
                  <w:noProof/>
                  <w:lang w:val="en-US"/>
                </w:rPr>
              </w:pPr>
              <w:r>
                <w:rPr>
                  <w:noProof/>
                  <w:lang w:val="en-US"/>
                </w:rPr>
                <w:t xml:space="preserve">EberlyCenter, 2016. </w:t>
              </w:r>
              <w:r>
                <w:rPr>
                  <w:i/>
                  <w:iCs/>
                  <w:noProof/>
                  <w:lang w:val="en-US"/>
                </w:rPr>
                <w:t xml:space="preserve">What is the difference between formative and summative assesment. </w:t>
              </w:r>
              <w:r>
                <w:rPr>
                  <w:noProof/>
                  <w:lang w:val="en-US"/>
                </w:rPr>
                <w:t xml:space="preserve">[Online] </w:t>
              </w:r>
              <w:r>
                <w:rPr>
                  <w:noProof/>
                  <w:lang w:val="en-US"/>
                </w:rPr>
                <w:br/>
                <w:t xml:space="preserve">Available at: </w:t>
              </w:r>
              <w:r>
                <w:rPr>
                  <w:noProof/>
                  <w:u w:val="single"/>
                  <w:lang w:val="en-US"/>
                </w:rPr>
                <w:t>https://www.cmu.edu/teaching/assessment/basics/formative-summative.html</w:t>
              </w:r>
              <w:r>
                <w:rPr>
                  <w:noProof/>
                  <w:lang w:val="en-US"/>
                </w:rPr>
                <w:br/>
                <w:t>[Accessed 14 February 2018].</w:t>
              </w:r>
            </w:p>
            <w:p w:rsidR="000E5111" w:rsidRDefault="000E5111" w:rsidP="000E5111">
              <w:pPr>
                <w:pStyle w:val="Bibliography"/>
                <w:rPr>
                  <w:noProof/>
                  <w:lang w:val="en-US"/>
                </w:rPr>
              </w:pPr>
              <w:r>
                <w:rPr>
                  <w:noProof/>
                  <w:lang w:val="en-US"/>
                </w:rPr>
                <w:t xml:space="preserve">Felicia, P., 2011. </w:t>
              </w:r>
              <w:r>
                <w:rPr>
                  <w:i/>
                  <w:iCs/>
                  <w:noProof/>
                  <w:lang w:val="en-US"/>
                </w:rPr>
                <w:t xml:space="preserve">Handbook of Research on Improving Learning and Motivation through Educational Games. </w:t>
              </w:r>
              <w:r>
                <w:rPr>
                  <w:noProof/>
                  <w:lang w:val="en-US"/>
                </w:rPr>
                <w:t>Herschey: IGI Global.</w:t>
              </w:r>
            </w:p>
            <w:p w:rsidR="000E5111" w:rsidRDefault="000E5111" w:rsidP="000E5111">
              <w:pPr>
                <w:pStyle w:val="Bibliography"/>
                <w:rPr>
                  <w:noProof/>
                  <w:lang w:val="en-US"/>
                </w:rPr>
              </w:pPr>
              <w:r>
                <w:rPr>
                  <w:noProof/>
                  <w:lang w:val="en-US"/>
                </w:rPr>
                <w:t xml:space="preserve">Furtado, L. &amp; Anderson, D., 2012. The refelctive teacher leader: An action research model. </w:t>
              </w:r>
              <w:r>
                <w:rPr>
                  <w:i/>
                  <w:iCs/>
                  <w:noProof/>
                  <w:lang w:val="en-US"/>
                </w:rPr>
                <w:t xml:space="preserve">Journal of school leadership, </w:t>
              </w:r>
              <w:r>
                <w:rPr>
                  <w:noProof/>
                  <w:lang w:val="en-US"/>
                </w:rPr>
                <w:t>pp. 531- 568.</w:t>
              </w:r>
            </w:p>
            <w:p w:rsidR="000E5111" w:rsidRDefault="000E5111" w:rsidP="000E5111">
              <w:pPr>
                <w:pStyle w:val="Bibliography"/>
                <w:rPr>
                  <w:noProof/>
                  <w:lang w:val="en-US"/>
                </w:rPr>
              </w:pPr>
              <w:r>
                <w:rPr>
                  <w:noProof/>
                  <w:lang w:val="en-US"/>
                </w:rPr>
                <w:t xml:space="preserve">Government, W. A., 2010. </w:t>
              </w:r>
              <w:r>
                <w:rPr>
                  <w:i/>
                  <w:iCs/>
                  <w:noProof/>
                  <w:lang w:val="en-US"/>
                </w:rPr>
                <w:t xml:space="preserve">How to develop thinking and assesment for learning in the classroom, </w:t>
              </w:r>
              <w:r>
                <w:rPr>
                  <w:noProof/>
                  <w:lang w:val="en-US"/>
                </w:rPr>
                <w:t>Cardiff: Welsh Assembly Government.</w:t>
              </w:r>
            </w:p>
            <w:p w:rsidR="000E5111" w:rsidRDefault="000E5111" w:rsidP="000E5111">
              <w:pPr>
                <w:pStyle w:val="Bibliography"/>
                <w:rPr>
                  <w:noProof/>
                  <w:lang w:val="en-US"/>
                </w:rPr>
              </w:pPr>
              <w:r>
                <w:rPr>
                  <w:noProof/>
                  <w:lang w:val="en-US"/>
                </w:rPr>
                <w:t xml:space="preserve">Government, W. A., 2015. </w:t>
              </w:r>
              <w:r>
                <w:rPr>
                  <w:i/>
                  <w:iCs/>
                  <w:noProof/>
                  <w:lang w:val="en-US"/>
                </w:rPr>
                <w:t xml:space="preserve">Well-being of Futures Generations (Wales) Act 2015. </w:t>
              </w:r>
              <w:r>
                <w:rPr>
                  <w:noProof/>
                  <w:lang w:val="en-US"/>
                </w:rPr>
                <w:t xml:space="preserve">[Online] </w:t>
              </w:r>
              <w:r>
                <w:rPr>
                  <w:noProof/>
                  <w:lang w:val="en-US"/>
                </w:rPr>
                <w:br/>
                <w:t xml:space="preserve">Available at: </w:t>
              </w:r>
              <w:r>
                <w:rPr>
                  <w:noProof/>
                  <w:u w:val="single"/>
                  <w:lang w:val="en-US"/>
                </w:rPr>
                <w:t>http://gov.wales/topics/people-and-communities/people/future-generations-act/?lang=en</w:t>
              </w:r>
            </w:p>
            <w:p w:rsidR="000E5111" w:rsidRDefault="000E5111" w:rsidP="000E5111">
              <w:pPr>
                <w:pStyle w:val="Bibliography"/>
                <w:rPr>
                  <w:noProof/>
                  <w:lang w:val="en-US"/>
                </w:rPr>
              </w:pPr>
              <w:r>
                <w:rPr>
                  <w:noProof/>
                  <w:lang w:val="en-US"/>
                </w:rPr>
                <w:t xml:space="preserve">Government, W. A., 2016. </w:t>
              </w:r>
              <w:r>
                <w:rPr>
                  <w:i/>
                  <w:iCs/>
                  <w:noProof/>
                  <w:lang w:val="en-US"/>
                </w:rPr>
                <w:t xml:space="preserve">A guide to the Well-being of Futures Act, </w:t>
              </w:r>
              <w:r>
                <w:rPr>
                  <w:noProof/>
                  <w:lang w:val="en-US"/>
                </w:rPr>
                <w:t>Cardiff: s.n.</w:t>
              </w:r>
            </w:p>
            <w:p w:rsidR="000E5111" w:rsidRDefault="000E5111" w:rsidP="000E5111">
              <w:pPr>
                <w:pStyle w:val="Bibliography"/>
                <w:rPr>
                  <w:noProof/>
                  <w:lang w:val="en-US"/>
                </w:rPr>
              </w:pPr>
              <w:r>
                <w:rPr>
                  <w:noProof/>
                  <w:lang w:val="en-US"/>
                </w:rPr>
                <w:t xml:space="preserve">Government, W. A., 2016. </w:t>
              </w:r>
              <w:r>
                <w:rPr>
                  <w:i/>
                  <w:iCs/>
                  <w:noProof/>
                  <w:lang w:val="en-US"/>
                </w:rPr>
                <w:t xml:space="preserve">Llywodraeth Cymru. </w:t>
              </w:r>
              <w:r>
                <w:rPr>
                  <w:noProof/>
                  <w:lang w:val="en-US"/>
                </w:rPr>
                <w:t xml:space="preserve">[Online] </w:t>
              </w:r>
              <w:r>
                <w:rPr>
                  <w:noProof/>
                  <w:lang w:val="en-US"/>
                </w:rPr>
                <w:br/>
                <w:t xml:space="preserve">Available at: </w:t>
              </w:r>
              <w:r>
                <w:rPr>
                  <w:noProof/>
                  <w:u w:val="single"/>
                  <w:lang w:val="en-US"/>
                </w:rPr>
                <w:t>http://www.procurexlive.co.uk/wales/wp-content/uploads/sites/4/2017/05/Taking-wales-forward1621-en.pdf</w:t>
              </w:r>
            </w:p>
            <w:p w:rsidR="000E5111" w:rsidRDefault="000E5111" w:rsidP="000E5111">
              <w:pPr>
                <w:pStyle w:val="Bibliography"/>
                <w:rPr>
                  <w:noProof/>
                  <w:lang w:val="en-US"/>
                </w:rPr>
              </w:pPr>
              <w:r>
                <w:rPr>
                  <w:noProof/>
                  <w:lang w:val="en-US"/>
                </w:rPr>
                <w:t xml:space="preserve">Government, W. A., 2018. </w:t>
              </w:r>
              <w:r>
                <w:rPr>
                  <w:i/>
                  <w:iCs/>
                  <w:noProof/>
                  <w:lang w:val="en-US"/>
                </w:rPr>
                <w:t xml:space="preserve">Foundation Phase. </w:t>
              </w:r>
              <w:r>
                <w:rPr>
                  <w:noProof/>
                  <w:lang w:val="en-US"/>
                </w:rPr>
                <w:t xml:space="preserve">[Online] </w:t>
              </w:r>
              <w:r>
                <w:rPr>
                  <w:noProof/>
                  <w:lang w:val="en-US"/>
                </w:rPr>
                <w:br/>
                <w:t xml:space="preserve">Available at: </w:t>
              </w:r>
              <w:r>
                <w:rPr>
                  <w:noProof/>
                  <w:u w:val="single"/>
                  <w:lang w:val="en-US"/>
                </w:rPr>
                <w:t>http://gov.wales/topics/educationandskills/foundation-phase/?lang=en</w:t>
              </w:r>
              <w:r>
                <w:rPr>
                  <w:noProof/>
                  <w:lang w:val="en-US"/>
                </w:rPr>
                <w:br/>
                <w:t>[Accessed 14 February 2018].</w:t>
              </w:r>
            </w:p>
            <w:p w:rsidR="000E5111" w:rsidRDefault="000E5111" w:rsidP="000E5111">
              <w:pPr>
                <w:pStyle w:val="Bibliography"/>
                <w:rPr>
                  <w:noProof/>
                  <w:lang w:val="en-US"/>
                </w:rPr>
              </w:pPr>
              <w:r>
                <w:rPr>
                  <w:noProof/>
                  <w:lang w:val="en-US"/>
                </w:rPr>
                <w:t xml:space="preserve">Gregson, M. &amp; Hillier, Y., 2016. </w:t>
              </w:r>
              <w:r>
                <w:rPr>
                  <w:i/>
                  <w:iCs/>
                  <w:noProof/>
                  <w:lang w:val="en-US"/>
                </w:rPr>
                <w:t xml:space="preserve">Reflective Teaching in further, adult and vocational education. </w:t>
              </w:r>
              <w:r>
                <w:rPr>
                  <w:noProof/>
                  <w:lang w:val="en-US"/>
                </w:rPr>
                <w:t>London: Bloomsbury Academy.</w:t>
              </w:r>
            </w:p>
            <w:p w:rsidR="000E5111" w:rsidRDefault="000E5111" w:rsidP="000E5111">
              <w:pPr>
                <w:pStyle w:val="Bibliography"/>
                <w:rPr>
                  <w:noProof/>
                  <w:lang w:val="en-US"/>
                </w:rPr>
              </w:pPr>
              <w:r>
                <w:rPr>
                  <w:noProof/>
                  <w:lang w:val="en-US"/>
                </w:rPr>
                <w:t xml:space="preserve">Gregson, M. &amp; Hillier, Y., 2016. </w:t>
              </w:r>
              <w:r>
                <w:rPr>
                  <w:i/>
                  <w:iCs/>
                  <w:noProof/>
                  <w:lang w:val="en-US"/>
                </w:rPr>
                <w:t xml:space="preserve">Reflective Teaching in Further, Adult and Vocational Education. </w:t>
              </w:r>
              <w:r>
                <w:rPr>
                  <w:noProof/>
                  <w:lang w:val="en-US"/>
                </w:rPr>
                <w:t>Fourth ed. London: Bloomsbury Academy.</w:t>
              </w:r>
            </w:p>
            <w:p w:rsidR="000E5111" w:rsidRDefault="000E5111" w:rsidP="000E5111">
              <w:pPr>
                <w:pStyle w:val="Bibliography"/>
                <w:rPr>
                  <w:noProof/>
                  <w:lang w:val="en-US"/>
                </w:rPr>
              </w:pPr>
              <w:r>
                <w:rPr>
                  <w:noProof/>
                  <w:lang w:val="en-US"/>
                </w:rPr>
                <w:t xml:space="preserve">Illeris, K., 2003. Towards a contemporary and comrehensive theory of learning. </w:t>
              </w:r>
              <w:r>
                <w:rPr>
                  <w:i/>
                  <w:iCs/>
                  <w:noProof/>
                  <w:lang w:val="en-US"/>
                </w:rPr>
                <w:t xml:space="preserve">International Journal of lifelong education, </w:t>
              </w:r>
              <w:r>
                <w:rPr>
                  <w:noProof/>
                  <w:lang w:val="en-US"/>
                </w:rPr>
                <w:t>22(4), pp. 396- 406.</w:t>
              </w:r>
            </w:p>
            <w:p w:rsidR="000E5111" w:rsidRDefault="000E5111" w:rsidP="000E5111">
              <w:pPr>
                <w:pStyle w:val="Bibliography"/>
                <w:rPr>
                  <w:noProof/>
                  <w:lang w:val="en-US"/>
                </w:rPr>
              </w:pPr>
              <w:r>
                <w:rPr>
                  <w:noProof/>
                  <w:lang w:val="en-US"/>
                </w:rPr>
                <w:t xml:space="preserve">Lansdown, G., 2011. </w:t>
              </w:r>
              <w:r>
                <w:rPr>
                  <w:i/>
                  <w:iCs/>
                  <w:noProof/>
                  <w:lang w:val="en-US"/>
                </w:rPr>
                <w:t xml:space="preserve">Every Child`s Right to be Heard, </w:t>
              </w:r>
              <w:r>
                <w:rPr>
                  <w:noProof/>
                  <w:lang w:val="en-US"/>
                </w:rPr>
                <w:t>London: Save the Children.</w:t>
              </w:r>
            </w:p>
            <w:p w:rsidR="000E5111" w:rsidRDefault="000E5111" w:rsidP="000E5111">
              <w:pPr>
                <w:pStyle w:val="Bibliography"/>
                <w:rPr>
                  <w:noProof/>
                  <w:lang w:val="en-US"/>
                </w:rPr>
              </w:pPr>
              <w:r>
                <w:rPr>
                  <w:noProof/>
                  <w:lang w:val="en-US"/>
                </w:rPr>
                <w:t xml:space="preserve">Lawrence, L., 2017. </w:t>
              </w:r>
              <w:r>
                <w:rPr>
                  <w:i/>
                  <w:iCs/>
                  <w:noProof/>
                  <w:lang w:val="en-US"/>
                </w:rPr>
                <w:t xml:space="preserve">BusinessBalls. </w:t>
              </w:r>
              <w:r>
                <w:rPr>
                  <w:noProof/>
                  <w:lang w:val="en-US"/>
                </w:rPr>
                <w:t xml:space="preserve">[Online] </w:t>
              </w:r>
              <w:r>
                <w:rPr>
                  <w:noProof/>
                  <w:lang w:val="en-US"/>
                </w:rPr>
                <w:br/>
                <w:t xml:space="preserve">Available at: </w:t>
              </w:r>
              <w:r>
                <w:rPr>
                  <w:noProof/>
                  <w:u w:val="single"/>
                  <w:lang w:val="en-US"/>
                </w:rPr>
                <w:t>https://www.businessballs.com/self-awareness/reflective-practice-1824/</w:t>
              </w:r>
            </w:p>
            <w:p w:rsidR="000E5111" w:rsidRDefault="000E5111" w:rsidP="000E5111">
              <w:pPr>
                <w:pStyle w:val="Bibliography"/>
                <w:rPr>
                  <w:noProof/>
                  <w:lang w:val="en-US"/>
                </w:rPr>
              </w:pPr>
              <w:r>
                <w:rPr>
                  <w:noProof/>
                  <w:lang w:val="en-US"/>
                </w:rPr>
                <w:lastRenderedPageBreak/>
                <w:t xml:space="preserve">Neill, G. O. &amp; Jennings, D., 2012. </w:t>
              </w:r>
              <w:r>
                <w:rPr>
                  <w:i/>
                  <w:iCs/>
                  <w:noProof/>
                  <w:lang w:val="en-US"/>
                </w:rPr>
                <w:t xml:space="preserve">The use of poster presentations for assesment. </w:t>
              </w:r>
              <w:r>
                <w:rPr>
                  <w:noProof/>
                  <w:lang w:val="en-US"/>
                </w:rPr>
                <w:t xml:space="preserve">[Online] </w:t>
              </w:r>
              <w:r>
                <w:rPr>
                  <w:noProof/>
                  <w:lang w:val="en-US"/>
                </w:rPr>
                <w:br/>
                <w:t xml:space="preserve">Available at: </w:t>
              </w:r>
              <w:r>
                <w:rPr>
                  <w:noProof/>
                  <w:u w:val="single"/>
                  <w:lang w:val="en-US"/>
                </w:rPr>
                <w:t>https://www.ucd.ie/t4cms/UCDTLA0039.pdf</w:t>
              </w:r>
              <w:r>
                <w:rPr>
                  <w:noProof/>
                  <w:lang w:val="en-US"/>
                </w:rPr>
                <w:br/>
                <w:t>[Accessed 14 February 2018].</w:t>
              </w:r>
            </w:p>
            <w:p w:rsidR="000E5111" w:rsidRDefault="000E5111" w:rsidP="000E5111">
              <w:pPr>
                <w:pStyle w:val="Bibliography"/>
                <w:rPr>
                  <w:noProof/>
                  <w:lang w:val="en-US"/>
                </w:rPr>
              </w:pPr>
              <w:r>
                <w:rPr>
                  <w:noProof/>
                  <w:lang w:val="en-US"/>
                </w:rPr>
                <w:t xml:space="preserve">Owens, J. &amp; Tibby, M., 2014. </w:t>
              </w:r>
              <w:r>
                <w:rPr>
                  <w:i/>
                  <w:iCs/>
                  <w:noProof/>
                  <w:lang w:val="en-US"/>
                </w:rPr>
                <w:t xml:space="preserve">Enhancing employability through enterprise education: Examples of good practice in higher education, </w:t>
              </w:r>
              <w:r>
                <w:rPr>
                  <w:noProof/>
                  <w:lang w:val="en-US"/>
                </w:rPr>
                <w:t>Cambridgeshire: The Higher Education Academy.</w:t>
              </w:r>
            </w:p>
            <w:p w:rsidR="000E5111" w:rsidRDefault="000E5111" w:rsidP="000E5111">
              <w:pPr>
                <w:pStyle w:val="Bibliography"/>
                <w:rPr>
                  <w:noProof/>
                  <w:lang w:val="en-US"/>
                </w:rPr>
              </w:pPr>
              <w:r>
                <w:rPr>
                  <w:noProof/>
                  <w:lang w:val="en-US"/>
                </w:rPr>
                <w:t xml:space="preserve">Pope, G., 2014. </w:t>
              </w:r>
              <w:r>
                <w:rPr>
                  <w:i/>
                  <w:iCs/>
                  <w:noProof/>
                  <w:lang w:val="en-US"/>
                </w:rPr>
                <w:t xml:space="preserve">Questioning Techniques Pocket Book. </w:t>
              </w:r>
              <w:r>
                <w:rPr>
                  <w:noProof/>
                  <w:lang w:val="en-US"/>
                </w:rPr>
                <w:t>Hampshire: Management Pocket Books.</w:t>
              </w:r>
            </w:p>
            <w:p w:rsidR="000E5111" w:rsidRDefault="000E5111" w:rsidP="000E5111">
              <w:pPr>
                <w:pStyle w:val="Bibliography"/>
                <w:rPr>
                  <w:noProof/>
                  <w:lang w:val="en-US"/>
                </w:rPr>
              </w:pPr>
              <w:r>
                <w:rPr>
                  <w:noProof/>
                  <w:lang w:val="en-US"/>
                </w:rPr>
                <w:t xml:space="preserve">Scittl, 2017. </w:t>
              </w:r>
              <w:r>
                <w:rPr>
                  <w:i/>
                  <w:iCs/>
                  <w:noProof/>
                  <w:lang w:val="en-US"/>
                </w:rPr>
                <w:t xml:space="preserve">SCITTL Lesson Study. </w:t>
              </w:r>
              <w:r>
                <w:rPr>
                  <w:noProof/>
                  <w:lang w:val="en-US"/>
                </w:rPr>
                <w:t xml:space="preserve">[Online] </w:t>
              </w:r>
              <w:r>
                <w:rPr>
                  <w:noProof/>
                  <w:lang w:val="en-US"/>
                </w:rPr>
                <w:br/>
                <w:t xml:space="preserve">Available at: </w:t>
              </w:r>
              <w:r>
                <w:rPr>
                  <w:noProof/>
                  <w:u w:val="single"/>
                  <w:lang w:val="en-US"/>
                </w:rPr>
                <w:t>http://scittls.weebly.com/learning.html</w:t>
              </w:r>
            </w:p>
            <w:p w:rsidR="000E5111" w:rsidRDefault="000E5111" w:rsidP="000E5111">
              <w:pPr>
                <w:pStyle w:val="Bibliography"/>
                <w:rPr>
                  <w:noProof/>
                  <w:lang w:val="en-US"/>
                </w:rPr>
              </w:pPr>
              <w:r>
                <w:rPr>
                  <w:noProof/>
                  <w:lang w:val="en-US"/>
                </w:rPr>
                <w:t xml:space="preserve">Silver, C. H.-., Clarke, C., Carol, C. &amp; Angela, O., 2013. </w:t>
              </w:r>
              <w:r>
                <w:rPr>
                  <w:i/>
                  <w:iCs/>
                  <w:noProof/>
                  <w:lang w:val="en-US"/>
                </w:rPr>
                <w:t xml:space="preserve">The International Handbook of Collaborative Learning. </w:t>
              </w:r>
              <w:r>
                <w:rPr>
                  <w:noProof/>
                  <w:lang w:val="en-US"/>
                </w:rPr>
                <w:t>New York: Routledge.</w:t>
              </w:r>
            </w:p>
            <w:p w:rsidR="000E5111" w:rsidRDefault="000E5111" w:rsidP="000E5111">
              <w:pPr>
                <w:pStyle w:val="Bibliography"/>
                <w:rPr>
                  <w:noProof/>
                  <w:lang w:val="en-US"/>
                </w:rPr>
              </w:pPr>
              <w:r>
                <w:rPr>
                  <w:noProof/>
                  <w:lang w:val="en-US"/>
                </w:rPr>
                <w:t xml:space="preserve">Stufflebam, D. &amp; Shinkfield, A., 2007. </w:t>
              </w:r>
              <w:r>
                <w:rPr>
                  <w:i/>
                  <w:iCs/>
                  <w:noProof/>
                  <w:lang w:val="en-US"/>
                </w:rPr>
                <w:t xml:space="preserve">Evaluation Theory, Models and Applications. </w:t>
              </w:r>
              <w:r>
                <w:rPr>
                  <w:noProof/>
                  <w:lang w:val="en-US"/>
                </w:rPr>
                <w:t>San Franscisco: Jossey Bass.</w:t>
              </w:r>
            </w:p>
            <w:p w:rsidR="000E5111" w:rsidRDefault="000E5111" w:rsidP="000E5111">
              <w:pPr>
                <w:pStyle w:val="Bibliography"/>
                <w:rPr>
                  <w:noProof/>
                  <w:lang w:val="en-US"/>
                </w:rPr>
              </w:pPr>
              <w:r>
                <w:rPr>
                  <w:noProof/>
                  <w:lang w:val="en-US"/>
                </w:rPr>
                <w:t xml:space="preserve">University, S., 2017. </w:t>
              </w:r>
              <w:r>
                <w:rPr>
                  <w:i/>
                  <w:iCs/>
                  <w:noProof/>
                  <w:lang w:val="en-US"/>
                </w:rPr>
                <w:t xml:space="preserve">Cross Cutting Themes. </w:t>
              </w:r>
              <w:r>
                <w:rPr>
                  <w:noProof/>
                  <w:lang w:val="en-US"/>
                </w:rPr>
                <w:t xml:space="preserve">[Online] </w:t>
              </w:r>
              <w:r>
                <w:rPr>
                  <w:noProof/>
                  <w:lang w:val="en-US"/>
                </w:rPr>
                <w:br/>
                <w:t xml:space="preserve">Available at: </w:t>
              </w:r>
              <w:r>
                <w:rPr>
                  <w:noProof/>
                  <w:u w:val="single"/>
                  <w:lang w:val="en-US"/>
                </w:rPr>
                <w:t>http://www.swansea.ac.uk/science/computationalfoundry/crosscuttingthemes/</w:t>
              </w:r>
            </w:p>
            <w:p w:rsidR="000E5111" w:rsidRDefault="000E5111" w:rsidP="000E5111">
              <w:pPr>
                <w:pStyle w:val="Bibliography"/>
                <w:rPr>
                  <w:noProof/>
                  <w:lang w:val="en-US"/>
                </w:rPr>
              </w:pPr>
              <w:r>
                <w:rPr>
                  <w:noProof/>
                  <w:lang w:val="en-US"/>
                </w:rPr>
                <w:t xml:space="preserve">Valoes, L. D., 2014. </w:t>
              </w:r>
              <w:r>
                <w:rPr>
                  <w:i/>
                  <w:iCs/>
                  <w:noProof/>
                  <w:lang w:val="en-US"/>
                </w:rPr>
                <w:t xml:space="preserve">Importance of Language- Why learning a second language is important. </w:t>
              </w:r>
              <w:r>
                <w:rPr>
                  <w:noProof/>
                  <w:lang w:val="en-US"/>
                </w:rPr>
                <w:t xml:space="preserve">[Online] </w:t>
              </w:r>
              <w:r>
                <w:rPr>
                  <w:noProof/>
                  <w:lang w:val="en-US"/>
                </w:rPr>
                <w:br/>
                <w:t xml:space="preserve">Available at: </w:t>
              </w:r>
              <w:r>
                <w:rPr>
                  <w:noProof/>
                  <w:u w:val="single"/>
                  <w:lang w:val="en-US"/>
                </w:rPr>
                <w:t>https://www.trinitydc.edu/continuing-education/2014/02/26/importance-of-language-why-learning-a-second-language-is-important/</w:t>
              </w:r>
            </w:p>
            <w:p w:rsidR="000E5111" w:rsidRDefault="000E5111" w:rsidP="000E5111">
              <w:pPr>
                <w:pStyle w:val="Bibliography"/>
                <w:rPr>
                  <w:noProof/>
                  <w:lang w:val="en-US"/>
                </w:rPr>
              </w:pPr>
              <w:r>
                <w:rPr>
                  <w:noProof/>
                  <w:lang w:val="en-US"/>
                </w:rPr>
                <w:t xml:space="preserve">Wales, C. C. f., 2018. </w:t>
              </w:r>
              <w:r>
                <w:rPr>
                  <w:i/>
                  <w:iCs/>
                  <w:noProof/>
                  <w:lang w:val="en-US"/>
                </w:rPr>
                <w:t xml:space="preserve">Welsh Language Skills in the Early Years and Childcare Workforce, </w:t>
              </w:r>
              <w:r>
                <w:rPr>
                  <w:noProof/>
                  <w:lang w:val="en-US"/>
                </w:rPr>
                <w:t>Cardiff: Welsh Assembly Government.</w:t>
              </w:r>
            </w:p>
            <w:p w:rsidR="000E5111" w:rsidRDefault="000E5111" w:rsidP="000E5111">
              <w:pPr>
                <w:pStyle w:val="Bibliography"/>
                <w:rPr>
                  <w:noProof/>
                  <w:lang w:val="en-US"/>
                </w:rPr>
              </w:pPr>
              <w:r>
                <w:rPr>
                  <w:noProof/>
                  <w:lang w:val="en-US"/>
                </w:rPr>
                <w:t xml:space="preserve">Williams, S., 2017. </w:t>
              </w:r>
              <w:r>
                <w:rPr>
                  <w:i/>
                  <w:iCs/>
                  <w:noProof/>
                  <w:lang w:val="en-US"/>
                </w:rPr>
                <w:t xml:space="preserve">The Importance of play in children`s Social and Emotional Development, </w:t>
              </w:r>
              <w:r>
                <w:rPr>
                  <w:noProof/>
                  <w:lang w:val="en-US"/>
                </w:rPr>
                <w:t>Swansea: University of Wales Trinity Saint David.</w:t>
              </w:r>
            </w:p>
            <w:p w:rsidR="000E5111" w:rsidRDefault="00870D93" w:rsidP="000E5111">
              <w:r>
                <w:rPr>
                  <w:b/>
                  <w:bCs/>
                  <w:noProof/>
                </w:rPr>
                <w:fldChar w:fldCharType="end"/>
              </w:r>
            </w:p>
          </w:sdtContent>
        </w:sdt>
      </w:sdtContent>
    </w:sdt>
    <w:p w:rsidR="000E5111" w:rsidRDefault="000E5111" w:rsidP="000E5111">
      <w:pPr>
        <w:rPr>
          <w:rFonts w:cstheme="minorHAnsi"/>
          <w:sz w:val="24"/>
          <w:szCs w:val="24"/>
        </w:rPr>
      </w:pPr>
    </w:p>
    <w:p w:rsidR="000E5111" w:rsidRDefault="000E5111" w:rsidP="000E5111">
      <w:pPr>
        <w:rPr>
          <w:rFonts w:cstheme="minorHAnsi"/>
          <w:sz w:val="24"/>
          <w:szCs w:val="24"/>
        </w:rPr>
      </w:pPr>
    </w:p>
    <w:p w:rsidR="000E5111" w:rsidRDefault="000E5111" w:rsidP="000E5111">
      <w:pPr>
        <w:rPr>
          <w:rFonts w:cstheme="minorHAnsi"/>
          <w:sz w:val="24"/>
          <w:szCs w:val="24"/>
        </w:rPr>
      </w:pPr>
    </w:p>
    <w:p w:rsidR="000E5111" w:rsidRDefault="000E5111" w:rsidP="00F37592">
      <w:pPr>
        <w:spacing w:line="360" w:lineRule="auto"/>
        <w:jc w:val="center"/>
        <w:rPr>
          <w:b/>
          <w:sz w:val="24"/>
          <w:szCs w:val="24"/>
          <w:u w:val="single"/>
        </w:rPr>
      </w:pPr>
    </w:p>
    <w:p w:rsidR="000E5111" w:rsidRDefault="000E5111" w:rsidP="000E5111">
      <w:pPr>
        <w:spacing w:line="360" w:lineRule="auto"/>
        <w:rPr>
          <w:b/>
          <w:sz w:val="24"/>
          <w:szCs w:val="24"/>
          <w:u w:val="single"/>
        </w:rPr>
      </w:pPr>
    </w:p>
    <w:p w:rsidR="000E5111" w:rsidRDefault="000E5111" w:rsidP="00F37592">
      <w:pPr>
        <w:spacing w:line="360" w:lineRule="auto"/>
        <w:jc w:val="center"/>
        <w:rPr>
          <w:b/>
          <w:sz w:val="24"/>
          <w:szCs w:val="24"/>
          <w:u w:val="single"/>
        </w:rPr>
      </w:pPr>
    </w:p>
    <w:p w:rsidR="00D4406F" w:rsidRDefault="00D4406F" w:rsidP="00F37592">
      <w:pPr>
        <w:spacing w:line="360" w:lineRule="auto"/>
        <w:jc w:val="center"/>
        <w:rPr>
          <w:b/>
          <w:sz w:val="24"/>
          <w:szCs w:val="24"/>
          <w:u w:val="single"/>
        </w:rPr>
      </w:pPr>
    </w:p>
    <w:p w:rsidR="00D4406F" w:rsidRDefault="00D4406F" w:rsidP="00F37592">
      <w:pPr>
        <w:spacing w:line="360" w:lineRule="auto"/>
        <w:jc w:val="center"/>
        <w:rPr>
          <w:b/>
          <w:sz w:val="24"/>
          <w:szCs w:val="24"/>
          <w:u w:val="single"/>
        </w:rPr>
      </w:pPr>
    </w:p>
    <w:p w:rsidR="00D4406F" w:rsidRDefault="00D4406F" w:rsidP="00F37592">
      <w:pPr>
        <w:spacing w:line="360" w:lineRule="auto"/>
        <w:jc w:val="center"/>
        <w:rPr>
          <w:b/>
          <w:sz w:val="24"/>
          <w:szCs w:val="24"/>
          <w:u w:val="single"/>
        </w:rPr>
      </w:pPr>
    </w:p>
    <w:p w:rsidR="00D4406F" w:rsidRDefault="00D4406F" w:rsidP="00F37592">
      <w:pPr>
        <w:spacing w:line="360" w:lineRule="auto"/>
        <w:jc w:val="center"/>
        <w:rPr>
          <w:b/>
          <w:sz w:val="24"/>
          <w:szCs w:val="24"/>
          <w:u w:val="single"/>
        </w:rPr>
      </w:pPr>
    </w:p>
    <w:p w:rsidR="00CB5758" w:rsidRPr="00F37592" w:rsidRDefault="00F37592" w:rsidP="00F37592">
      <w:pPr>
        <w:spacing w:line="360" w:lineRule="auto"/>
        <w:jc w:val="center"/>
        <w:rPr>
          <w:b/>
          <w:sz w:val="24"/>
          <w:szCs w:val="24"/>
          <w:u w:val="single"/>
        </w:rPr>
      </w:pPr>
      <w:r w:rsidRPr="00F37592">
        <w:rPr>
          <w:b/>
          <w:sz w:val="24"/>
          <w:szCs w:val="24"/>
          <w:u w:val="single"/>
        </w:rPr>
        <w:lastRenderedPageBreak/>
        <w:t>Critically evaluate the relationship between learning theories and the subject discipline</w:t>
      </w:r>
    </w:p>
    <w:p w:rsidR="00F37592" w:rsidRDefault="00471290" w:rsidP="00E80AD3">
      <w:pPr>
        <w:spacing w:line="360" w:lineRule="auto"/>
      </w:pPr>
      <w:r>
        <w:t>Within higher education there are theories that can support learning for learners, educators and learning environment</w:t>
      </w:r>
      <w:r w:rsidR="00F7383B">
        <w:t>s</w:t>
      </w:r>
      <w:r w:rsidR="00F37592">
        <w:t xml:space="preserve"> Within the scheme of work for this project a variety of different methods were applied to create a vocational curriculum that is reminiscent of constructivist/ social constructivist model of thinking. </w:t>
      </w:r>
      <w:r w:rsidR="0019526E">
        <w:t>To</w:t>
      </w:r>
      <w:r w:rsidR="00F37592">
        <w:t xml:space="preserve"> develop a relevant, current, </w:t>
      </w:r>
      <w:r w:rsidR="0019526E">
        <w:t>meaningful</w:t>
      </w:r>
      <w:r w:rsidR="00F37592">
        <w:t xml:space="preserve"> and intrinsic opportunity for learners there was a need to explore a variety of theories concerned with adult learning and begin to make sense of these for their </w:t>
      </w:r>
      <w:r w:rsidR="0019526E">
        <w:t>successful</w:t>
      </w:r>
      <w:r w:rsidR="00F37592">
        <w:t xml:space="preserve"> application into the course design and content</w:t>
      </w:r>
      <w:r>
        <w:t>.</w:t>
      </w:r>
    </w:p>
    <w:p w:rsidR="00F7383B" w:rsidRDefault="00F37592" w:rsidP="00E80AD3">
      <w:pPr>
        <w:spacing w:line="360" w:lineRule="auto"/>
      </w:pPr>
      <w:r>
        <w:t>There a many theories that are concerned with higher education, this study is particularly interested in those that support</w:t>
      </w:r>
      <w:r w:rsidR="0019526E">
        <w:t xml:space="preserve"> inclusive teaching, such</w:t>
      </w:r>
      <w:r w:rsidR="00A22B1C">
        <w:t xml:space="preserve"> as Biggs (2003)</w:t>
      </w:r>
      <w:r w:rsidR="00471290">
        <w:t>.</w:t>
      </w:r>
      <w:r w:rsidR="00A22B1C">
        <w:t xml:space="preserve"> Biggs developed</w:t>
      </w:r>
      <w:r w:rsidR="00471290">
        <w:t xml:space="preserve"> </w:t>
      </w:r>
      <w:r w:rsidR="00A22B1C">
        <w:t>t</w:t>
      </w:r>
      <w:r w:rsidR="00471290">
        <w:t xml:space="preserve">he </w:t>
      </w:r>
      <w:r w:rsidR="00A22B1C">
        <w:t xml:space="preserve">Three </w:t>
      </w:r>
      <w:r w:rsidR="00471290">
        <w:t xml:space="preserve">P </w:t>
      </w:r>
      <w:r w:rsidR="00B723CD">
        <w:t>model</w:t>
      </w:r>
      <w:r w:rsidR="00F7383B">
        <w:t xml:space="preserve"> (see appendix 1)</w:t>
      </w:r>
      <w:r w:rsidR="00B723CD">
        <w:t xml:space="preserve"> and</w:t>
      </w:r>
      <w:r w:rsidR="00A22B1C">
        <w:t xml:space="preserve"> explains this as being an interrelated process with three main factors, which are</w:t>
      </w:r>
      <w:r w:rsidR="00471290">
        <w:t xml:space="preserve"> Presage, Process and Product factors, </w:t>
      </w:r>
      <w:r w:rsidR="00B723CD">
        <w:t>all</w:t>
      </w:r>
      <w:r w:rsidR="00A22B1C">
        <w:t xml:space="preserve"> which support and define the teaching and learning environment of higher education organisations</w:t>
      </w:r>
      <w:r w:rsidR="00CB5758">
        <w:t xml:space="preserve"> </w:t>
      </w:r>
      <w:sdt>
        <w:sdtPr>
          <w:id w:val="-951475745"/>
          <w:citation/>
        </w:sdtPr>
        <w:sdtContent>
          <w:r w:rsidR="00870D93">
            <w:fldChar w:fldCharType="begin"/>
          </w:r>
          <w:r w:rsidR="00CB5758">
            <w:instrText xml:space="preserve">CITATION Joh18 \l 2057 </w:instrText>
          </w:r>
          <w:r w:rsidR="00870D93">
            <w:fldChar w:fldCharType="separate"/>
          </w:r>
          <w:r w:rsidR="009A43C2" w:rsidRPr="009A43C2">
            <w:rPr>
              <w:noProof/>
            </w:rPr>
            <w:t>(Biggs, 2003)</w:t>
          </w:r>
          <w:r w:rsidR="00870D93">
            <w:fldChar w:fldCharType="end"/>
          </w:r>
        </w:sdtContent>
      </w:sdt>
      <w:r w:rsidR="00A22B1C">
        <w:t xml:space="preserve"> </w:t>
      </w:r>
      <w:sdt>
        <w:sdtPr>
          <w:id w:val="-1893724193"/>
          <w:citation/>
        </w:sdtPr>
        <w:sdtContent>
          <w:r w:rsidR="00870D93">
            <w:fldChar w:fldCharType="begin"/>
          </w:r>
          <w:r w:rsidR="000D3C31">
            <w:instrText xml:space="preserve"> CITATION Gos14 \l 2057 </w:instrText>
          </w:r>
          <w:r w:rsidR="00870D93">
            <w:fldChar w:fldCharType="separate"/>
          </w:r>
          <w:r w:rsidR="009A43C2" w:rsidRPr="009A43C2">
            <w:rPr>
              <w:noProof/>
            </w:rPr>
            <w:t>(Gosper &amp; Ifenthaler, 2014)</w:t>
          </w:r>
          <w:r w:rsidR="00870D93">
            <w:fldChar w:fldCharType="end"/>
          </w:r>
        </w:sdtContent>
      </w:sdt>
      <w:r w:rsidR="000D3C31">
        <w:t xml:space="preserve">. </w:t>
      </w:r>
      <w:r w:rsidR="00471290">
        <w:t xml:space="preserve">Presage factors are </w:t>
      </w:r>
      <w:r w:rsidR="00A22B1C">
        <w:t xml:space="preserve">described as the learner influences and what the learner brings to the system, such as </w:t>
      </w:r>
      <w:r w:rsidR="00B723CD">
        <w:t>particular</w:t>
      </w:r>
      <w:r w:rsidR="00A22B1C">
        <w:t xml:space="preserve"> attitudes, prior knowledge, </w:t>
      </w:r>
      <w:r w:rsidR="00B723CD">
        <w:t>skills,</w:t>
      </w:r>
      <w:r w:rsidR="00A22B1C">
        <w:t xml:space="preserve"> abilities, values and their individual expectations, these residing </w:t>
      </w:r>
      <w:r w:rsidR="00B723CD">
        <w:t>characteristics</w:t>
      </w:r>
      <w:r w:rsidR="00A22B1C">
        <w:t xml:space="preserve"> will all in turn have a significant impact on how the learners learn</w:t>
      </w:r>
      <w:r w:rsidR="00F7383B">
        <w:t xml:space="preserve"> and the development of</w:t>
      </w:r>
      <w:r w:rsidR="00A22B1C">
        <w:t xml:space="preserve"> inclusive teaching</w:t>
      </w:r>
      <w:r w:rsidR="00DC0658">
        <w:t>, in order to reflect this throughout the course design ice breakers, classroom discussions and group work was implemented</w:t>
      </w:r>
      <w:r w:rsidR="00A22B1C">
        <w:t xml:space="preserve"> </w:t>
      </w:r>
      <w:sdt>
        <w:sdtPr>
          <w:id w:val="-979145504"/>
          <w:citation/>
        </w:sdtPr>
        <w:sdtContent>
          <w:r w:rsidR="00870D93">
            <w:fldChar w:fldCharType="begin"/>
          </w:r>
          <w:r w:rsidR="000D3C31">
            <w:instrText xml:space="preserve"> CITATION Wik18 \l 2057 </w:instrText>
          </w:r>
          <w:r w:rsidR="00870D93">
            <w:fldChar w:fldCharType="separate"/>
          </w:r>
          <w:r w:rsidR="009A43C2" w:rsidRPr="009A43C2">
            <w:rPr>
              <w:noProof/>
            </w:rPr>
            <w:t>(Wiki, 2018)</w:t>
          </w:r>
          <w:r w:rsidR="00870D93">
            <w:fldChar w:fldCharType="end"/>
          </w:r>
        </w:sdtContent>
      </w:sdt>
      <w:r w:rsidR="00471290">
        <w:t xml:space="preserve">. </w:t>
      </w:r>
    </w:p>
    <w:p w:rsidR="00F7383B" w:rsidRDefault="00A22B1C" w:rsidP="00E80AD3">
      <w:pPr>
        <w:spacing w:line="360" w:lineRule="auto"/>
      </w:pPr>
      <w:r>
        <w:t xml:space="preserve">In relation to how presage factors influence teaching, can be </w:t>
      </w:r>
      <w:r w:rsidR="00B723CD">
        <w:t>demonstrated</w:t>
      </w:r>
      <w:r>
        <w:t xml:space="preserve"> through the ethos and values of the organisation (see app</w:t>
      </w:r>
      <w:r w:rsidR="00F7383B">
        <w:t>endix</w:t>
      </w:r>
      <w:r>
        <w:t xml:space="preserve"> 2)</w:t>
      </w:r>
      <w:r w:rsidR="00F7383B">
        <w:t>,</w:t>
      </w:r>
      <w:r>
        <w:t xml:space="preserve"> and through the curriculum and how </w:t>
      </w:r>
      <w:r w:rsidR="00B723CD">
        <w:t>educators</w:t>
      </w:r>
      <w:r>
        <w:t xml:space="preserve"> deliver this</w:t>
      </w:r>
      <w:r w:rsidR="00DC0658">
        <w:t>, in order to develop this module reflection techniques were applied to previous teaching experience and prior knowledge, this enabled the creation of content and activities to be as broad as possible to allow for the inclusion of all</w:t>
      </w:r>
      <w:r>
        <w:t xml:space="preserve"> </w:t>
      </w:r>
      <w:sdt>
        <w:sdtPr>
          <w:id w:val="786085219"/>
          <w:citation/>
        </w:sdtPr>
        <w:sdtContent>
          <w:r w:rsidR="00870D93">
            <w:fldChar w:fldCharType="begin"/>
          </w:r>
          <w:r w:rsidR="000D3C31">
            <w:instrText xml:space="preserve"> CITATION Gos14 \l 2057 </w:instrText>
          </w:r>
          <w:r w:rsidR="00870D93">
            <w:fldChar w:fldCharType="separate"/>
          </w:r>
          <w:r w:rsidR="009A43C2" w:rsidRPr="009A43C2">
            <w:rPr>
              <w:noProof/>
            </w:rPr>
            <w:t>(Gosper &amp; Ifenthaler, 2014)</w:t>
          </w:r>
          <w:r w:rsidR="00870D93">
            <w:fldChar w:fldCharType="end"/>
          </w:r>
        </w:sdtContent>
      </w:sdt>
      <w:r w:rsidR="00471290">
        <w:t xml:space="preserve">. Presage </w:t>
      </w:r>
      <w:r w:rsidR="0097493B">
        <w:t>factors</w:t>
      </w:r>
      <w:r w:rsidR="00471290">
        <w:t xml:space="preserve"> are also associated with the creation of deeper learning which is achieved by offering a variety of </w:t>
      </w:r>
      <w:r w:rsidR="0097493B">
        <w:t>learning</w:t>
      </w:r>
      <w:r w:rsidR="00471290">
        <w:t xml:space="preserve"> activities and creating </w:t>
      </w:r>
      <w:r w:rsidR="0097493B">
        <w:t>intrinsic</w:t>
      </w:r>
      <w:r w:rsidR="00471290">
        <w:t xml:space="preserve"> </w:t>
      </w:r>
      <w:r w:rsidR="0097493B">
        <w:t>meaningful</w:t>
      </w:r>
      <w:r w:rsidR="00471290">
        <w:t xml:space="preserve"> teaching strategies that support prior experiences and knowledge</w:t>
      </w:r>
      <w:r w:rsidR="00980ABD">
        <w:t xml:space="preserve"> </w:t>
      </w:r>
      <w:sdt>
        <w:sdtPr>
          <w:id w:val="465697401"/>
          <w:citation/>
        </w:sdtPr>
        <w:sdtContent>
          <w:r w:rsidR="00870D93">
            <w:fldChar w:fldCharType="begin"/>
          </w:r>
          <w:r w:rsidR="00980ABD">
            <w:instrText xml:space="preserve"> CITATION Gin14 \l 2057 </w:instrText>
          </w:r>
          <w:r w:rsidR="00870D93">
            <w:fldChar w:fldCharType="separate"/>
          </w:r>
          <w:r w:rsidR="009A43C2" w:rsidRPr="009A43C2">
            <w:rPr>
              <w:noProof/>
            </w:rPr>
            <w:t>(Ginns, et al., 2014)</w:t>
          </w:r>
          <w:r w:rsidR="00870D93">
            <w:fldChar w:fldCharType="end"/>
          </w:r>
        </w:sdtContent>
      </w:sdt>
      <w:r w:rsidR="00471290">
        <w:t xml:space="preserve">. There is a significant amount of research that supports this view, </w:t>
      </w:r>
      <w:r w:rsidR="0097493B">
        <w:t>Prosser</w:t>
      </w:r>
      <w:r w:rsidR="00471290">
        <w:t xml:space="preserve"> and Trigwell (1998) stated that students </w:t>
      </w:r>
      <w:r w:rsidR="0097493B">
        <w:t>approach</w:t>
      </w:r>
      <w:r w:rsidR="00471290">
        <w:t xml:space="preserve"> to learning </w:t>
      </w:r>
      <w:r w:rsidR="00E80AD3">
        <w:t>is a</w:t>
      </w:r>
      <w:r w:rsidR="00471290">
        <w:t xml:space="preserve"> function of their previous experiences in </w:t>
      </w:r>
      <w:r w:rsidR="00780BDD">
        <w:t xml:space="preserve">teaching and learning </w:t>
      </w:r>
      <w:r w:rsidR="0097493B">
        <w:t>environments</w:t>
      </w:r>
      <w:r w:rsidR="00980ABD">
        <w:t xml:space="preserve"> </w:t>
      </w:r>
      <w:sdt>
        <w:sdtPr>
          <w:id w:val="2010240365"/>
          <w:citation/>
        </w:sdtPr>
        <w:sdtContent>
          <w:r w:rsidR="00870D93">
            <w:fldChar w:fldCharType="begin"/>
          </w:r>
          <w:r w:rsidR="00980ABD">
            <w:instrText xml:space="preserve"> CITATION Mic99 \l 2057 </w:instrText>
          </w:r>
          <w:r w:rsidR="00870D93">
            <w:fldChar w:fldCharType="separate"/>
          </w:r>
          <w:r w:rsidR="009A43C2" w:rsidRPr="009A43C2">
            <w:rPr>
              <w:noProof/>
            </w:rPr>
            <w:t>(Prosser, 1999)</w:t>
          </w:r>
          <w:r w:rsidR="00870D93">
            <w:fldChar w:fldCharType="end"/>
          </w:r>
        </w:sdtContent>
      </w:sdt>
      <w:r w:rsidR="00780BDD">
        <w:t xml:space="preserve">. </w:t>
      </w:r>
      <w:r w:rsidR="00F7383B">
        <w:t>Other studies</w:t>
      </w:r>
      <w:r w:rsidR="00780BDD">
        <w:t xml:space="preserve"> have revealed that students enter higher education with a range of expectations, knowledge and behaviours</w:t>
      </w:r>
      <w:r w:rsidR="00C81904">
        <w:t>,</w:t>
      </w:r>
      <w:r w:rsidR="00780BDD">
        <w:t xml:space="preserve"> </w:t>
      </w:r>
      <w:r w:rsidR="00B723CD">
        <w:t>these</w:t>
      </w:r>
      <w:r w:rsidR="00780BDD">
        <w:t xml:space="preserve"> expectations </w:t>
      </w:r>
      <w:r w:rsidR="00B723CD">
        <w:t>are all</w:t>
      </w:r>
      <w:r w:rsidR="00780BDD">
        <w:t xml:space="preserve"> varied and based on </w:t>
      </w:r>
      <w:r w:rsidR="0097493B">
        <w:t>student’s</w:t>
      </w:r>
      <w:r w:rsidR="00780BDD">
        <w:t xml:space="preserve"> individual personalities and their educational experiences. Educational experiences </w:t>
      </w:r>
      <w:r w:rsidR="00412C07">
        <w:t xml:space="preserve">can be linked to </w:t>
      </w:r>
      <w:r w:rsidR="00B723CD">
        <w:t>an individual</w:t>
      </w:r>
      <w:r w:rsidR="00412C07">
        <w:t xml:space="preserve"> learning styles, Myers Briggs illustrates this through the Myers Briggs inventory</w:t>
      </w:r>
      <w:r w:rsidR="00F7383B">
        <w:t xml:space="preserve"> (see appendix 3)</w:t>
      </w:r>
      <w:r w:rsidR="000D3C31">
        <w:t xml:space="preserve"> </w:t>
      </w:r>
      <w:sdt>
        <w:sdtPr>
          <w:id w:val="-1596328367"/>
          <w:citation/>
        </w:sdtPr>
        <w:sdtContent>
          <w:r w:rsidR="00870D93">
            <w:fldChar w:fldCharType="begin"/>
          </w:r>
          <w:r w:rsidR="000D3C31">
            <w:instrText xml:space="preserve"> CITATION Sim10 \l 2057 </w:instrText>
          </w:r>
          <w:r w:rsidR="00870D93">
            <w:fldChar w:fldCharType="separate"/>
          </w:r>
          <w:r w:rsidR="009A43C2" w:rsidRPr="009A43C2">
            <w:rPr>
              <w:noProof/>
            </w:rPr>
            <w:t>(Cassidy, 2010)</w:t>
          </w:r>
          <w:r w:rsidR="00870D93">
            <w:fldChar w:fldCharType="end"/>
          </w:r>
        </w:sdtContent>
      </w:sdt>
      <w:r w:rsidR="00DC0658">
        <w:t xml:space="preserve"> this was important when creating the various resources and activities that were being presented through the module</w:t>
      </w:r>
      <w:r w:rsidR="00412C07">
        <w:t>.</w:t>
      </w:r>
      <w:r w:rsidR="00DC0658">
        <w:t xml:space="preserve"> Myers Briggs model is</w:t>
      </w:r>
      <w:r w:rsidR="00412C07">
        <w:t xml:space="preserve"> </w:t>
      </w:r>
      <w:r w:rsidR="00DC0658">
        <w:t>b</w:t>
      </w:r>
      <w:r w:rsidR="00412C07">
        <w:t xml:space="preserve">ased on personality </w:t>
      </w:r>
      <w:r w:rsidR="00B723CD">
        <w:t>types</w:t>
      </w:r>
      <w:r w:rsidR="00412C07">
        <w:t xml:space="preserve">, posing four sets of oppositions, or </w:t>
      </w:r>
      <w:r w:rsidR="00412C07">
        <w:lastRenderedPageBreak/>
        <w:t xml:space="preserve">preferences, leading to sixteen different personality types </w:t>
      </w:r>
      <w:r w:rsidR="00B723CD">
        <w:t>that</w:t>
      </w:r>
      <w:r w:rsidR="00412C07">
        <w:t xml:space="preserve"> can be linked to preference in learning, these</w:t>
      </w:r>
      <w:r w:rsidR="00780BDD">
        <w:t xml:space="preserve"> are strongly reliant on the educator and although educators are too shaped by their own cultural experiences, the educator is a fundamental element in </w:t>
      </w:r>
      <w:r w:rsidR="00412C07">
        <w:t xml:space="preserve">giving </w:t>
      </w:r>
      <w:r w:rsidR="00B723CD">
        <w:t>learners</w:t>
      </w:r>
      <w:r w:rsidR="00412C07">
        <w:t xml:space="preserve"> confidence in themselves and in their strengths during the learning process </w:t>
      </w:r>
      <w:sdt>
        <w:sdtPr>
          <w:id w:val="-1553986522"/>
          <w:citation/>
        </w:sdtPr>
        <w:sdtContent>
          <w:r w:rsidR="00870D93">
            <w:fldChar w:fldCharType="begin"/>
          </w:r>
          <w:r w:rsidR="00412C07">
            <w:instrText xml:space="preserve"> CITATION Fry15 \l 2057 </w:instrText>
          </w:r>
          <w:r w:rsidR="00870D93">
            <w:fldChar w:fldCharType="separate"/>
          </w:r>
          <w:r w:rsidR="009A43C2" w:rsidRPr="009A43C2">
            <w:rPr>
              <w:noProof/>
            </w:rPr>
            <w:t>(Fry, et al., 2015)</w:t>
          </w:r>
          <w:r w:rsidR="00870D93">
            <w:fldChar w:fldCharType="end"/>
          </w:r>
        </w:sdtContent>
      </w:sdt>
      <w:r w:rsidR="00780BDD">
        <w:t xml:space="preserve">. </w:t>
      </w:r>
    </w:p>
    <w:p w:rsidR="000E5111" w:rsidRDefault="00780BDD" w:rsidP="00E80AD3">
      <w:pPr>
        <w:spacing w:line="360" w:lineRule="auto"/>
      </w:pPr>
      <w:r>
        <w:t xml:space="preserve">Ballard and Clanchy (1997) described the </w:t>
      </w:r>
      <w:r w:rsidR="0097493B">
        <w:t>educator’s</w:t>
      </w:r>
      <w:r>
        <w:t xml:space="preserve"> competence and communication styles</w:t>
      </w:r>
      <w:r w:rsidR="00F7383B">
        <w:t xml:space="preserve"> as a significant element within teaching and learning and how educators deliver the curriculum</w:t>
      </w:r>
      <w:r>
        <w:t xml:space="preserve"> including teaching methods, </w:t>
      </w:r>
      <w:r w:rsidR="00F7383B">
        <w:t>confidence in the classroom</w:t>
      </w:r>
      <w:r>
        <w:t xml:space="preserve">, assessment practices and the method of instruction </w:t>
      </w:r>
      <w:r w:rsidR="00F7383B">
        <w:t xml:space="preserve">used, these elements are described </w:t>
      </w:r>
      <w:r>
        <w:t xml:space="preserve">as being vital </w:t>
      </w:r>
      <w:r w:rsidR="00F7383B">
        <w:t>functions in the process</w:t>
      </w:r>
      <w:r>
        <w:t xml:space="preserve"> of creating a </w:t>
      </w:r>
      <w:r w:rsidR="0097493B">
        <w:t>successful</w:t>
      </w:r>
      <w:r>
        <w:t xml:space="preserve"> learning environment</w:t>
      </w:r>
      <w:r w:rsidR="005579CD">
        <w:t xml:space="preserve"> </w:t>
      </w:r>
      <w:sdt>
        <w:sdtPr>
          <w:id w:val="79876287"/>
          <w:citation/>
        </w:sdtPr>
        <w:sdtContent>
          <w:r w:rsidR="00870D93">
            <w:fldChar w:fldCharType="begin"/>
          </w:r>
          <w:r w:rsidR="005579CD">
            <w:instrText xml:space="preserve"> CITATION Bam11 \l 2057 </w:instrText>
          </w:r>
          <w:r w:rsidR="00870D93">
            <w:fldChar w:fldCharType="separate"/>
          </w:r>
          <w:r w:rsidR="009A43C2" w:rsidRPr="009A43C2">
            <w:rPr>
              <w:noProof/>
            </w:rPr>
            <w:t>(Bambacas &amp; Sanderson, 2011)</w:t>
          </w:r>
          <w:r w:rsidR="00870D93">
            <w:fldChar w:fldCharType="end"/>
          </w:r>
        </w:sdtContent>
      </w:sdt>
      <w:r>
        <w:t xml:space="preserve">. Biggs (1996) also highlights the need to understand and observe the way learners behave through how they handle tasks, he describes this as an indicator that they have understood the </w:t>
      </w:r>
      <w:r w:rsidR="0097493B">
        <w:t>learning,</w:t>
      </w:r>
      <w:r>
        <w:t xml:space="preserve"> how learners handle tasks is determined by their perceptions of the teaching context, their motives and </w:t>
      </w:r>
      <w:r w:rsidR="0097493B">
        <w:t>predispositions</w:t>
      </w:r>
      <w:r>
        <w:t xml:space="preserve"> and their decisions for </w:t>
      </w:r>
      <w:r w:rsidR="0097493B">
        <w:t>immediate</w:t>
      </w:r>
      <w:r>
        <w:t xml:space="preserve"> action</w:t>
      </w:r>
      <w:r w:rsidR="001952D2">
        <w:t xml:space="preserve"> </w:t>
      </w:r>
      <w:sdt>
        <w:sdtPr>
          <w:id w:val="1346284553"/>
          <w:citation/>
        </w:sdtPr>
        <w:sdtContent>
          <w:r w:rsidR="00870D93">
            <w:fldChar w:fldCharType="begin"/>
          </w:r>
          <w:r w:rsidR="001952D2">
            <w:instrText xml:space="preserve"> CITATION Joh18 \l 2057 </w:instrText>
          </w:r>
          <w:r w:rsidR="00870D93">
            <w:fldChar w:fldCharType="separate"/>
          </w:r>
          <w:r w:rsidR="009A43C2" w:rsidRPr="009A43C2">
            <w:rPr>
              <w:noProof/>
            </w:rPr>
            <w:t>(Biggs, 2003)</w:t>
          </w:r>
          <w:r w:rsidR="00870D93">
            <w:fldChar w:fldCharType="end"/>
          </w:r>
        </w:sdtContent>
      </w:sdt>
      <w:r>
        <w:t xml:space="preserve">. </w:t>
      </w:r>
      <w:r w:rsidR="00A22B1C">
        <w:t xml:space="preserve">Presage factors identified early on will have an impact on the other factors within the model, processes and product </w:t>
      </w:r>
      <w:sdt>
        <w:sdtPr>
          <w:id w:val="369804098"/>
          <w:citation/>
        </w:sdtPr>
        <w:sdtContent>
          <w:r w:rsidR="00870D93">
            <w:fldChar w:fldCharType="begin"/>
          </w:r>
          <w:r w:rsidR="000D3C31">
            <w:instrText xml:space="preserve"> CITATION Wik18 \l 2057 </w:instrText>
          </w:r>
          <w:r w:rsidR="00870D93">
            <w:fldChar w:fldCharType="separate"/>
          </w:r>
          <w:r w:rsidR="009A43C2" w:rsidRPr="009A43C2">
            <w:rPr>
              <w:noProof/>
            </w:rPr>
            <w:t>(Wiki, 2018)</w:t>
          </w:r>
          <w:r w:rsidR="00870D93">
            <w:fldChar w:fldCharType="end"/>
          </w:r>
        </w:sdtContent>
      </w:sdt>
      <w:r w:rsidR="000D3C31">
        <w:t>.</w:t>
      </w:r>
    </w:p>
    <w:p w:rsidR="00F7383B" w:rsidRDefault="00780BDD" w:rsidP="00E80AD3">
      <w:pPr>
        <w:spacing w:line="360" w:lineRule="auto"/>
      </w:pPr>
      <w:r>
        <w:t xml:space="preserve">These presage factors influence the learning process and products that </w:t>
      </w:r>
      <w:r w:rsidR="0097493B">
        <w:t>emerge,</w:t>
      </w:r>
      <w:r>
        <w:t xml:space="preserve"> which are then fed back</w:t>
      </w:r>
      <w:r w:rsidR="005A04CF">
        <w:t xml:space="preserve"> into the </w:t>
      </w:r>
      <w:r w:rsidR="00F7383B">
        <w:t xml:space="preserve">Three </w:t>
      </w:r>
      <w:r w:rsidR="005A04CF">
        <w:t>P</w:t>
      </w:r>
      <w:r w:rsidR="00F7383B">
        <w:t>`s</w:t>
      </w:r>
      <w:r w:rsidR="005A04CF">
        <w:t xml:space="preserve"> cycle, and as a result curriculum design is informed by them and will include desired outcomes</w:t>
      </w:r>
      <w:r w:rsidR="001952D2">
        <w:t xml:space="preserve"> </w:t>
      </w:r>
      <w:sdt>
        <w:sdtPr>
          <w:id w:val="-743024516"/>
          <w:citation/>
        </w:sdtPr>
        <w:sdtContent>
          <w:r w:rsidR="00870D93">
            <w:fldChar w:fldCharType="begin"/>
          </w:r>
          <w:r w:rsidR="001952D2">
            <w:instrText xml:space="preserve"> CITATION Gos13 \l 2057 </w:instrText>
          </w:r>
          <w:r w:rsidR="00870D93">
            <w:fldChar w:fldCharType="separate"/>
          </w:r>
          <w:r w:rsidR="009A43C2" w:rsidRPr="009A43C2">
            <w:rPr>
              <w:noProof/>
            </w:rPr>
            <w:t>(Gosper &amp; Ifnthaler, 2013)</w:t>
          </w:r>
          <w:r w:rsidR="00870D93">
            <w:fldChar w:fldCharType="end"/>
          </w:r>
        </w:sdtContent>
      </w:sdt>
      <w:r w:rsidR="005A04CF">
        <w:t xml:space="preserve">. The </w:t>
      </w:r>
      <w:r w:rsidR="0097493B">
        <w:t>expectations,</w:t>
      </w:r>
      <w:r w:rsidR="005A04CF">
        <w:t xml:space="preserve"> needs and aspirations of the learners, as well as our understanding of the learning process will be reflected in the course design or the curriculum. The curriculum needs to engage learners in the social processes of knowledge creation rather than the mere consumption of educator supplied information</w:t>
      </w:r>
      <w:r w:rsidR="00FE3C5B">
        <w:t xml:space="preserve"> </w:t>
      </w:r>
      <w:sdt>
        <w:sdtPr>
          <w:id w:val="932324388"/>
          <w:citation/>
        </w:sdtPr>
        <w:sdtContent>
          <w:r w:rsidR="00870D93">
            <w:fldChar w:fldCharType="begin"/>
          </w:r>
          <w:r w:rsidR="00FE3C5B">
            <w:instrText xml:space="preserve"> CITATION Cyn15 \l 2057 </w:instrText>
          </w:r>
          <w:r w:rsidR="00870D93">
            <w:fldChar w:fldCharType="separate"/>
          </w:r>
          <w:r w:rsidR="009A43C2" w:rsidRPr="009A43C2">
            <w:rPr>
              <w:noProof/>
            </w:rPr>
            <w:t>(Scott, 2015)</w:t>
          </w:r>
          <w:r w:rsidR="00870D93">
            <w:fldChar w:fldCharType="end"/>
          </w:r>
        </w:sdtContent>
      </w:sdt>
      <w:r w:rsidR="005A04CF">
        <w:t>. Effective learning environments should have a wide choice of resources, tasks, learning support, communication methods and should be focussed on the content, the curriculum, communication and learning processes</w:t>
      </w:r>
      <w:r w:rsidR="00FE3C5B">
        <w:t xml:space="preserve"> </w:t>
      </w:r>
      <w:sdt>
        <w:sdtPr>
          <w:id w:val="2108683862"/>
          <w:citation/>
        </w:sdtPr>
        <w:sdtContent>
          <w:r w:rsidR="00870D93">
            <w:fldChar w:fldCharType="begin"/>
          </w:r>
          <w:r w:rsidR="00FE3C5B">
            <w:instrText xml:space="preserve"> CITATION McK03 \l 2057 </w:instrText>
          </w:r>
          <w:r w:rsidR="00870D93">
            <w:fldChar w:fldCharType="separate"/>
          </w:r>
          <w:r w:rsidR="009A43C2" w:rsidRPr="009A43C2">
            <w:rPr>
              <w:noProof/>
            </w:rPr>
            <w:t>(McKimm &amp; Jollie, 2003)</w:t>
          </w:r>
          <w:r w:rsidR="00870D93">
            <w:fldChar w:fldCharType="end"/>
          </w:r>
        </w:sdtContent>
      </w:sdt>
      <w:r w:rsidR="005A04CF">
        <w:t>.</w:t>
      </w:r>
      <w:r w:rsidR="001B585A">
        <w:t xml:space="preserve"> </w:t>
      </w:r>
    </w:p>
    <w:p w:rsidR="00356A77" w:rsidRDefault="005A04CF" w:rsidP="00E80AD3">
      <w:pPr>
        <w:spacing w:line="360" w:lineRule="auto"/>
      </w:pPr>
      <w:r w:rsidRPr="00F7383B">
        <w:t>The content</w:t>
      </w:r>
      <w:r w:rsidR="001B585A" w:rsidRPr="00F7383B">
        <w:t xml:space="preserve"> of a course within higher education</w:t>
      </w:r>
      <w:r w:rsidR="001B585A">
        <w:t xml:space="preserve"> would benefit from being constructed of a selection of small modules or </w:t>
      </w:r>
      <w:r w:rsidR="00B723CD">
        <w:t>units</w:t>
      </w:r>
      <w:r w:rsidR="001B585A">
        <w:t xml:space="preserve"> </w:t>
      </w:r>
      <w:r w:rsidR="00B723CD">
        <w:t>relevant</w:t>
      </w:r>
      <w:r w:rsidR="001B585A">
        <w:t xml:space="preserve"> to the course content</w:t>
      </w:r>
      <w:r w:rsidR="00DC0658">
        <w:t>, this was the deciding factor in the decision to design this particular module</w:t>
      </w:r>
      <w:r w:rsidR="001B585A">
        <w:t xml:space="preserve">, </w:t>
      </w:r>
      <w:r w:rsidR="00DC0658">
        <w:t>with the expectation that it will</w:t>
      </w:r>
      <w:r w:rsidR="001B585A">
        <w:t xml:space="preserve"> encourage learners to enhance their thinking on a </w:t>
      </w:r>
      <w:r w:rsidR="00B723CD">
        <w:t>topic</w:t>
      </w:r>
      <w:r w:rsidR="009E3162">
        <w:t xml:space="preserve"> </w:t>
      </w:r>
      <w:sdt>
        <w:sdtPr>
          <w:id w:val="-2079281052"/>
          <w:citation/>
        </w:sdtPr>
        <w:sdtContent>
          <w:r w:rsidR="00870D93">
            <w:fldChar w:fldCharType="begin"/>
          </w:r>
          <w:r w:rsidR="009E3162">
            <w:instrText xml:space="preserve"> CITATION Big11 \l 2057 </w:instrText>
          </w:r>
          <w:r w:rsidR="00870D93">
            <w:fldChar w:fldCharType="separate"/>
          </w:r>
          <w:r w:rsidR="009A43C2" w:rsidRPr="009A43C2">
            <w:rPr>
              <w:noProof/>
            </w:rPr>
            <w:t>(Biggs &amp; Tang, 2011)</w:t>
          </w:r>
          <w:r w:rsidR="00870D93">
            <w:fldChar w:fldCharType="end"/>
          </w:r>
        </w:sdtContent>
      </w:sdt>
      <w:r w:rsidR="001B585A">
        <w:t xml:space="preserve">. This can be achieved through learner participation, self- directed study opportunities, learner generated resources and opportunities for </w:t>
      </w:r>
      <w:r w:rsidR="00993284">
        <w:t>learners</w:t>
      </w:r>
      <w:r w:rsidR="001B585A">
        <w:t xml:space="preserve"> </w:t>
      </w:r>
      <w:r w:rsidR="000D3C31">
        <w:t>to</w:t>
      </w:r>
      <w:r w:rsidR="001B585A">
        <w:t xml:space="preserve"> create, share and review their ideas together. </w:t>
      </w:r>
      <w:r>
        <w:t xml:space="preserve">The </w:t>
      </w:r>
      <w:r w:rsidR="00B723CD">
        <w:t>Curriculum within</w:t>
      </w:r>
      <w:r w:rsidR="001B585A">
        <w:t xml:space="preserve"> higher education should attempt to be as flexible as possible and </w:t>
      </w:r>
      <w:r w:rsidR="00B723CD">
        <w:t>dynamic</w:t>
      </w:r>
      <w:r w:rsidR="001B585A">
        <w:t xml:space="preserve"> and open to changes, subject to negotiation and learner input</w:t>
      </w:r>
      <w:r w:rsidR="009E3162">
        <w:t xml:space="preserve"> </w:t>
      </w:r>
      <w:sdt>
        <w:sdtPr>
          <w:id w:val="-1414312645"/>
          <w:citation/>
        </w:sdtPr>
        <w:sdtContent>
          <w:r w:rsidR="00870D93">
            <w:fldChar w:fldCharType="begin"/>
          </w:r>
          <w:r w:rsidR="009E3162">
            <w:instrText xml:space="preserve"> CITATION Wik18 \l 2057 </w:instrText>
          </w:r>
          <w:r w:rsidR="00870D93">
            <w:fldChar w:fldCharType="separate"/>
          </w:r>
          <w:r w:rsidR="009A43C2" w:rsidRPr="009A43C2">
            <w:rPr>
              <w:noProof/>
            </w:rPr>
            <w:t>(Wiki, 2018)</w:t>
          </w:r>
          <w:r w:rsidR="00870D93">
            <w:fldChar w:fldCharType="end"/>
          </w:r>
        </w:sdtContent>
      </w:sdt>
      <w:r w:rsidR="001B585A">
        <w:t xml:space="preserve">. The curriculum should offer modules that focus on interdisciplinary items, relevant to the content and should have a focus on blending formal and informal learning </w:t>
      </w:r>
      <w:r w:rsidR="00B723CD">
        <w:t>techniques</w:t>
      </w:r>
      <w:r w:rsidR="001B585A">
        <w:t xml:space="preserve"> </w:t>
      </w:r>
      <w:sdt>
        <w:sdtPr>
          <w:id w:val="-827586830"/>
          <w:citation/>
        </w:sdtPr>
        <w:sdtContent>
          <w:r w:rsidR="00870D93">
            <w:fldChar w:fldCharType="begin"/>
          </w:r>
          <w:r w:rsidR="003D792D">
            <w:instrText xml:space="preserve"> CITATION Big11 \l 2057 </w:instrText>
          </w:r>
          <w:r w:rsidR="00870D93">
            <w:fldChar w:fldCharType="separate"/>
          </w:r>
          <w:r w:rsidR="009A43C2" w:rsidRPr="009A43C2">
            <w:rPr>
              <w:noProof/>
            </w:rPr>
            <w:t>(Biggs &amp; Tang, 2011)</w:t>
          </w:r>
          <w:r w:rsidR="00870D93">
            <w:fldChar w:fldCharType="end"/>
          </w:r>
        </w:sdtContent>
      </w:sdt>
      <w:r w:rsidR="003D792D">
        <w:t xml:space="preserve">. </w:t>
      </w:r>
      <w:r w:rsidR="00B723CD">
        <w:t>For</w:t>
      </w:r>
      <w:r w:rsidR="001B585A">
        <w:t xml:space="preserve"> </w:t>
      </w:r>
      <w:r w:rsidR="00B723CD">
        <w:t>all</w:t>
      </w:r>
      <w:r w:rsidR="001B585A">
        <w:t xml:space="preserve"> these aspects to be </w:t>
      </w:r>
      <w:r w:rsidR="00B723CD">
        <w:t>successful</w:t>
      </w:r>
      <w:r w:rsidR="001B585A">
        <w:t>, c</w:t>
      </w:r>
      <w:r>
        <w:t>ommunication</w:t>
      </w:r>
      <w:r w:rsidR="001B585A">
        <w:t xml:space="preserve"> is also an important </w:t>
      </w:r>
      <w:r w:rsidR="001B585A">
        <w:lastRenderedPageBreak/>
        <w:t xml:space="preserve">aspect within an inclusive learning environment, communication should be offered to learners in a </w:t>
      </w:r>
      <w:r w:rsidR="00B723CD">
        <w:t>variety</w:t>
      </w:r>
      <w:r w:rsidR="001B585A">
        <w:t xml:space="preserve"> of different formats</w:t>
      </w:r>
      <w:r w:rsidR="009E3162">
        <w:t xml:space="preserve"> </w:t>
      </w:r>
      <w:sdt>
        <w:sdtPr>
          <w:id w:val="389628272"/>
          <w:citation/>
        </w:sdtPr>
        <w:sdtContent>
          <w:r w:rsidR="00870D93">
            <w:fldChar w:fldCharType="begin"/>
          </w:r>
          <w:r w:rsidR="009E3162">
            <w:instrText xml:space="preserve"> CITATION Kel06 \l 2057 </w:instrText>
          </w:r>
          <w:r w:rsidR="00870D93">
            <w:fldChar w:fldCharType="separate"/>
          </w:r>
          <w:r w:rsidR="009A43C2" w:rsidRPr="009A43C2">
            <w:rPr>
              <w:noProof/>
            </w:rPr>
            <w:t>(McGonigal, 2006)</w:t>
          </w:r>
          <w:r w:rsidR="00870D93">
            <w:fldChar w:fldCharType="end"/>
          </w:r>
        </w:sdtContent>
      </w:sdt>
      <w:r w:rsidR="001B585A">
        <w:t>. Encouraging open and honesty and provid</w:t>
      </w:r>
      <w:r w:rsidR="00993284">
        <w:t>ed</w:t>
      </w:r>
      <w:r w:rsidR="001B585A">
        <w:t xml:space="preserve"> in different methods, such as information sharing that encompasses a variety of different learning styles, and abilities, social forums, peer to peer forums and teacher to student forums </w:t>
      </w:r>
      <w:r w:rsidR="00B723CD">
        <w:t>for</w:t>
      </w:r>
      <w:r w:rsidR="001B585A">
        <w:t xml:space="preserve"> meaningful feedback</w:t>
      </w:r>
      <w:r w:rsidR="009E3162">
        <w:t xml:space="preserve"> </w:t>
      </w:r>
      <w:sdt>
        <w:sdtPr>
          <w:id w:val="-691375545"/>
          <w:citation/>
        </w:sdtPr>
        <w:sdtContent>
          <w:r w:rsidR="00870D93">
            <w:fldChar w:fldCharType="begin"/>
          </w:r>
          <w:r w:rsidR="009E3162">
            <w:instrText xml:space="preserve"> CITATION Kel06 \l 2057 </w:instrText>
          </w:r>
          <w:r w:rsidR="00870D93">
            <w:fldChar w:fldCharType="separate"/>
          </w:r>
          <w:r w:rsidR="009A43C2" w:rsidRPr="009A43C2">
            <w:rPr>
              <w:noProof/>
            </w:rPr>
            <w:t>(McGonigal, 2006)</w:t>
          </w:r>
          <w:r w:rsidR="00870D93">
            <w:fldChar w:fldCharType="end"/>
          </w:r>
        </w:sdtContent>
      </w:sdt>
      <w:r w:rsidR="001B585A">
        <w:t xml:space="preserve">. </w:t>
      </w:r>
      <w:r>
        <w:t>Learning processes</w:t>
      </w:r>
      <w:r w:rsidR="00356A77">
        <w:t xml:space="preserve"> within the design </w:t>
      </w:r>
      <w:r w:rsidR="00B723CD">
        <w:t>of</w:t>
      </w:r>
      <w:r w:rsidR="00356A77">
        <w:t xml:space="preserve"> higher education curriculum should be put into context and described in </w:t>
      </w:r>
      <w:r w:rsidR="00B723CD">
        <w:t>detail</w:t>
      </w:r>
      <w:r w:rsidR="00356A77">
        <w:t xml:space="preserve">, demonstrating why and how they were developed, will be delivered and they should be clearly defined with appropriate content being delivered and fit </w:t>
      </w:r>
      <w:r w:rsidR="00B723CD">
        <w:t>for</w:t>
      </w:r>
      <w:r w:rsidR="00356A77">
        <w:t xml:space="preserve"> study</w:t>
      </w:r>
      <w:r w:rsidR="009E3162">
        <w:t xml:space="preserve"> </w:t>
      </w:r>
      <w:sdt>
        <w:sdtPr>
          <w:id w:val="1502314042"/>
          <w:citation/>
        </w:sdtPr>
        <w:sdtContent>
          <w:r w:rsidR="00870D93">
            <w:fldChar w:fldCharType="begin"/>
          </w:r>
          <w:r w:rsidR="009E3162">
            <w:instrText xml:space="preserve"> CITATION Kel06 \l 2057 </w:instrText>
          </w:r>
          <w:r w:rsidR="00870D93">
            <w:fldChar w:fldCharType="separate"/>
          </w:r>
          <w:r w:rsidR="009A43C2" w:rsidRPr="009A43C2">
            <w:rPr>
              <w:noProof/>
            </w:rPr>
            <w:t>(McGonigal, 2006)</w:t>
          </w:r>
          <w:r w:rsidR="00870D93">
            <w:fldChar w:fldCharType="end"/>
          </w:r>
        </w:sdtContent>
      </w:sdt>
      <w:r w:rsidR="00356A77">
        <w:t xml:space="preserve">. Learning processes should </w:t>
      </w:r>
      <w:r w:rsidR="00B723CD">
        <w:t>integrate</w:t>
      </w:r>
      <w:r w:rsidR="00356A77">
        <w:t xml:space="preserve"> with learners thinking processes, creating dynamic, performance and </w:t>
      </w:r>
      <w:r w:rsidR="00B723CD">
        <w:t>enquiry-based</w:t>
      </w:r>
      <w:r w:rsidR="00356A77">
        <w:t xml:space="preserve"> materials and activities to support learning</w:t>
      </w:r>
      <w:r w:rsidR="00993284">
        <w:t xml:space="preserve">, creation of these activities may incorporate the theories of others, such as Dale`s Cone of Experience (see appendix 3) and Bloom`s revised taxonomy (see appendix 4) to ensure learners </w:t>
      </w:r>
      <w:r w:rsidR="00E80AD3">
        <w:t>achievements</w:t>
      </w:r>
      <w:r w:rsidR="00356A77">
        <w:t xml:space="preserve">. </w:t>
      </w:r>
      <w:r w:rsidR="0021449D">
        <w:t xml:space="preserve">By adopting these processes into the delivery </w:t>
      </w:r>
      <w:r w:rsidR="00DC0658">
        <w:t>of this module</w:t>
      </w:r>
      <w:r w:rsidR="0097493B">
        <w:t>,</w:t>
      </w:r>
      <w:r w:rsidR="00DC0658">
        <w:t xml:space="preserve"> the aim was to continue</w:t>
      </w:r>
      <w:r w:rsidR="0021449D">
        <w:t xml:space="preserve"> the flow between the </w:t>
      </w:r>
      <w:r w:rsidR="00993284">
        <w:t xml:space="preserve">Three </w:t>
      </w:r>
      <w:r w:rsidR="0021449D">
        <w:t>P</w:t>
      </w:r>
      <w:r w:rsidR="00993284">
        <w:t>`s</w:t>
      </w:r>
      <w:r w:rsidR="0021449D">
        <w:t xml:space="preserve"> cycle</w:t>
      </w:r>
      <w:r w:rsidR="00E80AD3">
        <w:t>,</w:t>
      </w:r>
      <w:r w:rsidR="0021449D">
        <w:t xml:space="preserve"> and</w:t>
      </w:r>
      <w:r w:rsidR="00DC0658">
        <w:t xml:space="preserve"> create</w:t>
      </w:r>
      <w:r w:rsidR="0021449D">
        <w:t xml:space="preserve"> person centred</w:t>
      </w:r>
      <w:r w:rsidR="00DC0658">
        <w:t xml:space="preserve"> approach</w:t>
      </w:r>
      <w:r w:rsidR="002774E2">
        <w:t xml:space="preserve"> </w:t>
      </w:r>
      <w:sdt>
        <w:sdtPr>
          <w:id w:val="501394840"/>
          <w:citation/>
        </w:sdtPr>
        <w:sdtContent>
          <w:r w:rsidR="00870D93">
            <w:fldChar w:fldCharType="begin"/>
          </w:r>
          <w:r w:rsidR="002774E2">
            <w:instrText xml:space="preserve"> CITATION Ben16 \l 2057 </w:instrText>
          </w:r>
          <w:r w:rsidR="00870D93">
            <w:fldChar w:fldCharType="separate"/>
          </w:r>
          <w:r w:rsidR="009A43C2" w:rsidRPr="009A43C2">
            <w:rPr>
              <w:noProof/>
            </w:rPr>
            <w:t>(Bennett, et al., 2016)</w:t>
          </w:r>
          <w:r w:rsidR="00870D93">
            <w:fldChar w:fldCharType="end"/>
          </w:r>
        </w:sdtContent>
      </w:sdt>
      <w:r w:rsidR="0021449D">
        <w:t xml:space="preserve">. </w:t>
      </w:r>
    </w:p>
    <w:p w:rsidR="002E0BC8" w:rsidRDefault="00DC0658" w:rsidP="00E80AD3">
      <w:pPr>
        <w:spacing w:line="360" w:lineRule="auto"/>
      </w:pPr>
      <w:r>
        <w:t>E</w:t>
      </w:r>
      <w:r w:rsidR="002E0BC8">
        <w:t xml:space="preserve">mphasis on teaching, learning and assessment </w:t>
      </w:r>
      <w:r w:rsidR="00BA6A92">
        <w:t>strategies</w:t>
      </w:r>
      <w:r>
        <w:t xml:space="preserve"> was fundamental during the creation of this module</w:t>
      </w:r>
      <w:r w:rsidR="002E0BC8">
        <w:t xml:space="preserve">. Education must be results based, learning- centred and engaging, it must lead to </w:t>
      </w:r>
      <w:r w:rsidR="00BA6A92">
        <w:t>learning</w:t>
      </w:r>
      <w:r w:rsidR="002E0BC8">
        <w:t xml:space="preserve"> competence and confidence and as a result there is no one theory that can be </w:t>
      </w:r>
      <w:r w:rsidR="00BA6A92">
        <w:t>applied</w:t>
      </w:r>
      <w:r w:rsidR="002E0BC8">
        <w:t xml:space="preserve"> to the creation of course content, including teaching and learning strategies and assessment</w:t>
      </w:r>
      <w:r w:rsidR="002774E2">
        <w:t xml:space="preserve"> </w:t>
      </w:r>
      <w:sdt>
        <w:sdtPr>
          <w:id w:val="-935510803"/>
          <w:citation/>
        </w:sdtPr>
        <w:sdtContent>
          <w:r w:rsidR="00870D93">
            <w:fldChar w:fldCharType="begin"/>
          </w:r>
          <w:r w:rsidR="002774E2">
            <w:instrText xml:space="preserve"> CITATION Dal12 \l 2057 </w:instrText>
          </w:r>
          <w:r w:rsidR="00870D93">
            <w:fldChar w:fldCharType="separate"/>
          </w:r>
          <w:r w:rsidR="009A43C2" w:rsidRPr="009A43C2">
            <w:rPr>
              <w:noProof/>
            </w:rPr>
            <w:t>(Schunk, 2012)</w:t>
          </w:r>
          <w:r w:rsidR="00870D93">
            <w:fldChar w:fldCharType="end"/>
          </w:r>
        </w:sdtContent>
      </w:sdt>
      <w:r w:rsidR="002E0BC8">
        <w:t xml:space="preserve">. Knowles (1978) adult learning theory </w:t>
      </w:r>
      <w:r>
        <w:t>was identified as the main concept that was needed for the creation</w:t>
      </w:r>
      <w:r w:rsidR="002E0BC8">
        <w:t xml:space="preserve"> of these processes,</w:t>
      </w:r>
      <w:r w:rsidR="00E61141">
        <w:t xml:space="preserve"> and it</w:t>
      </w:r>
      <w:r w:rsidR="002E0BC8">
        <w:t xml:space="preserve"> provide</w:t>
      </w:r>
      <w:r w:rsidR="00E61141">
        <w:t>d</w:t>
      </w:r>
      <w:r w:rsidR="002E0BC8">
        <w:t xml:space="preserve"> a good starting point</w:t>
      </w:r>
      <w:r w:rsidR="00E61141">
        <w:t xml:space="preserve"> for this</w:t>
      </w:r>
      <w:r w:rsidR="002E0BC8">
        <w:t xml:space="preserve">. Knowles (1978) discussed the concept of </w:t>
      </w:r>
      <w:r w:rsidR="00BA6A92">
        <w:t>andragogy</w:t>
      </w:r>
      <w:r w:rsidR="002E0BC8">
        <w:t xml:space="preserve">, and described this as adult learning, </w:t>
      </w:r>
      <w:r w:rsidR="00BA6A92">
        <w:t>with</w:t>
      </w:r>
      <w:r w:rsidR="002E0BC8">
        <w:t xml:space="preserve"> the following characteristics:</w:t>
      </w:r>
    </w:p>
    <w:p w:rsidR="002E0BC8" w:rsidRDefault="002E0BC8" w:rsidP="00E80AD3">
      <w:pPr>
        <w:pStyle w:val="ListParagraph"/>
        <w:numPr>
          <w:ilvl w:val="0"/>
          <w:numId w:val="1"/>
        </w:numPr>
        <w:spacing w:line="360" w:lineRule="auto"/>
      </w:pPr>
      <w:r>
        <w:t>Self- control</w:t>
      </w:r>
    </w:p>
    <w:p w:rsidR="002E0BC8" w:rsidRDefault="00BA6A92" w:rsidP="00E80AD3">
      <w:pPr>
        <w:pStyle w:val="ListParagraph"/>
        <w:numPr>
          <w:ilvl w:val="0"/>
          <w:numId w:val="1"/>
        </w:numPr>
        <w:spacing w:line="360" w:lineRule="auto"/>
      </w:pPr>
      <w:r>
        <w:t>Self-responsibility</w:t>
      </w:r>
      <w:r w:rsidR="002E0BC8">
        <w:t xml:space="preserve"> in learning</w:t>
      </w:r>
    </w:p>
    <w:p w:rsidR="002E0BC8" w:rsidRDefault="002E0BC8" w:rsidP="00E80AD3">
      <w:pPr>
        <w:pStyle w:val="ListParagraph"/>
        <w:numPr>
          <w:ilvl w:val="0"/>
          <w:numId w:val="1"/>
        </w:numPr>
        <w:spacing w:line="360" w:lineRule="auto"/>
      </w:pPr>
      <w:r>
        <w:t>Teacher defined</w:t>
      </w:r>
      <w:r w:rsidR="002C30F7">
        <w:t xml:space="preserve"> </w:t>
      </w:r>
      <w:sdt>
        <w:sdtPr>
          <w:id w:val="699166941"/>
          <w:citation/>
        </w:sdtPr>
        <w:sdtContent>
          <w:r w:rsidR="00870D93">
            <w:fldChar w:fldCharType="begin"/>
          </w:r>
          <w:r w:rsidR="002C30F7">
            <w:instrText xml:space="preserve"> CITATION Sci17 \l 2057 </w:instrText>
          </w:r>
          <w:r w:rsidR="00870D93">
            <w:fldChar w:fldCharType="separate"/>
          </w:r>
          <w:r w:rsidR="009A43C2" w:rsidRPr="009A43C2">
            <w:rPr>
              <w:noProof/>
            </w:rPr>
            <w:t>(Scittl, 2017)</w:t>
          </w:r>
          <w:r w:rsidR="00870D93">
            <w:rPr>
              <w:noProof/>
            </w:rPr>
            <w:fldChar w:fldCharType="end"/>
          </w:r>
        </w:sdtContent>
      </w:sdt>
      <w:r w:rsidR="002C30F7">
        <w:t>.</w:t>
      </w:r>
    </w:p>
    <w:p w:rsidR="002E0BC8" w:rsidRDefault="00BA6A92" w:rsidP="00E80AD3">
      <w:pPr>
        <w:spacing w:line="360" w:lineRule="auto"/>
      </w:pPr>
      <w:r>
        <w:t>Andragogy</w:t>
      </w:r>
      <w:r w:rsidR="002E0BC8">
        <w:t xml:space="preserve"> </w:t>
      </w:r>
      <w:r>
        <w:t>attempts</w:t>
      </w:r>
      <w:r w:rsidR="002E0BC8">
        <w:t xml:space="preserve"> to support learners in </w:t>
      </w:r>
      <w:r>
        <w:t>identifying</w:t>
      </w:r>
      <w:r w:rsidR="002E0BC8">
        <w:t xml:space="preserve"> and creating their own aims and objectives, by applying </w:t>
      </w:r>
      <w:r w:rsidR="00B67D8F">
        <w:t xml:space="preserve">a </w:t>
      </w:r>
      <w:r>
        <w:t>problem-solving</w:t>
      </w:r>
      <w:r w:rsidR="00B67D8F">
        <w:t xml:space="preserve"> approach, </w:t>
      </w:r>
      <w:r>
        <w:t>self-directed</w:t>
      </w:r>
      <w:r w:rsidR="00B67D8F">
        <w:t xml:space="preserve"> study, intrinsic learning experiences and incorporating </w:t>
      </w:r>
      <w:r>
        <w:t>learner’s</w:t>
      </w:r>
      <w:r w:rsidR="00B67D8F">
        <w:t xml:space="preserve"> predispositions and previous knowledge </w:t>
      </w:r>
      <w:sdt>
        <w:sdtPr>
          <w:id w:val="1713533423"/>
          <w:citation/>
        </w:sdtPr>
        <w:sdtContent>
          <w:r w:rsidR="00870D93">
            <w:fldChar w:fldCharType="begin"/>
          </w:r>
          <w:r w:rsidR="002C30F7">
            <w:instrText xml:space="preserve"> CITATION Bla12 \l 2057 </w:instrText>
          </w:r>
          <w:r w:rsidR="00870D93">
            <w:fldChar w:fldCharType="separate"/>
          </w:r>
          <w:r w:rsidR="009A43C2" w:rsidRPr="009A43C2">
            <w:rPr>
              <w:noProof/>
            </w:rPr>
            <w:t>(Blaschke, 2012)</w:t>
          </w:r>
          <w:r w:rsidR="00870D93">
            <w:fldChar w:fldCharType="end"/>
          </w:r>
        </w:sdtContent>
      </w:sdt>
      <w:r w:rsidR="002C30F7">
        <w:t xml:space="preserve">. </w:t>
      </w:r>
      <w:r>
        <w:t>Andragogy</w:t>
      </w:r>
      <w:r w:rsidR="00B67D8F">
        <w:t xml:space="preserve"> is often referred to as the approach that encourages individuals to take the </w:t>
      </w:r>
      <w:r>
        <w:t>initiative</w:t>
      </w:r>
      <w:r w:rsidR="00B67D8F">
        <w:t xml:space="preserve"> for diagnosing their own learning needs, thus creating positive learning goals, identifying real life experiences and resources for </w:t>
      </w:r>
      <w:r>
        <w:t>learning</w:t>
      </w:r>
      <w:r w:rsidR="00B67D8F">
        <w:t xml:space="preserve"> by adopting appropriate strategies and developing and evaluating their own </w:t>
      </w:r>
      <w:r>
        <w:t>learning</w:t>
      </w:r>
      <w:r w:rsidR="00B67D8F">
        <w:t xml:space="preserve"> outcomes </w:t>
      </w:r>
      <w:sdt>
        <w:sdtPr>
          <w:id w:val="-1406300495"/>
          <w:citation/>
        </w:sdtPr>
        <w:sdtContent>
          <w:r w:rsidR="00870D93">
            <w:fldChar w:fldCharType="begin"/>
          </w:r>
          <w:r w:rsidR="002C30F7">
            <w:instrText xml:space="preserve"> CITATION Man07 \l 2057 </w:instrText>
          </w:r>
          <w:r w:rsidR="00870D93">
            <w:fldChar w:fldCharType="separate"/>
          </w:r>
          <w:r w:rsidR="009A43C2" w:rsidRPr="009A43C2">
            <w:rPr>
              <w:noProof/>
            </w:rPr>
            <w:t>(Manning, 2007)</w:t>
          </w:r>
          <w:r w:rsidR="00870D93">
            <w:fldChar w:fldCharType="end"/>
          </w:r>
        </w:sdtContent>
      </w:sdt>
      <w:r w:rsidR="002C30F7">
        <w:t>.</w:t>
      </w:r>
    </w:p>
    <w:p w:rsidR="00B67D8F" w:rsidRDefault="00BA6A92" w:rsidP="00E80AD3">
      <w:pPr>
        <w:spacing w:line="360" w:lineRule="auto"/>
      </w:pPr>
      <w:r>
        <w:lastRenderedPageBreak/>
        <w:t>Self-directed</w:t>
      </w:r>
      <w:r w:rsidR="00B67D8F">
        <w:t xml:space="preserve"> learning supports learners to </w:t>
      </w:r>
      <w:r>
        <w:t>develop</w:t>
      </w:r>
      <w:r w:rsidR="00B67D8F">
        <w:t xml:space="preserve"> their own </w:t>
      </w:r>
      <w:r>
        <w:t>capacity</w:t>
      </w:r>
      <w:r w:rsidR="00B67D8F">
        <w:t xml:space="preserve"> to which they can direct their own </w:t>
      </w:r>
      <w:r>
        <w:t>learning</w:t>
      </w:r>
      <w:r w:rsidR="00B67D8F">
        <w:t xml:space="preserve"> process, teaching should support </w:t>
      </w:r>
      <w:r w:rsidR="00E80AD3">
        <w:t>this,</w:t>
      </w:r>
      <w:r w:rsidR="00B67D8F">
        <w:t xml:space="preserve"> and this can be achieved through the transformational approach </w:t>
      </w:r>
      <w:sdt>
        <w:sdtPr>
          <w:id w:val="1327011648"/>
          <w:citation/>
        </w:sdtPr>
        <w:sdtContent>
          <w:r w:rsidR="00870D93">
            <w:fldChar w:fldCharType="begin"/>
          </w:r>
          <w:r w:rsidR="002C30F7">
            <w:instrText xml:space="preserve"> CITATION Bla12 \l 2057 </w:instrText>
          </w:r>
          <w:r w:rsidR="00870D93">
            <w:fldChar w:fldCharType="separate"/>
          </w:r>
          <w:r w:rsidR="009A43C2" w:rsidRPr="009A43C2">
            <w:rPr>
              <w:noProof/>
            </w:rPr>
            <w:t>(Blaschke, 2012)</w:t>
          </w:r>
          <w:r w:rsidR="00870D93">
            <w:fldChar w:fldCharType="end"/>
          </w:r>
        </w:sdtContent>
      </w:sdt>
      <w:r w:rsidR="002C30F7">
        <w:t>.</w:t>
      </w:r>
      <w:r w:rsidR="00B67D8F">
        <w:t xml:space="preserve"> </w:t>
      </w:r>
      <w:r w:rsidR="002C30F7" w:rsidRPr="002C30F7">
        <w:t>T</w:t>
      </w:r>
      <w:r w:rsidR="00B67D8F" w:rsidRPr="002C30F7">
        <w:t xml:space="preserve">ransformational learning attempts </w:t>
      </w:r>
      <w:r w:rsidR="002C30F7">
        <w:t>to create better understanding within people and to construct other ways of thinking within them so that their ideas are broad and fully informed</w:t>
      </w:r>
      <w:r w:rsidR="00B67D8F" w:rsidRPr="002C30F7">
        <w:t>, it follows a process that enables individuals to question their pre conceived ideas</w:t>
      </w:r>
      <w:r w:rsidR="002C30F7">
        <w:t>, resulting in the individual being able to</w:t>
      </w:r>
      <w:r w:rsidR="00B67D8F" w:rsidRPr="002C30F7">
        <w:t xml:space="preserve"> make more inclusive, open, emotionally </w:t>
      </w:r>
      <w:r w:rsidR="002C30F7">
        <w:t>intelligent</w:t>
      </w:r>
      <w:r w:rsidR="00B67D8F" w:rsidRPr="002C30F7">
        <w:t xml:space="preserve"> of change and reflective, so that individuals may generate beliefs and </w:t>
      </w:r>
      <w:r w:rsidRPr="002C30F7">
        <w:t>opinions</w:t>
      </w:r>
      <w:r w:rsidR="00B67D8F" w:rsidRPr="002C30F7">
        <w:t xml:space="preserve"> that will </w:t>
      </w:r>
      <w:r w:rsidR="002C30F7">
        <w:t>lead to better informed, justified and competent action within their particular profession or field of study</w:t>
      </w:r>
      <w:r w:rsidR="00B67D8F">
        <w:t xml:space="preserve"> </w:t>
      </w:r>
      <w:sdt>
        <w:sdtPr>
          <w:id w:val="350843432"/>
          <w:citation/>
        </w:sdtPr>
        <w:sdtContent>
          <w:r w:rsidR="00870D93">
            <w:fldChar w:fldCharType="begin"/>
          </w:r>
          <w:r w:rsidR="00053A18">
            <w:instrText xml:space="preserve"> CITATION Vic16 \l 2057 </w:instrText>
          </w:r>
          <w:r w:rsidR="00870D93">
            <w:fldChar w:fldCharType="separate"/>
          </w:r>
          <w:r w:rsidR="009A43C2" w:rsidRPr="009A43C2">
            <w:rPr>
              <w:noProof/>
            </w:rPr>
            <w:t>(Wang, 2016)</w:t>
          </w:r>
          <w:r w:rsidR="00870D93">
            <w:fldChar w:fldCharType="end"/>
          </w:r>
        </w:sdtContent>
      </w:sdt>
      <w:r w:rsidR="00053A18">
        <w:t>.</w:t>
      </w:r>
      <w:r w:rsidR="00E61141">
        <w:t xml:space="preserve"> There are many changes within the content of this module, that are out of the control of educators. Changes in how children should be cared for or taught is governed by legislation and Government strategy with a focus on research and better outcomes for children, this requires learners to be adaptable and willing to learn and to be continuous learners, the module needed an approach that would change peoples perceptions and almost shape them to become better childcare practitioners. An approach that would transform learning and transform individuals.</w:t>
      </w:r>
    </w:p>
    <w:p w:rsidR="00B67D8F" w:rsidRDefault="00356A77" w:rsidP="00E80AD3">
      <w:pPr>
        <w:spacing w:line="360" w:lineRule="auto"/>
      </w:pPr>
      <w:r>
        <w:t xml:space="preserve">Mezirow (1991) suggests </w:t>
      </w:r>
      <w:r w:rsidR="00B67D8F">
        <w:t>Transformational learning is essentially a learning process</w:t>
      </w:r>
      <w:r w:rsidR="00DA340D">
        <w:t xml:space="preserve"> of making meaning of </w:t>
      </w:r>
      <w:r w:rsidR="00BA6A92">
        <w:t>one’s</w:t>
      </w:r>
      <w:r w:rsidR="00DA340D">
        <w:t xml:space="preserve"> own experiences. According to the transformation learning approach, transformation is the result of several conditions and processes</w:t>
      </w:r>
      <w:r w:rsidR="00053A18">
        <w:t xml:space="preserve"> </w:t>
      </w:r>
      <w:sdt>
        <w:sdtPr>
          <w:id w:val="64231497"/>
          <w:citation/>
        </w:sdtPr>
        <w:sdtContent>
          <w:r w:rsidR="00870D93">
            <w:fldChar w:fldCharType="begin"/>
          </w:r>
          <w:r w:rsidR="00053A18">
            <w:instrText xml:space="preserve"> CITATION Mez91 \l 2057 </w:instrText>
          </w:r>
          <w:r w:rsidR="00870D93">
            <w:fldChar w:fldCharType="separate"/>
          </w:r>
          <w:r w:rsidR="009A43C2" w:rsidRPr="009A43C2">
            <w:rPr>
              <w:noProof/>
            </w:rPr>
            <w:t>(Mezirow, 1991)</w:t>
          </w:r>
          <w:r w:rsidR="00870D93">
            <w:fldChar w:fldCharType="end"/>
          </w:r>
        </w:sdtContent>
      </w:sdt>
      <w:r w:rsidR="00DA340D">
        <w:t>:</w:t>
      </w:r>
    </w:p>
    <w:p w:rsidR="00DA340D" w:rsidRDefault="00DA340D" w:rsidP="00E80AD3">
      <w:pPr>
        <w:pStyle w:val="ListParagraph"/>
        <w:numPr>
          <w:ilvl w:val="0"/>
          <w:numId w:val="2"/>
        </w:numPr>
        <w:spacing w:line="360" w:lineRule="auto"/>
      </w:pPr>
      <w:r>
        <w:t>An event that</w:t>
      </w:r>
      <w:r w:rsidR="00030816">
        <w:t xml:space="preserve"> stimulation or activation </w:t>
      </w:r>
      <w:r w:rsidR="00B723CD">
        <w:t>that allows</w:t>
      </w:r>
      <w:r w:rsidR="00030816">
        <w:t xml:space="preserve"> learners to divulge their current knowledge</w:t>
      </w:r>
      <w:r w:rsidR="00BD5FDC">
        <w:t xml:space="preserve">, this can be achieved by understanding the </w:t>
      </w:r>
      <w:r w:rsidR="00BA6A92">
        <w:t>learner’s</w:t>
      </w:r>
      <w:r w:rsidR="00BD5FDC">
        <w:t xml:space="preserve"> backgrounds. Investing some time as an educator from the beginning to get to know </w:t>
      </w:r>
      <w:r w:rsidR="00BA6A92">
        <w:t>learner’s</w:t>
      </w:r>
      <w:r w:rsidR="00BD5FDC">
        <w:t xml:space="preserve"> backgrounds can support teaching strategies and educators can anticipate what learners believe they know. </w:t>
      </w:r>
      <w:r w:rsidR="00030816">
        <w:t xml:space="preserve">This process is designed to stimulate and trigger learners to examine their own thinking and should support them in identifying any limitations to their overall understanding of a </w:t>
      </w:r>
      <w:r w:rsidR="00B723CD">
        <w:t>topic. This</w:t>
      </w:r>
      <w:r w:rsidR="00BD5FDC">
        <w:t xml:space="preserve"> can be achieved through </w:t>
      </w:r>
      <w:r w:rsidR="00030816">
        <w:t>activities</w:t>
      </w:r>
      <w:r w:rsidR="00BD5FDC">
        <w:t xml:space="preserve">, such as discussions, questioning, </w:t>
      </w:r>
      <w:r w:rsidR="00BA6A92">
        <w:t>tests</w:t>
      </w:r>
      <w:r w:rsidR="00030816">
        <w:t xml:space="preserve"> such as learning styles and </w:t>
      </w:r>
      <w:r w:rsidR="00B723CD">
        <w:t>personality</w:t>
      </w:r>
      <w:r w:rsidR="00030816">
        <w:t xml:space="preserve"> tests</w:t>
      </w:r>
      <w:r w:rsidR="00BD5FDC">
        <w:t>, surveys</w:t>
      </w:r>
      <w:r w:rsidR="00030816">
        <w:t xml:space="preserve">, and through the </w:t>
      </w:r>
      <w:r w:rsidR="00B723CD">
        <w:t>assessment</w:t>
      </w:r>
      <w:r w:rsidR="00030816">
        <w:t xml:space="preserve"> process</w:t>
      </w:r>
      <w:r w:rsidR="00053A18">
        <w:t xml:space="preserve"> </w:t>
      </w:r>
      <w:sdt>
        <w:sdtPr>
          <w:id w:val="1717158017"/>
          <w:citation/>
        </w:sdtPr>
        <w:sdtContent>
          <w:r w:rsidR="00870D93">
            <w:fldChar w:fldCharType="begin"/>
          </w:r>
          <w:r w:rsidR="00053A18">
            <w:instrText xml:space="preserve"> CITATION Jac97 \l 2057 </w:instrText>
          </w:r>
          <w:r w:rsidR="00870D93">
            <w:fldChar w:fldCharType="separate"/>
          </w:r>
          <w:r w:rsidR="009A43C2" w:rsidRPr="009A43C2">
            <w:rPr>
              <w:noProof/>
            </w:rPr>
            <w:t>(Mezirow, 1997)</w:t>
          </w:r>
          <w:r w:rsidR="00870D93">
            <w:fldChar w:fldCharType="end"/>
          </w:r>
        </w:sdtContent>
      </w:sdt>
      <w:r w:rsidR="00053A18">
        <w:t xml:space="preserve"> </w:t>
      </w:r>
      <w:r w:rsidR="00030816">
        <w:t>.</w:t>
      </w:r>
      <w:r w:rsidR="00BD5FDC">
        <w:t xml:space="preserve"> </w:t>
      </w:r>
    </w:p>
    <w:p w:rsidR="00BD5FDC" w:rsidRDefault="0078331D" w:rsidP="00E80AD3">
      <w:pPr>
        <w:pStyle w:val="ListParagraph"/>
        <w:numPr>
          <w:ilvl w:val="0"/>
          <w:numId w:val="2"/>
        </w:numPr>
        <w:spacing w:line="360" w:lineRule="auto"/>
      </w:pPr>
      <w:r>
        <w:t>Opportunities</w:t>
      </w:r>
      <w:r w:rsidR="00BD5FDC">
        <w:t xml:space="preserve"> for the learner to identify and articulate the underlying assumptions in the </w:t>
      </w:r>
      <w:r>
        <w:t>learner’s</w:t>
      </w:r>
      <w:r w:rsidR="00BD5FDC">
        <w:t xml:space="preserve"> current knowledge and approach. The best strategies to achieve this are ones that </w:t>
      </w:r>
      <w:r>
        <w:t>help</w:t>
      </w:r>
      <w:r w:rsidR="00BD5FDC">
        <w:t xml:space="preserve"> learners identify their own current </w:t>
      </w:r>
      <w:r>
        <w:t>assumptions</w:t>
      </w:r>
      <w:r w:rsidR="00BD5FDC">
        <w:t xml:space="preserve"> and being able to </w:t>
      </w:r>
      <w:r>
        <w:t>explain</w:t>
      </w:r>
      <w:r w:rsidR="00BD5FDC">
        <w:t xml:space="preserve"> their thinking. This can be achieved through critical questioning techniques, asking learners to explain their reasoning and then offering them counter- examples, alternative scenarios or differing </w:t>
      </w:r>
      <w:r>
        <w:t>perspectives</w:t>
      </w:r>
      <w:r w:rsidR="00BD5FDC">
        <w:t xml:space="preserve"> that </w:t>
      </w:r>
      <w:r>
        <w:t>challenge</w:t>
      </w:r>
      <w:r w:rsidR="00BD5FDC">
        <w:t xml:space="preserve"> those assumptions</w:t>
      </w:r>
      <w:r w:rsidR="00053A18">
        <w:t xml:space="preserve"> </w:t>
      </w:r>
      <w:sdt>
        <w:sdtPr>
          <w:id w:val="204065955"/>
          <w:citation/>
        </w:sdtPr>
        <w:sdtContent>
          <w:r w:rsidR="00870D93">
            <w:fldChar w:fldCharType="begin"/>
          </w:r>
          <w:r w:rsidR="00053A18">
            <w:instrText xml:space="preserve"> CITATION Jac97 \l 2057 </w:instrText>
          </w:r>
          <w:r w:rsidR="00870D93">
            <w:fldChar w:fldCharType="separate"/>
          </w:r>
          <w:r w:rsidR="009A43C2" w:rsidRPr="009A43C2">
            <w:rPr>
              <w:noProof/>
            </w:rPr>
            <w:t>(Mezirow, 1997)</w:t>
          </w:r>
          <w:r w:rsidR="00870D93">
            <w:fldChar w:fldCharType="end"/>
          </w:r>
        </w:sdtContent>
      </w:sdt>
      <w:r w:rsidR="00BD5FDC">
        <w:t>.</w:t>
      </w:r>
    </w:p>
    <w:p w:rsidR="00BD5FDC" w:rsidRDefault="00BD5FDC" w:rsidP="00E80AD3">
      <w:pPr>
        <w:pStyle w:val="ListParagraph"/>
        <w:numPr>
          <w:ilvl w:val="0"/>
          <w:numId w:val="2"/>
        </w:numPr>
        <w:spacing w:line="360" w:lineRule="auto"/>
      </w:pPr>
      <w:r>
        <w:t xml:space="preserve"> </w:t>
      </w:r>
      <w:r w:rsidR="00030816">
        <w:t>S</w:t>
      </w:r>
      <w:r w:rsidR="0078331D">
        <w:t>elf-reflection</w:t>
      </w:r>
      <w:r w:rsidR="00030816">
        <w:t xml:space="preserve"> is another important element of the transformational theory, </w:t>
      </w:r>
      <w:r w:rsidR="00B723CD">
        <w:t>self-reflection</w:t>
      </w:r>
      <w:r w:rsidR="00030816">
        <w:t xml:space="preserve"> allows learners to consider their own assumptions and where these came from, how they </w:t>
      </w:r>
      <w:r w:rsidR="00030816">
        <w:lastRenderedPageBreak/>
        <w:t xml:space="preserve">have resulted in or influenced </w:t>
      </w:r>
      <w:r w:rsidR="00B723CD">
        <w:t>their</w:t>
      </w:r>
      <w:r w:rsidR="00030816">
        <w:t xml:space="preserve"> understanding and how they have impacted on their learning and understanding of various things. </w:t>
      </w:r>
      <w:r w:rsidR="00B723CD">
        <w:t>Transformational</w:t>
      </w:r>
      <w:r w:rsidR="00030816">
        <w:t xml:space="preserve"> learning requires the learner to individually and privately reflect on classroom content to support them to develop their ideas, thoughts and understanding further.</w:t>
      </w:r>
      <w:r w:rsidR="0078331D">
        <w:t xml:space="preserve"> </w:t>
      </w:r>
      <w:r w:rsidR="00030816">
        <w:t>W</w:t>
      </w:r>
      <w:r w:rsidR="0078331D">
        <w:t>riting</w:t>
      </w:r>
      <w:r>
        <w:t xml:space="preserve"> assignments are an excellent way to encourage learners to engage in critical reflection</w:t>
      </w:r>
      <w:r w:rsidR="00053A18">
        <w:t xml:space="preserve"> </w:t>
      </w:r>
      <w:sdt>
        <w:sdtPr>
          <w:id w:val="1405109507"/>
          <w:citation/>
        </w:sdtPr>
        <w:sdtContent>
          <w:r w:rsidR="00870D93">
            <w:fldChar w:fldCharType="begin"/>
          </w:r>
          <w:r w:rsidR="00053A18">
            <w:instrText xml:space="preserve"> CITATION Jac97 \l 2057 </w:instrText>
          </w:r>
          <w:r w:rsidR="00870D93">
            <w:fldChar w:fldCharType="separate"/>
          </w:r>
          <w:r w:rsidR="009A43C2" w:rsidRPr="009A43C2">
            <w:rPr>
              <w:noProof/>
            </w:rPr>
            <w:t>(Mezirow, 1997)</w:t>
          </w:r>
          <w:r w:rsidR="00870D93">
            <w:fldChar w:fldCharType="end"/>
          </w:r>
        </w:sdtContent>
      </w:sdt>
      <w:r>
        <w:t>.</w:t>
      </w:r>
    </w:p>
    <w:p w:rsidR="00BD5FDC" w:rsidRDefault="008B4CB9" w:rsidP="00E80AD3">
      <w:pPr>
        <w:pStyle w:val="ListParagraph"/>
        <w:numPr>
          <w:ilvl w:val="0"/>
          <w:numId w:val="2"/>
        </w:numPr>
        <w:spacing w:line="360" w:lineRule="auto"/>
      </w:pPr>
      <w:r>
        <w:t xml:space="preserve">Opportunities to test and apply new perspectives for </w:t>
      </w:r>
      <w:r w:rsidR="0078331D">
        <w:t>transformational</w:t>
      </w:r>
      <w:r>
        <w:t xml:space="preserve"> learning to move from thought to action, learning needs </w:t>
      </w:r>
      <w:r w:rsidR="0078331D">
        <w:t>opportunities</w:t>
      </w:r>
      <w:r>
        <w:t xml:space="preserve"> to apply new knowledge. The creation of activities and assignments </w:t>
      </w:r>
      <w:r w:rsidR="0078331D">
        <w:t>that</w:t>
      </w:r>
      <w:r>
        <w:t xml:space="preserve"> empower learners to apply new approaches is paramount in the likelihood of them succeeding. Creating classroom </w:t>
      </w:r>
      <w:r w:rsidR="0078331D">
        <w:t>activities,</w:t>
      </w:r>
      <w:r>
        <w:t xml:space="preserve"> such as role play will give learners the opportunity to try out new perspectives. Asking students to observe and interpret events, experiments, readings or </w:t>
      </w:r>
      <w:r w:rsidR="0078331D">
        <w:t>experiences</w:t>
      </w:r>
      <w:r>
        <w:t xml:space="preserve"> using their own knowledge, </w:t>
      </w:r>
      <w:r w:rsidR="0078331D">
        <w:t>essays and</w:t>
      </w:r>
      <w:r>
        <w:t xml:space="preserve"> poster presentations can be ideal for this purpose</w:t>
      </w:r>
      <w:r w:rsidR="00053A18">
        <w:t xml:space="preserve"> </w:t>
      </w:r>
      <w:sdt>
        <w:sdtPr>
          <w:id w:val="-63575927"/>
          <w:citation/>
        </w:sdtPr>
        <w:sdtContent>
          <w:r w:rsidR="00870D93">
            <w:fldChar w:fldCharType="begin"/>
          </w:r>
          <w:r w:rsidR="00053A18">
            <w:instrText xml:space="preserve"> CITATION Jac97 \l 2057 </w:instrText>
          </w:r>
          <w:r w:rsidR="00870D93">
            <w:fldChar w:fldCharType="separate"/>
          </w:r>
          <w:r w:rsidR="009A43C2" w:rsidRPr="009A43C2">
            <w:rPr>
              <w:noProof/>
            </w:rPr>
            <w:t>(Mezirow, 1997)</w:t>
          </w:r>
          <w:r w:rsidR="00870D93">
            <w:fldChar w:fldCharType="end"/>
          </w:r>
        </w:sdtContent>
      </w:sdt>
      <w:r>
        <w:t>.</w:t>
      </w:r>
    </w:p>
    <w:p w:rsidR="0021449D" w:rsidRDefault="0021449D" w:rsidP="00E80AD3">
      <w:pPr>
        <w:spacing w:line="360" w:lineRule="auto"/>
      </w:pPr>
      <w:r>
        <w:t xml:space="preserve">BA Degrees related to Childcare and Education studies often provide learners with a broad range of </w:t>
      </w:r>
      <w:r w:rsidR="0097493B">
        <w:t>interdisciplinary</w:t>
      </w:r>
      <w:r>
        <w:t xml:space="preserve"> approaches to enhance their understanding of childhood. Course content is firmly linked to anthropology, education, psychology, sociology and social policy. Critical examination of </w:t>
      </w:r>
      <w:r w:rsidR="0097493B">
        <w:t>these</w:t>
      </w:r>
      <w:r>
        <w:t xml:space="preserve"> subjects is often a requirement as well as the examination of current social and political questions and debates on childhoods and child related holistic topics in the United Kingdom and internationally. Childhood studies within higher education often offer holistic approaches to understanding children, with children at the heart of all approaches</w:t>
      </w:r>
      <w:r w:rsidR="0097493B">
        <w:t>. Opportunities within these subject areas often provide learners with meaningful experiences, such as placements to gain practical experience and an opportunity to apply theoretical knowledge</w:t>
      </w:r>
      <w:r w:rsidR="008B4CB9">
        <w:t xml:space="preserve">. </w:t>
      </w:r>
      <w:r w:rsidR="00750C16">
        <w:t xml:space="preserve">The application of </w:t>
      </w:r>
      <w:r w:rsidR="0078331D">
        <w:t>andragogy</w:t>
      </w:r>
      <w:r w:rsidR="00750C16">
        <w:t xml:space="preserve"> and transformational learning as the creation and delivery of such courses provide </w:t>
      </w:r>
      <w:r w:rsidR="0078331D">
        <w:t>opportunities</w:t>
      </w:r>
      <w:r w:rsidR="00750C16">
        <w:t xml:space="preserve"> to challenge, </w:t>
      </w:r>
      <w:r w:rsidR="0078331D">
        <w:t>encourage</w:t>
      </w:r>
      <w:r w:rsidR="00750C16">
        <w:t xml:space="preserve"> active learning, enrich </w:t>
      </w:r>
      <w:r w:rsidR="0078331D">
        <w:t>educational</w:t>
      </w:r>
      <w:r w:rsidR="00750C16">
        <w:t xml:space="preserve"> experiences and develop a supportive environment</w:t>
      </w:r>
      <w:r w:rsidR="00C212EF">
        <w:t xml:space="preserve"> </w:t>
      </w:r>
      <w:sdt>
        <w:sdtPr>
          <w:id w:val="2114547209"/>
          <w:citation/>
        </w:sdtPr>
        <w:sdtContent>
          <w:r w:rsidR="00870D93">
            <w:fldChar w:fldCharType="begin"/>
          </w:r>
          <w:r w:rsidR="00C212EF">
            <w:instrText xml:space="preserve"> CITATION Bla12 \l 2057 </w:instrText>
          </w:r>
          <w:r w:rsidR="00870D93">
            <w:fldChar w:fldCharType="separate"/>
          </w:r>
          <w:r w:rsidR="009A43C2" w:rsidRPr="009A43C2">
            <w:rPr>
              <w:noProof/>
            </w:rPr>
            <w:t>(Blaschke, 2012)</w:t>
          </w:r>
          <w:r w:rsidR="00870D93">
            <w:fldChar w:fldCharType="end"/>
          </w:r>
        </w:sdtContent>
      </w:sdt>
      <w:r w:rsidR="00750C16">
        <w:t>. Engagement in this process involve</w:t>
      </w:r>
      <w:r w:rsidR="00E61141">
        <w:t>s</w:t>
      </w:r>
      <w:r w:rsidR="00750C16">
        <w:t xml:space="preserve"> the student, the teacher, the institution and the learning context. It </w:t>
      </w:r>
      <w:r w:rsidR="00E61141">
        <w:t>requires</w:t>
      </w:r>
      <w:r w:rsidR="00750C16">
        <w:t xml:space="preserve"> a meta- construct that brings together various threads of teaching and learning that can lead to student success, reminiscent of the </w:t>
      </w:r>
      <w:r w:rsidR="00886F90">
        <w:t xml:space="preserve">Three </w:t>
      </w:r>
      <w:r w:rsidR="00750C16">
        <w:t>P</w:t>
      </w:r>
      <w:r w:rsidR="00886F90">
        <w:t>`s</w:t>
      </w:r>
      <w:r w:rsidR="00750C16">
        <w:t xml:space="preserve"> concept</w:t>
      </w:r>
      <w:r w:rsidR="00886F90">
        <w:t xml:space="preserve"> </w:t>
      </w:r>
      <w:sdt>
        <w:sdtPr>
          <w:id w:val="497924359"/>
          <w:citation/>
        </w:sdtPr>
        <w:sdtContent>
          <w:r w:rsidR="00870D93">
            <w:fldChar w:fldCharType="begin"/>
          </w:r>
          <w:r w:rsidR="00886F90">
            <w:instrText xml:space="preserve"> CITATION Gos14 \l 2057 </w:instrText>
          </w:r>
          <w:r w:rsidR="00870D93">
            <w:fldChar w:fldCharType="separate"/>
          </w:r>
          <w:r w:rsidR="009A43C2" w:rsidRPr="009A43C2">
            <w:rPr>
              <w:noProof/>
            </w:rPr>
            <w:t>(Gosper &amp; Ifenthaler, 2014)</w:t>
          </w:r>
          <w:r w:rsidR="00870D93">
            <w:fldChar w:fldCharType="end"/>
          </w:r>
        </w:sdtContent>
      </w:sdt>
      <w:r w:rsidR="00886F90">
        <w:t xml:space="preserve"> </w:t>
      </w:r>
      <w:r w:rsidR="00750C16">
        <w:t xml:space="preserve">. </w:t>
      </w:r>
      <w:r w:rsidR="00BA6A92">
        <w:t xml:space="preserve">And as a </w:t>
      </w:r>
      <w:r w:rsidR="0078331D">
        <w:t>result,</w:t>
      </w:r>
      <w:r w:rsidR="00BA6A92">
        <w:t xml:space="preserve"> learning will take the form of deeper learning</w:t>
      </w:r>
      <w:r w:rsidR="00BA6A92">
        <w:rPr>
          <w:rFonts w:cstheme="minorHAnsi"/>
          <w:sz w:val="24"/>
          <w:szCs w:val="24"/>
        </w:rPr>
        <w:t>, this is where the</w:t>
      </w:r>
      <w:r w:rsidR="00030816">
        <w:rPr>
          <w:rFonts w:cstheme="minorHAnsi"/>
          <w:sz w:val="24"/>
          <w:szCs w:val="24"/>
        </w:rPr>
        <w:t xml:space="preserve"> learner</w:t>
      </w:r>
      <w:r w:rsidR="00BA6A92" w:rsidRPr="00A712F7">
        <w:rPr>
          <w:rFonts w:cstheme="minorHAnsi"/>
          <w:sz w:val="24"/>
          <w:szCs w:val="24"/>
        </w:rPr>
        <w:t xml:space="preserve"> </w:t>
      </w:r>
      <w:r w:rsidR="00BA6A92">
        <w:rPr>
          <w:rFonts w:cstheme="minorHAnsi"/>
          <w:sz w:val="24"/>
          <w:szCs w:val="24"/>
        </w:rPr>
        <w:t xml:space="preserve">reaches beyond the stages of </w:t>
      </w:r>
      <w:r w:rsidR="00030816">
        <w:rPr>
          <w:rFonts w:cstheme="minorHAnsi"/>
          <w:sz w:val="24"/>
          <w:szCs w:val="24"/>
        </w:rPr>
        <w:t>assimilated learning</w:t>
      </w:r>
      <w:r w:rsidR="0078331D">
        <w:rPr>
          <w:rFonts w:cstheme="minorHAnsi"/>
          <w:sz w:val="24"/>
          <w:szCs w:val="24"/>
        </w:rPr>
        <w:t xml:space="preserve"> and</w:t>
      </w:r>
      <w:r w:rsidR="00BA6A92">
        <w:rPr>
          <w:rFonts w:cstheme="minorHAnsi"/>
          <w:sz w:val="24"/>
          <w:szCs w:val="24"/>
        </w:rPr>
        <w:t xml:space="preserve"> attempts to seek meanings and better understandings of ideas</w:t>
      </w:r>
      <w:r w:rsidR="00886F90">
        <w:rPr>
          <w:rFonts w:cstheme="minorHAnsi"/>
          <w:sz w:val="24"/>
          <w:szCs w:val="24"/>
        </w:rPr>
        <w:t xml:space="preserve"> </w:t>
      </w:r>
      <w:sdt>
        <w:sdtPr>
          <w:rPr>
            <w:rFonts w:cstheme="minorHAnsi"/>
            <w:sz w:val="24"/>
            <w:szCs w:val="24"/>
          </w:rPr>
          <w:id w:val="1869182796"/>
          <w:citation/>
        </w:sdtPr>
        <w:sdtContent>
          <w:r w:rsidR="00870D93">
            <w:rPr>
              <w:rFonts w:cstheme="minorHAnsi"/>
              <w:sz w:val="24"/>
              <w:szCs w:val="24"/>
            </w:rPr>
            <w:fldChar w:fldCharType="begin"/>
          </w:r>
          <w:r w:rsidR="00886F90">
            <w:rPr>
              <w:rFonts w:cstheme="minorHAnsi"/>
              <w:sz w:val="24"/>
              <w:szCs w:val="24"/>
            </w:rPr>
            <w:instrText xml:space="preserve"> CITATION Ent15 \l 2057 </w:instrText>
          </w:r>
          <w:r w:rsidR="00870D93">
            <w:rPr>
              <w:rFonts w:cstheme="minorHAnsi"/>
              <w:sz w:val="24"/>
              <w:szCs w:val="24"/>
            </w:rPr>
            <w:fldChar w:fldCharType="separate"/>
          </w:r>
          <w:r w:rsidR="009A43C2" w:rsidRPr="009A43C2">
            <w:rPr>
              <w:rFonts w:cstheme="minorHAnsi"/>
              <w:noProof/>
              <w:sz w:val="24"/>
              <w:szCs w:val="24"/>
            </w:rPr>
            <w:t>(Entwistle &amp; Ramsden, 2015)</w:t>
          </w:r>
          <w:r w:rsidR="00870D93">
            <w:rPr>
              <w:rFonts w:cstheme="minorHAnsi"/>
              <w:sz w:val="24"/>
              <w:szCs w:val="24"/>
            </w:rPr>
            <w:fldChar w:fldCharType="end"/>
          </w:r>
        </w:sdtContent>
      </w:sdt>
      <w:r w:rsidR="00BA6A92" w:rsidRPr="00A712F7">
        <w:rPr>
          <w:rFonts w:cstheme="minorHAnsi"/>
          <w:sz w:val="24"/>
          <w:szCs w:val="24"/>
        </w:rPr>
        <w:t>.</w:t>
      </w:r>
      <w:r w:rsidR="00BA6A92">
        <w:rPr>
          <w:rFonts w:cstheme="minorHAnsi"/>
          <w:sz w:val="24"/>
          <w:szCs w:val="24"/>
        </w:rPr>
        <w:t xml:space="preserve"> </w:t>
      </w:r>
      <w:r w:rsidR="00030816">
        <w:rPr>
          <w:rFonts w:cstheme="minorHAnsi"/>
          <w:sz w:val="24"/>
          <w:szCs w:val="24"/>
        </w:rPr>
        <w:t xml:space="preserve">Learners will develop </w:t>
      </w:r>
      <w:r w:rsidR="00BA6A92" w:rsidRPr="00A712F7">
        <w:rPr>
          <w:rFonts w:cstheme="minorHAnsi"/>
          <w:sz w:val="24"/>
          <w:szCs w:val="24"/>
        </w:rPr>
        <w:t xml:space="preserve">an intrinsic interest in the task and </w:t>
      </w:r>
      <w:r w:rsidR="00B723CD" w:rsidRPr="00A712F7">
        <w:rPr>
          <w:rFonts w:cstheme="minorHAnsi"/>
          <w:sz w:val="24"/>
          <w:szCs w:val="24"/>
        </w:rPr>
        <w:t>a</w:t>
      </w:r>
      <w:r w:rsidR="00BA6A92" w:rsidRPr="00A712F7">
        <w:rPr>
          <w:rFonts w:cstheme="minorHAnsi"/>
          <w:sz w:val="24"/>
          <w:szCs w:val="24"/>
        </w:rPr>
        <w:t xml:space="preserve"> </w:t>
      </w:r>
      <w:r w:rsidR="00030816">
        <w:rPr>
          <w:rFonts w:cstheme="minorHAnsi"/>
          <w:sz w:val="24"/>
          <w:szCs w:val="24"/>
        </w:rPr>
        <w:t>this will be reflected in their motivation to learn and their</w:t>
      </w:r>
      <w:r w:rsidR="00BA6A92" w:rsidRPr="00A712F7">
        <w:rPr>
          <w:rFonts w:cstheme="minorHAnsi"/>
          <w:sz w:val="24"/>
          <w:szCs w:val="24"/>
        </w:rPr>
        <w:t xml:space="preserve"> enjoyment in carrying it out. </w:t>
      </w:r>
      <w:r w:rsidR="00BA6A92">
        <w:rPr>
          <w:rFonts w:cstheme="minorHAnsi"/>
          <w:sz w:val="24"/>
          <w:szCs w:val="24"/>
        </w:rPr>
        <w:t xml:space="preserve">Learners who are </w:t>
      </w:r>
      <w:r w:rsidR="0078331D">
        <w:rPr>
          <w:rFonts w:cstheme="minorHAnsi"/>
          <w:sz w:val="24"/>
          <w:szCs w:val="24"/>
        </w:rPr>
        <w:t>characterised</w:t>
      </w:r>
      <w:r w:rsidR="00BA6A92">
        <w:rPr>
          <w:rFonts w:cstheme="minorHAnsi"/>
          <w:sz w:val="24"/>
          <w:szCs w:val="24"/>
        </w:rPr>
        <w:t xml:space="preserve"> as deep learners will develop</w:t>
      </w:r>
      <w:r w:rsidR="00BA6A92" w:rsidRPr="00A712F7">
        <w:rPr>
          <w:rFonts w:cstheme="minorHAnsi"/>
          <w:sz w:val="24"/>
          <w:szCs w:val="24"/>
        </w:rPr>
        <w:t xml:space="preserve"> strategies that help satisfy their curiosity, such as making the task </w:t>
      </w:r>
      <w:r w:rsidR="00030816">
        <w:rPr>
          <w:rFonts w:cstheme="minorHAnsi"/>
          <w:sz w:val="24"/>
          <w:szCs w:val="24"/>
        </w:rPr>
        <w:t>relevant</w:t>
      </w:r>
      <w:r w:rsidR="00BA6A92" w:rsidRPr="00A712F7">
        <w:rPr>
          <w:rFonts w:cstheme="minorHAnsi"/>
          <w:sz w:val="24"/>
          <w:szCs w:val="24"/>
        </w:rPr>
        <w:t xml:space="preserve"> with their own experiences, </w:t>
      </w:r>
      <w:r w:rsidR="00BA6A92">
        <w:rPr>
          <w:rFonts w:cstheme="minorHAnsi"/>
          <w:sz w:val="24"/>
          <w:szCs w:val="24"/>
        </w:rPr>
        <w:t xml:space="preserve">they will seek to discuss various </w:t>
      </w:r>
      <w:r w:rsidR="00BA6A92">
        <w:rPr>
          <w:rFonts w:cstheme="minorHAnsi"/>
          <w:sz w:val="24"/>
          <w:szCs w:val="24"/>
        </w:rPr>
        <w:lastRenderedPageBreak/>
        <w:t>perspectives and arguments and will seek out evidence and experiences that support these</w:t>
      </w:r>
      <w:r w:rsidR="00886F90">
        <w:rPr>
          <w:rFonts w:cstheme="minorHAnsi"/>
          <w:sz w:val="24"/>
          <w:szCs w:val="24"/>
        </w:rPr>
        <w:t xml:space="preserve"> </w:t>
      </w:r>
      <w:sdt>
        <w:sdtPr>
          <w:rPr>
            <w:rFonts w:cstheme="minorHAnsi"/>
            <w:sz w:val="24"/>
            <w:szCs w:val="24"/>
          </w:rPr>
          <w:id w:val="703449489"/>
          <w:citation/>
        </w:sdtPr>
        <w:sdtContent>
          <w:r w:rsidR="00870D93">
            <w:rPr>
              <w:rFonts w:cstheme="minorHAnsi"/>
              <w:sz w:val="24"/>
              <w:szCs w:val="24"/>
            </w:rPr>
            <w:fldChar w:fldCharType="begin"/>
          </w:r>
          <w:r w:rsidR="00886F90">
            <w:rPr>
              <w:rFonts w:cstheme="minorHAnsi"/>
              <w:sz w:val="24"/>
              <w:szCs w:val="24"/>
            </w:rPr>
            <w:instrText xml:space="preserve"> CITATION Ste13 \l 2057 </w:instrText>
          </w:r>
          <w:r w:rsidR="00870D93">
            <w:rPr>
              <w:rFonts w:cstheme="minorHAnsi"/>
              <w:sz w:val="24"/>
              <w:szCs w:val="24"/>
            </w:rPr>
            <w:fldChar w:fldCharType="separate"/>
          </w:r>
          <w:r w:rsidR="009A43C2" w:rsidRPr="009A43C2">
            <w:rPr>
              <w:rFonts w:cstheme="minorHAnsi"/>
              <w:noProof/>
              <w:sz w:val="24"/>
              <w:szCs w:val="24"/>
            </w:rPr>
            <w:t>(Draper, 2013)</w:t>
          </w:r>
          <w:r w:rsidR="00870D93">
            <w:rPr>
              <w:rFonts w:cstheme="minorHAnsi"/>
              <w:sz w:val="24"/>
              <w:szCs w:val="24"/>
            </w:rPr>
            <w:fldChar w:fldCharType="end"/>
          </w:r>
        </w:sdtContent>
      </w:sdt>
      <w:r w:rsidR="00BA6A92">
        <w:rPr>
          <w:rFonts w:cstheme="minorHAnsi"/>
          <w:sz w:val="24"/>
          <w:szCs w:val="24"/>
        </w:rPr>
        <w:t>. Deep learners will l</w:t>
      </w:r>
      <w:r w:rsidR="00BA6A92" w:rsidRPr="00A712F7">
        <w:rPr>
          <w:rFonts w:cstheme="minorHAnsi"/>
          <w:sz w:val="24"/>
          <w:szCs w:val="24"/>
        </w:rPr>
        <w:t xml:space="preserve">ook for patterns and </w:t>
      </w:r>
      <w:r w:rsidR="00030816">
        <w:rPr>
          <w:rFonts w:cstheme="minorHAnsi"/>
          <w:sz w:val="24"/>
          <w:szCs w:val="24"/>
        </w:rPr>
        <w:t>further research, arguments and perspectives</w:t>
      </w:r>
      <w:r w:rsidR="00BA6A92" w:rsidRPr="00A712F7">
        <w:rPr>
          <w:rFonts w:cstheme="minorHAnsi"/>
          <w:sz w:val="24"/>
          <w:szCs w:val="24"/>
        </w:rPr>
        <w:t xml:space="preserve">, integrating the task with existing </w:t>
      </w:r>
      <w:r w:rsidR="00B723CD" w:rsidRPr="00A712F7">
        <w:rPr>
          <w:rFonts w:cstheme="minorHAnsi"/>
          <w:sz w:val="24"/>
          <w:szCs w:val="24"/>
        </w:rPr>
        <w:t>awareness</w:t>
      </w:r>
      <w:r w:rsidR="00BA6A92" w:rsidRPr="00A712F7">
        <w:rPr>
          <w:rFonts w:cstheme="minorHAnsi"/>
          <w:sz w:val="24"/>
          <w:szCs w:val="24"/>
        </w:rPr>
        <w:t>. Overall, they will have a focus on the relationship in the argument, the message or the relationship</w:t>
      </w:r>
      <w:r w:rsidR="00030816">
        <w:rPr>
          <w:rFonts w:cstheme="minorHAnsi"/>
          <w:sz w:val="24"/>
          <w:szCs w:val="24"/>
        </w:rPr>
        <w:t xml:space="preserve"> between what they knew, what they now know and how this is implemented into their professional practice</w:t>
      </w:r>
      <w:r w:rsidR="00886F90">
        <w:rPr>
          <w:rFonts w:cstheme="minorHAnsi"/>
          <w:sz w:val="24"/>
          <w:szCs w:val="24"/>
        </w:rPr>
        <w:t xml:space="preserve"> </w:t>
      </w:r>
      <w:sdt>
        <w:sdtPr>
          <w:rPr>
            <w:rFonts w:cstheme="minorHAnsi"/>
            <w:sz w:val="24"/>
            <w:szCs w:val="24"/>
          </w:rPr>
          <w:id w:val="1919436676"/>
          <w:citation/>
        </w:sdtPr>
        <w:sdtContent>
          <w:r w:rsidR="00870D93">
            <w:rPr>
              <w:rFonts w:cstheme="minorHAnsi"/>
              <w:sz w:val="24"/>
              <w:szCs w:val="24"/>
            </w:rPr>
            <w:fldChar w:fldCharType="begin"/>
          </w:r>
          <w:r w:rsidR="00886F90">
            <w:rPr>
              <w:rFonts w:cstheme="minorHAnsi"/>
              <w:sz w:val="24"/>
              <w:szCs w:val="24"/>
            </w:rPr>
            <w:instrText xml:space="preserve"> CITATION Ste13 \l 2057 </w:instrText>
          </w:r>
          <w:r w:rsidR="00870D93">
            <w:rPr>
              <w:rFonts w:cstheme="minorHAnsi"/>
              <w:sz w:val="24"/>
              <w:szCs w:val="24"/>
            </w:rPr>
            <w:fldChar w:fldCharType="separate"/>
          </w:r>
          <w:r w:rsidR="009A43C2" w:rsidRPr="009A43C2">
            <w:rPr>
              <w:rFonts w:cstheme="minorHAnsi"/>
              <w:noProof/>
              <w:sz w:val="24"/>
              <w:szCs w:val="24"/>
            </w:rPr>
            <w:t>(Draper, 2013)</w:t>
          </w:r>
          <w:r w:rsidR="00870D93">
            <w:rPr>
              <w:rFonts w:cstheme="minorHAnsi"/>
              <w:sz w:val="24"/>
              <w:szCs w:val="24"/>
            </w:rPr>
            <w:fldChar w:fldCharType="end"/>
          </w:r>
        </w:sdtContent>
      </w:sdt>
      <w:r w:rsidR="00BA6A92" w:rsidRPr="00A712F7">
        <w:rPr>
          <w:rFonts w:cstheme="minorHAnsi"/>
          <w:sz w:val="24"/>
          <w:szCs w:val="24"/>
        </w:rPr>
        <w:t>.</w:t>
      </w:r>
      <w:r w:rsidR="00E61141">
        <w:rPr>
          <w:rFonts w:cstheme="minorHAnsi"/>
          <w:sz w:val="24"/>
          <w:szCs w:val="24"/>
        </w:rPr>
        <w:t xml:space="preserve"> This module was researched, designed and resourced highlighting the need to encourage deeper learning within students.</w:t>
      </w:r>
    </w:p>
    <w:sdt>
      <w:sdtPr>
        <w:rPr>
          <w:rFonts w:asciiTheme="minorHAnsi" w:eastAsiaTheme="minorHAnsi" w:hAnsiTheme="minorHAnsi" w:cstheme="minorBidi"/>
          <w:color w:val="auto"/>
          <w:sz w:val="22"/>
          <w:szCs w:val="22"/>
          <w:lang w:val="en-GB"/>
        </w:rPr>
        <w:id w:val="1326085954"/>
        <w:docPartObj>
          <w:docPartGallery w:val="Bibliographies"/>
          <w:docPartUnique/>
        </w:docPartObj>
      </w:sdtPr>
      <w:sdtContent>
        <w:p w:rsidR="00230F9C" w:rsidRDefault="00230F9C">
          <w:pPr>
            <w:pStyle w:val="Heading1"/>
            <w:rPr>
              <w:rFonts w:asciiTheme="minorHAnsi" w:eastAsiaTheme="minorHAnsi" w:hAnsiTheme="minorHAnsi" w:cstheme="minorBidi"/>
              <w:color w:val="auto"/>
              <w:sz w:val="22"/>
              <w:szCs w:val="22"/>
              <w:lang w:val="en-GB"/>
            </w:rPr>
          </w:pPr>
        </w:p>
        <w:p w:rsidR="00230F9C" w:rsidRDefault="00230F9C">
          <w:pPr>
            <w:pStyle w:val="Heading1"/>
          </w:pPr>
        </w:p>
        <w:p w:rsidR="00230F9C" w:rsidRDefault="00230F9C">
          <w:pPr>
            <w:pStyle w:val="Heading1"/>
          </w:pPr>
        </w:p>
        <w:p w:rsidR="00230F9C" w:rsidRDefault="00230F9C">
          <w:pPr>
            <w:pStyle w:val="Heading1"/>
          </w:pPr>
        </w:p>
        <w:p w:rsidR="00230F9C" w:rsidRDefault="00230F9C">
          <w:pPr>
            <w:pStyle w:val="Heading1"/>
          </w:pPr>
        </w:p>
        <w:p w:rsidR="00230F9C" w:rsidRDefault="00230F9C">
          <w:pPr>
            <w:pStyle w:val="Heading1"/>
          </w:pPr>
        </w:p>
        <w:p w:rsidR="001952D2" w:rsidRDefault="001952D2">
          <w:pPr>
            <w:pStyle w:val="Heading1"/>
          </w:pPr>
          <w:r>
            <w:t>References</w:t>
          </w:r>
        </w:p>
        <w:sdt>
          <w:sdtPr>
            <w:id w:val="-573587230"/>
            <w:bibliography/>
          </w:sdtPr>
          <w:sdtContent>
            <w:p w:rsidR="009A43C2" w:rsidRDefault="00870D93" w:rsidP="009A43C2">
              <w:pPr>
                <w:pStyle w:val="Bibliography"/>
                <w:rPr>
                  <w:noProof/>
                  <w:sz w:val="24"/>
                  <w:szCs w:val="24"/>
                  <w:lang w:val="en-US"/>
                </w:rPr>
              </w:pPr>
              <w:r w:rsidRPr="00870D93">
                <w:fldChar w:fldCharType="begin"/>
              </w:r>
              <w:r w:rsidR="001952D2">
                <w:instrText xml:space="preserve"> BIBLIOGRAPHY </w:instrText>
              </w:r>
              <w:r w:rsidRPr="00870D93">
                <w:fldChar w:fldCharType="separate"/>
              </w:r>
              <w:r w:rsidR="009A43C2">
                <w:rPr>
                  <w:noProof/>
                  <w:lang w:val="en-US"/>
                </w:rPr>
                <w:t xml:space="preserve">Bambacas, M. &amp; Sanderson, G., 2011. Institutional preferences of students in transnational Chinese and English MBA program. </w:t>
              </w:r>
              <w:r w:rsidR="009A43C2">
                <w:rPr>
                  <w:i/>
                  <w:iCs/>
                  <w:noProof/>
                  <w:lang w:val="en-US"/>
                </w:rPr>
                <w:t xml:space="preserve">Journal of University teaching and learning practice, </w:t>
              </w:r>
              <w:r w:rsidR="009A43C2">
                <w:rPr>
                  <w:noProof/>
                  <w:lang w:val="en-US"/>
                </w:rPr>
                <w:t>8(1).</w:t>
              </w:r>
            </w:p>
            <w:p w:rsidR="009A43C2" w:rsidRDefault="009A43C2" w:rsidP="009A43C2">
              <w:pPr>
                <w:pStyle w:val="Bibliography"/>
                <w:rPr>
                  <w:noProof/>
                  <w:lang w:val="en-US"/>
                </w:rPr>
              </w:pPr>
              <w:r>
                <w:rPr>
                  <w:noProof/>
                  <w:lang w:val="en-US"/>
                </w:rPr>
                <w:t xml:space="preserve">Bennett, S., Agostinho, S. &amp; Lockyer, L., 2016. The process of designing for learning: Understanding Univedrsity teachers` design work. </w:t>
              </w:r>
              <w:r>
                <w:rPr>
                  <w:i/>
                  <w:iCs/>
                  <w:noProof/>
                  <w:lang w:val="en-US"/>
                </w:rPr>
                <w:t xml:space="preserve">Education Technology Research and Development, </w:t>
              </w:r>
              <w:r>
                <w:rPr>
                  <w:noProof/>
                  <w:lang w:val="en-US"/>
                </w:rPr>
                <w:t>65(1), pp. 125- 145.</w:t>
              </w:r>
            </w:p>
            <w:p w:rsidR="009A43C2" w:rsidRDefault="009A43C2" w:rsidP="009A43C2">
              <w:pPr>
                <w:pStyle w:val="Bibliography"/>
                <w:rPr>
                  <w:noProof/>
                  <w:lang w:val="en-US"/>
                </w:rPr>
              </w:pPr>
              <w:r>
                <w:rPr>
                  <w:noProof/>
                  <w:lang w:val="en-US"/>
                </w:rPr>
                <w:t xml:space="preserve">Biggs, J., 2003. </w:t>
              </w:r>
              <w:r>
                <w:rPr>
                  <w:i/>
                  <w:iCs/>
                  <w:noProof/>
                  <w:lang w:val="en-US"/>
                </w:rPr>
                <w:t xml:space="preserve">Aligning teaching for constructing learning. </w:t>
              </w:r>
              <w:r>
                <w:rPr>
                  <w:noProof/>
                  <w:lang w:val="en-US"/>
                </w:rPr>
                <w:t xml:space="preserve">[Online] </w:t>
              </w:r>
              <w:r>
                <w:rPr>
                  <w:noProof/>
                  <w:lang w:val="en-US"/>
                </w:rPr>
                <w:br/>
                <w:t xml:space="preserve">Available at: </w:t>
              </w:r>
              <w:r>
                <w:rPr>
                  <w:noProof/>
                  <w:u w:val="single"/>
                  <w:lang w:val="en-US"/>
                </w:rPr>
                <w:t>https://www.heacademy.ac.uk/system/files/resources/id477_aligning_teaching_for_constructing_learning.pdf</w:t>
              </w:r>
              <w:r>
                <w:rPr>
                  <w:noProof/>
                  <w:lang w:val="en-US"/>
                </w:rPr>
                <w:br/>
                <w:t>[Accessed 18 February 2018].</w:t>
              </w:r>
            </w:p>
            <w:p w:rsidR="009A43C2" w:rsidRDefault="009A43C2" w:rsidP="009A43C2">
              <w:pPr>
                <w:pStyle w:val="Bibliography"/>
                <w:rPr>
                  <w:noProof/>
                  <w:lang w:val="en-US"/>
                </w:rPr>
              </w:pPr>
              <w:r>
                <w:rPr>
                  <w:noProof/>
                  <w:lang w:val="en-US"/>
                </w:rPr>
                <w:t xml:space="preserve">Biggs, J. &amp; Tang, C., 2011. </w:t>
              </w:r>
              <w:r>
                <w:rPr>
                  <w:i/>
                  <w:iCs/>
                  <w:noProof/>
                  <w:lang w:val="en-US"/>
                </w:rPr>
                <w:t xml:space="preserve">Teaching for quality learning at University. </w:t>
              </w:r>
              <w:r>
                <w:rPr>
                  <w:noProof/>
                  <w:lang w:val="en-US"/>
                </w:rPr>
                <w:t>4 ed. Berkshire: Open University Press.</w:t>
              </w:r>
            </w:p>
            <w:p w:rsidR="009A43C2" w:rsidRDefault="009A43C2" w:rsidP="009A43C2">
              <w:pPr>
                <w:pStyle w:val="Bibliography"/>
                <w:rPr>
                  <w:noProof/>
                  <w:lang w:val="en-US"/>
                </w:rPr>
              </w:pPr>
              <w:r>
                <w:rPr>
                  <w:noProof/>
                  <w:lang w:val="en-US"/>
                </w:rPr>
                <w:t xml:space="preserve">Blaschke, L. M., 2012. Heutagogy and Lifelong Learning; A review of Heutagogical practice and self determined learning. </w:t>
              </w:r>
              <w:r>
                <w:rPr>
                  <w:i/>
                  <w:iCs/>
                  <w:noProof/>
                  <w:lang w:val="en-US"/>
                </w:rPr>
                <w:t xml:space="preserve">International Review of Research In Open and Distance Learning, </w:t>
              </w:r>
              <w:r>
                <w:rPr>
                  <w:noProof/>
                  <w:lang w:val="en-US"/>
                </w:rPr>
                <w:t>13(1).</w:t>
              </w:r>
            </w:p>
            <w:p w:rsidR="009A43C2" w:rsidRDefault="009A43C2" w:rsidP="009A43C2">
              <w:pPr>
                <w:pStyle w:val="Bibliography"/>
                <w:rPr>
                  <w:noProof/>
                  <w:lang w:val="en-US"/>
                </w:rPr>
              </w:pPr>
              <w:r>
                <w:rPr>
                  <w:noProof/>
                  <w:lang w:val="en-US"/>
                </w:rPr>
                <w:t xml:space="preserve">Cassidy, S., 2010. Learning styles: An overview of theories, models and measures. </w:t>
              </w:r>
              <w:r>
                <w:rPr>
                  <w:i/>
                  <w:iCs/>
                  <w:noProof/>
                  <w:lang w:val="en-US"/>
                </w:rPr>
                <w:t xml:space="preserve">Education Psychology: An international journal of experiments, education and psychology, </w:t>
              </w:r>
              <w:r>
                <w:rPr>
                  <w:noProof/>
                  <w:lang w:val="en-US"/>
                </w:rPr>
                <w:t>pp. 419- 444.</w:t>
              </w:r>
            </w:p>
            <w:p w:rsidR="009A43C2" w:rsidRDefault="009A43C2" w:rsidP="009A43C2">
              <w:pPr>
                <w:pStyle w:val="Bibliography"/>
                <w:rPr>
                  <w:noProof/>
                  <w:lang w:val="en-US"/>
                </w:rPr>
              </w:pPr>
              <w:r>
                <w:rPr>
                  <w:noProof/>
                  <w:lang w:val="en-US"/>
                </w:rPr>
                <w:lastRenderedPageBreak/>
                <w:t xml:space="preserve">Draper, S., 2013. </w:t>
              </w:r>
              <w:r>
                <w:rPr>
                  <w:i/>
                  <w:iCs/>
                  <w:noProof/>
                  <w:lang w:val="en-US"/>
                </w:rPr>
                <w:t xml:space="preserve">Deep and Surface Learning: The literature. </w:t>
              </w:r>
              <w:r>
                <w:rPr>
                  <w:noProof/>
                  <w:lang w:val="en-US"/>
                </w:rPr>
                <w:t xml:space="preserve">[Online] </w:t>
              </w:r>
              <w:r>
                <w:rPr>
                  <w:noProof/>
                  <w:lang w:val="en-US"/>
                </w:rPr>
                <w:br/>
                <w:t xml:space="preserve">Available at: </w:t>
              </w:r>
              <w:r>
                <w:rPr>
                  <w:noProof/>
                  <w:u w:val="single"/>
                  <w:lang w:val="en-US"/>
                </w:rPr>
                <w:t>http://www.psy.gla.ac.uk/~steve/courses/archive/CERE12-13-safari-archive/topic9/webarchive-index.html</w:t>
              </w:r>
            </w:p>
            <w:p w:rsidR="009A43C2" w:rsidRDefault="009A43C2" w:rsidP="009A43C2">
              <w:pPr>
                <w:pStyle w:val="Bibliography"/>
                <w:rPr>
                  <w:noProof/>
                  <w:lang w:val="en-US"/>
                </w:rPr>
              </w:pPr>
              <w:r>
                <w:rPr>
                  <w:noProof/>
                  <w:lang w:val="en-US"/>
                </w:rPr>
                <w:t xml:space="preserve">Entwistle, N. &amp; Ramsden, P., 2015. </w:t>
              </w:r>
              <w:r>
                <w:rPr>
                  <w:i/>
                  <w:iCs/>
                  <w:noProof/>
                  <w:lang w:val="en-US"/>
                </w:rPr>
                <w:t xml:space="preserve">Understanding Student Leanring. </w:t>
              </w:r>
              <w:r>
                <w:rPr>
                  <w:noProof/>
                  <w:lang w:val="en-US"/>
                </w:rPr>
                <w:t>New York: Routledge.</w:t>
              </w:r>
            </w:p>
            <w:p w:rsidR="009A43C2" w:rsidRDefault="009A43C2" w:rsidP="009A43C2">
              <w:pPr>
                <w:pStyle w:val="Bibliography"/>
                <w:rPr>
                  <w:noProof/>
                  <w:lang w:val="en-US"/>
                </w:rPr>
              </w:pPr>
              <w:r>
                <w:rPr>
                  <w:noProof/>
                  <w:lang w:val="en-US"/>
                </w:rPr>
                <w:t xml:space="preserve">Fordham, A., 1982. The context of teaching and learning in studies of teacher effectiveness. </w:t>
              </w:r>
              <w:r>
                <w:rPr>
                  <w:i/>
                  <w:iCs/>
                  <w:noProof/>
                  <w:lang w:val="en-US"/>
                </w:rPr>
                <w:t xml:space="preserve">Studies in Educational Evaluation, </w:t>
              </w:r>
              <w:r>
                <w:rPr>
                  <w:noProof/>
                  <w:lang w:val="en-US"/>
                </w:rPr>
                <w:t>8(2), pp. 111- 128.</w:t>
              </w:r>
            </w:p>
            <w:p w:rsidR="009A43C2" w:rsidRDefault="009A43C2" w:rsidP="009A43C2">
              <w:pPr>
                <w:pStyle w:val="Bibliography"/>
                <w:rPr>
                  <w:noProof/>
                  <w:lang w:val="en-US"/>
                </w:rPr>
              </w:pPr>
              <w:r>
                <w:rPr>
                  <w:noProof/>
                  <w:lang w:val="en-US"/>
                </w:rPr>
                <w:t xml:space="preserve">Fry, H., Marshall, S. &amp; Ketteridge, S., 2015. </w:t>
              </w:r>
              <w:r>
                <w:rPr>
                  <w:i/>
                  <w:iCs/>
                  <w:noProof/>
                  <w:lang w:val="en-US"/>
                </w:rPr>
                <w:t xml:space="preserve">A Hnadbook for teaching and learning in higher education: Enhancing academic practice. </w:t>
              </w:r>
              <w:r>
                <w:rPr>
                  <w:noProof/>
                  <w:lang w:val="en-US"/>
                </w:rPr>
                <w:t>4 ed. London: Routledge.</w:t>
              </w:r>
            </w:p>
            <w:p w:rsidR="009A43C2" w:rsidRDefault="009A43C2" w:rsidP="009A43C2">
              <w:pPr>
                <w:pStyle w:val="Bibliography"/>
                <w:rPr>
                  <w:noProof/>
                  <w:lang w:val="en-US"/>
                </w:rPr>
              </w:pPr>
              <w:r>
                <w:rPr>
                  <w:noProof/>
                  <w:lang w:val="en-US"/>
                </w:rPr>
                <w:t xml:space="preserve">Ginns, P., Martin, A. &amp; Papworth, B., 2014. Student learning theory goes (back) to (high) school. </w:t>
              </w:r>
              <w:r>
                <w:rPr>
                  <w:i/>
                  <w:iCs/>
                  <w:noProof/>
                  <w:lang w:val="en-US"/>
                </w:rPr>
                <w:t xml:space="preserve">Instructional Science, </w:t>
              </w:r>
              <w:r>
                <w:rPr>
                  <w:noProof/>
                  <w:lang w:val="en-US"/>
                </w:rPr>
                <w:t>42(4), pp. 485- 504.</w:t>
              </w:r>
            </w:p>
            <w:p w:rsidR="009A43C2" w:rsidRDefault="009A43C2" w:rsidP="009A43C2">
              <w:pPr>
                <w:pStyle w:val="Bibliography"/>
                <w:rPr>
                  <w:noProof/>
                  <w:lang w:val="en-US"/>
                </w:rPr>
              </w:pPr>
              <w:r>
                <w:rPr>
                  <w:noProof/>
                  <w:lang w:val="en-US"/>
                </w:rPr>
                <w:t xml:space="preserve">Gosper, M. &amp; Ifenthaler, D., 2014. </w:t>
              </w:r>
              <w:r>
                <w:rPr>
                  <w:i/>
                  <w:iCs/>
                  <w:noProof/>
                  <w:lang w:val="en-US"/>
                </w:rPr>
                <w:t xml:space="preserve">Curriculum Models for the 21st Century: Using learning technologies in Higher Education. </w:t>
              </w:r>
              <w:r>
                <w:rPr>
                  <w:noProof/>
                  <w:lang w:val="en-US"/>
                </w:rPr>
                <w:t>New York: Springer.</w:t>
              </w:r>
            </w:p>
            <w:p w:rsidR="009A43C2" w:rsidRDefault="009A43C2" w:rsidP="009A43C2">
              <w:pPr>
                <w:pStyle w:val="Bibliography"/>
                <w:rPr>
                  <w:noProof/>
                  <w:lang w:val="en-US"/>
                </w:rPr>
              </w:pPr>
              <w:r>
                <w:rPr>
                  <w:noProof/>
                  <w:lang w:val="en-US"/>
                </w:rPr>
                <w:t xml:space="preserve">Gosper, M. &amp; Ifnthaler, D., 2013. </w:t>
              </w:r>
              <w:r>
                <w:rPr>
                  <w:i/>
                  <w:iCs/>
                  <w:noProof/>
                  <w:lang w:val="en-US"/>
                </w:rPr>
                <w:t xml:space="preserve">Curriculum design for the twenty- first century. </w:t>
              </w:r>
              <w:r>
                <w:rPr>
                  <w:noProof/>
                  <w:lang w:val="en-US"/>
                </w:rPr>
                <w:t>New York: Springer.</w:t>
              </w:r>
            </w:p>
            <w:p w:rsidR="009A43C2" w:rsidRDefault="009A43C2" w:rsidP="009A43C2">
              <w:pPr>
                <w:pStyle w:val="Bibliography"/>
                <w:rPr>
                  <w:noProof/>
                  <w:lang w:val="en-US"/>
                </w:rPr>
              </w:pPr>
              <w:r>
                <w:rPr>
                  <w:noProof/>
                  <w:lang w:val="en-US"/>
                </w:rPr>
                <w:t xml:space="preserve">Manning, G., 2007. </w:t>
              </w:r>
              <w:r>
                <w:rPr>
                  <w:i/>
                  <w:iCs/>
                  <w:noProof/>
                  <w:lang w:val="en-US"/>
                </w:rPr>
                <w:t xml:space="preserve">Business and Public Administration Studies. </w:t>
              </w:r>
              <w:r>
                <w:rPr>
                  <w:noProof/>
                  <w:lang w:val="en-US"/>
                </w:rPr>
                <w:t xml:space="preserve">[Online] </w:t>
              </w:r>
              <w:r>
                <w:rPr>
                  <w:noProof/>
                  <w:lang w:val="en-US"/>
                </w:rPr>
                <w:br/>
                <w:t xml:space="preserve">Available at: </w:t>
              </w:r>
              <w:r>
                <w:rPr>
                  <w:noProof/>
                  <w:u w:val="single"/>
                  <w:lang w:val="en-US"/>
                </w:rPr>
                <w:t>https://www.bpastudies.org/bpastudies/article/view/38/78</w:t>
              </w:r>
              <w:r>
                <w:rPr>
                  <w:noProof/>
                  <w:lang w:val="en-US"/>
                </w:rPr>
                <w:br/>
                <w:t>[Accessed 19 November 2017].</w:t>
              </w:r>
            </w:p>
            <w:p w:rsidR="009A43C2" w:rsidRDefault="009A43C2" w:rsidP="009A43C2">
              <w:pPr>
                <w:pStyle w:val="Bibliography"/>
                <w:rPr>
                  <w:noProof/>
                  <w:lang w:val="en-US"/>
                </w:rPr>
              </w:pPr>
              <w:r>
                <w:rPr>
                  <w:noProof/>
                  <w:lang w:val="en-US"/>
                </w:rPr>
                <w:t xml:space="preserve">McGonigal, K., 2006. Teaching for Transformation: From Learning Theory to Teaching Strategies. </w:t>
              </w:r>
              <w:r>
                <w:rPr>
                  <w:i/>
                  <w:iCs/>
                  <w:noProof/>
                  <w:lang w:val="en-US"/>
                </w:rPr>
                <w:t xml:space="preserve">Science and Culture Education, </w:t>
              </w:r>
              <w:r>
                <w:rPr>
                  <w:noProof/>
                  <w:lang w:val="en-US"/>
                </w:rPr>
                <w:t>3(11), pp. 11- 25.</w:t>
              </w:r>
            </w:p>
            <w:p w:rsidR="009A43C2" w:rsidRDefault="009A43C2" w:rsidP="009A43C2">
              <w:pPr>
                <w:pStyle w:val="Bibliography"/>
                <w:rPr>
                  <w:noProof/>
                  <w:lang w:val="en-US"/>
                </w:rPr>
              </w:pPr>
              <w:r>
                <w:rPr>
                  <w:noProof/>
                  <w:lang w:val="en-US"/>
                </w:rPr>
                <w:t xml:space="preserve">McKimm, J. &amp; Jollie, C., 2003. </w:t>
              </w:r>
              <w:r>
                <w:rPr>
                  <w:i/>
                  <w:iCs/>
                  <w:noProof/>
                  <w:lang w:val="en-US"/>
                </w:rPr>
                <w:t xml:space="preserve">Facilitating learning: Teaching and learning methods, </w:t>
              </w:r>
              <w:r>
                <w:rPr>
                  <w:noProof/>
                  <w:lang w:val="en-US"/>
                </w:rPr>
                <w:t>Bedfordshire: University of Bedfordshire.</w:t>
              </w:r>
            </w:p>
            <w:p w:rsidR="009A43C2" w:rsidRDefault="009A43C2" w:rsidP="009A43C2">
              <w:pPr>
                <w:pStyle w:val="Bibliography"/>
                <w:rPr>
                  <w:noProof/>
                  <w:lang w:val="en-US"/>
                </w:rPr>
              </w:pPr>
              <w:r>
                <w:rPr>
                  <w:noProof/>
                  <w:lang w:val="en-US"/>
                </w:rPr>
                <w:t xml:space="preserve">Mezirow, 1991. </w:t>
              </w:r>
              <w:r>
                <w:rPr>
                  <w:i/>
                  <w:iCs/>
                  <w:noProof/>
                  <w:lang w:val="en-US"/>
                </w:rPr>
                <w:t xml:space="preserve">Transformative Dimensions of Adult Learning. </w:t>
              </w:r>
              <w:r>
                <w:rPr>
                  <w:noProof/>
                  <w:lang w:val="en-US"/>
                </w:rPr>
                <w:t>San Francisco: Jossey- Bass.</w:t>
              </w:r>
            </w:p>
            <w:p w:rsidR="009A43C2" w:rsidRDefault="009A43C2" w:rsidP="009A43C2">
              <w:pPr>
                <w:pStyle w:val="Bibliography"/>
                <w:rPr>
                  <w:noProof/>
                  <w:lang w:val="en-US"/>
                </w:rPr>
              </w:pPr>
              <w:r>
                <w:rPr>
                  <w:noProof/>
                  <w:lang w:val="en-US"/>
                </w:rPr>
                <w:t xml:space="preserve">Mezirow, J., 1997. Transformative learning: Theory to practice. </w:t>
              </w:r>
              <w:r>
                <w:rPr>
                  <w:i/>
                  <w:iCs/>
                  <w:noProof/>
                  <w:lang w:val="en-US"/>
                </w:rPr>
                <w:t xml:space="preserve">New Directions for Adult Learning and continuing Education, </w:t>
              </w:r>
              <w:r>
                <w:rPr>
                  <w:noProof/>
                  <w:lang w:val="en-US"/>
                </w:rPr>
                <w:t>Volume 74, pp. 5- 12.</w:t>
              </w:r>
            </w:p>
            <w:p w:rsidR="009A43C2" w:rsidRDefault="009A43C2" w:rsidP="009A43C2">
              <w:pPr>
                <w:pStyle w:val="Bibliography"/>
                <w:rPr>
                  <w:noProof/>
                  <w:lang w:val="en-US"/>
                </w:rPr>
              </w:pPr>
              <w:r>
                <w:rPr>
                  <w:noProof/>
                  <w:lang w:val="en-US"/>
                </w:rPr>
                <w:t xml:space="preserve">Prosser, M., 1999. </w:t>
              </w:r>
              <w:r>
                <w:rPr>
                  <w:i/>
                  <w:iCs/>
                  <w:noProof/>
                  <w:lang w:val="en-US"/>
                </w:rPr>
                <w:t xml:space="preserve">Understanding Learning and Teaching: The experience in Higher Education. </w:t>
              </w:r>
              <w:r>
                <w:rPr>
                  <w:noProof/>
                  <w:lang w:val="en-US"/>
                </w:rPr>
                <w:t>1 ed. Buckingham: Open University Press.</w:t>
              </w:r>
            </w:p>
            <w:p w:rsidR="009A43C2" w:rsidRDefault="009A43C2" w:rsidP="009A43C2">
              <w:pPr>
                <w:pStyle w:val="Bibliography"/>
                <w:rPr>
                  <w:noProof/>
                  <w:lang w:val="en-US"/>
                </w:rPr>
              </w:pPr>
              <w:r>
                <w:rPr>
                  <w:noProof/>
                  <w:lang w:val="en-US"/>
                </w:rPr>
                <w:t xml:space="preserve">Schunk, D., 2012. </w:t>
              </w:r>
              <w:r>
                <w:rPr>
                  <w:i/>
                  <w:iCs/>
                  <w:noProof/>
                  <w:lang w:val="en-US"/>
                </w:rPr>
                <w:t xml:space="preserve">Learning Theories: An Educational Perspective. </w:t>
              </w:r>
              <w:r>
                <w:rPr>
                  <w:noProof/>
                  <w:lang w:val="en-US"/>
                </w:rPr>
                <w:t>6 ed. Boston: Pearson Education Inc.</w:t>
              </w:r>
            </w:p>
            <w:p w:rsidR="009A43C2" w:rsidRDefault="009A43C2" w:rsidP="009A43C2">
              <w:pPr>
                <w:pStyle w:val="Bibliography"/>
                <w:rPr>
                  <w:noProof/>
                  <w:lang w:val="en-US"/>
                </w:rPr>
              </w:pPr>
              <w:r>
                <w:rPr>
                  <w:noProof/>
                  <w:lang w:val="en-US"/>
                </w:rPr>
                <w:t xml:space="preserve">Scittl, 2017. </w:t>
              </w:r>
              <w:r>
                <w:rPr>
                  <w:i/>
                  <w:iCs/>
                  <w:noProof/>
                  <w:lang w:val="en-US"/>
                </w:rPr>
                <w:t xml:space="preserve">SCITTL Lesson Study. </w:t>
              </w:r>
              <w:r>
                <w:rPr>
                  <w:noProof/>
                  <w:lang w:val="en-US"/>
                </w:rPr>
                <w:t xml:space="preserve">[Online] </w:t>
              </w:r>
              <w:r>
                <w:rPr>
                  <w:noProof/>
                  <w:lang w:val="en-US"/>
                </w:rPr>
                <w:br/>
                <w:t xml:space="preserve">Available at: </w:t>
              </w:r>
              <w:r>
                <w:rPr>
                  <w:noProof/>
                  <w:u w:val="single"/>
                  <w:lang w:val="en-US"/>
                </w:rPr>
                <w:t>http://scittls.weebly.com/learning.html</w:t>
              </w:r>
            </w:p>
            <w:p w:rsidR="009A43C2" w:rsidRDefault="009A43C2" w:rsidP="009A43C2">
              <w:pPr>
                <w:pStyle w:val="Bibliography"/>
                <w:rPr>
                  <w:noProof/>
                  <w:lang w:val="en-US"/>
                </w:rPr>
              </w:pPr>
              <w:r>
                <w:rPr>
                  <w:noProof/>
                  <w:lang w:val="en-US"/>
                </w:rPr>
                <w:t xml:space="preserve">Scott, C., 2015. </w:t>
              </w:r>
              <w:r>
                <w:rPr>
                  <w:i/>
                  <w:iCs/>
                  <w:noProof/>
                  <w:lang w:val="en-US"/>
                </w:rPr>
                <w:t xml:space="preserve">The future of learning 3: What kind of pedagogies for the 21st cedntury, </w:t>
              </w:r>
              <w:r>
                <w:rPr>
                  <w:noProof/>
                  <w:lang w:val="en-US"/>
                </w:rPr>
                <w:t>s.l.: UNESCO.</w:t>
              </w:r>
            </w:p>
            <w:p w:rsidR="009A43C2" w:rsidRDefault="009A43C2" w:rsidP="009A43C2">
              <w:pPr>
                <w:pStyle w:val="Bibliography"/>
                <w:rPr>
                  <w:noProof/>
                  <w:lang w:val="en-US"/>
                </w:rPr>
              </w:pPr>
              <w:r>
                <w:rPr>
                  <w:noProof/>
                  <w:lang w:val="en-US"/>
                </w:rPr>
                <w:t xml:space="preserve">Wang, V., 2016. </w:t>
              </w:r>
              <w:r>
                <w:rPr>
                  <w:i/>
                  <w:iCs/>
                  <w:noProof/>
                  <w:lang w:val="en-US"/>
                </w:rPr>
                <w:t xml:space="preserve">Theory and Practice of Adult and Higher Education. </w:t>
              </w:r>
              <w:r>
                <w:rPr>
                  <w:noProof/>
                  <w:lang w:val="en-US"/>
                </w:rPr>
                <w:t>s.l.:Information Age Publishing.</w:t>
              </w:r>
            </w:p>
            <w:p w:rsidR="009A43C2" w:rsidRDefault="009A43C2" w:rsidP="009A43C2">
              <w:pPr>
                <w:pStyle w:val="Bibliography"/>
                <w:rPr>
                  <w:noProof/>
                  <w:lang w:val="en-US"/>
                </w:rPr>
              </w:pPr>
              <w:r>
                <w:rPr>
                  <w:noProof/>
                  <w:lang w:val="en-US"/>
                </w:rPr>
                <w:t xml:space="preserve">Wiki, 2018. </w:t>
              </w:r>
              <w:r>
                <w:rPr>
                  <w:i/>
                  <w:iCs/>
                  <w:noProof/>
                  <w:lang w:val="en-US"/>
                </w:rPr>
                <w:t xml:space="preserve">Inclusive learning. </w:t>
              </w:r>
              <w:r>
                <w:rPr>
                  <w:noProof/>
                  <w:lang w:val="en-US"/>
                </w:rPr>
                <w:t xml:space="preserve">[Online] </w:t>
              </w:r>
              <w:r>
                <w:rPr>
                  <w:noProof/>
                  <w:lang w:val="en-US"/>
                </w:rPr>
                <w:br/>
                <w:t xml:space="preserve">Available at: </w:t>
              </w:r>
              <w:r>
                <w:rPr>
                  <w:noProof/>
                  <w:u w:val="single"/>
                  <w:lang w:val="en-US"/>
                </w:rPr>
                <w:t>https://inclusive-teaching.wikispaces.com/Biggs%27s+work+1</w:t>
              </w:r>
              <w:r>
                <w:rPr>
                  <w:noProof/>
                  <w:lang w:val="en-US"/>
                </w:rPr>
                <w:br/>
                <w:t>[Accessed 17 February 2018].</w:t>
              </w:r>
            </w:p>
            <w:p w:rsidR="001952D2" w:rsidRDefault="00870D93" w:rsidP="009A43C2">
              <w:r>
                <w:rPr>
                  <w:b/>
                  <w:bCs/>
                  <w:noProof/>
                </w:rPr>
                <w:fldChar w:fldCharType="end"/>
              </w:r>
            </w:p>
          </w:sdtContent>
        </w:sdt>
      </w:sdtContent>
    </w:sdt>
    <w:p w:rsidR="0097493B" w:rsidRDefault="0097493B"/>
    <w:sectPr w:rsidR="0097493B" w:rsidSect="00870D93">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9B2299" w:rsidRDefault="009B2299" w:rsidP="009B2299">
      <w:pPr>
        <w:spacing w:after="0" w:line="240" w:lineRule="auto"/>
      </w:pPr>
      <w:r>
        <w:separator/>
      </w:r>
    </w:p>
  </w:endnote>
  <w:endnote w:type="continuationSeparator" w:id="0">
    <w:p w:rsidR="009B2299" w:rsidRDefault="009B2299" w:rsidP="009B2299">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C45885" w:rsidRDefault="00C45885">
    <w:pPr>
      <w:pStyle w:val="Foote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303206292"/>
      <w:docPartObj>
        <w:docPartGallery w:val="Page Numbers (Bottom of Page)"/>
        <w:docPartUnique/>
      </w:docPartObj>
    </w:sdtPr>
    <w:sdtContent>
      <w:p w:rsidR="009B2299" w:rsidRDefault="009B2299">
        <w:pPr>
          <w:pStyle w:val="Footer"/>
        </w:pPr>
        <w:fldSimple w:instr=" PAGE   \* MERGEFORMAT ">
          <w:r w:rsidR="00C45885">
            <w:rPr>
              <w:noProof/>
            </w:rPr>
            <w:t>2</w:t>
          </w:r>
        </w:fldSimple>
      </w:p>
    </w:sdtContent>
  </w:sdt>
  <w:p w:rsidR="009B2299" w:rsidRDefault="009B2299">
    <w:pPr>
      <w:pStyle w:val="Footer"/>
    </w:pPr>
  </w:p>
</w:ftr>
</file>

<file path=word/footer3.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C45885" w:rsidRDefault="00C45885">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9B2299" w:rsidRDefault="009B2299" w:rsidP="009B2299">
      <w:pPr>
        <w:spacing w:after="0" w:line="240" w:lineRule="auto"/>
      </w:pPr>
      <w:r>
        <w:separator/>
      </w:r>
    </w:p>
  </w:footnote>
  <w:footnote w:type="continuationSeparator" w:id="0">
    <w:p w:rsidR="009B2299" w:rsidRDefault="009B2299" w:rsidP="009B2299">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C45885" w:rsidRDefault="00C45885">
    <w:pPr>
      <w:pStyle w:val="Header"/>
    </w:pPr>
  </w:p>
</w:hdr>
</file>

<file path=word/header2.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9B2299" w:rsidRDefault="009B2299">
    <w:pPr>
      <w:pStyle w:val="Header"/>
    </w:pPr>
    <w:r>
      <w:t>P147618</w:t>
    </w:r>
    <w:r>
      <w:ptab w:relativeTo="margin" w:alignment="center" w:leader="none"/>
    </w:r>
    <w:r>
      <w:t>M6X022</w:t>
    </w:r>
    <w:r w:rsidR="00C45885">
      <w:t>81</w:t>
    </w:r>
    <w:r>
      <w:ptab w:relativeTo="margin" w:alignment="right" w:leader="none"/>
    </w:r>
    <w:r>
      <w:t>Shelley Williams</w:t>
    </w:r>
  </w:p>
</w:hdr>
</file>

<file path=word/header3.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C45885" w:rsidRDefault="00C45885">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CB638EF"/>
    <w:multiLevelType w:val="hybridMultilevel"/>
    <w:tmpl w:val="B94401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34E85B0F"/>
    <w:multiLevelType w:val="hybridMultilevel"/>
    <w:tmpl w:val="1B2810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35594B09"/>
    <w:multiLevelType w:val="hybridMultilevel"/>
    <w:tmpl w:val="A46EA3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660F2C0E"/>
    <w:multiLevelType w:val="hybridMultilevel"/>
    <w:tmpl w:val="8B8CF5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76487771"/>
    <w:multiLevelType w:val="hybridMultilevel"/>
    <w:tmpl w:val="EE98DA86"/>
    <w:lvl w:ilvl="0" w:tplc="032AA716">
      <w:start w:val="1"/>
      <w:numFmt w:val="bullet"/>
      <w:lvlText w:val="•"/>
      <w:lvlJc w:val="left"/>
      <w:pPr>
        <w:ind w:hanging="361"/>
      </w:pPr>
      <w:rPr>
        <w:rFonts w:ascii="Arial" w:eastAsia="Arial" w:hAnsi="Arial" w:hint="default"/>
        <w:sz w:val="24"/>
        <w:szCs w:val="24"/>
      </w:rPr>
    </w:lvl>
    <w:lvl w:ilvl="1" w:tplc="74EE2A96">
      <w:start w:val="1"/>
      <w:numFmt w:val="bullet"/>
      <w:lvlText w:val="•"/>
      <w:lvlJc w:val="left"/>
      <w:rPr>
        <w:rFonts w:hint="default"/>
      </w:rPr>
    </w:lvl>
    <w:lvl w:ilvl="2" w:tplc="37AABF2C">
      <w:start w:val="1"/>
      <w:numFmt w:val="bullet"/>
      <w:lvlText w:val="•"/>
      <w:lvlJc w:val="left"/>
      <w:rPr>
        <w:rFonts w:hint="default"/>
      </w:rPr>
    </w:lvl>
    <w:lvl w:ilvl="3" w:tplc="9B0C9F6E">
      <w:start w:val="1"/>
      <w:numFmt w:val="bullet"/>
      <w:lvlText w:val="•"/>
      <w:lvlJc w:val="left"/>
      <w:rPr>
        <w:rFonts w:hint="default"/>
      </w:rPr>
    </w:lvl>
    <w:lvl w:ilvl="4" w:tplc="A990859A">
      <w:start w:val="1"/>
      <w:numFmt w:val="bullet"/>
      <w:lvlText w:val="•"/>
      <w:lvlJc w:val="left"/>
      <w:rPr>
        <w:rFonts w:hint="default"/>
      </w:rPr>
    </w:lvl>
    <w:lvl w:ilvl="5" w:tplc="F9D27D92">
      <w:start w:val="1"/>
      <w:numFmt w:val="bullet"/>
      <w:lvlText w:val="•"/>
      <w:lvlJc w:val="left"/>
      <w:rPr>
        <w:rFonts w:hint="default"/>
      </w:rPr>
    </w:lvl>
    <w:lvl w:ilvl="6" w:tplc="A92ED820">
      <w:start w:val="1"/>
      <w:numFmt w:val="bullet"/>
      <w:lvlText w:val="•"/>
      <w:lvlJc w:val="left"/>
      <w:rPr>
        <w:rFonts w:hint="default"/>
      </w:rPr>
    </w:lvl>
    <w:lvl w:ilvl="7" w:tplc="EAB4A808">
      <w:start w:val="1"/>
      <w:numFmt w:val="bullet"/>
      <w:lvlText w:val="•"/>
      <w:lvlJc w:val="left"/>
      <w:rPr>
        <w:rFonts w:hint="default"/>
      </w:rPr>
    </w:lvl>
    <w:lvl w:ilvl="8" w:tplc="EA148CB8">
      <w:start w:val="1"/>
      <w:numFmt w:val="bullet"/>
      <w:lvlText w:val="•"/>
      <w:lvlJc w:val="left"/>
      <w:rPr>
        <w:rFonts w:hint="default"/>
      </w:rPr>
    </w:lvl>
  </w:abstractNum>
  <w:num w:numId="1">
    <w:abstractNumId w:val="1"/>
  </w:num>
  <w:num w:numId="2">
    <w:abstractNumId w:val="0"/>
  </w:num>
  <w:num w:numId="3">
    <w:abstractNumId w:val="3"/>
  </w:num>
  <w:num w:numId="4">
    <w:abstractNumId w:val="2"/>
  </w:num>
  <w:num w:numId="5">
    <w:abstractNumId w:val="4"/>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rsids>
    <w:rsidRoot w:val="00471290"/>
    <w:rsid w:val="00030816"/>
    <w:rsid w:val="00053A18"/>
    <w:rsid w:val="000D3C31"/>
    <w:rsid w:val="000E5111"/>
    <w:rsid w:val="0019526E"/>
    <w:rsid w:val="001952D2"/>
    <w:rsid w:val="001B585A"/>
    <w:rsid w:val="001D74AD"/>
    <w:rsid w:val="0021449D"/>
    <w:rsid w:val="00230F9C"/>
    <w:rsid w:val="002774E2"/>
    <w:rsid w:val="002C30F7"/>
    <w:rsid w:val="002E0BC8"/>
    <w:rsid w:val="00356A77"/>
    <w:rsid w:val="003D792D"/>
    <w:rsid w:val="00412C07"/>
    <w:rsid w:val="00422FF8"/>
    <w:rsid w:val="00471290"/>
    <w:rsid w:val="00481030"/>
    <w:rsid w:val="005579CD"/>
    <w:rsid w:val="005A04CF"/>
    <w:rsid w:val="006428A4"/>
    <w:rsid w:val="00750C16"/>
    <w:rsid w:val="00780BDD"/>
    <w:rsid w:val="0078331D"/>
    <w:rsid w:val="00870D93"/>
    <w:rsid w:val="00886F90"/>
    <w:rsid w:val="008B4CB9"/>
    <w:rsid w:val="0097493B"/>
    <w:rsid w:val="00980ABD"/>
    <w:rsid w:val="009850B8"/>
    <w:rsid w:val="00993284"/>
    <w:rsid w:val="009A43C2"/>
    <w:rsid w:val="009B2299"/>
    <w:rsid w:val="009E3162"/>
    <w:rsid w:val="00A22B1C"/>
    <w:rsid w:val="00B45FE1"/>
    <w:rsid w:val="00B67D8F"/>
    <w:rsid w:val="00B723CD"/>
    <w:rsid w:val="00B730F7"/>
    <w:rsid w:val="00BA6A92"/>
    <w:rsid w:val="00BD5FDC"/>
    <w:rsid w:val="00C212EF"/>
    <w:rsid w:val="00C45885"/>
    <w:rsid w:val="00C81904"/>
    <w:rsid w:val="00C93BC5"/>
    <w:rsid w:val="00CB5758"/>
    <w:rsid w:val="00D4406F"/>
    <w:rsid w:val="00DA340D"/>
    <w:rsid w:val="00DC0658"/>
    <w:rsid w:val="00E06CAB"/>
    <w:rsid w:val="00E61141"/>
    <w:rsid w:val="00E80AD3"/>
    <w:rsid w:val="00F17EBD"/>
    <w:rsid w:val="00F37592"/>
    <w:rsid w:val="00F54973"/>
    <w:rsid w:val="00F7383B"/>
    <w:rsid w:val="00FE3C5B"/>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70D93"/>
  </w:style>
  <w:style w:type="paragraph" w:styleId="Heading1">
    <w:name w:val="heading 1"/>
    <w:basedOn w:val="Normal"/>
    <w:next w:val="Normal"/>
    <w:link w:val="Heading1Char"/>
    <w:uiPriority w:val="9"/>
    <w:qFormat/>
    <w:rsid w:val="001952D2"/>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E0BC8"/>
    <w:pPr>
      <w:ind w:left="720"/>
      <w:contextualSpacing/>
    </w:pPr>
  </w:style>
  <w:style w:type="character" w:customStyle="1" w:styleId="Heading1Char">
    <w:name w:val="Heading 1 Char"/>
    <w:basedOn w:val="DefaultParagraphFont"/>
    <w:link w:val="Heading1"/>
    <w:uiPriority w:val="9"/>
    <w:rsid w:val="001952D2"/>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1952D2"/>
  </w:style>
  <w:style w:type="paragraph" w:styleId="NormalWeb">
    <w:name w:val="Normal (Web)"/>
    <w:basedOn w:val="Normal"/>
    <w:uiPriority w:val="99"/>
    <w:semiHidden/>
    <w:unhideWhenUsed/>
    <w:rsid w:val="000E511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E06CA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06CAB"/>
    <w:rPr>
      <w:rFonts w:ascii="Tahoma" w:hAnsi="Tahoma" w:cs="Tahoma"/>
      <w:sz w:val="16"/>
      <w:szCs w:val="16"/>
    </w:rPr>
  </w:style>
  <w:style w:type="paragraph" w:styleId="Header">
    <w:name w:val="header"/>
    <w:basedOn w:val="Normal"/>
    <w:link w:val="HeaderChar"/>
    <w:uiPriority w:val="99"/>
    <w:semiHidden/>
    <w:unhideWhenUsed/>
    <w:rsid w:val="009B2299"/>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9B2299"/>
  </w:style>
  <w:style w:type="paragraph" w:styleId="Footer">
    <w:name w:val="footer"/>
    <w:basedOn w:val="Normal"/>
    <w:link w:val="FooterChar"/>
    <w:uiPriority w:val="99"/>
    <w:unhideWhenUsed/>
    <w:rsid w:val="009B2299"/>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2299"/>
  </w:style>
</w:styles>
</file>

<file path=word/webSettings.xml><?xml version="1.0" encoding="utf-8"?>
<w:webSettings xmlns:r="http://schemas.openxmlformats.org/officeDocument/2006/relationships" xmlns:w="http://schemas.openxmlformats.org/wordprocessingml/2006/main">
  <w:divs>
    <w:div w:id="32317795">
      <w:bodyDiv w:val="1"/>
      <w:marLeft w:val="0"/>
      <w:marRight w:val="0"/>
      <w:marTop w:val="0"/>
      <w:marBottom w:val="0"/>
      <w:divBdr>
        <w:top w:val="none" w:sz="0" w:space="0" w:color="auto"/>
        <w:left w:val="none" w:sz="0" w:space="0" w:color="auto"/>
        <w:bottom w:val="none" w:sz="0" w:space="0" w:color="auto"/>
        <w:right w:val="none" w:sz="0" w:space="0" w:color="auto"/>
      </w:divBdr>
    </w:div>
    <w:div w:id="36206922">
      <w:bodyDiv w:val="1"/>
      <w:marLeft w:val="0"/>
      <w:marRight w:val="0"/>
      <w:marTop w:val="0"/>
      <w:marBottom w:val="0"/>
      <w:divBdr>
        <w:top w:val="none" w:sz="0" w:space="0" w:color="auto"/>
        <w:left w:val="none" w:sz="0" w:space="0" w:color="auto"/>
        <w:bottom w:val="none" w:sz="0" w:space="0" w:color="auto"/>
        <w:right w:val="none" w:sz="0" w:space="0" w:color="auto"/>
      </w:divBdr>
    </w:div>
    <w:div w:id="37902589">
      <w:bodyDiv w:val="1"/>
      <w:marLeft w:val="0"/>
      <w:marRight w:val="0"/>
      <w:marTop w:val="0"/>
      <w:marBottom w:val="0"/>
      <w:divBdr>
        <w:top w:val="none" w:sz="0" w:space="0" w:color="auto"/>
        <w:left w:val="none" w:sz="0" w:space="0" w:color="auto"/>
        <w:bottom w:val="none" w:sz="0" w:space="0" w:color="auto"/>
        <w:right w:val="none" w:sz="0" w:space="0" w:color="auto"/>
      </w:divBdr>
    </w:div>
    <w:div w:id="39597218">
      <w:bodyDiv w:val="1"/>
      <w:marLeft w:val="0"/>
      <w:marRight w:val="0"/>
      <w:marTop w:val="0"/>
      <w:marBottom w:val="0"/>
      <w:divBdr>
        <w:top w:val="none" w:sz="0" w:space="0" w:color="auto"/>
        <w:left w:val="none" w:sz="0" w:space="0" w:color="auto"/>
        <w:bottom w:val="none" w:sz="0" w:space="0" w:color="auto"/>
        <w:right w:val="none" w:sz="0" w:space="0" w:color="auto"/>
      </w:divBdr>
    </w:div>
    <w:div w:id="41638887">
      <w:bodyDiv w:val="1"/>
      <w:marLeft w:val="0"/>
      <w:marRight w:val="0"/>
      <w:marTop w:val="0"/>
      <w:marBottom w:val="0"/>
      <w:divBdr>
        <w:top w:val="none" w:sz="0" w:space="0" w:color="auto"/>
        <w:left w:val="none" w:sz="0" w:space="0" w:color="auto"/>
        <w:bottom w:val="none" w:sz="0" w:space="0" w:color="auto"/>
        <w:right w:val="none" w:sz="0" w:space="0" w:color="auto"/>
      </w:divBdr>
    </w:div>
    <w:div w:id="69428591">
      <w:bodyDiv w:val="1"/>
      <w:marLeft w:val="0"/>
      <w:marRight w:val="0"/>
      <w:marTop w:val="0"/>
      <w:marBottom w:val="0"/>
      <w:divBdr>
        <w:top w:val="none" w:sz="0" w:space="0" w:color="auto"/>
        <w:left w:val="none" w:sz="0" w:space="0" w:color="auto"/>
        <w:bottom w:val="none" w:sz="0" w:space="0" w:color="auto"/>
        <w:right w:val="none" w:sz="0" w:space="0" w:color="auto"/>
      </w:divBdr>
    </w:div>
    <w:div w:id="89938879">
      <w:bodyDiv w:val="1"/>
      <w:marLeft w:val="0"/>
      <w:marRight w:val="0"/>
      <w:marTop w:val="0"/>
      <w:marBottom w:val="0"/>
      <w:divBdr>
        <w:top w:val="none" w:sz="0" w:space="0" w:color="auto"/>
        <w:left w:val="none" w:sz="0" w:space="0" w:color="auto"/>
        <w:bottom w:val="none" w:sz="0" w:space="0" w:color="auto"/>
        <w:right w:val="none" w:sz="0" w:space="0" w:color="auto"/>
      </w:divBdr>
    </w:div>
    <w:div w:id="97601205">
      <w:bodyDiv w:val="1"/>
      <w:marLeft w:val="0"/>
      <w:marRight w:val="0"/>
      <w:marTop w:val="0"/>
      <w:marBottom w:val="0"/>
      <w:divBdr>
        <w:top w:val="none" w:sz="0" w:space="0" w:color="auto"/>
        <w:left w:val="none" w:sz="0" w:space="0" w:color="auto"/>
        <w:bottom w:val="none" w:sz="0" w:space="0" w:color="auto"/>
        <w:right w:val="none" w:sz="0" w:space="0" w:color="auto"/>
      </w:divBdr>
    </w:div>
    <w:div w:id="97916299">
      <w:bodyDiv w:val="1"/>
      <w:marLeft w:val="0"/>
      <w:marRight w:val="0"/>
      <w:marTop w:val="0"/>
      <w:marBottom w:val="0"/>
      <w:divBdr>
        <w:top w:val="none" w:sz="0" w:space="0" w:color="auto"/>
        <w:left w:val="none" w:sz="0" w:space="0" w:color="auto"/>
        <w:bottom w:val="none" w:sz="0" w:space="0" w:color="auto"/>
        <w:right w:val="none" w:sz="0" w:space="0" w:color="auto"/>
      </w:divBdr>
    </w:div>
    <w:div w:id="109403305">
      <w:bodyDiv w:val="1"/>
      <w:marLeft w:val="0"/>
      <w:marRight w:val="0"/>
      <w:marTop w:val="0"/>
      <w:marBottom w:val="0"/>
      <w:divBdr>
        <w:top w:val="none" w:sz="0" w:space="0" w:color="auto"/>
        <w:left w:val="none" w:sz="0" w:space="0" w:color="auto"/>
        <w:bottom w:val="none" w:sz="0" w:space="0" w:color="auto"/>
        <w:right w:val="none" w:sz="0" w:space="0" w:color="auto"/>
      </w:divBdr>
    </w:div>
    <w:div w:id="140586219">
      <w:bodyDiv w:val="1"/>
      <w:marLeft w:val="0"/>
      <w:marRight w:val="0"/>
      <w:marTop w:val="0"/>
      <w:marBottom w:val="0"/>
      <w:divBdr>
        <w:top w:val="none" w:sz="0" w:space="0" w:color="auto"/>
        <w:left w:val="none" w:sz="0" w:space="0" w:color="auto"/>
        <w:bottom w:val="none" w:sz="0" w:space="0" w:color="auto"/>
        <w:right w:val="none" w:sz="0" w:space="0" w:color="auto"/>
      </w:divBdr>
    </w:div>
    <w:div w:id="179780838">
      <w:bodyDiv w:val="1"/>
      <w:marLeft w:val="0"/>
      <w:marRight w:val="0"/>
      <w:marTop w:val="0"/>
      <w:marBottom w:val="0"/>
      <w:divBdr>
        <w:top w:val="none" w:sz="0" w:space="0" w:color="auto"/>
        <w:left w:val="none" w:sz="0" w:space="0" w:color="auto"/>
        <w:bottom w:val="none" w:sz="0" w:space="0" w:color="auto"/>
        <w:right w:val="none" w:sz="0" w:space="0" w:color="auto"/>
      </w:divBdr>
    </w:div>
    <w:div w:id="239872870">
      <w:bodyDiv w:val="1"/>
      <w:marLeft w:val="0"/>
      <w:marRight w:val="0"/>
      <w:marTop w:val="0"/>
      <w:marBottom w:val="0"/>
      <w:divBdr>
        <w:top w:val="none" w:sz="0" w:space="0" w:color="auto"/>
        <w:left w:val="none" w:sz="0" w:space="0" w:color="auto"/>
        <w:bottom w:val="none" w:sz="0" w:space="0" w:color="auto"/>
        <w:right w:val="none" w:sz="0" w:space="0" w:color="auto"/>
      </w:divBdr>
    </w:div>
    <w:div w:id="240870473">
      <w:bodyDiv w:val="1"/>
      <w:marLeft w:val="0"/>
      <w:marRight w:val="0"/>
      <w:marTop w:val="0"/>
      <w:marBottom w:val="0"/>
      <w:divBdr>
        <w:top w:val="none" w:sz="0" w:space="0" w:color="auto"/>
        <w:left w:val="none" w:sz="0" w:space="0" w:color="auto"/>
        <w:bottom w:val="none" w:sz="0" w:space="0" w:color="auto"/>
        <w:right w:val="none" w:sz="0" w:space="0" w:color="auto"/>
      </w:divBdr>
    </w:div>
    <w:div w:id="252856370">
      <w:bodyDiv w:val="1"/>
      <w:marLeft w:val="0"/>
      <w:marRight w:val="0"/>
      <w:marTop w:val="0"/>
      <w:marBottom w:val="0"/>
      <w:divBdr>
        <w:top w:val="none" w:sz="0" w:space="0" w:color="auto"/>
        <w:left w:val="none" w:sz="0" w:space="0" w:color="auto"/>
        <w:bottom w:val="none" w:sz="0" w:space="0" w:color="auto"/>
        <w:right w:val="none" w:sz="0" w:space="0" w:color="auto"/>
      </w:divBdr>
    </w:div>
    <w:div w:id="264509394">
      <w:bodyDiv w:val="1"/>
      <w:marLeft w:val="0"/>
      <w:marRight w:val="0"/>
      <w:marTop w:val="0"/>
      <w:marBottom w:val="0"/>
      <w:divBdr>
        <w:top w:val="none" w:sz="0" w:space="0" w:color="auto"/>
        <w:left w:val="none" w:sz="0" w:space="0" w:color="auto"/>
        <w:bottom w:val="none" w:sz="0" w:space="0" w:color="auto"/>
        <w:right w:val="none" w:sz="0" w:space="0" w:color="auto"/>
      </w:divBdr>
    </w:div>
    <w:div w:id="322709319">
      <w:bodyDiv w:val="1"/>
      <w:marLeft w:val="0"/>
      <w:marRight w:val="0"/>
      <w:marTop w:val="0"/>
      <w:marBottom w:val="0"/>
      <w:divBdr>
        <w:top w:val="none" w:sz="0" w:space="0" w:color="auto"/>
        <w:left w:val="none" w:sz="0" w:space="0" w:color="auto"/>
        <w:bottom w:val="none" w:sz="0" w:space="0" w:color="auto"/>
        <w:right w:val="none" w:sz="0" w:space="0" w:color="auto"/>
      </w:divBdr>
    </w:div>
    <w:div w:id="322969951">
      <w:bodyDiv w:val="1"/>
      <w:marLeft w:val="0"/>
      <w:marRight w:val="0"/>
      <w:marTop w:val="0"/>
      <w:marBottom w:val="0"/>
      <w:divBdr>
        <w:top w:val="none" w:sz="0" w:space="0" w:color="auto"/>
        <w:left w:val="none" w:sz="0" w:space="0" w:color="auto"/>
        <w:bottom w:val="none" w:sz="0" w:space="0" w:color="auto"/>
        <w:right w:val="none" w:sz="0" w:space="0" w:color="auto"/>
      </w:divBdr>
    </w:div>
    <w:div w:id="336807922">
      <w:bodyDiv w:val="1"/>
      <w:marLeft w:val="0"/>
      <w:marRight w:val="0"/>
      <w:marTop w:val="0"/>
      <w:marBottom w:val="0"/>
      <w:divBdr>
        <w:top w:val="none" w:sz="0" w:space="0" w:color="auto"/>
        <w:left w:val="none" w:sz="0" w:space="0" w:color="auto"/>
        <w:bottom w:val="none" w:sz="0" w:space="0" w:color="auto"/>
        <w:right w:val="none" w:sz="0" w:space="0" w:color="auto"/>
      </w:divBdr>
    </w:div>
    <w:div w:id="346099824">
      <w:bodyDiv w:val="1"/>
      <w:marLeft w:val="0"/>
      <w:marRight w:val="0"/>
      <w:marTop w:val="0"/>
      <w:marBottom w:val="0"/>
      <w:divBdr>
        <w:top w:val="none" w:sz="0" w:space="0" w:color="auto"/>
        <w:left w:val="none" w:sz="0" w:space="0" w:color="auto"/>
        <w:bottom w:val="none" w:sz="0" w:space="0" w:color="auto"/>
        <w:right w:val="none" w:sz="0" w:space="0" w:color="auto"/>
      </w:divBdr>
    </w:div>
    <w:div w:id="349645922">
      <w:bodyDiv w:val="1"/>
      <w:marLeft w:val="0"/>
      <w:marRight w:val="0"/>
      <w:marTop w:val="0"/>
      <w:marBottom w:val="0"/>
      <w:divBdr>
        <w:top w:val="none" w:sz="0" w:space="0" w:color="auto"/>
        <w:left w:val="none" w:sz="0" w:space="0" w:color="auto"/>
        <w:bottom w:val="none" w:sz="0" w:space="0" w:color="auto"/>
        <w:right w:val="none" w:sz="0" w:space="0" w:color="auto"/>
      </w:divBdr>
    </w:div>
    <w:div w:id="350693347">
      <w:bodyDiv w:val="1"/>
      <w:marLeft w:val="0"/>
      <w:marRight w:val="0"/>
      <w:marTop w:val="0"/>
      <w:marBottom w:val="0"/>
      <w:divBdr>
        <w:top w:val="none" w:sz="0" w:space="0" w:color="auto"/>
        <w:left w:val="none" w:sz="0" w:space="0" w:color="auto"/>
        <w:bottom w:val="none" w:sz="0" w:space="0" w:color="auto"/>
        <w:right w:val="none" w:sz="0" w:space="0" w:color="auto"/>
      </w:divBdr>
    </w:div>
    <w:div w:id="358627305">
      <w:bodyDiv w:val="1"/>
      <w:marLeft w:val="0"/>
      <w:marRight w:val="0"/>
      <w:marTop w:val="0"/>
      <w:marBottom w:val="0"/>
      <w:divBdr>
        <w:top w:val="none" w:sz="0" w:space="0" w:color="auto"/>
        <w:left w:val="none" w:sz="0" w:space="0" w:color="auto"/>
        <w:bottom w:val="none" w:sz="0" w:space="0" w:color="auto"/>
        <w:right w:val="none" w:sz="0" w:space="0" w:color="auto"/>
      </w:divBdr>
    </w:div>
    <w:div w:id="360278734">
      <w:bodyDiv w:val="1"/>
      <w:marLeft w:val="0"/>
      <w:marRight w:val="0"/>
      <w:marTop w:val="0"/>
      <w:marBottom w:val="0"/>
      <w:divBdr>
        <w:top w:val="none" w:sz="0" w:space="0" w:color="auto"/>
        <w:left w:val="none" w:sz="0" w:space="0" w:color="auto"/>
        <w:bottom w:val="none" w:sz="0" w:space="0" w:color="auto"/>
        <w:right w:val="none" w:sz="0" w:space="0" w:color="auto"/>
      </w:divBdr>
    </w:div>
    <w:div w:id="364333765">
      <w:bodyDiv w:val="1"/>
      <w:marLeft w:val="0"/>
      <w:marRight w:val="0"/>
      <w:marTop w:val="0"/>
      <w:marBottom w:val="0"/>
      <w:divBdr>
        <w:top w:val="none" w:sz="0" w:space="0" w:color="auto"/>
        <w:left w:val="none" w:sz="0" w:space="0" w:color="auto"/>
        <w:bottom w:val="none" w:sz="0" w:space="0" w:color="auto"/>
        <w:right w:val="none" w:sz="0" w:space="0" w:color="auto"/>
      </w:divBdr>
    </w:div>
    <w:div w:id="389614966">
      <w:bodyDiv w:val="1"/>
      <w:marLeft w:val="0"/>
      <w:marRight w:val="0"/>
      <w:marTop w:val="0"/>
      <w:marBottom w:val="0"/>
      <w:divBdr>
        <w:top w:val="none" w:sz="0" w:space="0" w:color="auto"/>
        <w:left w:val="none" w:sz="0" w:space="0" w:color="auto"/>
        <w:bottom w:val="none" w:sz="0" w:space="0" w:color="auto"/>
        <w:right w:val="none" w:sz="0" w:space="0" w:color="auto"/>
      </w:divBdr>
    </w:div>
    <w:div w:id="413362052">
      <w:bodyDiv w:val="1"/>
      <w:marLeft w:val="0"/>
      <w:marRight w:val="0"/>
      <w:marTop w:val="0"/>
      <w:marBottom w:val="0"/>
      <w:divBdr>
        <w:top w:val="none" w:sz="0" w:space="0" w:color="auto"/>
        <w:left w:val="none" w:sz="0" w:space="0" w:color="auto"/>
        <w:bottom w:val="none" w:sz="0" w:space="0" w:color="auto"/>
        <w:right w:val="none" w:sz="0" w:space="0" w:color="auto"/>
      </w:divBdr>
    </w:div>
    <w:div w:id="414670705">
      <w:bodyDiv w:val="1"/>
      <w:marLeft w:val="0"/>
      <w:marRight w:val="0"/>
      <w:marTop w:val="0"/>
      <w:marBottom w:val="0"/>
      <w:divBdr>
        <w:top w:val="none" w:sz="0" w:space="0" w:color="auto"/>
        <w:left w:val="none" w:sz="0" w:space="0" w:color="auto"/>
        <w:bottom w:val="none" w:sz="0" w:space="0" w:color="auto"/>
        <w:right w:val="none" w:sz="0" w:space="0" w:color="auto"/>
      </w:divBdr>
    </w:div>
    <w:div w:id="454833001">
      <w:bodyDiv w:val="1"/>
      <w:marLeft w:val="0"/>
      <w:marRight w:val="0"/>
      <w:marTop w:val="0"/>
      <w:marBottom w:val="0"/>
      <w:divBdr>
        <w:top w:val="none" w:sz="0" w:space="0" w:color="auto"/>
        <w:left w:val="none" w:sz="0" w:space="0" w:color="auto"/>
        <w:bottom w:val="none" w:sz="0" w:space="0" w:color="auto"/>
        <w:right w:val="none" w:sz="0" w:space="0" w:color="auto"/>
      </w:divBdr>
    </w:div>
    <w:div w:id="484973968">
      <w:bodyDiv w:val="1"/>
      <w:marLeft w:val="0"/>
      <w:marRight w:val="0"/>
      <w:marTop w:val="0"/>
      <w:marBottom w:val="0"/>
      <w:divBdr>
        <w:top w:val="none" w:sz="0" w:space="0" w:color="auto"/>
        <w:left w:val="none" w:sz="0" w:space="0" w:color="auto"/>
        <w:bottom w:val="none" w:sz="0" w:space="0" w:color="auto"/>
        <w:right w:val="none" w:sz="0" w:space="0" w:color="auto"/>
      </w:divBdr>
    </w:div>
    <w:div w:id="495266721">
      <w:bodyDiv w:val="1"/>
      <w:marLeft w:val="0"/>
      <w:marRight w:val="0"/>
      <w:marTop w:val="0"/>
      <w:marBottom w:val="0"/>
      <w:divBdr>
        <w:top w:val="none" w:sz="0" w:space="0" w:color="auto"/>
        <w:left w:val="none" w:sz="0" w:space="0" w:color="auto"/>
        <w:bottom w:val="none" w:sz="0" w:space="0" w:color="auto"/>
        <w:right w:val="none" w:sz="0" w:space="0" w:color="auto"/>
      </w:divBdr>
    </w:div>
    <w:div w:id="505629602">
      <w:bodyDiv w:val="1"/>
      <w:marLeft w:val="0"/>
      <w:marRight w:val="0"/>
      <w:marTop w:val="0"/>
      <w:marBottom w:val="0"/>
      <w:divBdr>
        <w:top w:val="none" w:sz="0" w:space="0" w:color="auto"/>
        <w:left w:val="none" w:sz="0" w:space="0" w:color="auto"/>
        <w:bottom w:val="none" w:sz="0" w:space="0" w:color="auto"/>
        <w:right w:val="none" w:sz="0" w:space="0" w:color="auto"/>
      </w:divBdr>
    </w:div>
    <w:div w:id="524488664">
      <w:bodyDiv w:val="1"/>
      <w:marLeft w:val="0"/>
      <w:marRight w:val="0"/>
      <w:marTop w:val="0"/>
      <w:marBottom w:val="0"/>
      <w:divBdr>
        <w:top w:val="none" w:sz="0" w:space="0" w:color="auto"/>
        <w:left w:val="none" w:sz="0" w:space="0" w:color="auto"/>
        <w:bottom w:val="none" w:sz="0" w:space="0" w:color="auto"/>
        <w:right w:val="none" w:sz="0" w:space="0" w:color="auto"/>
      </w:divBdr>
    </w:div>
    <w:div w:id="551698689">
      <w:bodyDiv w:val="1"/>
      <w:marLeft w:val="0"/>
      <w:marRight w:val="0"/>
      <w:marTop w:val="0"/>
      <w:marBottom w:val="0"/>
      <w:divBdr>
        <w:top w:val="none" w:sz="0" w:space="0" w:color="auto"/>
        <w:left w:val="none" w:sz="0" w:space="0" w:color="auto"/>
        <w:bottom w:val="none" w:sz="0" w:space="0" w:color="auto"/>
        <w:right w:val="none" w:sz="0" w:space="0" w:color="auto"/>
      </w:divBdr>
    </w:div>
    <w:div w:id="564991165">
      <w:bodyDiv w:val="1"/>
      <w:marLeft w:val="0"/>
      <w:marRight w:val="0"/>
      <w:marTop w:val="0"/>
      <w:marBottom w:val="0"/>
      <w:divBdr>
        <w:top w:val="none" w:sz="0" w:space="0" w:color="auto"/>
        <w:left w:val="none" w:sz="0" w:space="0" w:color="auto"/>
        <w:bottom w:val="none" w:sz="0" w:space="0" w:color="auto"/>
        <w:right w:val="none" w:sz="0" w:space="0" w:color="auto"/>
      </w:divBdr>
    </w:div>
    <w:div w:id="565576132">
      <w:bodyDiv w:val="1"/>
      <w:marLeft w:val="0"/>
      <w:marRight w:val="0"/>
      <w:marTop w:val="0"/>
      <w:marBottom w:val="0"/>
      <w:divBdr>
        <w:top w:val="none" w:sz="0" w:space="0" w:color="auto"/>
        <w:left w:val="none" w:sz="0" w:space="0" w:color="auto"/>
        <w:bottom w:val="none" w:sz="0" w:space="0" w:color="auto"/>
        <w:right w:val="none" w:sz="0" w:space="0" w:color="auto"/>
      </w:divBdr>
    </w:div>
    <w:div w:id="567040580">
      <w:bodyDiv w:val="1"/>
      <w:marLeft w:val="0"/>
      <w:marRight w:val="0"/>
      <w:marTop w:val="0"/>
      <w:marBottom w:val="0"/>
      <w:divBdr>
        <w:top w:val="none" w:sz="0" w:space="0" w:color="auto"/>
        <w:left w:val="none" w:sz="0" w:space="0" w:color="auto"/>
        <w:bottom w:val="none" w:sz="0" w:space="0" w:color="auto"/>
        <w:right w:val="none" w:sz="0" w:space="0" w:color="auto"/>
      </w:divBdr>
    </w:div>
    <w:div w:id="607396019">
      <w:bodyDiv w:val="1"/>
      <w:marLeft w:val="0"/>
      <w:marRight w:val="0"/>
      <w:marTop w:val="0"/>
      <w:marBottom w:val="0"/>
      <w:divBdr>
        <w:top w:val="none" w:sz="0" w:space="0" w:color="auto"/>
        <w:left w:val="none" w:sz="0" w:space="0" w:color="auto"/>
        <w:bottom w:val="none" w:sz="0" w:space="0" w:color="auto"/>
        <w:right w:val="none" w:sz="0" w:space="0" w:color="auto"/>
      </w:divBdr>
    </w:div>
    <w:div w:id="644747421">
      <w:bodyDiv w:val="1"/>
      <w:marLeft w:val="0"/>
      <w:marRight w:val="0"/>
      <w:marTop w:val="0"/>
      <w:marBottom w:val="0"/>
      <w:divBdr>
        <w:top w:val="none" w:sz="0" w:space="0" w:color="auto"/>
        <w:left w:val="none" w:sz="0" w:space="0" w:color="auto"/>
        <w:bottom w:val="none" w:sz="0" w:space="0" w:color="auto"/>
        <w:right w:val="none" w:sz="0" w:space="0" w:color="auto"/>
      </w:divBdr>
    </w:div>
    <w:div w:id="660079614">
      <w:bodyDiv w:val="1"/>
      <w:marLeft w:val="0"/>
      <w:marRight w:val="0"/>
      <w:marTop w:val="0"/>
      <w:marBottom w:val="0"/>
      <w:divBdr>
        <w:top w:val="none" w:sz="0" w:space="0" w:color="auto"/>
        <w:left w:val="none" w:sz="0" w:space="0" w:color="auto"/>
        <w:bottom w:val="none" w:sz="0" w:space="0" w:color="auto"/>
        <w:right w:val="none" w:sz="0" w:space="0" w:color="auto"/>
      </w:divBdr>
    </w:div>
    <w:div w:id="670646716">
      <w:bodyDiv w:val="1"/>
      <w:marLeft w:val="0"/>
      <w:marRight w:val="0"/>
      <w:marTop w:val="0"/>
      <w:marBottom w:val="0"/>
      <w:divBdr>
        <w:top w:val="none" w:sz="0" w:space="0" w:color="auto"/>
        <w:left w:val="none" w:sz="0" w:space="0" w:color="auto"/>
        <w:bottom w:val="none" w:sz="0" w:space="0" w:color="auto"/>
        <w:right w:val="none" w:sz="0" w:space="0" w:color="auto"/>
      </w:divBdr>
    </w:div>
    <w:div w:id="698121254">
      <w:bodyDiv w:val="1"/>
      <w:marLeft w:val="0"/>
      <w:marRight w:val="0"/>
      <w:marTop w:val="0"/>
      <w:marBottom w:val="0"/>
      <w:divBdr>
        <w:top w:val="none" w:sz="0" w:space="0" w:color="auto"/>
        <w:left w:val="none" w:sz="0" w:space="0" w:color="auto"/>
        <w:bottom w:val="none" w:sz="0" w:space="0" w:color="auto"/>
        <w:right w:val="none" w:sz="0" w:space="0" w:color="auto"/>
      </w:divBdr>
    </w:div>
    <w:div w:id="699864014">
      <w:bodyDiv w:val="1"/>
      <w:marLeft w:val="0"/>
      <w:marRight w:val="0"/>
      <w:marTop w:val="0"/>
      <w:marBottom w:val="0"/>
      <w:divBdr>
        <w:top w:val="none" w:sz="0" w:space="0" w:color="auto"/>
        <w:left w:val="none" w:sz="0" w:space="0" w:color="auto"/>
        <w:bottom w:val="none" w:sz="0" w:space="0" w:color="auto"/>
        <w:right w:val="none" w:sz="0" w:space="0" w:color="auto"/>
      </w:divBdr>
    </w:div>
    <w:div w:id="705570094">
      <w:bodyDiv w:val="1"/>
      <w:marLeft w:val="0"/>
      <w:marRight w:val="0"/>
      <w:marTop w:val="0"/>
      <w:marBottom w:val="0"/>
      <w:divBdr>
        <w:top w:val="none" w:sz="0" w:space="0" w:color="auto"/>
        <w:left w:val="none" w:sz="0" w:space="0" w:color="auto"/>
        <w:bottom w:val="none" w:sz="0" w:space="0" w:color="auto"/>
        <w:right w:val="none" w:sz="0" w:space="0" w:color="auto"/>
      </w:divBdr>
    </w:div>
    <w:div w:id="710615301">
      <w:bodyDiv w:val="1"/>
      <w:marLeft w:val="0"/>
      <w:marRight w:val="0"/>
      <w:marTop w:val="0"/>
      <w:marBottom w:val="0"/>
      <w:divBdr>
        <w:top w:val="none" w:sz="0" w:space="0" w:color="auto"/>
        <w:left w:val="none" w:sz="0" w:space="0" w:color="auto"/>
        <w:bottom w:val="none" w:sz="0" w:space="0" w:color="auto"/>
        <w:right w:val="none" w:sz="0" w:space="0" w:color="auto"/>
      </w:divBdr>
    </w:div>
    <w:div w:id="765346326">
      <w:bodyDiv w:val="1"/>
      <w:marLeft w:val="0"/>
      <w:marRight w:val="0"/>
      <w:marTop w:val="0"/>
      <w:marBottom w:val="0"/>
      <w:divBdr>
        <w:top w:val="none" w:sz="0" w:space="0" w:color="auto"/>
        <w:left w:val="none" w:sz="0" w:space="0" w:color="auto"/>
        <w:bottom w:val="none" w:sz="0" w:space="0" w:color="auto"/>
        <w:right w:val="none" w:sz="0" w:space="0" w:color="auto"/>
      </w:divBdr>
    </w:div>
    <w:div w:id="784007488">
      <w:bodyDiv w:val="1"/>
      <w:marLeft w:val="0"/>
      <w:marRight w:val="0"/>
      <w:marTop w:val="0"/>
      <w:marBottom w:val="0"/>
      <w:divBdr>
        <w:top w:val="none" w:sz="0" w:space="0" w:color="auto"/>
        <w:left w:val="none" w:sz="0" w:space="0" w:color="auto"/>
        <w:bottom w:val="none" w:sz="0" w:space="0" w:color="auto"/>
        <w:right w:val="none" w:sz="0" w:space="0" w:color="auto"/>
      </w:divBdr>
    </w:div>
    <w:div w:id="791486512">
      <w:bodyDiv w:val="1"/>
      <w:marLeft w:val="0"/>
      <w:marRight w:val="0"/>
      <w:marTop w:val="0"/>
      <w:marBottom w:val="0"/>
      <w:divBdr>
        <w:top w:val="none" w:sz="0" w:space="0" w:color="auto"/>
        <w:left w:val="none" w:sz="0" w:space="0" w:color="auto"/>
        <w:bottom w:val="none" w:sz="0" w:space="0" w:color="auto"/>
        <w:right w:val="none" w:sz="0" w:space="0" w:color="auto"/>
      </w:divBdr>
    </w:div>
    <w:div w:id="799878236">
      <w:bodyDiv w:val="1"/>
      <w:marLeft w:val="0"/>
      <w:marRight w:val="0"/>
      <w:marTop w:val="0"/>
      <w:marBottom w:val="0"/>
      <w:divBdr>
        <w:top w:val="none" w:sz="0" w:space="0" w:color="auto"/>
        <w:left w:val="none" w:sz="0" w:space="0" w:color="auto"/>
        <w:bottom w:val="none" w:sz="0" w:space="0" w:color="auto"/>
        <w:right w:val="none" w:sz="0" w:space="0" w:color="auto"/>
      </w:divBdr>
    </w:div>
    <w:div w:id="802966786">
      <w:bodyDiv w:val="1"/>
      <w:marLeft w:val="0"/>
      <w:marRight w:val="0"/>
      <w:marTop w:val="0"/>
      <w:marBottom w:val="0"/>
      <w:divBdr>
        <w:top w:val="none" w:sz="0" w:space="0" w:color="auto"/>
        <w:left w:val="none" w:sz="0" w:space="0" w:color="auto"/>
        <w:bottom w:val="none" w:sz="0" w:space="0" w:color="auto"/>
        <w:right w:val="none" w:sz="0" w:space="0" w:color="auto"/>
      </w:divBdr>
    </w:div>
    <w:div w:id="804347018">
      <w:bodyDiv w:val="1"/>
      <w:marLeft w:val="0"/>
      <w:marRight w:val="0"/>
      <w:marTop w:val="0"/>
      <w:marBottom w:val="0"/>
      <w:divBdr>
        <w:top w:val="none" w:sz="0" w:space="0" w:color="auto"/>
        <w:left w:val="none" w:sz="0" w:space="0" w:color="auto"/>
        <w:bottom w:val="none" w:sz="0" w:space="0" w:color="auto"/>
        <w:right w:val="none" w:sz="0" w:space="0" w:color="auto"/>
      </w:divBdr>
    </w:div>
    <w:div w:id="806705639">
      <w:bodyDiv w:val="1"/>
      <w:marLeft w:val="0"/>
      <w:marRight w:val="0"/>
      <w:marTop w:val="0"/>
      <w:marBottom w:val="0"/>
      <w:divBdr>
        <w:top w:val="none" w:sz="0" w:space="0" w:color="auto"/>
        <w:left w:val="none" w:sz="0" w:space="0" w:color="auto"/>
        <w:bottom w:val="none" w:sz="0" w:space="0" w:color="auto"/>
        <w:right w:val="none" w:sz="0" w:space="0" w:color="auto"/>
      </w:divBdr>
    </w:div>
    <w:div w:id="813596140">
      <w:bodyDiv w:val="1"/>
      <w:marLeft w:val="0"/>
      <w:marRight w:val="0"/>
      <w:marTop w:val="0"/>
      <w:marBottom w:val="0"/>
      <w:divBdr>
        <w:top w:val="none" w:sz="0" w:space="0" w:color="auto"/>
        <w:left w:val="none" w:sz="0" w:space="0" w:color="auto"/>
        <w:bottom w:val="none" w:sz="0" w:space="0" w:color="auto"/>
        <w:right w:val="none" w:sz="0" w:space="0" w:color="auto"/>
      </w:divBdr>
    </w:div>
    <w:div w:id="816192735">
      <w:bodyDiv w:val="1"/>
      <w:marLeft w:val="0"/>
      <w:marRight w:val="0"/>
      <w:marTop w:val="0"/>
      <w:marBottom w:val="0"/>
      <w:divBdr>
        <w:top w:val="none" w:sz="0" w:space="0" w:color="auto"/>
        <w:left w:val="none" w:sz="0" w:space="0" w:color="auto"/>
        <w:bottom w:val="none" w:sz="0" w:space="0" w:color="auto"/>
        <w:right w:val="none" w:sz="0" w:space="0" w:color="auto"/>
      </w:divBdr>
    </w:div>
    <w:div w:id="837381417">
      <w:bodyDiv w:val="1"/>
      <w:marLeft w:val="0"/>
      <w:marRight w:val="0"/>
      <w:marTop w:val="0"/>
      <w:marBottom w:val="0"/>
      <w:divBdr>
        <w:top w:val="none" w:sz="0" w:space="0" w:color="auto"/>
        <w:left w:val="none" w:sz="0" w:space="0" w:color="auto"/>
        <w:bottom w:val="none" w:sz="0" w:space="0" w:color="auto"/>
        <w:right w:val="none" w:sz="0" w:space="0" w:color="auto"/>
      </w:divBdr>
    </w:div>
    <w:div w:id="840972970">
      <w:bodyDiv w:val="1"/>
      <w:marLeft w:val="0"/>
      <w:marRight w:val="0"/>
      <w:marTop w:val="0"/>
      <w:marBottom w:val="0"/>
      <w:divBdr>
        <w:top w:val="none" w:sz="0" w:space="0" w:color="auto"/>
        <w:left w:val="none" w:sz="0" w:space="0" w:color="auto"/>
        <w:bottom w:val="none" w:sz="0" w:space="0" w:color="auto"/>
        <w:right w:val="none" w:sz="0" w:space="0" w:color="auto"/>
      </w:divBdr>
    </w:div>
    <w:div w:id="845941910">
      <w:bodyDiv w:val="1"/>
      <w:marLeft w:val="0"/>
      <w:marRight w:val="0"/>
      <w:marTop w:val="0"/>
      <w:marBottom w:val="0"/>
      <w:divBdr>
        <w:top w:val="none" w:sz="0" w:space="0" w:color="auto"/>
        <w:left w:val="none" w:sz="0" w:space="0" w:color="auto"/>
        <w:bottom w:val="none" w:sz="0" w:space="0" w:color="auto"/>
        <w:right w:val="none" w:sz="0" w:space="0" w:color="auto"/>
      </w:divBdr>
    </w:div>
    <w:div w:id="847404018">
      <w:bodyDiv w:val="1"/>
      <w:marLeft w:val="0"/>
      <w:marRight w:val="0"/>
      <w:marTop w:val="0"/>
      <w:marBottom w:val="0"/>
      <w:divBdr>
        <w:top w:val="none" w:sz="0" w:space="0" w:color="auto"/>
        <w:left w:val="none" w:sz="0" w:space="0" w:color="auto"/>
        <w:bottom w:val="none" w:sz="0" w:space="0" w:color="auto"/>
        <w:right w:val="none" w:sz="0" w:space="0" w:color="auto"/>
      </w:divBdr>
    </w:div>
    <w:div w:id="863862155">
      <w:bodyDiv w:val="1"/>
      <w:marLeft w:val="0"/>
      <w:marRight w:val="0"/>
      <w:marTop w:val="0"/>
      <w:marBottom w:val="0"/>
      <w:divBdr>
        <w:top w:val="none" w:sz="0" w:space="0" w:color="auto"/>
        <w:left w:val="none" w:sz="0" w:space="0" w:color="auto"/>
        <w:bottom w:val="none" w:sz="0" w:space="0" w:color="auto"/>
        <w:right w:val="none" w:sz="0" w:space="0" w:color="auto"/>
      </w:divBdr>
    </w:div>
    <w:div w:id="887372971">
      <w:bodyDiv w:val="1"/>
      <w:marLeft w:val="0"/>
      <w:marRight w:val="0"/>
      <w:marTop w:val="0"/>
      <w:marBottom w:val="0"/>
      <w:divBdr>
        <w:top w:val="none" w:sz="0" w:space="0" w:color="auto"/>
        <w:left w:val="none" w:sz="0" w:space="0" w:color="auto"/>
        <w:bottom w:val="none" w:sz="0" w:space="0" w:color="auto"/>
        <w:right w:val="none" w:sz="0" w:space="0" w:color="auto"/>
      </w:divBdr>
    </w:div>
    <w:div w:id="898246532">
      <w:bodyDiv w:val="1"/>
      <w:marLeft w:val="0"/>
      <w:marRight w:val="0"/>
      <w:marTop w:val="0"/>
      <w:marBottom w:val="0"/>
      <w:divBdr>
        <w:top w:val="none" w:sz="0" w:space="0" w:color="auto"/>
        <w:left w:val="none" w:sz="0" w:space="0" w:color="auto"/>
        <w:bottom w:val="none" w:sz="0" w:space="0" w:color="auto"/>
        <w:right w:val="none" w:sz="0" w:space="0" w:color="auto"/>
      </w:divBdr>
    </w:div>
    <w:div w:id="898706570">
      <w:bodyDiv w:val="1"/>
      <w:marLeft w:val="0"/>
      <w:marRight w:val="0"/>
      <w:marTop w:val="0"/>
      <w:marBottom w:val="0"/>
      <w:divBdr>
        <w:top w:val="none" w:sz="0" w:space="0" w:color="auto"/>
        <w:left w:val="none" w:sz="0" w:space="0" w:color="auto"/>
        <w:bottom w:val="none" w:sz="0" w:space="0" w:color="auto"/>
        <w:right w:val="none" w:sz="0" w:space="0" w:color="auto"/>
      </w:divBdr>
    </w:div>
    <w:div w:id="935862232">
      <w:bodyDiv w:val="1"/>
      <w:marLeft w:val="0"/>
      <w:marRight w:val="0"/>
      <w:marTop w:val="0"/>
      <w:marBottom w:val="0"/>
      <w:divBdr>
        <w:top w:val="none" w:sz="0" w:space="0" w:color="auto"/>
        <w:left w:val="none" w:sz="0" w:space="0" w:color="auto"/>
        <w:bottom w:val="none" w:sz="0" w:space="0" w:color="auto"/>
        <w:right w:val="none" w:sz="0" w:space="0" w:color="auto"/>
      </w:divBdr>
    </w:div>
    <w:div w:id="939484835">
      <w:bodyDiv w:val="1"/>
      <w:marLeft w:val="0"/>
      <w:marRight w:val="0"/>
      <w:marTop w:val="0"/>
      <w:marBottom w:val="0"/>
      <w:divBdr>
        <w:top w:val="none" w:sz="0" w:space="0" w:color="auto"/>
        <w:left w:val="none" w:sz="0" w:space="0" w:color="auto"/>
        <w:bottom w:val="none" w:sz="0" w:space="0" w:color="auto"/>
        <w:right w:val="none" w:sz="0" w:space="0" w:color="auto"/>
      </w:divBdr>
    </w:div>
    <w:div w:id="956175906">
      <w:bodyDiv w:val="1"/>
      <w:marLeft w:val="0"/>
      <w:marRight w:val="0"/>
      <w:marTop w:val="0"/>
      <w:marBottom w:val="0"/>
      <w:divBdr>
        <w:top w:val="none" w:sz="0" w:space="0" w:color="auto"/>
        <w:left w:val="none" w:sz="0" w:space="0" w:color="auto"/>
        <w:bottom w:val="none" w:sz="0" w:space="0" w:color="auto"/>
        <w:right w:val="none" w:sz="0" w:space="0" w:color="auto"/>
      </w:divBdr>
    </w:div>
    <w:div w:id="959071926">
      <w:bodyDiv w:val="1"/>
      <w:marLeft w:val="0"/>
      <w:marRight w:val="0"/>
      <w:marTop w:val="0"/>
      <w:marBottom w:val="0"/>
      <w:divBdr>
        <w:top w:val="none" w:sz="0" w:space="0" w:color="auto"/>
        <w:left w:val="none" w:sz="0" w:space="0" w:color="auto"/>
        <w:bottom w:val="none" w:sz="0" w:space="0" w:color="auto"/>
        <w:right w:val="none" w:sz="0" w:space="0" w:color="auto"/>
      </w:divBdr>
    </w:div>
    <w:div w:id="974261160">
      <w:bodyDiv w:val="1"/>
      <w:marLeft w:val="0"/>
      <w:marRight w:val="0"/>
      <w:marTop w:val="0"/>
      <w:marBottom w:val="0"/>
      <w:divBdr>
        <w:top w:val="none" w:sz="0" w:space="0" w:color="auto"/>
        <w:left w:val="none" w:sz="0" w:space="0" w:color="auto"/>
        <w:bottom w:val="none" w:sz="0" w:space="0" w:color="auto"/>
        <w:right w:val="none" w:sz="0" w:space="0" w:color="auto"/>
      </w:divBdr>
    </w:div>
    <w:div w:id="980840678">
      <w:bodyDiv w:val="1"/>
      <w:marLeft w:val="0"/>
      <w:marRight w:val="0"/>
      <w:marTop w:val="0"/>
      <w:marBottom w:val="0"/>
      <w:divBdr>
        <w:top w:val="none" w:sz="0" w:space="0" w:color="auto"/>
        <w:left w:val="none" w:sz="0" w:space="0" w:color="auto"/>
        <w:bottom w:val="none" w:sz="0" w:space="0" w:color="auto"/>
        <w:right w:val="none" w:sz="0" w:space="0" w:color="auto"/>
      </w:divBdr>
    </w:div>
    <w:div w:id="984433895">
      <w:bodyDiv w:val="1"/>
      <w:marLeft w:val="0"/>
      <w:marRight w:val="0"/>
      <w:marTop w:val="0"/>
      <w:marBottom w:val="0"/>
      <w:divBdr>
        <w:top w:val="none" w:sz="0" w:space="0" w:color="auto"/>
        <w:left w:val="none" w:sz="0" w:space="0" w:color="auto"/>
        <w:bottom w:val="none" w:sz="0" w:space="0" w:color="auto"/>
        <w:right w:val="none" w:sz="0" w:space="0" w:color="auto"/>
      </w:divBdr>
    </w:div>
    <w:div w:id="996106055">
      <w:bodyDiv w:val="1"/>
      <w:marLeft w:val="0"/>
      <w:marRight w:val="0"/>
      <w:marTop w:val="0"/>
      <w:marBottom w:val="0"/>
      <w:divBdr>
        <w:top w:val="none" w:sz="0" w:space="0" w:color="auto"/>
        <w:left w:val="none" w:sz="0" w:space="0" w:color="auto"/>
        <w:bottom w:val="none" w:sz="0" w:space="0" w:color="auto"/>
        <w:right w:val="none" w:sz="0" w:space="0" w:color="auto"/>
      </w:divBdr>
    </w:div>
    <w:div w:id="1004360215">
      <w:bodyDiv w:val="1"/>
      <w:marLeft w:val="0"/>
      <w:marRight w:val="0"/>
      <w:marTop w:val="0"/>
      <w:marBottom w:val="0"/>
      <w:divBdr>
        <w:top w:val="none" w:sz="0" w:space="0" w:color="auto"/>
        <w:left w:val="none" w:sz="0" w:space="0" w:color="auto"/>
        <w:bottom w:val="none" w:sz="0" w:space="0" w:color="auto"/>
        <w:right w:val="none" w:sz="0" w:space="0" w:color="auto"/>
      </w:divBdr>
    </w:div>
    <w:div w:id="1027875442">
      <w:bodyDiv w:val="1"/>
      <w:marLeft w:val="0"/>
      <w:marRight w:val="0"/>
      <w:marTop w:val="0"/>
      <w:marBottom w:val="0"/>
      <w:divBdr>
        <w:top w:val="none" w:sz="0" w:space="0" w:color="auto"/>
        <w:left w:val="none" w:sz="0" w:space="0" w:color="auto"/>
        <w:bottom w:val="none" w:sz="0" w:space="0" w:color="auto"/>
        <w:right w:val="none" w:sz="0" w:space="0" w:color="auto"/>
      </w:divBdr>
    </w:div>
    <w:div w:id="1038431126">
      <w:bodyDiv w:val="1"/>
      <w:marLeft w:val="0"/>
      <w:marRight w:val="0"/>
      <w:marTop w:val="0"/>
      <w:marBottom w:val="0"/>
      <w:divBdr>
        <w:top w:val="none" w:sz="0" w:space="0" w:color="auto"/>
        <w:left w:val="none" w:sz="0" w:space="0" w:color="auto"/>
        <w:bottom w:val="none" w:sz="0" w:space="0" w:color="auto"/>
        <w:right w:val="none" w:sz="0" w:space="0" w:color="auto"/>
      </w:divBdr>
    </w:div>
    <w:div w:id="1072435037">
      <w:bodyDiv w:val="1"/>
      <w:marLeft w:val="0"/>
      <w:marRight w:val="0"/>
      <w:marTop w:val="0"/>
      <w:marBottom w:val="0"/>
      <w:divBdr>
        <w:top w:val="none" w:sz="0" w:space="0" w:color="auto"/>
        <w:left w:val="none" w:sz="0" w:space="0" w:color="auto"/>
        <w:bottom w:val="none" w:sz="0" w:space="0" w:color="auto"/>
        <w:right w:val="none" w:sz="0" w:space="0" w:color="auto"/>
      </w:divBdr>
    </w:div>
    <w:div w:id="1072461922">
      <w:bodyDiv w:val="1"/>
      <w:marLeft w:val="0"/>
      <w:marRight w:val="0"/>
      <w:marTop w:val="0"/>
      <w:marBottom w:val="0"/>
      <w:divBdr>
        <w:top w:val="none" w:sz="0" w:space="0" w:color="auto"/>
        <w:left w:val="none" w:sz="0" w:space="0" w:color="auto"/>
        <w:bottom w:val="none" w:sz="0" w:space="0" w:color="auto"/>
        <w:right w:val="none" w:sz="0" w:space="0" w:color="auto"/>
      </w:divBdr>
    </w:div>
    <w:div w:id="1091971690">
      <w:bodyDiv w:val="1"/>
      <w:marLeft w:val="0"/>
      <w:marRight w:val="0"/>
      <w:marTop w:val="0"/>
      <w:marBottom w:val="0"/>
      <w:divBdr>
        <w:top w:val="none" w:sz="0" w:space="0" w:color="auto"/>
        <w:left w:val="none" w:sz="0" w:space="0" w:color="auto"/>
        <w:bottom w:val="none" w:sz="0" w:space="0" w:color="auto"/>
        <w:right w:val="none" w:sz="0" w:space="0" w:color="auto"/>
      </w:divBdr>
    </w:div>
    <w:div w:id="1112044980">
      <w:bodyDiv w:val="1"/>
      <w:marLeft w:val="0"/>
      <w:marRight w:val="0"/>
      <w:marTop w:val="0"/>
      <w:marBottom w:val="0"/>
      <w:divBdr>
        <w:top w:val="none" w:sz="0" w:space="0" w:color="auto"/>
        <w:left w:val="none" w:sz="0" w:space="0" w:color="auto"/>
        <w:bottom w:val="none" w:sz="0" w:space="0" w:color="auto"/>
        <w:right w:val="none" w:sz="0" w:space="0" w:color="auto"/>
      </w:divBdr>
    </w:div>
    <w:div w:id="1124039267">
      <w:bodyDiv w:val="1"/>
      <w:marLeft w:val="0"/>
      <w:marRight w:val="0"/>
      <w:marTop w:val="0"/>
      <w:marBottom w:val="0"/>
      <w:divBdr>
        <w:top w:val="none" w:sz="0" w:space="0" w:color="auto"/>
        <w:left w:val="none" w:sz="0" w:space="0" w:color="auto"/>
        <w:bottom w:val="none" w:sz="0" w:space="0" w:color="auto"/>
        <w:right w:val="none" w:sz="0" w:space="0" w:color="auto"/>
      </w:divBdr>
    </w:div>
    <w:div w:id="1125276328">
      <w:bodyDiv w:val="1"/>
      <w:marLeft w:val="0"/>
      <w:marRight w:val="0"/>
      <w:marTop w:val="0"/>
      <w:marBottom w:val="0"/>
      <w:divBdr>
        <w:top w:val="none" w:sz="0" w:space="0" w:color="auto"/>
        <w:left w:val="none" w:sz="0" w:space="0" w:color="auto"/>
        <w:bottom w:val="none" w:sz="0" w:space="0" w:color="auto"/>
        <w:right w:val="none" w:sz="0" w:space="0" w:color="auto"/>
      </w:divBdr>
    </w:div>
    <w:div w:id="1134562645">
      <w:bodyDiv w:val="1"/>
      <w:marLeft w:val="0"/>
      <w:marRight w:val="0"/>
      <w:marTop w:val="0"/>
      <w:marBottom w:val="0"/>
      <w:divBdr>
        <w:top w:val="none" w:sz="0" w:space="0" w:color="auto"/>
        <w:left w:val="none" w:sz="0" w:space="0" w:color="auto"/>
        <w:bottom w:val="none" w:sz="0" w:space="0" w:color="auto"/>
        <w:right w:val="none" w:sz="0" w:space="0" w:color="auto"/>
      </w:divBdr>
    </w:div>
    <w:div w:id="1144276965">
      <w:bodyDiv w:val="1"/>
      <w:marLeft w:val="0"/>
      <w:marRight w:val="0"/>
      <w:marTop w:val="0"/>
      <w:marBottom w:val="0"/>
      <w:divBdr>
        <w:top w:val="none" w:sz="0" w:space="0" w:color="auto"/>
        <w:left w:val="none" w:sz="0" w:space="0" w:color="auto"/>
        <w:bottom w:val="none" w:sz="0" w:space="0" w:color="auto"/>
        <w:right w:val="none" w:sz="0" w:space="0" w:color="auto"/>
      </w:divBdr>
    </w:div>
    <w:div w:id="1213469829">
      <w:bodyDiv w:val="1"/>
      <w:marLeft w:val="0"/>
      <w:marRight w:val="0"/>
      <w:marTop w:val="0"/>
      <w:marBottom w:val="0"/>
      <w:divBdr>
        <w:top w:val="none" w:sz="0" w:space="0" w:color="auto"/>
        <w:left w:val="none" w:sz="0" w:space="0" w:color="auto"/>
        <w:bottom w:val="none" w:sz="0" w:space="0" w:color="auto"/>
        <w:right w:val="none" w:sz="0" w:space="0" w:color="auto"/>
      </w:divBdr>
    </w:div>
    <w:div w:id="1213539561">
      <w:bodyDiv w:val="1"/>
      <w:marLeft w:val="0"/>
      <w:marRight w:val="0"/>
      <w:marTop w:val="0"/>
      <w:marBottom w:val="0"/>
      <w:divBdr>
        <w:top w:val="none" w:sz="0" w:space="0" w:color="auto"/>
        <w:left w:val="none" w:sz="0" w:space="0" w:color="auto"/>
        <w:bottom w:val="none" w:sz="0" w:space="0" w:color="auto"/>
        <w:right w:val="none" w:sz="0" w:space="0" w:color="auto"/>
      </w:divBdr>
    </w:div>
    <w:div w:id="1226455690">
      <w:bodyDiv w:val="1"/>
      <w:marLeft w:val="0"/>
      <w:marRight w:val="0"/>
      <w:marTop w:val="0"/>
      <w:marBottom w:val="0"/>
      <w:divBdr>
        <w:top w:val="none" w:sz="0" w:space="0" w:color="auto"/>
        <w:left w:val="none" w:sz="0" w:space="0" w:color="auto"/>
        <w:bottom w:val="none" w:sz="0" w:space="0" w:color="auto"/>
        <w:right w:val="none" w:sz="0" w:space="0" w:color="auto"/>
      </w:divBdr>
    </w:div>
    <w:div w:id="1245382009">
      <w:bodyDiv w:val="1"/>
      <w:marLeft w:val="0"/>
      <w:marRight w:val="0"/>
      <w:marTop w:val="0"/>
      <w:marBottom w:val="0"/>
      <w:divBdr>
        <w:top w:val="none" w:sz="0" w:space="0" w:color="auto"/>
        <w:left w:val="none" w:sz="0" w:space="0" w:color="auto"/>
        <w:bottom w:val="none" w:sz="0" w:space="0" w:color="auto"/>
        <w:right w:val="none" w:sz="0" w:space="0" w:color="auto"/>
      </w:divBdr>
    </w:div>
    <w:div w:id="1247037483">
      <w:bodyDiv w:val="1"/>
      <w:marLeft w:val="0"/>
      <w:marRight w:val="0"/>
      <w:marTop w:val="0"/>
      <w:marBottom w:val="0"/>
      <w:divBdr>
        <w:top w:val="none" w:sz="0" w:space="0" w:color="auto"/>
        <w:left w:val="none" w:sz="0" w:space="0" w:color="auto"/>
        <w:bottom w:val="none" w:sz="0" w:space="0" w:color="auto"/>
        <w:right w:val="none" w:sz="0" w:space="0" w:color="auto"/>
      </w:divBdr>
    </w:div>
    <w:div w:id="1248541884">
      <w:bodyDiv w:val="1"/>
      <w:marLeft w:val="0"/>
      <w:marRight w:val="0"/>
      <w:marTop w:val="0"/>
      <w:marBottom w:val="0"/>
      <w:divBdr>
        <w:top w:val="none" w:sz="0" w:space="0" w:color="auto"/>
        <w:left w:val="none" w:sz="0" w:space="0" w:color="auto"/>
        <w:bottom w:val="none" w:sz="0" w:space="0" w:color="auto"/>
        <w:right w:val="none" w:sz="0" w:space="0" w:color="auto"/>
      </w:divBdr>
    </w:div>
    <w:div w:id="1249195181">
      <w:bodyDiv w:val="1"/>
      <w:marLeft w:val="0"/>
      <w:marRight w:val="0"/>
      <w:marTop w:val="0"/>
      <w:marBottom w:val="0"/>
      <w:divBdr>
        <w:top w:val="none" w:sz="0" w:space="0" w:color="auto"/>
        <w:left w:val="none" w:sz="0" w:space="0" w:color="auto"/>
        <w:bottom w:val="none" w:sz="0" w:space="0" w:color="auto"/>
        <w:right w:val="none" w:sz="0" w:space="0" w:color="auto"/>
      </w:divBdr>
    </w:div>
    <w:div w:id="1252080741">
      <w:bodyDiv w:val="1"/>
      <w:marLeft w:val="0"/>
      <w:marRight w:val="0"/>
      <w:marTop w:val="0"/>
      <w:marBottom w:val="0"/>
      <w:divBdr>
        <w:top w:val="none" w:sz="0" w:space="0" w:color="auto"/>
        <w:left w:val="none" w:sz="0" w:space="0" w:color="auto"/>
        <w:bottom w:val="none" w:sz="0" w:space="0" w:color="auto"/>
        <w:right w:val="none" w:sz="0" w:space="0" w:color="auto"/>
      </w:divBdr>
    </w:div>
    <w:div w:id="1268808325">
      <w:bodyDiv w:val="1"/>
      <w:marLeft w:val="0"/>
      <w:marRight w:val="0"/>
      <w:marTop w:val="0"/>
      <w:marBottom w:val="0"/>
      <w:divBdr>
        <w:top w:val="none" w:sz="0" w:space="0" w:color="auto"/>
        <w:left w:val="none" w:sz="0" w:space="0" w:color="auto"/>
        <w:bottom w:val="none" w:sz="0" w:space="0" w:color="auto"/>
        <w:right w:val="none" w:sz="0" w:space="0" w:color="auto"/>
      </w:divBdr>
    </w:div>
    <w:div w:id="1286424249">
      <w:bodyDiv w:val="1"/>
      <w:marLeft w:val="0"/>
      <w:marRight w:val="0"/>
      <w:marTop w:val="0"/>
      <w:marBottom w:val="0"/>
      <w:divBdr>
        <w:top w:val="none" w:sz="0" w:space="0" w:color="auto"/>
        <w:left w:val="none" w:sz="0" w:space="0" w:color="auto"/>
        <w:bottom w:val="none" w:sz="0" w:space="0" w:color="auto"/>
        <w:right w:val="none" w:sz="0" w:space="0" w:color="auto"/>
      </w:divBdr>
    </w:div>
    <w:div w:id="1290016304">
      <w:bodyDiv w:val="1"/>
      <w:marLeft w:val="0"/>
      <w:marRight w:val="0"/>
      <w:marTop w:val="0"/>
      <w:marBottom w:val="0"/>
      <w:divBdr>
        <w:top w:val="none" w:sz="0" w:space="0" w:color="auto"/>
        <w:left w:val="none" w:sz="0" w:space="0" w:color="auto"/>
        <w:bottom w:val="none" w:sz="0" w:space="0" w:color="auto"/>
        <w:right w:val="none" w:sz="0" w:space="0" w:color="auto"/>
      </w:divBdr>
    </w:div>
    <w:div w:id="1291669388">
      <w:bodyDiv w:val="1"/>
      <w:marLeft w:val="0"/>
      <w:marRight w:val="0"/>
      <w:marTop w:val="0"/>
      <w:marBottom w:val="0"/>
      <w:divBdr>
        <w:top w:val="none" w:sz="0" w:space="0" w:color="auto"/>
        <w:left w:val="none" w:sz="0" w:space="0" w:color="auto"/>
        <w:bottom w:val="none" w:sz="0" w:space="0" w:color="auto"/>
        <w:right w:val="none" w:sz="0" w:space="0" w:color="auto"/>
      </w:divBdr>
    </w:div>
    <w:div w:id="1292402306">
      <w:bodyDiv w:val="1"/>
      <w:marLeft w:val="0"/>
      <w:marRight w:val="0"/>
      <w:marTop w:val="0"/>
      <w:marBottom w:val="0"/>
      <w:divBdr>
        <w:top w:val="none" w:sz="0" w:space="0" w:color="auto"/>
        <w:left w:val="none" w:sz="0" w:space="0" w:color="auto"/>
        <w:bottom w:val="none" w:sz="0" w:space="0" w:color="auto"/>
        <w:right w:val="none" w:sz="0" w:space="0" w:color="auto"/>
      </w:divBdr>
    </w:div>
    <w:div w:id="1295679415">
      <w:bodyDiv w:val="1"/>
      <w:marLeft w:val="0"/>
      <w:marRight w:val="0"/>
      <w:marTop w:val="0"/>
      <w:marBottom w:val="0"/>
      <w:divBdr>
        <w:top w:val="none" w:sz="0" w:space="0" w:color="auto"/>
        <w:left w:val="none" w:sz="0" w:space="0" w:color="auto"/>
        <w:bottom w:val="none" w:sz="0" w:space="0" w:color="auto"/>
        <w:right w:val="none" w:sz="0" w:space="0" w:color="auto"/>
      </w:divBdr>
    </w:div>
    <w:div w:id="1309675815">
      <w:bodyDiv w:val="1"/>
      <w:marLeft w:val="0"/>
      <w:marRight w:val="0"/>
      <w:marTop w:val="0"/>
      <w:marBottom w:val="0"/>
      <w:divBdr>
        <w:top w:val="none" w:sz="0" w:space="0" w:color="auto"/>
        <w:left w:val="none" w:sz="0" w:space="0" w:color="auto"/>
        <w:bottom w:val="none" w:sz="0" w:space="0" w:color="auto"/>
        <w:right w:val="none" w:sz="0" w:space="0" w:color="auto"/>
      </w:divBdr>
    </w:div>
    <w:div w:id="1314069338">
      <w:bodyDiv w:val="1"/>
      <w:marLeft w:val="0"/>
      <w:marRight w:val="0"/>
      <w:marTop w:val="0"/>
      <w:marBottom w:val="0"/>
      <w:divBdr>
        <w:top w:val="none" w:sz="0" w:space="0" w:color="auto"/>
        <w:left w:val="none" w:sz="0" w:space="0" w:color="auto"/>
        <w:bottom w:val="none" w:sz="0" w:space="0" w:color="auto"/>
        <w:right w:val="none" w:sz="0" w:space="0" w:color="auto"/>
      </w:divBdr>
    </w:div>
    <w:div w:id="1317153078">
      <w:bodyDiv w:val="1"/>
      <w:marLeft w:val="0"/>
      <w:marRight w:val="0"/>
      <w:marTop w:val="0"/>
      <w:marBottom w:val="0"/>
      <w:divBdr>
        <w:top w:val="none" w:sz="0" w:space="0" w:color="auto"/>
        <w:left w:val="none" w:sz="0" w:space="0" w:color="auto"/>
        <w:bottom w:val="none" w:sz="0" w:space="0" w:color="auto"/>
        <w:right w:val="none" w:sz="0" w:space="0" w:color="auto"/>
      </w:divBdr>
    </w:div>
    <w:div w:id="1347712726">
      <w:bodyDiv w:val="1"/>
      <w:marLeft w:val="0"/>
      <w:marRight w:val="0"/>
      <w:marTop w:val="0"/>
      <w:marBottom w:val="0"/>
      <w:divBdr>
        <w:top w:val="none" w:sz="0" w:space="0" w:color="auto"/>
        <w:left w:val="none" w:sz="0" w:space="0" w:color="auto"/>
        <w:bottom w:val="none" w:sz="0" w:space="0" w:color="auto"/>
        <w:right w:val="none" w:sz="0" w:space="0" w:color="auto"/>
      </w:divBdr>
    </w:div>
    <w:div w:id="1376782506">
      <w:bodyDiv w:val="1"/>
      <w:marLeft w:val="0"/>
      <w:marRight w:val="0"/>
      <w:marTop w:val="0"/>
      <w:marBottom w:val="0"/>
      <w:divBdr>
        <w:top w:val="none" w:sz="0" w:space="0" w:color="auto"/>
        <w:left w:val="none" w:sz="0" w:space="0" w:color="auto"/>
        <w:bottom w:val="none" w:sz="0" w:space="0" w:color="auto"/>
        <w:right w:val="none" w:sz="0" w:space="0" w:color="auto"/>
      </w:divBdr>
    </w:div>
    <w:div w:id="1389845399">
      <w:bodyDiv w:val="1"/>
      <w:marLeft w:val="0"/>
      <w:marRight w:val="0"/>
      <w:marTop w:val="0"/>
      <w:marBottom w:val="0"/>
      <w:divBdr>
        <w:top w:val="none" w:sz="0" w:space="0" w:color="auto"/>
        <w:left w:val="none" w:sz="0" w:space="0" w:color="auto"/>
        <w:bottom w:val="none" w:sz="0" w:space="0" w:color="auto"/>
        <w:right w:val="none" w:sz="0" w:space="0" w:color="auto"/>
      </w:divBdr>
    </w:div>
    <w:div w:id="1429540686">
      <w:bodyDiv w:val="1"/>
      <w:marLeft w:val="0"/>
      <w:marRight w:val="0"/>
      <w:marTop w:val="0"/>
      <w:marBottom w:val="0"/>
      <w:divBdr>
        <w:top w:val="none" w:sz="0" w:space="0" w:color="auto"/>
        <w:left w:val="none" w:sz="0" w:space="0" w:color="auto"/>
        <w:bottom w:val="none" w:sz="0" w:space="0" w:color="auto"/>
        <w:right w:val="none" w:sz="0" w:space="0" w:color="auto"/>
      </w:divBdr>
    </w:div>
    <w:div w:id="1447121084">
      <w:bodyDiv w:val="1"/>
      <w:marLeft w:val="0"/>
      <w:marRight w:val="0"/>
      <w:marTop w:val="0"/>
      <w:marBottom w:val="0"/>
      <w:divBdr>
        <w:top w:val="none" w:sz="0" w:space="0" w:color="auto"/>
        <w:left w:val="none" w:sz="0" w:space="0" w:color="auto"/>
        <w:bottom w:val="none" w:sz="0" w:space="0" w:color="auto"/>
        <w:right w:val="none" w:sz="0" w:space="0" w:color="auto"/>
      </w:divBdr>
    </w:div>
    <w:div w:id="1451053719">
      <w:bodyDiv w:val="1"/>
      <w:marLeft w:val="0"/>
      <w:marRight w:val="0"/>
      <w:marTop w:val="0"/>
      <w:marBottom w:val="0"/>
      <w:divBdr>
        <w:top w:val="none" w:sz="0" w:space="0" w:color="auto"/>
        <w:left w:val="none" w:sz="0" w:space="0" w:color="auto"/>
        <w:bottom w:val="none" w:sz="0" w:space="0" w:color="auto"/>
        <w:right w:val="none" w:sz="0" w:space="0" w:color="auto"/>
      </w:divBdr>
    </w:div>
    <w:div w:id="1489665645">
      <w:bodyDiv w:val="1"/>
      <w:marLeft w:val="0"/>
      <w:marRight w:val="0"/>
      <w:marTop w:val="0"/>
      <w:marBottom w:val="0"/>
      <w:divBdr>
        <w:top w:val="none" w:sz="0" w:space="0" w:color="auto"/>
        <w:left w:val="none" w:sz="0" w:space="0" w:color="auto"/>
        <w:bottom w:val="none" w:sz="0" w:space="0" w:color="auto"/>
        <w:right w:val="none" w:sz="0" w:space="0" w:color="auto"/>
      </w:divBdr>
    </w:div>
    <w:div w:id="1501461536">
      <w:bodyDiv w:val="1"/>
      <w:marLeft w:val="0"/>
      <w:marRight w:val="0"/>
      <w:marTop w:val="0"/>
      <w:marBottom w:val="0"/>
      <w:divBdr>
        <w:top w:val="none" w:sz="0" w:space="0" w:color="auto"/>
        <w:left w:val="none" w:sz="0" w:space="0" w:color="auto"/>
        <w:bottom w:val="none" w:sz="0" w:space="0" w:color="auto"/>
        <w:right w:val="none" w:sz="0" w:space="0" w:color="auto"/>
      </w:divBdr>
    </w:div>
    <w:div w:id="1503203763">
      <w:bodyDiv w:val="1"/>
      <w:marLeft w:val="0"/>
      <w:marRight w:val="0"/>
      <w:marTop w:val="0"/>
      <w:marBottom w:val="0"/>
      <w:divBdr>
        <w:top w:val="none" w:sz="0" w:space="0" w:color="auto"/>
        <w:left w:val="none" w:sz="0" w:space="0" w:color="auto"/>
        <w:bottom w:val="none" w:sz="0" w:space="0" w:color="auto"/>
        <w:right w:val="none" w:sz="0" w:space="0" w:color="auto"/>
      </w:divBdr>
    </w:div>
    <w:div w:id="1504513786">
      <w:bodyDiv w:val="1"/>
      <w:marLeft w:val="0"/>
      <w:marRight w:val="0"/>
      <w:marTop w:val="0"/>
      <w:marBottom w:val="0"/>
      <w:divBdr>
        <w:top w:val="none" w:sz="0" w:space="0" w:color="auto"/>
        <w:left w:val="none" w:sz="0" w:space="0" w:color="auto"/>
        <w:bottom w:val="none" w:sz="0" w:space="0" w:color="auto"/>
        <w:right w:val="none" w:sz="0" w:space="0" w:color="auto"/>
      </w:divBdr>
    </w:div>
    <w:div w:id="1522432959">
      <w:bodyDiv w:val="1"/>
      <w:marLeft w:val="0"/>
      <w:marRight w:val="0"/>
      <w:marTop w:val="0"/>
      <w:marBottom w:val="0"/>
      <w:divBdr>
        <w:top w:val="none" w:sz="0" w:space="0" w:color="auto"/>
        <w:left w:val="none" w:sz="0" w:space="0" w:color="auto"/>
        <w:bottom w:val="none" w:sz="0" w:space="0" w:color="auto"/>
        <w:right w:val="none" w:sz="0" w:space="0" w:color="auto"/>
      </w:divBdr>
    </w:div>
    <w:div w:id="1562329460">
      <w:bodyDiv w:val="1"/>
      <w:marLeft w:val="0"/>
      <w:marRight w:val="0"/>
      <w:marTop w:val="0"/>
      <w:marBottom w:val="0"/>
      <w:divBdr>
        <w:top w:val="none" w:sz="0" w:space="0" w:color="auto"/>
        <w:left w:val="none" w:sz="0" w:space="0" w:color="auto"/>
        <w:bottom w:val="none" w:sz="0" w:space="0" w:color="auto"/>
        <w:right w:val="none" w:sz="0" w:space="0" w:color="auto"/>
      </w:divBdr>
    </w:div>
    <w:div w:id="1573077307">
      <w:bodyDiv w:val="1"/>
      <w:marLeft w:val="0"/>
      <w:marRight w:val="0"/>
      <w:marTop w:val="0"/>
      <w:marBottom w:val="0"/>
      <w:divBdr>
        <w:top w:val="none" w:sz="0" w:space="0" w:color="auto"/>
        <w:left w:val="none" w:sz="0" w:space="0" w:color="auto"/>
        <w:bottom w:val="none" w:sz="0" w:space="0" w:color="auto"/>
        <w:right w:val="none" w:sz="0" w:space="0" w:color="auto"/>
      </w:divBdr>
    </w:div>
    <w:div w:id="1590040796">
      <w:bodyDiv w:val="1"/>
      <w:marLeft w:val="0"/>
      <w:marRight w:val="0"/>
      <w:marTop w:val="0"/>
      <w:marBottom w:val="0"/>
      <w:divBdr>
        <w:top w:val="none" w:sz="0" w:space="0" w:color="auto"/>
        <w:left w:val="none" w:sz="0" w:space="0" w:color="auto"/>
        <w:bottom w:val="none" w:sz="0" w:space="0" w:color="auto"/>
        <w:right w:val="none" w:sz="0" w:space="0" w:color="auto"/>
      </w:divBdr>
    </w:div>
    <w:div w:id="1590892920">
      <w:bodyDiv w:val="1"/>
      <w:marLeft w:val="0"/>
      <w:marRight w:val="0"/>
      <w:marTop w:val="0"/>
      <w:marBottom w:val="0"/>
      <w:divBdr>
        <w:top w:val="none" w:sz="0" w:space="0" w:color="auto"/>
        <w:left w:val="none" w:sz="0" w:space="0" w:color="auto"/>
        <w:bottom w:val="none" w:sz="0" w:space="0" w:color="auto"/>
        <w:right w:val="none" w:sz="0" w:space="0" w:color="auto"/>
      </w:divBdr>
    </w:div>
    <w:div w:id="1593320259">
      <w:bodyDiv w:val="1"/>
      <w:marLeft w:val="0"/>
      <w:marRight w:val="0"/>
      <w:marTop w:val="0"/>
      <w:marBottom w:val="0"/>
      <w:divBdr>
        <w:top w:val="none" w:sz="0" w:space="0" w:color="auto"/>
        <w:left w:val="none" w:sz="0" w:space="0" w:color="auto"/>
        <w:bottom w:val="none" w:sz="0" w:space="0" w:color="auto"/>
        <w:right w:val="none" w:sz="0" w:space="0" w:color="auto"/>
      </w:divBdr>
    </w:div>
    <w:div w:id="1604146434">
      <w:bodyDiv w:val="1"/>
      <w:marLeft w:val="0"/>
      <w:marRight w:val="0"/>
      <w:marTop w:val="0"/>
      <w:marBottom w:val="0"/>
      <w:divBdr>
        <w:top w:val="none" w:sz="0" w:space="0" w:color="auto"/>
        <w:left w:val="none" w:sz="0" w:space="0" w:color="auto"/>
        <w:bottom w:val="none" w:sz="0" w:space="0" w:color="auto"/>
        <w:right w:val="none" w:sz="0" w:space="0" w:color="auto"/>
      </w:divBdr>
    </w:div>
    <w:div w:id="1607613419">
      <w:bodyDiv w:val="1"/>
      <w:marLeft w:val="0"/>
      <w:marRight w:val="0"/>
      <w:marTop w:val="0"/>
      <w:marBottom w:val="0"/>
      <w:divBdr>
        <w:top w:val="none" w:sz="0" w:space="0" w:color="auto"/>
        <w:left w:val="none" w:sz="0" w:space="0" w:color="auto"/>
        <w:bottom w:val="none" w:sz="0" w:space="0" w:color="auto"/>
        <w:right w:val="none" w:sz="0" w:space="0" w:color="auto"/>
      </w:divBdr>
    </w:div>
    <w:div w:id="1612710073">
      <w:bodyDiv w:val="1"/>
      <w:marLeft w:val="0"/>
      <w:marRight w:val="0"/>
      <w:marTop w:val="0"/>
      <w:marBottom w:val="0"/>
      <w:divBdr>
        <w:top w:val="none" w:sz="0" w:space="0" w:color="auto"/>
        <w:left w:val="none" w:sz="0" w:space="0" w:color="auto"/>
        <w:bottom w:val="none" w:sz="0" w:space="0" w:color="auto"/>
        <w:right w:val="none" w:sz="0" w:space="0" w:color="auto"/>
      </w:divBdr>
    </w:div>
    <w:div w:id="1621262168">
      <w:bodyDiv w:val="1"/>
      <w:marLeft w:val="0"/>
      <w:marRight w:val="0"/>
      <w:marTop w:val="0"/>
      <w:marBottom w:val="0"/>
      <w:divBdr>
        <w:top w:val="none" w:sz="0" w:space="0" w:color="auto"/>
        <w:left w:val="none" w:sz="0" w:space="0" w:color="auto"/>
        <w:bottom w:val="none" w:sz="0" w:space="0" w:color="auto"/>
        <w:right w:val="none" w:sz="0" w:space="0" w:color="auto"/>
      </w:divBdr>
    </w:div>
    <w:div w:id="1627151322">
      <w:bodyDiv w:val="1"/>
      <w:marLeft w:val="0"/>
      <w:marRight w:val="0"/>
      <w:marTop w:val="0"/>
      <w:marBottom w:val="0"/>
      <w:divBdr>
        <w:top w:val="none" w:sz="0" w:space="0" w:color="auto"/>
        <w:left w:val="none" w:sz="0" w:space="0" w:color="auto"/>
        <w:bottom w:val="none" w:sz="0" w:space="0" w:color="auto"/>
        <w:right w:val="none" w:sz="0" w:space="0" w:color="auto"/>
      </w:divBdr>
    </w:div>
    <w:div w:id="1630696999">
      <w:bodyDiv w:val="1"/>
      <w:marLeft w:val="0"/>
      <w:marRight w:val="0"/>
      <w:marTop w:val="0"/>
      <w:marBottom w:val="0"/>
      <w:divBdr>
        <w:top w:val="none" w:sz="0" w:space="0" w:color="auto"/>
        <w:left w:val="none" w:sz="0" w:space="0" w:color="auto"/>
        <w:bottom w:val="none" w:sz="0" w:space="0" w:color="auto"/>
        <w:right w:val="none" w:sz="0" w:space="0" w:color="auto"/>
      </w:divBdr>
    </w:div>
    <w:div w:id="1631089696">
      <w:bodyDiv w:val="1"/>
      <w:marLeft w:val="0"/>
      <w:marRight w:val="0"/>
      <w:marTop w:val="0"/>
      <w:marBottom w:val="0"/>
      <w:divBdr>
        <w:top w:val="none" w:sz="0" w:space="0" w:color="auto"/>
        <w:left w:val="none" w:sz="0" w:space="0" w:color="auto"/>
        <w:bottom w:val="none" w:sz="0" w:space="0" w:color="auto"/>
        <w:right w:val="none" w:sz="0" w:space="0" w:color="auto"/>
      </w:divBdr>
    </w:div>
    <w:div w:id="1644849312">
      <w:bodyDiv w:val="1"/>
      <w:marLeft w:val="0"/>
      <w:marRight w:val="0"/>
      <w:marTop w:val="0"/>
      <w:marBottom w:val="0"/>
      <w:divBdr>
        <w:top w:val="none" w:sz="0" w:space="0" w:color="auto"/>
        <w:left w:val="none" w:sz="0" w:space="0" w:color="auto"/>
        <w:bottom w:val="none" w:sz="0" w:space="0" w:color="auto"/>
        <w:right w:val="none" w:sz="0" w:space="0" w:color="auto"/>
      </w:divBdr>
    </w:div>
    <w:div w:id="1662543783">
      <w:bodyDiv w:val="1"/>
      <w:marLeft w:val="0"/>
      <w:marRight w:val="0"/>
      <w:marTop w:val="0"/>
      <w:marBottom w:val="0"/>
      <w:divBdr>
        <w:top w:val="none" w:sz="0" w:space="0" w:color="auto"/>
        <w:left w:val="none" w:sz="0" w:space="0" w:color="auto"/>
        <w:bottom w:val="none" w:sz="0" w:space="0" w:color="auto"/>
        <w:right w:val="none" w:sz="0" w:space="0" w:color="auto"/>
      </w:divBdr>
    </w:div>
    <w:div w:id="1666200306">
      <w:bodyDiv w:val="1"/>
      <w:marLeft w:val="0"/>
      <w:marRight w:val="0"/>
      <w:marTop w:val="0"/>
      <w:marBottom w:val="0"/>
      <w:divBdr>
        <w:top w:val="none" w:sz="0" w:space="0" w:color="auto"/>
        <w:left w:val="none" w:sz="0" w:space="0" w:color="auto"/>
        <w:bottom w:val="none" w:sz="0" w:space="0" w:color="auto"/>
        <w:right w:val="none" w:sz="0" w:space="0" w:color="auto"/>
      </w:divBdr>
    </w:div>
    <w:div w:id="1675455135">
      <w:bodyDiv w:val="1"/>
      <w:marLeft w:val="0"/>
      <w:marRight w:val="0"/>
      <w:marTop w:val="0"/>
      <w:marBottom w:val="0"/>
      <w:divBdr>
        <w:top w:val="none" w:sz="0" w:space="0" w:color="auto"/>
        <w:left w:val="none" w:sz="0" w:space="0" w:color="auto"/>
        <w:bottom w:val="none" w:sz="0" w:space="0" w:color="auto"/>
        <w:right w:val="none" w:sz="0" w:space="0" w:color="auto"/>
      </w:divBdr>
    </w:div>
    <w:div w:id="1727682222">
      <w:bodyDiv w:val="1"/>
      <w:marLeft w:val="0"/>
      <w:marRight w:val="0"/>
      <w:marTop w:val="0"/>
      <w:marBottom w:val="0"/>
      <w:divBdr>
        <w:top w:val="none" w:sz="0" w:space="0" w:color="auto"/>
        <w:left w:val="none" w:sz="0" w:space="0" w:color="auto"/>
        <w:bottom w:val="none" w:sz="0" w:space="0" w:color="auto"/>
        <w:right w:val="none" w:sz="0" w:space="0" w:color="auto"/>
      </w:divBdr>
    </w:div>
    <w:div w:id="1729110620">
      <w:bodyDiv w:val="1"/>
      <w:marLeft w:val="0"/>
      <w:marRight w:val="0"/>
      <w:marTop w:val="0"/>
      <w:marBottom w:val="0"/>
      <w:divBdr>
        <w:top w:val="none" w:sz="0" w:space="0" w:color="auto"/>
        <w:left w:val="none" w:sz="0" w:space="0" w:color="auto"/>
        <w:bottom w:val="none" w:sz="0" w:space="0" w:color="auto"/>
        <w:right w:val="none" w:sz="0" w:space="0" w:color="auto"/>
      </w:divBdr>
    </w:div>
    <w:div w:id="1733385820">
      <w:bodyDiv w:val="1"/>
      <w:marLeft w:val="0"/>
      <w:marRight w:val="0"/>
      <w:marTop w:val="0"/>
      <w:marBottom w:val="0"/>
      <w:divBdr>
        <w:top w:val="none" w:sz="0" w:space="0" w:color="auto"/>
        <w:left w:val="none" w:sz="0" w:space="0" w:color="auto"/>
        <w:bottom w:val="none" w:sz="0" w:space="0" w:color="auto"/>
        <w:right w:val="none" w:sz="0" w:space="0" w:color="auto"/>
      </w:divBdr>
    </w:div>
    <w:div w:id="1740055010">
      <w:bodyDiv w:val="1"/>
      <w:marLeft w:val="0"/>
      <w:marRight w:val="0"/>
      <w:marTop w:val="0"/>
      <w:marBottom w:val="0"/>
      <w:divBdr>
        <w:top w:val="none" w:sz="0" w:space="0" w:color="auto"/>
        <w:left w:val="none" w:sz="0" w:space="0" w:color="auto"/>
        <w:bottom w:val="none" w:sz="0" w:space="0" w:color="auto"/>
        <w:right w:val="none" w:sz="0" w:space="0" w:color="auto"/>
      </w:divBdr>
    </w:div>
    <w:div w:id="1751535299">
      <w:bodyDiv w:val="1"/>
      <w:marLeft w:val="0"/>
      <w:marRight w:val="0"/>
      <w:marTop w:val="0"/>
      <w:marBottom w:val="0"/>
      <w:divBdr>
        <w:top w:val="none" w:sz="0" w:space="0" w:color="auto"/>
        <w:left w:val="none" w:sz="0" w:space="0" w:color="auto"/>
        <w:bottom w:val="none" w:sz="0" w:space="0" w:color="auto"/>
        <w:right w:val="none" w:sz="0" w:space="0" w:color="auto"/>
      </w:divBdr>
    </w:div>
    <w:div w:id="1754011795">
      <w:bodyDiv w:val="1"/>
      <w:marLeft w:val="0"/>
      <w:marRight w:val="0"/>
      <w:marTop w:val="0"/>
      <w:marBottom w:val="0"/>
      <w:divBdr>
        <w:top w:val="none" w:sz="0" w:space="0" w:color="auto"/>
        <w:left w:val="none" w:sz="0" w:space="0" w:color="auto"/>
        <w:bottom w:val="none" w:sz="0" w:space="0" w:color="auto"/>
        <w:right w:val="none" w:sz="0" w:space="0" w:color="auto"/>
      </w:divBdr>
    </w:div>
    <w:div w:id="1758794305">
      <w:bodyDiv w:val="1"/>
      <w:marLeft w:val="0"/>
      <w:marRight w:val="0"/>
      <w:marTop w:val="0"/>
      <w:marBottom w:val="0"/>
      <w:divBdr>
        <w:top w:val="none" w:sz="0" w:space="0" w:color="auto"/>
        <w:left w:val="none" w:sz="0" w:space="0" w:color="auto"/>
        <w:bottom w:val="none" w:sz="0" w:space="0" w:color="auto"/>
        <w:right w:val="none" w:sz="0" w:space="0" w:color="auto"/>
      </w:divBdr>
    </w:div>
    <w:div w:id="1758940607">
      <w:bodyDiv w:val="1"/>
      <w:marLeft w:val="0"/>
      <w:marRight w:val="0"/>
      <w:marTop w:val="0"/>
      <w:marBottom w:val="0"/>
      <w:divBdr>
        <w:top w:val="none" w:sz="0" w:space="0" w:color="auto"/>
        <w:left w:val="none" w:sz="0" w:space="0" w:color="auto"/>
        <w:bottom w:val="none" w:sz="0" w:space="0" w:color="auto"/>
        <w:right w:val="none" w:sz="0" w:space="0" w:color="auto"/>
      </w:divBdr>
    </w:div>
    <w:div w:id="1759474393">
      <w:bodyDiv w:val="1"/>
      <w:marLeft w:val="0"/>
      <w:marRight w:val="0"/>
      <w:marTop w:val="0"/>
      <w:marBottom w:val="0"/>
      <w:divBdr>
        <w:top w:val="none" w:sz="0" w:space="0" w:color="auto"/>
        <w:left w:val="none" w:sz="0" w:space="0" w:color="auto"/>
        <w:bottom w:val="none" w:sz="0" w:space="0" w:color="auto"/>
        <w:right w:val="none" w:sz="0" w:space="0" w:color="auto"/>
      </w:divBdr>
    </w:div>
    <w:div w:id="1763717448">
      <w:bodyDiv w:val="1"/>
      <w:marLeft w:val="0"/>
      <w:marRight w:val="0"/>
      <w:marTop w:val="0"/>
      <w:marBottom w:val="0"/>
      <w:divBdr>
        <w:top w:val="none" w:sz="0" w:space="0" w:color="auto"/>
        <w:left w:val="none" w:sz="0" w:space="0" w:color="auto"/>
        <w:bottom w:val="none" w:sz="0" w:space="0" w:color="auto"/>
        <w:right w:val="none" w:sz="0" w:space="0" w:color="auto"/>
      </w:divBdr>
    </w:div>
    <w:div w:id="1772893461">
      <w:bodyDiv w:val="1"/>
      <w:marLeft w:val="0"/>
      <w:marRight w:val="0"/>
      <w:marTop w:val="0"/>
      <w:marBottom w:val="0"/>
      <w:divBdr>
        <w:top w:val="none" w:sz="0" w:space="0" w:color="auto"/>
        <w:left w:val="none" w:sz="0" w:space="0" w:color="auto"/>
        <w:bottom w:val="none" w:sz="0" w:space="0" w:color="auto"/>
        <w:right w:val="none" w:sz="0" w:space="0" w:color="auto"/>
      </w:divBdr>
    </w:div>
    <w:div w:id="1777408696">
      <w:bodyDiv w:val="1"/>
      <w:marLeft w:val="0"/>
      <w:marRight w:val="0"/>
      <w:marTop w:val="0"/>
      <w:marBottom w:val="0"/>
      <w:divBdr>
        <w:top w:val="none" w:sz="0" w:space="0" w:color="auto"/>
        <w:left w:val="none" w:sz="0" w:space="0" w:color="auto"/>
        <w:bottom w:val="none" w:sz="0" w:space="0" w:color="auto"/>
        <w:right w:val="none" w:sz="0" w:space="0" w:color="auto"/>
      </w:divBdr>
    </w:div>
    <w:div w:id="1787847525">
      <w:bodyDiv w:val="1"/>
      <w:marLeft w:val="0"/>
      <w:marRight w:val="0"/>
      <w:marTop w:val="0"/>
      <w:marBottom w:val="0"/>
      <w:divBdr>
        <w:top w:val="none" w:sz="0" w:space="0" w:color="auto"/>
        <w:left w:val="none" w:sz="0" w:space="0" w:color="auto"/>
        <w:bottom w:val="none" w:sz="0" w:space="0" w:color="auto"/>
        <w:right w:val="none" w:sz="0" w:space="0" w:color="auto"/>
      </w:divBdr>
    </w:div>
    <w:div w:id="1790277556">
      <w:bodyDiv w:val="1"/>
      <w:marLeft w:val="0"/>
      <w:marRight w:val="0"/>
      <w:marTop w:val="0"/>
      <w:marBottom w:val="0"/>
      <w:divBdr>
        <w:top w:val="none" w:sz="0" w:space="0" w:color="auto"/>
        <w:left w:val="none" w:sz="0" w:space="0" w:color="auto"/>
        <w:bottom w:val="none" w:sz="0" w:space="0" w:color="auto"/>
        <w:right w:val="none" w:sz="0" w:space="0" w:color="auto"/>
      </w:divBdr>
    </w:div>
    <w:div w:id="1800033306">
      <w:bodyDiv w:val="1"/>
      <w:marLeft w:val="0"/>
      <w:marRight w:val="0"/>
      <w:marTop w:val="0"/>
      <w:marBottom w:val="0"/>
      <w:divBdr>
        <w:top w:val="none" w:sz="0" w:space="0" w:color="auto"/>
        <w:left w:val="none" w:sz="0" w:space="0" w:color="auto"/>
        <w:bottom w:val="none" w:sz="0" w:space="0" w:color="auto"/>
        <w:right w:val="none" w:sz="0" w:space="0" w:color="auto"/>
      </w:divBdr>
    </w:div>
    <w:div w:id="1824077706">
      <w:bodyDiv w:val="1"/>
      <w:marLeft w:val="0"/>
      <w:marRight w:val="0"/>
      <w:marTop w:val="0"/>
      <w:marBottom w:val="0"/>
      <w:divBdr>
        <w:top w:val="none" w:sz="0" w:space="0" w:color="auto"/>
        <w:left w:val="none" w:sz="0" w:space="0" w:color="auto"/>
        <w:bottom w:val="none" w:sz="0" w:space="0" w:color="auto"/>
        <w:right w:val="none" w:sz="0" w:space="0" w:color="auto"/>
      </w:divBdr>
    </w:div>
    <w:div w:id="1858617541">
      <w:bodyDiv w:val="1"/>
      <w:marLeft w:val="0"/>
      <w:marRight w:val="0"/>
      <w:marTop w:val="0"/>
      <w:marBottom w:val="0"/>
      <w:divBdr>
        <w:top w:val="none" w:sz="0" w:space="0" w:color="auto"/>
        <w:left w:val="none" w:sz="0" w:space="0" w:color="auto"/>
        <w:bottom w:val="none" w:sz="0" w:space="0" w:color="auto"/>
        <w:right w:val="none" w:sz="0" w:space="0" w:color="auto"/>
      </w:divBdr>
    </w:div>
    <w:div w:id="1862740906">
      <w:bodyDiv w:val="1"/>
      <w:marLeft w:val="0"/>
      <w:marRight w:val="0"/>
      <w:marTop w:val="0"/>
      <w:marBottom w:val="0"/>
      <w:divBdr>
        <w:top w:val="none" w:sz="0" w:space="0" w:color="auto"/>
        <w:left w:val="none" w:sz="0" w:space="0" w:color="auto"/>
        <w:bottom w:val="none" w:sz="0" w:space="0" w:color="auto"/>
        <w:right w:val="none" w:sz="0" w:space="0" w:color="auto"/>
      </w:divBdr>
    </w:div>
    <w:div w:id="1884562566">
      <w:bodyDiv w:val="1"/>
      <w:marLeft w:val="0"/>
      <w:marRight w:val="0"/>
      <w:marTop w:val="0"/>
      <w:marBottom w:val="0"/>
      <w:divBdr>
        <w:top w:val="none" w:sz="0" w:space="0" w:color="auto"/>
        <w:left w:val="none" w:sz="0" w:space="0" w:color="auto"/>
        <w:bottom w:val="none" w:sz="0" w:space="0" w:color="auto"/>
        <w:right w:val="none" w:sz="0" w:space="0" w:color="auto"/>
      </w:divBdr>
    </w:div>
    <w:div w:id="1900742830">
      <w:bodyDiv w:val="1"/>
      <w:marLeft w:val="0"/>
      <w:marRight w:val="0"/>
      <w:marTop w:val="0"/>
      <w:marBottom w:val="0"/>
      <w:divBdr>
        <w:top w:val="none" w:sz="0" w:space="0" w:color="auto"/>
        <w:left w:val="none" w:sz="0" w:space="0" w:color="auto"/>
        <w:bottom w:val="none" w:sz="0" w:space="0" w:color="auto"/>
        <w:right w:val="none" w:sz="0" w:space="0" w:color="auto"/>
      </w:divBdr>
    </w:div>
    <w:div w:id="1900894833">
      <w:bodyDiv w:val="1"/>
      <w:marLeft w:val="0"/>
      <w:marRight w:val="0"/>
      <w:marTop w:val="0"/>
      <w:marBottom w:val="0"/>
      <w:divBdr>
        <w:top w:val="none" w:sz="0" w:space="0" w:color="auto"/>
        <w:left w:val="none" w:sz="0" w:space="0" w:color="auto"/>
        <w:bottom w:val="none" w:sz="0" w:space="0" w:color="auto"/>
        <w:right w:val="none" w:sz="0" w:space="0" w:color="auto"/>
      </w:divBdr>
    </w:div>
    <w:div w:id="1902860904">
      <w:bodyDiv w:val="1"/>
      <w:marLeft w:val="0"/>
      <w:marRight w:val="0"/>
      <w:marTop w:val="0"/>
      <w:marBottom w:val="0"/>
      <w:divBdr>
        <w:top w:val="none" w:sz="0" w:space="0" w:color="auto"/>
        <w:left w:val="none" w:sz="0" w:space="0" w:color="auto"/>
        <w:bottom w:val="none" w:sz="0" w:space="0" w:color="auto"/>
        <w:right w:val="none" w:sz="0" w:space="0" w:color="auto"/>
      </w:divBdr>
    </w:div>
    <w:div w:id="1924489238">
      <w:bodyDiv w:val="1"/>
      <w:marLeft w:val="0"/>
      <w:marRight w:val="0"/>
      <w:marTop w:val="0"/>
      <w:marBottom w:val="0"/>
      <w:divBdr>
        <w:top w:val="none" w:sz="0" w:space="0" w:color="auto"/>
        <w:left w:val="none" w:sz="0" w:space="0" w:color="auto"/>
        <w:bottom w:val="none" w:sz="0" w:space="0" w:color="auto"/>
        <w:right w:val="none" w:sz="0" w:space="0" w:color="auto"/>
      </w:divBdr>
    </w:div>
    <w:div w:id="1928803723">
      <w:bodyDiv w:val="1"/>
      <w:marLeft w:val="0"/>
      <w:marRight w:val="0"/>
      <w:marTop w:val="0"/>
      <w:marBottom w:val="0"/>
      <w:divBdr>
        <w:top w:val="none" w:sz="0" w:space="0" w:color="auto"/>
        <w:left w:val="none" w:sz="0" w:space="0" w:color="auto"/>
        <w:bottom w:val="none" w:sz="0" w:space="0" w:color="auto"/>
        <w:right w:val="none" w:sz="0" w:space="0" w:color="auto"/>
      </w:divBdr>
    </w:div>
    <w:div w:id="1949850544">
      <w:bodyDiv w:val="1"/>
      <w:marLeft w:val="0"/>
      <w:marRight w:val="0"/>
      <w:marTop w:val="0"/>
      <w:marBottom w:val="0"/>
      <w:divBdr>
        <w:top w:val="none" w:sz="0" w:space="0" w:color="auto"/>
        <w:left w:val="none" w:sz="0" w:space="0" w:color="auto"/>
        <w:bottom w:val="none" w:sz="0" w:space="0" w:color="auto"/>
        <w:right w:val="none" w:sz="0" w:space="0" w:color="auto"/>
      </w:divBdr>
    </w:div>
    <w:div w:id="1951887209">
      <w:bodyDiv w:val="1"/>
      <w:marLeft w:val="0"/>
      <w:marRight w:val="0"/>
      <w:marTop w:val="0"/>
      <w:marBottom w:val="0"/>
      <w:divBdr>
        <w:top w:val="none" w:sz="0" w:space="0" w:color="auto"/>
        <w:left w:val="none" w:sz="0" w:space="0" w:color="auto"/>
        <w:bottom w:val="none" w:sz="0" w:space="0" w:color="auto"/>
        <w:right w:val="none" w:sz="0" w:space="0" w:color="auto"/>
      </w:divBdr>
    </w:div>
    <w:div w:id="1973707177">
      <w:bodyDiv w:val="1"/>
      <w:marLeft w:val="0"/>
      <w:marRight w:val="0"/>
      <w:marTop w:val="0"/>
      <w:marBottom w:val="0"/>
      <w:divBdr>
        <w:top w:val="none" w:sz="0" w:space="0" w:color="auto"/>
        <w:left w:val="none" w:sz="0" w:space="0" w:color="auto"/>
        <w:bottom w:val="none" w:sz="0" w:space="0" w:color="auto"/>
        <w:right w:val="none" w:sz="0" w:space="0" w:color="auto"/>
      </w:divBdr>
    </w:div>
    <w:div w:id="2009750637">
      <w:bodyDiv w:val="1"/>
      <w:marLeft w:val="0"/>
      <w:marRight w:val="0"/>
      <w:marTop w:val="0"/>
      <w:marBottom w:val="0"/>
      <w:divBdr>
        <w:top w:val="none" w:sz="0" w:space="0" w:color="auto"/>
        <w:left w:val="none" w:sz="0" w:space="0" w:color="auto"/>
        <w:bottom w:val="none" w:sz="0" w:space="0" w:color="auto"/>
        <w:right w:val="none" w:sz="0" w:space="0" w:color="auto"/>
      </w:divBdr>
    </w:div>
    <w:div w:id="2036493998">
      <w:bodyDiv w:val="1"/>
      <w:marLeft w:val="0"/>
      <w:marRight w:val="0"/>
      <w:marTop w:val="0"/>
      <w:marBottom w:val="0"/>
      <w:divBdr>
        <w:top w:val="none" w:sz="0" w:space="0" w:color="auto"/>
        <w:left w:val="none" w:sz="0" w:space="0" w:color="auto"/>
        <w:bottom w:val="none" w:sz="0" w:space="0" w:color="auto"/>
        <w:right w:val="none" w:sz="0" w:space="0" w:color="auto"/>
      </w:divBdr>
    </w:div>
    <w:div w:id="2038193305">
      <w:bodyDiv w:val="1"/>
      <w:marLeft w:val="0"/>
      <w:marRight w:val="0"/>
      <w:marTop w:val="0"/>
      <w:marBottom w:val="0"/>
      <w:divBdr>
        <w:top w:val="none" w:sz="0" w:space="0" w:color="auto"/>
        <w:left w:val="none" w:sz="0" w:space="0" w:color="auto"/>
        <w:bottom w:val="none" w:sz="0" w:space="0" w:color="auto"/>
        <w:right w:val="none" w:sz="0" w:space="0" w:color="auto"/>
      </w:divBdr>
    </w:div>
    <w:div w:id="2050835780">
      <w:bodyDiv w:val="1"/>
      <w:marLeft w:val="0"/>
      <w:marRight w:val="0"/>
      <w:marTop w:val="0"/>
      <w:marBottom w:val="0"/>
      <w:divBdr>
        <w:top w:val="none" w:sz="0" w:space="0" w:color="auto"/>
        <w:left w:val="none" w:sz="0" w:space="0" w:color="auto"/>
        <w:bottom w:val="none" w:sz="0" w:space="0" w:color="auto"/>
        <w:right w:val="none" w:sz="0" w:space="0" w:color="auto"/>
      </w:divBdr>
    </w:div>
    <w:div w:id="2054689976">
      <w:bodyDiv w:val="1"/>
      <w:marLeft w:val="0"/>
      <w:marRight w:val="0"/>
      <w:marTop w:val="0"/>
      <w:marBottom w:val="0"/>
      <w:divBdr>
        <w:top w:val="none" w:sz="0" w:space="0" w:color="auto"/>
        <w:left w:val="none" w:sz="0" w:space="0" w:color="auto"/>
        <w:bottom w:val="none" w:sz="0" w:space="0" w:color="auto"/>
        <w:right w:val="none" w:sz="0" w:space="0" w:color="auto"/>
      </w:divBdr>
    </w:div>
    <w:div w:id="2066102099">
      <w:bodyDiv w:val="1"/>
      <w:marLeft w:val="0"/>
      <w:marRight w:val="0"/>
      <w:marTop w:val="0"/>
      <w:marBottom w:val="0"/>
      <w:divBdr>
        <w:top w:val="none" w:sz="0" w:space="0" w:color="auto"/>
        <w:left w:val="none" w:sz="0" w:space="0" w:color="auto"/>
        <w:bottom w:val="none" w:sz="0" w:space="0" w:color="auto"/>
        <w:right w:val="none" w:sz="0" w:space="0" w:color="auto"/>
      </w:divBdr>
    </w:div>
    <w:div w:id="2078046929">
      <w:bodyDiv w:val="1"/>
      <w:marLeft w:val="0"/>
      <w:marRight w:val="0"/>
      <w:marTop w:val="0"/>
      <w:marBottom w:val="0"/>
      <w:divBdr>
        <w:top w:val="none" w:sz="0" w:space="0" w:color="auto"/>
        <w:left w:val="none" w:sz="0" w:space="0" w:color="auto"/>
        <w:bottom w:val="none" w:sz="0" w:space="0" w:color="auto"/>
        <w:right w:val="none" w:sz="0" w:space="0" w:color="auto"/>
      </w:divBdr>
    </w:div>
    <w:div w:id="2078698805">
      <w:bodyDiv w:val="1"/>
      <w:marLeft w:val="0"/>
      <w:marRight w:val="0"/>
      <w:marTop w:val="0"/>
      <w:marBottom w:val="0"/>
      <w:divBdr>
        <w:top w:val="none" w:sz="0" w:space="0" w:color="auto"/>
        <w:left w:val="none" w:sz="0" w:space="0" w:color="auto"/>
        <w:bottom w:val="none" w:sz="0" w:space="0" w:color="auto"/>
        <w:right w:val="none" w:sz="0" w:space="0" w:color="auto"/>
      </w:divBdr>
    </w:div>
    <w:div w:id="2081903213">
      <w:bodyDiv w:val="1"/>
      <w:marLeft w:val="0"/>
      <w:marRight w:val="0"/>
      <w:marTop w:val="0"/>
      <w:marBottom w:val="0"/>
      <w:divBdr>
        <w:top w:val="none" w:sz="0" w:space="0" w:color="auto"/>
        <w:left w:val="none" w:sz="0" w:space="0" w:color="auto"/>
        <w:bottom w:val="none" w:sz="0" w:space="0" w:color="auto"/>
        <w:right w:val="none" w:sz="0" w:space="0" w:color="auto"/>
      </w:divBdr>
    </w:div>
    <w:div w:id="2091465749">
      <w:bodyDiv w:val="1"/>
      <w:marLeft w:val="0"/>
      <w:marRight w:val="0"/>
      <w:marTop w:val="0"/>
      <w:marBottom w:val="0"/>
      <w:divBdr>
        <w:top w:val="none" w:sz="0" w:space="0" w:color="auto"/>
        <w:left w:val="none" w:sz="0" w:space="0" w:color="auto"/>
        <w:bottom w:val="none" w:sz="0" w:space="0" w:color="auto"/>
        <w:right w:val="none" w:sz="0" w:space="0" w:color="auto"/>
      </w:divBdr>
    </w:div>
    <w:div w:id="2112388771">
      <w:bodyDiv w:val="1"/>
      <w:marLeft w:val="0"/>
      <w:marRight w:val="0"/>
      <w:marTop w:val="0"/>
      <w:marBottom w:val="0"/>
      <w:divBdr>
        <w:top w:val="none" w:sz="0" w:space="0" w:color="auto"/>
        <w:left w:val="none" w:sz="0" w:space="0" w:color="auto"/>
        <w:bottom w:val="none" w:sz="0" w:space="0" w:color="auto"/>
        <w:right w:val="none" w:sz="0" w:space="0" w:color="auto"/>
      </w:divBdr>
    </w:div>
    <w:div w:id="2114208304">
      <w:bodyDiv w:val="1"/>
      <w:marLeft w:val="0"/>
      <w:marRight w:val="0"/>
      <w:marTop w:val="0"/>
      <w:marBottom w:val="0"/>
      <w:divBdr>
        <w:top w:val="none" w:sz="0" w:space="0" w:color="auto"/>
        <w:left w:val="none" w:sz="0" w:space="0" w:color="auto"/>
        <w:bottom w:val="none" w:sz="0" w:space="0" w:color="auto"/>
        <w:right w:val="none" w:sz="0" w:space="0" w:color="auto"/>
      </w:divBdr>
    </w:div>
    <w:div w:id="2122333531">
      <w:bodyDiv w:val="1"/>
      <w:marLeft w:val="0"/>
      <w:marRight w:val="0"/>
      <w:marTop w:val="0"/>
      <w:marBottom w:val="0"/>
      <w:divBdr>
        <w:top w:val="none" w:sz="0" w:space="0" w:color="auto"/>
        <w:left w:val="none" w:sz="0" w:space="0" w:color="auto"/>
        <w:bottom w:val="none" w:sz="0" w:space="0" w:color="auto"/>
        <w:right w:val="none" w:sz="0" w:space="0" w:color="auto"/>
      </w:divBdr>
    </w:div>
    <w:div w:id="2123064075">
      <w:bodyDiv w:val="1"/>
      <w:marLeft w:val="0"/>
      <w:marRight w:val="0"/>
      <w:marTop w:val="0"/>
      <w:marBottom w:val="0"/>
      <w:divBdr>
        <w:top w:val="none" w:sz="0" w:space="0" w:color="auto"/>
        <w:left w:val="none" w:sz="0" w:space="0" w:color="auto"/>
        <w:bottom w:val="none" w:sz="0" w:space="0" w:color="auto"/>
        <w:right w:val="none" w:sz="0" w:space="0" w:color="auto"/>
      </w:divBdr>
    </w:div>
    <w:div w:id="2128885413">
      <w:bodyDiv w:val="1"/>
      <w:marLeft w:val="0"/>
      <w:marRight w:val="0"/>
      <w:marTop w:val="0"/>
      <w:marBottom w:val="0"/>
      <w:divBdr>
        <w:top w:val="none" w:sz="0" w:space="0" w:color="auto"/>
        <w:left w:val="none" w:sz="0" w:space="0" w:color="auto"/>
        <w:bottom w:val="none" w:sz="0" w:space="0" w:color="auto"/>
        <w:right w:val="none" w:sz="0" w:space="0" w:color="auto"/>
      </w:divBdr>
    </w:div>
    <w:div w:id="21377508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glossaryDocument" Target="glossary/document.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glossaryDocument>
</file>

<file path=word/glossary/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efaultTabStop w:val="720"/>
  <w:characterSpacingControl w:val="doNotCompress"/>
  <w:compat>
    <w:useFELayout/>
  </w:compat>
  <w:rsids>
    <w:rsidRoot w:val="001B5706"/>
    <w:rsid w:val="001B5706"/>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B3B71635026405FB7512A8E1CAFDD84">
    <w:name w:val="7B3B71635026405FB7512A8E1CAFDD84"/>
    <w:rsid w:val="001B5706"/>
  </w:style>
  <w:style w:type="paragraph" w:customStyle="1" w:styleId="ADF6842D5003408EA3CD795DDFC8D9F3">
    <w:name w:val="ADF6842D5003408EA3CD795DDFC8D9F3"/>
    <w:rsid w:val="001B5706"/>
  </w:style>
  <w:style w:type="paragraph" w:customStyle="1" w:styleId="4671C33A467549DE96115C8869C746EF">
    <w:name w:val="4671C33A467549DE96115C8869C746EF"/>
    <w:rsid w:val="001B5706"/>
  </w:style>
</w:styles>
</file>

<file path=word/glossary/webSettings.xml><?xml version="1.0" encoding="utf-8"?>
<w:webSettings xmlns:r="http://schemas.openxmlformats.org/officeDocument/2006/relationships" xmlns:w="http://schemas.openxmlformats.org/wordprocessingml/2006/main">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Version="2008">
  <b:Source>
    <b:Tag>Joh18</b:Tag>
    <b:SourceType>DocumentFromInternetSite</b:SourceType>
    <b:Guid>{D6073865-E7CC-41C7-B5D1-4BB0036242D4}</b:Guid>
    <b:Author>
      <b:Author>
        <b:NameList>
          <b:Person>
            <b:Last>Biggs</b:Last>
            <b:First>John</b:First>
          </b:Person>
        </b:NameList>
      </b:Author>
    </b:Author>
    <b:Title>Aligning teaching for constructing learning</b:Title>
    <b:YearAccessed>2018</b:YearAccessed>
    <b:MonthAccessed>February</b:MonthAccessed>
    <b:DayAccessed>18</b:DayAccessed>
    <b:URL>https://www.heacademy.ac.uk/system/files/resources/id477_aligning_teaching_for_constructing_learning.pdf</b:URL>
    <b:Year>2003</b:Year>
    <b:RefOrder>23</b:RefOrder>
  </b:Source>
  <b:Source>
    <b:Tag>Adr82</b:Tag>
    <b:SourceType>JournalArticle</b:SourceType>
    <b:Guid>{86C137B6-20B1-498C-AE6D-6E43888B88E8}</b:Guid>
    <b:Title>The context of teaching and learning in studies of teacher effectiveness</b:Title>
    <b:Year>1982</b:Year>
    <b:Author>
      <b:Author>
        <b:NameList>
          <b:Person>
            <b:Last>Fordham</b:Last>
            <b:First>Adrian</b:First>
          </b:Person>
        </b:NameList>
      </b:Author>
    </b:Author>
    <b:JournalName>Studies in Educational Evaluation</b:JournalName>
    <b:Pages>111- 128</b:Pages>
    <b:Volume>8</b:Volume>
    <b:Issue>2</b:Issue>
    <b:RefOrder>44</b:RefOrder>
  </b:Source>
  <b:Source>
    <b:Tag>Gin14</b:Tag>
    <b:SourceType>JournalArticle</b:SourceType>
    <b:Guid>{EF06FE8D-3133-41D9-B4A4-7D9C5FD7410C}</b:Guid>
    <b:Author>
      <b:Author>
        <b:NameList>
          <b:Person>
            <b:Last>Ginns</b:Last>
            <b:First>Paul</b:First>
          </b:Person>
          <b:Person>
            <b:Last>Martin</b:Last>
            <b:First>Andrew</b:First>
          </b:Person>
          <b:Person>
            <b:Last>Papworth</b:Last>
            <b:First>Brad</b:First>
          </b:Person>
        </b:NameList>
      </b:Author>
    </b:Author>
    <b:Title>Student learning theory goes (back) to (high) school</b:Title>
    <b:JournalName>Instructional Science</b:JournalName>
    <b:Year>2014</b:Year>
    <b:Pages>485- 504</b:Pages>
    <b:Volume>42</b:Volume>
    <b:Issue>4</b:Issue>
    <b:RefOrder>26</b:RefOrder>
  </b:Source>
  <b:Source>
    <b:Tag>Mic99</b:Tag>
    <b:SourceType>Book</b:SourceType>
    <b:Guid>{C4F178EF-7A42-415C-9038-26D0E50DBA01}</b:Guid>
    <b:Title>Understanding Learning and Teaching: The experience in Higher Education</b:Title>
    <b:Year>1999</b:Year>
    <b:Author>
      <b:Author>
        <b:NameList>
          <b:Person>
            <b:Last>Prosser</b:Last>
            <b:First>Michael</b:First>
          </b:Person>
        </b:NameList>
      </b:Author>
    </b:Author>
    <b:City>Buckingham</b:City>
    <b:Publisher>Open University Press</b:Publisher>
    <b:Edition>1</b:Edition>
    <b:RefOrder>27</b:RefOrder>
  </b:Source>
  <b:Source>
    <b:Tag>Fry15</b:Tag>
    <b:SourceType>Book</b:SourceType>
    <b:Guid>{8B638F65-2B8D-4903-BBE2-16941B9E3DB8}</b:Guid>
    <b:Author>
      <b:Author>
        <b:NameList>
          <b:Person>
            <b:Last>Fry</b:Last>
            <b:First>Heather</b:First>
          </b:Person>
          <b:Person>
            <b:Last>Marshall</b:Last>
            <b:First>Stephanie</b:First>
          </b:Person>
          <b:Person>
            <b:Last>Ketteridge</b:Last>
            <b:First>Steven</b:First>
          </b:Person>
        </b:NameList>
      </b:Author>
    </b:Author>
    <b:Title>A Hnadbook for teaching and learning in higher education: Enhancing academic practice</b:Title>
    <b:Year>2015</b:Year>
    <b:City>London</b:City>
    <b:Publisher>Routledge</b:Publisher>
    <b:Edition>4</b:Edition>
    <b:RefOrder>29</b:RefOrder>
  </b:Source>
  <b:Source>
    <b:Tag>Bam11</b:Tag>
    <b:SourceType>JournalArticle</b:SourceType>
    <b:Guid>{5A6F6A2B-A4BF-4282-9D20-0179F66EB66F}</b:Guid>
    <b:Title>Institutional preferences of students in transnational Chinese and English MBA program</b:Title>
    <b:Year>2011</b:Year>
    <b:Author>
      <b:Author>
        <b:NameList>
          <b:Person>
            <b:Last>Bambacas</b:Last>
            <b:First>Mary</b:First>
          </b:Person>
          <b:Person>
            <b:Last>Sanderson</b:Last>
            <b:First>Gavin</b:First>
          </b:Person>
        </b:NameList>
      </b:Author>
    </b:Author>
    <b:JournalName>Journal of University teaching and learning practice</b:JournalName>
    <b:Volume>8</b:Volume>
    <b:Issue>1</b:Issue>
    <b:RefOrder>30</b:RefOrder>
  </b:Source>
  <b:Source>
    <b:Tag>Gos13</b:Tag>
    <b:SourceType>Book</b:SourceType>
    <b:Guid>{B276D327-A704-44FC-8D1C-3CC2635819E3}</b:Guid>
    <b:Title>Curriculum design for the twenty- first century</b:Title>
    <b:Year>2013</b:Year>
    <b:Author>
      <b:Author>
        <b:NameList>
          <b:Person>
            <b:Last>Gosper</b:Last>
            <b:First>Maree</b:First>
          </b:Person>
          <b:Person>
            <b:Last>Ifnthaler</b:Last>
            <b:First>Dirk</b:First>
          </b:Person>
        </b:NameList>
      </b:Author>
    </b:Author>
    <b:City>New York</b:City>
    <b:Publisher>Springer</b:Publisher>
    <b:RefOrder>31</b:RefOrder>
  </b:Source>
  <b:Source>
    <b:Tag>Cyn15</b:Tag>
    <b:SourceType>Report</b:SourceType>
    <b:Guid>{72F12D4F-6B2D-450E-BD0A-295CCF100569}</b:Guid>
    <b:Title>The future of learning 3: What kind of pedagogies for the 21st cedntury</b:Title>
    <b:Year>2015</b:Year>
    <b:Publisher>UNESCO</b:Publisher>
    <b:Author>
      <b:Author>
        <b:NameList>
          <b:Person>
            <b:Last>Scott</b:Last>
            <b:First>Cynthia</b:First>
          </b:Person>
        </b:NameList>
      </b:Author>
    </b:Author>
    <b:RefOrder>32</b:RefOrder>
  </b:Source>
  <b:Source>
    <b:Tag>McK03</b:Tag>
    <b:SourceType>Report</b:SourceType>
    <b:Guid>{76C35191-D268-4DE8-B01D-1D0747FC26FA}</b:Guid>
    <b:Author>
      <b:Author>
        <b:NameList>
          <b:Person>
            <b:Last>McKimm</b:Last>
            <b:First>Judy</b:First>
          </b:Person>
          <b:Person>
            <b:Last>Jollie</b:Last>
            <b:First>Carol</b:First>
          </b:Person>
        </b:NameList>
      </b:Author>
    </b:Author>
    <b:Title>Facilitating learning: Teaching and learning methods</b:Title>
    <b:Year>2003</b:Year>
    <b:Publisher>University of Bedfordshire</b:Publisher>
    <b:City>Bedfordshire</b:City>
    <b:RefOrder>33</b:RefOrder>
  </b:Source>
  <b:Source>
    <b:Tag>Big11</b:Tag>
    <b:SourceType>Book</b:SourceType>
    <b:Guid>{B6095A34-38DD-4F79-8067-8F10C2D5D0E1}</b:Guid>
    <b:Title>Teaching for quality learning at University</b:Title>
    <b:Year>2011</b:Year>
    <b:Publisher>Open University Press</b:Publisher>
    <b:City>Berkshire</b:City>
    <b:Author>
      <b:Author>
        <b:NameList>
          <b:Person>
            <b:Last>Biggs</b:Last>
            <b:First>John</b:First>
          </b:Person>
          <b:Person>
            <b:Last>Tang</b:Last>
            <b:First>Catherine</b:First>
          </b:Person>
        </b:NameList>
      </b:Author>
    </b:Author>
    <b:Edition>4</b:Edition>
    <b:RefOrder>34</b:RefOrder>
  </b:Source>
  <b:Source>
    <b:Tag>Wik18</b:Tag>
    <b:SourceType>InternetSite</b:SourceType>
    <b:Guid>{261A9487-EC69-4008-80D9-42E09873CF9A}</b:Guid>
    <b:Title>Inclusive learning</b:Title>
    <b:Year>2018</b:Year>
    <b:Author>
      <b:Author>
        <b:NameList>
          <b:Person>
            <b:Last>Wiki</b:Last>
          </b:Person>
        </b:NameList>
      </b:Author>
    </b:Author>
    <b:YearAccessed>2018</b:YearAccessed>
    <b:MonthAccessed>February</b:MonthAccessed>
    <b:DayAccessed>17</b:DayAccessed>
    <b:URL>https://inclusive-teaching.wikispaces.com/Biggs%27s+work+1</b:URL>
    <b:RefOrder>25</b:RefOrder>
  </b:Source>
  <b:Source>
    <b:Tag>Kel06</b:Tag>
    <b:SourceType>JournalArticle</b:SourceType>
    <b:Guid>{3A217448-5AEE-419B-9182-D4DA0A02D40F}</b:Guid>
    <b:Title>Teaching for Transformation: From Learning Theory to Teaching Strategies</b:Title>
    <b:Year>2006</b:Year>
    <b:Author>
      <b:Author>
        <b:NameList>
          <b:Person>
            <b:Last>McGonigal</b:Last>
            <b:First>Kelly</b:First>
          </b:Person>
        </b:NameList>
      </b:Author>
    </b:Author>
    <b:JournalName>Science and Culture Education</b:JournalName>
    <b:Pages>11- 25</b:Pages>
    <b:Volume>3</b:Volume>
    <b:Issue>11</b:Issue>
    <b:RefOrder>35</b:RefOrder>
  </b:Source>
  <b:Source>
    <b:Tag>Ben16</b:Tag>
    <b:SourceType>JournalArticle</b:SourceType>
    <b:Guid>{3F098F24-412F-4B64-A092-468E4BF0EC5C}</b:Guid>
    <b:Author>
      <b:Author>
        <b:NameList>
          <b:Person>
            <b:Last>Bennett</b:Last>
            <b:First>Sue</b:First>
          </b:Person>
          <b:Person>
            <b:Last>Agostinho</b:Last>
            <b:First>Shirley</b:First>
          </b:Person>
          <b:Person>
            <b:Last>Lockyer</b:Last>
            <b:First>Lori</b:First>
          </b:Person>
        </b:NameList>
      </b:Author>
    </b:Author>
    <b:Title>The process of designing for learning: Understanding Univedrsity teachers` design work</b:Title>
    <b:JournalName>Education Technology Research and Development</b:JournalName>
    <b:Year>2016</b:Year>
    <b:Pages>125- 145</b:Pages>
    <b:Volume>65</b:Volume>
    <b:Issue>1</b:Issue>
    <b:RefOrder>36</b:RefOrder>
  </b:Source>
  <b:Source>
    <b:Tag>Dal12</b:Tag>
    <b:SourceType>Book</b:SourceType>
    <b:Guid>{CC810E4B-9DA9-4ED0-B01D-E70440752B1E}</b:Guid>
    <b:Title>Learning Theories: An Educational Perspective</b:Title>
    <b:Year>2012</b:Year>
    <b:Author>
      <b:Author>
        <b:NameList>
          <b:Person>
            <b:Last>Schunk</b:Last>
            <b:First>Dale</b:First>
          </b:Person>
        </b:NameList>
      </b:Author>
    </b:Author>
    <b:City>Boston</b:City>
    <b:Publisher>Pearson Education Inc</b:Publisher>
    <b:Edition>6</b:Edition>
    <b:RefOrder>37</b:RefOrder>
  </b:Source>
  <b:Source>
    <b:Tag>Sci17</b:Tag>
    <b:SourceType>InternetSite</b:SourceType>
    <b:Guid>{6F8A2098-90DF-44F1-8076-931924B74CAE}</b:Guid>
    <b:Author>
      <b:Author>
        <b:NameList>
          <b:Person>
            <b:Last>Scittl</b:Last>
          </b:Person>
        </b:NameList>
      </b:Author>
    </b:Author>
    <b:Title>SCITTL Lesson Study</b:Title>
    <b:InternetSiteTitle>SCITTL Lesson Study</b:InternetSiteTitle>
    <b:Year>2017</b:Year>
    <b:URL>http://scittls.weebly.com/learning.html</b:URL>
    <b:RefOrder>22</b:RefOrder>
  </b:Source>
  <b:Source>
    <b:Tag>Bla12</b:Tag>
    <b:SourceType>JournalArticle</b:SourceType>
    <b:Guid>{03FBEA17-0238-497E-A311-8CAD8E3E77DE}</b:Guid>
    <b:Title>Heutagogy and Lifelong Learning; A review of Heutagogical practice and self determined learning</b:Title>
    <b:Year>2012</b:Year>
    <b:Author>
      <b:Author>
        <b:NameList>
          <b:Person>
            <b:Last>Blaschke</b:Last>
            <b:First>Lisa</b:First>
            <b:Middle>Marie</b:Middle>
          </b:Person>
        </b:NameList>
      </b:Author>
    </b:Author>
    <b:JournalName>International Review of Research In Open and Distance Learning</b:JournalName>
    <b:Volume>13</b:Volume>
    <b:Issue>1</b:Issue>
    <b:RefOrder>38</b:RefOrder>
  </b:Source>
  <b:Source>
    <b:Tag>Man07</b:Tag>
    <b:SourceType>InternetSite</b:SourceType>
    <b:Guid>{A8CF1451-023F-4C50-8494-228CE0A60C13}</b:Guid>
    <b:Title>Business and Public Administration Studies</b:Title>
    <b:Year>2007</b:Year>
    <b:Author>
      <b:Author>
        <b:NameList>
          <b:Person>
            <b:Last>Manning</b:Last>
            <b:First>Geri</b:First>
          </b:Person>
        </b:NameList>
      </b:Author>
    </b:Author>
    <b:InternetSiteTitle>Self directed learning</b:InternetSiteTitle>
    <b:URL>https://www.bpastudies.org/bpastudies/article/view/38/78</b:URL>
    <b:YearAccessed>2017</b:YearAccessed>
    <b:MonthAccessed>November</b:MonthAccessed>
    <b:DayAccessed>19</b:DayAccessed>
    <b:RefOrder>39</b:RefOrder>
  </b:Source>
  <b:Source>
    <b:Tag>Vic16</b:Tag>
    <b:SourceType>Book</b:SourceType>
    <b:Guid>{F3B49CEB-1DE3-4A87-8315-AFD3985E82CE}</b:Guid>
    <b:Author>
      <b:Author>
        <b:NameList>
          <b:Person>
            <b:Last>Wang</b:Last>
            <b:First>Victor</b:First>
          </b:Person>
        </b:NameList>
      </b:Author>
    </b:Author>
    <b:Title>Theory and Practice of Adult and Higher Education</b:Title>
    <b:Year>2016</b:Year>
    <b:Publisher>Information Age Publishing</b:Publisher>
    <b:RefOrder>40</b:RefOrder>
  </b:Source>
  <b:Source>
    <b:Tag>Mez91</b:Tag>
    <b:SourceType>Book</b:SourceType>
    <b:Guid>{C609DB88-C074-4DD5-8F11-FA2F7232AABC}</b:Guid>
    <b:Author>
      <b:Author>
        <b:NameList>
          <b:Person>
            <b:Last>Mezirow</b:Last>
          </b:Person>
        </b:NameList>
      </b:Author>
    </b:Author>
    <b:Title>Transformative Dimensions of Adult Learning</b:Title>
    <b:Year>1991</b:Year>
    <b:City>San Francisco</b:City>
    <b:Publisher>Jossey- Bass</b:Publisher>
    <b:RefOrder>41</b:RefOrder>
  </b:Source>
  <b:Source>
    <b:Tag>Jac97</b:Tag>
    <b:SourceType>JournalArticle</b:SourceType>
    <b:Guid>{5D1B76EE-6FB4-45F0-BEEB-D1BA55325916}</b:Guid>
    <b:Title>Transformative learning: Theory to practice</b:Title>
    <b:Year>1997</b:Year>
    <b:Author>
      <b:Author>
        <b:NameList>
          <b:Person>
            <b:Last>Mezirow</b:Last>
            <b:First>Jack</b:First>
          </b:Person>
        </b:NameList>
      </b:Author>
    </b:Author>
    <b:JournalName>New Directions for Adult Learning and continuing Education</b:JournalName>
    <b:Pages>5- 12</b:Pages>
    <b:Volume>74</b:Volume>
    <b:RefOrder>42</b:RefOrder>
  </b:Source>
  <b:Source>
    <b:Tag>Gos14</b:Tag>
    <b:SourceType>Book</b:SourceType>
    <b:Guid>{F83242BA-35C1-46F5-9579-646EEBA4B013}</b:Guid>
    <b:Title>Curriculum Models for the 21st Century: Using learning technologies in Higher Education</b:Title>
    <b:Year>2014</b:Year>
    <b:Author>
      <b:Author>
        <b:NameList>
          <b:Person>
            <b:Last>Gosper</b:Last>
            <b:First>Maree</b:First>
          </b:Person>
          <b:Person>
            <b:Last>Ifenthaler</b:Last>
            <b:First>Dirk</b:First>
          </b:Person>
        </b:NameList>
      </b:Author>
    </b:Author>
    <b:City>New York</b:City>
    <b:Publisher>Springer</b:Publisher>
    <b:RefOrder>24</b:RefOrder>
  </b:Source>
  <b:Source>
    <b:Tag>Ent15</b:Tag>
    <b:SourceType>Book</b:SourceType>
    <b:Guid>{C803636A-18DC-4E8F-97DD-29F47DBD0B45}</b:Guid>
    <b:Author>
      <b:Author>
        <b:NameList>
          <b:Person>
            <b:Last>Entwistle</b:Last>
            <b:First>Noel</b:First>
          </b:Person>
          <b:Person>
            <b:Last>Ramsden</b:Last>
            <b:First>Paul</b:First>
          </b:Person>
        </b:NameList>
      </b:Author>
    </b:Author>
    <b:Title>Understanding Student Leanring</b:Title>
    <b:Year>2015</b:Year>
    <b:City>New York</b:City>
    <b:Publisher>Routledge</b:Publisher>
    <b:RefOrder>43</b:RefOrder>
  </b:Source>
  <b:Source>
    <b:Tag>Ste13</b:Tag>
    <b:SourceType>InternetSite</b:SourceType>
    <b:Guid>{4681F7FA-0929-40D3-A8DD-E2C5754A6F2E}</b:Guid>
    <b:Title>Deep and Surface Learning: The literature</b:Title>
    <b:Year>2013</b:Year>
    <b:Author>
      <b:Author>
        <b:NameList>
          <b:Person>
            <b:Last>Draper</b:Last>
            <b:First>Steve</b:First>
          </b:Person>
        </b:NameList>
      </b:Author>
    </b:Author>
    <b:InternetSiteTitle>Deep and Surface Learning: The Literature</b:InternetSiteTitle>
    <b:Month>April</b:Month>
    <b:Day>13</b:Day>
    <b:URL>http://www.psy.gla.ac.uk/~steve/courses/archive/CERE12-13-safari-archive/topic9/webarchive-index.html</b:URL>
    <b:RefOrder>3</b:RefOrder>
  </b:Source>
  <b:Source>
    <b:Tag>Sim10</b:Tag>
    <b:SourceType>JournalArticle</b:SourceType>
    <b:Guid>{D1E9F63E-642F-4E57-97CB-F34436B6A10C}</b:Guid>
    <b:Title>Learning styles: An overview of theories, models and measures</b:Title>
    <b:Year>2010</b:Year>
    <b:Author>
      <b:Author>
        <b:NameList>
          <b:Person>
            <b:Last>Cassidy</b:Last>
            <b:First>Simon</b:First>
          </b:Person>
        </b:NameList>
      </b:Author>
    </b:Author>
    <b:JournalName>Education Psychology: An international journal of experiments, education and psychology</b:JournalName>
    <b:Pages>419- 444</b:Pages>
    <b:RefOrder>28</b:RefOrder>
  </b:Source>
  <b:Source>
    <b:Tag>Pau03</b:Tag>
    <b:SourceType>Book</b:SourceType>
    <b:Guid>{1AA52802-9781-4BCA-91AA-3D9BC09D3E70}</b:Guid>
    <b:Author>
      <b:Author>
        <b:NameList>
          <b:Person>
            <b:Last>Ramsden</b:Last>
            <b:First>Paul</b:First>
          </b:Person>
        </b:NameList>
      </b:Author>
    </b:Author>
    <b:Title>Learning to Teach in Higher Education</b:Title>
    <b:Year>2003</b:Year>
    <b:City>New York</b:City>
    <b:Publisher>RoutledgeFalmer</b:Publisher>
    <b:RefOrder>1</b:RefOrder>
  </b:Source>
  <b:Source>
    <b:Tag>Ste131</b:Tag>
    <b:SourceType>InternetSite</b:SourceType>
    <b:Guid>{B2EDA889-E580-4558-AFB8-0A71CBF20E26}</b:Guid>
    <b:Title>Social Constructivism</b:Title>
    <b:Year>2013</b:Year>
    <b:Author>
      <b:Author>
        <b:NameList>
          <b:Person>
            <b:Last>Draper</b:Last>
            <b:First>Steve</b:First>
          </b:Person>
        </b:NameList>
      </b:Author>
    </b:Author>
    <b:YearAccessed>2018</b:YearAccessed>
    <b:MonthAccessed>February</b:MonthAccessed>
    <b:DayAccessed>14</b:DayAccessed>
    <b:URL>http://www.psy.gla.ac.uk/~steve/courses/archive/CERE12-13-safari-archive/topic3/webarchive-index.html</b:URL>
    <b:RefOrder>2</b:RefOrder>
  </b:Source>
  <b:Source>
    <b:Tag>Geo10</b:Tag>
    <b:SourceType>Report</b:SourceType>
    <b:Guid>{BDE0A9FE-A985-48AC-A076-22ACD720F5B5}</b:Guid>
    <b:Title>Creating Prosperity: the role of higher education in driving the UK`s creative economy</b:Title>
    <b:Year>2010</b:Year>
    <b:Author>
      <b:Author>
        <b:NameList>
          <b:Person>
            <b:Last>Crossick</b:Last>
            <b:First>Geoffrey</b:First>
          </b:Person>
        </b:NameList>
      </b:Author>
    </b:Author>
    <b:Publisher>University of Londoon</b:Publisher>
    <b:City>London</b:City>
    <b:RefOrder>4</b:RefOrder>
  </b:Source>
  <b:Source>
    <b:Tag>Uni11</b:Tag>
    <b:SourceType>Report</b:SourceType>
    <b:Guid>{F82B771E-2F0A-4961-9F99-22C4261696D5}</b:Guid>
    <b:Author>
      <b:Author>
        <b:NameList>
          <b:Person>
            <b:Last>Glasgow</b:Last>
            <b:First>University</b:First>
            <b:Middle>of</b:Middle>
          </b:Person>
        </b:NameList>
      </b:Author>
    </b:Author>
    <b:Title>Employers perceptions of the employability skills of new graduates</b:Title>
    <b:Year>2011</b:Year>
    <b:Publisher>The SCRE Centre Research in Education</b:Publisher>
    <b:City>Glasgow</b:City>
    <b:RefOrder>45</b:RefOrder>
  </b:Source>
  <b:Source>
    <b:Tag>Lee</b:Tag>
    <b:SourceType>Report</b:SourceType>
    <b:Guid>{E8268405-5E0F-4D93-A6B6-E77D0BEE3860}</b:Guid>
    <b:Author>
      <b:Author>
        <b:NameList>
          <b:Person>
            <b:Last>Harvey</b:Last>
            <b:First>Lee</b:First>
          </b:Person>
        </b:NameList>
      </b:Author>
    </b:Author>
    <b:Title>Enhanicng Employability, Recognising Diversity</b:Title>
    <b:Publisher>Centre for Research and Evaluation</b:Publisher>
    <b:City>Sheffield</b:City>
    <b:Year>2003</b:Year>
    <b:RefOrder>5</b:RefOrder>
  </b:Source>
  <b:Source>
    <b:Tag>Dia02</b:Tag>
    <b:SourceType>Book</b:SourceType>
    <b:Guid>{1B2FF76F-A200-42CC-A27A-186E7E895DD2}</b:Guid>
    <b:Title>Rethinking University Teaching: A conversational Framework for the effective us of learning technologies</b:Title>
    <b:Year>2002</b:Year>
    <b:Publisher>RoutledgeFalmer</b:Publisher>
    <b:City>London</b:City>
    <b:Author>
      <b:Author>
        <b:NameList>
          <b:Person>
            <b:Last>Laurillard</b:Last>
            <b:First>Dian</b:First>
          </b:Person>
        </b:NameList>
      </b:Author>
    </b:Author>
    <b:RefOrder>6</b:RefOrder>
  </b:Source>
  <b:Source>
    <b:Tag>Bec06</b:Tag>
    <b:SourceType>Book</b:SourceType>
    <b:Guid>{548F8D16-FD64-4715-9C3E-69B722888A75}</b:Guid>
    <b:Author>
      <b:Author>
        <b:NameList>
          <b:Person>
            <b:Last>Beck</b:Last>
            <b:First>Clive</b:First>
          </b:Person>
          <b:Person>
            <b:Last>Kosnick</b:Last>
            <b:First>Clare</b:First>
          </b:Person>
        </b:NameList>
      </b:Author>
    </b:Author>
    <b:Title>Innovations in Teacher Education: A social Constructivist Approach</b:Title>
    <b:Year>2006</b:Year>
    <b:City>New York</b:City>
    <b:Publisher>State Univdersity of New York Press</b:Publisher>
    <b:RefOrder>8</b:RefOrder>
  </b:Source>
  <b:Source>
    <b:Tag>Ste15</b:Tag>
    <b:SourceType>JournalArticle</b:SourceType>
    <b:Guid>{C251DD76-53E1-4A98-9359-8517B9E82EB6}</b:Guid>
    <b:Title>Constructivism Learning Theory: A Paradigm for Teaching and Learning</b:Title>
    <b:Year>2015</b:Year>
    <b:Author>
      <b:Author>
        <b:NameList>
          <b:Person>
            <b:Last>Olusegun</b:Last>
            <b:First>Steve</b:First>
          </b:Person>
        </b:NameList>
      </b:Author>
    </b:Author>
    <b:JournalName>Journal of Research and Methods in Education</b:JournalName>
    <b:Pages>66- 70</b:Pages>
    <b:Volume>5</b:Volume>
    <b:Issue>6</b:Issue>
    <b:RefOrder>9</b:RefOrder>
  </b:Source>
  <b:Source>
    <b:Tag>Tho98</b:Tag>
    <b:SourceType>JournalArticle</b:SourceType>
    <b:Guid>{C15249E0-135D-446B-BC8D-DF78AF84B58D}</b:Guid>
    <b:Title>Dewey ,Vygotsky, and the social administration of the individual: Constructivist Pedagogy systems of ideas in historical spaces</b:Title>
    <b:Year>1998</b:Year>
    <b:Author>
      <b:Author>
        <b:NameList>
          <b:Person>
            <b:Last>Popkewitz</b:Last>
            <b:First>Thomas</b:First>
          </b:Person>
        </b:NameList>
      </b:Author>
    </b:Author>
    <b:JournalName>American and Educational Research Journal</b:JournalName>
    <b:Pages>535- 570</b:Pages>
    <b:Volume>35</b:Volume>
    <b:Issue>4</b:Issue>
    <b:RefOrder>10</b:RefOrder>
  </b:Source>
  <b:Source>
    <b:Tag>Ale18</b:Tag>
    <b:SourceType>DocumentFromInternetSite</b:SourceType>
    <b:Guid>{3B5534A5-E024-49C5-820C-5A58F83B1414}</b:Guid>
    <b:Title>Scribd</b:Title>
    <b:Year>2018</b:Year>
    <b:Author>
      <b:Author>
        <b:NameList>
          <b:Person>
            <b:Last>Invhinil</b:Last>
            <b:First>Alex</b:First>
            <b:Middle>Kozitih</b:Middle>
          </b:Person>
        </b:NameList>
      </b:Author>
    </b:Author>
    <b:YearAccessed>2018</b:YearAccessed>
    <b:MonthAccessed>February</b:MonthAccessed>
    <b:DayAccessed>15</b:DayAccessed>
    <b:URL>https://www.scribd.com/document/receipt/168049800?format=docx</b:URL>
    <b:RefOrder>11</b:RefOrder>
  </b:Source>
  <b:Source>
    <b:Tag>Fan</b:Tag>
    <b:SourceType>JournalArticle</b:SourceType>
    <b:Guid>{3371BCF2-1C4C-4F45-8302-C1C28AAD0D51}</b:Guid>
    <b:Author>
      <b:Author>
        <b:NameList>
          <b:Person>
            <b:Last>Fani</b:Last>
            <b:First>Tayebeh</b:First>
          </b:Person>
          <b:Person>
            <b:Last>Ghaemi</b:Last>
            <b:First>Farid</b:First>
          </b:Person>
        </b:NameList>
      </b:Author>
    </b:Author>
    <b:Title>Implications of Vygotsky`s Zone of Proximel Development (ZPD) in Teacher Education: ZPTD and Self- Scaffolding</b:Title>
    <b:JournalName>Procedia Social and Behavioural Sciences</b:JournalName>
    <b:Year>2011</b:Year>
    <b:Pages>1534- 1549</b:Pages>
    <b:Volume>29</b:Volume>
    <b:RefOrder>12</b:RefOrder>
  </b:Source>
  <b:Source>
    <b:Tag>Mar111</b:Tag>
    <b:SourceType>JournalArticle</b:SourceType>
    <b:Guid>{9722DE81-E310-47A2-8902-BF79B99EB761}</b:Guid>
    <b:Author>
      <b:Author>
        <b:NameList>
          <b:Person>
            <b:Last>Warford</b:Last>
            <b:First>Mark</b:First>
          </b:Person>
        </b:NameList>
      </b:Author>
    </b:Author>
    <b:Title>The Zone of Proximal teachers development</b:Title>
    <b:JournalName>Teaching and Teacher education</b:JournalName>
    <b:Year>2011</b:Year>
    <b:Pages>252- 258</b:Pages>
    <b:Volume>27</b:Volume>
    <b:Issue>2</b:Issue>
    <b:RefOrder>13</b:RefOrder>
  </b:Source>
  <b:Source>
    <b:Tag>Kar10</b:Tag>
    <b:SourceType>JournalArticle</b:SourceType>
    <b:Guid>{A1145A01-EDD6-412B-B47F-B1F2E93D905E}</b:Guid>
    <b:Author>
      <b:Author>
        <b:NameList>
          <b:Person>
            <b:Last>Shalbani</b:Last>
            <b:First>Karim</b:First>
          </b:Person>
        </b:NameList>
      </b:Author>
    </b:Author>
    <b:Title>Vygotsky`s Zone of Proximal Development: Instructional Implications and Teachers Proffesional Development</b:Title>
    <b:JournalName>English Language Teaching</b:JournalName>
    <b:Year>2010</b:Year>
    <b:Volume>3</b:Volume>
    <b:Issue>4</b:Issue>
    <b:RefOrder>14</b:RefOrder>
  </b:Source>
  <b:Source>
    <b:Tag>Ber18</b:Tag>
    <b:SourceType>InternetSite</b:SourceType>
    <b:Guid>{23AAB935-A2DA-4826-A093-9E00B98A53E4}</b:Guid>
    <b:Author>
      <b:Author>
        <b:NameList>
          <b:Person>
            <b:Last>Division</b:Last>
            <b:First>Berkley</b:First>
            <b:Middle>Graduate</b:Middle>
          </b:Person>
        </b:NameList>
      </b:Author>
    </b:Author>
    <b:Title>Graduate student instuctor: Teaching and Resource Centre</b:Title>
    <b:Year>2018</b:Year>
    <b:YearAccessed>2018</b:YearAccessed>
    <b:MonthAccessed>February</b:MonthAccessed>
    <b:DayAccessed>14</b:DayAccessed>
    <b:URL>http://gsi.berkeley.edu/gsi-guide-contents/learning-theory-research/cognitive-constructivism/</b:URL>
    <b:RefOrder>15</b:RefOrder>
  </b:Source>
  <b:Source>
    <b:Tag>Ell99</b:Tag>
    <b:SourceType>Book</b:SourceType>
    <b:Guid>{15287EE9-C849-46F0-A930-DBD0E67A2438}</b:Guid>
    <b:Title>Conceptual development: Piaget`s Legacy Jean Piaget symposium series</b:Title>
    <b:Year>1999</b:Year>
    <b:Author>
      <b:Author>
        <b:NameList>
          <b:Person>
            <b:Last>Kofsky</b:Last>
            <b:First>Ellin</b:First>
          </b:Person>
        </b:NameList>
      </b:Author>
    </b:Author>
    <b:Publisher>Laurence Erlibaum Associates</b:Publisher>
    <b:RefOrder>17</b:RefOrder>
  </b:Source>
  <b:Source>
    <b:Tag>Ger15</b:Tag>
    <b:SourceType>Book</b:SourceType>
    <b:Guid>{2FFA9B3E-F9CD-4B6E-9614-B1401B772068}</b:Guid>
    <b:Title>Curriculum Design in Higher Education: Theory to Practice</b:Title>
    <b:Year>2015</b:Year>
    <b:Author>
      <b:Author>
        <b:NameList>
          <b:Person>
            <b:Last>O`Neill</b:Last>
            <b:First>Geraldiune</b:First>
          </b:Person>
        </b:NameList>
      </b:Author>
    </b:Author>
    <b:City>Dublin</b:City>
    <b:Publisher>UCD Teaching and Learning</b:Publisher>
    <b:Edition>First</b:Edition>
    <b:RefOrder>20</b:RefOrder>
  </b:Source>
  <b:Source>
    <b:Tag>Tri17</b:Tag>
    <b:SourceType>InternetSite</b:SourceType>
    <b:Guid>{4349B9F6-FBBB-4048-BA17-44E91229E367}</b:Guid>
    <b:LCID>0</b:LCID>
    <b:Author>
      <b:Author>
        <b:NameList>
          <b:Person>
            <b:Last>David</b:Last>
            <b:First>Trinity</b:First>
            <b:Middle>Saint</b:Middle>
          </b:Person>
        </b:NameList>
      </b:Author>
    </b:Author>
    <b:Title>Chilldcare and Education BA Degree</b:Title>
    <b:Year>2017</b:Year>
    <b:YearAccessed>2018</b:YearAccessed>
    <b:MonthAccessed>February</b:MonthAccessed>
    <b:DayAccessed>19</b:DayAccessed>
    <b:URL>http://www.uwtsd.ac.uk/undergraduate/early-years/ba-early-years-education-and-care-early-years-practitioner---2-years/</b:URL>
    <b:RefOrder>7</b:RefOrder>
  </b:Source>
  <b:Source>
    <b:Tag>Ken17</b:Tag>
    <b:SourceType>InternetSite</b:SourceType>
    <b:Guid>{6CA76FA7-9837-498D-B13D-951DB44D3B66}</b:Guid>
    <b:LCID>0</b:LCID>
    <b:Author>
      <b:Author>
        <b:NameList>
          <b:Person>
            <b:Last>Cherry</b:Last>
            <b:First>Kendra</b:First>
          </b:Person>
        </b:NameList>
      </b:Author>
    </b:Author>
    <b:Title>Very Well Mind: Piaget's Theory: The 4 Stages of Cognitive Development</b:Title>
    <b:Year>2017</b:Year>
    <b:YearAccessed>2018</b:YearAccessed>
    <b:MonthAccessed>February</b:MonthAccessed>
    <b:DayAccessed>19</b:DayAccessed>
    <b:URL>https://www.verywellmind.com/piagets-stages-of-cognitive-development-2795457</b:URL>
    <b:RefOrder>16</b:RefOrder>
  </b:Source>
  <b:Source>
    <b:Tag>WAG08</b:Tag>
    <b:SourceType>Report</b:SourceType>
    <b:Guid>{EA292431-48C3-451A-B50D-8C072F674268}</b:Guid>
    <b:LCID>0</b:LCID>
    <b:Author>
      <b:Author>
        <b:NameList>
          <b:Person>
            <b:Last>WAG</b:Last>
          </b:Person>
        </b:NameList>
      </b:Author>
    </b:Author>
    <b:Title>Plat/Active Learning: Overview for 3- 7 year olds</b:Title>
    <b:Year>2008</b:Year>
    <b:Publisher>Welsh Assembly Givernment</b:Publisher>
    <b:City>Cardiff</b:City>
    <b:RefOrder>21</b:RefOrder>
  </b:Source>
  <b:Source xmlns:b="http://schemas.openxmlformats.org/officeDocument/2006/bibliography">
    <b:Tag>UNE15</b:Tag>
    <b:SourceType>JournalArticle</b:SourceType>
    <b:Guid>{D4EA84DE-CDD8-44F9-BC6B-A88FA78F7441}</b:Guid>
    <b:Title>The Futures of Learning 3: What Kind of Pedagogies</b:Title>
    <b:Year>2015</b:Year>
    <b:Author>
      <b:Author>
        <b:NameList>
          <b:Person>
            <b:Last>UNESCO</b:Last>
          </b:Person>
        </b:NameList>
      </b:Author>
    </b:Author>
    <b:JournalName>Education and Research</b:JournalName>
    <b:RefOrder>19</b:RefOrder>
  </b:Source>
  <b:Source xmlns:b="http://schemas.openxmlformats.org/officeDocument/2006/bibliography">
    <b:Tag>Ber181</b:Tag>
    <b:SourceType>InternetSite</b:SourceType>
    <b:Guid>{8FD84FD9-4DA0-4229-9394-EA24190B7B68}</b:Guid>
    <b:Title>Cognitive Constructivism</b:Title>
    <b:Year>2018</b:Year>
    <b:Author>
      <b:Author>
        <b:NameList>
          <b:Person>
            <b:Last>Division</b:Last>
            <b:First>Berkely</b:First>
            <b:Middle>Graduate</b:Middle>
          </b:Person>
        </b:NameList>
      </b:Author>
    </b:Author>
    <b:YearAccessed>2018</b:YearAccessed>
    <b:MonthAccessed>February </b:MonthAccessed>
    <b:DayAccessed>14</b:DayAccessed>
    <b:URL>http://gsi.berkeley.edu/gsi-guide-contents/learning-theory-research/cognitive-constructivism/</b:URL>
    <b:RefOrder>18</b:RefOrder>
  </b:Source>
</b:Sources>
</file>

<file path=customXml/itemProps1.xml><?xml version="1.0" encoding="utf-8"?>
<ds:datastoreItem xmlns:ds="http://schemas.openxmlformats.org/officeDocument/2006/customXml" ds:itemID="{6ED32303-2CFF-4FC8-A9B1-E0D7443AED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24</Pages>
  <Words>8736</Words>
  <Characters>49801</Characters>
  <Application>Microsoft Office Word</Application>
  <DocSecurity>0</DocSecurity>
  <Lines>415</Lines>
  <Paragraphs>116</Paragraphs>
  <ScaleCrop>false</ScaleCrop>
  <HeadingPairs>
    <vt:vector size="2" baseType="variant">
      <vt:variant>
        <vt:lpstr>Title</vt:lpstr>
      </vt:variant>
      <vt:variant>
        <vt:i4>1</vt:i4>
      </vt:variant>
    </vt:vector>
  </HeadingPairs>
  <TitlesOfParts>
    <vt:vector size="1" baseType="lpstr">
      <vt:lpstr/>
    </vt:vector>
  </TitlesOfParts>
  <Company>Hewlett-Packard Company</Company>
  <LinksUpToDate>false</LinksUpToDate>
  <CharactersWithSpaces>58421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Shelley Williams</dc:creator>
  <cp:lastModifiedBy>shelley_williams</cp:lastModifiedBy>
  <cp:revision>3</cp:revision>
  <dcterms:created xsi:type="dcterms:W3CDTF">2018-02-19T14:33:00Z</dcterms:created>
  <dcterms:modified xsi:type="dcterms:W3CDTF">2018-02-19T14:34:00Z</dcterms:modified>
</cp:coreProperties>
</file>