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B9900" w14:textId="4BA392E8" w:rsidR="00E92BE3" w:rsidRDefault="00E92BE3" w:rsidP="7BE92075">
      <w:pPr>
        <w:spacing w:line="360" w:lineRule="auto"/>
        <w:jc w:val="both"/>
        <w:rPr>
          <w:rFonts w:ascii="Arial" w:hAnsi="Arial" w:cs="Arial"/>
          <w:b/>
          <w:bCs/>
          <w:sz w:val="32"/>
          <w:szCs w:val="32"/>
        </w:rPr>
      </w:pPr>
    </w:p>
    <w:p w14:paraId="5D47A1D3" w14:textId="77777777" w:rsidR="00D5380B" w:rsidRDefault="00D5380B" w:rsidP="7BE92075">
      <w:pPr>
        <w:spacing w:line="360" w:lineRule="auto"/>
        <w:jc w:val="both"/>
        <w:rPr>
          <w:rFonts w:ascii="Arial" w:hAnsi="Arial" w:cs="Arial"/>
          <w:b/>
          <w:bCs/>
          <w:sz w:val="32"/>
          <w:szCs w:val="32"/>
        </w:rPr>
      </w:pPr>
    </w:p>
    <w:p w14:paraId="49D07813" w14:textId="77777777" w:rsidR="00E92BE3" w:rsidRDefault="00E92BE3" w:rsidP="7BE92075">
      <w:pPr>
        <w:spacing w:line="360" w:lineRule="auto"/>
        <w:jc w:val="both"/>
        <w:rPr>
          <w:rFonts w:ascii="Arial" w:hAnsi="Arial" w:cs="Arial"/>
          <w:b/>
          <w:bCs/>
          <w:sz w:val="32"/>
          <w:szCs w:val="32"/>
        </w:rPr>
      </w:pPr>
    </w:p>
    <w:p w14:paraId="704C5122" w14:textId="503985D7" w:rsidR="47ACF867" w:rsidRPr="00E92BE3" w:rsidRDefault="7BE92075" w:rsidP="7BE92075">
      <w:pPr>
        <w:spacing w:line="720" w:lineRule="auto"/>
        <w:jc w:val="center"/>
        <w:rPr>
          <w:rFonts w:ascii="Arial" w:hAnsi="Arial" w:cs="Arial"/>
          <w:b/>
          <w:bCs/>
          <w:sz w:val="36"/>
          <w:szCs w:val="36"/>
        </w:rPr>
      </w:pPr>
      <w:r w:rsidRPr="7BE92075">
        <w:rPr>
          <w:rFonts w:ascii="Arial" w:hAnsi="Arial" w:cs="Arial"/>
          <w:b/>
          <w:bCs/>
          <w:sz w:val="36"/>
          <w:szCs w:val="36"/>
        </w:rPr>
        <w:t>MODULE TITLE: Personnel Resourcing and Development</w:t>
      </w:r>
    </w:p>
    <w:p w14:paraId="7FD29738" w14:textId="6BCD8E16" w:rsidR="47ACF867" w:rsidRPr="00E92BE3" w:rsidRDefault="7BE92075" w:rsidP="7BE92075">
      <w:pPr>
        <w:spacing w:line="720" w:lineRule="auto"/>
        <w:jc w:val="center"/>
        <w:rPr>
          <w:rFonts w:ascii="Arial" w:hAnsi="Arial" w:cs="Arial"/>
          <w:b/>
          <w:bCs/>
          <w:sz w:val="36"/>
          <w:szCs w:val="36"/>
        </w:rPr>
      </w:pPr>
      <w:r w:rsidRPr="7BE92075">
        <w:rPr>
          <w:rFonts w:ascii="Arial" w:hAnsi="Arial" w:cs="Arial"/>
          <w:b/>
          <w:bCs/>
          <w:sz w:val="36"/>
          <w:szCs w:val="36"/>
        </w:rPr>
        <w:t>MODULE CODE: BMIH5005</w:t>
      </w:r>
    </w:p>
    <w:p w14:paraId="64705137" w14:textId="2138073D" w:rsidR="47ACF867" w:rsidRPr="00E92BE3" w:rsidRDefault="7BE92075" w:rsidP="7BE92075">
      <w:pPr>
        <w:spacing w:line="720" w:lineRule="auto"/>
        <w:jc w:val="center"/>
        <w:rPr>
          <w:rFonts w:ascii="Arial" w:hAnsi="Arial" w:cs="Arial"/>
          <w:b/>
          <w:bCs/>
          <w:sz w:val="36"/>
          <w:szCs w:val="36"/>
        </w:rPr>
      </w:pPr>
      <w:r w:rsidRPr="7BE92075">
        <w:rPr>
          <w:rFonts w:ascii="Arial" w:hAnsi="Arial" w:cs="Arial"/>
          <w:b/>
          <w:bCs/>
          <w:sz w:val="36"/>
          <w:szCs w:val="36"/>
        </w:rPr>
        <w:t>LECTURERS NAME:</w:t>
      </w:r>
      <w:r w:rsidR="004E0E83">
        <w:rPr>
          <w:rFonts w:ascii="Arial" w:hAnsi="Arial" w:cs="Arial"/>
          <w:b/>
          <w:bCs/>
          <w:sz w:val="36"/>
          <w:szCs w:val="36"/>
        </w:rPr>
        <w:t xml:space="preserve"> EMMA ROBERTS</w:t>
      </w:r>
    </w:p>
    <w:p w14:paraId="7462141A" w14:textId="27DFEFA6" w:rsidR="47ACF867" w:rsidRPr="00E92BE3" w:rsidRDefault="7BE92075" w:rsidP="7BE92075">
      <w:pPr>
        <w:spacing w:line="720" w:lineRule="auto"/>
        <w:jc w:val="center"/>
        <w:rPr>
          <w:rFonts w:ascii="Arial" w:hAnsi="Arial" w:cs="Arial"/>
          <w:b/>
          <w:bCs/>
          <w:sz w:val="36"/>
          <w:szCs w:val="36"/>
        </w:rPr>
      </w:pPr>
      <w:r w:rsidRPr="7BE92075">
        <w:rPr>
          <w:rFonts w:ascii="Arial" w:hAnsi="Arial" w:cs="Arial"/>
          <w:b/>
          <w:bCs/>
          <w:sz w:val="36"/>
          <w:szCs w:val="36"/>
        </w:rPr>
        <w:t>STUDENT NAME:</w:t>
      </w:r>
      <w:r w:rsidR="004E0E83">
        <w:rPr>
          <w:rFonts w:ascii="Arial" w:hAnsi="Arial" w:cs="Arial"/>
          <w:b/>
          <w:bCs/>
          <w:sz w:val="36"/>
          <w:szCs w:val="36"/>
        </w:rPr>
        <w:t xml:space="preserve"> SIMONA-ELENA MEZO</w:t>
      </w:r>
    </w:p>
    <w:p w14:paraId="77400745" w14:textId="4BEC7F0F" w:rsidR="47ACF867" w:rsidRPr="00E92BE3" w:rsidRDefault="7BE92075" w:rsidP="7BE92075">
      <w:pPr>
        <w:spacing w:line="720" w:lineRule="auto"/>
        <w:jc w:val="center"/>
        <w:rPr>
          <w:rFonts w:ascii="Arial" w:hAnsi="Arial" w:cs="Arial"/>
          <w:b/>
          <w:bCs/>
          <w:sz w:val="36"/>
          <w:szCs w:val="36"/>
        </w:rPr>
      </w:pPr>
      <w:r w:rsidRPr="7BE92075">
        <w:rPr>
          <w:rFonts w:ascii="Arial" w:hAnsi="Arial" w:cs="Arial"/>
          <w:b/>
          <w:bCs/>
          <w:sz w:val="36"/>
          <w:szCs w:val="36"/>
        </w:rPr>
        <w:t>STUDENT NUYMBER:</w:t>
      </w:r>
      <w:r w:rsidR="004E0E83">
        <w:rPr>
          <w:rFonts w:ascii="Arial" w:hAnsi="Arial" w:cs="Arial"/>
          <w:b/>
          <w:bCs/>
          <w:sz w:val="36"/>
          <w:szCs w:val="36"/>
        </w:rPr>
        <w:t xml:space="preserve"> 2030170</w:t>
      </w:r>
    </w:p>
    <w:p w14:paraId="1EC5CD97" w14:textId="50C52A59" w:rsidR="47ACF867" w:rsidRPr="00E92BE3" w:rsidRDefault="7BE92075" w:rsidP="7BE92075">
      <w:pPr>
        <w:spacing w:line="720" w:lineRule="auto"/>
        <w:jc w:val="center"/>
        <w:rPr>
          <w:rFonts w:ascii="Arial" w:hAnsi="Arial" w:cs="Arial"/>
          <w:sz w:val="24"/>
          <w:szCs w:val="24"/>
        </w:rPr>
      </w:pPr>
      <w:r w:rsidRPr="7BE92075">
        <w:rPr>
          <w:rFonts w:ascii="Arial" w:hAnsi="Arial" w:cs="Arial"/>
          <w:b/>
          <w:bCs/>
          <w:sz w:val="36"/>
          <w:szCs w:val="36"/>
        </w:rPr>
        <w:t xml:space="preserve">SUBMISSION </w:t>
      </w:r>
      <w:bookmarkStart w:id="0" w:name="_Int_6tDkEmcb"/>
      <w:r w:rsidRPr="7BE92075">
        <w:rPr>
          <w:rFonts w:ascii="Arial" w:hAnsi="Arial" w:cs="Arial"/>
          <w:b/>
          <w:bCs/>
          <w:sz w:val="36"/>
          <w:szCs w:val="36"/>
        </w:rPr>
        <w:t>DATE:</w:t>
      </w:r>
      <w:r w:rsidR="004E0E83">
        <w:rPr>
          <w:rFonts w:ascii="Arial" w:hAnsi="Arial" w:cs="Arial"/>
          <w:b/>
          <w:bCs/>
          <w:sz w:val="36"/>
          <w:szCs w:val="36"/>
        </w:rPr>
        <w:t xml:space="preserve"> 26.10.2022</w:t>
      </w:r>
      <w:r w:rsidR="6E342F2A" w:rsidRPr="7BE92075">
        <w:rPr>
          <w:rFonts w:ascii="Arial" w:hAnsi="Arial" w:cs="Arial"/>
          <w:sz w:val="24"/>
          <w:szCs w:val="24"/>
        </w:rPr>
        <w:br w:type="page"/>
      </w:r>
      <w:bookmarkEnd w:id="0"/>
      <w:r w:rsidRPr="7BE92075">
        <w:rPr>
          <w:rFonts w:ascii="Arial" w:hAnsi="Arial" w:cs="Arial"/>
          <w:b/>
          <w:bCs/>
          <w:sz w:val="24"/>
          <w:szCs w:val="24"/>
        </w:rPr>
        <w:lastRenderedPageBreak/>
        <w:t>HOW TO ENGAGE EMPLOYEES THROUOUT THE EMPLOYEMEE LIFECYCLE</w:t>
      </w:r>
    </w:p>
    <w:p w14:paraId="661DFFD0" w14:textId="00FE9E7B"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Human resources are the most important asset in a business organization. It is therefore the task of the Human Resources department team to ensure that these resources are taken care of (Matthis et al., 2016). The roles of the HR department are broad and can be defined under the umbrella of the employee life cycle. The employment life cycle is a model that tries to explain the journey of employees from the moment they get inducted into a company to the exact moment they leave. This model is described by six stages: attraction, recruitment, onboarding, development, retention, and separation. The key stages that an employee encounters when they deal with their company are identified and described in the employee life cycle model. The employee lifecycle helps the management team evaluate the employee experience at each stage, thereby giving the business the chance to improve where possible. This will translate to the company's increasing its retention capability of its best employees (Cattermole, 2019). The purpose of this essay is to identify and discuss the role played by employee engagement at each stage in the employee life cycle. This will be discussed in the context of how a large hotel manages its employees and will use the case study of the Hilton London Metropole hotel. With 404 houses and 1059 rooms, Hilton is perfect for this case study.</w:t>
      </w:r>
    </w:p>
    <w:p w14:paraId="52D0028F" w14:textId="45B18192"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 xml:space="preserve">Human resources (HR) experts use the term "employee engagement" to refer to a worker's level of enthusiasm and dedication to their job. Achieving success for the business, their work, and whether their contributions are valued are all concerns of engaged employees. Due to the higher likelihood of disengaged employees quitting their positions, employee engagement is essential for keeping top talent on board and is a major component of employee happiness (Byrne, 2014). According to Kruse (2012), employee engagement is not a plan because it starts with the individual employee. It follows that it is thought that an employee's emotional attachment to the company drives them to go beyond what is necessary to ensure the brand's and company's success. According to Kruse (2012), higher employee engagement results in a lower cost-to-value ratio for your investment in human resources, which also boosts motivation and job satisfaction. Employee engagement does, however, cost the business more money than </w:t>
      </w:r>
      <w:r w:rsidRPr="7BE92075">
        <w:rPr>
          <w:rFonts w:ascii="Arial" w:eastAsia="Arial" w:hAnsi="Arial" w:cs="Arial"/>
          <w:sz w:val="24"/>
          <w:szCs w:val="24"/>
        </w:rPr>
        <w:lastRenderedPageBreak/>
        <w:t>employee disengagement. Employees desire to be respected and trusted because of the autonomous decisions they might make and the possible influence they could have. Employee engagement is also at its highest when they do not feel constrained by rules and regulations. Therefore, the HR department ought to strive to instil this engagement in employees throughout the stages of the employee lifecycle (Bernadin and Russell 2006).</w:t>
      </w:r>
    </w:p>
    <w:p w14:paraId="747BDB29" w14:textId="7E4291D4"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Experts in the field of human resource management have defined several models that can be used in employee engagement. Among these models is the Schimdt model of employee engagement. This model was developed in 2004 and is focused on the attraction and retention of employees that best fit and are aligned with the culture of the organization. The approach considers the idea that an organization's workplace will improve if it recruits the right individuals with the requisite abilities. By carefully choosing and keeping individuals that fit your company's culture, you can attain the highest levels of engagement, according to the Schmidt Model of Employee Engagement. This type of employee engagement strategy works effectively for companies that place a high priority on creating a particular workplace culture that includes a secure setting and a strong network of co-workers. This model is therefore best suited for the hotel industry and is best acted upon during the recruitment stage (Remo, 2012).</w:t>
      </w:r>
    </w:p>
    <w:p w14:paraId="5201A719" w14:textId="70D75B47"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 xml:space="preserve">The first stage of the cycle is attraction. This stage dictates that the relationship between the employee and the employee starts way before they sign the letter of contract, way before they show up for the first day at the office, and it starts the first time they are exposed to the brand of the company. This stage is often referred to as the employer brand stage as it projects a positive image of the company as a suitable place to work to both potential employees and the external stakeholders willing to pour in their money for a profitable run (Barrow and Mosley 2011). To increase engagement with potential employees during the attraction phase, the company's HR department should use its employer and consumer branding to address the true wants and needs of the potential candidates, considering who they are as individuals and what they truly desire as part of their employee experience. The upkeep of this approach throughout a range of mediums, such as events, the official website of the business, social media sites, and other locations </w:t>
      </w:r>
      <w:r w:rsidRPr="7BE92075">
        <w:rPr>
          <w:rFonts w:ascii="Arial" w:eastAsia="Arial" w:hAnsi="Arial" w:cs="Arial"/>
          <w:sz w:val="24"/>
          <w:szCs w:val="24"/>
        </w:rPr>
        <w:lastRenderedPageBreak/>
        <w:t>where the branding message is disseminated, is equally important. Employee engagement at this stage will ensure that the hotel attracts the crème de la crème, thereby having a vast talent pool to choose from. Once the potential candidate's interest in the company has been captured, the second stage of the employee life cycle, recruitment, begins (Smither, 2003).</w:t>
      </w:r>
    </w:p>
    <w:p w14:paraId="2585992F" w14:textId="6927C1AB"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The recruitment phase comes right after the attraction stage. Recruiting is a critical component of managing human resources (HRM). It cannot be done without careful strategic planning. Recruitment is defined as the process whereby the organisation chooses from the talent pool created during the attraction stage and HR chooses the best candidates for the job (Dale, 2003). Businesses need to use efficient forecasting and staffing techniques to estimate the number of employees they will require before hiring. Both an open position in a current role and the formation of a new role can act as recruitment accelerators. The best recruitment tactics offer the most positive candidate experience, promote collaborative hiring based on certain standards and norms, and provide useful information that can be applied to gradually enhance hiring outcomes. The HR division should experiment with a variety of recruitment tactics to increase the likelihood that the company will hire the top candidates. An effective technique for making the most of the recruitment stage is engagement. This can be achieved through personalised communication and identifying the gaps in each candidate's current employment (Gill, 2007). The decisions HR takes during the hiring process may have a range of impacts on how engaged the workforce as a whole and certain individuals are. Every new hire has the potential to have an impact on how employees interact with one another, either enhancing or detracting from the office culture and the core principles of the business (Coffey et al., 2020).</w:t>
      </w:r>
    </w:p>
    <w:p w14:paraId="5EED8FA4" w14:textId="26DD89E5"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 xml:space="preserve">In the employee lifecycle, the third stage involves the process of onboarding. Stein and Christiansen (2010) define onboarding as the process of ushering in new recruits into a company. The activities involved during this phase include making the new recruits feel welcome in the business or company. The concept of engagement should be inducted into the stage all through, as this plays a huge role in determining the success of the onboarding The onboarding process is essential to ensure that your new employees </w:t>
      </w:r>
      <w:r w:rsidRPr="7BE92075">
        <w:rPr>
          <w:rFonts w:ascii="Arial" w:eastAsia="Arial" w:hAnsi="Arial" w:cs="Arial"/>
          <w:sz w:val="24"/>
          <w:szCs w:val="24"/>
        </w:rPr>
        <w:lastRenderedPageBreak/>
        <w:t>integrate into the organisational culture and performance requirements of their new function as quickly and easily as is practical. During the onboarding process, new hires gain a thorough understanding of their job as well as the attitudes, skills, knowledge, and behaviours required to succeed in the organization. It is essential for the management to express the company's beliefs and vision during this time, which could prove instrumental in fostering the success of the company (Davila and Pina-Ramirez 2018). Making a good first impression on prospective employees is vital. Hiring managers should offer new hires a solid introduction on their first day of work. HR is required to provide employees with the information they need at this time, such as by emailing them a link to the corporate website along with usage instructions. Additionally, managers can email recent hires on the organization's behalf. Relationships are essential to making employees feel welcome and valued. A seamless onboarding process can increase employee productivity, engagement, and retention rates. This makes the employees mentally prepared and motivated for the phase that follows, development (Bradt and Vonnegut 2009). Hilton uses virtual reality to immerse business team members in hotel life. Another way Hilton uses VR is to give visitors a look inside the hospitality industry, but this hotel operator stands apart from competitors by concentrating on an internal goal. The current corporate staff of Hilton can receive virtual reality training.</w:t>
      </w:r>
    </w:p>
    <w:p w14:paraId="324601EA" w14:textId="5C94F94C"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 xml:space="preserve">After successful attraction, recruitment, and effective onboarding, the managers now ought to offer development strategies to improve and develop their skills sets. It is important to work closely with managers to identify each employee's key competencies and areas of expertise. Then, using their own evaluation of their performance, you can determine and rank the areas that need further development (Nickson, 2013). It is essential to keep your employees engaged in the practises at this stage. One of the best ways to maintain an open channel of communication and a sincere relationship with your workers is to do this. Programs that pair new hires with the most experienced employees may also be implemented by management. The transfer of corporate culture is facilitated by experienced employees sharing their knowledge, which also provides new hires with support and access to reliable advice (McGuire, 2014). These kinds of activities ensure there is employee engagement as well as the development of new and existing skills among the employees. A good example of employee engagement would be a five-star </w:t>
      </w:r>
      <w:r w:rsidRPr="7BE92075">
        <w:rPr>
          <w:rFonts w:ascii="Arial" w:eastAsia="Arial" w:hAnsi="Arial" w:cs="Arial"/>
          <w:sz w:val="24"/>
          <w:szCs w:val="24"/>
        </w:rPr>
        <w:lastRenderedPageBreak/>
        <w:t>hotel that has taken its new recruits for a one-week training session on the importance of hospitality. The way these employees will be treated during the retreat will play a significant role in determining the kind of service they will give their potential customers (Heskett et al., 2010). This will help the management retain the best employees moving forward. At Hilton, new employees are assigned a "shadow buddy" during their first two weeks to help them learn more about the hotel. Employees are also given a 3-month probatory period, after which there is a pulse check to determine whether the contract should stand.</w:t>
      </w:r>
    </w:p>
    <w:p w14:paraId="2B77B3C6" w14:textId="7FEDD1B1"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Retention of employees falls at the fifth stage in the employee life cycle. This stage has been often listed as the most important stage among the six that dictate the employee life cycle. It is one of the major roles of the HR department. Retention, according to Mathis et al. (2016), is the process by which the employer tries to retain the company's best employees, thereby avoiding turnover, which could prove costly. Retention strategies include proper remuneration and rewards. This stage's foundation is created right from the first stage of the attraction. Excellent talent must be recruited and hired before management can expect to keep it. If the organisation was involved in the hiring process and strategy from the outset, it would have a higher chance of keeping the right employees on the roster. Here, it is possible to evaluate the efficiency of the stages of attraction and retention. To create a successful retention program, organisations must not only develop their processes to promote these employee values but also successfully communicate their intentions to do so to their staff. By doing this, you may avoid the possibility that your employees will take what you do for them for granted and instead be aware of and appreciative of it (Phonsanam, 2010). The Hilton hotel also offers outstanding benefits to its staff. For its employees, these benefits include paid vacation days, paid paternity leaves, paid bereavement leaves, and extended bereavement leaves. Hilton outperforms in terms of recognition. They consistently offer programmes, activities, and prizes to recognise outstanding team members. Working well in Hilton never goes unnoticed, of course. (Scott, 2016).</w:t>
      </w:r>
    </w:p>
    <w:p w14:paraId="0BDAEE4A" w14:textId="2603960A"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 xml:space="preserve">As all things must come to an end, so does employment. It is therefore important for managers to be well versed in the separation of employees, which acts as the last </w:t>
      </w:r>
      <w:r w:rsidRPr="7BE92075">
        <w:rPr>
          <w:rFonts w:ascii="Arial" w:eastAsia="Arial" w:hAnsi="Arial" w:cs="Arial"/>
          <w:sz w:val="24"/>
          <w:szCs w:val="24"/>
        </w:rPr>
        <w:lastRenderedPageBreak/>
        <w:t>stage in the lifecycle of employees. The separation could be because of retirement, self-employment, or finding greener pastures (Kemmery et al., 2019). The separation procedure must be treated with the same seriousness as the onboarding procedure, and this step must be handled methodically. The other team members are impacted when a member departs. It is the responsibility of management and HR professionals at the company to make sure that the departing employee does so without creating a large commotion. The absence of a cherished team member frequently results in a drop in morale. The managers should concentrate on reinforcing the importance of dedication to the remaining team members, reassuring them that, despite how disappointing it is for them to leave, the team will eventually bounce back and improve because of it (Thompsen, 2009). Employee separation is especially rampant in the hospitality industry, as the sector faces hundreds of employee separations daily. This is blamed on the treatment of the employees in this sector as well as the working hours, which are determined as too demanding (Vasquez, 2014).</w:t>
      </w:r>
    </w:p>
    <w:p w14:paraId="63212C0B" w14:textId="4C91F31E" w:rsidR="7BE92075" w:rsidRDefault="7BE92075" w:rsidP="7BE92075">
      <w:pPr>
        <w:spacing w:line="360" w:lineRule="auto"/>
        <w:ind w:firstLine="720"/>
        <w:jc w:val="both"/>
        <w:rPr>
          <w:rFonts w:ascii="Arial" w:eastAsia="Arial" w:hAnsi="Arial" w:cs="Arial"/>
          <w:sz w:val="24"/>
          <w:szCs w:val="24"/>
        </w:rPr>
      </w:pPr>
      <w:r w:rsidRPr="7BE92075">
        <w:rPr>
          <w:rFonts w:ascii="Arial" w:eastAsia="Arial" w:hAnsi="Arial" w:cs="Arial"/>
          <w:sz w:val="24"/>
          <w:szCs w:val="24"/>
        </w:rPr>
        <w:t>In summary, the employee life cycle is the most important consideration when evaluating an organization's effectiveness. At each step of an employee's connection with a company, there are special chances to improve the employee experience. Using the employee life cycle model is one of the best ways to prepare for and anticipate each stage of an employee's interactions with your business. It gives you the information you need to make every step of their employment with your firm as profitable as possible. Giving everything, you have always increased your chances of attracting and keeping a wonderful team. The essay has discussed the employee lifecycle in fine detail and has listed the benefits of employee engagement at each stage in the context of a hospitality business. Having all this information in mind will help managers as well as employees work together to fulfil the goals of the companies with the utmost efficiency.</w:t>
      </w:r>
    </w:p>
    <w:p w14:paraId="0EDDEA43" w14:textId="28576236" w:rsidR="7BE92075" w:rsidRDefault="7BE92075" w:rsidP="7BE92075">
      <w:pPr>
        <w:spacing w:line="360" w:lineRule="auto"/>
        <w:ind w:firstLine="720"/>
        <w:jc w:val="both"/>
        <w:rPr>
          <w:rFonts w:ascii="Arial" w:eastAsia="Arial Nova" w:hAnsi="Arial" w:cs="Arial"/>
          <w:sz w:val="24"/>
          <w:szCs w:val="24"/>
        </w:rPr>
      </w:pPr>
    </w:p>
    <w:p w14:paraId="11CFE4C6" w14:textId="360DB3C8" w:rsidR="47ACF867" w:rsidRPr="00E92BE3" w:rsidRDefault="47ACF867" w:rsidP="7BE92075">
      <w:pPr>
        <w:spacing w:line="360" w:lineRule="auto"/>
        <w:jc w:val="both"/>
        <w:rPr>
          <w:rFonts w:ascii="Arial" w:hAnsi="Arial" w:cs="Arial"/>
          <w:sz w:val="24"/>
          <w:szCs w:val="24"/>
        </w:rPr>
      </w:pPr>
      <w:r w:rsidRPr="7BE92075">
        <w:rPr>
          <w:rFonts w:ascii="Arial" w:hAnsi="Arial" w:cs="Arial"/>
          <w:sz w:val="24"/>
          <w:szCs w:val="24"/>
        </w:rPr>
        <w:br w:type="page"/>
      </w:r>
    </w:p>
    <w:p w14:paraId="4E527DB0" w14:textId="7945A4F3" w:rsidR="47ACF867" w:rsidRPr="00E92BE3" w:rsidRDefault="7BE92075" w:rsidP="7BE92075">
      <w:pPr>
        <w:spacing w:line="360" w:lineRule="auto"/>
        <w:jc w:val="both"/>
        <w:rPr>
          <w:rFonts w:ascii="Arial" w:eastAsia="Arial Nova" w:hAnsi="Arial" w:cs="Arial"/>
          <w:sz w:val="24"/>
          <w:szCs w:val="24"/>
        </w:rPr>
      </w:pPr>
      <w:r w:rsidRPr="7BE92075">
        <w:rPr>
          <w:rFonts w:ascii="Arial" w:eastAsia="Arial Nova" w:hAnsi="Arial" w:cs="Arial"/>
          <w:b/>
          <w:bCs/>
          <w:sz w:val="24"/>
          <w:szCs w:val="24"/>
        </w:rPr>
        <w:lastRenderedPageBreak/>
        <w:t>References</w:t>
      </w:r>
      <w:r w:rsidRPr="7BE92075">
        <w:rPr>
          <w:rFonts w:ascii="Arial" w:eastAsia="Arial Nova" w:hAnsi="Arial" w:cs="Arial"/>
          <w:sz w:val="24"/>
          <w:szCs w:val="24"/>
        </w:rPr>
        <w:t>:</w:t>
      </w:r>
    </w:p>
    <w:p w14:paraId="0EA84EB7" w14:textId="5C626ED8"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Barrow, S. and Mosley, R., 2011. </w:t>
      </w:r>
      <w:r w:rsidRPr="7BE92075">
        <w:rPr>
          <w:rFonts w:ascii="Arial" w:eastAsia="Arial" w:hAnsi="Arial" w:cs="Arial"/>
          <w:i/>
          <w:iCs/>
          <w:sz w:val="24"/>
          <w:szCs w:val="24"/>
        </w:rPr>
        <w:t>The employer brand: Bringing the best of brand management to people at work</w:t>
      </w:r>
      <w:r w:rsidRPr="7BE92075">
        <w:rPr>
          <w:rFonts w:ascii="Arial" w:eastAsia="Arial" w:hAnsi="Arial" w:cs="Arial"/>
          <w:sz w:val="24"/>
          <w:szCs w:val="24"/>
        </w:rPr>
        <w:t xml:space="preserve">. John Wiley &amp; Sons. </w:t>
      </w:r>
    </w:p>
    <w:p w14:paraId="21047422" w14:textId="18E26940"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Bernardin, </w:t>
      </w:r>
      <w:bookmarkStart w:id="1" w:name="_Int_KfxMgN3B"/>
      <w:r w:rsidRPr="7BE92075">
        <w:rPr>
          <w:rFonts w:ascii="Arial" w:eastAsia="Arial" w:hAnsi="Arial" w:cs="Arial"/>
          <w:sz w:val="24"/>
          <w:szCs w:val="24"/>
        </w:rPr>
        <w:t>H.J.,</w:t>
      </w:r>
      <w:bookmarkEnd w:id="1"/>
      <w:r w:rsidRPr="7BE92075">
        <w:rPr>
          <w:rFonts w:ascii="Arial" w:eastAsia="Arial" w:hAnsi="Arial" w:cs="Arial"/>
          <w:sz w:val="24"/>
          <w:szCs w:val="24"/>
        </w:rPr>
        <w:t xml:space="preserve"> and Russell, J.E., 2006. </w:t>
      </w:r>
      <w:r w:rsidRPr="7BE92075">
        <w:rPr>
          <w:rFonts w:ascii="Arial" w:eastAsia="Arial" w:hAnsi="Arial" w:cs="Arial"/>
          <w:i/>
          <w:iCs/>
          <w:sz w:val="24"/>
          <w:szCs w:val="24"/>
        </w:rPr>
        <w:t>Human resource management</w:t>
      </w:r>
      <w:r w:rsidRPr="7BE92075">
        <w:rPr>
          <w:rFonts w:ascii="Arial" w:eastAsia="Arial" w:hAnsi="Arial" w:cs="Arial"/>
          <w:sz w:val="24"/>
          <w:szCs w:val="24"/>
        </w:rPr>
        <w:t xml:space="preserve"> (p. 736). New York: Tata McGraw-Hill.</w:t>
      </w:r>
    </w:p>
    <w:p w14:paraId="0CE9104D" w14:textId="48DBB9E5"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Bradt, G.B. and Vonnegut, M., 2009. </w:t>
      </w:r>
      <w:r w:rsidRPr="7BE92075">
        <w:rPr>
          <w:rFonts w:ascii="Arial" w:eastAsia="Arial" w:hAnsi="Arial" w:cs="Arial"/>
          <w:i/>
          <w:iCs/>
          <w:sz w:val="24"/>
          <w:szCs w:val="24"/>
        </w:rPr>
        <w:t>Onboarding: How to get your new employees up to speed in half the time</w:t>
      </w:r>
      <w:r w:rsidRPr="7BE92075">
        <w:rPr>
          <w:rFonts w:ascii="Arial" w:eastAsia="Arial" w:hAnsi="Arial" w:cs="Arial"/>
          <w:sz w:val="24"/>
          <w:szCs w:val="24"/>
        </w:rPr>
        <w:t>. John Wiley &amp; Sons.</w:t>
      </w:r>
    </w:p>
    <w:p w14:paraId="1D526184" w14:textId="3BFC995D"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Byrne, Z.S., 2014. </w:t>
      </w:r>
      <w:r w:rsidRPr="7BE92075">
        <w:rPr>
          <w:rFonts w:ascii="Arial" w:eastAsia="Arial" w:hAnsi="Arial" w:cs="Arial"/>
          <w:i/>
          <w:iCs/>
          <w:sz w:val="24"/>
          <w:szCs w:val="24"/>
        </w:rPr>
        <w:t>Understanding employee engagement: Theory, research, and practice</w:t>
      </w:r>
      <w:r w:rsidRPr="7BE92075">
        <w:rPr>
          <w:rFonts w:ascii="Arial" w:eastAsia="Arial" w:hAnsi="Arial" w:cs="Arial"/>
          <w:sz w:val="24"/>
          <w:szCs w:val="24"/>
        </w:rPr>
        <w:t xml:space="preserve">. Routledge. </w:t>
      </w:r>
    </w:p>
    <w:p w14:paraId="66628B72" w14:textId="2CEC529C"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Cattermole, G., 2019. Developing the employee lifecycle to keep top talent. </w:t>
      </w:r>
      <w:r w:rsidRPr="7BE92075">
        <w:rPr>
          <w:rFonts w:ascii="Arial" w:eastAsia="Arial" w:hAnsi="Arial" w:cs="Arial"/>
          <w:i/>
          <w:iCs/>
          <w:sz w:val="24"/>
          <w:szCs w:val="24"/>
        </w:rPr>
        <w:t>Strategic HR review</w:t>
      </w:r>
      <w:r w:rsidRPr="7BE92075">
        <w:rPr>
          <w:rFonts w:ascii="Arial" w:eastAsia="Arial" w:hAnsi="Arial" w:cs="Arial"/>
          <w:sz w:val="24"/>
          <w:szCs w:val="24"/>
        </w:rPr>
        <w:t>.</w:t>
      </w:r>
    </w:p>
    <w:p w14:paraId="148C0118" w14:textId="6A3960CE"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Coffey, L., Compton, J., Elkins, D.M., Gilles, E.E., Herbert, S., Jenkins, J.L., Reese, M.E., Sun, W., Strawser, M.G., Szczur, S. and Watkins, B., 2018. </w:t>
      </w:r>
      <w:r w:rsidRPr="7BE92075">
        <w:rPr>
          <w:rFonts w:ascii="Arial" w:eastAsia="Arial" w:hAnsi="Arial" w:cs="Arial"/>
          <w:i/>
          <w:iCs/>
          <w:sz w:val="24"/>
          <w:szCs w:val="24"/>
        </w:rPr>
        <w:t>Recruitment, retention, and engagement of a millennial workforce</w:t>
      </w:r>
      <w:r w:rsidRPr="7BE92075">
        <w:rPr>
          <w:rFonts w:ascii="Arial" w:eastAsia="Arial" w:hAnsi="Arial" w:cs="Arial"/>
          <w:sz w:val="24"/>
          <w:szCs w:val="24"/>
        </w:rPr>
        <w:t>. Rowman &amp; Littlefield.</w:t>
      </w:r>
    </w:p>
    <w:p w14:paraId="31A689C5" w14:textId="03F4C166"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Dale, M., 2003. </w:t>
      </w:r>
      <w:r w:rsidRPr="7BE92075">
        <w:rPr>
          <w:rFonts w:ascii="Arial" w:eastAsia="Arial" w:hAnsi="Arial" w:cs="Arial"/>
          <w:i/>
          <w:iCs/>
          <w:sz w:val="24"/>
          <w:szCs w:val="24"/>
        </w:rPr>
        <w:t>A manager's guide to recruitment &amp; selection</w:t>
      </w:r>
      <w:r w:rsidRPr="7BE92075">
        <w:rPr>
          <w:rFonts w:ascii="Arial" w:eastAsia="Arial" w:hAnsi="Arial" w:cs="Arial"/>
          <w:sz w:val="24"/>
          <w:szCs w:val="24"/>
        </w:rPr>
        <w:t>. Kogan Page Publishers.</w:t>
      </w:r>
    </w:p>
    <w:p w14:paraId="673FF99A" w14:textId="6616C44D"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Davila, N. and Pina-Ramirez, W., 2018. </w:t>
      </w:r>
      <w:r w:rsidRPr="7BE92075">
        <w:rPr>
          <w:rFonts w:ascii="Arial" w:eastAsia="Arial" w:hAnsi="Arial" w:cs="Arial"/>
          <w:i/>
          <w:iCs/>
          <w:sz w:val="24"/>
          <w:szCs w:val="24"/>
        </w:rPr>
        <w:t>Effective onboarding</w:t>
      </w:r>
      <w:r w:rsidRPr="7BE92075">
        <w:rPr>
          <w:rFonts w:ascii="Arial" w:eastAsia="Arial" w:hAnsi="Arial" w:cs="Arial"/>
          <w:sz w:val="24"/>
          <w:szCs w:val="24"/>
        </w:rPr>
        <w:t>. American Society for Training and Development.</w:t>
      </w:r>
    </w:p>
    <w:p w14:paraId="35D1ACB2" w14:textId="2ABAC200"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Gill, D.S., 2007. </w:t>
      </w:r>
      <w:r w:rsidRPr="7BE92075">
        <w:rPr>
          <w:rFonts w:ascii="Arial" w:eastAsia="Arial" w:hAnsi="Arial" w:cs="Arial"/>
          <w:i/>
          <w:iCs/>
          <w:sz w:val="24"/>
          <w:szCs w:val="24"/>
        </w:rPr>
        <w:t xml:space="preserve">Employee selection and work engagement: do recruitment and selection practices influence work </w:t>
      </w:r>
      <w:bookmarkStart w:id="2" w:name="_Int_YWPzB4mG"/>
      <w:r w:rsidRPr="7BE92075">
        <w:rPr>
          <w:rFonts w:ascii="Arial" w:eastAsia="Arial" w:hAnsi="Arial" w:cs="Arial"/>
          <w:i/>
          <w:iCs/>
          <w:sz w:val="24"/>
          <w:szCs w:val="24"/>
        </w:rPr>
        <w:t>engagement?</w:t>
      </w:r>
      <w:bookmarkEnd w:id="2"/>
      <w:r w:rsidRPr="7BE92075">
        <w:rPr>
          <w:rFonts w:ascii="Arial" w:eastAsia="Arial" w:hAnsi="Arial" w:cs="Arial"/>
          <w:sz w:val="24"/>
          <w:szCs w:val="24"/>
        </w:rPr>
        <w:t xml:space="preserve"> Kansas State University.</w:t>
      </w:r>
    </w:p>
    <w:p w14:paraId="012B344B" w14:textId="4D33224F"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Heskett, J.L., Sasser, W.E. and Schlesinger, L.A., 2010. </w:t>
      </w:r>
      <w:r w:rsidRPr="7BE92075">
        <w:rPr>
          <w:rFonts w:ascii="Arial" w:eastAsia="Arial" w:hAnsi="Arial" w:cs="Arial"/>
          <w:i/>
          <w:iCs/>
          <w:sz w:val="24"/>
          <w:szCs w:val="24"/>
        </w:rPr>
        <w:t>The value profit chain: Treat employees like customers and customers like</w:t>
      </w:r>
      <w:r w:rsidRPr="7BE92075">
        <w:rPr>
          <w:rFonts w:ascii="Arial" w:eastAsia="Arial" w:hAnsi="Arial" w:cs="Arial"/>
          <w:sz w:val="24"/>
          <w:szCs w:val="24"/>
        </w:rPr>
        <w:t>. Simon and Schuster.</w:t>
      </w:r>
    </w:p>
    <w:p w14:paraId="6E6461D6" w14:textId="6C4C19E4"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Kemery, E.R., Dunlap, W.P. and Bedelan, A.G., 1989, August. Criterion Specification in Employee Separation Research: Tenure of </w:t>
      </w:r>
      <w:bookmarkStart w:id="3" w:name="_Int_HcbH1CxM"/>
      <w:r w:rsidRPr="7BE92075">
        <w:rPr>
          <w:rFonts w:ascii="Arial" w:eastAsia="Arial" w:hAnsi="Arial" w:cs="Arial"/>
          <w:sz w:val="24"/>
          <w:szCs w:val="24"/>
        </w:rPr>
        <w:t>Turnover.</w:t>
      </w:r>
      <w:bookmarkEnd w:id="3"/>
      <w:r w:rsidRPr="7BE92075">
        <w:rPr>
          <w:rFonts w:ascii="Arial" w:eastAsia="Arial" w:hAnsi="Arial" w:cs="Arial"/>
          <w:sz w:val="24"/>
          <w:szCs w:val="24"/>
        </w:rPr>
        <w:t xml:space="preserve"> In </w:t>
      </w:r>
      <w:r w:rsidRPr="7BE92075">
        <w:rPr>
          <w:rFonts w:ascii="Arial" w:eastAsia="Arial" w:hAnsi="Arial" w:cs="Arial"/>
          <w:i/>
          <w:iCs/>
          <w:sz w:val="24"/>
          <w:szCs w:val="24"/>
        </w:rPr>
        <w:t>Academy of Management Proceedings</w:t>
      </w:r>
      <w:r w:rsidRPr="7BE92075">
        <w:rPr>
          <w:rFonts w:ascii="Arial" w:eastAsia="Arial" w:hAnsi="Arial" w:cs="Arial"/>
          <w:sz w:val="24"/>
          <w:szCs w:val="24"/>
        </w:rPr>
        <w:t xml:space="preserve"> (Vol. 1989, No. 1, pp. 387-391). Briarcliff Manor, NY 10510: Academy of Management.</w:t>
      </w:r>
    </w:p>
    <w:p w14:paraId="7C31ABC6" w14:textId="26EA03D7"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Kruse, K., 2012. </w:t>
      </w:r>
      <w:r w:rsidRPr="7BE92075">
        <w:rPr>
          <w:rFonts w:ascii="Arial" w:eastAsia="Arial" w:hAnsi="Arial" w:cs="Arial"/>
          <w:i/>
          <w:iCs/>
          <w:sz w:val="24"/>
          <w:szCs w:val="24"/>
        </w:rPr>
        <w:t>Employee Engagement 2.0</w:t>
      </w:r>
      <w:r w:rsidRPr="7BE92075">
        <w:rPr>
          <w:rFonts w:ascii="Arial" w:eastAsia="Arial" w:hAnsi="Arial" w:cs="Arial"/>
          <w:sz w:val="24"/>
          <w:szCs w:val="24"/>
        </w:rPr>
        <w:t>. Kruse Group.</w:t>
      </w:r>
    </w:p>
    <w:p w14:paraId="73AD9EFF" w14:textId="1CDEAECD"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lastRenderedPageBreak/>
        <w:t xml:space="preserve">Mathis, R.L., Jackson, J.H., Valentine, S.R. and Meglich, P., 2016. </w:t>
      </w:r>
      <w:r w:rsidRPr="7BE92075">
        <w:rPr>
          <w:rFonts w:ascii="Arial" w:eastAsia="Arial" w:hAnsi="Arial" w:cs="Arial"/>
          <w:i/>
          <w:iCs/>
          <w:sz w:val="24"/>
          <w:szCs w:val="24"/>
        </w:rPr>
        <w:t>Human resource management</w:t>
      </w:r>
      <w:r w:rsidRPr="7BE92075">
        <w:rPr>
          <w:rFonts w:ascii="Arial" w:eastAsia="Arial" w:hAnsi="Arial" w:cs="Arial"/>
          <w:sz w:val="24"/>
          <w:szCs w:val="24"/>
        </w:rPr>
        <w:t>. Cengage Learning.</w:t>
      </w:r>
    </w:p>
    <w:p w14:paraId="32D379AB" w14:textId="1C4AFAC4"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McGuire, D., 2014. </w:t>
      </w:r>
      <w:r w:rsidRPr="7BE92075">
        <w:rPr>
          <w:rFonts w:ascii="Arial" w:eastAsia="Arial" w:hAnsi="Arial" w:cs="Arial"/>
          <w:i/>
          <w:iCs/>
          <w:sz w:val="24"/>
          <w:szCs w:val="24"/>
        </w:rPr>
        <w:t>Human resource development</w:t>
      </w:r>
      <w:r w:rsidRPr="7BE92075">
        <w:rPr>
          <w:rFonts w:ascii="Arial" w:eastAsia="Arial" w:hAnsi="Arial" w:cs="Arial"/>
          <w:sz w:val="24"/>
          <w:szCs w:val="24"/>
        </w:rPr>
        <w:t>. Sage.</w:t>
      </w:r>
    </w:p>
    <w:p w14:paraId="61DF469A" w14:textId="3EFFDF7A"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Nickson, D., 2013. </w:t>
      </w:r>
      <w:r w:rsidRPr="7BE92075">
        <w:rPr>
          <w:rFonts w:ascii="Arial" w:eastAsia="Arial" w:hAnsi="Arial" w:cs="Arial"/>
          <w:i/>
          <w:iCs/>
          <w:sz w:val="24"/>
          <w:szCs w:val="24"/>
        </w:rPr>
        <w:t xml:space="preserve">Human resource management for hospitality, </w:t>
      </w:r>
      <w:bookmarkStart w:id="4" w:name="_Int_TG79Vpjy"/>
      <w:r w:rsidRPr="7BE92075">
        <w:rPr>
          <w:rFonts w:ascii="Arial" w:eastAsia="Arial" w:hAnsi="Arial" w:cs="Arial"/>
          <w:i/>
          <w:iCs/>
          <w:sz w:val="24"/>
          <w:szCs w:val="24"/>
        </w:rPr>
        <w:t>tourism,</w:t>
      </w:r>
      <w:bookmarkEnd w:id="4"/>
      <w:r w:rsidRPr="7BE92075">
        <w:rPr>
          <w:rFonts w:ascii="Arial" w:eastAsia="Arial" w:hAnsi="Arial" w:cs="Arial"/>
          <w:i/>
          <w:iCs/>
          <w:sz w:val="24"/>
          <w:szCs w:val="24"/>
        </w:rPr>
        <w:t xml:space="preserve"> and events</w:t>
      </w:r>
      <w:r w:rsidRPr="7BE92075">
        <w:rPr>
          <w:rFonts w:ascii="Arial" w:eastAsia="Arial" w:hAnsi="Arial" w:cs="Arial"/>
          <w:sz w:val="24"/>
          <w:szCs w:val="24"/>
        </w:rPr>
        <w:t>. Routledge.</w:t>
      </w:r>
    </w:p>
    <w:p w14:paraId="0BCE7D50" w14:textId="49A5E820"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Phonsanam, S.T., 2010. Total compensation practices and their relationship to hospitality employee retention.</w:t>
      </w:r>
    </w:p>
    <w:p w14:paraId="228E49EE" w14:textId="426CA083" w:rsidR="5DB90223" w:rsidRPr="00E92BE3" w:rsidRDefault="7BE92075" w:rsidP="7BE92075">
      <w:pPr>
        <w:spacing w:line="360" w:lineRule="auto"/>
        <w:jc w:val="both"/>
        <w:rPr>
          <w:rFonts w:ascii="Arial" w:eastAsia="Arial" w:hAnsi="Arial" w:cs="Arial"/>
          <w:sz w:val="24"/>
          <w:szCs w:val="24"/>
          <w:lang w:val="en-US"/>
        </w:rPr>
      </w:pPr>
      <w:r w:rsidRPr="7BE92075">
        <w:rPr>
          <w:rFonts w:ascii="Arial" w:eastAsia="Arial" w:hAnsi="Arial" w:cs="Arial"/>
          <w:sz w:val="24"/>
          <w:szCs w:val="24"/>
          <w:lang w:val="en-US"/>
        </w:rPr>
        <w:t>Remo, N., 2012. Comparing two models of employee engagement: An examination of antecedents and outcome variables.</w:t>
      </w:r>
    </w:p>
    <w:p w14:paraId="32E01E9C" w14:textId="11B435A5"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Scott, M.E., 2016. </w:t>
      </w:r>
      <w:r w:rsidRPr="7BE92075">
        <w:rPr>
          <w:rFonts w:ascii="Arial" w:eastAsia="Arial" w:hAnsi="Arial" w:cs="Arial"/>
          <w:i/>
          <w:iCs/>
          <w:sz w:val="24"/>
          <w:szCs w:val="24"/>
        </w:rPr>
        <w:t>Strategies for retaining employees in the hospitality industry</w:t>
      </w:r>
      <w:r w:rsidRPr="7BE92075">
        <w:rPr>
          <w:rFonts w:ascii="Arial" w:eastAsia="Arial" w:hAnsi="Arial" w:cs="Arial"/>
          <w:sz w:val="24"/>
          <w:szCs w:val="24"/>
        </w:rPr>
        <w:t xml:space="preserve"> (Doctoral dissertation, Walden University).</w:t>
      </w:r>
    </w:p>
    <w:p w14:paraId="4103A710" w14:textId="32746EB4"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Smither, L., 2003. Managing employee life cycles to improve </w:t>
      </w:r>
      <w:bookmarkStart w:id="5" w:name="_Int_RP55PENE"/>
      <w:r w:rsidRPr="7BE92075">
        <w:rPr>
          <w:rFonts w:ascii="Arial" w:eastAsia="Arial" w:hAnsi="Arial" w:cs="Arial"/>
          <w:sz w:val="24"/>
          <w:szCs w:val="24"/>
        </w:rPr>
        <w:t>labour</w:t>
      </w:r>
      <w:bookmarkEnd w:id="5"/>
      <w:r w:rsidRPr="7BE92075">
        <w:rPr>
          <w:rFonts w:ascii="Arial" w:eastAsia="Arial" w:hAnsi="Arial" w:cs="Arial"/>
          <w:sz w:val="24"/>
          <w:szCs w:val="24"/>
        </w:rPr>
        <w:t xml:space="preserve"> retention. </w:t>
      </w:r>
      <w:r w:rsidRPr="7BE92075">
        <w:rPr>
          <w:rFonts w:ascii="Arial" w:eastAsia="Arial" w:hAnsi="Arial" w:cs="Arial"/>
          <w:i/>
          <w:iCs/>
          <w:sz w:val="24"/>
          <w:szCs w:val="24"/>
        </w:rPr>
        <w:t>Leadership and Management in Engineering</w:t>
      </w:r>
      <w:r w:rsidRPr="7BE92075">
        <w:rPr>
          <w:rFonts w:ascii="Arial" w:eastAsia="Arial" w:hAnsi="Arial" w:cs="Arial"/>
          <w:sz w:val="24"/>
          <w:szCs w:val="24"/>
        </w:rPr>
        <w:t xml:space="preserve">, </w:t>
      </w:r>
      <w:r w:rsidRPr="7BE92075">
        <w:rPr>
          <w:rFonts w:ascii="Arial" w:eastAsia="Arial" w:hAnsi="Arial" w:cs="Arial"/>
          <w:i/>
          <w:iCs/>
          <w:sz w:val="24"/>
          <w:szCs w:val="24"/>
        </w:rPr>
        <w:t>3</w:t>
      </w:r>
      <w:r w:rsidRPr="7BE92075">
        <w:rPr>
          <w:rFonts w:ascii="Arial" w:eastAsia="Arial" w:hAnsi="Arial" w:cs="Arial"/>
          <w:sz w:val="24"/>
          <w:szCs w:val="24"/>
        </w:rPr>
        <w:t>(1), pp.19-23.</w:t>
      </w:r>
    </w:p>
    <w:p w14:paraId="16106CEF" w14:textId="0F0F5BCC"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Thompsen, J.A., 2009. </w:t>
      </w:r>
      <w:r w:rsidRPr="7BE92075">
        <w:rPr>
          <w:rFonts w:ascii="Arial" w:eastAsia="Arial" w:hAnsi="Arial" w:cs="Arial"/>
          <w:i/>
          <w:iCs/>
          <w:sz w:val="24"/>
          <w:szCs w:val="24"/>
        </w:rPr>
        <w:t>Achieving a triple win: Human capital management of the employee lifecycle</w:t>
      </w:r>
      <w:r w:rsidRPr="7BE92075">
        <w:rPr>
          <w:rFonts w:ascii="Arial" w:eastAsia="Arial" w:hAnsi="Arial" w:cs="Arial"/>
          <w:sz w:val="24"/>
          <w:szCs w:val="24"/>
        </w:rPr>
        <w:t>. Routledge.</w:t>
      </w:r>
    </w:p>
    <w:p w14:paraId="3146CCCE" w14:textId="7D7D2BBF" w:rsidR="47ACF867" w:rsidRPr="00E92BE3" w:rsidRDefault="7BE92075" w:rsidP="7BE92075">
      <w:pPr>
        <w:spacing w:line="360" w:lineRule="auto"/>
        <w:jc w:val="both"/>
        <w:rPr>
          <w:rFonts w:ascii="Arial" w:eastAsiaTheme="minorEastAsia" w:hAnsi="Arial" w:cs="Arial"/>
          <w:color w:val="000000" w:themeColor="text1"/>
          <w:sz w:val="24"/>
          <w:szCs w:val="24"/>
          <w:lang w:val="en-US"/>
        </w:rPr>
      </w:pPr>
      <w:r w:rsidRPr="7BE92075">
        <w:rPr>
          <w:rFonts w:ascii="Arial" w:eastAsia="Arial" w:hAnsi="Arial" w:cs="Arial"/>
          <w:sz w:val="24"/>
          <w:szCs w:val="24"/>
        </w:rPr>
        <w:t xml:space="preserve">Vasquez, D., 2014. </w:t>
      </w:r>
      <w:r w:rsidRPr="7BE92075">
        <w:rPr>
          <w:rFonts w:ascii="Arial" w:eastAsia="Arial" w:hAnsi="Arial" w:cs="Arial"/>
          <w:i/>
          <w:iCs/>
          <w:sz w:val="24"/>
          <w:szCs w:val="24"/>
        </w:rPr>
        <w:t>Employee turnover in the hospitality industry: A qualitative phenomenological study</w:t>
      </w:r>
      <w:r w:rsidRPr="7BE92075">
        <w:rPr>
          <w:rFonts w:ascii="Arial" w:eastAsia="Arial" w:hAnsi="Arial" w:cs="Arial"/>
          <w:sz w:val="24"/>
          <w:szCs w:val="24"/>
        </w:rPr>
        <w:t xml:space="preserve"> (Doctoral dissertation, Argosy University/Sarasota).</w:t>
      </w:r>
    </w:p>
    <w:p w14:paraId="36D441CB" w14:textId="4F868B10" w:rsidR="47ACF867" w:rsidRPr="00E92BE3" w:rsidRDefault="47ACF867" w:rsidP="7BE92075">
      <w:pPr>
        <w:spacing w:line="360" w:lineRule="auto"/>
        <w:ind w:firstLine="720"/>
        <w:jc w:val="both"/>
        <w:rPr>
          <w:rFonts w:ascii="Arial" w:eastAsia="Arial Nova" w:hAnsi="Arial" w:cs="Arial"/>
          <w:sz w:val="24"/>
          <w:szCs w:val="24"/>
        </w:rPr>
      </w:pPr>
    </w:p>
    <w:sectPr w:rsidR="47ACF867" w:rsidRPr="00E92BE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EEDEF" w14:textId="77777777" w:rsidR="0051507E" w:rsidRDefault="0051507E" w:rsidP="005F5BC5">
      <w:pPr>
        <w:spacing w:after="0" w:line="240" w:lineRule="auto"/>
      </w:pPr>
      <w:r>
        <w:separator/>
      </w:r>
    </w:p>
  </w:endnote>
  <w:endnote w:type="continuationSeparator" w:id="0">
    <w:p w14:paraId="54B51603" w14:textId="77777777" w:rsidR="0051507E" w:rsidRDefault="0051507E" w:rsidP="005F5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845465"/>
      <w:docPartObj>
        <w:docPartGallery w:val="Page Numbers (Bottom of Page)"/>
        <w:docPartUnique/>
      </w:docPartObj>
    </w:sdtPr>
    <w:sdtEndPr>
      <w:rPr>
        <w:noProof/>
      </w:rPr>
    </w:sdtEndPr>
    <w:sdtContent>
      <w:p w14:paraId="325397AE" w14:textId="25E9E165" w:rsidR="005F5BC5" w:rsidRDefault="005F5B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F6EB9E" w14:textId="77777777" w:rsidR="005F5BC5" w:rsidRDefault="005F5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BC53A" w14:textId="77777777" w:rsidR="0051507E" w:rsidRDefault="0051507E" w:rsidP="005F5BC5">
      <w:pPr>
        <w:spacing w:after="0" w:line="240" w:lineRule="auto"/>
      </w:pPr>
      <w:r>
        <w:separator/>
      </w:r>
    </w:p>
  </w:footnote>
  <w:footnote w:type="continuationSeparator" w:id="0">
    <w:p w14:paraId="294C4C18" w14:textId="77777777" w:rsidR="0051507E" w:rsidRDefault="0051507E" w:rsidP="005F5BC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oHIgipyrYLbYU7" int2:id="LD755HDQ">
      <int2:state int2:value="Rejected" int2:type="AugLoop_Text_Critique"/>
    </int2:textHash>
    <int2:textHash int2:hashCode="l6rsM9nndw9o6b" int2:id="yxq6AAcP">
      <int2:state int2:value="Rejected" int2:type="AugLoop_Text_Critique"/>
    </int2:textHash>
    <int2:bookmark int2:bookmarkName="_Int_tOO87dUI" int2:invalidationBookmarkName="" int2:hashCode="wC62uS5z0CshOM" int2:id="YyU7xXbO"/>
    <int2:bookmark int2:bookmarkName="_Int_V09zljt0" int2:invalidationBookmarkName="" int2:hashCode="Z6n4YpsI921/u3" int2:id="MqEILh4G"/>
    <int2:bookmark int2:bookmarkName="_Int_Np4Pmz7K" int2:invalidationBookmarkName="" int2:hashCode="fDeAV8RPAUTmE8" int2:id="ARb77gbl"/>
    <int2:bookmark int2:bookmarkName="_Int_UyhOw75V" int2:invalidationBookmarkName="" int2:hashCode="Y580/RQmhLGx48" int2:id="eizNiWzf"/>
    <int2:bookmark int2:bookmarkName="_Int_GZTAbjca" int2:invalidationBookmarkName="" int2:hashCode="0h4HzmuWn9Euup" int2:id="b6Q5bccd"/>
    <int2:bookmark int2:bookmarkName="_Int_xPETvZ89" int2:invalidationBookmarkName="" int2:hashCode="JC6ZUyID1rbxVZ" int2:id="OavoSZ31"/>
    <int2:bookmark int2:bookmarkName="_Int_fuW8URiS" int2:invalidationBookmarkName="" int2:hashCode="3nPqwMMFA48EN7" int2:id="2F8WRllp"/>
    <int2:bookmark int2:bookmarkName="_Int_i7qpc9MO" int2:invalidationBookmarkName="" int2:hashCode="JzNH+bXStLrefG" int2:id="Rt9dQH5F"/>
    <int2:bookmark int2:bookmarkName="_Int_Hqxx1vTG" int2:invalidationBookmarkName="" int2:hashCode="gjdW743h0UxHn7" int2:id="Y7nzgn7R"/>
    <int2:bookmark int2:bookmarkName="_Int_8xEdjmPC" int2:invalidationBookmarkName="" int2:hashCode="PeUh02GRVekij4" int2:id="9YQnfiTz">
      <int2:state int2:value="Rejected" int2:type="AugLoop_Text_Critique"/>
    </int2:bookmark>
    <int2:bookmark int2:bookmarkName="_Int_hQKttkD9" int2:invalidationBookmarkName="" int2:hashCode="7cC1mUmbI14Tx7" int2:id="PDm0O6GU">
      <int2:state int2:value="Rejected" int2:type="AugLoop_Text_Critique"/>
    </int2:bookmark>
    <int2:bookmark int2:bookmarkName="_Int_jPIZ1dVP" int2:invalidationBookmarkName="" int2:hashCode="S/aJ7MevSGktkt" int2:id="fuf2IPZP"/>
    <int2:bookmark int2:bookmarkName="_Int_TG79Vpjy" int2:invalidationBookmarkName="" int2:hashCode="fYcQznxFoOGUzT" int2:id="YJqifaih"/>
    <int2:bookmark int2:bookmarkName="_Int_KfxMgN3B" int2:invalidationBookmarkName="" int2:hashCode="yOsjLS8r9WhVJG" int2:id="Sj3eV6uq"/>
    <int2:bookmark int2:bookmarkName="_Int_lWGUiKmY" int2:invalidationBookmarkName="" int2:hashCode="jloqVOv+QWCAVj" int2:id="oKbqRTeB"/>
    <int2:bookmark int2:bookmarkName="_Int_jNKyCONR" int2:invalidationBookmarkName="" int2:hashCode="VRd/LyDcPFdCnc" int2:id="69mW4UDn"/>
    <int2:bookmark int2:bookmarkName="_Int_6tDkEmcb" int2:invalidationBookmarkName="" int2:hashCode="xK7wh4fNuv5G3Q" int2:id="Dyp5RmUR"/>
    <int2:bookmark int2:bookmarkName="_Int_1jtlWfGc" int2:invalidationBookmarkName="" int2:hashCode="fHyXg7Ly5H43og" int2:id="UCViQ1hd"/>
    <int2:bookmark int2:bookmarkName="_Int_mjvDGCG9" int2:invalidationBookmarkName="" int2:hashCode="hvfkN/qlp/zhXR" int2:id="D9ig9kIr"/>
    <int2:bookmark int2:bookmarkName="_Int_YWPzB4mG" int2:invalidationBookmarkName="" int2:hashCode="IKk2ImgPRl5ogt" int2:id="jNWvu5Yy"/>
    <int2:bookmark int2:bookmarkName="_Int_HcbH1CxM" int2:invalidationBookmarkName="" int2:hashCode="4HTQ6wt5KANAHc" int2:id="wI0lynKE"/>
    <int2:bookmark int2:bookmarkName="_Int_RP55PENE" int2:invalidationBookmarkName="" int2:hashCode="C4xWjfInfF3Mm4" int2:id="czoUAwjP"/>
    <int2:bookmark int2:bookmarkName="_Int_l20FnCH4" int2:invalidationBookmarkName="" int2:hashCode="dGKJEtZoXKpwaV" int2:id="FJxGTmve"/>
    <int2:bookmark int2:bookmarkName="_Int_rfLRqv3J" int2:invalidationBookmarkName="" int2:hashCode="VRd/LyDcPFdCnc" int2:id="hzAZH1x6"/>
    <int2:bookmark int2:bookmarkName="_Int_xv3223gz" int2:invalidationBookmarkName="" int2:hashCode="1rToTufzHYhhem" int2:id="7s89aicX"/>
    <int2:bookmark int2:bookmarkName="_Int_LVcziasR" int2:invalidationBookmarkName="" int2:hashCode="EpqULzUMOwRgZj" int2:id="62b01Cv4"/>
    <int2:bookmark int2:bookmarkName="_Int_UrrYuTR6" int2:invalidationBookmarkName="" int2:hashCode="uXASKU9bByDYRg" int2:id="QXVC4pj3"/>
    <int2:bookmark int2:bookmarkName="_Int_UX9por2B" int2:invalidationBookmarkName="" int2:hashCode="ckvQxUdXuZDOgu" int2:id="3wcPZlem"/>
    <int2:bookmark int2:bookmarkName="_Int_yWNXR6Qy" int2:invalidationBookmarkName="" int2:hashCode="o+PFLeAiTyZznl" int2:id="YgrechK8"/>
    <int2:bookmark int2:bookmarkName="_Int_4mAAKzXj" int2:invalidationBookmarkName="" int2:hashCode="vIqhRIh2DFqKii" int2:id="RSdbTv4v"/>
    <int2:bookmark int2:bookmarkName="_Int_ueighgsh" int2:invalidationBookmarkName="" int2:hashCode="EIPDKQbBmnWYc6" int2:id="FfB9Jnf9"/>
    <int2:bookmark int2:bookmarkName="_Int_dFRu64RS" int2:invalidationBookmarkName="" int2:hashCode="U719mS7X7fmicQ" int2:id="W66wIqMZ"/>
    <int2:bookmark int2:bookmarkName="_Int_IvzgtOMw" int2:invalidationBookmarkName="" int2:hashCode="fYwxd9IpIUsh9e" int2:id="gDJhuSY7"/>
    <int2:bookmark int2:bookmarkName="_Int_My1uzYit" int2:invalidationBookmarkName="" int2:hashCode="3un24XYleIKUzI" int2:id="JiEo6mrp"/>
    <int2:bookmark int2:bookmarkName="_Int_QfyKIAKc" int2:invalidationBookmarkName="" int2:hashCode="K2Mqntn2ZIAszm" int2:id="8o3wQITi"/>
    <int2:bookmark int2:bookmarkName="_Int_KwRCFvzn" int2:invalidationBookmarkName="" int2:hashCode="3KKjJeR/dxf+gy" int2:id="Ajb9bpxa"/>
    <int2:bookmark int2:bookmarkName="_Int_a2q6xYFB" int2:invalidationBookmarkName="" int2:hashCode="zBKCUIFFThsX9G" int2:id="Byzg0WrZ"/>
    <int2:bookmark int2:bookmarkName="_Int_Mz86AHeK" int2:invalidationBookmarkName="" int2:hashCode="OZpMkrJW6q1t5E" int2:id="XHcQ1HGM"/>
    <int2:bookmark int2:bookmarkName="_Int_qBopPW3d" int2:invalidationBookmarkName="" int2:hashCode="ewnzblLx/mgkkY" int2:id="F6snJsDY"/>
    <int2:bookmark int2:bookmarkName="_Int_Dk1uNuoj" int2:invalidationBookmarkName="" int2:hashCode="7Lq+rePUOiCKZ7" int2:id="1AZV6qVk"/>
    <int2:bookmark int2:bookmarkName="_Int_VMZiXUcq" int2:invalidationBookmarkName="" int2:hashCode="0hgNUFi1AqD8N/" int2:id="KfgfTMXR"/>
    <int2:bookmark int2:bookmarkName="_Int_bOLrHGlq" int2:invalidationBookmarkName="" int2:hashCode="QLlmkuAzaB0629" int2:id="X9AtfO8V"/>
    <int2:bookmark int2:bookmarkName="_Int_HdZtIuFz" int2:invalidationBookmarkName="" int2:hashCode="WAuYoFazYiZZMv" int2:id="MzUEV2NC"/>
    <int2:bookmark int2:bookmarkName="_Int_mcqeqKn3" int2:invalidationBookmarkName="" int2:hashCode="gOigg3B4VG+1IR" int2:id="X9lEnZmd"/>
    <int2:bookmark int2:bookmarkName="_Int_42slSi8t" int2:invalidationBookmarkName="" int2:hashCode="DGdXhvxcBvUXdv" int2:id="BODLpzAq"/>
    <int2:bookmark int2:bookmarkName="_Int_DN0CzK49" int2:invalidationBookmarkName="" int2:hashCode="QL7mstgmLkZeiR" int2:id="3S9OImQf"/>
    <int2:bookmark int2:bookmarkName="_Int_EXkJ0DBQ" int2:invalidationBookmarkName="" int2:hashCode="db1JlwsSWa+9H5" int2:id="GdH3K7Ln"/>
    <int2:bookmark int2:bookmarkName="_Int_Ince2YjJ" int2:invalidationBookmarkName="" int2:hashCode="xSNWhixFho4ePD" int2:id="LnmHdcxR"/>
    <int2:bookmark int2:bookmarkName="_Int_WYZ9bm59" int2:invalidationBookmarkName="" int2:hashCode="+QfnwN+7r7o4zM" int2:id="lRSksn7t"/>
    <int2:bookmark int2:bookmarkName="_Int_YRqjPq9W" int2:invalidationBookmarkName="" int2:hashCode="eQtqmKwPNq2kA6" int2:id="o79tSMAG"/>
    <int2:bookmark int2:bookmarkName="_Int_nHOyhP9t" int2:invalidationBookmarkName="" int2:hashCode="3KKjJeR/dxf+gy" int2:id="gSrIzs0f"/>
    <int2:bookmark int2:bookmarkName="_Int_fc1cP9NR" int2:invalidationBookmarkName="" int2:hashCode="KMyE6j8OohfYme" int2:id="cmfAIlyN"/>
    <int2:bookmark int2:bookmarkName="_Int_wX2hALpu" int2:invalidationBookmarkName="" int2:hashCode="VLyl1ESJeB8jLs" int2:id="nDutlTeL"/>
    <int2:bookmark int2:bookmarkName="_Int_TyRY4AC6" int2:invalidationBookmarkName="" int2:hashCode="17MIEXKH8+4/gZ" int2:id="MDQHpURP"/>
    <int2:bookmark int2:bookmarkName="_Int_Y2HJv0Uu" int2:invalidationBookmarkName="" int2:hashCode="9Cglk/0z3lmjfV" int2:id="zZPkFLcL"/>
    <int2:bookmark int2:bookmarkName="_Int_Up1SC0aE" int2:invalidationBookmarkName="" int2:hashCode="QAd2wcEWq8XHKB" int2:id="Qpads3Yp"/>
    <int2:bookmark int2:bookmarkName="_Int_DuyA124X" int2:invalidationBookmarkName="" int2:hashCode="pG02WxOxHBLBZT" int2:id="wtis2Vw1"/>
    <int2:bookmark int2:bookmarkName="_Int_zPyRoWWo" int2:invalidationBookmarkName="" int2:hashCode="JBprWFJg8MA1ik" int2:id="VB28mTVN"/>
    <int2:bookmark int2:bookmarkName="_Int_13kbmhq5" int2:invalidationBookmarkName="" int2:hashCode="kmTnOJ9B75iUAo" int2:id="st8JnO96"/>
    <int2:bookmark int2:bookmarkName="_Int_aHZIBsvD" int2:invalidationBookmarkName="" int2:hashCode="7i6/UTMFG/Oc1J" int2:id="WtGCBMCW"/>
    <int2:bookmark int2:bookmarkName="_Int_AYfNlyQH" int2:invalidationBookmarkName="" int2:hashCode="sNHYlKSu139Ziq" int2:id="SBoXfSlb"/>
    <int2:bookmark int2:bookmarkName="_Int_mW4Hvucv" int2:invalidationBookmarkName="" int2:hashCode="N0kh/zMOfZ1a32" int2:id="qOIUqplg"/>
    <int2:bookmark int2:bookmarkName="_Int_9NewYA0O" int2:invalidationBookmarkName="" int2:hashCode="ZUiXMz1LG14eeX" int2:id="4jK5aFHB"/>
    <int2:bookmark int2:bookmarkName="_Int_OfUykNQG" int2:invalidationBookmarkName="" int2:hashCode="VdyNrdA2080jpk" int2:id="MyzePPC0"/>
    <int2:bookmark int2:bookmarkName="_Int_Zybqz7Ec" int2:invalidationBookmarkName="" int2:hashCode="mPlXKXWOaq56UV" int2:id="At3BQcXZ"/>
    <int2:bookmark int2:bookmarkName="_Int_Ao5Wpw6W" int2:invalidationBookmarkName="" int2:hashCode="0a+vKyhmUP7rLW" int2:id="92MFJ2p5"/>
    <int2:bookmark int2:bookmarkName="_Int_eNedPneJ" int2:invalidationBookmarkName="" int2:hashCode="4b/1S/hTBpWfuY" int2:id="Wtq7iIwt"/>
    <int2:bookmark int2:bookmarkName="_Int_vOSBvsG1" int2:invalidationBookmarkName="" int2:hashCode="udhn8S83vPv4px" int2:id="9qtHkS4h"/>
    <int2:bookmark int2:bookmarkName="_Int_EwtusJ6n" int2:invalidationBookmarkName="" int2:hashCode="gyYCIuJjoSQUyJ" int2:id="D6lKioJ7"/>
    <int2:bookmark int2:bookmarkName="_Int_Za2LRqLm" int2:invalidationBookmarkName="" int2:hashCode="QoJ3tq1Oyqw1Fm" int2:id="NtBfw9qq"/>
    <int2:bookmark int2:bookmarkName="_Int_r3QtswMQ" int2:invalidationBookmarkName="" int2:hashCode="46utmOUugqVKX3" int2:id="hs5YGdFk"/>
    <int2:bookmark int2:bookmarkName="_Int_W3If0omU" int2:invalidationBookmarkName="" int2:hashCode="eL5oaM+CVIMuKu" int2:id="tEBfy2tY"/>
  </int2:observations>
  <int2:intelligenceSettings/>
  <int2:onDemandWorkflows>
    <int2:onDemandWorkflow int2:type="SimilarityCheck" int2:paragraphVersions="704C5122-44074373 7FD29738-35B121CF 64705137-50039ADD 7462141A-1B548297 77400745-1F809EC3 1EC5CD97-5930555F 2C078E63-7FA7BF50 1D2E7D73-6C3ADDC2 6CA5A8E6-1768C381 6F321FAE-254A4C83 1E330F40-1558E0C0 7FF904B1-0DF27784 4AE74C49-1F7093FF 78293B10-60591461 2A616E74-3236BA9C 11CFE4C6-360DB3C8 4E527DB0-7945A4F3 0EA84EB7-5C626ED8 21047422-39BAD653 0CE9104D-48DBB9E5 1D526184-3BFC995D 66628B72-2CEC529C 148C0118-6A3960CE 31A689C5-03F4C166 673FF99A-6616C44D 35D1ACB2-7433C487 012B344B-4D33224F 6E6461D6-77C8069D 7C31ABC6-26EA03D7 73AD9EFF-1CDEAECD 32D379AB-1C4AFAC4 61DF469A-49344DB6 0BCE7D50-49A5E820 32E01E9C-11B435A5 4103A710-031E0EBE 16106CEF-0F0F5BCC 3146CCCE-7D7D2BBF 36D441CB-4F868B1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32566"/>
    <w:multiLevelType w:val="hybridMultilevel"/>
    <w:tmpl w:val="E0EC5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88DEFE"/>
    <w:multiLevelType w:val="hybridMultilevel"/>
    <w:tmpl w:val="A972E3C4"/>
    <w:lvl w:ilvl="0" w:tplc="7032A46E">
      <w:start w:val="1"/>
      <w:numFmt w:val="decimal"/>
      <w:lvlText w:val="%1."/>
      <w:lvlJc w:val="left"/>
      <w:pPr>
        <w:ind w:left="720" w:hanging="360"/>
      </w:pPr>
    </w:lvl>
    <w:lvl w:ilvl="1" w:tplc="A3906D94">
      <w:start w:val="1"/>
      <w:numFmt w:val="lowerLetter"/>
      <w:lvlText w:val="%2."/>
      <w:lvlJc w:val="left"/>
      <w:pPr>
        <w:ind w:left="1440" w:hanging="360"/>
      </w:pPr>
    </w:lvl>
    <w:lvl w:ilvl="2" w:tplc="2A567CB2">
      <w:start w:val="1"/>
      <w:numFmt w:val="lowerRoman"/>
      <w:lvlText w:val="%3."/>
      <w:lvlJc w:val="right"/>
      <w:pPr>
        <w:ind w:left="2160" w:hanging="180"/>
      </w:pPr>
    </w:lvl>
    <w:lvl w:ilvl="3" w:tplc="5D9A53E8">
      <w:start w:val="1"/>
      <w:numFmt w:val="decimal"/>
      <w:lvlText w:val="%4."/>
      <w:lvlJc w:val="left"/>
      <w:pPr>
        <w:ind w:left="2880" w:hanging="360"/>
      </w:pPr>
    </w:lvl>
    <w:lvl w:ilvl="4" w:tplc="747A04A8">
      <w:start w:val="1"/>
      <w:numFmt w:val="lowerLetter"/>
      <w:lvlText w:val="%5."/>
      <w:lvlJc w:val="left"/>
      <w:pPr>
        <w:ind w:left="3600" w:hanging="360"/>
      </w:pPr>
    </w:lvl>
    <w:lvl w:ilvl="5" w:tplc="DE2CD6FE">
      <w:start w:val="1"/>
      <w:numFmt w:val="lowerRoman"/>
      <w:lvlText w:val="%6."/>
      <w:lvlJc w:val="right"/>
      <w:pPr>
        <w:ind w:left="4320" w:hanging="180"/>
      </w:pPr>
    </w:lvl>
    <w:lvl w:ilvl="6" w:tplc="6F184470">
      <w:start w:val="1"/>
      <w:numFmt w:val="decimal"/>
      <w:lvlText w:val="%7."/>
      <w:lvlJc w:val="left"/>
      <w:pPr>
        <w:ind w:left="5040" w:hanging="360"/>
      </w:pPr>
    </w:lvl>
    <w:lvl w:ilvl="7" w:tplc="11CAD5C8">
      <w:start w:val="1"/>
      <w:numFmt w:val="lowerLetter"/>
      <w:lvlText w:val="%8."/>
      <w:lvlJc w:val="left"/>
      <w:pPr>
        <w:ind w:left="5760" w:hanging="360"/>
      </w:pPr>
    </w:lvl>
    <w:lvl w:ilvl="8" w:tplc="E55A3972">
      <w:start w:val="1"/>
      <w:numFmt w:val="lowerRoman"/>
      <w:lvlText w:val="%9."/>
      <w:lvlJc w:val="right"/>
      <w:pPr>
        <w:ind w:left="6480" w:hanging="180"/>
      </w:pPr>
    </w:lvl>
  </w:abstractNum>
  <w:num w:numId="1" w16cid:durableId="1159075453">
    <w:abstractNumId w:val="1"/>
  </w:num>
  <w:num w:numId="2" w16cid:durableId="1801192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45F250"/>
    <w:rsid w:val="002557C0"/>
    <w:rsid w:val="002C2D2C"/>
    <w:rsid w:val="004E0E83"/>
    <w:rsid w:val="0051507E"/>
    <w:rsid w:val="005201C4"/>
    <w:rsid w:val="005F5BC5"/>
    <w:rsid w:val="00A45045"/>
    <w:rsid w:val="00C32F54"/>
    <w:rsid w:val="00C6139E"/>
    <w:rsid w:val="00D5380B"/>
    <w:rsid w:val="00E56FB4"/>
    <w:rsid w:val="00E72456"/>
    <w:rsid w:val="00E92BE3"/>
    <w:rsid w:val="00F67C2B"/>
    <w:rsid w:val="47ACF867"/>
    <w:rsid w:val="5DB90223"/>
    <w:rsid w:val="6045F250"/>
    <w:rsid w:val="6E342F2A"/>
    <w:rsid w:val="7BE920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5F250"/>
  <w15:chartTrackingRefBased/>
  <w15:docId w15:val="{28FD1826-B7CD-43AD-AE57-CBAFF9B4F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7ACF867"/>
    <w:rPr>
      <w:lang w:val="en-GB"/>
    </w:rPr>
  </w:style>
  <w:style w:type="paragraph" w:styleId="Heading1">
    <w:name w:val="heading 1"/>
    <w:basedOn w:val="Normal"/>
    <w:next w:val="Normal"/>
    <w:link w:val="Heading1Char"/>
    <w:uiPriority w:val="9"/>
    <w:qFormat/>
    <w:rsid w:val="47ACF867"/>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7ACF867"/>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7ACF867"/>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7ACF867"/>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7ACF867"/>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7ACF867"/>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7ACF867"/>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7ACF867"/>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7ACF867"/>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47ACF867"/>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7ACF867"/>
    <w:rPr>
      <w:rFonts w:eastAsiaTheme="minorEastAsia"/>
      <w:color w:val="5A5A5A"/>
    </w:rPr>
  </w:style>
  <w:style w:type="paragraph" w:styleId="Quote">
    <w:name w:val="Quote"/>
    <w:basedOn w:val="Normal"/>
    <w:next w:val="Normal"/>
    <w:link w:val="QuoteChar"/>
    <w:uiPriority w:val="29"/>
    <w:qFormat/>
    <w:rsid w:val="47ACF86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7ACF867"/>
    <w:pPr>
      <w:spacing w:before="360" w:after="360"/>
      <w:ind w:left="864" w:right="864"/>
      <w:jc w:val="center"/>
    </w:pPr>
    <w:rPr>
      <w:i/>
      <w:iCs/>
      <w:color w:val="4472C4" w:themeColor="accent1"/>
    </w:rPr>
  </w:style>
  <w:style w:type="paragraph" w:styleId="ListParagraph">
    <w:name w:val="List Paragraph"/>
    <w:basedOn w:val="Normal"/>
    <w:uiPriority w:val="34"/>
    <w:qFormat/>
    <w:rsid w:val="47ACF867"/>
    <w:pPr>
      <w:ind w:left="720"/>
      <w:contextualSpacing/>
    </w:pPr>
  </w:style>
  <w:style w:type="character" w:customStyle="1" w:styleId="Heading1Char">
    <w:name w:val="Heading 1 Char"/>
    <w:basedOn w:val="DefaultParagraphFont"/>
    <w:link w:val="Heading1"/>
    <w:uiPriority w:val="9"/>
    <w:rsid w:val="47ACF867"/>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7ACF867"/>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7ACF867"/>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7ACF867"/>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7ACF867"/>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7ACF867"/>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7ACF867"/>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7ACF867"/>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7ACF867"/>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7ACF867"/>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7ACF867"/>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7ACF867"/>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7ACF867"/>
    <w:rPr>
      <w:i/>
      <w:iCs/>
      <w:noProof w:val="0"/>
      <w:color w:val="4472C4" w:themeColor="accent1"/>
      <w:lang w:val="en-GB"/>
    </w:rPr>
  </w:style>
  <w:style w:type="paragraph" w:styleId="TOC1">
    <w:name w:val="toc 1"/>
    <w:basedOn w:val="Normal"/>
    <w:next w:val="Normal"/>
    <w:uiPriority w:val="39"/>
    <w:unhideWhenUsed/>
    <w:rsid w:val="47ACF867"/>
    <w:pPr>
      <w:spacing w:after="100"/>
    </w:pPr>
  </w:style>
  <w:style w:type="paragraph" w:styleId="TOC2">
    <w:name w:val="toc 2"/>
    <w:basedOn w:val="Normal"/>
    <w:next w:val="Normal"/>
    <w:uiPriority w:val="39"/>
    <w:unhideWhenUsed/>
    <w:rsid w:val="47ACF867"/>
    <w:pPr>
      <w:spacing w:after="100"/>
      <w:ind w:left="220"/>
    </w:pPr>
  </w:style>
  <w:style w:type="paragraph" w:styleId="TOC3">
    <w:name w:val="toc 3"/>
    <w:basedOn w:val="Normal"/>
    <w:next w:val="Normal"/>
    <w:uiPriority w:val="39"/>
    <w:unhideWhenUsed/>
    <w:rsid w:val="47ACF867"/>
    <w:pPr>
      <w:spacing w:after="100"/>
      <w:ind w:left="440"/>
    </w:pPr>
  </w:style>
  <w:style w:type="paragraph" w:styleId="TOC4">
    <w:name w:val="toc 4"/>
    <w:basedOn w:val="Normal"/>
    <w:next w:val="Normal"/>
    <w:uiPriority w:val="39"/>
    <w:unhideWhenUsed/>
    <w:rsid w:val="47ACF867"/>
    <w:pPr>
      <w:spacing w:after="100"/>
      <w:ind w:left="660"/>
    </w:pPr>
  </w:style>
  <w:style w:type="paragraph" w:styleId="TOC5">
    <w:name w:val="toc 5"/>
    <w:basedOn w:val="Normal"/>
    <w:next w:val="Normal"/>
    <w:uiPriority w:val="39"/>
    <w:unhideWhenUsed/>
    <w:rsid w:val="47ACF867"/>
    <w:pPr>
      <w:spacing w:after="100"/>
      <w:ind w:left="880"/>
    </w:pPr>
  </w:style>
  <w:style w:type="paragraph" w:styleId="TOC6">
    <w:name w:val="toc 6"/>
    <w:basedOn w:val="Normal"/>
    <w:next w:val="Normal"/>
    <w:uiPriority w:val="39"/>
    <w:unhideWhenUsed/>
    <w:rsid w:val="47ACF867"/>
    <w:pPr>
      <w:spacing w:after="100"/>
      <w:ind w:left="1100"/>
    </w:pPr>
  </w:style>
  <w:style w:type="paragraph" w:styleId="TOC7">
    <w:name w:val="toc 7"/>
    <w:basedOn w:val="Normal"/>
    <w:next w:val="Normal"/>
    <w:uiPriority w:val="39"/>
    <w:unhideWhenUsed/>
    <w:rsid w:val="47ACF867"/>
    <w:pPr>
      <w:spacing w:after="100"/>
      <w:ind w:left="1320"/>
    </w:pPr>
  </w:style>
  <w:style w:type="paragraph" w:styleId="TOC8">
    <w:name w:val="toc 8"/>
    <w:basedOn w:val="Normal"/>
    <w:next w:val="Normal"/>
    <w:uiPriority w:val="39"/>
    <w:unhideWhenUsed/>
    <w:rsid w:val="47ACF867"/>
    <w:pPr>
      <w:spacing w:after="100"/>
      <w:ind w:left="1540"/>
    </w:pPr>
  </w:style>
  <w:style w:type="paragraph" w:styleId="TOC9">
    <w:name w:val="toc 9"/>
    <w:basedOn w:val="Normal"/>
    <w:next w:val="Normal"/>
    <w:uiPriority w:val="39"/>
    <w:unhideWhenUsed/>
    <w:rsid w:val="47ACF867"/>
    <w:pPr>
      <w:spacing w:after="100"/>
      <w:ind w:left="1760"/>
    </w:pPr>
  </w:style>
  <w:style w:type="paragraph" w:styleId="EndnoteText">
    <w:name w:val="endnote text"/>
    <w:basedOn w:val="Normal"/>
    <w:link w:val="EndnoteTextChar"/>
    <w:uiPriority w:val="99"/>
    <w:semiHidden/>
    <w:unhideWhenUsed/>
    <w:rsid w:val="47ACF867"/>
    <w:pPr>
      <w:spacing w:after="0"/>
    </w:pPr>
    <w:rPr>
      <w:sz w:val="20"/>
      <w:szCs w:val="20"/>
    </w:rPr>
  </w:style>
  <w:style w:type="character" w:customStyle="1" w:styleId="EndnoteTextChar">
    <w:name w:val="Endnote Text Char"/>
    <w:basedOn w:val="DefaultParagraphFont"/>
    <w:link w:val="EndnoteText"/>
    <w:uiPriority w:val="99"/>
    <w:semiHidden/>
    <w:rsid w:val="47ACF867"/>
    <w:rPr>
      <w:noProof w:val="0"/>
      <w:sz w:val="20"/>
      <w:szCs w:val="20"/>
      <w:lang w:val="en-GB"/>
    </w:rPr>
  </w:style>
  <w:style w:type="paragraph" w:styleId="Footer">
    <w:name w:val="footer"/>
    <w:basedOn w:val="Normal"/>
    <w:link w:val="FooterChar"/>
    <w:uiPriority w:val="99"/>
    <w:unhideWhenUsed/>
    <w:rsid w:val="47ACF867"/>
    <w:pPr>
      <w:tabs>
        <w:tab w:val="center" w:pos="4680"/>
        <w:tab w:val="right" w:pos="9360"/>
      </w:tabs>
      <w:spacing w:after="0"/>
    </w:pPr>
  </w:style>
  <w:style w:type="character" w:customStyle="1" w:styleId="FooterChar">
    <w:name w:val="Footer Char"/>
    <w:basedOn w:val="DefaultParagraphFont"/>
    <w:link w:val="Footer"/>
    <w:uiPriority w:val="99"/>
    <w:rsid w:val="47ACF867"/>
    <w:rPr>
      <w:noProof w:val="0"/>
      <w:lang w:val="en-GB"/>
    </w:rPr>
  </w:style>
  <w:style w:type="paragraph" w:styleId="FootnoteText">
    <w:name w:val="footnote text"/>
    <w:basedOn w:val="Normal"/>
    <w:link w:val="FootnoteTextChar"/>
    <w:uiPriority w:val="99"/>
    <w:semiHidden/>
    <w:unhideWhenUsed/>
    <w:rsid w:val="47ACF867"/>
    <w:pPr>
      <w:spacing w:after="0"/>
    </w:pPr>
    <w:rPr>
      <w:sz w:val="20"/>
      <w:szCs w:val="20"/>
    </w:rPr>
  </w:style>
  <w:style w:type="character" w:customStyle="1" w:styleId="FootnoteTextChar">
    <w:name w:val="Footnote Text Char"/>
    <w:basedOn w:val="DefaultParagraphFont"/>
    <w:link w:val="FootnoteText"/>
    <w:uiPriority w:val="99"/>
    <w:semiHidden/>
    <w:rsid w:val="47ACF867"/>
    <w:rPr>
      <w:noProof w:val="0"/>
      <w:sz w:val="20"/>
      <w:szCs w:val="20"/>
      <w:lang w:val="en-GB"/>
    </w:rPr>
  </w:style>
  <w:style w:type="paragraph" w:styleId="Header">
    <w:name w:val="header"/>
    <w:basedOn w:val="Normal"/>
    <w:link w:val="HeaderChar"/>
    <w:uiPriority w:val="99"/>
    <w:unhideWhenUsed/>
    <w:rsid w:val="47ACF867"/>
    <w:pPr>
      <w:tabs>
        <w:tab w:val="center" w:pos="4680"/>
        <w:tab w:val="right" w:pos="9360"/>
      </w:tabs>
      <w:spacing w:after="0"/>
    </w:pPr>
  </w:style>
  <w:style w:type="character" w:customStyle="1" w:styleId="HeaderChar">
    <w:name w:val="Header Char"/>
    <w:basedOn w:val="DefaultParagraphFont"/>
    <w:link w:val="Header"/>
    <w:uiPriority w:val="99"/>
    <w:rsid w:val="47ACF867"/>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2599</Words>
  <Characters>14818</Characters>
  <Application>Microsoft Office Word</Application>
  <DocSecurity>0</DocSecurity>
  <Lines>123</Lines>
  <Paragraphs>34</Paragraphs>
  <ScaleCrop>false</ScaleCrop>
  <Company/>
  <LinksUpToDate>false</LinksUpToDate>
  <CharactersWithSpaces>17383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Amin</dc:creator>
  <cp:keywords/>
  <dc:description/>
  <cp:lastModifiedBy>Simona Mezo (2030170)</cp:lastModifiedBy>
  <cp:revision>18</cp:revision>
  <dcterms:created xsi:type="dcterms:W3CDTF">2022-10-07T06:13:00Z</dcterms:created>
  <dcterms:modified xsi:type="dcterms:W3CDTF">2022-10-24T07:50:00Z</dcterms:modified>
</cp:coreProperties>
</file>