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291644" w14:textId="06243880" w:rsidR="00F9200E" w:rsidRPr="00F9200E" w:rsidRDefault="00F9200E" w:rsidP="00F9200E">
      <w:pPr>
        <w:jc w:val="center"/>
        <w:rPr>
          <w:b/>
          <w:u w:val="single"/>
        </w:rPr>
      </w:pPr>
      <w:r w:rsidRPr="00F9200E">
        <w:rPr>
          <w:b/>
          <w:u w:val="single"/>
        </w:rPr>
        <w:t>Adult education and the Adult Learner</w:t>
      </w:r>
    </w:p>
    <w:p w14:paraId="447F8834" w14:textId="6785640A" w:rsidR="00724673" w:rsidRDefault="00724673" w:rsidP="002A32D8">
      <w:pPr>
        <w:jc w:val="both"/>
      </w:pPr>
      <w:r>
        <w:t>Adult education is defined as the entire range of formal, non- formal and informal learning activities which are</w:t>
      </w:r>
      <w:r w:rsidR="003229C2">
        <w:t xml:space="preserve"> undertaken by adults after a break since leaving initial education and training, and which results in the acquisition of new knowledge and skills </w:t>
      </w:r>
      <w:sdt>
        <w:sdtPr>
          <w:id w:val="-814495263"/>
          <w:citation/>
        </w:sdtPr>
        <w:sdtEndPr/>
        <w:sdtContent>
          <w:r w:rsidR="00E87187">
            <w:fldChar w:fldCharType="begin"/>
          </w:r>
          <w:r w:rsidR="00E87187">
            <w:instrText xml:space="preserve"> CITATION Eur10 \l 2057 </w:instrText>
          </w:r>
          <w:r w:rsidR="00E87187">
            <w:fldChar w:fldCharType="separate"/>
          </w:r>
          <w:r w:rsidR="0088279A" w:rsidRPr="0088279A">
            <w:rPr>
              <w:noProof/>
            </w:rPr>
            <w:t>(Union, 2010)</w:t>
          </w:r>
          <w:r w:rsidR="00E87187">
            <w:fldChar w:fldCharType="end"/>
          </w:r>
        </w:sdtContent>
      </w:sdt>
      <w:r w:rsidR="00E87187">
        <w:t>.</w:t>
      </w:r>
    </w:p>
    <w:p w14:paraId="429CD4EB" w14:textId="317D2FD9" w:rsidR="003229C2" w:rsidRDefault="003229C2" w:rsidP="002A32D8">
      <w:pPr>
        <w:jc w:val="both"/>
      </w:pPr>
      <w:r>
        <w:t xml:space="preserve">Today adult education is </w:t>
      </w:r>
      <w:r w:rsidR="00C057C4">
        <w:t>mostly</w:t>
      </w:r>
      <w:r>
        <w:t xml:space="preserve"> focussed on improving the economy, </w:t>
      </w:r>
      <w:r w:rsidR="00D92876">
        <w:t>by creating opportunities that enhance</w:t>
      </w:r>
      <w:r>
        <w:t xml:space="preserve"> </w:t>
      </w:r>
      <w:r w:rsidR="00D92876">
        <w:t>learners opportunities to improve</w:t>
      </w:r>
      <w:r>
        <w:t xml:space="preserve"> skills </w:t>
      </w:r>
      <w:r w:rsidR="00D92876">
        <w:t xml:space="preserve">that will lead </w:t>
      </w:r>
      <w:r>
        <w:t>to improv</w:t>
      </w:r>
      <w:r w:rsidR="00D92876">
        <w:t xml:space="preserve">ing the economy, thus resulting in </w:t>
      </w:r>
      <w:r>
        <w:t xml:space="preserve">creating communities that thrive not just survive </w:t>
      </w:r>
      <w:sdt>
        <w:sdtPr>
          <w:id w:val="334509372"/>
          <w:citation/>
        </w:sdtPr>
        <w:sdtEndPr/>
        <w:sdtContent>
          <w:r w:rsidR="00E87187">
            <w:fldChar w:fldCharType="begin"/>
          </w:r>
          <w:r w:rsidR="00E87187">
            <w:instrText xml:space="preserve"> CITATION The15 \l 2057 </w:instrText>
          </w:r>
          <w:r w:rsidR="00E87187">
            <w:fldChar w:fldCharType="separate"/>
          </w:r>
          <w:r w:rsidR="0088279A" w:rsidRPr="0088279A">
            <w:rPr>
              <w:noProof/>
            </w:rPr>
            <w:t>(Warwick, 2015)</w:t>
          </w:r>
          <w:r w:rsidR="00E87187">
            <w:fldChar w:fldCharType="end"/>
          </w:r>
        </w:sdtContent>
      </w:sdt>
      <w:r w:rsidR="00D92876">
        <w:t xml:space="preserve">. The post compulsory sector is made up of a variety of different institutions including Universities, colleges, schools, community organisations and work based learning settings, all of which present with a diverse set of differences and diverse group of learners with a varied skill set </w:t>
      </w:r>
      <w:sdt>
        <w:sdtPr>
          <w:id w:val="1135835828"/>
          <w:citation/>
        </w:sdtPr>
        <w:sdtEndPr/>
        <w:sdtContent>
          <w:r w:rsidR="0088279A">
            <w:fldChar w:fldCharType="begin"/>
          </w:r>
          <w:r w:rsidR="0088279A">
            <w:instrText xml:space="preserve"> CITATION Ell16 \l 2057 </w:instrText>
          </w:r>
          <w:r w:rsidR="0088279A">
            <w:fldChar w:fldCharType="separate"/>
          </w:r>
          <w:r w:rsidR="0088279A" w:rsidRPr="0088279A">
            <w:rPr>
              <w:noProof/>
            </w:rPr>
            <w:t>(Hazalkorn, 2016)</w:t>
          </w:r>
          <w:r w:rsidR="0088279A">
            <w:fldChar w:fldCharType="end"/>
          </w:r>
        </w:sdtContent>
      </w:sdt>
      <w:r w:rsidR="0088279A">
        <w:t>.</w:t>
      </w:r>
    </w:p>
    <w:p w14:paraId="6E4F7568" w14:textId="1DF51B05" w:rsidR="00D92876" w:rsidRDefault="00D92876" w:rsidP="00D92876">
      <w:pPr>
        <w:jc w:val="both"/>
      </w:pPr>
      <w:r>
        <w:t xml:space="preserve">Often adult education is a collaboration between the learner, employers, local authorities, community-based organisations as well as the more traditional providers, such as higher education institutes </w:t>
      </w:r>
      <w:sdt>
        <w:sdtPr>
          <w:id w:val="-1055471891"/>
          <w:citation/>
        </w:sdtPr>
        <w:sdtEndPr/>
        <w:sdtContent>
          <w:r>
            <w:fldChar w:fldCharType="begin"/>
          </w:r>
          <w:r>
            <w:instrText xml:space="preserve"> CITATION WAG15 \l 2057 </w:instrText>
          </w:r>
          <w:r>
            <w:fldChar w:fldCharType="separate"/>
          </w:r>
          <w:r w:rsidR="0088279A" w:rsidRPr="0088279A">
            <w:rPr>
              <w:noProof/>
            </w:rPr>
            <w:t>(WAG, 2015)</w:t>
          </w:r>
          <w:r>
            <w:fldChar w:fldCharType="end"/>
          </w:r>
        </w:sdtContent>
      </w:sdt>
      <w:r>
        <w:t xml:space="preserve">. This is because, according to the </w:t>
      </w:r>
      <w:r w:rsidR="00BA3795">
        <w:t>an</w:t>
      </w:r>
      <w:r w:rsidR="00C057C4">
        <w:t>dr</w:t>
      </w:r>
      <w:r w:rsidR="00BA3795">
        <w:t>agog</w:t>
      </w:r>
      <w:r w:rsidR="00C057C4">
        <w:t>y</w:t>
      </w:r>
      <w:r>
        <w:t xml:space="preserve"> approach, adult learners as they mature, become self-directed learners, have a wealth of growing experiences that become an increasing resource for learning. Motivation to learn during adulthood is mostly based on developmental tasks and social roles</w:t>
      </w:r>
      <w:r w:rsidR="00C057C4">
        <w:t xml:space="preserve"> which enhance individuals prospects in their work and social lives,</w:t>
      </w:r>
      <w:r>
        <w:t xml:space="preserve"> and adult learners </w:t>
      </w:r>
      <w:r w:rsidR="00C057C4">
        <w:t>are often in a position to make</w:t>
      </w:r>
      <w:r>
        <w:t xml:space="preserve"> change</w:t>
      </w:r>
      <w:r w:rsidR="00C057C4">
        <w:t>s within these areas,</w:t>
      </w:r>
      <w:r>
        <w:t xml:space="preserve"> they are ready instantly to test out new knowledge practically </w:t>
      </w:r>
      <w:r w:rsidR="00C057C4">
        <w:t>and test out their newly acquired knowledge. T</w:t>
      </w:r>
      <w:r>
        <w:t>his is why adult learning takes part mostly within the vocational routes or will have significant links to competencies, where the acquisition of particular skills is more impo</w:t>
      </w:r>
      <w:r w:rsidR="00C057C4">
        <w:t xml:space="preserve">rtant, such as problem solving and </w:t>
      </w:r>
      <w:r>
        <w:t>upskilling for employment</w:t>
      </w:r>
      <w:r w:rsidR="00C057C4">
        <w:t>.</w:t>
      </w:r>
      <w:r w:rsidR="00BA3795" w:rsidRPr="00BA3795">
        <w:t xml:space="preserve"> </w:t>
      </w:r>
      <w:r w:rsidR="00C057C4">
        <w:t>I</w:t>
      </w:r>
      <w:r w:rsidR="00BA3795">
        <w:t xml:space="preserve">n the report </w:t>
      </w:r>
      <w:r w:rsidR="00BA3795" w:rsidRPr="0085361A">
        <w:rPr>
          <w:i/>
        </w:rPr>
        <w:t>Valuing the impact of adult learning</w:t>
      </w:r>
      <w:r w:rsidR="00BA3795">
        <w:t xml:space="preserve">, David Fujiwara (2012) identified that adult education impacted positively on a greater likelihood of individuals finding a job and or staying in a job </w:t>
      </w:r>
      <w:sdt>
        <w:sdtPr>
          <w:id w:val="129136494"/>
          <w:citation/>
        </w:sdtPr>
        <w:sdtEndPr/>
        <w:sdtContent>
          <w:r w:rsidR="00BA3795">
            <w:fldChar w:fldCharType="begin"/>
          </w:r>
          <w:r w:rsidR="00BA3795">
            <w:instrText xml:space="preserve"> CITATION Dav12 \l 2057 </w:instrText>
          </w:r>
          <w:r w:rsidR="00BA3795">
            <w:fldChar w:fldCharType="separate"/>
          </w:r>
          <w:r w:rsidR="0088279A" w:rsidRPr="0088279A">
            <w:rPr>
              <w:noProof/>
            </w:rPr>
            <w:t>(Fujiwara, 2012)</w:t>
          </w:r>
          <w:r w:rsidR="00BA3795">
            <w:fldChar w:fldCharType="end"/>
          </w:r>
        </w:sdtContent>
      </w:sdt>
      <w:r w:rsidR="00BA3795">
        <w:t xml:space="preserve"> </w:t>
      </w:r>
      <w:r w:rsidR="00C057C4">
        <w:t xml:space="preserve">, </w:t>
      </w:r>
      <w:r w:rsidR="00BA3795">
        <w:t>through this study it was also reported that the</w:t>
      </w:r>
      <w:r>
        <w:t xml:space="preserve"> acquisition of knowledge to improve health and well- being</w:t>
      </w:r>
      <w:r w:rsidR="00BA3795">
        <w:t xml:space="preserve"> increased significantly amongst those accessing adult learning</w:t>
      </w:r>
      <w:r w:rsidR="00C057C4">
        <w:t>.</w:t>
      </w:r>
      <w:r>
        <w:t xml:space="preserve"> The Bell study, </w:t>
      </w:r>
      <w:r w:rsidRPr="0085361A">
        <w:rPr>
          <w:i/>
        </w:rPr>
        <w:t>Benefits of Lifelong Learning</w:t>
      </w:r>
      <w:r>
        <w:t xml:space="preserve">, 2011 </w:t>
      </w:r>
      <w:sdt>
        <w:sdtPr>
          <w:id w:val="-1128550829"/>
          <w:citation/>
        </w:sdtPr>
        <w:sdtEndPr/>
        <w:sdtContent>
          <w:r>
            <w:fldChar w:fldCharType="begin"/>
          </w:r>
          <w:r>
            <w:instrText xml:space="preserve"> CITATION Man11 \l 2057 </w:instrText>
          </w:r>
          <w:r>
            <w:fldChar w:fldCharType="separate"/>
          </w:r>
          <w:r w:rsidR="0088279A" w:rsidRPr="0088279A">
            <w:rPr>
              <w:noProof/>
            </w:rPr>
            <w:t>(Manninen &amp; Marliainen, 2011)</w:t>
          </w:r>
          <w:r>
            <w:fldChar w:fldCharType="end"/>
          </w:r>
        </w:sdtContent>
      </w:sdt>
      <w:r>
        <w:t xml:space="preserve">, shows that participation in adult education </w:t>
      </w:r>
      <w:r w:rsidR="00BA3795">
        <w:t xml:space="preserve">can have many benefits for individuals as well as </w:t>
      </w:r>
      <w:r>
        <w:t>for society. Out of the 8646 respondents to the Bell study (2011)</w:t>
      </w:r>
      <w:r w:rsidR="00C057C4">
        <w:t>,</w:t>
      </w:r>
      <w:r>
        <w:t xml:space="preserve"> seventy to eighty percent </w:t>
      </w:r>
      <w:r w:rsidR="00BA3795">
        <w:t xml:space="preserve">of those asked as part of the study reported that their </w:t>
      </w:r>
      <w:r>
        <w:t>general well- being and life satisfaction</w:t>
      </w:r>
      <w:r w:rsidR="00BA3795">
        <w:t xml:space="preserve"> had increased as a result</w:t>
      </w:r>
      <w:r>
        <w:t xml:space="preserve">. </w:t>
      </w:r>
      <w:sdt>
        <w:sdtPr>
          <w:id w:val="1917433853"/>
          <w:citation/>
        </w:sdtPr>
        <w:sdtEndPr/>
        <w:sdtContent>
          <w:r>
            <w:fldChar w:fldCharType="begin"/>
          </w:r>
          <w:r>
            <w:instrText xml:space="preserve"> CITATION Dav12 \l 2057 </w:instrText>
          </w:r>
          <w:r>
            <w:fldChar w:fldCharType="separate"/>
          </w:r>
          <w:r w:rsidR="0088279A" w:rsidRPr="0088279A">
            <w:rPr>
              <w:noProof/>
            </w:rPr>
            <w:t>(Fujiwara, 2012)</w:t>
          </w:r>
          <w:r>
            <w:fldChar w:fldCharType="end"/>
          </w:r>
        </w:sdtContent>
      </w:sdt>
      <w:r w:rsidR="00BA3795">
        <w:t xml:space="preserve">. Evidence also suggests that those who participate in “lifelong learning” develop social resilience </w:t>
      </w:r>
      <w:r>
        <w:t xml:space="preserve">and skills that can become transferable, whether this is for professional or personal reasons such as beliefs and attitudes </w:t>
      </w:r>
      <w:sdt>
        <w:sdtPr>
          <w:id w:val="174397000"/>
          <w:citation/>
        </w:sdtPr>
        <w:sdtEndPr/>
        <w:sdtContent>
          <w:r>
            <w:fldChar w:fldCharType="begin"/>
          </w:r>
          <w:r>
            <w:instrText xml:space="preserve"> CITATION Mal70 \l 2057 </w:instrText>
          </w:r>
          <w:r>
            <w:fldChar w:fldCharType="separate"/>
          </w:r>
          <w:r w:rsidR="0088279A" w:rsidRPr="0088279A">
            <w:rPr>
              <w:noProof/>
            </w:rPr>
            <w:t>(Knowles, 1970)</w:t>
          </w:r>
          <w:r>
            <w:fldChar w:fldCharType="end"/>
          </w:r>
        </w:sdtContent>
      </w:sdt>
      <w:r>
        <w:t>.</w:t>
      </w:r>
    </w:p>
    <w:p w14:paraId="577DBBDB" w14:textId="73F171DF" w:rsidR="00485CF8" w:rsidRDefault="00485CF8" w:rsidP="007D0352">
      <w:pPr>
        <w:jc w:val="both"/>
      </w:pPr>
      <w:r>
        <w:t>It is</w:t>
      </w:r>
      <w:r w:rsidR="00A2586A">
        <w:t xml:space="preserve"> considered</w:t>
      </w:r>
      <w:r>
        <w:t xml:space="preserve"> that adults are far more complex when it comes to learning</w:t>
      </w:r>
      <w:r w:rsidR="0085361A">
        <w:t xml:space="preserve"> than when they were children</w:t>
      </w:r>
      <w:r>
        <w:t xml:space="preserve">. In the early 1970`s Malcolm Knowles </w:t>
      </w:r>
      <w:r w:rsidR="00A2586A">
        <w:t>attempted</w:t>
      </w:r>
      <w:r>
        <w:t xml:space="preserve"> to define the adult </w:t>
      </w:r>
      <w:r w:rsidR="003C619C">
        <w:t>learner</w:t>
      </w:r>
      <w:r>
        <w:t xml:space="preserve">, through the concept of andragogy </w:t>
      </w:r>
      <w:sdt>
        <w:sdtPr>
          <w:id w:val="534711068"/>
          <w:citation/>
        </w:sdtPr>
        <w:sdtEndPr/>
        <w:sdtContent>
          <w:r w:rsidR="008E433B">
            <w:fldChar w:fldCharType="begin"/>
          </w:r>
          <w:r w:rsidR="008E433B">
            <w:instrText xml:space="preserve"> CITATION Hor05 \l 2057 </w:instrText>
          </w:r>
          <w:r w:rsidR="008E433B">
            <w:fldChar w:fldCharType="separate"/>
          </w:r>
          <w:r w:rsidR="0088279A" w:rsidRPr="0088279A">
            <w:rPr>
              <w:noProof/>
            </w:rPr>
            <w:t>(Horton &amp; Swanson, 2005)</w:t>
          </w:r>
          <w:r w:rsidR="008E433B">
            <w:fldChar w:fldCharType="end"/>
          </w:r>
        </w:sdtContent>
      </w:sdt>
      <w:r w:rsidR="008E433B">
        <w:t>.</w:t>
      </w:r>
      <w:r w:rsidR="00A2586A">
        <w:t xml:space="preserve"> </w:t>
      </w:r>
      <w:r>
        <w:t xml:space="preserve">Andragogy is </w:t>
      </w:r>
      <w:r w:rsidR="00C057C4">
        <w:t>the term used to describe the pedagogy of adult learning routes, and is attributed</w:t>
      </w:r>
      <w:r>
        <w:t xml:space="preserve"> to adult learners, with the assumption that adult learners are almost always voluntary </w:t>
      </w:r>
      <w:r w:rsidR="003C619C">
        <w:t>learners</w:t>
      </w:r>
      <w:r>
        <w:t xml:space="preserve">, </w:t>
      </w:r>
      <w:r w:rsidR="003C619C">
        <w:t>and</w:t>
      </w:r>
      <w:r>
        <w:t xml:space="preserve"> to ensure that adults continue in learning, learning </w:t>
      </w:r>
      <w:r w:rsidR="003C619C">
        <w:t>must</w:t>
      </w:r>
      <w:r>
        <w:t xml:space="preserve"> be satisfying to them or they will simply disappear </w:t>
      </w:r>
      <w:sdt>
        <w:sdtPr>
          <w:id w:val="-1428578414"/>
          <w:citation/>
        </w:sdtPr>
        <w:sdtEndPr/>
        <w:sdtContent>
          <w:r w:rsidR="00A17C90">
            <w:fldChar w:fldCharType="begin"/>
          </w:r>
          <w:r w:rsidR="00A17C90">
            <w:instrText xml:space="preserve"> CITATION Mal70 \l 2057 </w:instrText>
          </w:r>
          <w:r w:rsidR="00A17C90">
            <w:fldChar w:fldCharType="separate"/>
          </w:r>
          <w:r w:rsidR="0088279A" w:rsidRPr="0088279A">
            <w:rPr>
              <w:noProof/>
            </w:rPr>
            <w:t>(Knowles, 1970)</w:t>
          </w:r>
          <w:r w:rsidR="00A17C90">
            <w:fldChar w:fldCharType="end"/>
          </w:r>
        </w:sdtContent>
      </w:sdt>
      <w:r w:rsidR="00A17C90">
        <w:t>.</w:t>
      </w:r>
      <w:r w:rsidR="00A2586A">
        <w:t xml:space="preserve"> </w:t>
      </w:r>
      <w:r w:rsidR="00BA3795">
        <w:t>Through the post compulsory sector there is an emphasis on self-directed study, which is a person centred approach to learning, working with individuals to support their goals and aspirations by identifying with them their previous knowledge and experience to enhance learning, coaching and mentoring, rather than dictating and by using tools such as learning styles assessments and reflecti</w:t>
      </w:r>
      <w:r w:rsidR="00C057C4">
        <w:t>ve practice to enhance learning. U</w:t>
      </w:r>
      <w:r w:rsidR="00BA3795">
        <w:t>ltimately adult learning and the adult learner should be working in collaboration with educators to set and meet mutually agreed goals and pathways</w:t>
      </w:r>
      <w:r w:rsidR="00C057C4">
        <w:t xml:space="preserve"> and supported on a self-directed pathway to success in their education</w:t>
      </w:r>
      <w:r w:rsidR="00BA3795">
        <w:t xml:space="preserve"> </w:t>
      </w:r>
      <w:sdt>
        <w:sdtPr>
          <w:id w:val="1261338985"/>
          <w:citation/>
        </w:sdtPr>
        <w:sdtEndPr/>
        <w:sdtContent>
          <w:r w:rsidR="0088279A">
            <w:fldChar w:fldCharType="begin"/>
          </w:r>
          <w:r w:rsidR="0088279A">
            <w:instrText xml:space="preserve"> CITATION Cul02 \l 2057 </w:instrText>
          </w:r>
          <w:r w:rsidR="0088279A">
            <w:fldChar w:fldCharType="separate"/>
          </w:r>
          <w:r w:rsidR="0088279A" w:rsidRPr="0088279A">
            <w:rPr>
              <w:noProof/>
            </w:rPr>
            <w:t>(Cullen, et al., 2002)</w:t>
          </w:r>
          <w:r w:rsidR="0088279A">
            <w:fldChar w:fldCharType="end"/>
          </w:r>
        </w:sdtContent>
      </w:sdt>
      <w:r w:rsidR="0088279A">
        <w:t>.</w:t>
      </w:r>
    </w:p>
    <w:p w14:paraId="15F249C2" w14:textId="15AA3E89" w:rsidR="00485CF8" w:rsidRDefault="00C73176" w:rsidP="007D0352">
      <w:pPr>
        <w:jc w:val="both"/>
      </w:pPr>
      <w:r>
        <w:lastRenderedPageBreak/>
        <w:t xml:space="preserve">This means ensuring that post- compulsory systems are directed at becoming robust in creating skills for the labour force, greater social equality, balanced growth, actively engaged citizens, strong competitive institutions that are attracting and retaining talent and that post- compulsory systems are open and competitive education, offering the widest chance and choice to the broadest number of learners with a coherent portfolio of differentiated, high performing, actively engaged </w:t>
      </w:r>
      <w:r w:rsidR="003C619C">
        <w:t>institutions</w:t>
      </w:r>
      <w:r>
        <w:t xml:space="preserve"> </w:t>
      </w:r>
      <w:r w:rsidR="003C619C">
        <w:t>that</w:t>
      </w:r>
      <w:r>
        <w:t xml:space="preserve"> can provide a breadth of education, research and student experiences </w:t>
      </w:r>
      <w:r w:rsidR="003C619C">
        <w:t>through</w:t>
      </w:r>
      <w:r>
        <w:t xml:space="preserve"> individuals active lives </w:t>
      </w:r>
      <w:sdt>
        <w:sdtPr>
          <w:id w:val="-562866698"/>
          <w:citation/>
        </w:sdtPr>
        <w:sdtEndPr/>
        <w:sdtContent>
          <w:r w:rsidR="00633147">
            <w:fldChar w:fldCharType="begin"/>
          </w:r>
          <w:r w:rsidR="00633147">
            <w:instrText xml:space="preserve"> CITATION WAG16 \l 2057 </w:instrText>
          </w:r>
          <w:r w:rsidR="00633147">
            <w:fldChar w:fldCharType="separate"/>
          </w:r>
          <w:r w:rsidR="0088279A" w:rsidRPr="0088279A">
            <w:rPr>
              <w:noProof/>
            </w:rPr>
            <w:t>(WAG, 2016)</w:t>
          </w:r>
          <w:r w:rsidR="00633147">
            <w:fldChar w:fldCharType="end"/>
          </w:r>
        </w:sdtContent>
      </w:sdt>
      <w:r w:rsidR="00633147">
        <w:t>.</w:t>
      </w:r>
    </w:p>
    <w:p w14:paraId="63D6BE76" w14:textId="40559B85" w:rsidR="00BA56C1" w:rsidRDefault="00BA56C1" w:rsidP="002A32D8">
      <w:pPr>
        <w:jc w:val="both"/>
      </w:pPr>
    </w:p>
    <w:p w14:paraId="2F3C1150" w14:textId="2E70F54B" w:rsidR="00BA56C1" w:rsidRDefault="00BA56C1" w:rsidP="002A32D8">
      <w:pPr>
        <w:jc w:val="both"/>
      </w:pPr>
    </w:p>
    <w:p w14:paraId="3E7EFFCF" w14:textId="29287F91" w:rsidR="00BA56C1" w:rsidRDefault="00BA56C1" w:rsidP="002A32D8">
      <w:pPr>
        <w:jc w:val="both"/>
      </w:pPr>
    </w:p>
    <w:p w14:paraId="11B2AF93" w14:textId="0F066256" w:rsidR="00BA56C1" w:rsidRDefault="00BA56C1" w:rsidP="002A32D8">
      <w:pPr>
        <w:jc w:val="both"/>
      </w:pPr>
    </w:p>
    <w:p w14:paraId="02F73F1C" w14:textId="623CBBAF" w:rsidR="00BA56C1" w:rsidRDefault="00BA56C1" w:rsidP="002A32D8">
      <w:pPr>
        <w:jc w:val="both"/>
      </w:pPr>
    </w:p>
    <w:sdt>
      <w:sdtPr>
        <w:rPr>
          <w:rFonts w:asciiTheme="minorHAnsi" w:eastAsiaTheme="minorHAnsi" w:hAnsiTheme="minorHAnsi" w:cstheme="minorBidi"/>
          <w:color w:val="auto"/>
          <w:sz w:val="22"/>
          <w:szCs w:val="22"/>
          <w:lang w:val="en-GB"/>
        </w:rPr>
        <w:id w:val="484282488"/>
        <w:docPartObj>
          <w:docPartGallery w:val="Bibliographies"/>
          <w:docPartUnique/>
        </w:docPartObj>
      </w:sdtPr>
      <w:sdtEndPr/>
      <w:sdtContent>
        <w:p w14:paraId="7F04810E" w14:textId="13ADD26F" w:rsidR="00BA56C1" w:rsidRDefault="00BA56C1">
          <w:pPr>
            <w:pStyle w:val="Heading1"/>
          </w:pPr>
          <w:r>
            <w:t>References</w:t>
          </w:r>
        </w:p>
        <w:sdt>
          <w:sdtPr>
            <w:id w:val="-573587230"/>
            <w:bibliography/>
          </w:sdtPr>
          <w:sdtEndPr/>
          <w:sdtContent>
            <w:p w14:paraId="402476EA" w14:textId="77777777" w:rsidR="0088279A" w:rsidRDefault="00BA56C1" w:rsidP="0088279A">
              <w:pPr>
                <w:pStyle w:val="Bibliography"/>
                <w:rPr>
                  <w:noProof/>
                  <w:sz w:val="24"/>
                  <w:szCs w:val="24"/>
                  <w:lang w:val="en-US"/>
                </w:rPr>
              </w:pPr>
              <w:r>
                <w:fldChar w:fldCharType="begin"/>
              </w:r>
              <w:r>
                <w:instrText xml:space="preserve"> BIBLIOGRAPHY </w:instrText>
              </w:r>
              <w:r>
                <w:fldChar w:fldCharType="separate"/>
              </w:r>
              <w:r w:rsidR="0088279A">
                <w:rPr>
                  <w:noProof/>
                  <w:lang w:val="en-US"/>
                </w:rPr>
                <w:t xml:space="preserve">Cullen, J. et al., 2002. </w:t>
              </w:r>
              <w:r w:rsidR="0088279A">
                <w:rPr>
                  <w:i/>
                  <w:iCs/>
                  <w:noProof/>
                  <w:lang w:val="en-US"/>
                </w:rPr>
                <w:t xml:space="preserve">Review of current pedagogic research and practice in the fields of post compulsory education an dlifelong leanring, </w:t>
              </w:r>
              <w:r w:rsidR="0088279A">
                <w:rPr>
                  <w:noProof/>
                  <w:lang w:val="en-US"/>
                </w:rPr>
                <w:t>Brussells: European and social research council.</w:t>
              </w:r>
            </w:p>
            <w:p w14:paraId="51F2D030" w14:textId="77777777" w:rsidR="0088279A" w:rsidRDefault="0088279A" w:rsidP="0088279A">
              <w:pPr>
                <w:pStyle w:val="Bibliography"/>
                <w:rPr>
                  <w:noProof/>
                  <w:lang w:val="en-US"/>
                </w:rPr>
              </w:pPr>
              <w:r>
                <w:rPr>
                  <w:noProof/>
                  <w:lang w:val="en-US"/>
                </w:rPr>
                <w:t xml:space="preserve">EAEA, 2018. </w:t>
              </w:r>
              <w:r>
                <w:rPr>
                  <w:i/>
                  <w:iCs/>
                  <w:noProof/>
                  <w:lang w:val="en-US"/>
                </w:rPr>
                <w:t xml:space="preserve">European Association for the Education of Adults (EAEA). </w:t>
              </w:r>
              <w:r>
                <w:rPr>
                  <w:noProof/>
                  <w:lang w:val="en-US"/>
                </w:rPr>
                <w:t xml:space="preserve">[Online] </w:t>
              </w:r>
              <w:r>
                <w:rPr>
                  <w:noProof/>
                  <w:lang w:val="en-US"/>
                </w:rPr>
                <w:br/>
                <w:t xml:space="preserve">Available at: </w:t>
              </w:r>
              <w:r>
                <w:rPr>
                  <w:noProof/>
                  <w:u w:val="single"/>
                  <w:lang w:val="en-US"/>
                </w:rPr>
                <w:t>https://eaea.org/our-work/influencing-policy/manifesto-for-adult-learning-in-the-21st-century/</w:t>
              </w:r>
              <w:r>
                <w:rPr>
                  <w:noProof/>
                  <w:lang w:val="en-US"/>
                </w:rPr>
                <w:br/>
                <w:t>[Accessed 12 May 2018].</w:t>
              </w:r>
            </w:p>
            <w:p w14:paraId="6B29B1D4" w14:textId="77777777" w:rsidR="0088279A" w:rsidRDefault="0088279A" w:rsidP="0088279A">
              <w:pPr>
                <w:pStyle w:val="Bibliography"/>
                <w:rPr>
                  <w:noProof/>
                  <w:lang w:val="en-US"/>
                </w:rPr>
              </w:pPr>
              <w:r>
                <w:rPr>
                  <w:noProof/>
                  <w:lang w:val="en-US"/>
                </w:rPr>
                <w:t xml:space="preserve">Ebner, T., 2018. </w:t>
              </w:r>
              <w:r>
                <w:rPr>
                  <w:i/>
                  <w:iCs/>
                  <w:noProof/>
                  <w:lang w:val="en-US"/>
                </w:rPr>
                <w:t xml:space="preserve">Mnaifesto for adult learning in the 21st century, </w:t>
              </w:r>
              <w:r>
                <w:rPr>
                  <w:noProof/>
                  <w:lang w:val="en-US"/>
                </w:rPr>
                <w:t>Brussels: Erasmus and Programme of the European Union.</w:t>
              </w:r>
            </w:p>
            <w:p w14:paraId="3997FD8A" w14:textId="77777777" w:rsidR="0088279A" w:rsidRDefault="0088279A" w:rsidP="0088279A">
              <w:pPr>
                <w:pStyle w:val="Bibliography"/>
                <w:rPr>
                  <w:noProof/>
                  <w:lang w:val="en-US"/>
                </w:rPr>
              </w:pPr>
              <w:r>
                <w:rPr>
                  <w:noProof/>
                  <w:lang w:val="en-US"/>
                </w:rPr>
                <w:t xml:space="preserve">England, P. H., 2014. </w:t>
              </w:r>
              <w:r>
                <w:rPr>
                  <w:i/>
                  <w:iCs/>
                  <w:noProof/>
                  <w:lang w:val="en-US"/>
                </w:rPr>
                <w:t xml:space="preserve">Local action on health inequalities: Adult learning services, </w:t>
              </w:r>
              <w:r>
                <w:rPr>
                  <w:noProof/>
                  <w:lang w:val="en-US"/>
                </w:rPr>
                <w:t>London: Public Health England .</w:t>
              </w:r>
            </w:p>
            <w:p w14:paraId="16E663CA" w14:textId="77777777" w:rsidR="0088279A" w:rsidRDefault="0088279A" w:rsidP="0088279A">
              <w:pPr>
                <w:pStyle w:val="Bibliography"/>
                <w:rPr>
                  <w:noProof/>
                  <w:lang w:val="en-US"/>
                </w:rPr>
              </w:pPr>
              <w:r>
                <w:rPr>
                  <w:noProof/>
                  <w:lang w:val="en-US"/>
                </w:rPr>
                <w:t xml:space="preserve">Fujiwara, D., 2012. </w:t>
              </w:r>
              <w:r>
                <w:rPr>
                  <w:i/>
                  <w:iCs/>
                  <w:noProof/>
                  <w:lang w:val="en-US"/>
                </w:rPr>
                <w:t xml:space="preserve">Valuing the impact of Adult Learning: An analasys of the effect of adult learning on different domains in life, </w:t>
              </w:r>
              <w:r>
                <w:rPr>
                  <w:noProof/>
                  <w:lang w:val="en-US"/>
                </w:rPr>
                <w:t>Leicester: National Institue of Continuing Education (England and Wales).</w:t>
              </w:r>
            </w:p>
            <w:p w14:paraId="1F8EE8E4" w14:textId="77777777" w:rsidR="0088279A" w:rsidRDefault="0088279A" w:rsidP="0088279A">
              <w:pPr>
                <w:pStyle w:val="Bibliography"/>
                <w:rPr>
                  <w:noProof/>
                  <w:lang w:val="en-US"/>
                </w:rPr>
              </w:pPr>
              <w:r>
                <w:rPr>
                  <w:noProof/>
                  <w:lang w:val="en-US"/>
                </w:rPr>
                <w:t xml:space="preserve">Hazalkorn, E., 2016. </w:t>
              </w:r>
              <w:r>
                <w:rPr>
                  <w:i/>
                  <w:iCs/>
                  <w:noProof/>
                  <w:lang w:val="en-US"/>
                </w:rPr>
                <w:t xml:space="preserve">Towards 2030, </w:t>
              </w:r>
              <w:r>
                <w:rPr>
                  <w:noProof/>
                  <w:lang w:val="en-US"/>
                </w:rPr>
                <w:t>Cardiff: Welsh Assembly Government.</w:t>
              </w:r>
            </w:p>
            <w:p w14:paraId="4889489F" w14:textId="77777777" w:rsidR="0088279A" w:rsidRDefault="0088279A" w:rsidP="0088279A">
              <w:pPr>
                <w:pStyle w:val="Bibliography"/>
                <w:rPr>
                  <w:noProof/>
                  <w:lang w:val="en-US"/>
                </w:rPr>
              </w:pPr>
              <w:r>
                <w:rPr>
                  <w:noProof/>
                  <w:lang w:val="en-US"/>
                </w:rPr>
                <w:t xml:space="preserve">Horton, E. F. &amp; Swanson, R. A., 2005. </w:t>
              </w:r>
              <w:r>
                <w:rPr>
                  <w:i/>
                  <w:iCs/>
                  <w:noProof/>
                  <w:lang w:val="en-US"/>
                </w:rPr>
                <w:t xml:space="preserve">The Adult Learner: The Definitive Classic in Adult Education and Human Resource Development. </w:t>
              </w:r>
              <w:r>
                <w:rPr>
                  <w:noProof/>
                  <w:lang w:val="en-US"/>
                </w:rPr>
                <w:t>New York: Elsevier.</w:t>
              </w:r>
            </w:p>
            <w:p w14:paraId="55B3D4C7" w14:textId="77777777" w:rsidR="0088279A" w:rsidRDefault="0088279A" w:rsidP="0088279A">
              <w:pPr>
                <w:pStyle w:val="Bibliography"/>
                <w:rPr>
                  <w:noProof/>
                  <w:lang w:val="en-US"/>
                </w:rPr>
              </w:pPr>
              <w:r>
                <w:rPr>
                  <w:noProof/>
                  <w:lang w:val="en-US"/>
                </w:rPr>
                <w:t xml:space="preserve">Hughes, D., Adriaanse, K. &amp; Barnes, S.-. A., 2015. </w:t>
              </w:r>
              <w:r>
                <w:rPr>
                  <w:i/>
                  <w:iCs/>
                  <w:noProof/>
                  <w:lang w:val="en-US"/>
                </w:rPr>
                <w:t xml:space="preserve">Adult Education, </w:t>
              </w:r>
              <w:r>
                <w:rPr>
                  <w:noProof/>
                  <w:lang w:val="en-US"/>
                </w:rPr>
                <w:t>Warwick: Warwick University.</w:t>
              </w:r>
            </w:p>
            <w:p w14:paraId="6EF6A80A" w14:textId="77777777" w:rsidR="0088279A" w:rsidRDefault="0088279A" w:rsidP="0088279A">
              <w:pPr>
                <w:pStyle w:val="Bibliography"/>
                <w:rPr>
                  <w:noProof/>
                  <w:lang w:val="en-US"/>
                </w:rPr>
              </w:pPr>
              <w:r>
                <w:rPr>
                  <w:noProof/>
                  <w:lang w:val="en-US"/>
                </w:rPr>
                <w:t xml:space="preserve">Knowles, M., 1970. </w:t>
              </w:r>
              <w:r>
                <w:rPr>
                  <w:i/>
                  <w:iCs/>
                  <w:noProof/>
                  <w:lang w:val="en-US"/>
                </w:rPr>
                <w:t xml:space="preserve">National College. </w:t>
              </w:r>
              <w:r>
                <w:rPr>
                  <w:noProof/>
                  <w:lang w:val="en-US"/>
                </w:rPr>
                <w:t xml:space="preserve">[Online] </w:t>
              </w:r>
              <w:r>
                <w:rPr>
                  <w:noProof/>
                  <w:lang w:val="en-US"/>
                </w:rPr>
                <w:br/>
                <w:t xml:space="preserve">Available at: </w:t>
              </w:r>
              <w:r>
                <w:rPr>
                  <w:noProof/>
                  <w:u w:val="single"/>
                  <w:lang w:val="en-US"/>
                </w:rPr>
                <w:t>https://www.nationalcollege.org.uk/cm-andragogy.pdf</w:t>
              </w:r>
              <w:r>
                <w:rPr>
                  <w:noProof/>
                  <w:lang w:val="en-US"/>
                </w:rPr>
                <w:br/>
                <w:t>[Accessed 24 May 2018].</w:t>
              </w:r>
            </w:p>
            <w:p w14:paraId="079967FF" w14:textId="77777777" w:rsidR="0088279A" w:rsidRDefault="0088279A" w:rsidP="0088279A">
              <w:pPr>
                <w:pStyle w:val="Bibliography"/>
                <w:rPr>
                  <w:noProof/>
                  <w:lang w:val="en-US"/>
                </w:rPr>
              </w:pPr>
              <w:r>
                <w:rPr>
                  <w:noProof/>
                  <w:lang w:val="en-US"/>
                </w:rPr>
                <w:t xml:space="preserve">Manninen, J. &amp; Marliainen, M., 2011. </w:t>
              </w:r>
              <w:r>
                <w:rPr>
                  <w:i/>
                  <w:iCs/>
                  <w:noProof/>
                  <w:lang w:val="en-US"/>
                </w:rPr>
                <w:t xml:space="preserve">Benefits of lifelong leanring: BELL survey results, </w:t>
              </w:r>
              <w:r>
                <w:rPr>
                  <w:noProof/>
                  <w:lang w:val="en-US"/>
                </w:rPr>
                <w:t>Finland: University of East Finland.</w:t>
              </w:r>
            </w:p>
            <w:p w14:paraId="23374588" w14:textId="77777777" w:rsidR="0088279A" w:rsidRDefault="0088279A" w:rsidP="0088279A">
              <w:pPr>
                <w:pStyle w:val="Bibliography"/>
                <w:rPr>
                  <w:noProof/>
                  <w:lang w:val="en-US"/>
                </w:rPr>
              </w:pPr>
              <w:r>
                <w:rPr>
                  <w:noProof/>
                  <w:lang w:val="en-US"/>
                </w:rPr>
                <w:t xml:space="preserve">Realm, 2012. </w:t>
              </w:r>
              <w:r>
                <w:rPr>
                  <w:i/>
                  <w:iCs/>
                  <w:noProof/>
                  <w:lang w:val="en-US"/>
                </w:rPr>
                <w:t xml:space="preserve">Defintion of Adult Education. </w:t>
              </w:r>
              <w:r>
                <w:rPr>
                  <w:noProof/>
                  <w:lang w:val="en-US"/>
                </w:rPr>
                <w:t xml:space="preserve">[Online] </w:t>
              </w:r>
              <w:r>
                <w:rPr>
                  <w:noProof/>
                  <w:lang w:val="en-US"/>
                </w:rPr>
                <w:br/>
                <w:t xml:space="preserve">Available at: </w:t>
              </w:r>
              <w:r>
                <w:rPr>
                  <w:noProof/>
                  <w:u w:val="single"/>
                  <w:lang w:val="en-US"/>
                </w:rPr>
                <w:t>http://www3.hants.gov.uk/adult-learning-definition.pdf</w:t>
              </w:r>
              <w:r>
                <w:rPr>
                  <w:noProof/>
                  <w:lang w:val="en-US"/>
                </w:rPr>
                <w:br/>
                <w:t>[Accessed 12 May 2018].</w:t>
              </w:r>
            </w:p>
            <w:p w14:paraId="1A73261C" w14:textId="77777777" w:rsidR="0088279A" w:rsidRDefault="0088279A" w:rsidP="0088279A">
              <w:pPr>
                <w:pStyle w:val="Bibliography"/>
                <w:rPr>
                  <w:noProof/>
                  <w:lang w:val="en-US"/>
                </w:rPr>
              </w:pPr>
              <w:r>
                <w:rPr>
                  <w:noProof/>
                  <w:lang w:val="en-US"/>
                </w:rPr>
                <w:lastRenderedPageBreak/>
                <w:t xml:space="preserve">Union, E., 2010. </w:t>
              </w:r>
              <w:r>
                <w:rPr>
                  <w:i/>
                  <w:iCs/>
                  <w:noProof/>
                  <w:lang w:val="en-US"/>
                </w:rPr>
                <w:t xml:space="preserve">European Adult Learning Glossary, </w:t>
              </w:r>
              <w:r>
                <w:rPr>
                  <w:noProof/>
                  <w:lang w:val="en-US"/>
                </w:rPr>
                <w:t>Brussels: European Union.</w:t>
              </w:r>
            </w:p>
            <w:p w14:paraId="4E89C063" w14:textId="77777777" w:rsidR="0088279A" w:rsidRDefault="0088279A" w:rsidP="0088279A">
              <w:pPr>
                <w:pStyle w:val="Bibliography"/>
                <w:rPr>
                  <w:noProof/>
                  <w:lang w:val="en-US"/>
                </w:rPr>
              </w:pPr>
              <w:r>
                <w:rPr>
                  <w:noProof/>
                  <w:lang w:val="en-US"/>
                </w:rPr>
                <w:t xml:space="preserve">WAG, 2015. </w:t>
              </w:r>
              <w:r>
                <w:rPr>
                  <w:i/>
                  <w:iCs/>
                  <w:noProof/>
                  <w:lang w:val="en-US"/>
                </w:rPr>
                <w:t xml:space="preserve">A review of Adult Community Learning in Wales, </w:t>
              </w:r>
              <w:r>
                <w:rPr>
                  <w:noProof/>
                  <w:lang w:val="en-US"/>
                </w:rPr>
                <w:t>Cardiff: Welsh Assembly Government.</w:t>
              </w:r>
            </w:p>
            <w:p w14:paraId="15A662FE" w14:textId="77777777" w:rsidR="0088279A" w:rsidRDefault="0088279A" w:rsidP="0088279A">
              <w:pPr>
                <w:pStyle w:val="Bibliography"/>
                <w:rPr>
                  <w:noProof/>
                  <w:lang w:val="en-US"/>
                </w:rPr>
              </w:pPr>
              <w:r>
                <w:rPr>
                  <w:noProof/>
                  <w:lang w:val="en-US"/>
                </w:rPr>
                <w:t xml:space="preserve">WAG, 2016. </w:t>
              </w:r>
              <w:r>
                <w:rPr>
                  <w:i/>
                  <w:iCs/>
                  <w:noProof/>
                  <w:lang w:val="en-US"/>
                </w:rPr>
                <w:t xml:space="preserve">Draft Welsh Government Higher Education strategy 2027. </w:t>
              </w:r>
              <w:r>
                <w:rPr>
                  <w:noProof/>
                  <w:lang w:val="en-US"/>
                </w:rPr>
                <w:t>Cardiff : Welsh Assembly Government.</w:t>
              </w:r>
            </w:p>
            <w:p w14:paraId="2B3079A0" w14:textId="77777777" w:rsidR="0088279A" w:rsidRDefault="0088279A" w:rsidP="0088279A">
              <w:pPr>
                <w:pStyle w:val="Bibliography"/>
                <w:rPr>
                  <w:noProof/>
                  <w:lang w:val="en-US"/>
                </w:rPr>
              </w:pPr>
              <w:r>
                <w:rPr>
                  <w:noProof/>
                  <w:lang w:val="en-US"/>
                </w:rPr>
                <w:t xml:space="preserve">Warwick, T. U. o., 2015. </w:t>
              </w:r>
              <w:r>
                <w:rPr>
                  <w:i/>
                  <w:iCs/>
                  <w:noProof/>
                  <w:lang w:val="en-US"/>
                </w:rPr>
                <w:t xml:space="preserve">Adult Education: Too important to be left to chance, </w:t>
              </w:r>
              <w:r>
                <w:rPr>
                  <w:noProof/>
                  <w:lang w:val="en-US"/>
                </w:rPr>
                <w:t>London: All Party Parliamentary Group for Adult Education.</w:t>
              </w:r>
            </w:p>
            <w:p w14:paraId="6AD7EBA5" w14:textId="6F11A9D9" w:rsidR="00BA56C1" w:rsidRDefault="00BA56C1" w:rsidP="0088279A">
              <w:r>
                <w:rPr>
                  <w:b/>
                  <w:bCs/>
                  <w:noProof/>
                </w:rPr>
                <w:fldChar w:fldCharType="end"/>
              </w:r>
            </w:p>
          </w:sdtContent>
        </w:sdt>
      </w:sdtContent>
    </w:sdt>
    <w:p w14:paraId="424E9CAC" w14:textId="77777777" w:rsidR="003D0D99" w:rsidRPr="0075737F" w:rsidRDefault="003D0D99" w:rsidP="003D0D99">
      <w:pPr>
        <w:spacing w:line="276" w:lineRule="auto"/>
        <w:jc w:val="center"/>
        <w:rPr>
          <w:rFonts w:cstheme="minorHAnsi"/>
          <w:u w:val="single"/>
        </w:rPr>
      </w:pPr>
      <w:r w:rsidRPr="0075737F">
        <w:rPr>
          <w:rFonts w:cstheme="minorHAnsi"/>
          <w:u w:val="single"/>
        </w:rPr>
        <w:t>Placement reflection.</w:t>
      </w:r>
    </w:p>
    <w:p w14:paraId="5CDD5BFB" w14:textId="77777777" w:rsidR="003D0D99" w:rsidRPr="0075737F" w:rsidRDefault="003D0D99" w:rsidP="003D0D99">
      <w:pPr>
        <w:spacing w:line="276" w:lineRule="auto"/>
        <w:rPr>
          <w:rFonts w:cstheme="minorHAnsi"/>
        </w:rPr>
      </w:pPr>
      <w:r w:rsidRPr="0075737F">
        <w:rPr>
          <w:rFonts w:cstheme="minorHAnsi"/>
        </w:rPr>
        <w:t xml:space="preserve">My placement was a higher education institute. According the former Council for National Academic Awards Higher education, is the engaging of students in the intellectual and imaginative processes and the development of their understanding and judgment in a variety of different subjects, to support their problem-solving skills, their ability to see relationships within what they have learned and to perceive their field of study in a broader perspective. Programmes in higher education should aim to stimulate students into becoming more enquiry minded and analytical thus becoming more creative in their approach to learning and should develop and encourage independent judgment and critical self-awareness </w:t>
      </w:r>
      <w:sdt>
        <w:sdtPr>
          <w:rPr>
            <w:rFonts w:cstheme="minorHAnsi"/>
          </w:rPr>
          <w:id w:val="1941331261"/>
          <w:citation/>
        </w:sdtPr>
        <w:sdtContent>
          <w:r w:rsidRPr="0075737F">
            <w:rPr>
              <w:rFonts w:cstheme="minorHAnsi"/>
            </w:rPr>
            <w:fldChar w:fldCharType="begin"/>
          </w:r>
          <w:r w:rsidRPr="0075737F">
            <w:rPr>
              <w:rFonts w:cstheme="minorHAnsi"/>
            </w:rPr>
            <w:instrText xml:space="preserve"> CITATION Pau03 \l 2057 </w:instrText>
          </w:r>
          <w:r w:rsidRPr="0075737F">
            <w:rPr>
              <w:rFonts w:cstheme="minorHAnsi"/>
            </w:rPr>
            <w:fldChar w:fldCharType="separate"/>
          </w:r>
          <w:r w:rsidRPr="0075737F">
            <w:rPr>
              <w:rFonts w:cstheme="minorHAnsi"/>
              <w:noProof/>
            </w:rPr>
            <w:t>(Ramsden, 2003)</w:t>
          </w:r>
          <w:r w:rsidRPr="0075737F">
            <w:rPr>
              <w:rFonts w:cstheme="minorHAnsi"/>
            </w:rPr>
            <w:fldChar w:fldCharType="end"/>
          </w:r>
        </w:sdtContent>
      </w:sdt>
      <w:r w:rsidRPr="0075737F">
        <w:rPr>
          <w:rFonts w:cstheme="minorHAnsi"/>
        </w:rPr>
        <w:t>.</w:t>
      </w:r>
    </w:p>
    <w:p w14:paraId="331EA2CC" w14:textId="77777777" w:rsidR="003D0D99" w:rsidRPr="0075737F" w:rsidRDefault="003D0D99" w:rsidP="003D0D99">
      <w:pPr>
        <w:widowControl w:val="0"/>
        <w:autoSpaceDE w:val="0"/>
        <w:autoSpaceDN w:val="0"/>
        <w:adjustRightInd w:val="0"/>
        <w:spacing w:line="276" w:lineRule="auto"/>
        <w:rPr>
          <w:rFonts w:eastAsia="Times New Roman" w:cstheme="minorHAnsi"/>
          <w:bCs/>
          <w:lang w:val="en-US" w:eastAsia="en-GB"/>
        </w:rPr>
      </w:pPr>
      <w:r w:rsidRPr="0075737F">
        <w:rPr>
          <w:rFonts w:cstheme="minorHAnsi"/>
        </w:rPr>
        <w:t>My placement was at The University of Wales Trinity Saint David, Business school in Swansea. Here I was part of the health and social sciences department, supporting the learning of students on the DipHE Nursing course and the first-year students of the BSC Health and Social Care.</w:t>
      </w:r>
      <w:r w:rsidRPr="0075737F">
        <w:rPr>
          <w:rFonts w:eastAsia="Times New Roman" w:cstheme="minorHAnsi"/>
          <w:bCs/>
          <w:lang w:val="en-US" w:eastAsia="en-GB"/>
        </w:rPr>
        <w:t xml:space="preserve"> My role at UWTSD was to plan and deliver lectures, seminars and tutorials on the Dip HE Is nursing studies course and on the First Year Nursing Degree and BSC Health and Social Care. My role required me to research my specialist subjects, health promotion, community health and research and personal and academic study skills, following this I created, planned and delivered the content to over 40 nursing students. I designed the content of the lessons, designed relevant activities based on the theory being delivered to support the learner’s experience, asses’ learner’s outcomes, asses’ learner’s assignments and support leaners with their learning needs. This role required me to present to a large audience, be confident in my skills and knowledge and work with professionals from health services, such as health promotion teams, NHS staff and other organizations working with health. I am responsible for the creation of all resources required to deliver the content of the modules, this includes the presentations, activities to support learning, working with others to support learning and providing extensive knowledge to support learning. </w:t>
      </w:r>
    </w:p>
    <w:p w14:paraId="39583431" w14:textId="77777777" w:rsidR="003D0D99" w:rsidRPr="0075737F" w:rsidRDefault="003D0D99" w:rsidP="003D0D99">
      <w:pPr>
        <w:widowControl w:val="0"/>
        <w:autoSpaceDE w:val="0"/>
        <w:autoSpaceDN w:val="0"/>
        <w:adjustRightInd w:val="0"/>
        <w:spacing w:line="276" w:lineRule="auto"/>
        <w:rPr>
          <w:rFonts w:eastAsia="Times New Roman" w:cstheme="minorHAnsi"/>
          <w:bCs/>
          <w:lang w:val="en-US" w:eastAsia="en-GB"/>
        </w:rPr>
      </w:pPr>
      <w:r w:rsidRPr="0075737F">
        <w:rPr>
          <w:rFonts w:cstheme="minorHAnsi"/>
        </w:rPr>
        <w:t xml:space="preserve">The Nursing and the Health and Social Care courses are delivered in such a way that they are directly relevant to the learners needs, there is an emphasis on core skills, the health care courses have an emphasis on building the skills of learners in communication, attitude and practical application. The outcomes of the courses are specific to the chosen field of study and options for choice modules are offered, the aim of the course is a progression within a professional field, the selection of content has been designed with the input from industry, government, community as well as educators, the emphasis is on student – centred learning. The units I was responsible for where public health, community care research and personal and academic development </w:t>
      </w:r>
      <w:sdt>
        <w:sdtPr>
          <w:rPr>
            <w:rFonts w:cstheme="minorHAnsi"/>
          </w:rPr>
          <w:id w:val="-2087532345"/>
          <w:citation/>
        </w:sdtPr>
        <w:sdtContent>
          <w:r w:rsidRPr="0075737F">
            <w:rPr>
              <w:rFonts w:cstheme="minorHAnsi"/>
            </w:rPr>
            <w:fldChar w:fldCharType="begin"/>
          </w:r>
          <w:r w:rsidRPr="0075737F">
            <w:rPr>
              <w:rFonts w:cstheme="minorHAnsi"/>
            </w:rPr>
            <w:instrText xml:space="preserve"> CITATION Ger15 \l 2057 </w:instrText>
          </w:r>
          <w:r w:rsidRPr="0075737F">
            <w:rPr>
              <w:rFonts w:cstheme="minorHAnsi"/>
            </w:rPr>
            <w:fldChar w:fldCharType="separate"/>
          </w:r>
          <w:r w:rsidRPr="0075737F">
            <w:rPr>
              <w:rFonts w:cstheme="minorHAnsi"/>
              <w:noProof/>
            </w:rPr>
            <w:t>(O`Neill, 2015)</w:t>
          </w:r>
          <w:r w:rsidRPr="0075737F">
            <w:rPr>
              <w:rFonts w:cstheme="minorHAnsi"/>
            </w:rPr>
            <w:fldChar w:fldCharType="end"/>
          </w:r>
        </w:sdtContent>
      </w:sdt>
      <w:r w:rsidRPr="0075737F">
        <w:rPr>
          <w:rFonts w:cstheme="minorHAnsi"/>
        </w:rPr>
        <w:t>.</w:t>
      </w:r>
    </w:p>
    <w:p w14:paraId="07D70B9A" w14:textId="77777777" w:rsidR="003D0D99" w:rsidRPr="0075737F" w:rsidRDefault="003D0D99" w:rsidP="003D0D99">
      <w:pPr>
        <w:pStyle w:val="NormalWeb"/>
        <w:spacing w:line="276" w:lineRule="auto"/>
        <w:rPr>
          <w:rFonts w:asciiTheme="minorHAnsi" w:hAnsiTheme="minorHAnsi" w:cstheme="minorHAnsi"/>
          <w:sz w:val="22"/>
          <w:szCs w:val="22"/>
        </w:rPr>
      </w:pPr>
    </w:p>
    <w:p w14:paraId="5FE4D794" w14:textId="77777777" w:rsidR="003D0D99" w:rsidRPr="0075737F" w:rsidRDefault="003D0D99" w:rsidP="003D0D99">
      <w:pPr>
        <w:pStyle w:val="NormalWeb"/>
        <w:spacing w:line="276" w:lineRule="auto"/>
        <w:rPr>
          <w:rFonts w:asciiTheme="minorHAnsi" w:hAnsiTheme="minorHAnsi" w:cstheme="minorHAnsi"/>
          <w:sz w:val="22"/>
          <w:szCs w:val="22"/>
        </w:rPr>
      </w:pPr>
      <w:r w:rsidRPr="0075737F">
        <w:rPr>
          <w:rFonts w:asciiTheme="minorHAnsi" w:hAnsiTheme="minorHAnsi" w:cstheme="minorHAnsi"/>
          <w:sz w:val="22"/>
          <w:szCs w:val="22"/>
        </w:rPr>
        <w:lastRenderedPageBreak/>
        <w:t xml:space="preserve">Using Gibbs model of reflection: Gibbs (1988), The Action Research Model. A cyclical system of inquiry, that educators use to study their own situations, change, and improve their work. Gibbs – Reflective Cycle Model (1988), enabled me to focus on my own feelings, giving me the opportunity to feel, hear and change and other feelings views and perceptions, which I could incorporate into making improvements for the future and or improve outcomes for learners. The reflective cycle model strongly relates to ideas about empathy, my reflection also follows the assessment structure of the observations that where completed by my assessors and mentors about my practice in the placement </w:t>
      </w:r>
      <w:sdt>
        <w:sdtPr>
          <w:rPr>
            <w:rFonts w:asciiTheme="minorHAnsi" w:hAnsiTheme="minorHAnsi" w:cstheme="minorHAnsi"/>
            <w:sz w:val="22"/>
            <w:szCs w:val="22"/>
          </w:rPr>
          <w:id w:val="210932244"/>
          <w:citation/>
        </w:sdtPr>
        <w:sdtContent>
          <w:r w:rsidRPr="0075737F">
            <w:rPr>
              <w:rFonts w:asciiTheme="minorHAnsi" w:hAnsiTheme="minorHAnsi" w:cstheme="minorHAnsi"/>
              <w:sz w:val="22"/>
              <w:szCs w:val="22"/>
            </w:rPr>
            <w:fldChar w:fldCharType="begin"/>
          </w:r>
          <w:r w:rsidRPr="0075737F">
            <w:rPr>
              <w:rFonts w:asciiTheme="minorHAnsi" w:hAnsiTheme="minorHAnsi" w:cstheme="minorHAnsi"/>
              <w:sz w:val="22"/>
              <w:szCs w:val="22"/>
            </w:rPr>
            <w:instrText xml:space="preserve"> CITATION WAG151 \l 2057 </w:instrText>
          </w:r>
          <w:r w:rsidRPr="0075737F">
            <w:rPr>
              <w:rFonts w:asciiTheme="minorHAnsi" w:hAnsiTheme="minorHAnsi" w:cstheme="minorHAnsi"/>
              <w:sz w:val="22"/>
              <w:szCs w:val="22"/>
            </w:rPr>
            <w:fldChar w:fldCharType="separate"/>
          </w:r>
          <w:r w:rsidRPr="0075737F">
            <w:rPr>
              <w:rFonts w:asciiTheme="minorHAnsi" w:hAnsiTheme="minorHAnsi" w:cstheme="minorHAnsi"/>
              <w:noProof/>
              <w:sz w:val="22"/>
              <w:szCs w:val="22"/>
            </w:rPr>
            <w:t>(WAG, 2015)</w:t>
          </w:r>
          <w:r w:rsidRPr="0075737F">
            <w:rPr>
              <w:rFonts w:asciiTheme="minorHAnsi" w:hAnsiTheme="minorHAnsi" w:cstheme="minorHAnsi"/>
              <w:sz w:val="22"/>
              <w:szCs w:val="22"/>
            </w:rPr>
            <w:fldChar w:fldCharType="end"/>
          </w:r>
        </w:sdtContent>
      </w:sdt>
      <w:r w:rsidRPr="0075737F">
        <w:rPr>
          <w:rFonts w:asciiTheme="minorHAnsi" w:hAnsiTheme="minorHAnsi" w:cstheme="minorHAnsi"/>
          <w:sz w:val="22"/>
          <w:szCs w:val="22"/>
        </w:rPr>
        <w:t>.</w:t>
      </w:r>
    </w:p>
    <w:p w14:paraId="692F314A" w14:textId="77777777" w:rsidR="003D0D99" w:rsidRPr="0075737F" w:rsidRDefault="003D0D99" w:rsidP="003D0D99">
      <w:pPr>
        <w:spacing w:line="276" w:lineRule="auto"/>
        <w:rPr>
          <w:rFonts w:cstheme="minorHAnsi"/>
        </w:rPr>
      </w:pPr>
    </w:p>
    <w:p w14:paraId="5282CCA2" w14:textId="77777777" w:rsidR="003D0D99" w:rsidRPr="0075737F" w:rsidRDefault="003D0D99" w:rsidP="003D0D99">
      <w:pPr>
        <w:spacing w:line="276" w:lineRule="auto"/>
        <w:rPr>
          <w:rFonts w:cstheme="minorHAnsi"/>
        </w:rPr>
      </w:pPr>
      <w:r w:rsidRPr="0075737F">
        <w:rPr>
          <w:rFonts w:cstheme="minorHAnsi"/>
        </w:rPr>
        <w:t>At the beginning of my placement I had some understanding, experience and prior knowledge of the subjects that I was supporting the learning of. Having previously completed the degree BSC Health and Social Care, the topics which I would be delivering were familiar to me and I was able to confidently create and plan sessions for the learners. During this period, I discovered the importance of reflection within my placement. Reflection is considered a necessary process for learning within Post Compulsory Education and Training (PCET)</w:t>
      </w:r>
      <w:sdt>
        <w:sdtPr>
          <w:rPr>
            <w:rFonts w:cstheme="minorHAnsi"/>
          </w:rPr>
          <w:id w:val="-444312774"/>
          <w:citation/>
        </w:sdtPr>
        <w:sdtContent>
          <w:r w:rsidRPr="0075737F">
            <w:rPr>
              <w:rFonts w:cstheme="minorHAnsi"/>
            </w:rPr>
            <w:fldChar w:fldCharType="begin"/>
          </w:r>
          <w:r w:rsidRPr="0075737F">
            <w:rPr>
              <w:rFonts w:cstheme="minorHAnsi"/>
            </w:rPr>
            <w:instrText xml:space="preserve"> CITATION Sca13 \l 2057 </w:instrText>
          </w:r>
          <w:r w:rsidRPr="0075737F">
            <w:rPr>
              <w:rFonts w:cstheme="minorHAnsi"/>
            </w:rPr>
            <w:fldChar w:fldCharType="separate"/>
          </w:r>
          <w:r w:rsidRPr="0075737F">
            <w:rPr>
              <w:rFonts w:cstheme="minorHAnsi"/>
              <w:noProof/>
            </w:rPr>
            <w:t xml:space="preserve"> (Scales, et al., 2013)</w:t>
          </w:r>
          <w:r w:rsidRPr="0075737F">
            <w:rPr>
              <w:rFonts w:cstheme="minorHAnsi"/>
            </w:rPr>
            <w:fldChar w:fldCharType="end"/>
          </w:r>
        </w:sdtContent>
      </w:sdt>
      <w:r w:rsidRPr="0075737F">
        <w:rPr>
          <w:rFonts w:cstheme="minorHAnsi"/>
        </w:rPr>
        <w:t xml:space="preserve">.  I supported my reflective practice during my placement by keeping a journal, each time I was teaching I made actions for that session and following the session I would make notes about how I felt, what had happened, if anything had gone wrong and how I thought I could improve in the future. Journals have been used and are highly thought of as useful tools for teachers </w:t>
      </w:r>
      <w:sdt>
        <w:sdtPr>
          <w:rPr>
            <w:rFonts w:cstheme="minorHAnsi"/>
          </w:rPr>
          <w:id w:val="2113393561"/>
          <w:citation/>
        </w:sdtPr>
        <w:sdtContent>
          <w:r w:rsidRPr="0075737F">
            <w:rPr>
              <w:rFonts w:cstheme="minorHAnsi"/>
            </w:rPr>
            <w:fldChar w:fldCharType="begin"/>
          </w:r>
          <w:r w:rsidRPr="0075737F">
            <w:rPr>
              <w:rFonts w:cstheme="minorHAnsi"/>
            </w:rPr>
            <w:instrText xml:space="preserve"> CITATION Liz14 \l 2057 </w:instrText>
          </w:r>
          <w:r w:rsidRPr="0075737F">
            <w:rPr>
              <w:rFonts w:cstheme="minorHAnsi"/>
            </w:rPr>
            <w:fldChar w:fldCharType="separate"/>
          </w:r>
          <w:r w:rsidRPr="0075737F">
            <w:rPr>
              <w:rFonts w:cstheme="minorHAnsi"/>
              <w:noProof/>
            </w:rPr>
            <w:t>(McKenzie, 2014)</w:t>
          </w:r>
          <w:r w:rsidRPr="0075737F">
            <w:rPr>
              <w:rFonts w:cstheme="minorHAnsi"/>
            </w:rPr>
            <w:fldChar w:fldCharType="end"/>
          </w:r>
        </w:sdtContent>
      </w:sdt>
      <w:r w:rsidRPr="0075737F">
        <w:rPr>
          <w:rFonts w:cstheme="minorHAnsi"/>
        </w:rPr>
        <w:t>.</w:t>
      </w:r>
    </w:p>
    <w:p w14:paraId="7EF13A24" w14:textId="77777777" w:rsidR="003D0D99" w:rsidRPr="0075737F" w:rsidRDefault="003D0D99" w:rsidP="003D0D99">
      <w:pPr>
        <w:pStyle w:val="NormalWeb"/>
        <w:spacing w:line="276" w:lineRule="auto"/>
        <w:rPr>
          <w:rFonts w:asciiTheme="minorHAnsi" w:hAnsiTheme="minorHAnsi" w:cstheme="minorHAnsi"/>
          <w:sz w:val="22"/>
          <w:szCs w:val="22"/>
        </w:rPr>
      </w:pPr>
      <w:r w:rsidRPr="0075737F">
        <w:rPr>
          <w:rFonts w:asciiTheme="minorHAnsi" w:hAnsiTheme="minorHAnsi" w:cstheme="minorHAnsi"/>
          <w:sz w:val="22"/>
          <w:szCs w:val="22"/>
        </w:rPr>
        <w:t>To support me in the successful process of reflection, I developed an evaluation process after each lesson, which was based on the model presented to us by Gibbs</w:t>
      </w:r>
      <w:bookmarkStart w:id="0" w:name="_Hlk514485580"/>
      <w:r w:rsidRPr="0075737F">
        <w:rPr>
          <w:rFonts w:asciiTheme="minorHAnsi" w:hAnsiTheme="minorHAnsi" w:cstheme="minorHAnsi"/>
          <w:sz w:val="22"/>
          <w:szCs w:val="22"/>
        </w:rPr>
        <w:t xml:space="preserve"> (1988)</w:t>
      </w:r>
      <w:bookmarkEnd w:id="0"/>
      <w:r w:rsidRPr="0075737F">
        <w:rPr>
          <w:rFonts w:asciiTheme="minorHAnsi" w:hAnsiTheme="minorHAnsi" w:cstheme="minorHAnsi"/>
          <w:sz w:val="22"/>
          <w:szCs w:val="22"/>
        </w:rPr>
        <w:t xml:space="preserve">. I would apply Gibbs reflective model into sessions as I was delivering them, and if things did not go accordingly. An example of this is when I was delivering information technology support for student’s assignments, laptops had been ordered for the session, however when trying to access what we needed to on them we discovered problems that hindered the smooth flow of the lesson. As a result, I was able to recall Gibbs model in my mind and quietly begin planning how to resolve the issue. Without the knowledge I had gained about reflection I may have panicked and ended the session prematurely, which would not have benefited the learners and may have caused them panic too. We ended the session having completed the learning outcomes </w:t>
      </w:r>
      <w:sdt>
        <w:sdtPr>
          <w:rPr>
            <w:rFonts w:asciiTheme="minorHAnsi" w:hAnsiTheme="minorHAnsi" w:cstheme="minorHAnsi"/>
            <w:sz w:val="22"/>
            <w:szCs w:val="22"/>
          </w:rPr>
          <w:id w:val="-1736314996"/>
          <w:citation/>
        </w:sdtPr>
        <w:sdtContent>
          <w:r w:rsidRPr="0075737F">
            <w:rPr>
              <w:rFonts w:asciiTheme="minorHAnsi" w:hAnsiTheme="minorHAnsi" w:cstheme="minorHAnsi"/>
              <w:sz w:val="22"/>
              <w:szCs w:val="22"/>
            </w:rPr>
            <w:fldChar w:fldCharType="begin"/>
          </w:r>
          <w:r w:rsidRPr="0075737F">
            <w:rPr>
              <w:rFonts w:asciiTheme="minorHAnsi" w:hAnsiTheme="minorHAnsi" w:cstheme="minorHAnsi"/>
              <w:sz w:val="22"/>
              <w:szCs w:val="22"/>
            </w:rPr>
            <w:instrText xml:space="preserve"> CITATION Ste172 \l 2057 </w:instrText>
          </w:r>
          <w:r w:rsidRPr="0075737F">
            <w:rPr>
              <w:rFonts w:asciiTheme="minorHAnsi" w:hAnsiTheme="minorHAnsi" w:cstheme="minorHAnsi"/>
              <w:sz w:val="22"/>
              <w:szCs w:val="22"/>
            </w:rPr>
            <w:fldChar w:fldCharType="separate"/>
          </w:r>
          <w:r w:rsidRPr="0075737F">
            <w:rPr>
              <w:rFonts w:asciiTheme="minorHAnsi" w:hAnsiTheme="minorHAnsi" w:cstheme="minorHAnsi"/>
              <w:noProof/>
              <w:sz w:val="22"/>
              <w:szCs w:val="22"/>
            </w:rPr>
            <w:t>(Brookfield, 2017)</w:t>
          </w:r>
          <w:r w:rsidRPr="0075737F">
            <w:rPr>
              <w:rFonts w:asciiTheme="minorHAnsi" w:hAnsiTheme="minorHAnsi" w:cstheme="minorHAnsi"/>
              <w:sz w:val="22"/>
              <w:szCs w:val="22"/>
            </w:rPr>
            <w:fldChar w:fldCharType="end"/>
          </w:r>
        </w:sdtContent>
      </w:sdt>
      <w:r w:rsidRPr="0075737F">
        <w:rPr>
          <w:rFonts w:asciiTheme="minorHAnsi" w:hAnsiTheme="minorHAnsi" w:cstheme="minorHAnsi"/>
          <w:sz w:val="22"/>
          <w:szCs w:val="22"/>
        </w:rPr>
        <w:t>.</w:t>
      </w:r>
    </w:p>
    <w:p w14:paraId="07506860" w14:textId="77777777" w:rsidR="003D0D99" w:rsidRPr="0075737F" w:rsidRDefault="003D0D99" w:rsidP="003D0D99">
      <w:pPr>
        <w:pStyle w:val="NormalWeb"/>
        <w:spacing w:line="276" w:lineRule="auto"/>
        <w:rPr>
          <w:rFonts w:asciiTheme="minorHAnsi" w:hAnsiTheme="minorHAnsi" w:cstheme="minorHAnsi"/>
          <w:sz w:val="22"/>
          <w:szCs w:val="22"/>
        </w:rPr>
      </w:pPr>
    </w:p>
    <w:p w14:paraId="32C0D091" w14:textId="77777777" w:rsidR="003D0D99" w:rsidRPr="0075737F" w:rsidRDefault="003D0D99" w:rsidP="003D0D99">
      <w:pPr>
        <w:pStyle w:val="NormalWeb"/>
        <w:spacing w:line="276" w:lineRule="auto"/>
        <w:rPr>
          <w:rFonts w:asciiTheme="minorHAnsi" w:hAnsiTheme="minorHAnsi" w:cstheme="minorHAnsi"/>
          <w:sz w:val="22"/>
          <w:szCs w:val="22"/>
        </w:rPr>
      </w:pPr>
      <w:r w:rsidRPr="0075737F">
        <w:rPr>
          <w:rFonts w:asciiTheme="minorHAnsi" w:hAnsiTheme="minorHAnsi" w:cstheme="minorHAnsi"/>
          <w:sz w:val="22"/>
          <w:szCs w:val="22"/>
        </w:rPr>
        <w:t xml:space="preserve">During the placement I was able to develop my own research skills. Research in education is an important element of subject knowledge. Research is important as a continuous action whilst working in higher education </w:t>
      </w:r>
      <w:sdt>
        <w:sdtPr>
          <w:rPr>
            <w:rFonts w:asciiTheme="minorHAnsi" w:hAnsiTheme="minorHAnsi" w:cstheme="minorHAnsi"/>
            <w:sz w:val="22"/>
            <w:szCs w:val="22"/>
          </w:rPr>
          <w:id w:val="92298299"/>
          <w:citation/>
        </w:sdtPr>
        <w:sdtContent>
          <w:r w:rsidRPr="0075737F">
            <w:rPr>
              <w:rFonts w:asciiTheme="minorHAnsi" w:hAnsiTheme="minorHAnsi" w:cstheme="minorHAnsi"/>
              <w:sz w:val="22"/>
              <w:szCs w:val="22"/>
            </w:rPr>
            <w:fldChar w:fldCharType="begin"/>
          </w:r>
          <w:r w:rsidRPr="0075737F">
            <w:rPr>
              <w:rFonts w:asciiTheme="minorHAnsi" w:hAnsiTheme="minorHAnsi" w:cstheme="minorHAnsi"/>
              <w:sz w:val="22"/>
              <w:szCs w:val="22"/>
            </w:rPr>
            <w:instrText xml:space="preserve"> CITATION Gre13 \l 2057 </w:instrText>
          </w:r>
          <w:r w:rsidRPr="0075737F">
            <w:rPr>
              <w:rFonts w:asciiTheme="minorHAnsi" w:hAnsiTheme="minorHAnsi" w:cstheme="minorHAnsi"/>
              <w:sz w:val="22"/>
              <w:szCs w:val="22"/>
            </w:rPr>
            <w:fldChar w:fldCharType="separate"/>
          </w:r>
          <w:r w:rsidRPr="0075737F">
            <w:rPr>
              <w:rFonts w:asciiTheme="minorHAnsi" w:hAnsiTheme="minorHAnsi" w:cstheme="minorHAnsi"/>
              <w:noProof/>
              <w:sz w:val="22"/>
              <w:szCs w:val="22"/>
            </w:rPr>
            <w:t>(Hine, 2013)</w:t>
          </w:r>
          <w:r w:rsidRPr="0075737F">
            <w:rPr>
              <w:rFonts w:asciiTheme="minorHAnsi" w:hAnsiTheme="minorHAnsi" w:cstheme="minorHAnsi"/>
              <w:sz w:val="22"/>
              <w:szCs w:val="22"/>
            </w:rPr>
            <w:fldChar w:fldCharType="end"/>
          </w:r>
        </w:sdtContent>
      </w:sdt>
      <w:r w:rsidRPr="0075737F">
        <w:rPr>
          <w:rFonts w:asciiTheme="minorHAnsi" w:hAnsiTheme="minorHAnsi" w:cstheme="minorHAnsi"/>
          <w:sz w:val="22"/>
          <w:szCs w:val="22"/>
        </w:rPr>
        <w:t xml:space="preserve">. Whilst delivering the modules for the health and social care and nursing courses, this was significantly important for me to do, within these subject’s change can happen so often, for example when new legislation is implemented or when reviews are conducted that effect services. Research is a process to discover new knowledge and is how we protect the public and the communities we live in, it is also a significant process on how services are shaped and delivered, therefore within the subjects I was teaching, research was a vital element of my role. Research is a systematic investigation (i.e. the gathering and analysis of information, that is designed to develop or contribute to the knowledge we already have and to improve this </w:t>
      </w:r>
      <w:sdt>
        <w:sdtPr>
          <w:rPr>
            <w:rFonts w:asciiTheme="minorHAnsi" w:hAnsiTheme="minorHAnsi" w:cstheme="minorHAnsi"/>
            <w:sz w:val="22"/>
            <w:szCs w:val="22"/>
          </w:rPr>
          <w:id w:val="-2134699823"/>
          <w:citation/>
        </w:sdtPr>
        <w:sdtContent>
          <w:r w:rsidRPr="0075737F">
            <w:rPr>
              <w:rFonts w:asciiTheme="minorHAnsi" w:hAnsiTheme="minorHAnsi" w:cstheme="minorHAnsi"/>
              <w:sz w:val="22"/>
              <w:szCs w:val="22"/>
            </w:rPr>
            <w:fldChar w:fldCharType="begin"/>
          </w:r>
          <w:r w:rsidRPr="0075737F">
            <w:rPr>
              <w:rFonts w:asciiTheme="minorHAnsi" w:hAnsiTheme="minorHAnsi" w:cstheme="minorHAnsi"/>
              <w:sz w:val="22"/>
              <w:szCs w:val="22"/>
            </w:rPr>
            <w:instrText xml:space="preserve"> CITATION Uni15 \l 2057 </w:instrText>
          </w:r>
          <w:r w:rsidRPr="0075737F">
            <w:rPr>
              <w:rFonts w:asciiTheme="minorHAnsi" w:hAnsiTheme="minorHAnsi" w:cstheme="minorHAnsi"/>
              <w:sz w:val="22"/>
              <w:szCs w:val="22"/>
            </w:rPr>
            <w:fldChar w:fldCharType="separate"/>
          </w:r>
          <w:r w:rsidRPr="0075737F">
            <w:rPr>
              <w:rFonts w:asciiTheme="minorHAnsi" w:hAnsiTheme="minorHAnsi" w:cstheme="minorHAnsi"/>
              <w:noProof/>
              <w:sz w:val="22"/>
              <w:szCs w:val="22"/>
            </w:rPr>
            <w:t>(California, 2015)</w:t>
          </w:r>
          <w:r w:rsidRPr="0075737F">
            <w:rPr>
              <w:rFonts w:asciiTheme="minorHAnsi" w:hAnsiTheme="minorHAnsi" w:cstheme="minorHAnsi"/>
              <w:sz w:val="22"/>
              <w:szCs w:val="22"/>
            </w:rPr>
            <w:fldChar w:fldCharType="end"/>
          </w:r>
        </w:sdtContent>
      </w:sdt>
      <w:r w:rsidRPr="0075737F">
        <w:rPr>
          <w:rFonts w:asciiTheme="minorHAnsi" w:hAnsiTheme="minorHAnsi" w:cstheme="minorHAnsi"/>
          <w:sz w:val="22"/>
          <w:szCs w:val="22"/>
        </w:rPr>
        <w:t xml:space="preserve">. </w:t>
      </w:r>
    </w:p>
    <w:p w14:paraId="2A0E0C2A" w14:textId="77777777" w:rsidR="003D0D99" w:rsidRPr="0075737F" w:rsidRDefault="003D0D99" w:rsidP="003D0D99">
      <w:pPr>
        <w:pStyle w:val="NormalWeb"/>
        <w:spacing w:line="276" w:lineRule="auto"/>
        <w:rPr>
          <w:rFonts w:asciiTheme="minorHAnsi" w:hAnsiTheme="minorHAnsi" w:cstheme="minorHAnsi"/>
          <w:sz w:val="22"/>
          <w:szCs w:val="22"/>
        </w:rPr>
      </w:pPr>
    </w:p>
    <w:p w14:paraId="77F577A7" w14:textId="77777777" w:rsidR="003D0D99" w:rsidRPr="0075737F" w:rsidRDefault="003D0D99" w:rsidP="003D0D99">
      <w:pPr>
        <w:pStyle w:val="NormalWeb"/>
        <w:spacing w:line="276" w:lineRule="auto"/>
        <w:rPr>
          <w:rFonts w:asciiTheme="minorHAnsi" w:hAnsiTheme="minorHAnsi" w:cstheme="minorHAnsi"/>
          <w:sz w:val="22"/>
          <w:szCs w:val="22"/>
        </w:rPr>
      </w:pPr>
      <w:r w:rsidRPr="0075737F">
        <w:rPr>
          <w:rFonts w:asciiTheme="minorHAnsi" w:hAnsiTheme="minorHAnsi" w:cstheme="minorHAnsi"/>
          <w:sz w:val="22"/>
          <w:szCs w:val="22"/>
        </w:rPr>
        <w:t xml:space="preserve">The purpose for me carrying out research was to extend my subject knowledge and to identify relevant sources of information to ensure successful completion of learning outcomes and ultimately better outcomes for learners attending my sessions. Research is used to support this, it is used to improve our thinking, action and planning for biological, physical and our social world so that we can continue improving. During my process of research I adopted a systematic approach through the reviews of literature concerned with my subjects, I feel like this enabled me to feel confident whilst delivering these subjects and as part of my reflections I was able to plan and prepare my work in a professional and confident way that I could be sure was going to improve the outcomes for students, during this process I was also able to identify further reading for students and support them with their own objectives </w:t>
      </w:r>
      <w:sdt>
        <w:sdtPr>
          <w:rPr>
            <w:rFonts w:asciiTheme="minorHAnsi" w:hAnsiTheme="minorHAnsi" w:cstheme="minorHAnsi"/>
            <w:sz w:val="22"/>
            <w:szCs w:val="22"/>
          </w:rPr>
          <w:id w:val="-1464263433"/>
          <w:citation/>
        </w:sdtPr>
        <w:sdtContent>
          <w:r w:rsidRPr="0075737F">
            <w:rPr>
              <w:rFonts w:asciiTheme="minorHAnsi" w:hAnsiTheme="minorHAnsi" w:cstheme="minorHAnsi"/>
              <w:sz w:val="22"/>
              <w:szCs w:val="22"/>
            </w:rPr>
            <w:fldChar w:fldCharType="begin"/>
          </w:r>
          <w:r w:rsidRPr="0075737F">
            <w:rPr>
              <w:rFonts w:asciiTheme="minorHAnsi" w:hAnsiTheme="minorHAnsi" w:cstheme="minorHAnsi"/>
              <w:sz w:val="22"/>
              <w:szCs w:val="22"/>
            </w:rPr>
            <w:instrText xml:space="preserve"> CITATION Ukn14 \l 2057 </w:instrText>
          </w:r>
          <w:r w:rsidRPr="0075737F">
            <w:rPr>
              <w:rFonts w:asciiTheme="minorHAnsi" w:hAnsiTheme="minorHAnsi" w:cstheme="minorHAnsi"/>
              <w:sz w:val="22"/>
              <w:szCs w:val="22"/>
            </w:rPr>
            <w:fldChar w:fldCharType="separate"/>
          </w:r>
          <w:r w:rsidRPr="0075737F">
            <w:rPr>
              <w:rFonts w:asciiTheme="minorHAnsi" w:hAnsiTheme="minorHAnsi" w:cstheme="minorHAnsi"/>
              <w:noProof/>
              <w:sz w:val="22"/>
              <w:szCs w:val="22"/>
            </w:rPr>
            <w:t>(Uknown, 2014)</w:t>
          </w:r>
          <w:r w:rsidRPr="0075737F">
            <w:rPr>
              <w:rFonts w:asciiTheme="minorHAnsi" w:hAnsiTheme="minorHAnsi" w:cstheme="minorHAnsi"/>
              <w:sz w:val="22"/>
              <w:szCs w:val="22"/>
            </w:rPr>
            <w:fldChar w:fldCharType="end"/>
          </w:r>
        </w:sdtContent>
      </w:sdt>
      <w:r w:rsidRPr="0075737F">
        <w:rPr>
          <w:rFonts w:asciiTheme="minorHAnsi" w:hAnsiTheme="minorHAnsi" w:cstheme="minorHAnsi"/>
          <w:sz w:val="22"/>
          <w:szCs w:val="22"/>
        </w:rPr>
        <w:t xml:space="preserve">. </w:t>
      </w:r>
    </w:p>
    <w:p w14:paraId="1EFC3E0D" w14:textId="77777777" w:rsidR="003D0D99" w:rsidRPr="0075737F" w:rsidRDefault="003D0D99" w:rsidP="003D0D99">
      <w:pPr>
        <w:pStyle w:val="NormalWeb"/>
        <w:spacing w:line="276" w:lineRule="auto"/>
        <w:rPr>
          <w:rFonts w:asciiTheme="minorHAnsi" w:hAnsiTheme="minorHAnsi" w:cstheme="minorHAnsi"/>
          <w:sz w:val="22"/>
          <w:szCs w:val="22"/>
        </w:rPr>
      </w:pPr>
    </w:p>
    <w:p w14:paraId="4DE54047" w14:textId="77777777" w:rsidR="003D0D99" w:rsidRPr="0075737F" w:rsidRDefault="003D0D99" w:rsidP="003D0D99">
      <w:pPr>
        <w:spacing w:line="276" w:lineRule="auto"/>
        <w:rPr>
          <w:rFonts w:cstheme="minorHAnsi"/>
        </w:rPr>
      </w:pPr>
      <w:r w:rsidRPr="0075737F">
        <w:rPr>
          <w:rFonts w:cstheme="minorHAnsi"/>
        </w:rPr>
        <w:t>During my placement I had overall responsibility for the planning and preparation of my sessions, I was nervous initially when asked to do this and did question my ability to deliver quality sessions to students. To overcome this during the planning and preparation of the sessions I would draw upon the theory taught to me in my lectures and use research techniques to support my creations. To plan and prepare I utilised processes such as a scheme of work, lesson plans, mentor meetings, evaluations including students, to ensure that what I was delivering was suitable for the group and included the students learning outcomes.</w:t>
      </w:r>
    </w:p>
    <w:p w14:paraId="6EDFCF8A" w14:textId="77777777" w:rsidR="003D0D99" w:rsidRPr="0075737F" w:rsidRDefault="003D0D99" w:rsidP="003D0D99">
      <w:pPr>
        <w:spacing w:line="276" w:lineRule="auto"/>
        <w:rPr>
          <w:rFonts w:cstheme="minorHAnsi"/>
        </w:rPr>
      </w:pPr>
      <w:r w:rsidRPr="0075737F">
        <w:rPr>
          <w:rFonts w:cstheme="minorHAnsi"/>
        </w:rPr>
        <w:t xml:space="preserve">When designing the course content, I would draw upon contemporary learning theories to support my work. Action learning theory was one of my favourite to use to plan sessions. </w:t>
      </w:r>
      <w:bookmarkStart w:id="1" w:name="_Hlk515306877"/>
      <w:r w:rsidRPr="0075737F">
        <w:rPr>
          <w:rFonts w:cstheme="minorHAnsi"/>
        </w:rPr>
        <w:t>Action learning techniques have proved to have up to ninety percent retention</w:t>
      </w:r>
      <w:bookmarkEnd w:id="1"/>
      <w:r w:rsidRPr="0075737F">
        <w:rPr>
          <w:rFonts w:cstheme="minorHAnsi"/>
        </w:rPr>
        <w:t xml:space="preserve"> </w:t>
      </w:r>
      <w:sdt>
        <w:sdtPr>
          <w:rPr>
            <w:rFonts w:cstheme="minorHAnsi"/>
          </w:rPr>
          <w:id w:val="124429778"/>
          <w:citation/>
        </w:sdtPr>
        <w:sdtContent>
          <w:r w:rsidRPr="0075737F">
            <w:rPr>
              <w:rFonts w:cstheme="minorHAnsi"/>
            </w:rPr>
            <w:fldChar w:fldCharType="begin"/>
          </w:r>
          <w:r w:rsidRPr="0075737F">
            <w:rPr>
              <w:rFonts w:cstheme="minorHAnsi"/>
            </w:rPr>
            <w:instrText xml:space="preserve"> CITATION Ton18 \l 2057 </w:instrText>
          </w:r>
          <w:r w:rsidRPr="0075737F">
            <w:rPr>
              <w:rFonts w:cstheme="minorHAnsi"/>
            </w:rPr>
            <w:fldChar w:fldCharType="separate"/>
          </w:r>
          <w:r w:rsidRPr="0075737F">
            <w:rPr>
              <w:rFonts w:cstheme="minorHAnsi"/>
              <w:noProof/>
            </w:rPr>
            <w:t>(Tong, et al., 2018)</w:t>
          </w:r>
          <w:r w:rsidRPr="0075737F">
            <w:rPr>
              <w:rFonts w:cstheme="minorHAnsi"/>
            </w:rPr>
            <w:fldChar w:fldCharType="end"/>
          </w:r>
        </w:sdtContent>
      </w:sdt>
      <w:r w:rsidRPr="0075737F">
        <w:rPr>
          <w:rFonts w:cstheme="minorHAnsi"/>
        </w:rPr>
        <w:t xml:space="preserve">. People learn best when they engage in activities, such as reading, writing, discussion and problem solving. These of activities enhance skills in analyses, synthesis and evaluation of class content. Activities that promote the use of student senses are also beneficial to their learning, active learning methods are sensory based, the more sensory channels possible in interacting with a resource the better chance many students can learn from it. Research is also important to me as a teacher for the acquisition of subject knowledge, subject knowledge in health care, is subject to change, policies can be implemented at government level and it is up to me to make sure that I am aware, up to date and understand any changes that will affect the content that I teach. As well as researching through the literature I read, I also used observations, reflection and critical reflection to support my journey, these methods provided me with areas to improve or seek out new knowledge </w:t>
      </w:r>
      <w:sdt>
        <w:sdtPr>
          <w:rPr>
            <w:rFonts w:cstheme="minorHAnsi"/>
          </w:rPr>
          <w:id w:val="-568805823"/>
          <w:citation/>
        </w:sdtPr>
        <w:sdtContent>
          <w:r w:rsidRPr="0075737F">
            <w:rPr>
              <w:rFonts w:cstheme="minorHAnsi"/>
            </w:rPr>
            <w:fldChar w:fldCharType="begin"/>
          </w:r>
          <w:r w:rsidRPr="0075737F">
            <w:rPr>
              <w:rFonts w:cstheme="minorHAnsi"/>
            </w:rPr>
            <w:instrText xml:space="preserve"> CITATION Sus13 \l 2057 </w:instrText>
          </w:r>
          <w:r w:rsidRPr="0075737F">
            <w:rPr>
              <w:rFonts w:cstheme="minorHAnsi"/>
            </w:rPr>
            <w:fldChar w:fldCharType="separate"/>
          </w:r>
          <w:r w:rsidRPr="0075737F">
            <w:rPr>
              <w:rFonts w:cstheme="minorHAnsi"/>
              <w:noProof/>
            </w:rPr>
            <w:t>(Wallace, 2013)</w:t>
          </w:r>
          <w:r w:rsidRPr="0075737F">
            <w:rPr>
              <w:rFonts w:cstheme="minorHAnsi"/>
            </w:rPr>
            <w:fldChar w:fldCharType="end"/>
          </w:r>
        </w:sdtContent>
      </w:sdt>
      <w:r w:rsidRPr="0075737F">
        <w:rPr>
          <w:rFonts w:cstheme="minorHAnsi"/>
        </w:rPr>
        <w:t xml:space="preserve">. By the incorporation of further reading, observations, reflections and my critical reflections, I could design instructional activities that built upon real life situations, using examples from practice to support the theory in the classroom. I would attempt to show students real life experiences using YouTube and give and initiate discussion around real life experiences, in future when I am working on, creating or designing new content I aim to utilise far more real-life situations in my delivery. I would like to plan guest speakers, field trips, work placements and encourage learners to attend volunteering roles in the community where possible </w:t>
      </w:r>
      <w:sdt>
        <w:sdtPr>
          <w:rPr>
            <w:rFonts w:cstheme="minorHAnsi"/>
          </w:rPr>
          <w:id w:val="-470522453"/>
          <w:citation/>
        </w:sdtPr>
        <w:sdtContent>
          <w:r w:rsidRPr="0075737F">
            <w:rPr>
              <w:rFonts w:cstheme="minorHAnsi"/>
            </w:rPr>
            <w:fldChar w:fldCharType="begin"/>
          </w:r>
          <w:r w:rsidRPr="0075737F">
            <w:rPr>
              <w:rFonts w:cstheme="minorHAnsi"/>
            </w:rPr>
            <w:instrText xml:space="preserve"> CITATION Aru15 \l 2057 </w:instrText>
          </w:r>
          <w:r w:rsidRPr="0075737F">
            <w:rPr>
              <w:rFonts w:cstheme="minorHAnsi"/>
            </w:rPr>
            <w:fldChar w:fldCharType="separate"/>
          </w:r>
          <w:r w:rsidRPr="0075737F">
            <w:rPr>
              <w:rFonts w:cstheme="minorHAnsi"/>
              <w:noProof/>
            </w:rPr>
            <w:t>(Arubthnott &amp; Kratzis, 2015)</w:t>
          </w:r>
          <w:r w:rsidRPr="0075737F">
            <w:rPr>
              <w:rFonts w:cstheme="minorHAnsi"/>
            </w:rPr>
            <w:fldChar w:fldCharType="end"/>
          </w:r>
        </w:sdtContent>
      </w:sdt>
      <w:r w:rsidRPr="0075737F">
        <w:rPr>
          <w:rFonts w:cstheme="minorHAnsi"/>
        </w:rPr>
        <w:t xml:space="preserve">.  </w:t>
      </w:r>
    </w:p>
    <w:p w14:paraId="1B29C29E" w14:textId="77777777" w:rsidR="003D0D99" w:rsidRPr="0075737F" w:rsidRDefault="003D0D99" w:rsidP="003D0D99">
      <w:pPr>
        <w:spacing w:line="276" w:lineRule="auto"/>
        <w:rPr>
          <w:rFonts w:cstheme="minorHAnsi"/>
        </w:rPr>
      </w:pPr>
      <w:r w:rsidRPr="0075737F">
        <w:rPr>
          <w:rFonts w:cstheme="minorHAnsi"/>
        </w:rPr>
        <w:t xml:space="preserve">I would create content with Blooms Revised Taxonomy Framework (1956) in my mind, this provided me with some significant insight whilst planning and delivering my activities. Whilst designing the </w:t>
      </w:r>
      <w:r w:rsidRPr="0075737F">
        <w:rPr>
          <w:rFonts w:cstheme="minorHAnsi"/>
        </w:rPr>
        <w:lastRenderedPageBreak/>
        <w:t xml:space="preserve">activities I referred to the framework set out by Bloom (1956), which is useful tool for educators when designing the learning outcomes for their lessons. Blooms six levels can be used to structure the learning objectives, lessons and assessments within a course, module or lesson, this model guided my planning and designing but also how I delivered, whilst teaching I was always aware of the six levels and would adapt my style or make changes as I was delivering based on how much the students were paying attention and through questioning to test learning throughout the lessons </w:t>
      </w:r>
      <w:sdt>
        <w:sdtPr>
          <w:rPr>
            <w:rFonts w:cstheme="minorHAnsi"/>
          </w:rPr>
          <w:id w:val="-1963954609"/>
          <w:citation/>
        </w:sdtPr>
        <w:sdtContent>
          <w:r w:rsidRPr="0075737F">
            <w:rPr>
              <w:rFonts w:cstheme="minorHAnsi"/>
            </w:rPr>
            <w:fldChar w:fldCharType="begin"/>
          </w:r>
          <w:r w:rsidRPr="0075737F">
            <w:rPr>
              <w:rFonts w:cstheme="minorHAnsi"/>
            </w:rPr>
            <w:instrText xml:space="preserve"> CITATION JSh13 \l 2057 </w:instrText>
          </w:r>
          <w:r w:rsidRPr="0075737F">
            <w:rPr>
              <w:rFonts w:cstheme="minorHAnsi"/>
            </w:rPr>
            <w:fldChar w:fldCharType="separate"/>
          </w:r>
          <w:r w:rsidRPr="0075737F">
            <w:rPr>
              <w:rFonts w:cstheme="minorHAnsi"/>
              <w:noProof/>
            </w:rPr>
            <w:t>(Shabatu, 2013)</w:t>
          </w:r>
          <w:r w:rsidRPr="0075737F">
            <w:rPr>
              <w:rFonts w:cstheme="minorHAnsi"/>
            </w:rPr>
            <w:fldChar w:fldCharType="end"/>
          </w:r>
        </w:sdtContent>
      </w:sdt>
      <w:r w:rsidRPr="0075737F">
        <w:rPr>
          <w:rFonts w:cstheme="minorHAnsi"/>
        </w:rPr>
        <w:t>.</w:t>
      </w:r>
    </w:p>
    <w:p w14:paraId="2C1BE704" w14:textId="77777777" w:rsidR="003D0D99" w:rsidRPr="0075737F" w:rsidRDefault="003D0D99" w:rsidP="003D0D99">
      <w:pPr>
        <w:shd w:val="clear" w:color="auto" w:fill="FFFFFF"/>
        <w:spacing w:after="0" w:line="276" w:lineRule="auto"/>
        <w:jc w:val="both"/>
        <w:textAlignment w:val="baseline"/>
        <w:rPr>
          <w:rFonts w:eastAsia="Times New Roman" w:cstheme="minorHAnsi"/>
          <w:lang w:eastAsia="en-GB"/>
        </w:rPr>
      </w:pPr>
      <w:r w:rsidRPr="0075737F">
        <w:rPr>
          <w:rFonts w:eastAsia="Times New Roman" w:cstheme="minorHAnsi"/>
          <w:bCs/>
          <w:bdr w:val="none" w:sz="0" w:space="0" w:color="auto" w:frame="1"/>
          <w:lang w:eastAsia="en-GB"/>
        </w:rPr>
        <w:t xml:space="preserve">Like other taxonomies, Blooms is hierarchal, meaning that learning at the higher levels is dependent on having attained prerequisite knowledge and skills at lower levels. </w:t>
      </w:r>
      <w:r w:rsidRPr="0075737F">
        <w:rPr>
          <w:rFonts w:cstheme="minorHAnsi"/>
        </w:rPr>
        <w:t xml:space="preserve">During the placement I focussed on the higher order of thinking, this is based on the level of study the learners where at, and the level of work that they were assigned. The higher order of thinking, according to Bloom (1956) is analysing, this is to try and enable the students to make sense of what they are being taught and to link the content of lessons to their chosen profession through differentiating, organising and attributing to their professional field. Evaluating, during placement classroom content was linked to assignments, and it was through the assignments the higher order thinking would apply, assignments where based around students completing further reading in their subject, critiquing this and presenting it with a justification for the content that they had presented. Creating, this required students to be able to put all the elements from their learning experience together to form a coherent or functional whole, we achieved this for them by assigning further reading, experiences to participate in voluntary or community groups, talks and events to do with their practice and through designing tasks that encouraged this </w:t>
      </w:r>
      <w:sdt>
        <w:sdtPr>
          <w:rPr>
            <w:rFonts w:cstheme="minorHAnsi"/>
          </w:rPr>
          <w:id w:val="294656250"/>
          <w:citation/>
        </w:sdtPr>
        <w:sdtContent>
          <w:r w:rsidRPr="0075737F">
            <w:rPr>
              <w:rFonts w:cstheme="minorHAnsi"/>
            </w:rPr>
            <w:fldChar w:fldCharType="begin"/>
          </w:r>
          <w:r w:rsidRPr="0075737F">
            <w:rPr>
              <w:rFonts w:cstheme="minorHAnsi"/>
            </w:rPr>
            <w:instrText xml:space="preserve"> CITATION Sch11 \l 2057 </w:instrText>
          </w:r>
          <w:r w:rsidRPr="0075737F">
            <w:rPr>
              <w:rFonts w:cstheme="minorHAnsi"/>
            </w:rPr>
            <w:fldChar w:fldCharType="separate"/>
          </w:r>
          <w:r w:rsidRPr="0075737F">
            <w:rPr>
              <w:rFonts w:cstheme="minorHAnsi"/>
              <w:noProof/>
            </w:rPr>
            <w:t>(Schraw &amp; Robinson, 2011)</w:t>
          </w:r>
          <w:r w:rsidRPr="0075737F">
            <w:rPr>
              <w:rFonts w:cstheme="minorHAnsi"/>
            </w:rPr>
            <w:fldChar w:fldCharType="end"/>
          </w:r>
        </w:sdtContent>
      </w:sdt>
      <w:r w:rsidRPr="0075737F">
        <w:rPr>
          <w:rFonts w:cstheme="minorHAnsi"/>
        </w:rPr>
        <w:t>.</w:t>
      </w:r>
    </w:p>
    <w:p w14:paraId="457A4019" w14:textId="77777777" w:rsidR="003D0D99" w:rsidRPr="0075737F" w:rsidRDefault="003D0D99" w:rsidP="003D0D99">
      <w:pPr>
        <w:shd w:val="clear" w:color="auto" w:fill="FFFFFF"/>
        <w:spacing w:after="0" w:line="276" w:lineRule="auto"/>
        <w:textAlignment w:val="baseline"/>
        <w:rPr>
          <w:rFonts w:cstheme="minorHAnsi"/>
        </w:rPr>
      </w:pPr>
    </w:p>
    <w:p w14:paraId="7DF9C908" w14:textId="77777777" w:rsidR="003D0D99" w:rsidRPr="0075737F" w:rsidRDefault="003D0D99" w:rsidP="003D0D99">
      <w:pPr>
        <w:shd w:val="clear" w:color="auto" w:fill="FFFFFF"/>
        <w:spacing w:after="0" w:line="276" w:lineRule="auto"/>
        <w:textAlignment w:val="baseline"/>
        <w:rPr>
          <w:rFonts w:eastAsia="Times New Roman" w:cstheme="minorHAnsi"/>
          <w:lang w:eastAsia="en-GB"/>
        </w:rPr>
      </w:pPr>
      <w:r w:rsidRPr="0075737F">
        <w:rPr>
          <w:rFonts w:cstheme="minorHAnsi"/>
        </w:rPr>
        <w:t xml:space="preserve">The benefits of using this framework to guide my design resulted in me being able to establish a teaching method that linked to the learning objectives. I could organize the objectives well within my delivery of information which provided myself and the learners with clarity and a clear structure, as well as enabled me to plan and deliver the activities, design appropriate assessment tasks and ensured that the activities and assessments were in line with the learning objectives that had been set at the beginning of the session. Using Blooms taxonomy was also useful when I would design ways of measuring students understanding, I would design my questioning, assessment strategies and small group work based on the higher order of thinking and the learning outcomes to ensure that I was achieving these, and to prepare to make changes in future to lesson plans and classroom activities </w:t>
      </w:r>
      <w:sdt>
        <w:sdtPr>
          <w:rPr>
            <w:rFonts w:cstheme="minorHAnsi"/>
          </w:rPr>
          <w:id w:val="1534453626"/>
          <w:citation/>
        </w:sdtPr>
        <w:sdtContent>
          <w:r w:rsidRPr="0075737F">
            <w:rPr>
              <w:rFonts w:cstheme="minorHAnsi"/>
            </w:rPr>
            <w:fldChar w:fldCharType="begin"/>
          </w:r>
          <w:r w:rsidRPr="0075737F">
            <w:rPr>
              <w:rFonts w:cstheme="minorHAnsi"/>
            </w:rPr>
            <w:instrText xml:space="preserve"> CITATION Mik15 \l 2057 </w:instrText>
          </w:r>
          <w:r w:rsidRPr="0075737F">
            <w:rPr>
              <w:rFonts w:cstheme="minorHAnsi"/>
            </w:rPr>
            <w:fldChar w:fldCharType="separate"/>
          </w:r>
          <w:r w:rsidRPr="0075737F">
            <w:rPr>
              <w:rFonts w:cstheme="minorHAnsi"/>
              <w:noProof/>
            </w:rPr>
            <w:t>(Gershon, 2015)</w:t>
          </w:r>
          <w:r w:rsidRPr="0075737F">
            <w:rPr>
              <w:rFonts w:cstheme="minorHAnsi"/>
            </w:rPr>
            <w:fldChar w:fldCharType="end"/>
          </w:r>
        </w:sdtContent>
      </w:sdt>
      <w:r w:rsidRPr="0075737F">
        <w:rPr>
          <w:rFonts w:cstheme="minorHAnsi"/>
        </w:rPr>
        <w:t>.</w:t>
      </w:r>
    </w:p>
    <w:p w14:paraId="72A242D2" w14:textId="77777777" w:rsidR="003D0D99" w:rsidRPr="0075737F" w:rsidRDefault="003D0D99" w:rsidP="003D0D99">
      <w:pPr>
        <w:spacing w:line="276" w:lineRule="auto"/>
        <w:rPr>
          <w:rFonts w:cstheme="minorHAnsi"/>
        </w:rPr>
      </w:pPr>
    </w:p>
    <w:p w14:paraId="55EA6980" w14:textId="77777777" w:rsidR="003D0D99" w:rsidRPr="0075737F" w:rsidRDefault="003D0D99" w:rsidP="003D0D99">
      <w:pPr>
        <w:spacing w:line="276" w:lineRule="auto"/>
        <w:rPr>
          <w:rFonts w:cstheme="minorHAnsi"/>
        </w:rPr>
      </w:pPr>
      <w:r w:rsidRPr="0075737F">
        <w:rPr>
          <w:rFonts w:cstheme="minorHAnsi"/>
        </w:rPr>
        <w:t xml:space="preserve">To enhance my learners experience of my sessions I incorporated knowledge from Kolb (1974) who devised a learning cycle based on the idea that learning was a process, and that learning was based on the learner’s experience </w:t>
      </w:r>
      <w:sdt>
        <w:sdtPr>
          <w:rPr>
            <w:rFonts w:cstheme="minorHAnsi"/>
          </w:rPr>
          <w:id w:val="1057822615"/>
          <w:citation/>
        </w:sdtPr>
        <w:sdtContent>
          <w:r w:rsidRPr="0075737F">
            <w:rPr>
              <w:rFonts w:cstheme="minorHAnsi"/>
            </w:rPr>
            <w:fldChar w:fldCharType="begin"/>
          </w:r>
          <w:r w:rsidRPr="0075737F">
            <w:rPr>
              <w:rFonts w:cstheme="minorHAnsi"/>
            </w:rPr>
            <w:instrText xml:space="preserve"> CITATION Sau17 \l 2057 </w:instrText>
          </w:r>
          <w:r w:rsidRPr="0075737F">
            <w:rPr>
              <w:rFonts w:cstheme="minorHAnsi"/>
            </w:rPr>
            <w:fldChar w:fldCharType="separate"/>
          </w:r>
          <w:r w:rsidRPr="0075737F">
            <w:rPr>
              <w:rFonts w:cstheme="minorHAnsi"/>
              <w:noProof/>
            </w:rPr>
            <w:t>(Mcleod, 2017)</w:t>
          </w:r>
          <w:r w:rsidRPr="0075737F">
            <w:rPr>
              <w:rFonts w:cstheme="minorHAnsi"/>
            </w:rPr>
            <w:fldChar w:fldCharType="end"/>
          </w:r>
        </w:sdtContent>
      </w:sdt>
      <w:r w:rsidRPr="0075737F">
        <w:rPr>
          <w:rFonts w:cstheme="minorHAnsi"/>
        </w:rPr>
        <w:t xml:space="preserve">. I was keen to deliver sessions where learners had a task to complete, the idea that they had a concrete experience related to the subject knowledge would mean that they were more likely to remember what was being taught. I would after each element of my sessions ask learners to reflect on what they had learned, I would ask them to feedback what we had done, heard, seen or learned and ask them how it was relevant to Nursing, for example when delivering sessions on research I would initiate discussions about how research was relevant in the Nursing industry, I would support this with evidence from practice, usually through YouTube where I could demonstrate real life experiences and case studies from patients and health care staff. Quite often I would also use examples from practice to show the learners, for example when teaching </w:t>
      </w:r>
      <w:r w:rsidRPr="0075737F">
        <w:rPr>
          <w:rFonts w:cstheme="minorHAnsi"/>
        </w:rPr>
        <w:lastRenderedPageBreak/>
        <w:t xml:space="preserve">research, I used studies from Swansea and on conditions that I know some of the learners had experienced. I would always try and set a homework task, asking learners to go and discover more, find out further information about what we had discussed or try and experience what we had just learned. </w:t>
      </w:r>
    </w:p>
    <w:p w14:paraId="1CDE2D0B" w14:textId="77777777" w:rsidR="003D0D99" w:rsidRPr="0075737F" w:rsidRDefault="003D0D99" w:rsidP="003D0D99">
      <w:pPr>
        <w:spacing w:line="276" w:lineRule="auto"/>
        <w:rPr>
          <w:rFonts w:cstheme="minorHAnsi"/>
        </w:rPr>
      </w:pPr>
      <w:r w:rsidRPr="0075737F">
        <w:rPr>
          <w:rFonts w:cstheme="minorHAnsi"/>
        </w:rPr>
        <w:t xml:space="preserve">To enhance my teaching and the students learning I drew upon other models to support this, Kolb (1974) views learning as an integrated process with each stage being mutually supportive of and feeding into the next </w:t>
      </w:r>
      <w:sdt>
        <w:sdtPr>
          <w:rPr>
            <w:rFonts w:cstheme="minorHAnsi"/>
          </w:rPr>
          <w:id w:val="739825342"/>
          <w:citation/>
        </w:sdtPr>
        <w:sdtContent>
          <w:r w:rsidRPr="0075737F">
            <w:rPr>
              <w:rFonts w:cstheme="minorHAnsi"/>
            </w:rPr>
            <w:fldChar w:fldCharType="begin"/>
          </w:r>
          <w:r w:rsidRPr="0075737F">
            <w:rPr>
              <w:rFonts w:cstheme="minorHAnsi"/>
            </w:rPr>
            <w:instrText xml:space="preserve"> CITATION Dav15 \l 2057 </w:instrText>
          </w:r>
          <w:r w:rsidRPr="0075737F">
            <w:rPr>
              <w:rFonts w:cstheme="minorHAnsi"/>
            </w:rPr>
            <w:fldChar w:fldCharType="separate"/>
          </w:r>
          <w:r w:rsidRPr="0075737F">
            <w:rPr>
              <w:rFonts w:cstheme="minorHAnsi"/>
              <w:noProof/>
            </w:rPr>
            <w:t>(Kolb, 2015)</w:t>
          </w:r>
          <w:r w:rsidRPr="0075737F">
            <w:rPr>
              <w:rFonts w:cstheme="minorHAnsi"/>
            </w:rPr>
            <w:fldChar w:fldCharType="end"/>
          </w:r>
        </w:sdtContent>
      </w:sdt>
      <w:r w:rsidRPr="0075737F">
        <w:rPr>
          <w:rFonts w:cstheme="minorHAnsi"/>
        </w:rPr>
        <w:t xml:space="preserve">. According to Kolb, experiences within education from classroom activities to previous and future knowledge and experience have a significant impact on how well learners learn </w:t>
      </w:r>
      <w:sdt>
        <w:sdtPr>
          <w:rPr>
            <w:rFonts w:cstheme="minorHAnsi"/>
          </w:rPr>
          <w:id w:val="1593202636"/>
          <w:citation/>
        </w:sdtPr>
        <w:sdtContent>
          <w:r w:rsidRPr="0075737F">
            <w:rPr>
              <w:rFonts w:cstheme="minorHAnsi"/>
            </w:rPr>
            <w:fldChar w:fldCharType="begin"/>
          </w:r>
          <w:r w:rsidRPr="0075737F">
            <w:rPr>
              <w:rFonts w:cstheme="minorHAnsi"/>
            </w:rPr>
            <w:instrText xml:space="preserve"> CITATION Fry15 \l 2057 </w:instrText>
          </w:r>
          <w:r w:rsidRPr="0075737F">
            <w:rPr>
              <w:rFonts w:cstheme="minorHAnsi"/>
            </w:rPr>
            <w:fldChar w:fldCharType="separate"/>
          </w:r>
          <w:r w:rsidRPr="0075737F">
            <w:rPr>
              <w:rFonts w:cstheme="minorHAnsi"/>
              <w:noProof/>
            </w:rPr>
            <w:t>(Fry, et al., 2015)</w:t>
          </w:r>
          <w:r w:rsidRPr="0075737F">
            <w:rPr>
              <w:rFonts w:cstheme="minorHAnsi"/>
            </w:rPr>
            <w:fldChar w:fldCharType="end"/>
          </w:r>
        </w:sdtContent>
      </w:sdt>
      <w:r w:rsidRPr="0075737F">
        <w:rPr>
          <w:rFonts w:cstheme="minorHAnsi"/>
        </w:rPr>
        <w:t xml:space="preserve"> . I tried to incorporate as many different tasks alongside the theory being taught to enhance the learning of students. I would also make enquiries into student’s previous knowledge and utilise this, this was of particular interest and use in class discussions and group work. Kolb’s Learning cycle can also support when planning and designing sessions for varied learning styles  Learning styles are presented by Honey and Mumford and can work well with the use of Kolb’s learning cycle for planning and delivering a variety of teaching strategies that will include learners varied learning styles </w:t>
      </w:r>
      <w:sdt>
        <w:sdtPr>
          <w:rPr>
            <w:rFonts w:cstheme="minorHAnsi"/>
          </w:rPr>
          <w:id w:val="-1753731680"/>
          <w:citation/>
        </w:sdtPr>
        <w:sdtContent>
          <w:r w:rsidRPr="0075737F">
            <w:rPr>
              <w:rFonts w:cstheme="minorHAnsi"/>
            </w:rPr>
            <w:fldChar w:fldCharType="begin"/>
          </w:r>
          <w:r w:rsidRPr="0075737F">
            <w:rPr>
              <w:rFonts w:cstheme="minorHAnsi"/>
            </w:rPr>
            <w:instrText xml:space="preserve"> CITATION Rol12 \l 2057 </w:instrText>
          </w:r>
          <w:r w:rsidRPr="0075737F">
            <w:rPr>
              <w:rFonts w:cstheme="minorHAnsi"/>
            </w:rPr>
            <w:fldChar w:fldCharType="separate"/>
          </w:r>
          <w:r w:rsidRPr="0075737F">
            <w:rPr>
              <w:rFonts w:cstheme="minorHAnsi"/>
              <w:noProof/>
            </w:rPr>
            <w:t>(Rolfe &amp; Cheek, 2012)</w:t>
          </w:r>
          <w:r w:rsidRPr="0075737F">
            <w:rPr>
              <w:rFonts w:cstheme="minorHAnsi"/>
            </w:rPr>
            <w:fldChar w:fldCharType="end"/>
          </w:r>
        </w:sdtContent>
      </w:sdt>
      <w:r w:rsidRPr="0075737F">
        <w:rPr>
          <w:rFonts w:cstheme="minorHAnsi"/>
        </w:rPr>
        <w:t xml:space="preserve">. To compliment Kolb’s cycle, the use of a learning assessment model, such as Honey and Mumford learning styles can be implemented into teaching practice. The styles are based upon the work of Kolb and using a questionnaire can support in the identification of distinct learning styles or strong preferences </w:t>
      </w:r>
      <w:sdt>
        <w:sdtPr>
          <w:rPr>
            <w:rFonts w:cstheme="minorHAnsi"/>
          </w:rPr>
          <w:id w:val="-1211414163"/>
          <w:citation/>
        </w:sdtPr>
        <w:sdtContent>
          <w:r w:rsidRPr="0075737F">
            <w:rPr>
              <w:rFonts w:cstheme="minorHAnsi"/>
            </w:rPr>
            <w:fldChar w:fldCharType="begin"/>
          </w:r>
          <w:r w:rsidRPr="0075737F">
            <w:rPr>
              <w:rFonts w:cstheme="minorHAnsi"/>
            </w:rPr>
            <w:instrText xml:space="preserve"> CITATION Rom09 \l 2057 </w:instrText>
          </w:r>
          <w:r w:rsidRPr="0075737F">
            <w:rPr>
              <w:rFonts w:cstheme="minorHAnsi"/>
            </w:rPr>
            <w:fldChar w:fldCharType="separate"/>
          </w:r>
          <w:r w:rsidRPr="0075737F">
            <w:rPr>
              <w:rFonts w:cstheme="minorHAnsi"/>
              <w:noProof/>
            </w:rPr>
            <w:t>(Romanelli, et al., 2009)</w:t>
          </w:r>
          <w:r w:rsidRPr="0075737F">
            <w:rPr>
              <w:rFonts w:cstheme="minorHAnsi"/>
            </w:rPr>
            <w:fldChar w:fldCharType="end"/>
          </w:r>
        </w:sdtContent>
      </w:sdt>
      <w:r w:rsidRPr="0075737F">
        <w:rPr>
          <w:rFonts w:cstheme="minorHAnsi"/>
        </w:rPr>
        <w:t xml:space="preserve">. Within my placement I had very little opportunity to identify each learners style. In most cases I would apply some of my knowledge about the styles and ask questions to try and ascertain what they would be in an indirect way, I usually did this when I noticed someone who was not performing as well or may be very quiet in lessons, to ascertain if there were environmental or resource issues so that I could recommend different ways to approach their learning with them. </w:t>
      </w:r>
    </w:p>
    <w:p w14:paraId="1272B4CC" w14:textId="77777777" w:rsidR="003D0D99" w:rsidRPr="0075737F" w:rsidRDefault="003D0D99" w:rsidP="003D0D99">
      <w:pPr>
        <w:spacing w:line="276" w:lineRule="auto"/>
        <w:rPr>
          <w:rFonts w:cstheme="minorHAnsi"/>
        </w:rPr>
      </w:pPr>
      <w:r w:rsidRPr="0075737F">
        <w:rPr>
          <w:rFonts w:cstheme="minorHAnsi"/>
        </w:rPr>
        <w:t xml:space="preserve">Learning styles are essentially going to be a significant element for my teaching practice. These will in future support in the planning and organising of appropriate literature and teaching methods. The recognition of these will enhance the activities that I create and support me to develop appropriate assessments to measure student learning in my sessions, it is disappointing that during my placement, learning styles where not identified or considered as part of the modules or units. </w:t>
      </w:r>
    </w:p>
    <w:p w14:paraId="558EB99E" w14:textId="77777777" w:rsidR="003D0D99" w:rsidRPr="0075737F" w:rsidRDefault="003D0D99" w:rsidP="003D0D99">
      <w:pPr>
        <w:pStyle w:val="NormalWeb"/>
        <w:spacing w:line="276" w:lineRule="auto"/>
        <w:rPr>
          <w:rFonts w:asciiTheme="minorHAnsi" w:hAnsiTheme="minorHAnsi" w:cstheme="minorHAnsi"/>
          <w:sz w:val="22"/>
          <w:szCs w:val="22"/>
        </w:rPr>
      </w:pPr>
      <w:r w:rsidRPr="0075737F">
        <w:rPr>
          <w:rFonts w:asciiTheme="minorHAnsi" w:hAnsiTheme="minorHAnsi" w:cstheme="minorHAnsi"/>
          <w:sz w:val="22"/>
          <w:szCs w:val="22"/>
        </w:rPr>
        <w:t>By implementing all that I have learned through my taught sessions, I was able to build upon my confidence as a teacher and inspire and motivate learners to learn. I also feel that incorporating these theories into my practice created meaningful sessions whereby the learners felt they were supported, this they were able to construct their own knowledge and present this in formative and summative assessments during the placement period. The use of all that I have learned has also enabled my own learning to improve, I have become a reflective practitioner and am always looking at ways to improve myself and my practice and through opportunities for my continuous development through training.</w:t>
      </w:r>
    </w:p>
    <w:p w14:paraId="5F73D57D" w14:textId="77777777" w:rsidR="003D0D99" w:rsidRPr="0075737F" w:rsidRDefault="003D0D99" w:rsidP="003D0D99">
      <w:pPr>
        <w:pStyle w:val="NormalWeb"/>
        <w:spacing w:line="276" w:lineRule="auto"/>
        <w:rPr>
          <w:rFonts w:asciiTheme="minorHAnsi" w:hAnsiTheme="minorHAnsi" w:cstheme="minorHAnsi"/>
          <w:sz w:val="22"/>
          <w:szCs w:val="22"/>
        </w:rPr>
      </w:pPr>
    </w:p>
    <w:p w14:paraId="79D1F63F" w14:textId="77777777" w:rsidR="003D0D99" w:rsidRPr="0075737F" w:rsidRDefault="003D0D99" w:rsidP="003D0D99">
      <w:pPr>
        <w:pStyle w:val="NormalWeb"/>
        <w:spacing w:line="276" w:lineRule="auto"/>
        <w:rPr>
          <w:rFonts w:asciiTheme="minorHAnsi" w:hAnsiTheme="minorHAnsi" w:cstheme="minorHAnsi"/>
          <w:sz w:val="22"/>
          <w:szCs w:val="22"/>
        </w:rPr>
      </w:pPr>
      <w:r w:rsidRPr="0075737F">
        <w:rPr>
          <w:rFonts w:asciiTheme="minorHAnsi" w:hAnsiTheme="minorHAnsi" w:cstheme="minorHAnsi"/>
          <w:sz w:val="22"/>
          <w:szCs w:val="22"/>
        </w:rPr>
        <w:t xml:space="preserve">When working within higher education it became apparent that the way we deliver sessions and treat learners is very important. I recognised early on that class management and control was linked to the content of my sessions. Learners became disinterested and would discuss amongst themselves if I was delivering presentations for a long period. It was through this recognition of </w:t>
      </w:r>
      <w:r w:rsidRPr="0075737F">
        <w:rPr>
          <w:rFonts w:asciiTheme="minorHAnsi" w:hAnsiTheme="minorHAnsi" w:cstheme="minorHAnsi"/>
          <w:sz w:val="22"/>
          <w:szCs w:val="22"/>
        </w:rPr>
        <w:lastRenderedPageBreak/>
        <w:t xml:space="preserve">patterns of behaviour that I implemented within my own practice different strategies, such as andragogy approach, andragogy is considered an approach well suited to the adult learner, it describes adult learning as the science and practice of adult learning </w:t>
      </w:r>
      <w:sdt>
        <w:sdtPr>
          <w:rPr>
            <w:rFonts w:asciiTheme="minorHAnsi" w:hAnsiTheme="minorHAnsi" w:cstheme="minorHAnsi"/>
            <w:sz w:val="22"/>
            <w:szCs w:val="22"/>
          </w:rPr>
          <w:id w:val="-1050615382"/>
          <w:citation/>
        </w:sdtPr>
        <w:sdtContent>
          <w:r w:rsidRPr="0075737F">
            <w:rPr>
              <w:rFonts w:asciiTheme="minorHAnsi" w:hAnsiTheme="minorHAnsi" w:cstheme="minorHAnsi"/>
              <w:sz w:val="22"/>
              <w:szCs w:val="22"/>
            </w:rPr>
            <w:fldChar w:fldCharType="begin"/>
          </w:r>
          <w:r w:rsidRPr="0075737F">
            <w:rPr>
              <w:rFonts w:asciiTheme="minorHAnsi" w:hAnsiTheme="minorHAnsi" w:cstheme="minorHAnsi"/>
              <w:sz w:val="22"/>
              <w:szCs w:val="22"/>
            </w:rPr>
            <w:instrText xml:space="preserve"> CITATION Ste171 \l 2057 </w:instrText>
          </w:r>
          <w:r w:rsidRPr="0075737F">
            <w:rPr>
              <w:rFonts w:asciiTheme="minorHAnsi" w:hAnsiTheme="minorHAnsi" w:cstheme="minorHAnsi"/>
              <w:sz w:val="22"/>
              <w:szCs w:val="22"/>
            </w:rPr>
            <w:fldChar w:fldCharType="separate"/>
          </w:r>
          <w:r w:rsidRPr="0075737F">
            <w:rPr>
              <w:rFonts w:asciiTheme="minorHAnsi" w:hAnsiTheme="minorHAnsi" w:cstheme="minorHAnsi"/>
              <w:noProof/>
              <w:sz w:val="22"/>
              <w:szCs w:val="22"/>
            </w:rPr>
            <w:t>(Graham, 2017)</w:t>
          </w:r>
          <w:r w:rsidRPr="0075737F">
            <w:rPr>
              <w:rFonts w:asciiTheme="minorHAnsi" w:hAnsiTheme="minorHAnsi" w:cstheme="minorHAnsi"/>
              <w:sz w:val="22"/>
              <w:szCs w:val="22"/>
            </w:rPr>
            <w:fldChar w:fldCharType="end"/>
          </w:r>
        </w:sdtContent>
      </w:sdt>
      <w:r w:rsidRPr="0075737F">
        <w:rPr>
          <w:rFonts w:asciiTheme="minorHAnsi" w:hAnsiTheme="minorHAnsi" w:cstheme="minorHAnsi"/>
          <w:sz w:val="22"/>
          <w:szCs w:val="22"/>
        </w:rPr>
        <w:t>.</w:t>
      </w:r>
    </w:p>
    <w:p w14:paraId="06E0C6ED" w14:textId="77777777" w:rsidR="003D0D99" w:rsidRPr="00782721" w:rsidRDefault="003D0D99" w:rsidP="003D0D99">
      <w:pPr>
        <w:pStyle w:val="NormalWeb"/>
        <w:spacing w:line="276" w:lineRule="auto"/>
        <w:rPr>
          <w:rFonts w:asciiTheme="minorHAnsi" w:hAnsiTheme="minorHAnsi" w:cstheme="minorHAnsi"/>
        </w:rPr>
      </w:pPr>
    </w:p>
    <w:p w14:paraId="783C2545" w14:textId="77777777" w:rsidR="003D0D99" w:rsidRPr="00782721" w:rsidRDefault="003D0D99" w:rsidP="003D0D99">
      <w:r w:rsidRPr="00782721">
        <w:rPr>
          <w:rFonts w:cstheme="minorHAnsi"/>
        </w:rPr>
        <w:t>Observations of other educators where also helpful in determining how I would manage classrooms and gain control, somewhere good examples and others I feel demonstrated a loss of control when trying to ge</w:t>
      </w:r>
      <w:r>
        <w:rPr>
          <w:rFonts w:cstheme="minorHAnsi"/>
        </w:rPr>
        <w:t>t the attention of classes of forty</w:t>
      </w:r>
      <w:r w:rsidRPr="00782721">
        <w:rPr>
          <w:rFonts w:cstheme="minorHAnsi"/>
        </w:rPr>
        <w:t xml:space="preserve"> plus students, </w:t>
      </w:r>
      <w:r>
        <w:rPr>
          <w:rFonts w:cstheme="minorHAnsi"/>
        </w:rPr>
        <w:t>the examples of practice that I felt were not of value, made me feel uncomfortable and nervous to implement new concepts and ideas</w:t>
      </w:r>
      <w:r w:rsidRPr="00782721">
        <w:rPr>
          <w:rFonts w:cstheme="minorHAnsi"/>
        </w:rPr>
        <w:t>,</w:t>
      </w:r>
      <w:r>
        <w:rPr>
          <w:rFonts w:cstheme="minorHAnsi"/>
        </w:rPr>
        <w:t xml:space="preserve"> however,</w:t>
      </w:r>
      <w:r w:rsidRPr="00782721">
        <w:rPr>
          <w:rFonts w:cstheme="minorHAnsi"/>
        </w:rPr>
        <w:t xml:space="preserve"> ultimately they were very useful in my reflections and during my mentor meetings as they provided me with a varied perspective of teaching which I was able to reflect upon and create my own goals in these situations. </w:t>
      </w:r>
      <w:r w:rsidRPr="00782721">
        <w:t xml:space="preserve">Teaching in </w:t>
      </w:r>
      <w:r>
        <w:t>an andragogy approach</w:t>
      </w:r>
      <w:r w:rsidRPr="00782721">
        <w:t xml:space="preserve"> should prepare learners to become more self-directed and self-determined, an</w:t>
      </w:r>
      <w:r>
        <w:t>d</w:t>
      </w:r>
      <w:r w:rsidRPr="00782721">
        <w:t xml:space="preserve"> </w:t>
      </w:r>
      <w:r>
        <w:t>support</w:t>
      </w:r>
      <w:r w:rsidRPr="00782721">
        <w:t xml:space="preserve"> learner to reflect upon what they have learned and support them to teach themselves</w:t>
      </w:r>
      <w:r>
        <w:t>, I feel that this requires high levels of respect for individual’s differences, their varied styles of learning and of significant importance their previous knowledge and experience. By incorporating these elements into classroom sessions, I am creating a shared learning environment that encourages, supports and enables growth amongst learners</w:t>
      </w:r>
      <w:r w:rsidRPr="00782721">
        <w:t xml:space="preserve"> </w:t>
      </w:r>
      <w:sdt>
        <w:sdtPr>
          <w:id w:val="-1665458810"/>
          <w:citation/>
        </w:sdtPr>
        <w:sdtContent>
          <w:r w:rsidRPr="00782721">
            <w:fldChar w:fldCharType="begin"/>
          </w:r>
          <w:r w:rsidRPr="00782721">
            <w:instrText xml:space="preserve"> CITATION Bla12 \l 2057 </w:instrText>
          </w:r>
          <w:r w:rsidRPr="00782721">
            <w:fldChar w:fldCharType="separate"/>
          </w:r>
          <w:r w:rsidRPr="00782721">
            <w:rPr>
              <w:noProof/>
            </w:rPr>
            <w:t>(Blaschke, 2012)</w:t>
          </w:r>
          <w:r w:rsidRPr="00782721">
            <w:fldChar w:fldCharType="end"/>
          </w:r>
        </w:sdtContent>
      </w:sdt>
      <w:r>
        <w:t>.</w:t>
      </w:r>
    </w:p>
    <w:p w14:paraId="366ECA98" w14:textId="77777777" w:rsidR="003D0D99" w:rsidRPr="00782721" w:rsidRDefault="003D0D99" w:rsidP="003D0D99">
      <w:r w:rsidRPr="00782721">
        <w:t xml:space="preserve">During the planning of my sessions </w:t>
      </w:r>
      <w:r>
        <w:t>I would ensure that I was drawing upon</w:t>
      </w:r>
      <w:r w:rsidRPr="00782721">
        <w:t xml:space="preserve"> andragogy</w:t>
      </w:r>
      <w:r>
        <w:t xml:space="preserve"> to support me in the creation of resources and activities</w:t>
      </w:r>
      <w:r w:rsidRPr="00782721">
        <w:t>. Andragogy,</w:t>
      </w:r>
      <w:r>
        <w:t xml:space="preserve"> is the science and practice of adult learning, a self-directed approach to teaching and supporting</w:t>
      </w:r>
      <w:r w:rsidRPr="00782721">
        <w:t xml:space="preserve"> adult learners and their education </w:t>
      </w:r>
      <w:sdt>
        <w:sdtPr>
          <w:id w:val="-683899987"/>
          <w:citation/>
        </w:sdtPr>
        <w:sdtContent>
          <w:r w:rsidRPr="00782721">
            <w:fldChar w:fldCharType="begin"/>
          </w:r>
          <w:r w:rsidRPr="00782721">
            <w:instrText xml:space="preserve"> CITATION Mat17 \l 2057 </w:instrText>
          </w:r>
          <w:r w:rsidRPr="00782721">
            <w:fldChar w:fldCharType="separate"/>
          </w:r>
          <w:r w:rsidRPr="00782721">
            <w:rPr>
              <w:noProof/>
            </w:rPr>
            <w:t>(Smith, 2017)</w:t>
          </w:r>
          <w:r w:rsidRPr="00782721">
            <w:fldChar w:fldCharType="end"/>
          </w:r>
        </w:sdtContent>
      </w:sdt>
      <w:r w:rsidRPr="00782721">
        <w:t xml:space="preserve">. Knowles (1978) </w:t>
      </w:r>
      <w:r>
        <w:t>introduced</w:t>
      </w:r>
      <w:r w:rsidRPr="00782721">
        <w:t xml:space="preserve"> andragogy </w:t>
      </w:r>
      <w:r>
        <w:t>into teaching practice and described the process as having the following</w:t>
      </w:r>
      <w:r w:rsidRPr="00782721">
        <w:t xml:space="preserve"> characteristics; self-control and self-responsibility in learning, learner defined- where learners created their own aims and objectives, a problem-solving approach, self-directed study, intrinsic and the incorporation of the learner’s experiences to support learning </w:t>
      </w:r>
      <w:sdt>
        <w:sdtPr>
          <w:id w:val="1713533423"/>
          <w:citation/>
        </w:sdtPr>
        <w:sdtContent>
          <w:r w:rsidRPr="00782721">
            <w:fldChar w:fldCharType="begin"/>
          </w:r>
          <w:r w:rsidRPr="00782721">
            <w:instrText xml:space="preserve"> CITATION Bla12 \l 2057 </w:instrText>
          </w:r>
          <w:r w:rsidRPr="00782721">
            <w:fldChar w:fldCharType="separate"/>
          </w:r>
          <w:r w:rsidRPr="00782721">
            <w:rPr>
              <w:noProof/>
            </w:rPr>
            <w:t>(Blaschke, 2012)</w:t>
          </w:r>
          <w:r w:rsidRPr="00782721">
            <w:fldChar w:fldCharType="end"/>
          </w:r>
        </w:sdtContent>
      </w:sdt>
      <w:r w:rsidRPr="00782721">
        <w:t>.</w:t>
      </w:r>
    </w:p>
    <w:p w14:paraId="535EECE1" w14:textId="77777777" w:rsidR="003D0D99" w:rsidRPr="00782721" w:rsidRDefault="003D0D99" w:rsidP="003D0D99">
      <w:r w:rsidRPr="00782721">
        <w:t xml:space="preserve">“A process in which individuals take the initiative, with or without the help of others in diagnosing their learning needs, formulating learning goals, identifying human material resources for learning, choosing and implementing appropriate learning strategies and evaluating learning outcomes” </w:t>
      </w:r>
      <w:sdt>
        <w:sdtPr>
          <w:id w:val="-1406300495"/>
          <w:citation/>
        </w:sdtPr>
        <w:sdtContent>
          <w:r w:rsidRPr="00782721">
            <w:fldChar w:fldCharType="begin"/>
          </w:r>
          <w:r w:rsidRPr="00782721">
            <w:instrText xml:space="preserve"> CITATION Man07 \l 2057 </w:instrText>
          </w:r>
          <w:r w:rsidRPr="00782721">
            <w:fldChar w:fldCharType="separate"/>
          </w:r>
          <w:r w:rsidRPr="00782721">
            <w:rPr>
              <w:noProof/>
            </w:rPr>
            <w:t>(Manning, 2007)</w:t>
          </w:r>
          <w:r w:rsidRPr="00782721">
            <w:fldChar w:fldCharType="end"/>
          </w:r>
        </w:sdtContent>
      </w:sdt>
      <w:r w:rsidRPr="00782721">
        <w:t>.</w:t>
      </w:r>
    </w:p>
    <w:p w14:paraId="7BB24E66" w14:textId="77777777" w:rsidR="003D0D99" w:rsidRPr="00782721" w:rsidRDefault="003D0D99" w:rsidP="003D0D99">
      <w:r>
        <w:t>As an educator supporting t</w:t>
      </w:r>
      <w:r w:rsidRPr="00782721">
        <w:t>he goals of self-directed learning</w:t>
      </w:r>
      <w:r>
        <w:t xml:space="preserve"> through a coaching and mentoring approach. Some of the key characteristics of an educators role would be to</w:t>
      </w:r>
      <w:r w:rsidRPr="00782721">
        <w:t xml:space="preserve"> </w:t>
      </w:r>
      <w:r>
        <w:t>help</w:t>
      </w:r>
      <w:r w:rsidRPr="00782721">
        <w:t xml:space="preserve"> learners develop their own capacity to direct their own learning process, this is achieved by supporting them through the transformational approach to learning and promoting opportunities for real life situations, experiential learning and learning through social action and action research, this enables leaners to become more reflective and apply reflection to life experiences that relates to their perception, beliefs and lifestyle and enhances the enquiry within them, resulting in students becoming more independent in their study and continuing their learning by accessing further reading and experiences to achieve their goals. </w:t>
      </w:r>
      <w:sdt>
        <w:sdtPr>
          <w:id w:val="1367639932"/>
          <w:citation/>
        </w:sdtPr>
        <w:sdtContent>
          <w:r w:rsidRPr="00782721">
            <w:fldChar w:fldCharType="begin"/>
          </w:r>
          <w:r w:rsidRPr="00782721">
            <w:instrText xml:space="preserve"> CITATION Bla12 \l 2057 </w:instrText>
          </w:r>
          <w:r w:rsidRPr="00782721">
            <w:fldChar w:fldCharType="separate"/>
          </w:r>
          <w:r w:rsidRPr="00782721">
            <w:rPr>
              <w:noProof/>
            </w:rPr>
            <w:t>(Blaschke, 2012)</w:t>
          </w:r>
          <w:r w:rsidRPr="00782721">
            <w:fldChar w:fldCharType="end"/>
          </w:r>
        </w:sdtContent>
      </w:sdt>
      <w:r w:rsidRPr="00782721">
        <w:t>.</w:t>
      </w:r>
    </w:p>
    <w:p w14:paraId="02769705" w14:textId="77777777" w:rsidR="003D0D99" w:rsidRPr="0075737F" w:rsidRDefault="003D0D99" w:rsidP="003D0D99">
      <w:pPr>
        <w:pStyle w:val="NormalWeb"/>
        <w:spacing w:line="276" w:lineRule="auto"/>
        <w:rPr>
          <w:rFonts w:asciiTheme="minorHAnsi" w:hAnsiTheme="minorHAnsi"/>
          <w:sz w:val="22"/>
          <w:szCs w:val="22"/>
        </w:rPr>
      </w:pPr>
      <w:r w:rsidRPr="0075737F">
        <w:rPr>
          <w:rFonts w:asciiTheme="minorHAnsi" w:hAnsiTheme="minorHAnsi"/>
          <w:sz w:val="22"/>
          <w:szCs w:val="22"/>
        </w:rPr>
        <w:t xml:space="preserve">Having discovered these various methods and approaches to teaching, I related to them in such a way the approach almost gave me the confidence to teach. My preconceived ideas about teaching had been that of school teachers that I remember and even college tutors when I had been in college, when being taught by teachers myself I felt that I was being told what I needed to learn and how. When I began teaching this was a concern of mine as I have always wanted to encourage and </w:t>
      </w:r>
      <w:r w:rsidRPr="0075737F">
        <w:rPr>
          <w:rFonts w:asciiTheme="minorHAnsi" w:hAnsiTheme="minorHAnsi"/>
          <w:sz w:val="22"/>
          <w:szCs w:val="22"/>
        </w:rPr>
        <w:lastRenderedPageBreak/>
        <w:t xml:space="preserve">support others rather than tell. Adopting these approaches gave me an opportunity to set the learning outcomes but to achieve them I could work with the learners to set their own goals and by working with them to identify their preferred method of learning, their way of life and their previous knowledge I was able to create learning environments that we could both grow and learn in </w:t>
      </w:r>
      <w:sdt>
        <w:sdtPr>
          <w:rPr>
            <w:rFonts w:asciiTheme="minorHAnsi" w:hAnsiTheme="minorHAnsi"/>
            <w:sz w:val="22"/>
            <w:szCs w:val="22"/>
          </w:rPr>
          <w:id w:val="-39284689"/>
          <w:citation/>
        </w:sdtPr>
        <w:sdtContent>
          <w:r w:rsidRPr="0075737F">
            <w:rPr>
              <w:rFonts w:asciiTheme="minorHAnsi" w:hAnsiTheme="minorHAnsi"/>
              <w:sz w:val="22"/>
              <w:szCs w:val="22"/>
            </w:rPr>
            <w:fldChar w:fldCharType="begin"/>
          </w:r>
          <w:r w:rsidRPr="0075737F">
            <w:rPr>
              <w:rFonts w:asciiTheme="minorHAnsi" w:hAnsiTheme="minorHAnsi"/>
              <w:sz w:val="22"/>
              <w:szCs w:val="22"/>
            </w:rPr>
            <w:instrText xml:space="preserve"> CITATION Bla12 \l 2057 </w:instrText>
          </w:r>
          <w:r w:rsidRPr="0075737F">
            <w:rPr>
              <w:rFonts w:asciiTheme="minorHAnsi" w:hAnsiTheme="minorHAnsi"/>
              <w:sz w:val="22"/>
              <w:szCs w:val="22"/>
            </w:rPr>
            <w:fldChar w:fldCharType="separate"/>
          </w:r>
          <w:r w:rsidRPr="0075737F">
            <w:rPr>
              <w:rFonts w:asciiTheme="minorHAnsi" w:hAnsiTheme="minorHAnsi"/>
              <w:noProof/>
              <w:sz w:val="22"/>
              <w:szCs w:val="22"/>
            </w:rPr>
            <w:t>(Blaschke, 2012)</w:t>
          </w:r>
          <w:r w:rsidRPr="0075737F">
            <w:rPr>
              <w:rFonts w:asciiTheme="minorHAnsi" w:hAnsiTheme="minorHAnsi"/>
              <w:sz w:val="22"/>
              <w:szCs w:val="22"/>
            </w:rPr>
            <w:fldChar w:fldCharType="end"/>
          </w:r>
        </w:sdtContent>
      </w:sdt>
      <w:r w:rsidRPr="0075737F">
        <w:rPr>
          <w:rFonts w:asciiTheme="minorHAnsi" w:hAnsiTheme="minorHAnsi"/>
          <w:sz w:val="22"/>
          <w:szCs w:val="22"/>
        </w:rPr>
        <w:t>.</w:t>
      </w:r>
    </w:p>
    <w:p w14:paraId="1A8C46F4" w14:textId="77777777" w:rsidR="003D0D99" w:rsidRDefault="003D0D99" w:rsidP="003D0D99">
      <w:pPr>
        <w:pStyle w:val="NormalWeb"/>
        <w:spacing w:line="276" w:lineRule="auto"/>
        <w:rPr>
          <w:rFonts w:asciiTheme="minorHAnsi" w:hAnsiTheme="minorHAnsi" w:cstheme="minorHAnsi"/>
        </w:rPr>
      </w:pPr>
    </w:p>
    <w:p w14:paraId="128AB199" w14:textId="77777777" w:rsidR="003D0D99" w:rsidRDefault="003D0D99" w:rsidP="003D0D99">
      <w:pPr>
        <w:pStyle w:val="NormalWeb"/>
        <w:spacing w:line="276" w:lineRule="auto"/>
        <w:rPr>
          <w:rFonts w:asciiTheme="minorHAnsi" w:hAnsiTheme="minorHAnsi" w:cstheme="minorHAnsi"/>
        </w:rPr>
      </w:pPr>
    </w:p>
    <w:p w14:paraId="6DCBF27A" w14:textId="77777777" w:rsidR="003D0D99" w:rsidRDefault="003D0D99" w:rsidP="003D0D99">
      <w:pPr>
        <w:pStyle w:val="NormalWeb"/>
        <w:spacing w:line="276" w:lineRule="auto"/>
        <w:rPr>
          <w:rFonts w:asciiTheme="minorHAnsi" w:hAnsiTheme="minorHAnsi" w:cstheme="minorHAnsi"/>
        </w:rPr>
      </w:pPr>
    </w:p>
    <w:p w14:paraId="44221F7E" w14:textId="77777777" w:rsidR="003D0D99" w:rsidRDefault="003D0D99" w:rsidP="003D0D99">
      <w:pPr>
        <w:pStyle w:val="NormalWeb"/>
        <w:spacing w:line="276" w:lineRule="auto"/>
        <w:rPr>
          <w:rFonts w:asciiTheme="minorHAnsi" w:hAnsiTheme="minorHAnsi" w:cstheme="minorHAnsi"/>
        </w:rPr>
      </w:pPr>
    </w:p>
    <w:sdt>
      <w:sdtPr>
        <w:rPr>
          <w:rFonts w:asciiTheme="minorHAnsi" w:eastAsiaTheme="minorHAnsi" w:hAnsiTheme="minorHAnsi" w:cstheme="minorBidi"/>
          <w:color w:val="auto"/>
          <w:sz w:val="22"/>
          <w:szCs w:val="22"/>
          <w:lang w:val="en-GB"/>
        </w:rPr>
        <w:id w:val="-317039221"/>
        <w:docPartObj>
          <w:docPartGallery w:val="Bibliographies"/>
          <w:docPartUnique/>
        </w:docPartObj>
      </w:sdtPr>
      <w:sdtContent>
        <w:p w14:paraId="6C1EF146" w14:textId="77777777" w:rsidR="003D0D99" w:rsidRDefault="003D0D99" w:rsidP="003D0D99">
          <w:pPr>
            <w:pStyle w:val="Heading1"/>
          </w:pPr>
          <w:r>
            <w:t>References</w:t>
          </w:r>
        </w:p>
        <w:sdt>
          <w:sdtPr>
            <w:id w:val="1359848158"/>
            <w:bibliography/>
          </w:sdtPr>
          <w:sdtContent>
            <w:p w14:paraId="7A1AF5B9" w14:textId="77777777" w:rsidR="003D0D99" w:rsidRDefault="003D0D99" w:rsidP="003D0D99">
              <w:pPr>
                <w:pStyle w:val="Bibliography"/>
                <w:rPr>
                  <w:noProof/>
                  <w:sz w:val="24"/>
                  <w:szCs w:val="24"/>
                  <w:lang w:val="en-US"/>
                </w:rPr>
              </w:pPr>
              <w:r>
                <w:fldChar w:fldCharType="begin"/>
              </w:r>
              <w:r>
                <w:instrText xml:space="preserve"> BIBLIOGRAPHY </w:instrText>
              </w:r>
              <w:r>
                <w:fldChar w:fldCharType="separate"/>
              </w:r>
              <w:r>
                <w:rPr>
                  <w:noProof/>
                  <w:lang w:val="en-US"/>
                </w:rPr>
                <w:t xml:space="preserve">Arubthnott, K. &amp; Kratzis, G., 2015. Effective teaching: Sensory learning styles versus general memory processes. </w:t>
              </w:r>
              <w:r>
                <w:rPr>
                  <w:i/>
                  <w:iCs/>
                  <w:noProof/>
                  <w:lang w:val="en-US"/>
                </w:rPr>
                <w:t xml:space="preserve">Competence psychology, </w:t>
              </w:r>
              <w:r>
                <w:rPr>
                  <w:noProof/>
                  <w:lang w:val="en-US"/>
                </w:rPr>
                <w:t>Volume 4.</w:t>
              </w:r>
            </w:p>
            <w:p w14:paraId="7751BE9A" w14:textId="77777777" w:rsidR="003D0D99" w:rsidRDefault="003D0D99" w:rsidP="003D0D99">
              <w:pPr>
                <w:pStyle w:val="Bibliography"/>
                <w:rPr>
                  <w:noProof/>
                  <w:lang w:val="en-US"/>
                </w:rPr>
              </w:pPr>
              <w:r>
                <w:rPr>
                  <w:noProof/>
                  <w:lang w:val="en-US"/>
                </w:rPr>
                <w:t xml:space="preserve">Barkeley, E. F., Major, C. H. &amp; Cross, K. P., 2014. </w:t>
              </w:r>
              <w:r>
                <w:rPr>
                  <w:i/>
                  <w:iCs/>
                  <w:noProof/>
                  <w:lang w:val="en-US"/>
                </w:rPr>
                <w:t xml:space="preserve">Collaborative learning techniques. </w:t>
              </w:r>
              <w:r>
                <w:rPr>
                  <w:noProof/>
                  <w:lang w:val="en-US"/>
                </w:rPr>
                <w:t>San Francisco: Jossey- Bass.</w:t>
              </w:r>
            </w:p>
            <w:p w14:paraId="160A18A7" w14:textId="77777777" w:rsidR="003D0D99" w:rsidRDefault="003D0D99" w:rsidP="003D0D99">
              <w:pPr>
                <w:pStyle w:val="Bibliography"/>
                <w:rPr>
                  <w:noProof/>
                  <w:lang w:val="en-US"/>
                </w:rPr>
              </w:pPr>
              <w:r>
                <w:rPr>
                  <w:noProof/>
                  <w:lang w:val="en-US"/>
                </w:rPr>
                <w:t xml:space="preserve">Blaschke, L. M., 2012. Heutagogy and Lifelong Learning; A review of Heutagogical practice and self determined learning. </w:t>
              </w:r>
              <w:r>
                <w:rPr>
                  <w:i/>
                  <w:iCs/>
                  <w:noProof/>
                  <w:lang w:val="en-US"/>
                </w:rPr>
                <w:t xml:space="preserve">International Review of Research In Open and Distance Learning, </w:t>
              </w:r>
              <w:r>
                <w:rPr>
                  <w:noProof/>
                  <w:lang w:val="en-US"/>
                </w:rPr>
                <w:t>13(1).</w:t>
              </w:r>
            </w:p>
            <w:p w14:paraId="1C607824" w14:textId="77777777" w:rsidR="003D0D99" w:rsidRDefault="003D0D99" w:rsidP="003D0D99">
              <w:pPr>
                <w:pStyle w:val="Bibliography"/>
                <w:rPr>
                  <w:noProof/>
                  <w:lang w:val="en-US"/>
                </w:rPr>
              </w:pPr>
              <w:r>
                <w:rPr>
                  <w:noProof/>
                  <w:lang w:val="en-US"/>
                </w:rPr>
                <w:t xml:space="preserve">Brookfield, S., 2017. </w:t>
              </w:r>
              <w:r>
                <w:rPr>
                  <w:i/>
                  <w:iCs/>
                  <w:noProof/>
                  <w:lang w:val="en-US"/>
                </w:rPr>
                <w:t xml:space="preserve">Becoming a critically reflective teacher. </w:t>
              </w:r>
              <w:r>
                <w:rPr>
                  <w:noProof/>
                  <w:lang w:val="en-US"/>
                </w:rPr>
                <w:t>second ed. London: Wiley and Son.</w:t>
              </w:r>
            </w:p>
            <w:p w14:paraId="3BEDBCC5" w14:textId="77777777" w:rsidR="003D0D99" w:rsidRDefault="003D0D99" w:rsidP="003D0D99">
              <w:pPr>
                <w:pStyle w:val="Bibliography"/>
                <w:rPr>
                  <w:noProof/>
                  <w:lang w:val="en-US"/>
                </w:rPr>
              </w:pPr>
              <w:r>
                <w:rPr>
                  <w:noProof/>
                  <w:lang w:val="en-US"/>
                </w:rPr>
                <w:t xml:space="preserve">California, U. o., 2015. </w:t>
              </w:r>
              <w:r>
                <w:rPr>
                  <w:i/>
                  <w:iCs/>
                  <w:noProof/>
                  <w:lang w:val="en-US"/>
                </w:rPr>
                <w:t xml:space="preserve">UCI Office of research. </w:t>
              </w:r>
              <w:r>
                <w:rPr>
                  <w:noProof/>
                  <w:lang w:val="en-US"/>
                </w:rPr>
                <w:t xml:space="preserve">[Online] </w:t>
              </w:r>
              <w:r>
                <w:rPr>
                  <w:noProof/>
                  <w:lang w:val="en-US"/>
                </w:rPr>
                <w:br/>
                <w:t xml:space="preserve">Available at: </w:t>
              </w:r>
              <w:r>
                <w:rPr>
                  <w:noProof/>
                  <w:u w:val="single"/>
                  <w:lang w:val="en-US"/>
                </w:rPr>
                <w:t>https://www.research.uci.edu/compliance/human-research-protections/researchers/activities-irb-review.html</w:t>
              </w:r>
              <w:r>
                <w:rPr>
                  <w:noProof/>
                  <w:lang w:val="en-US"/>
                </w:rPr>
                <w:br/>
                <w:t>[Accessed 27 May 2018].</w:t>
              </w:r>
            </w:p>
            <w:p w14:paraId="2A6F942E" w14:textId="77777777" w:rsidR="003D0D99" w:rsidRDefault="003D0D99" w:rsidP="003D0D99">
              <w:pPr>
                <w:pStyle w:val="Bibliography"/>
                <w:rPr>
                  <w:noProof/>
                  <w:lang w:val="en-US"/>
                </w:rPr>
              </w:pPr>
              <w:r>
                <w:rPr>
                  <w:noProof/>
                  <w:lang w:val="en-US"/>
                </w:rPr>
                <w:t xml:space="preserve">Campbell, A. &amp; Norton, L., 2007. </w:t>
              </w:r>
              <w:r>
                <w:rPr>
                  <w:i/>
                  <w:iCs/>
                  <w:noProof/>
                  <w:lang w:val="en-US"/>
                </w:rPr>
                <w:t xml:space="preserve">Learning, Teaching and Assesing in Higher Education. </w:t>
              </w:r>
              <w:r>
                <w:rPr>
                  <w:noProof/>
                  <w:lang w:val="en-US"/>
                </w:rPr>
                <w:t>Exeter: Learning Matters Ltd.</w:t>
              </w:r>
            </w:p>
            <w:p w14:paraId="15946E8C" w14:textId="77777777" w:rsidR="003D0D99" w:rsidRDefault="003D0D99" w:rsidP="003D0D99">
              <w:pPr>
                <w:pStyle w:val="Bibliography"/>
                <w:rPr>
                  <w:noProof/>
                  <w:lang w:val="en-US"/>
                </w:rPr>
              </w:pPr>
              <w:r>
                <w:rPr>
                  <w:noProof/>
                  <w:lang w:val="en-US"/>
                </w:rPr>
                <w:t xml:space="preserve">Curzon, L. B. &amp; Tummons, J., 2013. </w:t>
              </w:r>
              <w:r>
                <w:rPr>
                  <w:i/>
                  <w:iCs/>
                  <w:noProof/>
                  <w:lang w:val="en-US"/>
                </w:rPr>
                <w:t xml:space="preserve">Teaching in further education. </w:t>
              </w:r>
              <w:r>
                <w:rPr>
                  <w:noProof/>
                  <w:lang w:val="en-US"/>
                </w:rPr>
                <w:t>London: Bloomsbury.</w:t>
              </w:r>
            </w:p>
            <w:p w14:paraId="7A61AF6C" w14:textId="77777777" w:rsidR="003D0D99" w:rsidRDefault="003D0D99" w:rsidP="003D0D99">
              <w:pPr>
                <w:pStyle w:val="Bibliography"/>
                <w:rPr>
                  <w:noProof/>
                  <w:lang w:val="en-US"/>
                </w:rPr>
              </w:pPr>
              <w:r>
                <w:rPr>
                  <w:noProof/>
                  <w:lang w:val="en-US"/>
                </w:rPr>
                <w:t xml:space="preserve">Fry, H., Ketteridge, S. &amp; Mashow, S., 2015. </w:t>
              </w:r>
              <w:r>
                <w:rPr>
                  <w:i/>
                  <w:iCs/>
                  <w:noProof/>
                  <w:lang w:val="en-US"/>
                </w:rPr>
                <w:t xml:space="preserve">A handbook for teaching and learning in higher education. </w:t>
              </w:r>
              <w:r>
                <w:rPr>
                  <w:noProof/>
                  <w:lang w:val="en-US"/>
                </w:rPr>
                <w:t>Fourth ed. London: Routledge.</w:t>
              </w:r>
            </w:p>
            <w:p w14:paraId="1093B5C7" w14:textId="77777777" w:rsidR="003D0D99" w:rsidRDefault="003D0D99" w:rsidP="003D0D99">
              <w:pPr>
                <w:pStyle w:val="Bibliography"/>
                <w:rPr>
                  <w:noProof/>
                  <w:lang w:val="en-US"/>
                </w:rPr>
              </w:pPr>
              <w:r>
                <w:rPr>
                  <w:noProof/>
                  <w:lang w:val="en-US"/>
                </w:rPr>
                <w:t xml:space="preserve">Gershon, M., 2015. </w:t>
              </w:r>
              <w:r>
                <w:rPr>
                  <w:i/>
                  <w:iCs/>
                  <w:noProof/>
                  <w:lang w:val="en-US"/>
                </w:rPr>
                <w:t xml:space="preserve">How to use Blooms taxonomy in the classroom. </w:t>
              </w:r>
              <w:r>
                <w:rPr>
                  <w:noProof/>
                  <w:lang w:val="en-US"/>
                </w:rPr>
                <w:t>Texas: University of Texas.</w:t>
              </w:r>
            </w:p>
            <w:p w14:paraId="0DB14A5E" w14:textId="77777777" w:rsidR="003D0D99" w:rsidRDefault="003D0D99" w:rsidP="003D0D99">
              <w:pPr>
                <w:pStyle w:val="Bibliography"/>
                <w:rPr>
                  <w:noProof/>
                  <w:lang w:val="en-US"/>
                </w:rPr>
              </w:pPr>
              <w:r>
                <w:rPr>
                  <w:noProof/>
                  <w:lang w:val="en-US"/>
                </w:rPr>
                <w:t xml:space="preserve">Graham, S., 2017. </w:t>
              </w:r>
              <w:r>
                <w:rPr>
                  <w:i/>
                  <w:iCs/>
                  <w:noProof/>
                  <w:lang w:val="en-US"/>
                </w:rPr>
                <w:t xml:space="preserve">Cornerstone. </w:t>
              </w:r>
              <w:r>
                <w:rPr>
                  <w:noProof/>
                  <w:lang w:val="en-US"/>
                </w:rPr>
                <w:t xml:space="preserve">[Online] </w:t>
              </w:r>
              <w:r>
                <w:rPr>
                  <w:noProof/>
                  <w:lang w:val="en-US"/>
                </w:rPr>
                <w:br/>
                <w:t xml:space="preserve">Available at: </w:t>
              </w:r>
              <w:r>
                <w:rPr>
                  <w:noProof/>
                  <w:u w:val="single"/>
                  <w:lang w:val="en-US"/>
                </w:rPr>
                <w:t>https://www.cornerstone.edu/blogs/lifelong-learning-matters/post/a-simple-easy-to-understand-guide-to-andragogy</w:t>
              </w:r>
              <w:r>
                <w:rPr>
                  <w:noProof/>
                  <w:lang w:val="en-US"/>
                </w:rPr>
                <w:br/>
                <w:t>[Accessed 27 May 2018].</w:t>
              </w:r>
            </w:p>
            <w:p w14:paraId="657EBF07" w14:textId="77777777" w:rsidR="003D0D99" w:rsidRDefault="003D0D99" w:rsidP="003D0D99">
              <w:pPr>
                <w:pStyle w:val="Bibliography"/>
                <w:rPr>
                  <w:noProof/>
                  <w:lang w:val="en-US"/>
                </w:rPr>
              </w:pPr>
              <w:r>
                <w:rPr>
                  <w:noProof/>
                  <w:lang w:val="en-US"/>
                </w:rPr>
                <w:t xml:space="preserve">Hine, G. S. C., 2013. The importance of action research in teacher education programs. </w:t>
              </w:r>
              <w:r>
                <w:rPr>
                  <w:i/>
                  <w:iCs/>
                  <w:noProof/>
                  <w:lang w:val="en-US"/>
                </w:rPr>
                <w:t xml:space="preserve">Issues in Educational Research, </w:t>
              </w:r>
              <w:r>
                <w:rPr>
                  <w:noProof/>
                  <w:lang w:val="en-US"/>
                </w:rPr>
                <w:t>23(2), pp. 151- 163.</w:t>
              </w:r>
            </w:p>
            <w:p w14:paraId="4A73694D" w14:textId="77777777" w:rsidR="003D0D99" w:rsidRDefault="003D0D99" w:rsidP="003D0D99">
              <w:pPr>
                <w:pStyle w:val="Bibliography"/>
                <w:rPr>
                  <w:noProof/>
                  <w:lang w:val="en-US"/>
                </w:rPr>
              </w:pPr>
              <w:r>
                <w:rPr>
                  <w:noProof/>
                  <w:lang w:val="en-US"/>
                </w:rPr>
                <w:t xml:space="preserve">Illeris, K., 2003. Towards a contemporary and comrehensive theory of learning. </w:t>
              </w:r>
              <w:r>
                <w:rPr>
                  <w:i/>
                  <w:iCs/>
                  <w:noProof/>
                  <w:lang w:val="en-US"/>
                </w:rPr>
                <w:t xml:space="preserve">International Journal of lifelong education, </w:t>
              </w:r>
              <w:r>
                <w:rPr>
                  <w:noProof/>
                  <w:lang w:val="en-US"/>
                </w:rPr>
                <w:t>22(4), pp. 396- 406.</w:t>
              </w:r>
            </w:p>
            <w:p w14:paraId="489B8F2E" w14:textId="77777777" w:rsidR="003D0D99" w:rsidRDefault="003D0D99" w:rsidP="003D0D99">
              <w:pPr>
                <w:pStyle w:val="Bibliography"/>
                <w:rPr>
                  <w:noProof/>
                  <w:lang w:val="en-US"/>
                </w:rPr>
              </w:pPr>
              <w:r>
                <w:rPr>
                  <w:noProof/>
                  <w:lang w:val="en-US"/>
                </w:rPr>
                <w:lastRenderedPageBreak/>
                <w:t xml:space="preserve">Kolb, D., 2015. </w:t>
              </w:r>
              <w:r>
                <w:rPr>
                  <w:i/>
                  <w:iCs/>
                  <w:noProof/>
                  <w:lang w:val="en-US"/>
                </w:rPr>
                <w:t xml:space="preserve">Experiential learning. </w:t>
              </w:r>
              <w:r>
                <w:rPr>
                  <w:noProof/>
                  <w:lang w:val="en-US"/>
                </w:rPr>
                <w:t>Second ed. New Jersy: Person Education Inc.</w:t>
              </w:r>
            </w:p>
            <w:p w14:paraId="12D0BA3F" w14:textId="77777777" w:rsidR="003D0D99" w:rsidRDefault="003D0D99" w:rsidP="003D0D99">
              <w:pPr>
                <w:pStyle w:val="Bibliography"/>
                <w:rPr>
                  <w:noProof/>
                  <w:lang w:val="en-US"/>
                </w:rPr>
              </w:pPr>
              <w:r>
                <w:rPr>
                  <w:noProof/>
                  <w:lang w:val="en-US"/>
                </w:rPr>
                <w:t xml:space="preserve">Leadership, N. C. f. T. a., 2012. </w:t>
              </w:r>
              <w:r>
                <w:rPr>
                  <w:i/>
                  <w:iCs/>
                  <w:noProof/>
                  <w:lang w:val="en-US"/>
                </w:rPr>
                <w:t xml:space="preserve">Contemporary theories of learning. </w:t>
              </w:r>
              <w:r>
                <w:rPr>
                  <w:noProof/>
                  <w:lang w:val="en-US"/>
                </w:rPr>
                <w:t xml:space="preserve">[Online] </w:t>
              </w:r>
              <w:r>
                <w:rPr>
                  <w:noProof/>
                  <w:lang w:val="en-US"/>
                </w:rPr>
                <w:br/>
                <w:t xml:space="preserve">Available at: </w:t>
              </w:r>
              <w:r>
                <w:rPr>
                  <w:noProof/>
                  <w:u w:val="single"/>
                  <w:lang w:val="en-US"/>
                </w:rPr>
                <w:t>https://www.nationalcollege.org.uk/transfer/open/advanced-facilitation/advfac-s03/advfac-s03-t3.html</w:t>
              </w:r>
            </w:p>
            <w:p w14:paraId="6C85B0E4" w14:textId="77777777" w:rsidR="003D0D99" w:rsidRDefault="003D0D99" w:rsidP="003D0D99">
              <w:pPr>
                <w:pStyle w:val="Bibliography"/>
                <w:rPr>
                  <w:noProof/>
                  <w:lang w:val="en-US"/>
                </w:rPr>
              </w:pPr>
              <w:r>
                <w:rPr>
                  <w:noProof/>
                  <w:lang w:val="en-US"/>
                </w:rPr>
                <w:t xml:space="preserve">Manning, G., 2007. </w:t>
              </w:r>
              <w:r>
                <w:rPr>
                  <w:i/>
                  <w:iCs/>
                  <w:noProof/>
                  <w:lang w:val="en-US"/>
                </w:rPr>
                <w:t xml:space="preserve">Business and Public Administration Studies. </w:t>
              </w:r>
              <w:r>
                <w:rPr>
                  <w:noProof/>
                  <w:lang w:val="en-US"/>
                </w:rPr>
                <w:t xml:space="preserve">[Online] </w:t>
              </w:r>
              <w:r>
                <w:rPr>
                  <w:noProof/>
                  <w:lang w:val="en-US"/>
                </w:rPr>
                <w:br/>
                <w:t xml:space="preserve">Available at: </w:t>
              </w:r>
              <w:r>
                <w:rPr>
                  <w:noProof/>
                  <w:u w:val="single"/>
                  <w:lang w:val="en-US"/>
                </w:rPr>
                <w:t>https://www.bpastudies.org/bpastudies/article/view/38/78</w:t>
              </w:r>
              <w:r>
                <w:rPr>
                  <w:noProof/>
                  <w:lang w:val="en-US"/>
                </w:rPr>
                <w:br/>
                <w:t>[Accessed 19 November 2017].</w:t>
              </w:r>
            </w:p>
            <w:p w14:paraId="5FE008E5" w14:textId="77777777" w:rsidR="003D0D99" w:rsidRDefault="003D0D99" w:rsidP="003D0D99">
              <w:pPr>
                <w:pStyle w:val="Bibliography"/>
                <w:rPr>
                  <w:noProof/>
                  <w:lang w:val="en-US"/>
                </w:rPr>
              </w:pPr>
              <w:r>
                <w:rPr>
                  <w:noProof/>
                  <w:lang w:val="en-US"/>
                </w:rPr>
                <w:t xml:space="preserve">McKenzie, L., 2014. Trainee Teacher Experience of Refection. </w:t>
              </w:r>
              <w:r>
                <w:rPr>
                  <w:i/>
                  <w:iCs/>
                  <w:noProof/>
                  <w:lang w:val="en-US"/>
                </w:rPr>
                <w:t xml:space="preserve">Further Education, </w:t>
              </w:r>
              <w:r>
                <w:rPr>
                  <w:noProof/>
                  <w:lang w:val="en-US"/>
                </w:rPr>
                <w:t>39(5), pp. 645- 665.</w:t>
              </w:r>
            </w:p>
            <w:p w14:paraId="30C232F3" w14:textId="77777777" w:rsidR="003D0D99" w:rsidRDefault="003D0D99" w:rsidP="003D0D99">
              <w:pPr>
                <w:pStyle w:val="Bibliography"/>
                <w:rPr>
                  <w:noProof/>
                  <w:lang w:val="en-US"/>
                </w:rPr>
              </w:pPr>
              <w:r>
                <w:rPr>
                  <w:noProof/>
                  <w:lang w:val="en-US"/>
                </w:rPr>
                <w:t xml:space="preserve">Mcleod, S., 2017. </w:t>
              </w:r>
              <w:r>
                <w:rPr>
                  <w:i/>
                  <w:iCs/>
                  <w:noProof/>
                  <w:lang w:val="en-US"/>
                </w:rPr>
                <w:t xml:space="preserve">Cognitive Psychology: Learning styles. </w:t>
              </w:r>
              <w:r>
                <w:rPr>
                  <w:noProof/>
                  <w:lang w:val="en-US"/>
                </w:rPr>
                <w:t xml:space="preserve">[Online] </w:t>
              </w:r>
              <w:r>
                <w:rPr>
                  <w:noProof/>
                  <w:lang w:val="en-US"/>
                </w:rPr>
                <w:br/>
                <w:t xml:space="preserve">Available at: </w:t>
              </w:r>
              <w:r>
                <w:rPr>
                  <w:noProof/>
                  <w:u w:val="single"/>
                  <w:lang w:val="en-US"/>
                </w:rPr>
                <w:t>https://www.simplypsychology.org/learning-kolb.html</w:t>
              </w:r>
              <w:r>
                <w:rPr>
                  <w:noProof/>
                  <w:lang w:val="en-US"/>
                </w:rPr>
                <w:br/>
                <w:t>[Accessed 27 May 2018].</w:t>
              </w:r>
            </w:p>
            <w:p w14:paraId="2529747D" w14:textId="77777777" w:rsidR="003D0D99" w:rsidRDefault="003D0D99" w:rsidP="003D0D99">
              <w:pPr>
                <w:pStyle w:val="Bibliography"/>
                <w:rPr>
                  <w:noProof/>
                  <w:lang w:val="en-US"/>
                </w:rPr>
              </w:pPr>
              <w:r>
                <w:rPr>
                  <w:noProof/>
                  <w:lang w:val="en-US"/>
                </w:rPr>
                <w:t xml:space="preserve">O`Neill, G., 2015. </w:t>
              </w:r>
              <w:r>
                <w:rPr>
                  <w:i/>
                  <w:iCs/>
                  <w:noProof/>
                  <w:lang w:val="en-US"/>
                </w:rPr>
                <w:t xml:space="preserve">Curriculum Design in Higher Education: Theory to Practice. </w:t>
              </w:r>
              <w:r>
                <w:rPr>
                  <w:noProof/>
                  <w:lang w:val="en-US"/>
                </w:rPr>
                <w:t>First ed. Dublin: UCD Teaching and Learning.</w:t>
              </w:r>
            </w:p>
            <w:p w14:paraId="42669B94" w14:textId="77777777" w:rsidR="003D0D99" w:rsidRDefault="003D0D99" w:rsidP="003D0D99">
              <w:pPr>
                <w:pStyle w:val="Bibliography"/>
                <w:rPr>
                  <w:noProof/>
                  <w:lang w:val="en-US"/>
                </w:rPr>
              </w:pPr>
              <w:r>
                <w:rPr>
                  <w:noProof/>
                  <w:lang w:val="en-US"/>
                </w:rPr>
                <w:t xml:space="preserve">Ramsden, P., 2003. </w:t>
              </w:r>
              <w:r>
                <w:rPr>
                  <w:i/>
                  <w:iCs/>
                  <w:noProof/>
                  <w:lang w:val="en-US"/>
                </w:rPr>
                <w:t xml:space="preserve">Learning to Teach in Higher Education. </w:t>
              </w:r>
              <w:r>
                <w:rPr>
                  <w:noProof/>
                  <w:lang w:val="en-US"/>
                </w:rPr>
                <w:t>New York: RoutledgeFalmer.</w:t>
              </w:r>
            </w:p>
            <w:p w14:paraId="756B5122" w14:textId="77777777" w:rsidR="003D0D99" w:rsidRDefault="003D0D99" w:rsidP="003D0D99">
              <w:pPr>
                <w:pStyle w:val="Bibliography"/>
                <w:rPr>
                  <w:noProof/>
                  <w:lang w:val="en-US"/>
                </w:rPr>
              </w:pPr>
              <w:r>
                <w:rPr>
                  <w:noProof/>
                  <w:lang w:val="en-US"/>
                </w:rPr>
                <w:t xml:space="preserve">Rolfe, D. A. &amp; Cheek, B., 2012. Learning Styles. </w:t>
              </w:r>
              <w:r>
                <w:rPr>
                  <w:i/>
                  <w:iCs/>
                  <w:noProof/>
                  <w:lang w:val="en-US"/>
                </w:rPr>
                <w:t xml:space="preserve">SAGE Journals, </w:t>
              </w:r>
              <w:r>
                <w:rPr>
                  <w:noProof/>
                  <w:lang w:val="en-US"/>
                </w:rPr>
                <w:t>5(3), pp. 176- 181.</w:t>
              </w:r>
            </w:p>
            <w:p w14:paraId="3114736C" w14:textId="77777777" w:rsidR="003D0D99" w:rsidRDefault="003D0D99" w:rsidP="003D0D99">
              <w:pPr>
                <w:pStyle w:val="Bibliography"/>
                <w:rPr>
                  <w:noProof/>
                  <w:lang w:val="en-US"/>
                </w:rPr>
              </w:pPr>
              <w:r>
                <w:rPr>
                  <w:noProof/>
                  <w:lang w:val="en-US"/>
                </w:rPr>
                <w:t xml:space="preserve">Romanelli, F., Bird, E. &amp; Ryan, M., 2009. Learning styles: A review of theory, application, and best practices. </w:t>
              </w:r>
              <w:r>
                <w:rPr>
                  <w:i/>
                  <w:iCs/>
                  <w:noProof/>
                  <w:lang w:val="en-US"/>
                </w:rPr>
                <w:t xml:space="preserve">American journal of pharmaceutical education, </w:t>
              </w:r>
              <w:r>
                <w:rPr>
                  <w:noProof/>
                  <w:lang w:val="en-US"/>
                </w:rPr>
                <w:t>9(1), pp. 19- 73.</w:t>
              </w:r>
            </w:p>
            <w:p w14:paraId="789CC9A0" w14:textId="77777777" w:rsidR="003D0D99" w:rsidRDefault="003D0D99" w:rsidP="003D0D99">
              <w:pPr>
                <w:pStyle w:val="Bibliography"/>
                <w:rPr>
                  <w:noProof/>
                  <w:lang w:val="en-US"/>
                </w:rPr>
              </w:pPr>
              <w:r>
                <w:rPr>
                  <w:noProof/>
                  <w:lang w:val="en-US"/>
                </w:rPr>
                <w:t xml:space="preserve">Scales, P., Senior, P. &amp; Briddon Kelly, L., 2013. </w:t>
              </w:r>
              <w:r>
                <w:rPr>
                  <w:i/>
                  <w:iCs/>
                  <w:noProof/>
                  <w:lang w:val="en-US"/>
                </w:rPr>
                <w:t xml:space="preserve">Teaching in the lifelong leanring sector. </w:t>
              </w:r>
              <w:r>
                <w:rPr>
                  <w:noProof/>
                  <w:lang w:val="en-US"/>
                </w:rPr>
                <w:t>Second ed. Berkshire: Open University Press.</w:t>
              </w:r>
            </w:p>
            <w:p w14:paraId="31F005B3" w14:textId="77777777" w:rsidR="003D0D99" w:rsidRDefault="003D0D99" w:rsidP="003D0D99">
              <w:pPr>
                <w:pStyle w:val="Bibliography"/>
                <w:rPr>
                  <w:noProof/>
                  <w:lang w:val="en-US"/>
                </w:rPr>
              </w:pPr>
              <w:r>
                <w:rPr>
                  <w:noProof/>
                  <w:lang w:val="en-US"/>
                </w:rPr>
                <w:t xml:space="preserve">Schraw, G. &amp; Robinson, D., 2011. </w:t>
              </w:r>
              <w:r>
                <w:rPr>
                  <w:i/>
                  <w:iCs/>
                  <w:noProof/>
                  <w:lang w:val="en-US"/>
                </w:rPr>
                <w:t xml:space="preserve">Assesment of higher order thinking skills. </w:t>
              </w:r>
              <w:r>
                <w:rPr>
                  <w:noProof/>
                  <w:lang w:val="en-US"/>
                </w:rPr>
                <w:t>Texas: Information Age Publishing.</w:t>
              </w:r>
            </w:p>
            <w:p w14:paraId="60176031" w14:textId="77777777" w:rsidR="003D0D99" w:rsidRDefault="003D0D99" w:rsidP="003D0D99">
              <w:pPr>
                <w:pStyle w:val="Bibliography"/>
                <w:rPr>
                  <w:noProof/>
                  <w:lang w:val="en-US"/>
                </w:rPr>
              </w:pPr>
              <w:r>
                <w:rPr>
                  <w:noProof/>
                  <w:lang w:val="en-US"/>
                </w:rPr>
                <w:t xml:space="preserve">Shabatu, J., 2013. </w:t>
              </w:r>
              <w:r>
                <w:rPr>
                  <w:i/>
                  <w:iCs/>
                  <w:noProof/>
                  <w:lang w:val="en-US"/>
                </w:rPr>
                <w:t xml:space="preserve">Teaching innovation and pedagogy. </w:t>
              </w:r>
              <w:r>
                <w:rPr>
                  <w:noProof/>
                  <w:lang w:val="en-US"/>
                </w:rPr>
                <w:t xml:space="preserve">[Online] </w:t>
              </w:r>
              <w:r>
                <w:rPr>
                  <w:noProof/>
                  <w:lang w:val="en-US"/>
                </w:rPr>
                <w:br/>
                <w:t xml:space="preserve">Available at: </w:t>
              </w:r>
              <w:r>
                <w:rPr>
                  <w:noProof/>
                  <w:u w:val="single"/>
                  <w:lang w:val="en-US"/>
                </w:rPr>
                <w:t>https://tips.uark.edu/using-blooms-taxonomy/</w:t>
              </w:r>
              <w:r>
                <w:rPr>
                  <w:noProof/>
                  <w:lang w:val="en-US"/>
                </w:rPr>
                <w:br/>
                <w:t>[Accessed 27 May 2018].</w:t>
              </w:r>
            </w:p>
            <w:p w14:paraId="7BD23288" w14:textId="77777777" w:rsidR="003D0D99" w:rsidRDefault="003D0D99" w:rsidP="003D0D99">
              <w:pPr>
                <w:pStyle w:val="Bibliography"/>
                <w:rPr>
                  <w:noProof/>
                  <w:lang w:val="en-US"/>
                </w:rPr>
              </w:pPr>
              <w:r>
                <w:rPr>
                  <w:noProof/>
                  <w:lang w:val="en-US"/>
                </w:rPr>
                <w:t xml:space="preserve">Smith, M., 2017. Using andragogy to teach pedagogy: expecting heutagogy. </w:t>
              </w:r>
              <w:r>
                <w:rPr>
                  <w:i/>
                  <w:iCs/>
                  <w:noProof/>
                  <w:lang w:val="en-US"/>
                </w:rPr>
                <w:t xml:space="preserve">Research in Teacher Education, </w:t>
              </w:r>
              <w:r>
                <w:rPr>
                  <w:noProof/>
                  <w:lang w:val="en-US"/>
                </w:rPr>
                <w:t>7(1), pp. 13- 18.</w:t>
              </w:r>
            </w:p>
            <w:p w14:paraId="49E9797A" w14:textId="77777777" w:rsidR="003D0D99" w:rsidRDefault="003D0D99" w:rsidP="003D0D99">
              <w:pPr>
                <w:pStyle w:val="Bibliography"/>
                <w:rPr>
                  <w:noProof/>
                  <w:lang w:val="en-US"/>
                </w:rPr>
              </w:pPr>
              <w:r>
                <w:rPr>
                  <w:noProof/>
                  <w:lang w:val="en-US"/>
                </w:rPr>
                <w:t xml:space="preserve">Tong, V., Standen, A. &amp; Sotiriou, M., 2018. </w:t>
              </w:r>
              <w:r>
                <w:rPr>
                  <w:i/>
                  <w:iCs/>
                  <w:noProof/>
                  <w:lang w:val="en-US"/>
                </w:rPr>
                <w:t xml:space="preserve">Shaping Higher Education with students: Ways to connect research and teaching. </w:t>
              </w:r>
              <w:r>
                <w:rPr>
                  <w:noProof/>
                  <w:lang w:val="en-US"/>
                </w:rPr>
                <w:t>London: UCL Press.</w:t>
              </w:r>
            </w:p>
            <w:p w14:paraId="1CE610B8" w14:textId="77777777" w:rsidR="003D0D99" w:rsidRDefault="003D0D99" w:rsidP="003D0D99">
              <w:pPr>
                <w:pStyle w:val="Bibliography"/>
                <w:rPr>
                  <w:noProof/>
                  <w:lang w:val="en-US"/>
                </w:rPr>
              </w:pPr>
              <w:r>
                <w:rPr>
                  <w:noProof/>
                  <w:lang w:val="en-US"/>
                </w:rPr>
                <w:t xml:space="preserve">Uknown, 2014. </w:t>
              </w:r>
              <w:r>
                <w:rPr>
                  <w:i/>
                  <w:iCs/>
                  <w:noProof/>
                  <w:lang w:val="en-US"/>
                </w:rPr>
                <w:t xml:space="preserve">RSA 21st Cebtury Enlightenment. </w:t>
              </w:r>
              <w:r>
                <w:rPr>
                  <w:noProof/>
                  <w:lang w:val="en-US"/>
                </w:rPr>
                <w:t xml:space="preserve">[Online] </w:t>
              </w:r>
              <w:r>
                <w:rPr>
                  <w:noProof/>
                  <w:lang w:val="en-US"/>
                </w:rPr>
                <w:br/>
                <w:t xml:space="preserve">Available at: </w:t>
              </w:r>
              <w:r>
                <w:rPr>
                  <w:noProof/>
                  <w:u w:val="single"/>
                  <w:lang w:val="en-US"/>
                </w:rPr>
                <w:t>https://www.thersa.org/discover/publications-and-articles/reports/the-role-of-research-in-teacher-education-reviewing-the-evidence</w:t>
              </w:r>
              <w:r>
                <w:rPr>
                  <w:noProof/>
                  <w:lang w:val="en-US"/>
                </w:rPr>
                <w:br/>
                <w:t>[Accessed 27 May 2018].</w:t>
              </w:r>
            </w:p>
            <w:p w14:paraId="411C1CB0" w14:textId="77777777" w:rsidR="003D0D99" w:rsidRDefault="003D0D99" w:rsidP="003D0D99">
              <w:pPr>
                <w:pStyle w:val="Bibliography"/>
                <w:rPr>
                  <w:noProof/>
                  <w:lang w:val="en-US"/>
                </w:rPr>
              </w:pPr>
              <w:r>
                <w:rPr>
                  <w:noProof/>
                  <w:lang w:val="en-US"/>
                </w:rPr>
                <w:t xml:space="preserve">WAG, 2015. </w:t>
              </w:r>
              <w:r>
                <w:rPr>
                  <w:i/>
                  <w:iCs/>
                  <w:noProof/>
                  <w:lang w:val="en-US"/>
                </w:rPr>
                <w:t xml:space="preserve">Reflective practice, </w:t>
              </w:r>
              <w:r>
                <w:rPr>
                  <w:noProof/>
                  <w:lang w:val="en-US"/>
                </w:rPr>
                <w:t>Cardiff: Welsh Assmebly Government.</w:t>
              </w:r>
            </w:p>
            <w:p w14:paraId="6E856E77" w14:textId="77777777" w:rsidR="003D0D99" w:rsidRDefault="003D0D99" w:rsidP="003D0D99">
              <w:pPr>
                <w:pStyle w:val="Bibliography"/>
                <w:rPr>
                  <w:noProof/>
                  <w:lang w:val="en-US"/>
                </w:rPr>
              </w:pPr>
              <w:r>
                <w:rPr>
                  <w:noProof/>
                  <w:lang w:val="en-US"/>
                </w:rPr>
                <w:t xml:space="preserve">Wallace, S., 2013. </w:t>
              </w:r>
              <w:r>
                <w:rPr>
                  <w:i/>
                  <w:iCs/>
                  <w:noProof/>
                  <w:lang w:val="en-US"/>
                </w:rPr>
                <w:t xml:space="preserve">Doing research in further education and training. </w:t>
              </w:r>
              <w:r>
                <w:rPr>
                  <w:noProof/>
                  <w:lang w:val="en-US"/>
                </w:rPr>
                <w:t>London: SAGE.</w:t>
              </w:r>
            </w:p>
            <w:p w14:paraId="0FEBC5F7" w14:textId="77777777" w:rsidR="003D0D99" w:rsidRDefault="003D0D99" w:rsidP="003D0D99">
              <w:pPr>
                <w:pStyle w:val="Bibliography"/>
                <w:rPr>
                  <w:noProof/>
                  <w:lang w:val="en-US"/>
                </w:rPr>
              </w:pPr>
              <w:r>
                <w:rPr>
                  <w:noProof/>
                  <w:lang w:val="en-US"/>
                </w:rPr>
                <w:t xml:space="preserve">Weber, U. o., 2006. Part 1: Contemporary learning experiences. In: </w:t>
              </w:r>
              <w:r>
                <w:rPr>
                  <w:i/>
                  <w:iCs/>
                  <w:noProof/>
                  <w:lang w:val="en-US"/>
                </w:rPr>
                <w:t xml:space="preserve">Contemporary Learning Experiences. </w:t>
              </w:r>
              <w:r>
                <w:rPr>
                  <w:noProof/>
                  <w:lang w:val="en-US"/>
                </w:rPr>
                <w:t>Utah: Weber State University, pp. 1- 12.</w:t>
              </w:r>
            </w:p>
            <w:p w14:paraId="63165C96" w14:textId="77777777" w:rsidR="003D0D99" w:rsidRDefault="003D0D99" w:rsidP="003D0D99">
              <w:r>
                <w:rPr>
                  <w:b/>
                  <w:bCs/>
                  <w:noProof/>
                </w:rPr>
                <w:fldChar w:fldCharType="end"/>
              </w:r>
            </w:p>
          </w:sdtContent>
        </w:sdt>
      </w:sdtContent>
    </w:sdt>
    <w:p w14:paraId="6BEAC7BF" w14:textId="77777777" w:rsidR="003D0D99" w:rsidRPr="004376F5" w:rsidRDefault="003D0D99" w:rsidP="003D0D99">
      <w:pPr>
        <w:pStyle w:val="NormalWeb"/>
        <w:spacing w:line="276" w:lineRule="auto"/>
        <w:rPr>
          <w:rFonts w:asciiTheme="minorHAnsi" w:hAnsiTheme="minorHAnsi" w:cstheme="minorHAnsi"/>
        </w:rPr>
      </w:pPr>
    </w:p>
    <w:p w14:paraId="28FDE1C0" w14:textId="77777777" w:rsidR="003D0D99" w:rsidRPr="004376F5" w:rsidRDefault="003D0D99" w:rsidP="003D0D99">
      <w:pPr>
        <w:pStyle w:val="NormalWeb"/>
        <w:spacing w:line="276" w:lineRule="auto"/>
        <w:rPr>
          <w:rFonts w:asciiTheme="minorHAnsi" w:hAnsiTheme="minorHAnsi" w:cstheme="minorHAnsi"/>
        </w:rPr>
      </w:pPr>
    </w:p>
    <w:p w14:paraId="2ECA43DD" w14:textId="77777777" w:rsidR="003D0D99" w:rsidRPr="004376F5" w:rsidRDefault="003D0D99" w:rsidP="003D0D99">
      <w:pPr>
        <w:pStyle w:val="NormalWeb"/>
        <w:spacing w:line="276" w:lineRule="auto"/>
        <w:rPr>
          <w:rFonts w:asciiTheme="minorHAnsi" w:hAnsiTheme="minorHAnsi" w:cstheme="minorHAnsi"/>
        </w:rPr>
      </w:pPr>
    </w:p>
    <w:p w14:paraId="209A4935" w14:textId="77777777" w:rsidR="003D0D99" w:rsidRPr="004376F5" w:rsidRDefault="003D0D99" w:rsidP="003D0D99">
      <w:pPr>
        <w:pStyle w:val="NormalWeb"/>
        <w:spacing w:line="276" w:lineRule="auto"/>
        <w:rPr>
          <w:rFonts w:asciiTheme="minorHAnsi" w:hAnsiTheme="minorHAnsi" w:cstheme="minorHAnsi"/>
        </w:rPr>
      </w:pPr>
      <w:r w:rsidRPr="004376F5">
        <w:rPr>
          <w:rFonts w:asciiTheme="minorHAnsi" w:hAnsiTheme="minorHAnsi" w:cstheme="minorHAnsi"/>
        </w:rPr>
        <w:t xml:space="preserve"> </w:t>
      </w:r>
    </w:p>
    <w:p w14:paraId="59F73A83" w14:textId="77777777" w:rsidR="003D0D99" w:rsidRPr="004376F5" w:rsidRDefault="003D0D99" w:rsidP="003D0D99">
      <w:pPr>
        <w:pStyle w:val="NormalWeb"/>
        <w:spacing w:line="276" w:lineRule="auto"/>
        <w:rPr>
          <w:rFonts w:asciiTheme="minorHAnsi" w:hAnsiTheme="minorHAnsi" w:cstheme="minorHAnsi"/>
        </w:rPr>
      </w:pPr>
    </w:p>
    <w:p w14:paraId="7C8C9FA2" w14:textId="77777777" w:rsidR="003D0D99" w:rsidRPr="004376F5" w:rsidRDefault="003D0D99" w:rsidP="003D0D99">
      <w:pPr>
        <w:spacing w:line="276" w:lineRule="auto"/>
        <w:rPr>
          <w:rFonts w:cstheme="minorHAnsi"/>
        </w:rPr>
      </w:pPr>
    </w:p>
    <w:p w14:paraId="4EF9105A" w14:textId="31C11FD4" w:rsidR="00BA56C1" w:rsidRDefault="00BA56C1" w:rsidP="002A32D8">
      <w:pPr>
        <w:jc w:val="both"/>
      </w:pPr>
    </w:p>
    <w:p w14:paraId="66BD34B1" w14:textId="77777777" w:rsidR="004F5530" w:rsidRPr="00073051" w:rsidRDefault="004F5530" w:rsidP="004F5530">
      <w:pPr>
        <w:jc w:val="center"/>
        <w:rPr>
          <w:b/>
          <w:sz w:val="24"/>
          <w:szCs w:val="24"/>
          <w:u w:val="single"/>
        </w:rPr>
      </w:pPr>
      <w:r w:rsidRPr="00073051">
        <w:rPr>
          <w:b/>
          <w:sz w:val="24"/>
          <w:szCs w:val="24"/>
          <w:u w:val="single"/>
        </w:rPr>
        <w:t>Critical Reflective Evaluation</w:t>
      </w:r>
    </w:p>
    <w:p w14:paraId="039B47BE" w14:textId="77777777" w:rsidR="004F5530" w:rsidRPr="00073051" w:rsidRDefault="004F5530" w:rsidP="004F5530">
      <w:pPr>
        <w:rPr>
          <w:b/>
          <w:sz w:val="24"/>
          <w:szCs w:val="24"/>
          <w:u w:val="single"/>
        </w:rPr>
      </w:pPr>
      <w:r w:rsidRPr="00073051">
        <w:rPr>
          <w:b/>
          <w:sz w:val="24"/>
          <w:szCs w:val="24"/>
          <w:u w:val="single"/>
        </w:rPr>
        <w:t>Introduction</w:t>
      </w:r>
    </w:p>
    <w:p w14:paraId="771BE48A" w14:textId="77777777" w:rsidR="004F5530" w:rsidRDefault="004F5530" w:rsidP="004F5530">
      <w:r>
        <w:t xml:space="preserve">Reflective practice is a state of mind, an ongoing process and attitude to life and work. Reflection is considered an important practice in education and has been described by Brookfield (2009) as something that should be habitual and that should come naturally to all. Reflective practice can be useful in terms of being a support mechanism, and like children learn to make sense of the world through play activities and risk, adults to need to make sense of the world and this is done through the reflective process. Adults can make sense of where they are within their own practice, and in relation to their working environment. Reflection is also a useful tool in everyday life </w:t>
      </w:r>
      <w:sdt>
        <w:sdtPr>
          <w:id w:val="-1467655072"/>
          <w:citation/>
        </w:sdtPr>
        <w:sdtContent>
          <w:r>
            <w:fldChar w:fldCharType="begin"/>
          </w:r>
          <w:r>
            <w:instrText xml:space="preserve"> CITATION Foo07 \l 2057 </w:instrText>
          </w:r>
          <w:r>
            <w:fldChar w:fldCharType="separate"/>
          </w:r>
          <w:r w:rsidRPr="00D56E05">
            <w:rPr>
              <w:noProof/>
            </w:rPr>
            <w:t>(Fook &amp; Gardner, 2007)</w:t>
          </w:r>
          <w:r>
            <w:fldChar w:fldCharType="end"/>
          </w:r>
        </w:sdtContent>
      </w:sdt>
    </w:p>
    <w:p w14:paraId="041B7BE5" w14:textId="77777777" w:rsidR="004F5530" w:rsidRDefault="004F5530" w:rsidP="004F5530">
      <w:r>
        <w:t xml:space="preserve">Reflective practice became popular during the 1980`s, this is when the first of many concepts began filtering through professional practice amongst, teachers, educators and researchers in the field of teacher education, and it became the focus and tool for improvements and delivering what was seen as a “professional” practice within post compulsory education, and in particular the shift to the use of reflective practice cam with a need to improve and professionalise teaching </w:t>
      </w:r>
      <w:sdt>
        <w:sdtPr>
          <w:id w:val="-99961565"/>
          <w:citation/>
        </w:sdtPr>
        <w:sdtContent>
          <w:r>
            <w:fldChar w:fldCharType="begin"/>
          </w:r>
          <w:r>
            <w:instrText xml:space="preserve"> CITATION Kor01 \l 2057 </w:instrText>
          </w:r>
          <w:r>
            <w:fldChar w:fldCharType="separate"/>
          </w:r>
          <w:r w:rsidRPr="00D56E05">
            <w:rPr>
              <w:noProof/>
            </w:rPr>
            <w:t>(Korthagen, et al., 2001)</w:t>
          </w:r>
          <w:r>
            <w:fldChar w:fldCharType="end"/>
          </w:r>
        </w:sdtContent>
      </w:sdt>
      <w:r>
        <w:t>.</w:t>
      </w:r>
    </w:p>
    <w:p w14:paraId="2D6CBA1D" w14:textId="77777777" w:rsidR="004F5530" w:rsidRDefault="004F5530" w:rsidP="004F5530">
      <w:r>
        <w:t xml:space="preserve">The main outcome that those practising reflective practice and the purpose of it overall in the use of learning through reflection is to improve the quality of teaching and learning. Therefore, one must have a sound understanding of the role of an educator in their professional field and of the professional values within that field. Values gives educators a sense of professional identity, and motivate and inspire, ultimately giving a justification for teaching in that way, as a result they feel confident, creative and competent teaching and can reflect in a systematic process which is evidence based, derived from their own practice. Reflection for improvement therefore also needs to be evidence- based </w:t>
      </w:r>
      <w:sdt>
        <w:sdtPr>
          <w:id w:val="-1077048388"/>
          <w:citation/>
        </w:sdtPr>
        <w:sdtContent>
          <w:r>
            <w:fldChar w:fldCharType="begin"/>
          </w:r>
          <w:r>
            <w:instrText xml:space="preserve"> CITATION Ton10 \l 2057 </w:instrText>
          </w:r>
          <w:r>
            <w:fldChar w:fldCharType="separate"/>
          </w:r>
          <w:r w:rsidRPr="00D56E05">
            <w:rPr>
              <w:noProof/>
            </w:rPr>
            <w:t>(Ghaye, 2010)</w:t>
          </w:r>
          <w:r>
            <w:fldChar w:fldCharType="end"/>
          </w:r>
        </w:sdtContent>
      </w:sdt>
      <w:r>
        <w:t>.</w:t>
      </w:r>
    </w:p>
    <w:p w14:paraId="3F2CADAC" w14:textId="77777777" w:rsidR="004F5530" w:rsidRPr="00073051" w:rsidRDefault="004F5530" w:rsidP="004F5530">
      <w:pPr>
        <w:rPr>
          <w:b/>
          <w:sz w:val="24"/>
          <w:szCs w:val="24"/>
          <w:u w:val="single"/>
        </w:rPr>
      </w:pPr>
      <w:r w:rsidRPr="00073051">
        <w:rPr>
          <w:b/>
          <w:sz w:val="24"/>
          <w:szCs w:val="24"/>
          <w:u w:val="single"/>
        </w:rPr>
        <w:t>Literature review</w:t>
      </w:r>
    </w:p>
    <w:p w14:paraId="300F6FBC" w14:textId="77777777" w:rsidR="004F5530" w:rsidRPr="00073051" w:rsidRDefault="004F5530" w:rsidP="004F5530">
      <w:pPr>
        <w:rPr>
          <w:b/>
          <w:u w:val="single"/>
        </w:rPr>
      </w:pPr>
      <w:r w:rsidRPr="00073051">
        <w:rPr>
          <w:b/>
          <w:u w:val="single"/>
        </w:rPr>
        <w:t>History</w:t>
      </w:r>
    </w:p>
    <w:p w14:paraId="5B3E4760" w14:textId="77777777" w:rsidR="004F5530" w:rsidRDefault="004F5530" w:rsidP="004F5530">
      <w:r>
        <w:t xml:space="preserve"> Jack Mezirow (1923- 2014) developed the transformative learning theory. Within this theory Mezirow (1923- 2014) identified that people develop and use critical reflection when they are faced with having to consider their beliefs and experiences, usually in a challenging way. Overtime people </w:t>
      </w:r>
      <w:r>
        <w:lastRenderedPageBreak/>
        <w:t xml:space="preserve">use the process of reflection to change from a dysfunctional view of things to a more positive means of seeing the world </w:t>
      </w:r>
      <w:sdt>
        <w:sdtPr>
          <w:id w:val="-1853721046"/>
          <w:citation/>
        </w:sdtPr>
        <w:sdtContent>
          <w:r>
            <w:fldChar w:fldCharType="begin"/>
          </w:r>
          <w:r>
            <w:instrText xml:space="preserve"> CITATION Bob15 \l 2057 </w:instrText>
          </w:r>
          <w:r>
            <w:fldChar w:fldCharType="separate"/>
          </w:r>
          <w:r w:rsidRPr="00D56E05">
            <w:rPr>
              <w:noProof/>
            </w:rPr>
            <w:t>(Bates, 2015)</w:t>
          </w:r>
          <w:r>
            <w:fldChar w:fldCharType="end"/>
          </w:r>
        </w:sdtContent>
      </w:sdt>
      <w:r>
        <w:t>.</w:t>
      </w:r>
    </w:p>
    <w:p w14:paraId="7F452409" w14:textId="77777777" w:rsidR="004F5530" w:rsidRDefault="004F5530" w:rsidP="004F5530">
      <w:r>
        <w:t xml:space="preserve">Mezirow (1923-2014) conducted a study of 83 women returning to college and using twelve different entry programmes was able to identify a process of personal perspective transformation that included 10 phases. Using these ten phases Mezirow was able to conclude his study by suggesting that adult learning was in fact a process of transformation that included experience, current experiences, previous knowledge and new knowledge and this is now known as the transformative learning theory </w:t>
      </w:r>
      <w:sdt>
        <w:sdtPr>
          <w:id w:val="614025507"/>
          <w:citation/>
        </w:sdtPr>
        <w:sdtContent>
          <w:r>
            <w:fldChar w:fldCharType="begin"/>
          </w:r>
          <w:r>
            <w:instrText xml:space="preserve"> CITATION Pat16 \l 2057 </w:instrText>
          </w:r>
          <w:r>
            <w:fldChar w:fldCharType="separate"/>
          </w:r>
          <w:r w:rsidRPr="00D56E05">
            <w:rPr>
              <w:noProof/>
            </w:rPr>
            <w:t>(Cranton, 2016)</w:t>
          </w:r>
          <w:r>
            <w:fldChar w:fldCharType="end"/>
          </w:r>
        </w:sdtContent>
      </w:sdt>
      <w:r>
        <w:t>.</w:t>
      </w:r>
    </w:p>
    <w:p w14:paraId="1A845845" w14:textId="77777777" w:rsidR="004F5530" w:rsidRDefault="004F5530" w:rsidP="004F5530">
      <w:r>
        <w:t xml:space="preserve">What must happen for a person to change their view of the world, is that when people are faced with a dilemma that is unclear and causes confusion, that do not fit into people’s current beliefs about the world, people are forced to reconsider their own beliefs in a way that will fit into the new experience and into the rest of their world. Mezirow (1923-2014) suggests that this can only happen using critical reflection </w:t>
      </w:r>
      <w:sdt>
        <w:sdtPr>
          <w:id w:val="1211539020"/>
          <w:citation/>
        </w:sdtPr>
        <w:sdtContent>
          <w:r>
            <w:fldChar w:fldCharType="begin"/>
          </w:r>
          <w:r>
            <w:instrText xml:space="preserve"> CITATION Bob15 \l 2057 </w:instrText>
          </w:r>
          <w:r>
            <w:fldChar w:fldCharType="separate"/>
          </w:r>
          <w:r w:rsidRPr="00D56E05">
            <w:rPr>
              <w:noProof/>
            </w:rPr>
            <w:t>(Bates, 2015)</w:t>
          </w:r>
          <w:r>
            <w:fldChar w:fldCharType="end"/>
          </w:r>
        </w:sdtContent>
      </w:sdt>
      <w:r>
        <w:t>.</w:t>
      </w:r>
    </w:p>
    <w:p w14:paraId="623B113A" w14:textId="77777777" w:rsidR="004F5530" w:rsidRDefault="004F5530" w:rsidP="004F5530">
      <w:r>
        <w:t>Reflective practice is often attributed to learning theories such as transformational learning, action research and experiential learning. According to Brookfield (1986), who conducted a review of literature from theorist such as Polyanil (1967) and Ashcroft and ForemanPeck (1994), as well as others from the same school of thought and major contributors to theory and adult learning in the last half of the 20</w:t>
      </w:r>
      <w:r w:rsidRPr="00EE71DF">
        <w:rPr>
          <w:vertAlign w:val="superscript"/>
        </w:rPr>
        <w:t>th</w:t>
      </w:r>
      <w:r>
        <w:t xml:space="preserve"> century, came to the conclusion that what all of the theorists and theories had in common was that they all recognised the importance of internal as well as external influences on how adults learn </w:t>
      </w:r>
      <w:sdt>
        <w:sdtPr>
          <w:id w:val="-1192837833"/>
          <w:citation/>
        </w:sdtPr>
        <w:sdtContent>
          <w:r>
            <w:fldChar w:fldCharType="begin"/>
          </w:r>
          <w:r>
            <w:instrText xml:space="preserve"> CITATION Tim06 \l 2057 </w:instrText>
          </w:r>
          <w:r>
            <w:fldChar w:fldCharType="separate"/>
          </w:r>
          <w:r w:rsidRPr="00D56E05">
            <w:rPr>
              <w:noProof/>
            </w:rPr>
            <w:t>(McMahon, 2006)</w:t>
          </w:r>
          <w:r>
            <w:fldChar w:fldCharType="end"/>
          </w:r>
        </w:sdtContent>
      </w:sdt>
      <w:r>
        <w:t xml:space="preserve">. Brookfield suggests that this acknowledgment of the importance of reflection is by far the most important aspect of contemporary learning theory, and requires that each adult learner actively constructs meaning within an individual interpretation of individual experiences </w:t>
      </w:r>
      <w:sdt>
        <w:sdtPr>
          <w:id w:val="-1348021779"/>
          <w:citation/>
        </w:sdtPr>
        <w:sdtContent>
          <w:r>
            <w:fldChar w:fldCharType="begin"/>
          </w:r>
          <w:r>
            <w:instrText xml:space="preserve"> CITATION Gio17 \l 2057 </w:instrText>
          </w:r>
          <w:r>
            <w:fldChar w:fldCharType="separate"/>
          </w:r>
          <w:r w:rsidRPr="00D56E05">
            <w:rPr>
              <w:noProof/>
            </w:rPr>
            <w:t>(Badia, 2017)</w:t>
          </w:r>
          <w:r>
            <w:fldChar w:fldCharType="end"/>
          </w:r>
        </w:sdtContent>
      </w:sdt>
    </w:p>
    <w:p w14:paraId="0F10C6D3" w14:textId="77777777" w:rsidR="004F5530" w:rsidRDefault="004F5530" w:rsidP="004F5530">
      <w:r>
        <w:t xml:space="preserve">“In its simplest form, adult learning recognises that adults approach any learning activity with some preconceived idea about what it is they are about to learn. This is because of the wide range of experiences they already have” (Huddleston and Unwin 1997) </w:t>
      </w:r>
      <w:sdt>
        <w:sdtPr>
          <w:id w:val="1528835355"/>
          <w:citation/>
        </w:sdtPr>
        <w:sdtContent>
          <w:r>
            <w:fldChar w:fldCharType="begin"/>
          </w:r>
          <w:r>
            <w:instrText xml:space="preserve"> CITATION Mor02 \l 2057 </w:instrText>
          </w:r>
          <w:r>
            <w:fldChar w:fldCharType="separate"/>
          </w:r>
          <w:r w:rsidRPr="00D56E05">
            <w:rPr>
              <w:noProof/>
            </w:rPr>
            <w:t>(Morre &amp; Ash, 2002)</w:t>
          </w:r>
          <w:r>
            <w:fldChar w:fldCharType="end"/>
          </w:r>
        </w:sdtContent>
      </w:sdt>
      <w:r>
        <w:t>.</w:t>
      </w:r>
    </w:p>
    <w:p w14:paraId="11A83D95" w14:textId="77777777" w:rsidR="004F5530" w:rsidRPr="00073051" w:rsidRDefault="004F5530" w:rsidP="004F5530">
      <w:pPr>
        <w:rPr>
          <w:b/>
          <w:u w:val="single"/>
        </w:rPr>
      </w:pPr>
      <w:r w:rsidRPr="00073051">
        <w:rPr>
          <w:b/>
          <w:u w:val="single"/>
        </w:rPr>
        <w:t>Reflective Practice Models</w:t>
      </w:r>
    </w:p>
    <w:p w14:paraId="7E4F480E" w14:textId="77777777" w:rsidR="004F5530" w:rsidRDefault="004F5530" w:rsidP="004F5530">
      <w:r>
        <w:t xml:space="preserve"> Learning is seen as the creation of knowledge through the transformation of experience. This emphasis on transformation creates a more active concept of learning other than being merely the acquisition of information or skill. The change in knowledge or capability is seen in some way as leading greater autonomy </w:t>
      </w:r>
      <w:sdt>
        <w:sdtPr>
          <w:id w:val="1416276521"/>
          <w:citation/>
        </w:sdtPr>
        <w:sdtContent>
          <w:r>
            <w:fldChar w:fldCharType="begin"/>
          </w:r>
          <w:r>
            <w:instrText xml:space="preserve">CITATION TIM91 \l 2057 </w:instrText>
          </w:r>
          <w:r>
            <w:fldChar w:fldCharType="separate"/>
          </w:r>
          <w:r w:rsidRPr="00D56E05">
            <w:rPr>
              <w:noProof/>
            </w:rPr>
            <w:t>(McMahon, 1991)</w:t>
          </w:r>
          <w:r>
            <w:fldChar w:fldCharType="end"/>
          </w:r>
        </w:sdtContent>
      </w:sdt>
      <w:r>
        <w:t>.</w:t>
      </w:r>
    </w:p>
    <w:p w14:paraId="428C3380" w14:textId="77777777" w:rsidR="004F5530" w:rsidRDefault="004F5530" w:rsidP="004F5530">
      <w:r>
        <w:t xml:space="preserve">The critical part of reflective practice is that it requires a commitment to learning from experience and from evidence, rather than to learning certain recipes for action. Even if one starts with recipes, they need to be explored and analysed for one’s assumptions and effects as one gains confidence. This process of critical enquiry should be reflective and that means to be responsive to one’s own needs and the context in which one works, but also by ensuring critical thinking is applied given the existing educational provision and ideology. Reflective practice analysis should include analysis of one’s own practice, the social, moral and political context for that practice </w:t>
      </w:r>
      <w:sdt>
        <w:sdtPr>
          <w:id w:val="-1165319279"/>
          <w:citation/>
        </w:sdtPr>
        <w:sdtContent>
          <w:r>
            <w:fldChar w:fldCharType="begin"/>
          </w:r>
          <w:r>
            <w:instrText xml:space="preserve"> CITATION Ash94 \l 2057 </w:instrText>
          </w:r>
          <w:r>
            <w:fldChar w:fldCharType="separate"/>
          </w:r>
          <w:r w:rsidRPr="00D56E05">
            <w:rPr>
              <w:noProof/>
            </w:rPr>
            <w:t>(Ashcroft &amp; Foreman- Peck, 1994)</w:t>
          </w:r>
          <w:r>
            <w:fldChar w:fldCharType="end"/>
          </w:r>
        </w:sdtContent>
      </w:sdt>
      <w:r>
        <w:t>.</w:t>
      </w:r>
    </w:p>
    <w:p w14:paraId="17A09D6E" w14:textId="7E87EA55" w:rsidR="004F5530" w:rsidRDefault="004F5530" w:rsidP="004F5530">
      <w:r>
        <w:t xml:space="preserve">In the 1980`s Schon (1983) made the term reflective practice an important theme in teacher education </w:t>
      </w:r>
      <w:sdt>
        <w:sdtPr>
          <w:id w:val="-1442528922"/>
          <w:citation/>
        </w:sdtPr>
        <w:sdtContent>
          <w:r>
            <w:fldChar w:fldCharType="begin"/>
          </w:r>
          <w:r>
            <w:instrText xml:space="preserve">CITATION Placeholder1 \l 2057 </w:instrText>
          </w:r>
          <w:r>
            <w:fldChar w:fldCharType="separate"/>
          </w:r>
          <w:r w:rsidRPr="004F5530">
            <w:rPr>
              <w:noProof/>
            </w:rPr>
            <w:t>(jin, 2005)</w:t>
          </w:r>
          <w:r>
            <w:fldChar w:fldCharType="end"/>
          </w:r>
        </w:sdtContent>
      </w:sdt>
      <w:r>
        <w:t xml:space="preserve">. Schon (1983) through a series of action research opportunities, distinguished reflection- on- action with reflection- in – action, as a way of thinking about a situation, whilst engaged within it, to reframe and solve some breakdown in the smooth running of experiences. </w:t>
      </w:r>
      <w:r>
        <w:lastRenderedPageBreak/>
        <w:t xml:space="preserve">Schon (1983) suggests that the practitioner naturally adjusts to minor interruptions within the smooth flow of experience, because the practitioner becomes the situation and almost as a professional embodies that role </w:t>
      </w:r>
      <w:sdt>
        <w:sdtPr>
          <w:id w:val="-912768270"/>
          <w:citation/>
        </w:sdtPr>
        <w:sdtContent>
          <w:r>
            <w:fldChar w:fldCharType="begin"/>
          </w:r>
          <w:r>
            <w:instrText xml:space="preserve"> CITATION Chr05 \l 2057 </w:instrText>
          </w:r>
          <w:r>
            <w:fldChar w:fldCharType="separate"/>
          </w:r>
          <w:r w:rsidRPr="00D56E05">
            <w:rPr>
              <w:noProof/>
            </w:rPr>
            <w:t>(Johns, 2005)</w:t>
          </w:r>
          <w:r>
            <w:fldChar w:fldCharType="end"/>
          </w:r>
        </w:sdtContent>
      </w:sdt>
      <w:r>
        <w:t>.</w:t>
      </w:r>
    </w:p>
    <w:p w14:paraId="07C435F8" w14:textId="77777777" w:rsidR="004F5530" w:rsidRDefault="004F5530" w:rsidP="004F5530">
      <w:r>
        <w:t xml:space="preserve">Schon (1983) goes on to describe that at times practitioners do need to stand back and pause their thinking for a moment, according to Schon (1983), it is important to stand back to proceed. When faced with situations that do not go smoothly, incidents can sometimes lead to changes, and to change things in a positive manner a new way of thinking is required, which is developed through the reflective process, thus creating new ways of thinking to improve practice and learning </w:t>
      </w:r>
      <w:sdt>
        <w:sdtPr>
          <w:id w:val="21764448"/>
          <w:citation/>
        </w:sdtPr>
        <w:sdtContent>
          <w:r>
            <w:fldChar w:fldCharType="begin"/>
          </w:r>
          <w:r>
            <w:instrText xml:space="preserve"> CITATION And13 \l 2057 </w:instrText>
          </w:r>
          <w:r>
            <w:fldChar w:fldCharType="separate"/>
          </w:r>
          <w:r w:rsidRPr="00D56E05">
            <w:rPr>
              <w:noProof/>
            </w:rPr>
            <w:t>(Gaynor, 2013)</w:t>
          </w:r>
          <w:r>
            <w:fldChar w:fldCharType="end"/>
          </w:r>
        </w:sdtContent>
      </w:sdt>
      <w:r>
        <w:t>.</w:t>
      </w:r>
    </w:p>
    <w:p w14:paraId="0D5716A1" w14:textId="77777777" w:rsidR="004F5530" w:rsidRDefault="004F5530" w:rsidP="004F5530">
      <w:r>
        <w:t xml:space="preserve">Schon (1983) ideas were presented through his concept of `reflection in action`, this model describes the reflective process as being made up of three different elements. Reflecting about actions, reflection on action and reflection in action </w:t>
      </w:r>
      <w:sdt>
        <w:sdtPr>
          <w:id w:val="-1672095106"/>
          <w:citation/>
        </w:sdtPr>
        <w:sdtContent>
          <w:r>
            <w:fldChar w:fldCharType="begin"/>
          </w:r>
          <w:r>
            <w:instrText xml:space="preserve"> CITATION Lin171 \l 2057 </w:instrText>
          </w:r>
          <w:r>
            <w:fldChar w:fldCharType="separate"/>
          </w:r>
          <w:r w:rsidRPr="00D56E05">
            <w:rPr>
              <w:noProof/>
            </w:rPr>
            <w:t>(Lawrence, 2017)</w:t>
          </w:r>
          <w:r>
            <w:fldChar w:fldCharType="end"/>
          </w:r>
        </w:sdtContent>
      </w:sdt>
      <w:r>
        <w:t>. Schon (1983) highlighted that it is important that practitioners have a situational understanding of the incorporation of reflection and self-evaluation and has been a significant area of research in education</w:t>
      </w:r>
      <w:sdt>
        <w:sdtPr>
          <w:id w:val="793641837"/>
          <w:citation/>
        </w:sdtPr>
        <w:sdtContent>
          <w:r>
            <w:fldChar w:fldCharType="begin"/>
          </w:r>
          <w:r>
            <w:instrText xml:space="preserve"> CITATION GAM15 \l 2057 </w:instrText>
          </w:r>
          <w:r>
            <w:fldChar w:fldCharType="separate"/>
          </w:r>
          <w:r>
            <w:rPr>
              <w:noProof/>
            </w:rPr>
            <w:t xml:space="preserve"> </w:t>
          </w:r>
          <w:r w:rsidRPr="00D56E05">
            <w:rPr>
              <w:noProof/>
            </w:rPr>
            <w:t>(Mcleod, 2015)</w:t>
          </w:r>
          <w:r>
            <w:fldChar w:fldCharType="end"/>
          </w:r>
        </w:sdtContent>
      </w:sdt>
      <w:r>
        <w:t>.</w:t>
      </w:r>
    </w:p>
    <w:p w14:paraId="610BE66B" w14:textId="77777777" w:rsidR="004F5530" w:rsidRDefault="004F5530" w:rsidP="004F5530">
      <w:r>
        <w:t>Kolb and Kolb (2005) developed further models following on from the work of Schon (1983), the Learning Cycle, which is an experiential learning theory. through their work Kolb and Kolb (2005) were able to conduct studies and develop their thoughts through the paper The Experiential Learning bibliography, a paper written by conducting literature reviews of all known research and studies that had been conducted on experiential learning theories and reflective practice. Through this work Kolb and Kolb (2005) defined these processes as holistic, given that the nature of adult leant ring is to promote the identification of learning styles and differences in academic disciplines. During their studies, they discovered that reflective practice was very much interdisciplinary, addressing learning and educational issues in many fields. Having conducted reviews of over 1004 different entries from management, education, information science, psychology, medicine, nursing, accountancy and law, Kolb and Kolb (2005) present the experiential learning cycle as a professional tool for practitioners to use to improve and develop learning for others</w:t>
      </w:r>
      <w:sdt>
        <w:sdtPr>
          <w:id w:val="1625879794"/>
          <w:citation/>
        </w:sdtPr>
        <w:sdtContent>
          <w:r>
            <w:fldChar w:fldCharType="begin"/>
          </w:r>
          <w:r>
            <w:instrText xml:space="preserve"> CITATION AYK05 \l 2057 </w:instrText>
          </w:r>
          <w:r>
            <w:fldChar w:fldCharType="separate"/>
          </w:r>
          <w:r>
            <w:rPr>
              <w:noProof/>
            </w:rPr>
            <w:t xml:space="preserve"> </w:t>
          </w:r>
          <w:r w:rsidRPr="00D56E05">
            <w:rPr>
              <w:noProof/>
            </w:rPr>
            <w:t>(Kolb, 2005)</w:t>
          </w:r>
          <w:r>
            <w:fldChar w:fldCharType="end"/>
          </w:r>
        </w:sdtContent>
      </w:sdt>
      <w:r>
        <w:t>.</w:t>
      </w:r>
    </w:p>
    <w:p w14:paraId="20937F19" w14:textId="77777777" w:rsidR="004F5530" w:rsidRDefault="004F5530" w:rsidP="004F5530">
      <w:r>
        <w:t xml:space="preserve">The learning cycle is a well-known theory which argues that people learn from experiences of life, even on an everyday basis. It also treats reflection as an integral part of such learning. According to Kolb, the process of learning follows a pattern or cycle, consisting of four stages, one of which involves what Kolb describes to as `reflective observation` </w:t>
      </w:r>
      <w:sdt>
        <w:sdtPr>
          <w:id w:val="-1310017355"/>
          <w:citation/>
        </w:sdtPr>
        <w:sdtContent>
          <w:r>
            <w:fldChar w:fldCharType="begin"/>
          </w:r>
          <w:r>
            <w:instrText xml:space="preserve"> CITATION Lee17 \l 2057 </w:instrText>
          </w:r>
          <w:r>
            <w:fldChar w:fldCharType="separate"/>
          </w:r>
          <w:r w:rsidRPr="00D56E05">
            <w:rPr>
              <w:noProof/>
            </w:rPr>
            <w:t>(Beckett, 2017)</w:t>
          </w:r>
          <w:r>
            <w:fldChar w:fldCharType="end"/>
          </w:r>
        </w:sdtContent>
      </w:sdt>
      <w:r>
        <w:t>.</w:t>
      </w:r>
    </w:p>
    <w:p w14:paraId="557FAEF5" w14:textId="77777777" w:rsidR="004F5530" w:rsidRDefault="004F5530" w:rsidP="004F5530">
      <w:r>
        <w:t xml:space="preserve">Similarly, Gibbs (1988), developed a reflective model that was partly based on the early work of Kolb (1974) and followed the same cyclical system. The Action Research model designed for educators to examine their own situations, change and improve their work. Gibbs (1988) reflective cycle model enables the practitioner to focus on one’s own and others’ feelings, views and perceptions, strongly linking with ideas about empathy, to encourage change. Through this model Gibbs (1988) explains that each aspect of the cycle must be completed and to enable full reflective cycle to occur, individuals engaged in the cycle must move from reflecting on practice to reflecting in practice, this means that once individuals have described, identified and analysed a situation, they in order to reap all the benefits of the reflective process must be able to apply the lessons that they learned through the reflective process into real life situations and the real world, whether in work or in their own personal lives. Reflecting on practice is the process of removing yourself from the situation temporarily to begin thinking about situations from all points of views, and from others points of </w:t>
      </w:r>
      <w:bookmarkStart w:id="2" w:name="_GoBack"/>
      <w:r>
        <w:t xml:space="preserve">views with an empathetic approach, almost as if becoming an observer of one’s own practice and </w:t>
      </w:r>
      <w:bookmarkEnd w:id="2"/>
      <w:r>
        <w:t xml:space="preserve">one’s own actions </w:t>
      </w:r>
      <w:sdt>
        <w:sdtPr>
          <w:id w:val="297042052"/>
          <w:citation/>
        </w:sdtPr>
        <w:sdtContent>
          <w:r>
            <w:fldChar w:fldCharType="begin"/>
          </w:r>
          <w:r>
            <w:instrText xml:space="preserve"> CITATION Ste17 \l 2057 </w:instrText>
          </w:r>
          <w:r>
            <w:fldChar w:fldCharType="separate"/>
          </w:r>
          <w:r w:rsidRPr="00D56E05">
            <w:rPr>
              <w:noProof/>
            </w:rPr>
            <w:t>(Brookfield, 2017)</w:t>
          </w:r>
          <w:r>
            <w:fldChar w:fldCharType="end"/>
          </w:r>
        </w:sdtContent>
      </w:sdt>
      <w:r>
        <w:t>.</w:t>
      </w:r>
    </w:p>
    <w:p w14:paraId="1E67D4C8" w14:textId="77777777" w:rsidR="004F5530" w:rsidRPr="00073051" w:rsidRDefault="004F5530" w:rsidP="004F5530">
      <w:pPr>
        <w:rPr>
          <w:b/>
          <w:u w:val="single"/>
        </w:rPr>
      </w:pPr>
      <w:r w:rsidRPr="00073051">
        <w:rPr>
          <w:b/>
          <w:u w:val="single"/>
        </w:rPr>
        <w:lastRenderedPageBreak/>
        <w:t>Challenges of the reflective thinking model</w:t>
      </w:r>
    </w:p>
    <w:p w14:paraId="105AC617" w14:textId="77777777" w:rsidR="004F5530" w:rsidRDefault="004F5530" w:rsidP="004F5530">
      <w:r>
        <w:t xml:space="preserve">The idea of teachers being a reflective practitioner has caused some debate around who benefits from the practice of reflection. Elliott (1993) argued that reflective practice is more so in practice about the teacher improving their own practice or meting their own objectives, Elliott suggests that as a result of this, the theory they deliver to students becomes biased as the teacher delivers the theory in a restructured version of their own and their own experiences, which Elliott (1993) implies makes an inappropriate delivery of competence based curriculum </w:t>
      </w:r>
      <w:sdt>
        <w:sdtPr>
          <w:id w:val="-2082979831"/>
          <w:citation/>
        </w:sdtPr>
        <w:sdtContent>
          <w:r>
            <w:fldChar w:fldCharType="begin"/>
          </w:r>
          <w:r>
            <w:instrText xml:space="preserve"> CITATION Ste06 \l 2057 </w:instrText>
          </w:r>
          <w:r>
            <w:fldChar w:fldCharType="separate"/>
          </w:r>
          <w:r w:rsidRPr="00D56E05">
            <w:rPr>
              <w:noProof/>
            </w:rPr>
            <w:t>(Newman, 2006)</w:t>
          </w:r>
          <w:r>
            <w:fldChar w:fldCharType="end"/>
          </w:r>
        </w:sdtContent>
      </w:sdt>
      <w:r>
        <w:t>.</w:t>
      </w:r>
    </w:p>
    <w:p w14:paraId="056E1423" w14:textId="77777777" w:rsidR="004F5530" w:rsidRDefault="004F5530" w:rsidP="004F5530">
      <w:r>
        <w:t xml:space="preserve">Gilroy ((1993) argued that the term `reflective practitioner` was too broad and open to many interpretations and could cause confusion to those engaging in the process, and therefore to practice reflective practice in a constructive way, practitioners would need clear guidance and instruction as well as research-based evidence and theory </w:t>
      </w:r>
      <w:sdt>
        <w:sdtPr>
          <w:id w:val="-162851523"/>
          <w:citation/>
        </w:sdtPr>
        <w:sdtContent>
          <w:r>
            <w:fldChar w:fldCharType="begin"/>
          </w:r>
          <w:r>
            <w:instrText xml:space="preserve"> CITATION LFi08 \l 2057 </w:instrText>
          </w:r>
          <w:r>
            <w:fldChar w:fldCharType="separate"/>
          </w:r>
          <w:r w:rsidRPr="00D56E05">
            <w:rPr>
              <w:noProof/>
            </w:rPr>
            <w:t>(Finlay, 2008)</w:t>
          </w:r>
          <w:r>
            <w:fldChar w:fldCharType="end"/>
          </w:r>
        </w:sdtContent>
      </w:sdt>
      <w:r>
        <w:t>.</w:t>
      </w:r>
    </w:p>
    <w:p w14:paraId="6B072388" w14:textId="77777777" w:rsidR="004F5530" w:rsidRPr="00073051" w:rsidRDefault="004F5530" w:rsidP="004F5530">
      <w:pPr>
        <w:rPr>
          <w:b/>
          <w:u w:val="single"/>
        </w:rPr>
      </w:pPr>
      <w:r w:rsidRPr="00073051">
        <w:rPr>
          <w:b/>
          <w:u w:val="single"/>
        </w:rPr>
        <w:t>Discussion</w:t>
      </w:r>
    </w:p>
    <w:p w14:paraId="0BEB07AE" w14:textId="77777777" w:rsidR="004F5530" w:rsidRDefault="004F5530" w:rsidP="004F5530">
      <w:r>
        <w:t xml:space="preserve">Overall there are many studies that provide enough evidence to suggest that reflective practice benefits far outweigh the negatives. The importance of reflection is highlighted in many studies. Those to do with transformational learning, experiential learning and action-based research in education. The studies all demonstrate that the use of reflective tools enabled teachers to successfully introduce learning activities that promote student learning. The introduction of systematic reflections through various models, theories and tools of reflection has proven to enhance teacher’s confidence and ownership of practice that in turn has enhanced student performance </w:t>
      </w:r>
      <w:sdt>
        <w:sdtPr>
          <w:id w:val="-1217659996"/>
          <w:citation/>
        </w:sdtPr>
        <w:sdtContent>
          <w:r>
            <w:fldChar w:fldCharType="begin"/>
          </w:r>
          <w:r>
            <w:instrText xml:space="preserve"> CITATION Fur121 \l 2057 </w:instrText>
          </w:r>
          <w:r>
            <w:fldChar w:fldCharType="separate"/>
          </w:r>
          <w:r w:rsidRPr="00D56E05">
            <w:rPr>
              <w:noProof/>
            </w:rPr>
            <w:t>(Furtado &amp; Anderson, 2012)</w:t>
          </w:r>
          <w:r>
            <w:fldChar w:fldCharType="end"/>
          </w:r>
        </w:sdtContent>
      </w:sdt>
      <w:r>
        <w:t>.</w:t>
      </w:r>
    </w:p>
    <w:p w14:paraId="529247A5" w14:textId="77777777" w:rsidR="004F5530" w:rsidRPr="00073051" w:rsidRDefault="004F5530" w:rsidP="004F5530">
      <w:pPr>
        <w:rPr>
          <w:b/>
          <w:u w:val="single"/>
        </w:rPr>
      </w:pPr>
      <w:r w:rsidRPr="00073051">
        <w:rPr>
          <w:b/>
          <w:u w:val="single"/>
        </w:rPr>
        <w:t>Conclusion</w:t>
      </w:r>
    </w:p>
    <w:p w14:paraId="50D36FF0" w14:textId="77777777" w:rsidR="004F5530" w:rsidRDefault="004F5530" w:rsidP="004F5530">
      <w:r>
        <w:t xml:space="preserve">Post compulsory education is currently designed with the underpinning philosophy that encourages and stimulates the development of reflection through practitioners </w:t>
      </w:r>
      <w:sdt>
        <w:sdtPr>
          <w:id w:val="-991106312"/>
          <w:citation/>
        </w:sdtPr>
        <w:sdtContent>
          <w:r>
            <w:fldChar w:fldCharType="begin"/>
          </w:r>
          <w:r>
            <w:instrText xml:space="preserve"> CITATION LFi09 \l 2057 </w:instrText>
          </w:r>
          <w:r>
            <w:fldChar w:fldCharType="separate"/>
          </w:r>
          <w:r w:rsidRPr="00D56E05">
            <w:rPr>
              <w:noProof/>
            </w:rPr>
            <w:t>(Finlay, 2009)</w:t>
          </w:r>
          <w:r>
            <w:fldChar w:fldCharType="end"/>
          </w:r>
        </w:sdtContent>
      </w:sdt>
      <w:r>
        <w:t xml:space="preserve">. Reflection is considered a necessary process for learning within the post compulsory sector. Teachers within the profession have often bene considered as the `reflective practitioner` and this has bene encouraged and celebrated amongst those who have fought to bring the post compulsory sectored into the professional focus it deserves </w:t>
      </w:r>
      <w:sdt>
        <w:sdtPr>
          <w:id w:val="1256485916"/>
          <w:citation/>
        </w:sdtPr>
        <w:sdtContent>
          <w:r>
            <w:fldChar w:fldCharType="begin"/>
          </w:r>
          <w:r>
            <w:instrText xml:space="preserve"> CITATION Ali15 \l 2057 </w:instrText>
          </w:r>
          <w:r>
            <w:fldChar w:fldCharType="separate"/>
          </w:r>
          <w:r w:rsidRPr="00D56E05">
            <w:rPr>
              <w:noProof/>
            </w:rPr>
            <w:t>(Ireldale, 2015)</w:t>
          </w:r>
          <w:r>
            <w:fldChar w:fldCharType="end"/>
          </w:r>
        </w:sdtContent>
      </w:sdt>
      <w:r>
        <w:t>.</w:t>
      </w:r>
    </w:p>
    <w:p w14:paraId="5A7A32B6" w14:textId="77777777" w:rsidR="004F5530" w:rsidRDefault="004F5530" w:rsidP="004F5530">
      <w:r>
        <w:t xml:space="preserve">Post compulsory education welcomes the development of reflection in all its practices and through them, professionals in this field believe that reflection inspires and motivates </w:t>
      </w:r>
      <w:sdt>
        <w:sdtPr>
          <w:id w:val="-232475359"/>
          <w:citation/>
        </w:sdtPr>
        <w:sdtContent>
          <w:r>
            <w:fldChar w:fldCharType="begin"/>
          </w:r>
          <w:r>
            <w:instrText xml:space="preserve"> CITATION Ken08 \l 2057 </w:instrText>
          </w:r>
          <w:r>
            <w:fldChar w:fldCharType="separate"/>
          </w:r>
          <w:r w:rsidRPr="00D56E05">
            <w:rPr>
              <w:noProof/>
            </w:rPr>
            <w:t>(Zichmer, 2008)</w:t>
          </w:r>
          <w:r>
            <w:fldChar w:fldCharType="end"/>
          </w:r>
        </w:sdtContent>
      </w:sdt>
      <w:r>
        <w:t xml:space="preserve">. Reflective practice has through evidence been identified as one of the processes whereby individuals learn better and take from their own experiences in life to support learning. In education reflective practice is recognised as an essential tool for helping students to make links between theory and practice, for example post compulsory students are taught theory, supported and encouraged to reflect using a sound body of evidence and reflective tool and participate in a placement where they are themselves given the opportunity to teach. During this process students are asked to experience the teaching, which in a reflective practice scenario would be taking experiences as a starting point for learning, thinking about it in a purposeful way, using the reflective process and then it is possible that understanding will develop and grow and as a result one can action the theory learned and implement changes into their practice positively </w:t>
      </w:r>
      <w:sdt>
        <w:sdtPr>
          <w:id w:val="-329291254"/>
          <w:citation/>
        </w:sdtPr>
        <w:sdtContent>
          <w:r>
            <w:fldChar w:fldCharType="begin"/>
          </w:r>
          <w:r>
            <w:instrText xml:space="preserve"> CITATION Mel13 \l 2057 </w:instrText>
          </w:r>
          <w:r>
            <w:fldChar w:fldCharType="separate"/>
          </w:r>
          <w:r w:rsidRPr="00D56E05">
            <w:rPr>
              <w:noProof/>
            </w:rPr>
            <w:t>(Jasper, 2013)</w:t>
          </w:r>
          <w:r>
            <w:fldChar w:fldCharType="end"/>
          </w:r>
        </w:sdtContent>
      </w:sdt>
      <w:r>
        <w:t>.</w:t>
      </w:r>
    </w:p>
    <w:p w14:paraId="1CF858DF" w14:textId="77777777" w:rsidR="004F5530" w:rsidRDefault="004F5530" w:rsidP="004F5530"/>
    <w:p w14:paraId="7E7613F0" w14:textId="77777777" w:rsidR="004F5530" w:rsidRDefault="004F5530" w:rsidP="004F5530">
      <w:r>
        <w:t xml:space="preserve">  </w:t>
      </w:r>
    </w:p>
    <w:p w14:paraId="12E7CF7B" w14:textId="77777777" w:rsidR="004F5530" w:rsidRDefault="004F5530" w:rsidP="004F5530"/>
    <w:sdt>
      <w:sdtPr>
        <w:rPr>
          <w:rFonts w:asciiTheme="minorHAnsi" w:eastAsiaTheme="minorHAnsi" w:hAnsiTheme="minorHAnsi" w:cstheme="minorBidi"/>
          <w:color w:val="auto"/>
          <w:sz w:val="22"/>
          <w:szCs w:val="22"/>
          <w:lang w:val="en-GB"/>
        </w:rPr>
        <w:id w:val="-674335699"/>
        <w:docPartObj>
          <w:docPartGallery w:val="Bibliographies"/>
          <w:docPartUnique/>
        </w:docPartObj>
      </w:sdtPr>
      <w:sdtContent>
        <w:p w14:paraId="620F6DBC" w14:textId="77777777" w:rsidR="004F5530" w:rsidRDefault="004F5530" w:rsidP="004F5530">
          <w:pPr>
            <w:pStyle w:val="Heading1"/>
          </w:pPr>
          <w:r>
            <w:t>References</w:t>
          </w:r>
        </w:p>
        <w:sdt>
          <w:sdtPr>
            <w:id w:val="-1548907249"/>
            <w:bibliography/>
          </w:sdtPr>
          <w:sdtContent>
            <w:p w14:paraId="04F1AD27" w14:textId="77777777" w:rsidR="004F5530" w:rsidRDefault="004F5530" w:rsidP="004F5530">
              <w:pPr>
                <w:pStyle w:val="Bibliography"/>
                <w:rPr>
                  <w:noProof/>
                  <w:sz w:val="24"/>
                  <w:szCs w:val="24"/>
                  <w:lang w:val="en-US"/>
                </w:rPr>
              </w:pPr>
              <w:r>
                <w:fldChar w:fldCharType="begin"/>
              </w:r>
              <w:r>
                <w:instrText xml:space="preserve"> BIBLIOGRAPHY </w:instrText>
              </w:r>
              <w:r>
                <w:fldChar w:fldCharType="separate"/>
              </w:r>
              <w:r>
                <w:rPr>
                  <w:noProof/>
                  <w:lang w:val="en-US"/>
                </w:rPr>
                <w:t xml:space="preserve">Ashcroft, K. &amp; Foreman- Peck, L., 1994. </w:t>
              </w:r>
              <w:r>
                <w:rPr>
                  <w:i/>
                  <w:iCs/>
                  <w:noProof/>
                  <w:lang w:val="en-US"/>
                </w:rPr>
                <w:t xml:space="preserve">Mnaging Teaching and Learning in further and Higher Education. </w:t>
              </w:r>
              <w:r>
                <w:rPr>
                  <w:noProof/>
                  <w:lang w:val="en-US"/>
                </w:rPr>
                <w:t>London: RoutledgeFalmer.</w:t>
              </w:r>
            </w:p>
            <w:p w14:paraId="468C5B34" w14:textId="77777777" w:rsidR="004F5530" w:rsidRDefault="004F5530" w:rsidP="004F5530">
              <w:pPr>
                <w:pStyle w:val="Bibliography"/>
                <w:rPr>
                  <w:noProof/>
                  <w:lang w:val="en-US"/>
                </w:rPr>
              </w:pPr>
              <w:r>
                <w:rPr>
                  <w:noProof/>
                  <w:lang w:val="en-US"/>
                </w:rPr>
                <w:t xml:space="preserve">Badia, G., 2017. Combining critical reflectrion and action research to improve pedagogy. </w:t>
              </w:r>
              <w:r>
                <w:rPr>
                  <w:i/>
                  <w:iCs/>
                  <w:noProof/>
                  <w:lang w:val="en-US"/>
                </w:rPr>
                <w:t xml:space="preserve">Libratraries and the academy of Johns Hopkins University Press, </w:t>
              </w:r>
              <w:r>
                <w:rPr>
                  <w:noProof/>
                  <w:lang w:val="en-US"/>
                </w:rPr>
                <w:t>17(4), pp. 695- 720.</w:t>
              </w:r>
            </w:p>
            <w:p w14:paraId="1193AFE9" w14:textId="77777777" w:rsidR="004F5530" w:rsidRDefault="004F5530" w:rsidP="004F5530">
              <w:pPr>
                <w:pStyle w:val="Bibliography"/>
                <w:rPr>
                  <w:noProof/>
                  <w:lang w:val="en-US"/>
                </w:rPr>
              </w:pPr>
              <w:r>
                <w:rPr>
                  <w:noProof/>
                  <w:lang w:val="en-US"/>
                </w:rPr>
                <w:t xml:space="preserve">Bates, B., 2015. </w:t>
              </w:r>
              <w:r>
                <w:rPr>
                  <w:i/>
                  <w:iCs/>
                  <w:noProof/>
                  <w:lang w:val="en-US"/>
                </w:rPr>
                <w:t xml:space="preserve">Learning theories in plain English. </w:t>
              </w:r>
              <w:r>
                <w:rPr>
                  <w:noProof/>
                  <w:lang w:val="en-US"/>
                </w:rPr>
                <w:t>London: SAGE.</w:t>
              </w:r>
            </w:p>
            <w:p w14:paraId="69D04533" w14:textId="77777777" w:rsidR="004F5530" w:rsidRDefault="004F5530" w:rsidP="004F5530">
              <w:pPr>
                <w:pStyle w:val="Bibliography"/>
                <w:rPr>
                  <w:noProof/>
                  <w:lang w:val="en-US"/>
                </w:rPr>
              </w:pPr>
              <w:r>
                <w:rPr>
                  <w:noProof/>
                  <w:lang w:val="en-US"/>
                </w:rPr>
                <w:t xml:space="preserve">Beckett, L., 2017. </w:t>
              </w:r>
              <w:r>
                <w:rPr>
                  <w:i/>
                  <w:iCs/>
                  <w:noProof/>
                  <w:lang w:val="en-US"/>
                </w:rPr>
                <w:t xml:space="preserve">Skills for learning. </w:t>
              </w:r>
              <w:r>
                <w:rPr>
                  <w:noProof/>
                  <w:lang w:val="en-US"/>
                </w:rPr>
                <w:t xml:space="preserve">[Online] </w:t>
              </w:r>
              <w:r>
                <w:rPr>
                  <w:noProof/>
                  <w:lang w:val="en-US"/>
                </w:rPr>
                <w:br/>
                <w:t xml:space="preserve">Available at: </w:t>
              </w:r>
              <w:r>
                <w:rPr>
                  <w:noProof/>
                  <w:u w:val="single"/>
                  <w:lang w:val="en-US"/>
                </w:rPr>
                <w:t>https://skillsforlearning.leedsbeckett.ac.uk/</w:t>
              </w:r>
              <w:r>
                <w:rPr>
                  <w:noProof/>
                  <w:lang w:val="en-US"/>
                </w:rPr>
                <w:br/>
                <w:t>[Accessed 8 May 2018].</w:t>
              </w:r>
            </w:p>
            <w:p w14:paraId="75FBA145" w14:textId="77777777" w:rsidR="004F5530" w:rsidRDefault="004F5530" w:rsidP="004F5530">
              <w:pPr>
                <w:pStyle w:val="Bibliography"/>
                <w:rPr>
                  <w:noProof/>
                  <w:lang w:val="en-US"/>
                </w:rPr>
              </w:pPr>
              <w:r>
                <w:rPr>
                  <w:noProof/>
                  <w:lang w:val="en-US"/>
                </w:rPr>
                <w:t xml:space="preserve">Brookfield, S., 2017. </w:t>
              </w:r>
              <w:r>
                <w:rPr>
                  <w:i/>
                  <w:iCs/>
                  <w:noProof/>
                  <w:lang w:val="en-US"/>
                </w:rPr>
                <w:t xml:space="preserve">Becoming a critically reflective teacher. </w:t>
              </w:r>
              <w:r>
                <w:rPr>
                  <w:noProof/>
                  <w:lang w:val="en-US"/>
                </w:rPr>
                <w:t>San Franscisco: Jossey Bass.</w:t>
              </w:r>
            </w:p>
            <w:p w14:paraId="5166DBE9" w14:textId="77777777" w:rsidR="004F5530" w:rsidRDefault="004F5530" w:rsidP="004F5530">
              <w:pPr>
                <w:pStyle w:val="Bibliography"/>
                <w:rPr>
                  <w:noProof/>
                  <w:lang w:val="en-US"/>
                </w:rPr>
              </w:pPr>
              <w:r>
                <w:rPr>
                  <w:noProof/>
                  <w:lang w:val="en-US"/>
                </w:rPr>
                <w:t xml:space="preserve">Cranton, P., 2016. </w:t>
              </w:r>
              <w:r>
                <w:rPr>
                  <w:i/>
                  <w:iCs/>
                  <w:noProof/>
                  <w:lang w:val="en-US"/>
                </w:rPr>
                <w:t xml:space="preserve">Understanding and promoting transformative learning: a guide to theory and practice. </w:t>
              </w:r>
              <w:r>
                <w:rPr>
                  <w:noProof/>
                  <w:lang w:val="en-US"/>
                </w:rPr>
                <w:t>Third ed. Virginia: Stylus.</w:t>
              </w:r>
            </w:p>
            <w:p w14:paraId="720F5F9F" w14:textId="77777777" w:rsidR="004F5530" w:rsidRDefault="004F5530" w:rsidP="004F5530">
              <w:pPr>
                <w:pStyle w:val="Bibliography"/>
                <w:rPr>
                  <w:noProof/>
                  <w:lang w:val="en-US"/>
                </w:rPr>
              </w:pPr>
              <w:r>
                <w:rPr>
                  <w:noProof/>
                  <w:lang w:val="en-US"/>
                </w:rPr>
                <w:t xml:space="preserve">Finlay, L., 2008. Reflecting on reflective practice. </w:t>
              </w:r>
              <w:r>
                <w:rPr>
                  <w:i/>
                  <w:iCs/>
                  <w:noProof/>
                  <w:lang w:val="en-US"/>
                </w:rPr>
                <w:t>The Open University.</w:t>
              </w:r>
            </w:p>
            <w:p w14:paraId="52D438C4" w14:textId="77777777" w:rsidR="004F5530" w:rsidRDefault="004F5530" w:rsidP="004F5530">
              <w:pPr>
                <w:pStyle w:val="Bibliography"/>
                <w:rPr>
                  <w:noProof/>
                  <w:lang w:val="en-US"/>
                </w:rPr>
              </w:pPr>
              <w:r>
                <w:rPr>
                  <w:noProof/>
                  <w:lang w:val="en-US"/>
                </w:rPr>
                <w:t xml:space="preserve">Finlay, L., 2009. </w:t>
              </w:r>
              <w:r>
                <w:rPr>
                  <w:i/>
                  <w:iCs/>
                  <w:noProof/>
                  <w:lang w:val="en-US"/>
                </w:rPr>
                <w:t xml:space="preserve">Reflecting on reflective practice, </w:t>
              </w:r>
              <w:r>
                <w:rPr>
                  <w:noProof/>
                  <w:lang w:val="en-US"/>
                </w:rPr>
                <w:t>Milton Keynes: Open University.</w:t>
              </w:r>
            </w:p>
            <w:p w14:paraId="3292A786" w14:textId="77777777" w:rsidR="004F5530" w:rsidRDefault="004F5530" w:rsidP="004F5530">
              <w:pPr>
                <w:pStyle w:val="Bibliography"/>
                <w:rPr>
                  <w:noProof/>
                  <w:lang w:val="en-US"/>
                </w:rPr>
              </w:pPr>
              <w:r>
                <w:rPr>
                  <w:noProof/>
                  <w:lang w:val="en-US"/>
                </w:rPr>
                <w:t xml:space="preserve">Fook, J. &amp; Gardner, F., 2007. </w:t>
              </w:r>
              <w:r>
                <w:rPr>
                  <w:i/>
                  <w:iCs/>
                  <w:noProof/>
                  <w:lang w:val="en-US"/>
                </w:rPr>
                <w:t xml:space="preserve">Practising Critical Reflection: A resource handbook. </w:t>
              </w:r>
              <w:r>
                <w:rPr>
                  <w:noProof/>
                  <w:lang w:val="en-US"/>
                </w:rPr>
                <w:t>London: McGraw- Hill Education.</w:t>
              </w:r>
            </w:p>
            <w:p w14:paraId="3F317DDF" w14:textId="77777777" w:rsidR="004F5530" w:rsidRDefault="004F5530" w:rsidP="004F5530">
              <w:pPr>
                <w:pStyle w:val="Bibliography"/>
                <w:rPr>
                  <w:noProof/>
                  <w:lang w:val="en-US"/>
                </w:rPr>
              </w:pPr>
              <w:r>
                <w:rPr>
                  <w:noProof/>
                  <w:lang w:val="en-US"/>
                </w:rPr>
                <w:t xml:space="preserve">Furtado, L. &amp; Anderson, D., 2012. The reflective teacher leader: An action reserach model. </w:t>
              </w:r>
              <w:r>
                <w:rPr>
                  <w:i/>
                  <w:iCs/>
                  <w:noProof/>
                  <w:lang w:val="en-US"/>
                </w:rPr>
                <w:t xml:space="preserve">Journal of school leadership, </w:t>
              </w:r>
              <w:r>
                <w:rPr>
                  <w:noProof/>
                  <w:lang w:val="en-US"/>
                </w:rPr>
                <w:t>22(3).</w:t>
              </w:r>
            </w:p>
            <w:p w14:paraId="68B6A4B5" w14:textId="77777777" w:rsidR="004F5530" w:rsidRDefault="004F5530" w:rsidP="004F5530">
              <w:pPr>
                <w:pStyle w:val="Bibliography"/>
                <w:rPr>
                  <w:noProof/>
                  <w:lang w:val="en-US"/>
                </w:rPr>
              </w:pPr>
              <w:r>
                <w:rPr>
                  <w:noProof/>
                  <w:lang w:val="en-US"/>
                </w:rPr>
                <w:t xml:space="preserve">Gaynor, A., 2013. </w:t>
              </w:r>
              <w:r>
                <w:rPr>
                  <w:i/>
                  <w:iCs/>
                  <w:noProof/>
                  <w:lang w:val="en-US"/>
                </w:rPr>
                <w:t xml:space="preserve">Schön’s (1983) Reflection-in-action and reflection-on-action. </w:t>
              </w:r>
              <w:r>
                <w:rPr>
                  <w:noProof/>
                  <w:lang w:val="en-US"/>
                </w:rPr>
                <w:t>London: The Learning Quality Support Unit.</w:t>
              </w:r>
            </w:p>
            <w:p w14:paraId="41D9A5A5" w14:textId="77777777" w:rsidR="004F5530" w:rsidRDefault="004F5530" w:rsidP="004F5530">
              <w:pPr>
                <w:pStyle w:val="Bibliography"/>
                <w:rPr>
                  <w:noProof/>
                  <w:lang w:val="en-US"/>
                </w:rPr>
              </w:pPr>
              <w:r>
                <w:rPr>
                  <w:noProof/>
                  <w:lang w:val="en-US"/>
                </w:rPr>
                <w:t xml:space="preserve">Ghaye, T., 2010. </w:t>
              </w:r>
              <w:r>
                <w:rPr>
                  <w:i/>
                  <w:iCs/>
                  <w:noProof/>
                  <w:lang w:val="en-US"/>
                </w:rPr>
                <w:t xml:space="preserve">Teaching and learning through reflective practice: A practical guide. </w:t>
              </w:r>
              <w:r>
                <w:rPr>
                  <w:noProof/>
                  <w:lang w:val="en-US"/>
                </w:rPr>
                <w:t>Second ed. New York: Routledge.</w:t>
              </w:r>
            </w:p>
            <w:p w14:paraId="55B48860" w14:textId="77777777" w:rsidR="004F5530" w:rsidRDefault="004F5530" w:rsidP="004F5530">
              <w:pPr>
                <w:pStyle w:val="Bibliography"/>
                <w:rPr>
                  <w:noProof/>
                  <w:lang w:val="en-US"/>
                </w:rPr>
              </w:pPr>
              <w:r>
                <w:rPr>
                  <w:noProof/>
                  <w:lang w:val="en-US"/>
                </w:rPr>
                <w:t xml:space="preserve">Ireldale, A., 2015. </w:t>
              </w:r>
              <w:r>
                <w:rPr>
                  <w:i/>
                  <w:iCs/>
                  <w:noProof/>
                  <w:lang w:val="en-US"/>
                </w:rPr>
                <w:t xml:space="preserve">In pursuit of knlowedge. </w:t>
              </w:r>
              <w:r>
                <w:rPr>
                  <w:noProof/>
                  <w:lang w:val="en-US"/>
                </w:rPr>
                <w:t>Huddlesfield: University of Huddlesfiled.</w:t>
              </w:r>
            </w:p>
            <w:p w14:paraId="09E0B820" w14:textId="77777777" w:rsidR="004F5530" w:rsidRDefault="004F5530" w:rsidP="004F5530">
              <w:pPr>
                <w:pStyle w:val="Bibliography"/>
                <w:rPr>
                  <w:noProof/>
                  <w:lang w:val="en-US"/>
                </w:rPr>
              </w:pPr>
              <w:r>
                <w:rPr>
                  <w:noProof/>
                  <w:lang w:val="en-US"/>
                </w:rPr>
                <w:t xml:space="preserve">Jasper, M., 2013. </w:t>
              </w:r>
              <w:r>
                <w:rPr>
                  <w:i/>
                  <w:iCs/>
                  <w:noProof/>
                  <w:lang w:val="en-US"/>
                </w:rPr>
                <w:t xml:space="preserve">Beginning reflective practice. </w:t>
              </w:r>
              <w:r>
                <w:rPr>
                  <w:noProof/>
                  <w:lang w:val="en-US"/>
                </w:rPr>
                <w:t>Second ed. Boston: Cangage Learning.</w:t>
              </w:r>
            </w:p>
            <w:p w14:paraId="0D0450A9" w14:textId="77777777" w:rsidR="004F5530" w:rsidRDefault="004F5530" w:rsidP="004F5530">
              <w:pPr>
                <w:pStyle w:val="Bibliography"/>
                <w:rPr>
                  <w:noProof/>
                  <w:lang w:val="en-US"/>
                </w:rPr>
              </w:pPr>
              <w:r>
                <w:rPr>
                  <w:noProof/>
                  <w:lang w:val="en-US"/>
                </w:rPr>
                <w:t xml:space="preserve">Johns, C., 2005. </w:t>
              </w:r>
              <w:r>
                <w:rPr>
                  <w:i/>
                  <w:iCs/>
                  <w:noProof/>
                  <w:lang w:val="en-US"/>
                </w:rPr>
                <w:t xml:space="preserve">Becoming a reflective practitioner. </w:t>
              </w:r>
              <w:r>
                <w:rPr>
                  <w:noProof/>
                  <w:lang w:val="en-US"/>
                </w:rPr>
                <w:t>Oxford: Blackewell Science.</w:t>
              </w:r>
            </w:p>
            <w:p w14:paraId="79971D3C" w14:textId="77777777" w:rsidR="004F5530" w:rsidRDefault="004F5530" w:rsidP="004F5530">
              <w:pPr>
                <w:pStyle w:val="Bibliography"/>
                <w:rPr>
                  <w:noProof/>
                  <w:lang w:val="en-US"/>
                </w:rPr>
              </w:pPr>
              <w:r>
                <w:rPr>
                  <w:noProof/>
                  <w:lang w:val="en-US"/>
                </w:rPr>
                <w:t xml:space="preserve">Kolb, A., 2005. Learning styles and learning spaces: Enhancing experientiallearning in higher education. </w:t>
              </w:r>
              <w:r>
                <w:rPr>
                  <w:i/>
                  <w:iCs/>
                  <w:noProof/>
                  <w:lang w:val="en-US"/>
                </w:rPr>
                <w:t xml:space="preserve">Academy of mangement learning education, </w:t>
              </w:r>
              <w:r>
                <w:rPr>
                  <w:noProof/>
                  <w:lang w:val="en-US"/>
                </w:rPr>
                <w:t>4(2), pp. 193- 212.</w:t>
              </w:r>
            </w:p>
            <w:p w14:paraId="35498FB1" w14:textId="77777777" w:rsidR="004F5530" w:rsidRDefault="004F5530" w:rsidP="004F5530">
              <w:pPr>
                <w:pStyle w:val="Bibliography"/>
                <w:rPr>
                  <w:noProof/>
                  <w:lang w:val="en-US"/>
                </w:rPr>
              </w:pPr>
              <w:r>
                <w:rPr>
                  <w:noProof/>
                  <w:lang w:val="en-US"/>
                </w:rPr>
                <w:t xml:space="preserve">Korthagen, F., Kessels, J., Koster, B. &amp; Lagerwerf, B., 2001. </w:t>
              </w:r>
              <w:r>
                <w:rPr>
                  <w:i/>
                  <w:iCs/>
                  <w:noProof/>
                  <w:lang w:val="en-US"/>
                </w:rPr>
                <w:t xml:space="preserve">Linking practice to theory: The pedagogy of realistic teacher education. </w:t>
              </w:r>
              <w:r>
                <w:rPr>
                  <w:noProof/>
                  <w:lang w:val="en-US"/>
                </w:rPr>
                <w:t>London: Routledge.</w:t>
              </w:r>
            </w:p>
            <w:p w14:paraId="621A4DBE" w14:textId="77777777" w:rsidR="004F5530" w:rsidRDefault="004F5530" w:rsidP="004F5530">
              <w:pPr>
                <w:pStyle w:val="Bibliography"/>
                <w:rPr>
                  <w:noProof/>
                  <w:lang w:val="en-US"/>
                </w:rPr>
              </w:pPr>
              <w:r>
                <w:rPr>
                  <w:noProof/>
                  <w:lang w:val="en-US"/>
                </w:rPr>
                <w:t xml:space="preserve">Lawrence, L., 2017. </w:t>
              </w:r>
              <w:r>
                <w:rPr>
                  <w:i/>
                  <w:iCs/>
                  <w:noProof/>
                  <w:lang w:val="en-US"/>
                </w:rPr>
                <w:t xml:space="preserve">The reflective practitioner in proffesional education. </w:t>
              </w:r>
              <w:r>
                <w:rPr>
                  <w:noProof/>
                  <w:lang w:val="en-US"/>
                </w:rPr>
                <w:t>Basingstoke: Palgrave.</w:t>
              </w:r>
            </w:p>
            <w:p w14:paraId="26256710" w14:textId="77777777" w:rsidR="004F5530" w:rsidRDefault="004F5530" w:rsidP="004F5530">
              <w:pPr>
                <w:pStyle w:val="Bibliography"/>
                <w:rPr>
                  <w:noProof/>
                  <w:lang w:val="en-US"/>
                </w:rPr>
              </w:pPr>
              <w:r>
                <w:rPr>
                  <w:noProof/>
                  <w:lang w:val="en-US"/>
                </w:rPr>
                <w:t xml:space="preserve">Lee, H.-. j., 2005. Understanding and assessing preservice teachers’ reflective thinking. </w:t>
              </w:r>
              <w:r>
                <w:rPr>
                  <w:i/>
                  <w:iCs/>
                  <w:noProof/>
                  <w:lang w:val="en-US"/>
                </w:rPr>
                <w:t xml:space="preserve">Teaching and teacher education, </w:t>
              </w:r>
              <w:r>
                <w:rPr>
                  <w:noProof/>
                  <w:lang w:val="en-US"/>
                </w:rPr>
                <w:t>21(6), pp. 699-715.</w:t>
              </w:r>
            </w:p>
            <w:p w14:paraId="03EFA004" w14:textId="77777777" w:rsidR="004F5530" w:rsidRDefault="004F5530" w:rsidP="004F5530">
              <w:pPr>
                <w:pStyle w:val="Bibliography"/>
                <w:rPr>
                  <w:noProof/>
                  <w:lang w:val="en-US"/>
                </w:rPr>
              </w:pPr>
              <w:r>
                <w:rPr>
                  <w:noProof/>
                  <w:lang w:val="en-US"/>
                </w:rPr>
                <w:t xml:space="preserve">Mcleod, G., 2015. Best practice for teaching and learning strategies to facilitate student reflection in pre- registration health proffesional education. </w:t>
              </w:r>
              <w:r>
                <w:rPr>
                  <w:i/>
                  <w:iCs/>
                  <w:noProof/>
                  <w:lang w:val="en-US"/>
                </w:rPr>
                <w:t xml:space="preserve">Scientific Research Publishing, </w:t>
              </w:r>
              <w:r>
                <w:rPr>
                  <w:noProof/>
                  <w:lang w:val="en-US"/>
                </w:rPr>
                <w:t>Volume 6, pp. 440 - 454.</w:t>
              </w:r>
            </w:p>
            <w:p w14:paraId="1ADA6CB5" w14:textId="77777777" w:rsidR="004F5530" w:rsidRDefault="004F5530" w:rsidP="004F5530">
              <w:pPr>
                <w:pStyle w:val="Bibliography"/>
                <w:rPr>
                  <w:noProof/>
                  <w:lang w:val="en-US"/>
                </w:rPr>
              </w:pPr>
              <w:r>
                <w:rPr>
                  <w:noProof/>
                  <w:lang w:val="en-US"/>
                </w:rPr>
                <w:lastRenderedPageBreak/>
                <w:t xml:space="preserve">McMahon, T., 1991. Is Reflective Practice Synonymous with action reserach?. </w:t>
              </w:r>
              <w:r>
                <w:rPr>
                  <w:i/>
                  <w:iCs/>
                  <w:noProof/>
                  <w:lang w:val="en-US"/>
                </w:rPr>
                <w:t xml:space="preserve">Educational Action Research, </w:t>
              </w:r>
              <w:r>
                <w:rPr>
                  <w:noProof/>
                  <w:lang w:val="en-US"/>
                </w:rPr>
                <w:t>7(1), pp. 163- 169.</w:t>
              </w:r>
            </w:p>
            <w:p w14:paraId="48891885" w14:textId="77777777" w:rsidR="004F5530" w:rsidRDefault="004F5530" w:rsidP="004F5530">
              <w:pPr>
                <w:pStyle w:val="Bibliography"/>
                <w:rPr>
                  <w:noProof/>
                  <w:lang w:val="en-US"/>
                </w:rPr>
              </w:pPr>
              <w:r>
                <w:rPr>
                  <w:noProof/>
                  <w:lang w:val="en-US"/>
                </w:rPr>
                <w:t xml:space="preserve">McMahon, T., 2006. Is reflective practice synonymous with action research?. </w:t>
              </w:r>
              <w:r>
                <w:rPr>
                  <w:i/>
                  <w:iCs/>
                  <w:noProof/>
                  <w:lang w:val="en-US"/>
                </w:rPr>
                <w:t xml:space="preserve">Educational action research, </w:t>
              </w:r>
              <w:r>
                <w:rPr>
                  <w:noProof/>
                  <w:lang w:val="en-US"/>
                </w:rPr>
                <w:t>Volume 7, pp. 163- 169.</w:t>
              </w:r>
            </w:p>
            <w:p w14:paraId="4E7E8C12" w14:textId="77777777" w:rsidR="004F5530" w:rsidRDefault="004F5530" w:rsidP="004F5530">
              <w:pPr>
                <w:pStyle w:val="Bibliography"/>
                <w:rPr>
                  <w:noProof/>
                  <w:lang w:val="en-US"/>
                </w:rPr>
              </w:pPr>
              <w:r>
                <w:rPr>
                  <w:noProof/>
                  <w:lang w:val="en-US"/>
                </w:rPr>
                <w:t xml:space="preserve">Morre, A. &amp; Ash, A., 2002. </w:t>
              </w:r>
              <w:r>
                <w:rPr>
                  <w:i/>
                  <w:iCs/>
                  <w:noProof/>
                  <w:lang w:val="en-US"/>
                </w:rPr>
                <w:t xml:space="preserve">Reflective practice in beginning teachers: helps, hindrances and the role of the critical other. </w:t>
              </w:r>
              <w:r>
                <w:rPr>
                  <w:noProof/>
                  <w:lang w:val="en-US"/>
                </w:rPr>
                <w:t xml:space="preserve">[Online] </w:t>
              </w:r>
              <w:r>
                <w:rPr>
                  <w:noProof/>
                  <w:lang w:val="en-US"/>
                </w:rPr>
                <w:br/>
                <w:t xml:space="preserve">Available at: </w:t>
              </w:r>
              <w:r>
                <w:rPr>
                  <w:noProof/>
                  <w:u w:val="single"/>
                  <w:lang w:val="en-US"/>
                </w:rPr>
                <w:t>https://www.leeds.ac.uk/educol/documents/00002531.htm</w:t>
              </w:r>
              <w:r>
                <w:rPr>
                  <w:noProof/>
                  <w:lang w:val="en-US"/>
                </w:rPr>
                <w:br/>
                <w:t>[Accessed 18 May 2018].</w:t>
              </w:r>
            </w:p>
            <w:p w14:paraId="67D05BA3" w14:textId="77777777" w:rsidR="004F5530" w:rsidRDefault="004F5530" w:rsidP="004F5530">
              <w:pPr>
                <w:pStyle w:val="Bibliography"/>
                <w:rPr>
                  <w:noProof/>
                  <w:lang w:val="en-US"/>
                </w:rPr>
              </w:pPr>
              <w:r>
                <w:rPr>
                  <w:noProof/>
                  <w:lang w:val="en-US"/>
                </w:rPr>
                <w:t xml:space="preserve">Newman, S., 2006. Constructing and critquing reflective practice. </w:t>
              </w:r>
              <w:r>
                <w:rPr>
                  <w:i/>
                  <w:iCs/>
                  <w:noProof/>
                  <w:lang w:val="en-US"/>
                </w:rPr>
                <w:t xml:space="preserve">Education action research, </w:t>
              </w:r>
              <w:r>
                <w:rPr>
                  <w:noProof/>
                  <w:lang w:val="en-US"/>
                </w:rPr>
                <w:t>pp. 1747- 5074.</w:t>
              </w:r>
            </w:p>
            <w:p w14:paraId="3F5878E5" w14:textId="77777777" w:rsidR="004F5530" w:rsidRDefault="004F5530" w:rsidP="004F5530">
              <w:pPr>
                <w:pStyle w:val="Bibliography"/>
                <w:rPr>
                  <w:noProof/>
                  <w:lang w:val="en-US"/>
                </w:rPr>
              </w:pPr>
              <w:r>
                <w:rPr>
                  <w:noProof/>
                  <w:lang w:val="en-US"/>
                </w:rPr>
                <w:t xml:space="preserve">Zichmer, K., 2008. A critical analysis of reflection as a goal for teacher education. </w:t>
              </w:r>
              <w:r>
                <w:rPr>
                  <w:i/>
                  <w:iCs/>
                  <w:noProof/>
                  <w:lang w:val="en-US"/>
                </w:rPr>
                <w:t xml:space="preserve">University of Wisconsin- Madison, </w:t>
              </w:r>
              <w:r>
                <w:rPr>
                  <w:noProof/>
                  <w:lang w:val="en-US"/>
                </w:rPr>
                <w:t>29(103).</w:t>
              </w:r>
            </w:p>
            <w:p w14:paraId="4022CC9F" w14:textId="77777777" w:rsidR="004F5530" w:rsidRDefault="004F5530" w:rsidP="004F5530">
              <w:r>
                <w:rPr>
                  <w:b/>
                  <w:bCs/>
                  <w:noProof/>
                </w:rPr>
                <w:fldChar w:fldCharType="end"/>
              </w:r>
            </w:p>
          </w:sdtContent>
        </w:sdt>
      </w:sdtContent>
    </w:sdt>
    <w:p w14:paraId="1210CB07" w14:textId="77777777" w:rsidR="004F5530" w:rsidRDefault="004F5530" w:rsidP="004F5530"/>
    <w:p w14:paraId="58EEDD22" w14:textId="77777777" w:rsidR="0071063A" w:rsidRDefault="0071063A" w:rsidP="004F5530">
      <w:pPr>
        <w:jc w:val="center"/>
      </w:pPr>
    </w:p>
    <w:sectPr w:rsidR="0071063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FE2A4A" w14:textId="77777777" w:rsidR="003F107B" w:rsidRDefault="003F107B" w:rsidP="00F9200E">
      <w:pPr>
        <w:spacing w:after="0" w:line="240" w:lineRule="auto"/>
      </w:pPr>
      <w:r>
        <w:separator/>
      </w:r>
    </w:p>
  </w:endnote>
  <w:endnote w:type="continuationSeparator" w:id="0">
    <w:p w14:paraId="19148001" w14:textId="77777777" w:rsidR="003F107B" w:rsidRDefault="003F107B" w:rsidP="00F92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4B369" w14:textId="77777777" w:rsidR="00F9200E" w:rsidRDefault="00F9200E">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4755469"/>
      <w:docPartObj>
        <w:docPartGallery w:val="Page Numbers (Bottom of Page)"/>
        <w:docPartUnique/>
      </w:docPartObj>
    </w:sdtPr>
    <w:sdtEndPr>
      <w:rPr>
        <w:noProof/>
      </w:rPr>
    </w:sdtEndPr>
    <w:sdtContent>
      <w:p w14:paraId="08DD39C5" w14:textId="793CF048" w:rsidR="00F9200E" w:rsidRDefault="00F9200E">
        <w:pPr>
          <w:pStyle w:val="Footer"/>
        </w:pPr>
        <w:r>
          <w:fldChar w:fldCharType="begin"/>
        </w:r>
        <w:r>
          <w:instrText xml:space="preserve"> PAGE   \* MERGEFORMAT </w:instrText>
        </w:r>
        <w:r>
          <w:fldChar w:fldCharType="separate"/>
        </w:r>
        <w:r w:rsidR="00F44E52">
          <w:rPr>
            <w:noProof/>
          </w:rPr>
          <w:t>14</w:t>
        </w:r>
        <w:r>
          <w:rPr>
            <w:noProof/>
          </w:rPr>
          <w:fldChar w:fldCharType="end"/>
        </w:r>
      </w:p>
    </w:sdtContent>
  </w:sdt>
  <w:p w14:paraId="76B9F499" w14:textId="77777777" w:rsidR="00F9200E" w:rsidRDefault="00F9200E">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D258CD" w14:textId="77777777" w:rsidR="00F9200E" w:rsidRDefault="00F9200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BD83C5" w14:textId="77777777" w:rsidR="003F107B" w:rsidRDefault="003F107B" w:rsidP="00F9200E">
      <w:pPr>
        <w:spacing w:after="0" w:line="240" w:lineRule="auto"/>
      </w:pPr>
      <w:r>
        <w:separator/>
      </w:r>
    </w:p>
  </w:footnote>
  <w:footnote w:type="continuationSeparator" w:id="0">
    <w:p w14:paraId="60623FF8" w14:textId="77777777" w:rsidR="003F107B" w:rsidRDefault="003F107B" w:rsidP="00F920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3CA718" w14:textId="77777777" w:rsidR="00F9200E" w:rsidRDefault="00F9200E">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F2CDAF" w14:textId="202AF0CF" w:rsidR="00F9200E" w:rsidRDefault="00F9200E">
    <w:pPr>
      <w:pStyle w:val="Header"/>
    </w:pPr>
    <w:r>
      <w:t>Shelley Williams</w:t>
    </w:r>
    <w:r>
      <w:ptab w:relativeTo="margin" w:alignment="center" w:leader="none"/>
    </w:r>
    <w:r>
      <w:t>PDP</w:t>
    </w:r>
    <w:r>
      <w:ptab w:relativeTo="margin" w:alignment="right" w:leader="none"/>
    </w:r>
    <w:r>
      <w:t>May 2018</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2042A0" w14:textId="77777777" w:rsidR="00F9200E" w:rsidRDefault="00F9200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72051A"/>
    <w:multiLevelType w:val="hybridMultilevel"/>
    <w:tmpl w:val="BE0C6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130584"/>
    <w:multiLevelType w:val="hybridMultilevel"/>
    <w:tmpl w:val="4E8E2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2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32D8"/>
    <w:rsid w:val="00125CB8"/>
    <w:rsid w:val="002A32D8"/>
    <w:rsid w:val="003229C2"/>
    <w:rsid w:val="003C619C"/>
    <w:rsid w:val="003D0D99"/>
    <w:rsid w:val="003F107B"/>
    <w:rsid w:val="00485CF8"/>
    <w:rsid w:val="004F5530"/>
    <w:rsid w:val="005026A5"/>
    <w:rsid w:val="00633147"/>
    <w:rsid w:val="0071063A"/>
    <w:rsid w:val="00724673"/>
    <w:rsid w:val="0075737F"/>
    <w:rsid w:val="007629D1"/>
    <w:rsid w:val="007D0352"/>
    <w:rsid w:val="0085361A"/>
    <w:rsid w:val="00854FD5"/>
    <w:rsid w:val="0088279A"/>
    <w:rsid w:val="008B4D47"/>
    <w:rsid w:val="008D152C"/>
    <w:rsid w:val="008E433B"/>
    <w:rsid w:val="009A2A96"/>
    <w:rsid w:val="00A17C90"/>
    <w:rsid w:val="00A2586A"/>
    <w:rsid w:val="00A44938"/>
    <w:rsid w:val="00AC70CB"/>
    <w:rsid w:val="00AE2F59"/>
    <w:rsid w:val="00BA3795"/>
    <w:rsid w:val="00BA56C1"/>
    <w:rsid w:val="00C057C4"/>
    <w:rsid w:val="00C54E2C"/>
    <w:rsid w:val="00C73176"/>
    <w:rsid w:val="00D430D8"/>
    <w:rsid w:val="00D92876"/>
    <w:rsid w:val="00DF0BD5"/>
    <w:rsid w:val="00E00538"/>
    <w:rsid w:val="00E87187"/>
    <w:rsid w:val="00F44E52"/>
    <w:rsid w:val="00F8560C"/>
    <w:rsid w:val="00F92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5E293"/>
  <w15:chartTrackingRefBased/>
  <w15:docId w15:val="{C824F059-9E2A-4D08-AF5D-F0DCC7EB3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56C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32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A32D8"/>
    <w:pPr>
      <w:spacing w:after="200" w:line="276" w:lineRule="auto"/>
      <w:ind w:left="720"/>
      <w:contextualSpacing/>
    </w:pPr>
  </w:style>
  <w:style w:type="character" w:styleId="Hyperlink">
    <w:name w:val="Hyperlink"/>
    <w:basedOn w:val="DefaultParagraphFont"/>
    <w:uiPriority w:val="99"/>
    <w:unhideWhenUsed/>
    <w:rsid w:val="00724673"/>
    <w:rPr>
      <w:color w:val="0563C1" w:themeColor="hyperlink"/>
      <w:u w:val="single"/>
    </w:rPr>
  </w:style>
  <w:style w:type="character" w:customStyle="1" w:styleId="UnresolvedMention1">
    <w:name w:val="Unresolved Mention1"/>
    <w:basedOn w:val="DefaultParagraphFont"/>
    <w:uiPriority w:val="99"/>
    <w:semiHidden/>
    <w:unhideWhenUsed/>
    <w:rsid w:val="00724673"/>
    <w:rPr>
      <w:color w:val="808080"/>
      <w:shd w:val="clear" w:color="auto" w:fill="E6E6E6"/>
    </w:rPr>
  </w:style>
  <w:style w:type="character" w:customStyle="1" w:styleId="Heading1Char">
    <w:name w:val="Heading 1 Char"/>
    <w:basedOn w:val="DefaultParagraphFont"/>
    <w:link w:val="Heading1"/>
    <w:uiPriority w:val="9"/>
    <w:rsid w:val="00BA56C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A56C1"/>
  </w:style>
  <w:style w:type="paragraph" w:styleId="Header">
    <w:name w:val="header"/>
    <w:basedOn w:val="Normal"/>
    <w:link w:val="HeaderChar"/>
    <w:uiPriority w:val="99"/>
    <w:unhideWhenUsed/>
    <w:rsid w:val="00F92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00E"/>
  </w:style>
  <w:style w:type="paragraph" w:styleId="Footer">
    <w:name w:val="footer"/>
    <w:basedOn w:val="Normal"/>
    <w:link w:val="FooterChar"/>
    <w:uiPriority w:val="99"/>
    <w:unhideWhenUsed/>
    <w:rsid w:val="00F92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0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0699">
      <w:bodyDiv w:val="1"/>
      <w:marLeft w:val="0"/>
      <w:marRight w:val="0"/>
      <w:marTop w:val="0"/>
      <w:marBottom w:val="0"/>
      <w:divBdr>
        <w:top w:val="none" w:sz="0" w:space="0" w:color="auto"/>
        <w:left w:val="none" w:sz="0" w:space="0" w:color="auto"/>
        <w:bottom w:val="none" w:sz="0" w:space="0" w:color="auto"/>
        <w:right w:val="none" w:sz="0" w:space="0" w:color="auto"/>
      </w:divBdr>
    </w:div>
    <w:div w:id="31853725">
      <w:bodyDiv w:val="1"/>
      <w:marLeft w:val="0"/>
      <w:marRight w:val="0"/>
      <w:marTop w:val="0"/>
      <w:marBottom w:val="0"/>
      <w:divBdr>
        <w:top w:val="none" w:sz="0" w:space="0" w:color="auto"/>
        <w:left w:val="none" w:sz="0" w:space="0" w:color="auto"/>
        <w:bottom w:val="none" w:sz="0" w:space="0" w:color="auto"/>
        <w:right w:val="none" w:sz="0" w:space="0" w:color="auto"/>
      </w:divBdr>
    </w:div>
    <w:div w:id="86582280">
      <w:bodyDiv w:val="1"/>
      <w:marLeft w:val="0"/>
      <w:marRight w:val="0"/>
      <w:marTop w:val="0"/>
      <w:marBottom w:val="0"/>
      <w:divBdr>
        <w:top w:val="none" w:sz="0" w:space="0" w:color="auto"/>
        <w:left w:val="none" w:sz="0" w:space="0" w:color="auto"/>
        <w:bottom w:val="none" w:sz="0" w:space="0" w:color="auto"/>
        <w:right w:val="none" w:sz="0" w:space="0" w:color="auto"/>
      </w:divBdr>
    </w:div>
    <w:div w:id="144012577">
      <w:bodyDiv w:val="1"/>
      <w:marLeft w:val="0"/>
      <w:marRight w:val="0"/>
      <w:marTop w:val="0"/>
      <w:marBottom w:val="0"/>
      <w:divBdr>
        <w:top w:val="none" w:sz="0" w:space="0" w:color="auto"/>
        <w:left w:val="none" w:sz="0" w:space="0" w:color="auto"/>
        <w:bottom w:val="none" w:sz="0" w:space="0" w:color="auto"/>
        <w:right w:val="none" w:sz="0" w:space="0" w:color="auto"/>
      </w:divBdr>
    </w:div>
    <w:div w:id="155418117">
      <w:bodyDiv w:val="1"/>
      <w:marLeft w:val="0"/>
      <w:marRight w:val="0"/>
      <w:marTop w:val="0"/>
      <w:marBottom w:val="0"/>
      <w:divBdr>
        <w:top w:val="none" w:sz="0" w:space="0" w:color="auto"/>
        <w:left w:val="none" w:sz="0" w:space="0" w:color="auto"/>
        <w:bottom w:val="none" w:sz="0" w:space="0" w:color="auto"/>
        <w:right w:val="none" w:sz="0" w:space="0" w:color="auto"/>
      </w:divBdr>
    </w:div>
    <w:div w:id="192545274">
      <w:bodyDiv w:val="1"/>
      <w:marLeft w:val="0"/>
      <w:marRight w:val="0"/>
      <w:marTop w:val="0"/>
      <w:marBottom w:val="0"/>
      <w:divBdr>
        <w:top w:val="none" w:sz="0" w:space="0" w:color="auto"/>
        <w:left w:val="none" w:sz="0" w:space="0" w:color="auto"/>
        <w:bottom w:val="none" w:sz="0" w:space="0" w:color="auto"/>
        <w:right w:val="none" w:sz="0" w:space="0" w:color="auto"/>
      </w:divBdr>
    </w:div>
    <w:div w:id="205458256">
      <w:bodyDiv w:val="1"/>
      <w:marLeft w:val="0"/>
      <w:marRight w:val="0"/>
      <w:marTop w:val="0"/>
      <w:marBottom w:val="0"/>
      <w:divBdr>
        <w:top w:val="none" w:sz="0" w:space="0" w:color="auto"/>
        <w:left w:val="none" w:sz="0" w:space="0" w:color="auto"/>
        <w:bottom w:val="none" w:sz="0" w:space="0" w:color="auto"/>
        <w:right w:val="none" w:sz="0" w:space="0" w:color="auto"/>
      </w:divBdr>
    </w:div>
    <w:div w:id="217933465">
      <w:bodyDiv w:val="1"/>
      <w:marLeft w:val="0"/>
      <w:marRight w:val="0"/>
      <w:marTop w:val="0"/>
      <w:marBottom w:val="0"/>
      <w:divBdr>
        <w:top w:val="none" w:sz="0" w:space="0" w:color="auto"/>
        <w:left w:val="none" w:sz="0" w:space="0" w:color="auto"/>
        <w:bottom w:val="none" w:sz="0" w:space="0" w:color="auto"/>
        <w:right w:val="none" w:sz="0" w:space="0" w:color="auto"/>
      </w:divBdr>
    </w:div>
    <w:div w:id="283969488">
      <w:bodyDiv w:val="1"/>
      <w:marLeft w:val="0"/>
      <w:marRight w:val="0"/>
      <w:marTop w:val="0"/>
      <w:marBottom w:val="0"/>
      <w:divBdr>
        <w:top w:val="none" w:sz="0" w:space="0" w:color="auto"/>
        <w:left w:val="none" w:sz="0" w:space="0" w:color="auto"/>
        <w:bottom w:val="none" w:sz="0" w:space="0" w:color="auto"/>
        <w:right w:val="none" w:sz="0" w:space="0" w:color="auto"/>
      </w:divBdr>
    </w:div>
    <w:div w:id="298800033">
      <w:bodyDiv w:val="1"/>
      <w:marLeft w:val="0"/>
      <w:marRight w:val="0"/>
      <w:marTop w:val="0"/>
      <w:marBottom w:val="0"/>
      <w:divBdr>
        <w:top w:val="none" w:sz="0" w:space="0" w:color="auto"/>
        <w:left w:val="none" w:sz="0" w:space="0" w:color="auto"/>
        <w:bottom w:val="none" w:sz="0" w:space="0" w:color="auto"/>
        <w:right w:val="none" w:sz="0" w:space="0" w:color="auto"/>
      </w:divBdr>
    </w:div>
    <w:div w:id="365565780">
      <w:bodyDiv w:val="1"/>
      <w:marLeft w:val="0"/>
      <w:marRight w:val="0"/>
      <w:marTop w:val="0"/>
      <w:marBottom w:val="0"/>
      <w:divBdr>
        <w:top w:val="none" w:sz="0" w:space="0" w:color="auto"/>
        <w:left w:val="none" w:sz="0" w:space="0" w:color="auto"/>
        <w:bottom w:val="none" w:sz="0" w:space="0" w:color="auto"/>
        <w:right w:val="none" w:sz="0" w:space="0" w:color="auto"/>
      </w:divBdr>
      <w:divsChild>
        <w:div w:id="124861575">
          <w:marLeft w:val="0"/>
          <w:marRight w:val="0"/>
          <w:marTop w:val="0"/>
          <w:marBottom w:val="0"/>
          <w:divBdr>
            <w:top w:val="none" w:sz="0" w:space="0" w:color="auto"/>
            <w:left w:val="none" w:sz="0" w:space="0" w:color="auto"/>
            <w:bottom w:val="none" w:sz="0" w:space="0" w:color="auto"/>
            <w:right w:val="none" w:sz="0" w:space="0" w:color="auto"/>
          </w:divBdr>
          <w:divsChild>
            <w:div w:id="279995322">
              <w:marLeft w:val="0"/>
              <w:marRight w:val="0"/>
              <w:marTop w:val="0"/>
              <w:marBottom w:val="0"/>
              <w:divBdr>
                <w:top w:val="none" w:sz="0" w:space="0" w:color="auto"/>
                <w:left w:val="none" w:sz="0" w:space="0" w:color="auto"/>
                <w:bottom w:val="none" w:sz="0" w:space="0" w:color="auto"/>
                <w:right w:val="none" w:sz="0" w:space="0" w:color="auto"/>
              </w:divBdr>
              <w:divsChild>
                <w:div w:id="293217783">
                  <w:marLeft w:val="0"/>
                  <w:marRight w:val="0"/>
                  <w:marTop w:val="0"/>
                  <w:marBottom w:val="0"/>
                  <w:divBdr>
                    <w:top w:val="none" w:sz="0" w:space="0" w:color="auto"/>
                    <w:left w:val="none" w:sz="0" w:space="0" w:color="auto"/>
                    <w:bottom w:val="none" w:sz="0" w:space="0" w:color="auto"/>
                    <w:right w:val="none" w:sz="0" w:space="0" w:color="auto"/>
                  </w:divBdr>
                  <w:divsChild>
                    <w:div w:id="851839728">
                      <w:marLeft w:val="0"/>
                      <w:marRight w:val="0"/>
                      <w:marTop w:val="0"/>
                      <w:marBottom w:val="0"/>
                      <w:divBdr>
                        <w:top w:val="none" w:sz="0" w:space="0" w:color="auto"/>
                        <w:left w:val="none" w:sz="0" w:space="0" w:color="auto"/>
                        <w:bottom w:val="none" w:sz="0" w:space="0" w:color="auto"/>
                        <w:right w:val="none" w:sz="0" w:space="0" w:color="auto"/>
                      </w:divBdr>
                      <w:divsChild>
                        <w:div w:id="1862475669">
                          <w:marLeft w:val="0"/>
                          <w:marRight w:val="0"/>
                          <w:marTop w:val="0"/>
                          <w:marBottom w:val="0"/>
                          <w:divBdr>
                            <w:top w:val="none" w:sz="0" w:space="0" w:color="auto"/>
                            <w:left w:val="none" w:sz="0" w:space="0" w:color="auto"/>
                            <w:bottom w:val="none" w:sz="0" w:space="0" w:color="auto"/>
                            <w:right w:val="none" w:sz="0" w:space="0" w:color="auto"/>
                          </w:divBdr>
                          <w:divsChild>
                            <w:div w:id="471798985">
                              <w:marLeft w:val="15"/>
                              <w:marRight w:val="195"/>
                              <w:marTop w:val="0"/>
                              <w:marBottom w:val="0"/>
                              <w:divBdr>
                                <w:top w:val="none" w:sz="0" w:space="0" w:color="auto"/>
                                <w:left w:val="none" w:sz="0" w:space="0" w:color="auto"/>
                                <w:bottom w:val="none" w:sz="0" w:space="0" w:color="auto"/>
                                <w:right w:val="none" w:sz="0" w:space="0" w:color="auto"/>
                              </w:divBdr>
                              <w:divsChild>
                                <w:div w:id="1790975302">
                                  <w:marLeft w:val="0"/>
                                  <w:marRight w:val="0"/>
                                  <w:marTop w:val="0"/>
                                  <w:marBottom w:val="0"/>
                                  <w:divBdr>
                                    <w:top w:val="none" w:sz="0" w:space="0" w:color="auto"/>
                                    <w:left w:val="none" w:sz="0" w:space="0" w:color="auto"/>
                                    <w:bottom w:val="none" w:sz="0" w:space="0" w:color="auto"/>
                                    <w:right w:val="none" w:sz="0" w:space="0" w:color="auto"/>
                                  </w:divBdr>
                                  <w:divsChild>
                                    <w:div w:id="2058237001">
                                      <w:marLeft w:val="0"/>
                                      <w:marRight w:val="0"/>
                                      <w:marTop w:val="0"/>
                                      <w:marBottom w:val="0"/>
                                      <w:divBdr>
                                        <w:top w:val="none" w:sz="0" w:space="0" w:color="auto"/>
                                        <w:left w:val="none" w:sz="0" w:space="0" w:color="auto"/>
                                        <w:bottom w:val="none" w:sz="0" w:space="0" w:color="auto"/>
                                        <w:right w:val="none" w:sz="0" w:space="0" w:color="auto"/>
                                      </w:divBdr>
                                      <w:divsChild>
                                        <w:div w:id="1246263251">
                                          <w:marLeft w:val="0"/>
                                          <w:marRight w:val="0"/>
                                          <w:marTop w:val="0"/>
                                          <w:marBottom w:val="0"/>
                                          <w:divBdr>
                                            <w:top w:val="none" w:sz="0" w:space="0" w:color="auto"/>
                                            <w:left w:val="none" w:sz="0" w:space="0" w:color="auto"/>
                                            <w:bottom w:val="none" w:sz="0" w:space="0" w:color="auto"/>
                                            <w:right w:val="none" w:sz="0" w:space="0" w:color="auto"/>
                                          </w:divBdr>
                                          <w:divsChild>
                                            <w:div w:id="996618565">
                                              <w:marLeft w:val="0"/>
                                              <w:marRight w:val="0"/>
                                              <w:marTop w:val="0"/>
                                              <w:marBottom w:val="0"/>
                                              <w:divBdr>
                                                <w:top w:val="none" w:sz="0" w:space="0" w:color="auto"/>
                                                <w:left w:val="none" w:sz="0" w:space="0" w:color="auto"/>
                                                <w:bottom w:val="none" w:sz="0" w:space="0" w:color="auto"/>
                                                <w:right w:val="none" w:sz="0" w:space="0" w:color="auto"/>
                                              </w:divBdr>
                                              <w:divsChild>
                                                <w:div w:id="1478063791">
                                                  <w:marLeft w:val="0"/>
                                                  <w:marRight w:val="0"/>
                                                  <w:marTop w:val="0"/>
                                                  <w:marBottom w:val="0"/>
                                                  <w:divBdr>
                                                    <w:top w:val="none" w:sz="0" w:space="0" w:color="auto"/>
                                                    <w:left w:val="none" w:sz="0" w:space="0" w:color="auto"/>
                                                    <w:bottom w:val="none" w:sz="0" w:space="0" w:color="auto"/>
                                                    <w:right w:val="none" w:sz="0" w:space="0" w:color="auto"/>
                                                  </w:divBdr>
                                                  <w:divsChild>
                                                    <w:div w:id="882138054">
                                                      <w:marLeft w:val="0"/>
                                                      <w:marRight w:val="0"/>
                                                      <w:marTop w:val="0"/>
                                                      <w:marBottom w:val="0"/>
                                                      <w:divBdr>
                                                        <w:top w:val="none" w:sz="0" w:space="0" w:color="auto"/>
                                                        <w:left w:val="none" w:sz="0" w:space="0" w:color="auto"/>
                                                        <w:bottom w:val="none" w:sz="0" w:space="0" w:color="auto"/>
                                                        <w:right w:val="none" w:sz="0" w:space="0" w:color="auto"/>
                                                      </w:divBdr>
                                                      <w:divsChild>
                                                        <w:div w:id="1549294770">
                                                          <w:marLeft w:val="0"/>
                                                          <w:marRight w:val="0"/>
                                                          <w:marTop w:val="0"/>
                                                          <w:marBottom w:val="0"/>
                                                          <w:divBdr>
                                                            <w:top w:val="none" w:sz="0" w:space="0" w:color="auto"/>
                                                            <w:left w:val="none" w:sz="0" w:space="0" w:color="auto"/>
                                                            <w:bottom w:val="none" w:sz="0" w:space="0" w:color="auto"/>
                                                            <w:right w:val="none" w:sz="0" w:space="0" w:color="auto"/>
                                                          </w:divBdr>
                                                          <w:divsChild>
                                                            <w:div w:id="269506492">
                                                              <w:marLeft w:val="0"/>
                                                              <w:marRight w:val="0"/>
                                                              <w:marTop w:val="0"/>
                                                              <w:marBottom w:val="0"/>
                                                              <w:divBdr>
                                                                <w:top w:val="none" w:sz="0" w:space="0" w:color="auto"/>
                                                                <w:left w:val="none" w:sz="0" w:space="0" w:color="auto"/>
                                                                <w:bottom w:val="none" w:sz="0" w:space="0" w:color="auto"/>
                                                                <w:right w:val="none" w:sz="0" w:space="0" w:color="auto"/>
                                                              </w:divBdr>
                                                              <w:divsChild>
                                                                <w:div w:id="1953170416">
                                                                  <w:marLeft w:val="0"/>
                                                                  <w:marRight w:val="0"/>
                                                                  <w:marTop w:val="0"/>
                                                                  <w:marBottom w:val="0"/>
                                                                  <w:divBdr>
                                                                    <w:top w:val="none" w:sz="0" w:space="0" w:color="auto"/>
                                                                    <w:left w:val="none" w:sz="0" w:space="0" w:color="auto"/>
                                                                    <w:bottom w:val="none" w:sz="0" w:space="0" w:color="auto"/>
                                                                    <w:right w:val="none" w:sz="0" w:space="0" w:color="auto"/>
                                                                  </w:divBdr>
                                                                  <w:divsChild>
                                                                    <w:div w:id="1795756086">
                                                                      <w:marLeft w:val="405"/>
                                                                      <w:marRight w:val="0"/>
                                                                      <w:marTop w:val="0"/>
                                                                      <w:marBottom w:val="0"/>
                                                                      <w:divBdr>
                                                                        <w:top w:val="none" w:sz="0" w:space="0" w:color="auto"/>
                                                                        <w:left w:val="none" w:sz="0" w:space="0" w:color="auto"/>
                                                                        <w:bottom w:val="none" w:sz="0" w:space="0" w:color="auto"/>
                                                                        <w:right w:val="none" w:sz="0" w:space="0" w:color="auto"/>
                                                                      </w:divBdr>
                                                                      <w:divsChild>
                                                                        <w:div w:id="1402560264">
                                                                          <w:marLeft w:val="0"/>
                                                                          <w:marRight w:val="0"/>
                                                                          <w:marTop w:val="0"/>
                                                                          <w:marBottom w:val="0"/>
                                                                          <w:divBdr>
                                                                            <w:top w:val="none" w:sz="0" w:space="0" w:color="auto"/>
                                                                            <w:left w:val="none" w:sz="0" w:space="0" w:color="auto"/>
                                                                            <w:bottom w:val="none" w:sz="0" w:space="0" w:color="auto"/>
                                                                            <w:right w:val="none" w:sz="0" w:space="0" w:color="auto"/>
                                                                          </w:divBdr>
                                                                          <w:divsChild>
                                                                            <w:div w:id="130245871">
                                                                              <w:marLeft w:val="0"/>
                                                                              <w:marRight w:val="0"/>
                                                                              <w:marTop w:val="0"/>
                                                                              <w:marBottom w:val="0"/>
                                                                              <w:divBdr>
                                                                                <w:top w:val="none" w:sz="0" w:space="0" w:color="auto"/>
                                                                                <w:left w:val="none" w:sz="0" w:space="0" w:color="auto"/>
                                                                                <w:bottom w:val="none" w:sz="0" w:space="0" w:color="auto"/>
                                                                                <w:right w:val="none" w:sz="0" w:space="0" w:color="auto"/>
                                                                              </w:divBdr>
                                                                              <w:divsChild>
                                                                                <w:div w:id="1712341380">
                                                                                  <w:marLeft w:val="0"/>
                                                                                  <w:marRight w:val="0"/>
                                                                                  <w:marTop w:val="0"/>
                                                                                  <w:marBottom w:val="0"/>
                                                                                  <w:divBdr>
                                                                                    <w:top w:val="none" w:sz="0" w:space="0" w:color="auto"/>
                                                                                    <w:left w:val="none" w:sz="0" w:space="0" w:color="auto"/>
                                                                                    <w:bottom w:val="none" w:sz="0" w:space="0" w:color="auto"/>
                                                                                    <w:right w:val="none" w:sz="0" w:space="0" w:color="auto"/>
                                                                                  </w:divBdr>
                                                                                  <w:divsChild>
                                                                                    <w:div w:id="1593926816">
                                                                                      <w:marLeft w:val="0"/>
                                                                                      <w:marRight w:val="0"/>
                                                                                      <w:marTop w:val="0"/>
                                                                                      <w:marBottom w:val="0"/>
                                                                                      <w:divBdr>
                                                                                        <w:top w:val="none" w:sz="0" w:space="0" w:color="auto"/>
                                                                                        <w:left w:val="none" w:sz="0" w:space="0" w:color="auto"/>
                                                                                        <w:bottom w:val="none" w:sz="0" w:space="0" w:color="auto"/>
                                                                                        <w:right w:val="none" w:sz="0" w:space="0" w:color="auto"/>
                                                                                      </w:divBdr>
                                                                                      <w:divsChild>
                                                                                        <w:div w:id="1948198263">
                                                                                          <w:marLeft w:val="0"/>
                                                                                          <w:marRight w:val="0"/>
                                                                                          <w:marTop w:val="0"/>
                                                                                          <w:marBottom w:val="0"/>
                                                                                          <w:divBdr>
                                                                                            <w:top w:val="none" w:sz="0" w:space="0" w:color="auto"/>
                                                                                            <w:left w:val="none" w:sz="0" w:space="0" w:color="auto"/>
                                                                                            <w:bottom w:val="none" w:sz="0" w:space="0" w:color="auto"/>
                                                                                            <w:right w:val="none" w:sz="0" w:space="0" w:color="auto"/>
                                                                                          </w:divBdr>
                                                                                          <w:divsChild>
                                                                                            <w:div w:id="1709645969">
                                                                                              <w:marLeft w:val="0"/>
                                                                                              <w:marRight w:val="0"/>
                                                                                              <w:marTop w:val="0"/>
                                                                                              <w:marBottom w:val="0"/>
                                                                                              <w:divBdr>
                                                                                                <w:top w:val="none" w:sz="0" w:space="0" w:color="auto"/>
                                                                                                <w:left w:val="none" w:sz="0" w:space="0" w:color="auto"/>
                                                                                                <w:bottom w:val="none" w:sz="0" w:space="0" w:color="auto"/>
                                                                                                <w:right w:val="none" w:sz="0" w:space="0" w:color="auto"/>
                                                                                              </w:divBdr>
                                                                                              <w:divsChild>
                                                                                                <w:div w:id="1479883492">
                                                                                                  <w:marLeft w:val="0"/>
                                                                                                  <w:marRight w:val="0"/>
                                                                                                  <w:marTop w:val="0"/>
                                                                                                  <w:marBottom w:val="0"/>
                                                                                                  <w:divBdr>
                                                                                                    <w:top w:val="none" w:sz="0" w:space="0" w:color="auto"/>
                                                                                                    <w:left w:val="none" w:sz="0" w:space="0" w:color="auto"/>
                                                                                                    <w:bottom w:val="single" w:sz="6" w:space="15" w:color="auto"/>
                                                                                                    <w:right w:val="none" w:sz="0" w:space="0" w:color="auto"/>
                                                                                                  </w:divBdr>
                                                                                                  <w:divsChild>
                                                                                                    <w:div w:id="832599547">
                                                                                                      <w:marLeft w:val="0"/>
                                                                                                      <w:marRight w:val="0"/>
                                                                                                      <w:marTop w:val="60"/>
                                                                                                      <w:marBottom w:val="0"/>
                                                                                                      <w:divBdr>
                                                                                                        <w:top w:val="none" w:sz="0" w:space="0" w:color="auto"/>
                                                                                                        <w:left w:val="none" w:sz="0" w:space="0" w:color="auto"/>
                                                                                                        <w:bottom w:val="none" w:sz="0" w:space="0" w:color="auto"/>
                                                                                                        <w:right w:val="none" w:sz="0" w:space="0" w:color="auto"/>
                                                                                                      </w:divBdr>
                                                                                                      <w:divsChild>
                                                                                                        <w:div w:id="40596479">
                                                                                                          <w:marLeft w:val="0"/>
                                                                                                          <w:marRight w:val="0"/>
                                                                                                          <w:marTop w:val="0"/>
                                                                                                          <w:marBottom w:val="0"/>
                                                                                                          <w:divBdr>
                                                                                                            <w:top w:val="none" w:sz="0" w:space="0" w:color="auto"/>
                                                                                                            <w:left w:val="none" w:sz="0" w:space="0" w:color="auto"/>
                                                                                                            <w:bottom w:val="none" w:sz="0" w:space="0" w:color="auto"/>
                                                                                                            <w:right w:val="none" w:sz="0" w:space="0" w:color="auto"/>
                                                                                                          </w:divBdr>
                                                                                                          <w:divsChild>
                                                                                                            <w:div w:id="796067974">
                                                                                                              <w:marLeft w:val="0"/>
                                                                                                              <w:marRight w:val="0"/>
                                                                                                              <w:marTop w:val="0"/>
                                                                                                              <w:marBottom w:val="0"/>
                                                                                                              <w:divBdr>
                                                                                                                <w:top w:val="none" w:sz="0" w:space="0" w:color="auto"/>
                                                                                                                <w:left w:val="none" w:sz="0" w:space="0" w:color="auto"/>
                                                                                                                <w:bottom w:val="none" w:sz="0" w:space="0" w:color="auto"/>
                                                                                                                <w:right w:val="none" w:sz="0" w:space="0" w:color="auto"/>
                                                                                                              </w:divBdr>
                                                                                                              <w:divsChild>
                                                                                                                <w:div w:id="924846535">
                                                                                                                  <w:marLeft w:val="0"/>
                                                                                                                  <w:marRight w:val="0"/>
                                                                                                                  <w:marTop w:val="0"/>
                                                                                                                  <w:marBottom w:val="0"/>
                                                                                                                  <w:divBdr>
                                                                                                                    <w:top w:val="none" w:sz="0" w:space="0" w:color="auto"/>
                                                                                                                    <w:left w:val="none" w:sz="0" w:space="0" w:color="auto"/>
                                                                                                                    <w:bottom w:val="none" w:sz="0" w:space="0" w:color="auto"/>
                                                                                                                    <w:right w:val="none" w:sz="0" w:space="0" w:color="auto"/>
                                                                                                                  </w:divBdr>
                                                                                                                  <w:divsChild>
                                                                                                                    <w:div w:id="583145822">
                                                                                                                      <w:marLeft w:val="0"/>
                                                                                                                      <w:marRight w:val="0"/>
                                                                                                                      <w:marTop w:val="0"/>
                                                                                                                      <w:marBottom w:val="0"/>
                                                                                                                      <w:divBdr>
                                                                                                                        <w:top w:val="none" w:sz="0" w:space="0" w:color="auto"/>
                                                                                                                        <w:left w:val="none" w:sz="0" w:space="0" w:color="auto"/>
                                                                                                                        <w:bottom w:val="none" w:sz="0" w:space="0" w:color="auto"/>
                                                                                                                        <w:right w:val="none" w:sz="0" w:space="0" w:color="auto"/>
                                                                                                                      </w:divBdr>
                                                                                                                      <w:divsChild>
                                                                                                                        <w:div w:id="1057364848">
                                                                                                                          <w:marLeft w:val="0"/>
                                                                                                                          <w:marRight w:val="0"/>
                                                                                                                          <w:marTop w:val="0"/>
                                                                                                                          <w:marBottom w:val="0"/>
                                                                                                                          <w:divBdr>
                                                                                                                            <w:top w:val="none" w:sz="0" w:space="0" w:color="auto"/>
                                                                                                                            <w:left w:val="none" w:sz="0" w:space="0" w:color="auto"/>
                                                                                                                            <w:bottom w:val="none" w:sz="0" w:space="0" w:color="auto"/>
                                                                                                                            <w:right w:val="none" w:sz="0" w:space="0" w:color="auto"/>
                                                                                                                          </w:divBdr>
                                                                                                                          <w:divsChild>
                                                                                                                            <w:div w:id="1969891029">
                                                                                                                              <w:marLeft w:val="0"/>
                                                                                                                              <w:marRight w:val="0"/>
                                                                                                                              <w:marTop w:val="0"/>
                                                                                                                              <w:marBottom w:val="0"/>
                                                                                                                              <w:divBdr>
                                                                                                                                <w:top w:val="none" w:sz="0" w:space="0" w:color="auto"/>
                                                                                                                                <w:left w:val="none" w:sz="0" w:space="0" w:color="auto"/>
                                                                                                                                <w:bottom w:val="none" w:sz="0" w:space="0" w:color="auto"/>
                                                                                                                                <w:right w:val="none" w:sz="0" w:space="0" w:color="auto"/>
                                                                                                                              </w:divBdr>
                                                                                                                              <w:divsChild>
                                                                                                                                <w:div w:id="38229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47162068">
      <w:bodyDiv w:val="1"/>
      <w:marLeft w:val="0"/>
      <w:marRight w:val="0"/>
      <w:marTop w:val="0"/>
      <w:marBottom w:val="0"/>
      <w:divBdr>
        <w:top w:val="none" w:sz="0" w:space="0" w:color="auto"/>
        <w:left w:val="none" w:sz="0" w:space="0" w:color="auto"/>
        <w:bottom w:val="none" w:sz="0" w:space="0" w:color="auto"/>
        <w:right w:val="none" w:sz="0" w:space="0" w:color="auto"/>
      </w:divBdr>
    </w:div>
    <w:div w:id="520749316">
      <w:bodyDiv w:val="1"/>
      <w:marLeft w:val="0"/>
      <w:marRight w:val="0"/>
      <w:marTop w:val="0"/>
      <w:marBottom w:val="0"/>
      <w:divBdr>
        <w:top w:val="none" w:sz="0" w:space="0" w:color="auto"/>
        <w:left w:val="none" w:sz="0" w:space="0" w:color="auto"/>
        <w:bottom w:val="none" w:sz="0" w:space="0" w:color="auto"/>
        <w:right w:val="none" w:sz="0" w:space="0" w:color="auto"/>
      </w:divBdr>
    </w:div>
    <w:div w:id="527178023">
      <w:bodyDiv w:val="1"/>
      <w:marLeft w:val="0"/>
      <w:marRight w:val="0"/>
      <w:marTop w:val="0"/>
      <w:marBottom w:val="0"/>
      <w:divBdr>
        <w:top w:val="none" w:sz="0" w:space="0" w:color="auto"/>
        <w:left w:val="none" w:sz="0" w:space="0" w:color="auto"/>
        <w:bottom w:val="none" w:sz="0" w:space="0" w:color="auto"/>
        <w:right w:val="none" w:sz="0" w:space="0" w:color="auto"/>
      </w:divBdr>
    </w:div>
    <w:div w:id="632177939">
      <w:bodyDiv w:val="1"/>
      <w:marLeft w:val="0"/>
      <w:marRight w:val="0"/>
      <w:marTop w:val="0"/>
      <w:marBottom w:val="0"/>
      <w:divBdr>
        <w:top w:val="none" w:sz="0" w:space="0" w:color="auto"/>
        <w:left w:val="none" w:sz="0" w:space="0" w:color="auto"/>
        <w:bottom w:val="none" w:sz="0" w:space="0" w:color="auto"/>
        <w:right w:val="none" w:sz="0" w:space="0" w:color="auto"/>
      </w:divBdr>
    </w:div>
    <w:div w:id="724110132">
      <w:bodyDiv w:val="1"/>
      <w:marLeft w:val="0"/>
      <w:marRight w:val="0"/>
      <w:marTop w:val="0"/>
      <w:marBottom w:val="0"/>
      <w:divBdr>
        <w:top w:val="none" w:sz="0" w:space="0" w:color="auto"/>
        <w:left w:val="none" w:sz="0" w:space="0" w:color="auto"/>
        <w:bottom w:val="none" w:sz="0" w:space="0" w:color="auto"/>
        <w:right w:val="none" w:sz="0" w:space="0" w:color="auto"/>
      </w:divBdr>
    </w:div>
    <w:div w:id="739522408">
      <w:bodyDiv w:val="1"/>
      <w:marLeft w:val="0"/>
      <w:marRight w:val="0"/>
      <w:marTop w:val="0"/>
      <w:marBottom w:val="0"/>
      <w:divBdr>
        <w:top w:val="none" w:sz="0" w:space="0" w:color="auto"/>
        <w:left w:val="none" w:sz="0" w:space="0" w:color="auto"/>
        <w:bottom w:val="none" w:sz="0" w:space="0" w:color="auto"/>
        <w:right w:val="none" w:sz="0" w:space="0" w:color="auto"/>
      </w:divBdr>
    </w:div>
    <w:div w:id="792362287">
      <w:bodyDiv w:val="1"/>
      <w:marLeft w:val="0"/>
      <w:marRight w:val="0"/>
      <w:marTop w:val="0"/>
      <w:marBottom w:val="0"/>
      <w:divBdr>
        <w:top w:val="none" w:sz="0" w:space="0" w:color="auto"/>
        <w:left w:val="none" w:sz="0" w:space="0" w:color="auto"/>
        <w:bottom w:val="none" w:sz="0" w:space="0" w:color="auto"/>
        <w:right w:val="none" w:sz="0" w:space="0" w:color="auto"/>
      </w:divBdr>
    </w:div>
    <w:div w:id="798841342">
      <w:bodyDiv w:val="1"/>
      <w:marLeft w:val="0"/>
      <w:marRight w:val="0"/>
      <w:marTop w:val="0"/>
      <w:marBottom w:val="0"/>
      <w:divBdr>
        <w:top w:val="none" w:sz="0" w:space="0" w:color="auto"/>
        <w:left w:val="none" w:sz="0" w:space="0" w:color="auto"/>
        <w:bottom w:val="none" w:sz="0" w:space="0" w:color="auto"/>
        <w:right w:val="none" w:sz="0" w:space="0" w:color="auto"/>
      </w:divBdr>
    </w:div>
    <w:div w:id="835730037">
      <w:bodyDiv w:val="1"/>
      <w:marLeft w:val="0"/>
      <w:marRight w:val="0"/>
      <w:marTop w:val="0"/>
      <w:marBottom w:val="0"/>
      <w:divBdr>
        <w:top w:val="none" w:sz="0" w:space="0" w:color="auto"/>
        <w:left w:val="none" w:sz="0" w:space="0" w:color="auto"/>
        <w:bottom w:val="none" w:sz="0" w:space="0" w:color="auto"/>
        <w:right w:val="none" w:sz="0" w:space="0" w:color="auto"/>
      </w:divBdr>
    </w:div>
    <w:div w:id="836186615">
      <w:bodyDiv w:val="1"/>
      <w:marLeft w:val="0"/>
      <w:marRight w:val="0"/>
      <w:marTop w:val="0"/>
      <w:marBottom w:val="0"/>
      <w:divBdr>
        <w:top w:val="none" w:sz="0" w:space="0" w:color="auto"/>
        <w:left w:val="none" w:sz="0" w:space="0" w:color="auto"/>
        <w:bottom w:val="none" w:sz="0" w:space="0" w:color="auto"/>
        <w:right w:val="none" w:sz="0" w:space="0" w:color="auto"/>
      </w:divBdr>
    </w:div>
    <w:div w:id="952252412">
      <w:bodyDiv w:val="1"/>
      <w:marLeft w:val="0"/>
      <w:marRight w:val="0"/>
      <w:marTop w:val="0"/>
      <w:marBottom w:val="0"/>
      <w:divBdr>
        <w:top w:val="none" w:sz="0" w:space="0" w:color="auto"/>
        <w:left w:val="none" w:sz="0" w:space="0" w:color="auto"/>
        <w:bottom w:val="none" w:sz="0" w:space="0" w:color="auto"/>
        <w:right w:val="none" w:sz="0" w:space="0" w:color="auto"/>
      </w:divBdr>
    </w:div>
    <w:div w:id="997227491">
      <w:bodyDiv w:val="1"/>
      <w:marLeft w:val="0"/>
      <w:marRight w:val="0"/>
      <w:marTop w:val="0"/>
      <w:marBottom w:val="0"/>
      <w:divBdr>
        <w:top w:val="none" w:sz="0" w:space="0" w:color="auto"/>
        <w:left w:val="none" w:sz="0" w:space="0" w:color="auto"/>
        <w:bottom w:val="none" w:sz="0" w:space="0" w:color="auto"/>
        <w:right w:val="none" w:sz="0" w:space="0" w:color="auto"/>
      </w:divBdr>
    </w:div>
    <w:div w:id="1170560990">
      <w:bodyDiv w:val="1"/>
      <w:marLeft w:val="0"/>
      <w:marRight w:val="0"/>
      <w:marTop w:val="0"/>
      <w:marBottom w:val="0"/>
      <w:divBdr>
        <w:top w:val="none" w:sz="0" w:space="0" w:color="auto"/>
        <w:left w:val="none" w:sz="0" w:space="0" w:color="auto"/>
        <w:bottom w:val="none" w:sz="0" w:space="0" w:color="auto"/>
        <w:right w:val="none" w:sz="0" w:space="0" w:color="auto"/>
      </w:divBdr>
    </w:div>
    <w:div w:id="1172180474">
      <w:bodyDiv w:val="1"/>
      <w:marLeft w:val="0"/>
      <w:marRight w:val="0"/>
      <w:marTop w:val="0"/>
      <w:marBottom w:val="0"/>
      <w:divBdr>
        <w:top w:val="none" w:sz="0" w:space="0" w:color="auto"/>
        <w:left w:val="none" w:sz="0" w:space="0" w:color="auto"/>
        <w:bottom w:val="none" w:sz="0" w:space="0" w:color="auto"/>
        <w:right w:val="none" w:sz="0" w:space="0" w:color="auto"/>
      </w:divBdr>
    </w:div>
    <w:div w:id="1186864719">
      <w:bodyDiv w:val="1"/>
      <w:marLeft w:val="0"/>
      <w:marRight w:val="0"/>
      <w:marTop w:val="0"/>
      <w:marBottom w:val="0"/>
      <w:divBdr>
        <w:top w:val="none" w:sz="0" w:space="0" w:color="auto"/>
        <w:left w:val="none" w:sz="0" w:space="0" w:color="auto"/>
        <w:bottom w:val="none" w:sz="0" w:space="0" w:color="auto"/>
        <w:right w:val="none" w:sz="0" w:space="0" w:color="auto"/>
      </w:divBdr>
    </w:div>
    <w:div w:id="1192378702">
      <w:bodyDiv w:val="1"/>
      <w:marLeft w:val="0"/>
      <w:marRight w:val="0"/>
      <w:marTop w:val="0"/>
      <w:marBottom w:val="0"/>
      <w:divBdr>
        <w:top w:val="none" w:sz="0" w:space="0" w:color="auto"/>
        <w:left w:val="none" w:sz="0" w:space="0" w:color="auto"/>
        <w:bottom w:val="none" w:sz="0" w:space="0" w:color="auto"/>
        <w:right w:val="none" w:sz="0" w:space="0" w:color="auto"/>
      </w:divBdr>
    </w:div>
    <w:div w:id="1214806673">
      <w:bodyDiv w:val="1"/>
      <w:marLeft w:val="0"/>
      <w:marRight w:val="0"/>
      <w:marTop w:val="0"/>
      <w:marBottom w:val="0"/>
      <w:divBdr>
        <w:top w:val="none" w:sz="0" w:space="0" w:color="auto"/>
        <w:left w:val="none" w:sz="0" w:space="0" w:color="auto"/>
        <w:bottom w:val="none" w:sz="0" w:space="0" w:color="auto"/>
        <w:right w:val="none" w:sz="0" w:space="0" w:color="auto"/>
      </w:divBdr>
    </w:div>
    <w:div w:id="1335839890">
      <w:bodyDiv w:val="1"/>
      <w:marLeft w:val="0"/>
      <w:marRight w:val="0"/>
      <w:marTop w:val="0"/>
      <w:marBottom w:val="0"/>
      <w:divBdr>
        <w:top w:val="none" w:sz="0" w:space="0" w:color="auto"/>
        <w:left w:val="none" w:sz="0" w:space="0" w:color="auto"/>
        <w:bottom w:val="none" w:sz="0" w:space="0" w:color="auto"/>
        <w:right w:val="none" w:sz="0" w:space="0" w:color="auto"/>
      </w:divBdr>
    </w:div>
    <w:div w:id="1351953331">
      <w:bodyDiv w:val="1"/>
      <w:marLeft w:val="0"/>
      <w:marRight w:val="0"/>
      <w:marTop w:val="0"/>
      <w:marBottom w:val="0"/>
      <w:divBdr>
        <w:top w:val="none" w:sz="0" w:space="0" w:color="auto"/>
        <w:left w:val="none" w:sz="0" w:space="0" w:color="auto"/>
        <w:bottom w:val="none" w:sz="0" w:space="0" w:color="auto"/>
        <w:right w:val="none" w:sz="0" w:space="0" w:color="auto"/>
      </w:divBdr>
    </w:div>
    <w:div w:id="1401172540">
      <w:bodyDiv w:val="1"/>
      <w:marLeft w:val="0"/>
      <w:marRight w:val="0"/>
      <w:marTop w:val="0"/>
      <w:marBottom w:val="0"/>
      <w:divBdr>
        <w:top w:val="none" w:sz="0" w:space="0" w:color="auto"/>
        <w:left w:val="none" w:sz="0" w:space="0" w:color="auto"/>
        <w:bottom w:val="none" w:sz="0" w:space="0" w:color="auto"/>
        <w:right w:val="none" w:sz="0" w:space="0" w:color="auto"/>
      </w:divBdr>
    </w:div>
    <w:div w:id="1477336386">
      <w:bodyDiv w:val="1"/>
      <w:marLeft w:val="0"/>
      <w:marRight w:val="0"/>
      <w:marTop w:val="0"/>
      <w:marBottom w:val="0"/>
      <w:divBdr>
        <w:top w:val="none" w:sz="0" w:space="0" w:color="auto"/>
        <w:left w:val="none" w:sz="0" w:space="0" w:color="auto"/>
        <w:bottom w:val="none" w:sz="0" w:space="0" w:color="auto"/>
        <w:right w:val="none" w:sz="0" w:space="0" w:color="auto"/>
      </w:divBdr>
    </w:div>
    <w:div w:id="1765607105">
      <w:bodyDiv w:val="1"/>
      <w:marLeft w:val="0"/>
      <w:marRight w:val="0"/>
      <w:marTop w:val="0"/>
      <w:marBottom w:val="0"/>
      <w:divBdr>
        <w:top w:val="none" w:sz="0" w:space="0" w:color="auto"/>
        <w:left w:val="none" w:sz="0" w:space="0" w:color="auto"/>
        <w:bottom w:val="none" w:sz="0" w:space="0" w:color="auto"/>
        <w:right w:val="none" w:sz="0" w:space="0" w:color="auto"/>
      </w:divBdr>
    </w:div>
    <w:div w:id="1781679133">
      <w:bodyDiv w:val="1"/>
      <w:marLeft w:val="0"/>
      <w:marRight w:val="0"/>
      <w:marTop w:val="0"/>
      <w:marBottom w:val="0"/>
      <w:divBdr>
        <w:top w:val="none" w:sz="0" w:space="0" w:color="auto"/>
        <w:left w:val="none" w:sz="0" w:space="0" w:color="auto"/>
        <w:bottom w:val="none" w:sz="0" w:space="0" w:color="auto"/>
        <w:right w:val="none" w:sz="0" w:space="0" w:color="auto"/>
      </w:divBdr>
    </w:div>
    <w:div w:id="1811439389">
      <w:bodyDiv w:val="1"/>
      <w:marLeft w:val="0"/>
      <w:marRight w:val="0"/>
      <w:marTop w:val="0"/>
      <w:marBottom w:val="0"/>
      <w:divBdr>
        <w:top w:val="none" w:sz="0" w:space="0" w:color="auto"/>
        <w:left w:val="none" w:sz="0" w:space="0" w:color="auto"/>
        <w:bottom w:val="none" w:sz="0" w:space="0" w:color="auto"/>
        <w:right w:val="none" w:sz="0" w:space="0" w:color="auto"/>
      </w:divBdr>
    </w:div>
    <w:div w:id="1837836742">
      <w:bodyDiv w:val="1"/>
      <w:marLeft w:val="0"/>
      <w:marRight w:val="0"/>
      <w:marTop w:val="0"/>
      <w:marBottom w:val="0"/>
      <w:divBdr>
        <w:top w:val="none" w:sz="0" w:space="0" w:color="auto"/>
        <w:left w:val="none" w:sz="0" w:space="0" w:color="auto"/>
        <w:bottom w:val="none" w:sz="0" w:space="0" w:color="auto"/>
        <w:right w:val="none" w:sz="0" w:space="0" w:color="auto"/>
      </w:divBdr>
    </w:div>
    <w:div w:id="1840776877">
      <w:bodyDiv w:val="1"/>
      <w:marLeft w:val="0"/>
      <w:marRight w:val="0"/>
      <w:marTop w:val="0"/>
      <w:marBottom w:val="0"/>
      <w:divBdr>
        <w:top w:val="none" w:sz="0" w:space="0" w:color="auto"/>
        <w:left w:val="none" w:sz="0" w:space="0" w:color="auto"/>
        <w:bottom w:val="none" w:sz="0" w:space="0" w:color="auto"/>
        <w:right w:val="none" w:sz="0" w:space="0" w:color="auto"/>
      </w:divBdr>
    </w:div>
    <w:div w:id="2016297751">
      <w:bodyDiv w:val="1"/>
      <w:marLeft w:val="0"/>
      <w:marRight w:val="0"/>
      <w:marTop w:val="0"/>
      <w:marBottom w:val="0"/>
      <w:divBdr>
        <w:top w:val="none" w:sz="0" w:space="0" w:color="auto"/>
        <w:left w:val="none" w:sz="0" w:space="0" w:color="auto"/>
        <w:bottom w:val="none" w:sz="0" w:space="0" w:color="auto"/>
        <w:right w:val="none" w:sz="0" w:space="0" w:color="auto"/>
      </w:divBdr>
    </w:div>
    <w:div w:id="2021077604">
      <w:bodyDiv w:val="1"/>
      <w:marLeft w:val="0"/>
      <w:marRight w:val="0"/>
      <w:marTop w:val="0"/>
      <w:marBottom w:val="0"/>
      <w:divBdr>
        <w:top w:val="none" w:sz="0" w:space="0" w:color="auto"/>
        <w:left w:val="none" w:sz="0" w:space="0" w:color="auto"/>
        <w:bottom w:val="none" w:sz="0" w:space="0" w:color="auto"/>
        <w:right w:val="none" w:sz="0" w:space="0" w:color="auto"/>
      </w:divBdr>
    </w:div>
    <w:div w:id="2057044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Eur10</b:Tag>
    <b:SourceType>Report</b:SourceType>
    <b:Guid>{FFA1CC3C-AE39-45C4-B606-87E781142AC4}</b:Guid>
    <b:Title>European Adult Learning Glossary</b:Title>
    <b:Year>2010</b:Year>
    <b:City>Brussels</b:City>
    <b:Publisher>European Union</b:Publisher>
    <b:Author>
      <b:Author>
        <b:NameList>
          <b:Person>
            <b:Last>Union</b:Last>
            <b:First>European</b:First>
          </b:Person>
        </b:NameList>
      </b:Author>
    </b:Author>
    <b:RefOrder>1</b:RefOrder>
  </b:Source>
  <b:Source>
    <b:Tag>The15</b:Tag>
    <b:SourceType>Report</b:SourceType>
    <b:Guid>{D78FDE4C-ACA9-408A-ABC4-7730C197F98B}</b:Guid>
    <b:Author>
      <b:Author>
        <b:NameList>
          <b:Person>
            <b:Last>Warwick</b:Last>
            <b:First>The</b:First>
            <b:Middle>University of</b:Middle>
          </b:Person>
        </b:NameList>
      </b:Author>
    </b:Author>
    <b:Title>Adult Education: Too important to be left to chance</b:Title>
    <b:Year>2015</b:Year>
    <b:Publisher>All Party Parliamentary Group for Adult Education</b:Publisher>
    <b:City>London</b:City>
    <b:RefOrder>2</b:RefOrder>
  </b:Source>
  <b:Source>
    <b:Tag>Dav12</b:Tag>
    <b:SourceType>Report</b:SourceType>
    <b:Guid>{155C2329-1B2E-422B-A99C-B8DA7571EC17}</b:Guid>
    <b:Author>
      <b:Author>
        <b:NameList>
          <b:Person>
            <b:Last>Fujiwara</b:Last>
            <b:First>David</b:First>
          </b:Person>
        </b:NameList>
      </b:Author>
    </b:Author>
    <b:Title>Valuing the impact of Adult Learning: An analasys of the effect of adult learning on different domains in life</b:Title>
    <b:Year>2012</b:Year>
    <b:Publisher>National Institue of Continuing Education (England and Wales)</b:Publisher>
    <b:City>Leicester</b:City>
    <b:RefOrder>5</b:RefOrder>
  </b:Source>
  <b:Source>
    <b:Tag>Hug15</b:Tag>
    <b:SourceType>Report</b:SourceType>
    <b:Guid>{F74FA9A7-92CF-45AF-9531-8087DE61C41B}</b:Guid>
    <b:Author>
      <b:Author>
        <b:NameList>
          <b:Person>
            <b:Last>Hughes</b:Last>
            <b:First>Deidre</b:First>
          </b:Person>
          <b:Person>
            <b:Last>Adriaanse</b:Last>
            <b:First>Karen</b:First>
          </b:Person>
          <b:Person>
            <b:Last>Barnes</b:Last>
            <b:First>Sally- Anne</b:First>
          </b:Person>
        </b:NameList>
      </b:Author>
    </b:Author>
    <b:Title>Adult Education</b:Title>
    <b:Year>2015</b:Year>
    <b:Publisher>Warwick University</b:Publisher>
    <b:City>Warwick</b:City>
    <b:RefOrder>60</b:RefOrder>
  </b:Source>
  <b:Source>
    <b:Tag>Man11</b:Tag>
    <b:SourceType>Report</b:SourceType>
    <b:Guid>{A6A6DC6D-79D4-4CAC-84C5-26E101CE94CD}</b:Guid>
    <b:Author>
      <b:Author>
        <b:NameList>
          <b:Person>
            <b:Last>Manninen</b:Last>
            <b:First>Jyri</b:First>
          </b:Person>
          <b:Person>
            <b:Last>Marliainen</b:Last>
            <b:First>Matti</b:First>
          </b:Person>
        </b:NameList>
      </b:Author>
    </b:Author>
    <b:Title>Benefits of lifelong leanring: BELL survey results</b:Title>
    <b:Year>2011</b:Year>
    <b:Publisher>University of East Finland</b:Publisher>
    <b:City>Finland</b:City>
    <b:RefOrder>6</b:RefOrder>
  </b:Source>
  <b:Source>
    <b:Tag>Tin18</b:Tag>
    <b:SourceType>Report</b:SourceType>
    <b:Guid>{C491E29C-4F00-4C43-98B3-B27FDA5E3F65}</b:Guid>
    <b:Author>
      <b:Author>
        <b:NameList>
          <b:Person>
            <b:Last>Ebner</b:Last>
            <b:First>Tina</b:First>
          </b:Person>
        </b:NameList>
      </b:Author>
    </b:Author>
    <b:Title>Mnaifesto for adult learning in the 21st century</b:Title>
    <b:Year>2018</b:Year>
    <b:Publisher>Erasmus and Programme of the European Union</b:Publisher>
    <b:City>Brussels</b:City>
    <b:RefOrder>61</b:RefOrder>
  </b:Source>
  <b:Source>
    <b:Tag>EAE18</b:Tag>
    <b:SourceType>InternetSite</b:SourceType>
    <b:Guid>{07C68073-74E5-430A-8CEE-4A4772F8E297}</b:Guid>
    <b:Title>European Association for the Education of Adults (EAEA)</b:Title>
    <b:Year>2018</b:Year>
    <b:Author>
      <b:Author>
        <b:NameList>
          <b:Person>
            <b:Last>EAEA</b:Last>
          </b:Person>
        </b:NameList>
      </b:Author>
    </b:Author>
    <b:YearAccessed>2018</b:YearAccessed>
    <b:MonthAccessed>May</b:MonthAccessed>
    <b:DayAccessed>12</b:DayAccessed>
    <b:URL>https://eaea.org/our-work/influencing-policy/manifesto-for-adult-learning-in-the-21st-century/</b:URL>
    <b:RefOrder>62</b:RefOrder>
  </b:Source>
  <b:Source>
    <b:Tag>REA12</b:Tag>
    <b:SourceType>InternetSite</b:SourceType>
    <b:Guid>{2A11F87F-A514-47C9-A725-2B5288EDCDB4}</b:Guid>
    <b:Author>
      <b:Author>
        <b:NameList>
          <b:Person>
            <b:Last>Realm</b:Last>
          </b:Person>
        </b:NameList>
      </b:Author>
    </b:Author>
    <b:Title>Defintion of Adult Education</b:Title>
    <b:Year>2012</b:Year>
    <b:YearAccessed>2018</b:YearAccessed>
    <b:MonthAccessed>May</b:MonthAccessed>
    <b:DayAccessed>12</b:DayAccessed>
    <b:URL>http://www3.hants.gov.uk/adult-learning-definition.pdf</b:URL>
    <b:RefOrder>63</b:RefOrder>
  </b:Source>
  <b:Source>
    <b:Tag>Mal70</b:Tag>
    <b:SourceType>DocumentFromInternetSite</b:SourceType>
    <b:Guid>{6840C4F3-5D46-40F9-B853-86675CDCE392}</b:Guid>
    <b:Title>National College</b:Title>
    <b:Year>1970</b:Year>
    <b:Author>
      <b:Author>
        <b:NameList>
          <b:Person>
            <b:Last>Knowles</b:Last>
            <b:First>Malcolm</b:First>
          </b:Person>
        </b:NameList>
      </b:Author>
    </b:Author>
    <b:YearAccessed>2018</b:YearAccessed>
    <b:MonthAccessed>May</b:MonthAccessed>
    <b:DayAccessed>24</b:DayAccessed>
    <b:URL>https://www.nationalcollege.org.uk/cm-andragogy.pdf</b:URL>
    <b:RefOrder>7</b:RefOrder>
  </b:Source>
  <b:Source>
    <b:Tag>Hor05</b:Tag>
    <b:SourceType>Book</b:SourceType>
    <b:Guid>{AE089CAC-837B-4941-A278-EB19D2DA3C65}</b:Guid>
    <b:Author>
      <b:Author>
        <b:NameList>
          <b:Person>
            <b:Last>Horton</b:Last>
            <b:First>Elward</b:First>
            <b:Middle>F</b:Middle>
          </b:Person>
          <b:Person>
            <b:Last>Swanson</b:Last>
            <b:Middle>A</b:Middle>
            <b:First>Richard</b:First>
          </b:Person>
        </b:NameList>
      </b:Author>
    </b:Author>
    <b:Title>The Adult Learner: The Definitive Classic in Adult Education and Human Resource Development</b:Title>
    <b:Year>2005</b:Year>
    <b:City>New York</b:City>
    <b:Publisher>Elsevier</b:Publisher>
    <b:RefOrder>8</b:RefOrder>
  </b:Source>
  <b:Source>
    <b:Tag>WAG15</b:Tag>
    <b:SourceType>Report</b:SourceType>
    <b:Guid>{28F6BD14-2F4A-4147-B840-DF0A0C429278}</b:Guid>
    <b:Title>A review of Adult Community Learning in Wales</b:Title>
    <b:Year>2015</b:Year>
    <b:City>Cardiff</b:City>
    <b:Publisher>Welsh Assembly Government</b:Publisher>
    <b:Author>
      <b:Author>
        <b:NameList>
          <b:Person>
            <b:Last>WAG</b:Last>
          </b:Person>
        </b:NameList>
      </b:Author>
    </b:Author>
    <b:RefOrder>4</b:RefOrder>
  </b:Source>
  <b:Source>
    <b:Tag>WAG16</b:Tag>
    <b:SourceType>Misc</b:SourceType>
    <b:Guid>{59D1D218-65D5-4034-B0BF-03816BD8562F}</b:Guid>
    <b:Title>Draft Welsh Government Higher Education strategy 2027</b:Title>
    <b:Year>2016</b:Year>
    <b:Publisher>Welsh Assembly Government</b:Publisher>
    <b:City>Cardiff </b:City>
    <b:Author>
      <b:Author>
        <b:NameList>
          <b:Person>
            <b:Last>WAG</b:Last>
          </b:Person>
        </b:NameList>
      </b:Author>
    </b:Author>
    <b:RefOrder>10</b:RefOrder>
  </b:Source>
  <b:Source>
    <b:Tag>Pub14</b:Tag>
    <b:SourceType>Report</b:SourceType>
    <b:Guid>{B7FBE9AA-4195-4027-85E0-2255A1573600}</b:Guid>
    <b:Title>Local action on health inequalities: Adult learning services</b:Title>
    <b:Year>2014</b:Year>
    <b:City>London</b:City>
    <b:Publisher>Public Health England </b:Publisher>
    <b:Author>
      <b:Author>
        <b:NameList>
          <b:Person>
            <b:Last>England</b:Last>
            <b:First>Public</b:First>
            <b:Middle>Health</b:Middle>
          </b:Person>
        </b:NameList>
      </b:Author>
    </b:Author>
    <b:RefOrder>64</b:RefOrder>
  </b:Source>
  <b:Source>
    <b:Tag>Ell16</b:Tag>
    <b:SourceType>Report</b:SourceType>
    <b:Guid>{4BF369FF-B217-4DC9-90C5-CF2236204554}</b:Guid>
    <b:Title>Towards 2030</b:Title>
    <b:Year>2016</b:Year>
    <b:City>Cardiff</b:City>
    <b:Publisher>Welsh Assembly Government</b:Publisher>
    <b:Author>
      <b:Author>
        <b:NameList>
          <b:Person>
            <b:Last>Hazalkorn</b:Last>
            <b:First>Ellen</b:First>
          </b:Person>
        </b:NameList>
      </b:Author>
    </b:Author>
    <b:RefOrder>3</b:RefOrder>
  </b:Source>
  <b:Source>
    <b:Tag>Cul02</b:Tag>
    <b:SourceType>Report</b:SourceType>
    <b:Guid>{D95F108F-A330-4913-B855-4A2C9A996E4E}</b:Guid>
    <b:Author>
      <b:Author>
        <b:NameList>
          <b:Person>
            <b:Last>Cullen</b:Last>
            <b:First>Joe</b:First>
          </b:Person>
          <b:Person>
            <b:Last>Hudjivassilion</b:Last>
            <b:First>Kari</b:First>
          </b:Person>
          <b:Person>
            <b:Last>Hamilton</b:Last>
            <b:First>Emma</b:First>
          </b:Person>
          <b:Person>
            <b:Last>Kellener</b:Last>
            <b:First>John</b:First>
          </b:Person>
          <b:Person>
            <b:Last>Sommerland</b:Last>
            <b:First>Elizabeth</b:First>
          </b:Person>
          <b:Person>
            <b:Last>Stern</b:Last>
            <b:First>Elliott</b:First>
          </b:Person>
        </b:NameList>
      </b:Author>
    </b:Author>
    <b:Title>Review of current pedagogic research and practice in the fields of post compulsory education an dlifelong leanring</b:Title>
    <b:Year>2002</b:Year>
    <b:Publisher>European and social research council</b:Publisher>
    <b:City>Brussells</b:City>
    <b:RefOrder>9</b:RefOrder>
  </b:Source>
  <b:Source>
    <b:Tag>Pau03</b:Tag>
    <b:SourceType>Book</b:SourceType>
    <b:Guid>{1AA52802-9781-4BCA-91AA-3D9BC09D3E70}</b:Guid>
    <b:Author>
      <b:Author>
        <b:NameList>
          <b:Person>
            <b:Last>Ramsden</b:Last>
            <b:First>Paul</b:First>
          </b:Person>
        </b:NameList>
      </b:Author>
    </b:Author>
    <b:Title>Learning to Teach in Higher Education</b:Title>
    <b:Year>2003</b:Year>
    <b:City>New York</b:City>
    <b:Publisher>RoutledgeFalmer</b:Publisher>
    <b:RefOrder>11</b:RefOrder>
  </b:Source>
  <b:Source>
    <b:Tag>Ger15</b:Tag>
    <b:SourceType>Book</b:SourceType>
    <b:Guid>{2FFA9B3E-F9CD-4B6E-9614-B1401B772068}</b:Guid>
    <b:Title>Curriculum Design in Higher Education: Theory to Practice</b:Title>
    <b:Year>2015</b:Year>
    <b:Author>
      <b:Author>
        <b:NameList>
          <b:Person>
            <b:Last>O`Neill</b:Last>
            <b:First>Geraldiune</b:First>
          </b:Person>
        </b:NameList>
      </b:Author>
    </b:Author>
    <b:City>Dublin</b:City>
    <b:Publisher>UCD Teaching and Learning</b:Publisher>
    <b:Edition>First</b:Edition>
    <b:RefOrder>12</b:RefOrder>
  </b:Source>
  <b:Source>
    <b:Tag>WAG151</b:Tag>
    <b:SourceType>Report</b:SourceType>
    <b:Guid>{3C6262C7-4418-4D27-ACFA-555D9571B2A4}</b:Guid>
    <b:Title>Reflective practice</b:Title>
    <b:Year>2015</b:Year>
    <b:City>Cardiff</b:City>
    <b:Publisher>Welsh Assmebly Government</b:Publisher>
    <b:Author>
      <b:Author>
        <b:NameList>
          <b:Person>
            <b:Last>WAG</b:Last>
          </b:Person>
        </b:NameList>
      </b:Author>
    </b:Author>
    <b:RefOrder>13</b:RefOrder>
  </b:Source>
  <b:Source>
    <b:Tag>Sca13</b:Tag>
    <b:SourceType>Book</b:SourceType>
    <b:Guid>{6A472A74-8391-4F15-897C-41D936C46307}</b:Guid>
    <b:Title>Teaching in the lifelong leanring sector</b:Title>
    <b:Year>2013</b:Year>
    <b:Publisher>Open University Press</b:Publisher>
    <b:City>Berkshire</b:City>
    <b:Author>
      <b:Author>
        <b:NameList>
          <b:Person>
            <b:Last>Scales</b:Last>
            <b:First>Peter</b:First>
          </b:Person>
          <b:Person>
            <b:Last>Senior</b:Last>
            <b:First>Peter</b:First>
          </b:Person>
          <b:Person>
            <b:Last>Briddon Kelly</b:Last>
            <b:First>Lynn</b:First>
          </b:Person>
        </b:NameList>
      </b:Author>
    </b:Author>
    <b:Edition>Second</b:Edition>
    <b:RefOrder>14</b:RefOrder>
  </b:Source>
  <b:Source>
    <b:Tag>Liz14</b:Tag>
    <b:SourceType>JournalArticle</b:SourceType>
    <b:Guid>{552D4C95-9AD1-497D-A60B-B6A2199CA337}</b:Guid>
    <b:Title>Trainee Teacher Experience of Refection</b:Title>
    <b:Year>2014</b:Year>
    <b:Author>
      <b:Author>
        <b:NameList>
          <b:Person>
            <b:Last>McKenzie</b:Last>
            <b:First>Liz</b:First>
          </b:Person>
        </b:NameList>
      </b:Author>
    </b:Author>
    <b:JournalName>Further Education</b:JournalName>
    <b:Pages>645- 665</b:Pages>
    <b:Volume>39</b:Volume>
    <b:Issue>5</b:Issue>
    <b:RefOrder>15</b:RefOrder>
  </b:Source>
  <b:Source>
    <b:Tag>Ste172</b:Tag>
    <b:SourceType>Book</b:SourceType>
    <b:Guid>{4AB0E473-B692-4D02-A7E3-541E8A258793}</b:Guid>
    <b:Title>Becoming a critically reflective teacher</b:Title>
    <b:Year>2017</b:Year>
    <b:Author>
      <b:Author>
        <b:NameList>
          <b:Person>
            <b:Last>Brookfield</b:Last>
            <b:First>Stephen</b:First>
          </b:Person>
        </b:NameList>
      </b:Author>
    </b:Author>
    <b:City>London</b:City>
    <b:Publisher>Wiley and Son</b:Publisher>
    <b:Edition>second</b:Edition>
    <b:RefOrder>16</b:RefOrder>
  </b:Source>
  <b:Source>
    <b:Tag>Gre13</b:Tag>
    <b:SourceType>JournalArticle</b:SourceType>
    <b:Guid>{73372DDB-C9E8-4B3C-A76F-D8D649DF3019}</b:Guid>
    <b:Title>The importance of action research in teacher education programs</b:Title>
    <b:Year>2013</b:Year>
    <b:Author>
      <b:Author>
        <b:NameList>
          <b:Person>
            <b:Last>Hine</b:Last>
            <b:First>Gregory</b:First>
            <b:Middle>S C</b:Middle>
          </b:Person>
        </b:NameList>
      </b:Author>
    </b:Author>
    <b:JournalName>Issues in Educational Research</b:JournalName>
    <b:Pages>151- 163</b:Pages>
    <b:Volume>23</b:Volume>
    <b:Issue>2</b:Issue>
    <b:RefOrder>17</b:RefOrder>
  </b:Source>
  <b:Source>
    <b:Tag>Uni15</b:Tag>
    <b:SourceType>InternetSite</b:SourceType>
    <b:Guid>{DE4B71AB-BB8A-4753-8C9C-B71385BFA847}</b:Guid>
    <b:Title>UCI Office of research</b:Title>
    <b:Year>2015</b:Year>
    <b:Author>
      <b:Author>
        <b:NameList>
          <b:Person>
            <b:Last>California</b:Last>
            <b:First>University</b:First>
            <b:Middle>of</b:Middle>
          </b:Person>
        </b:NameList>
      </b:Author>
    </b:Author>
    <b:YearAccessed>2018</b:YearAccessed>
    <b:MonthAccessed>May</b:MonthAccessed>
    <b:DayAccessed>27</b:DayAccessed>
    <b:URL>https://www.research.uci.edu/compliance/human-research-protections/researchers/activities-irb-review.html</b:URL>
    <b:RefOrder>18</b:RefOrder>
  </b:Source>
  <b:Source>
    <b:Tag>Ukn14</b:Tag>
    <b:SourceType>InternetSite</b:SourceType>
    <b:Guid>{D83996D3-1BED-4D63-88D5-367C93526F56}</b:Guid>
    <b:Title>RSA 21st Cebtury Enlightenment</b:Title>
    <b:Year>2014</b:Year>
    <b:Author>
      <b:Author>
        <b:NameList>
          <b:Person>
            <b:Last>Uknown</b:Last>
          </b:Person>
        </b:NameList>
      </b:Author>
    </b:Author>
    <b:YearAccessed>2018</b:YearAccessed>
    <b:MonthAccessed>May</b:MonthAccessed>
    <b:DayAccessed>27</b:DayAccessed>
    <b:URL>https://www.thersa.org/discover/publications-and-articles/reports/the-role-of-research-in-teacher-education-reviewing-the-evidence</b:URL>
    <b:RefOrder>19</b:RefOrder>
  </b:Source>
  <b:Source>
    <b:Tag>Ton18</b:Tag>
    <b:SourceType>Book</b:SourceType>
    <b:Guid>{9561B69B-D5E1-4E08-8D6F-D055C67B50D3}</b:Guid>
    <b:Title>Shaping Higher Education with students: Ways to connect research and teaching</b:Title>
    <b:Year>2018</b:Year>
    <b:Author>
      <b:Author>
        <b:NameList>
          <b:Person>
            <b:Last>Tong</b:Last>
            <b:First>Vincent</b:First>
          </b:Person>
          <b:Person>
            <b:Last>Standen</b:Last>
            <b:First>Alex</b:First>
          </b:Person>
          <b:Person>
            <b:Last>Sotiriou</b:Last>
            <b:First>Mina</b:First>
          </b:Person>
        </b:NameList>
      </b:Author>
    </b:Author>
    <b:City>London</b:City>
    <b:Publisher>UCL Press</b:Publisher>
    <b:RefOrder>20</b:RefOrder>
  </b:Source>
  <b:Source>
    <b:Tag>Sus13</b:Tag>
    <b:SourceType>Book</b:SourceType>
    <b:Guid>{9385CCCF-062C-4301-A8E1-DCA42B273279}</b:Guid>
    <b:Title>Doing research in further education and training</b:Title>
    <b:Year>2013</b:Year>
    <b:Author>
      <b:Author>
        <b:NameList>
          <b:Person>
            <b:Last>Wallace</b:Last>
            <b:First>Susan</b:First>
          </b:Person>
        </b:NameList>
      </b:Author>
    </b:Author>
    <b:City>London</b:City>
    <b:Publisher>SAGE</b:Publisher>
    <b:RefOrder>21</b:RefOrder>
  </b:Source>
  <b:Source>
    <b:Tag>Aru15</b:Tag>
    <b:SourceType>JournalArticle</b:SourceType>
    <b:Guid>{2165C757-EE2E-43B8-9747-9EE644F2FD55}</b:Guid>
    <b:Title>Effective teaching: Sensory learning styles versus general memory processes</b:Title>
    <b:Year>2015</b:Year>
    <b:Author>
      <b:Author>
        <b:NameList>
          <b:Person>
            <b:Last>Arubthnott</b:Last>
            <b:First>Katherine</b:First>
          </b:Person>
          <b:Person>
            <b:Last>Kratzis</b:Last>
            <b:First>Gregory</b:First>
          </b:Person>
        </b:NameList>
      </b:Author>
    </b:Author>
    <b:JournalName>Competence psychology</b:JournalName>
    <b:Volume>4</b:Volume>
    <b:RefOrder>22</b:RefOrder>
  </b:Source>
  <b:Source>
    <b:Tag>JSh13</b:Tag>
    <b:SourceType>InternetSite</b:SourceType>
    <b:Guid>{70B109C3-4830-4E59-ABC6-6FBFD2E46F0F}</b:Guid>
    <b:Author>
      <b:Author>
        <b:NameList>
          <b:Person>
            <b:Last>Shabatu</b:Last>
            <b:First>J</b:First>
          </b:Person>
        </b:NameList>
      </b:Author>
    </b:Author>
    <b:Title>Teaching innovation and pedagogy</b:Title>
    <b:Year>2013</b:Year>
    <b:YearAccessed>2018</b:YearAccessed>
    <b:MonthAccessed>May</b:MonthAccessed>
    <b:DayAccessed>27</b:DayAccessed>
    <b:URL>https://tips.uark.edu/using-blooms-taxonomy/</b:URL>
    <b:RefOrder>23</b:RefOrder>
  </b:Source>
  <b:Source>
    <b:Tag>Sch11</b:Tag>
    <b:SourceType>Book</b:SourceType>
    <b:Guid>{8F9E4DD4-3F8C-4112-83AC-70B77ADF3A8D}</b:Guid>
    <b:Title>Assesment of higher order thinking skills</b:Title>
    <b:Year>2011</b:Year>
    <b:Author>
      <b:Author>
        <b:NameList>
          <b:Person>
            <b:Last>Schraw</b:Last>
            <b:First>Gregory</b:First>
          </b:Person>
          <b:Person>
            <b:Last>Robinson</b:Last>
            <b:First>Daniel</b:First>
          </b:Person>
        </b:NameList>
      </b:Author>
    </b:Author>
    <b:City>Texas</b:City>
    <b:Publisher>Information Age Publishing</b:Publisher>
    <b:RefOrder>24</b:RefOrder>
  </b:Source>
  <b:Source>
    <b:Tag>Mik15</b:Tag>
    <b:SourceType>Book</b:SourceType>
    <b:Guid>{E6771161-FCDE-4471-B6FA-F22DC9022995}</b:Guid>
    <b:Author>
      <b:Author>
        <b:NameList>
          <b:Person>
            <b:Last>Gershon</b:Last>
            <b:First>Mike</b:First>
          </b:Person>
        </b:NameList>
      </b:Author>
    </b:Author>
    <b:Title>How to use Blooms taxonomy in the classroom</b:Title>
    <b:Year>2015</b:Year>
    <b:City>Texas</b:City>
    <b:Publisher>University of Texas</b:Publisher>
    <b:RefOrder>25</b:RefOrder>
  </b:Source>
  <b:Source>
    <b:Tag>Sau17</b:Tag>
    <b:SourceType>InternetSite</b:SourceType>
    <b:Guid>{7EA518B9-4B0B-4AE3-A55F-12CAEDC3C744}</b:Guid>
    <b:Title>Cognitive Psychology: Learning styles</b:Title>
    <b:Year>2017</b:Year>
    <b:Author>
      <b:Author>
        <b:NameList>
          <b:Person>
            <b:Last>Mcleod</b:Last>
            <b:First>Saul</b:First>
          </b:Person>
        </b:NameList>
      </b:Author>
    </b:Author>
    <b:YearAccessed>2018</b:YearAccessed>
    <b:MonthAccessed>May</b:MonthAccessed>
    <b:DayAccessed>27</b:DayAccessed>
    <b:URL>https://www.simplypsychology.org/learning-kolb.html</b:URL>
    <b:RefOrder>26</b:RefOrder>
  </b:Source>
  <b:Source>
    <b:Tag>Dav15</b:Tag>
    <b:SourceType>Book</b:SourceType>
    <b:Guid>{703883FF-2051-4D33-B5D3-DE26AC125DCE}</b:Guid>
    <b:Author>
      <b:Author>
        <b:NameList>
          <b:Person>
            <b:Last>Kolb</b:Last>
            <b:First>David</b:First>
          </b:Person>
        </b:NameList>
      </b:Author>
    </b:Author>
    <b:Title>Experiential learning </b:Title>
    <b:Year>2015</b:Year>
    <b:City>New Jersy</b:City>
    <b:Publisher>Person Education Inc</b:Publisher>
    <b:Edition>Second</b:Edition>
    <b:RefOrder>27</b:RefOrder>
  </b:Source>
  <b:Source>
    <b:Tag>Fry15</b:Tag>
    <b:SourceType>Book</b:SourceType>
    <b:Guid>{2F9458F6-DDEE-4E86-B719-2D9B65239400}</b:Guid>
    <b:Author>
      <b:Author>
        <b:NameList>
          <b:Person>
            <b:Last>Fry</b:Last>
            <b:First>Heather</b:First>
          </b:Person>
          <b:Person>
            <b:Last>Ketteridge</b:Last>
            <b:First>Steve</b:First>
          </b:Person>
          <b:Person>
            <b:Last>Mashow</b:Last>
            <b:First>Stephanie</b:First>
          </b:Person>
        </b:NameList>
      </b:Author>
    </b:Author>
    <b:Title>A handbook for teaching and learning in higher education </b:Title>
    <b:Year>2015</b:Year>
    <b:City>London</b:City>
    <b:Publisher>Routledge</b:Publisher>
    <b:Edition>Fourth</b:Edition>
    <b:RefOrder>28</b:RefOrder>
  </b:Source>
  <b:Source>
    <b:Tag>Rol12</b:Tag>
    <b:SourceType>JournalArticle</b:SourceType>
    <b:Guid>{9F2FA3B7-4E85-4916-A56E-6C2853431FB1}</b:Guid>
    <b:Author>
      <b:Author>
        <b:NameList>
          <b:Person>
            <b:Last>Rolfe</b:Last>
            <b:First>Dr</b:First>
            <b:Middle>Alexandra</b:Middle>
          </b:Person>
          <b:Person>
            <b:Last>Cheek</b:Last>
            <b:First>Brad</b:First>
          </b:Person>
        </b:NameList>
      </b:Author>
    </b:Author>
    <b:Title>Learning Styles</b:Title>
    <b:JournalName>SAGE Journals</b:JournalName>
    <b:Year>2012</b:Year>
    <b:Pages>176- 181</b:Pages>
    <b:Volume>5</b:Volume>
    <b:Issue>3</b:Issue>
    <b:RefOrder>29</b:RefOrder>
  </b:Source>
  <b:Source>
    <b:Tag>Rom09</b:Tag>
    <b:SourceType>JournalArticle</b:SourceType>
    <b:Guid>{1F555654-A994-4ADE-B1B4-2461BEF34A9A}</b:Guid>
    <b:Author>
      <b:Author>
        <b:NameList>
          <b:Person>
            <b:Last>Romanelli</b:Last>
            <b:First>Frank</b:First>
          </b:Person>
          <b:Person>
            <b:Last>Bird</b:Last>
            <b:First>Eleanora</b:First>
          </b:Person>
          <b:Person>
            <b:Last>Ryan</b:Last>
            <b:First>Melody</b:First>
          </b:Person>
        </b:NameList>
      </b:Author>
    </b:Author>
    <b:Title>Learning styles: A review of theory, application, and best practices</b:Title>
    <b:JournalName>American journal of pharmaceutical education</b:JournalName>
    <b:Year>2009</b:Year>
    <b:Pages>19- 73</b:Pages>
    <b:Volume>9</b:Volume>
    <b:Issue>1</b:Issue>
    <b:RefOrder>30</b:RefOrder>
  </b:Source>
  <b:Source>
    <b:Tag>Ste171</b:Tag>
    <b:SourceType>InternetSite</b:SourceType>
    <b:Guid>{90845E5E-85C5-4526-8327-AE8ADB0E790A}</b:Guid>
    <b:Title>Cornerstone</b:Title>
    <b:Year>2017</b:Year>
    <b:Author>
      <b:Author>
        <b:NameList>
          <b:Person>
            <b:Last>Graham</b:Last>
            <b:First>Steve</b:First>
          </b:Person>
        </b:NameList>
      </b:Author>
    </b:Author>
    <b:YearAccessed>2018</b:YearAccessed>
    <b:MonthAccessed>May</b:MonthAccessed>
    <b:DayAccessed>27</b:DayAccessed>
    <b:URL>https://www.cornerstone.edu/blogs/lifelong-learning-matters/post/a-simple-easy-to-understand-guide-to-andragogy</b:URL>
    <b:RefOrder>31</b:RefOrder>
  </b:Source>
  <b:Source>
    <b:Tag>Bla12</b:Tag>
    <b:SourceType>JournalArticle</b:SourceType>
    <b:Guid>{03FBEA17-0238-497E-A311-8CAD8E3E77DE}</b:Guid>
    <b:Title>Heutagogy and Lifelong Learning; A review of Heutagogical practice and self determined learning</b:Title>
    <b:Year>2012</b:Year>
    <b:Author>
      <b:Author>
        <b:NameList>
          <b:Person>
            <b:Last>Blaschke</b:Last>
            <b:First>Lisa</b:First>
            <b:Middle>Marie</b:Middle>
          </b:Person>
        </b:NameList>
      </b:Author>
    </b:Author>
    <b:JournalName>International Review of Research In Open and Distance Learning</b:JournalName>
    <b:Volume>13</b:Volume>
    <b:Issue>1</b:Issue>
    <b:RefOrder>32</b:RefOrder>
  </b:Source>
  <b:Source>
    <b:Tag>Mat17</b:Tag>
    <b:SourceType>JournalArticle</b:SourceType>
    <b:Guid>{CD1C77D7-ED71-4613-B23E-778A70F87BEC}</b:Guid>
    <b:Title>Using andragogy to teach pedagogy: expecting heutagogy</b:Title>
    <b:Year>2017</b:Year>
    <b:Author>
      <b:Author>
        <b:NameList>
          <b:Person>
            <b:Last>Smith</b:Last>
            <b:First>Matt</b:First>
          </b:Person>
        </b:NameList>
      </b:Author>
    </b:Author>
    <b:JournalName>Research in Teacher Education</b:JournalName>
    <b:Pages>13- 18</b:Pages>
    <b:Volume>7</b:Volume>
    <b:Issue>1</b:Issue>
    <b:RefOrder>33</b:RefOrder>
  </b:Source>
  <b:Source>
    <b:Tag>Man07</b:Tag>
    <b:SourceType>InternetSite</b:SourceType>
    <b:Guid>{A8CF1451-023F-4C50-8494-228CE0A60C13}</b:Guid>
    <b:Title>Business and Public Administration Studies</b:Title>
    <b:Year>2007</b:Year>
    <b:Author>
      <b:Author>
        <b:NameList>
          <b:Person>
            <b:Last>Manning</b:Last>
            <b:First>Geri</b:First>
          </b:Person>
        </b:NameList>
      </b:Author>
    </b:Author>
    <b:InternetSiteTitle>Self directed learning</b:InternetSiteTitle>
    <b:URL>https://www.bpastudies.org/bpastudies/article/view/38/78</b:URL>
    <b:YearAccessed>2017</b:YearAccessed>
    <b:MonthAccessed>November</b:MonthAccessed>
    <b:DayAccessed>19</b:DayAccessed>
    <b:RefOrder>34</b:RefOrder>
  </b:Source>
  <b:Source>
    <b:Tag>Web06</b:Tag>
    <b:SourceType>BookSection</b:SourceType>
    <b:Guid>{A7D62D6B-32E9-45F5-AAFD-413B12693F36}</b:Guid>
    <b:Title>Part 1: Contemporary learning experiences</b:Title>
    <b:Year>2006</b:Year>
    <b:Pages>1- 12</b:Pages>
    <b:Author>
      <b:Author>
        <b:NameList>
          <b:Person>
            <b:Last>Weber</b:Last>
            <b:First>University</b:First>
            <b:Middle>of</b:Middle>
          </b:Person>
        </b:NameList>
      </b:Author>
      <b:BookAuthor>
        <b:NameList>
          <b:Person>
            <b:Last>University</b:Last>
            <b:First>Weber</b:First>
            <b:Middle>State</b:Middle>
          </b:Person>
        </b:NameList>
      </b:BookAuthor>
    </b:Author>
    <b:BookTitle>Contemporary Learning Experiences</b:BookTitle>
    <b:City>Utah</b:City>
    <b:Publisher>Weber State University</b:Publisher>
    <b:RefOrder>65</b:RefOrder>
  </b:Source>
  <b:Source>
    <b:Tag>Ill03</b:Tag>
    <b:SourceType>JournalArticle</b:SourceType>
    <b:Guid>{457C6F44-BD70-4CDD-A551-FE7F3C0AA31D}</b:Guid>
    <b:Title>Towards a contemporary and comrehensive theory of learning</b:Title>
    <b:Year>2003</b:Year>
    <b:Pages>396- 406</b:Pages>
    <b:Author>
      <b:Author>
        <b:NameList>
          <b:Person>
            <b:Last>Illeris</b:Last>
            <b:First>Knud</b:First>
          </b:Person>
        </b:NameList>
      </b:Author>
    </b:Author>
    <b:JournalName>International Journal of lifelong education</b:JournalName>
    <b:Volume>22</b:Volume>
    <b:Issue>4</b:Issue>
    <b:RefOrder>66</b:RefOrder>
  </b:Source>
  <b:Source>
    <b:Tag>Nat12</b:Tag>
    <b:SourceType>InternetSite</b:SourceType>
    <b:Guid>{398E9668-60D5-476E-83E8-36014E5382DA}</b:Guid>
    <b:Title>Contemporary theories of learning</b:Title>
    <b:Year>2012</b:Year>
    <b:Author>
      <b:Author>
        <b:NameList>
          <b:Person>
            <b:Last>Leadership</b:Last>
            <b:First>National</b:First>
            <b:Middle>College for Teaching and</b:Middle>
          </b:Person>
        </b:NameList>
      </b:Author>
    </b:Author>
    <b:InternetSiteTitle>Exploring adult learning</b:InternetSiteTitle>
    <b:URL>https://www.nationalcollege.org.uk/transfer/open/advanced-facilitation/advfac-s03/advfac-s03-t3.html</b:URL>
    <b:RefOrder>67</b:RefOrder>
  </b:Source>
  <b:Source>
    <b:Tag>Cam07</b:Tag>
    <b:SourceType>Book</b:SourceType>
    <b:Guid>{5CE9D3CD-8620-443C-A0CF-FB35C512517C}</b:Guid>
    <b:Title>Learning, Teaching and Assesing in Higher Education</b:Title>
    <b:Year>2007</b:Year>
    <b:Author>
      <b:Author>
        <b:NameList>
          <b:Person>
            <b:Last>Campbell</b:Last>
            <b:First>Ann</b:First>
          </b:Person>
          <b:Person>
            <b:Last>Norton</b:Last>
            <b:First>Lin</b:First>
          </b:Person>
        </b:NameList>
      </b:Author>
    </b:Author>
    <b:City>Exeter</b:City>
    <b:Publisher>Learning Matters Ltd</b:Publisher>
    <b:RefOrder>68</b:RefOrder>
  </b:Source>
  <b:Source>
    <b:Tag>Cur13</b:Tag>
    <b:SourceType>Book</b:SourceType>
    <b:Guid>{6ACEF81B-0A8E-4E5F-94A6-7537F7CB2288}</b:Guid>
    <b:Title>Teaching in further education</b:Title>
    <b:Year>2013</b:Year>
    <b:Author>
      <b:Author>
        <b:NameList>
          <b:Person>
            <b:Last>Curzon</b:Last>
            <b:First>L</b:First>
            <b:Middle>B</b:Middle>
          </b:Person>
          <b:Person>
            <b:Last>Tummons</b:Last>
            <b:First>Jonathen</b:First>
          </b:Person>
        </b:NameList>
      </b:Author>
    </b:Author>
    <b:City>London</b:City>
    <b:Publisher>Bloomsbury</b:Publisher>
    <b:RefOrder>69</b:RefOrder>
  </b:Source>
  <b:Source>
    <b:Tag>Bar14</b:Tag>
    <b:SourceType>Book</b:SourceType>
    <b:Guid>{E1DA0A04-5A4F-4AA3-8787-AEAD86A9AD51}</b:Guid>
    <b:Author>
      <b:Author>
        <b:NameList>
          <b:Person>
            <b:Last>Barkeley</b:Last>
            <b:First>E</b:First>
            <b:Middle>F</b:Middle>
          </b:Person>
          <b:Person>
            <b:Last>Major</b:Last>
            <b:Middle>H</b:Middle>
            <b:First>C</b:First>
          </b:Person>
          <b:Person>
            <b:Last>Cross</b:Last>
            <b:Middle>P</b:Middle>
            <b:First>K</b:First>
          </b:Person>
        </b:NameList>
      </b:Author>
    </b:Author>
    <b:Title>Collaborative learning techniques</b:Title>
    <b:Year>2014</b:Year>
    <b:City>San Francisco</b:City>
    <b:Publisher>Jossey- Bass</b:Publisher>
    <b:RefOrder>70</b:RefOrder>
  </b:Source>
  <b:Source>
    <b:Tag>Foo07</b:Tag>
    <b:SourceType>Book</b:SourceType>
    <b:Guid>{45A41178-1D1E-4976-9D79-536C51A66260}</b:Guid>
    <b:Author>
      <b:Author>
        <b:NameList>
          <b:Person>
            <b:Last>Fook</b:Last>
            <b:First>Jan</b:First>
          </b:Person>
          <b:Person>
            <b:Last>Gardner</b:Last>
            <b:First>Fiona</b:First>
          </b:Person>
        </b:NameList>
      </b:Author>
    </b:Author>
    <b:Title>Practising Critical Reflection: A resource handbook</b:Title>
    <b:Year>2007</b:Year>
    <b:City>London</b:City>
    <b:Publisher>McGraw- Hill Education</b:Publisher>
    <b:RefOrder>35</b:RefOrder>
  </b:Source>
  <b:Source>
    <b:Tag>Kor01</b:Tag>
    <b:SourceType>Book</b:SourceType>
    <b:Guid>{51009E9E-2C6F-40AE-97B7-2409CF1E920F}</b:Guid>
    <b:Author>
      <b:Author>
        <b:NameList>
          <b:Person>
            <b:Last>Korthagen</b:Last>
            <b:First>Fred</b:First>
          </b:Person>
          <b:Person>
            <b:Last>Kessels</b:Last>
            <b:First>Jos</b:First>
          </b:Person>
          <b:Person>
            <b:Last>Koster</b:Last>
            <b:First>Bob</b:First>
          </b:Person>
          <b:Person>
            <b:Last>Lagerwerf</b:Last>
            <b:First>Bram</b:First>
          </b:Person>
        </b:NameList>
      </b:Author>
    </b:Author>
    <b:Title>Linking practice to theory: The pedagogy of realistic teacher education</b:Title>
    <b:Year>2001</b:Year>
    <b:City>London</b:City>
    <b:Publisher>Routledge</b:Publisher>
    <b:RefOrder>36</b:RefOrder>
  </b:Source>
  <b:Source>
    <b:Tag>Ton10</b:Tag>
    <b:SourceType>Book</b:SourceType>
    <b:Guid>{ACD9CB35-27A6-48A0-8AF7-F18BD641758B}</b:Guid>
    <b:Author>
      <b:Author>
        <b:NameList>
          <b:Person>
            <b:Last>Ghaye</b:Last>
            <b:First>Tony</b:First>
          </b:Person>
        </b:NameList>
      </b:Author>
    </b:Author>
    <b:Title>Teaching and learning through reflective practice: A practical guide</b:Title>
    <b:Year>2010</b:Year>
    <b:City>New York</b:City>
    <b:Publisher>Routledge</b:Publisher>
    <b:Edition>Second</b:Edition>
    <b:RefOrder>37</b:RefOrder>
  </b:Source>
  <b:Source>
    <b:Tag>Bob15</b:Tag>
    <b:SourceType>Book</b:SourceType>
    <b:Guid>{5A2F5D98-836C-4C5A-BFEE-BE6FC49B0C5F}</b:Guid>
    <b:Author>
      <b:Author>
        <b:NameList>
          <b:Person>
            <b:Last>Bates</b:Last>
            <b:First>Bob</b:First>
          </b:Person>
        </b:NameList>
      </b:Author>
    </b:Author>
    <b:Title>Learning theories in plain English</b:Title>
    <b:Year>2015</b:Year>
    <b:City>London</b:City>
    <b:Publisher>SAGE</b:Publisher>
    <b:RefOrder>38</b:RefOrder>
  </b:Source>
  <b:Source>
    <b:Tag>Pat16</b:Tag>
    <b:SourceType>Book</b:SourceType>
    <b:Guid>{582C07F9-1E15-4FB8-A100-EA538C24CDB3}</b:Guid>
    <b:Author>
      <b:Author>
        <b:NameList>
          <b:Person>
            <b:Last>Cranton</b:Last>
            <b:First>Patricia</b:First>
          </b:Person>
        </b:NameList>
      </b:Author>
    </b:Author>
    <b:Title>Understanding and promoting transformative learning: a guide to theory and practice</b:Title>
    <b:Year>2016</b:Year>
    <b:City>Virginia</b:City>
    <b:Publisher>Stylus</b:Publisher>
    <b:Edition>Third</b:Edition>
    <b:RefOrder>39</b:RefOrder>
  </b:Source>
  <b:Source>
    <b:Tag>Tim06</b:Tag>
    <b:SourceType>JournalArticle</b:SourceType>
    <b:Guid>{0D791EDC-3B11-41F3-A227-76AB2FA0A0F3}</b:Guid>
    <b:Title>Is reflective practice synonymous with action research?</b:Title>
    <b:Year>2006</b:Year>
    <b:Author>
      <b:Author>
        <b:NameList>
          <b:Person>
            <b:Last>McMahon</b:Last>
            <b:First>Tim</b:First>
          </b:Person>
        </b:NameList>
      </b:Author>
    </b:Author>
    <b:JournalName>Educational action research</b:JournalName>
    <b:Pages>163- 169</b:Pages>
    <b:Volume>7</b:Volume>
    <b:RefOrder>40</b:RefOrder>
  </b:Source>
  <b:Source>
    <b:Tag>Gio17</b:Tag>
    <b:SourceType>JournalArticle</b:SourceType>
    <b:Guid>{D058275F-0FDF-496F-84AE-CF6DD060301D}</b:Guid>
    <b:Title>Combining critical reflectrion and action research to improve pedagogy</b:Title>
    <b:Year>2017</b:Year>
    <b:Author>
      <b:Author>
        <b:NameList>
          <b:Person>
            <b:Last>Badia</b:Last>
            <b:First>Giovanna</b:First>
          </b:Person>
        </b:NameList>
      </b:Author>
    </b:Author>
    <b:JournalName>Libratraries and the academy of Johns Hopkins University Press</b:JournalName>
    <b:Pages>695- 720</b:Pages>
    <b:Volume>17</b:Volume>
    <b:Issue>4</b:Issue>
    <b:RefOrder>41</b:RefOrder>
  </b:Source>
  <b:Source>
    <b:Tag>Mor02</b:Tag>
    <b:SourceType>InternetSite</b:SourceType>
    <b:Guid>{84F6118A-02EC-4103-84EF-3464B3B5DDE9}</b:Guid>
    <b:Title>Reflective practice in beginning teachers: helps, hindrances and the role of the critical other</b:Title>
    <b:Year>2002</b:Year>
    <b:Author>
      <b:Author>
        <b:NameList>
          <b:Person>
            <b:Last>Morre</b:Last>
            <b:First>Alex</b:First>
          </b:Person>
          <b:Person>
            <b:Last>Ash</b:Last>
            <b:First>Andy</b:First>
          </b:Person>
        </b:NameList>
      </b:Author>
    </b:Author>
    <b:YearAccessed>2018</b:YearAccessed>
    <b:MonthAccessed>May</b:MonthAccessed>
    <b:DayAccessed>18</b:DayAccessed>
    <b:URL>https://www.leeds.ac.uk/educol/documents/00002531.htm</b:URL>
    <b:RefOrder>42</b:RefOrder>
  </b:Source>
  <b:Source>
    <b:Tag>TIM91</b:Tag>
    <b:SourceType>JournalArticle</b:SourceType>
    <b:Guid>{FE79BEDA-4103-44FC-A405-BAF63D2D1E51}</b:Guid>
    <b:Title>Is Reflective Practice Synonymous with action reserach?</b:Title>
    <b:Year>1991</b:Year>
    <b:Author>
      <b:Author>
        <b:NameList>
          <b:Person>
            <b:Last>McMahon</b:Last>
            <b:First>Tim</b:First>
          </b:Person>
        </b:NameList>
      </b:Author>
    </b:Author>
    <b:JournalName>Educational Action Research</b:JournalName>
    <b:Pages>163- 169</b:Pages>
    <b:Volume>7</b:Volume>
    <b:Issue>1</b:Issue>
    <b:RefOrder>43</b:RefOrder>
  </b:Source>
  <b:Source>
    <b:Tag>Ash94</b:Tag>
    <b:SourceType>Book</b:SourceType>
    <b:Guid>{960433E4-9537-43D1-8FE3-218179D7A84C}</b:Guid>
    <b:Title>Mnaging Teaching and Learning in further and Higher Education</b:Title>
    <b:Year>1994</b:Year>
    <b:Author>
      <b:Author>
        <b:NameList>
          <b:Person>
            <b:Last>Ashcroft</b:Last>
            <b:First>Kate</b:First>
          </b:Person>
          <b:Person>
            <b:Last>Foreman- Peck</b:Last>
            <b:First>Lorraine</b:First>
          </b:Person>
        </b:NameList>
      </b:Author>
    </b:Author>
    <b:City>London</b:City>
    <b:Publisher>RoutledgeFalmer</b:Publisher>
    <b:RefOrder>44</b:RefOrder>
  </b:Source>
  <b:Source>
    <b:Tag>Hea05</b:Tag>
    <b:SourceType>JournalArticle</b:SourceType>
    <b:Guid>{7705FADC-B1C6-49C1-8E50-B6FE672179ED}</b:Guid>
    <b:Title>Understanding and assessing preservice teachers’ reflective thinking</b:Title>
    <b:Year>2005</b:Year>
    <b:Author>
      <b:Author>
        <b:NameList>
          <b:Person>
            <b:Last>Lee</b:Last>
            <b:First>Hea-</b:First>
            <b:Middle>jin</b:Middle>
          </b:Person>
        </b:NameList>
      </b:Author>
    </b:Author>
    <b:JournalName>Teaching and teacher education</b:JournalName>
    <b:Pages>699-715</b:Pages>
    <b:Volume>21</b:Volume>
    <b:Issue>6</b:Issue>
    <b:RefOrder>71</b:RefOrder>
  </b:Source>
  <b:Source>
    <b:Tag>Chr05</b:Tag>
    <b:SourceType>Book</b:SourceType>
    <b:Guid>{DCA43553-B04B-4E7C-87B6-6927A3298413}</b:Guid>
    <b:Title>Becoming a reflective practitioner</b:Title>
    <b:Year>2005</b:Year>
    <b:Author>
      <b:Author>
        <b:NameList>
          <b:Person>
            <b:Last>Johns</b:Last>
            <b:First>Christopher</b:First>
          </b:Person>
        </b:NameList>
      </b:Author>
    </b:Author>
    <b:City>Oxford</b:City>
    <b:Publisher>Blackewell Science</b:Publisher>
    <b:RefOrder>46</b:RefOrder>
  </b:Source>
  <b:Source>
    <b:Tag>And13</b:Tag>
    <b:SourceType>Book</b:SourceType>
    <b:Guid>{616E055B-F453-48BF-B480-C3DB99850D33}</b:Guid>
    <b:Author>
      <b:Author>
        <b:NameList>
          <b:Person>
            <b:Last>Gaynor</b:Last>
            <b:First>Andrea</b:First>
          </b:Person>
        </b:NameList>
      </b:Author>
    </b:Author>
    <b:Title>Schön’s (1983) Reflection-in-action and reflection-on-action</b:Title>
    <b:Year>2013</b:Year>
    <b:City>London</b:City>
    <b:Publisher>The Learning Quality Support Unit</b:Publisher>
    <b:RefOrder>47</b:RefOrder>
  </b:Source>
  <b:Source>
    <b:Tag>Lin171</b:Tag>
    <b:SourceType>Book</b:SourceType>
    <b:Guid>{D378C360-3D29-4E5E-ABE4-FF85A6B3491F}</b:Guid>
    <b:Title>The reflective practitioner in proffesional education</b:Title>
    <b:Year>2017</b:Year>
    <b:Author>
      <b:Author>
        <b:NameList>
          <b:Person>
            <b:Last>Lawrence</b:Last>
            <b:First>Linda</b:First>
          </b:Person>
        </b:NameList>
      </b:Author>
    </b:Author>
    <b:City>Basingstoke</b:City>
    <b:Publisher>Palgrave</b:Publisher>
    <b:RefOrder>48</b:RefOrder>
  </b:Source>
  <b:Source>
    <b:Tag>GAM15</b:Tag>
    <b:SourceType>JournalArticle</b:SourceType>
    <b:Guid>{975019DA-E804-43DB-A326-7A5BC15F9298}</b:Guid>
    <b:Title>Best practice for teaching and learning strategies to facilitate student reflection in pre- registration health proffesional education</b:Title>
    <b:Year>2015</b:Year>
    <b:Author>
      <b:Author>
        <b:NameList>
          <b:Person>
            <b:Last>Mcleod</b:Last>
            <b:First>G.A</b:First>
          </b:Person>
        </b:NameList>
      </b:Author>
    </b:Author>
    <b:JournalName>Scientific Research Publishing</b:JournalName>
    <b:Pages>440 - 454</b:Pages>
    <b:Volume>6</b:Volume>
    <b:RefOrder>49</b:RefOrder>
  </b:Source>
  <b:Source>
    <b:Tag>AYK05</b:Tag>
    <b:SourceType>JournalArticle</b:SourceType>
    <b:Guid>{2CED055A-EA7A-42C3-AC1B-E24AC043998E}</b:Guid>
    <b:Author>
      <b:Author>
        <b:NameList>
          <b:Person>
            <b:Last>Kolb</b:Last>
            <b:First>A.Y</b:First>
          </b:Person>
        </b:NameList>
      </b:Author>
    </b:Author>
    <b:Title>Learning styles and learning spaces: Enhancing experientiallearning in higher education</b:Title>
    <b:JournalName>Academy of mangement learning education</b:JournalName>
    <b:Year>2005</b:Year>
    <b:Pages>193- 212</b:Pages>
    <b:Volume>4</b:Volume>
    <b:Issue>2</b:Issue>
    <b:RefOrder>50</b:RefOrder>
  </b:Source>
  <b:Source>
    <b:Tag>Lee17</b:Tag>
    <b:SourceType>InternetSite</b:SourceType>
    <b:Guid>{B64441A9-0FA5-4A48-B45B-4728D30D7E28}</b:Guid>
    <b:Title>Skills for learning</b:Title>
    <b:Year>2017</b:Year>
    <b:Author>
      <b:Author>
        <b:NameList>
          <b:Person>
            <b:Last>Beckett</b:Last>
            <b:First>Leeds</b:First>
          </b:Person>
        </b:NameList>
      </b:Author>
    </b:Author>
    <b:YearAccessed>2018</b:YearAccessed>
    <b:MonthAccessed>May</b:MonthAccessed>
    <b:DayAccessed>8</b:DayAccessed>
    <b:URL>https://skillsforlearning.leedsbeckett.ac.uk/</b:URL>
    <b:RefOrder>51</b:RefOrder>
  </b:Source>
  <b:Source>
    <b:Tag>Ste17</b:Tag>
    <b:SourceType>Book</b:SourceType>
    <b:Guid>{B0878DB1-5A44-4B10-8146-0ED071DFD71C}</b:Guid>
    <b:Title>Becoming a critically reflective teacher</b:Title>
    <b:Year>2017</b:Year>
    <b:Author>
      <b:Author>
        <b:NameList>
          <b:Person>
            <b:Last>Brookfield</b:Last>
            <b:First>Stephen</b:First>
          </b:Person>
        </b:NameList>
      </b:Author>
    </b:Author>
    <b:City>San Franscisco</b:City>
    <b:Publisher>Jossey Bass</b:Publisher>
    <b:RefOrder>52</b:RefOrder>
  </b:Source>
  <b:Source>
    <b:Tag>Ste06</b:Tag>
    <b:SourceType>JournalArticle</b:SourceType>
    <b:Guid>{3ABE637C-5232-4147-9B5F-492346CCA9A5}</b:Guid>
    <b:Title>Constructing and critquing reflective practice</b:Title>
    <b:Year>2006</b:Year>
    <b:Author>
      <b:Author>
        <b:NameList>
          <b:Person>
            <b:Last>Newman</b:Last>
            <b:First>Stephen</b:First>
          </b:Person>
        </b:NameList>
      </b:Author>
    </b:Author>
    <b:JournalName>Education action research</b:JournalName>
    <b:Pages>1747- 5074</b:Pages>
    <b:RefOrder>53</b:RefOrder>
  </b:Source>
  <b:Source>
    <b:Tag>LFi08</b:Tag>
    <b:SourceType>JournalArticle</b:SourceType>
    <b:Guid>{C4989B71-75CC-4D9C-91C1-31349D3C1AAB}</b:Guid>
    <b:Author>
      <b:Author>
        <b:NameList>
          <b:Person>
            <b:Last>Finlay</b:Last>
            <b:First>L</b:First>
          </b:Person>
        </b:NameList>
      </b:Author>
    </b:Author>
    <b:Title>Reflecting on reflective practice</b:Title>
    <b:JournalName>The Open University</b:JournalName>
    <b:Year>2008</b:Year>
    <b:RefOrder>54</b:RefOrder>
  </b:Source>
  <b:Source>
    <b:Tag>Fur121</b:Tag>
    <b:SourceType>JournalArticle</b:SourceType>
    <b:Guid>{55E24D96-A4CC-4295-B318-35C1C517508B}</b:Guid>
    <b:Author>
      <b:Author>
        <b:NameList>
          <b:Person>
            <b:Last>Furtado</b:Last>
            <b:First>Leena</b:First>
          </b:Person>
          <b:Person>
            <b:Last>Anderson</b:Last>
            <b:First>Dawnette</b:First>
          </b:Person>
        </b:NameList>
      </b:Author>
    </b:Author>
    <b:Title>The reflective teacher leader: An action reserach model</b:Title>
    <b:JournalName>Journal of school leadership</b:JournalName>
    <b:Year>2012</b:Year>
    <b:Volume>22</b:Volume>
    <b:Issue>3</b:Issue>
    <b:RefOrder>55</b:RefOrder>
  </b:Source>
  <b:Source>
    <b:Tag>LFi09</b:Tag>
    <b:SourceType>Report</b:SourceType>
    <b:Guid>{C864359D-3FFA-450C-8FF4-6C3BFB5909FA}</b:Guid>
    <b:Title>Reflecting on reflective practice</b:Title>
    <b:Year>2009</b:Year>
    <b:Author>
      <b:Author>
        <b:NameList>
          <b:Person>
            <b:Last>Finlay</b:Last>
            <b:First>L</b:First>
          </b:Person>
        </b:NameList>
      </b:Author>
    </b:Author>
    <b:Publisher>Open University</b:Publisher>
    <b:City>Milton Keynes</b:City>
    <b:RefOrder>56</b:RefOrder>
  </b:Source>
  <b:Source>
    <b:Tag>Ali15</b:Tag>
    <b:SourceType>Misc</b:SourceType>
    <b:Guid>{4313A395-E2E4-4125-A54E-BADD7DD48888}</b:Guid>
    <b:Title>In pursuit of knlowedge</b:Title>
    <b:Year>2015</b:Year>
    <b:Author>
      <b:Author>
        <b:NameList>
          <b:Person>
            <b:Last>Ireldale</b:Last>
            <b:First>Alison</b:First>
          </b:Person>
        </b:NameList>
      </b:Author>
    </b:Author>
    <b:City>Huddlesfield</b:City>
    <b:Publisher>University of Huddlesfiled</b:Publisher>
    <b:RefOrder>57</b:RefOrder>
  </b:Source>
  <b:Source>
    <b:Tag>Ken08</b:Tag>
    <b:SourceType>JournalArticle</b:SourceType>
    <b:Guid>{869F2CE3-EF3F-4682-BA6C-E7492DDB2D4B}</b:Guid>
    <b:Title>A critical analysis of reflection as a goal for teacher education</b:Title>
    <b:Year>2008</b:Year>
    <b:Author>
      <b:Author>
        <b:NameList>
          <b:Person>
            <b:Last>Zichmer</b:Last>
            <b:First>Ken</b:First>
          </b:Person>
        </b:NameList>
      </b:Author>
    </b:Author>
    <b:JournalName>University of Wisconsin- Madison</b:JournalName>
    <b:Volume>29</b:Volume>
    <b:Issue>103</b:Issue>
    <b:RefOrder>58</b:RefOrder>
  </b:Source>
  <b:Source>
    <b:Tag>Mel13</b:Tag>
    <b:SourceType>Book</b:SourceType>
    <b:Guid>{B17A2CFC-1465-4516-B97A-2677CFB51BF4}</b:Guid>
    <b:Title>Beginning reflective practice</b:Title>
    <b:Year>2013</b:Year>
    <b:Author>
      <b:Author>
        <b:NameList>
          <b:Person>
            <b:Last>Jasper</b:Last>
            <b:First>Melanie</b:First>
          </b:Person>
        </b:NameList>
      </b:Author>
    </b:Author>
    <b:City>Boston</b:City>
    <b:Publisher>Cangage Learning</b:Publisher>
    <b:Edition>Second</b:Edition>
    <b:RefOrder>59</b:RefOrder>
  </b:Source>
  <b:Source>
    <b:Tag>Placeholder1</b:Tag>
    <b:SourceType>JournalArticle</b:SourceType>
    <b:Guid>{6C516768-7083-40EE-8703-B556715C32D8}</b:Guid>
    <b:Title>Understanding and assessing preservice teachers’ reflective thinking</b:Title>
    <b:Year>2005</b:Year>
    <b:Author>
      <b:Author>
        <b:NameList>
          <b:Person>
            <b:Last>jin</b:Last>
            <b:First>Lee</b:First>
            <b:Middle>Hea-</b:Middle>
          </b:Person>
        </b:NameList>
      </b:Author>
    </b:Author>
    <b:JournalName>Teaching and teacher education</b:JournalName>
    <b:Pages>699-715</b:Pages>
    <b:Volume>21</b:Volume>
    <b:Issue>6</b:Issue>
    <b:RefOrder>45</b:RefOrder>
  </b:Source>
</b:Sources>
</file>

<file path=customXml/itemProps1.xml><?xml version="1.0" encoding="utf-8"?>
<ds:datastoreItem xmlns:ds="http://schemas.openxmlformats.org/officeDocument/2006/customXml" ds:itemID="{E81AB6EE-851B-4D3F-A7B5-595D3297B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16</Pages>
  <Words>7689</Words>
  <Characters>43828</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Williams (P147618)</dc:creator>
  <cp:keywords/>
  <dc:description/>
  <cp:lastModifiedBy>shelley_williams</cp:lastModifiedBy>
  <cp:revision>4</cp:revision>
  <dcterms:created xsi:type="dcterms:W3CDTF">2018-05-31T11:46:00Z</dcterms:created>
  <dcterms:modified xsi:type="dcterms:W3CDTF">2018-05-31T13:09:00Z</dcterms:modified>
</cp:coreProperties>
</file>