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57628943"/>
        <w:docPartObj>
          <w:docPartGallery w:val="Cover Pages"/>
          <w:docPartUnique/>
        </w:docPartObj>
      </w:sdtPr>
      <w:sdtEndPr>
        <w:rPr>
          <w:rFonts w:ascii="Times New Roman" w:hAnsi="Times New Roman" w:cs="Times New Roman"/>
          <w:b/>
          <w:bCs/>
          <w:color w:val="7030A0"/>
          <w:sz w:val="28"/>
          <w:szCs w:val="28"/>
        </w:rPr>
      </w:sdtEndPr>
      <w:sdtContent>
        <w:p w14:paraId="04D88B0F" w14:textId="13FD81B9" w:rsidR="00D52093" w:rsidRDefault="007F5A18">
          <w:r>
            <w:rPr>
              <w:noProof/>
            </w:rPr>
            <mc:AlternateContent>
              <mc:Choice Requires="wps">
                <w:drawing>
                  <wp:anchor distT="0" distB="0" distL="114300" distR="114300" simplePos="0" relativeHeight="251659264" behindDoc="0" locked="0" layoutInCell="1" allowOverlap="1" wp14:anchorId="43B58BEF" wp14:editId="15AD6C47">
                    <wp:simplePos x="0" y="0"/>
                    <wp:positionH relativeFrom="page">
                      <wp:posOffset>-167005</wp:posOffset>
                    </wp:positionH>
                    <wp:positionV relativeFrom="page">
                      <wp:posOffset>1262380</wp:posOffset>
                    </wp:positionV>
                    <wp:extent cx="6400800" cy="2724785"/>
                    <wp:effectExtent l="0" t="0" r="0" b="0"/>
                    <wp:wrapNone/>
                    <wp:docPr id="38" name="Text Box 139" title="Title and subtitle"/>
                    <wp:cNvGraphicFramePr/>
                    <a:graphic xmlns:a="http://schemas.openxmlformats.org/drawingml/2006/main">
                      <a:graphicData uri="http://schemas.microsoft.com/office/word/2010/wordprocessingShape">
                        <wps:wsp>
                          <wps:cNvSpPr txBox="1"/>
                          <wps:spPr>
                            <a:xfrm>
                              <a:off x="0" y="0"/>
                              <a:ext cx="6400800" cy="2724785"/>
                            </a:xfrm>
                            <a:prstGeom prst="rect">
                              <a:avLst/>
                            </a:prstGeom>
                            <a:noFill/>
                            <a:ln w="6350">
                              <a:noFill/>
                            </a:ln>
                          </wps:spPr>
                          <wps:txbx>
                            <w:txbxContent>
                              <w:sdt>
                                <w:sdtPr>
                                  <w:rPr>
                                    <w:rFonts w:ascii="Times New Roman" w:eastAsia="Arial" w:hAnsi="Times New Roman" w:cs="Times New Roman"/>
                                    <w:b/>
                                    <w:bCs/>
                                    <w:color w:val="7030A0"/>
                                    <w:sz w:val="52"/>
                                    <w:szCs w:val="52"/>
                                    <w:lang w:val="en-GB" w:eastAsia="en-GB"/>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18A3EB0E" w14:textId="217E7FCF" w:rsidR="00D52093" w:rsidRPr="00D52093" w:rsidRDefault="00D52093" w:rsidP="00D52093">
                                    <w:pPr>
                                      <w:pStyle w:val="NoSpacing"/>
                                      <w:spacing w:after="900"/>
                                      <w:rPr>
                                        <w:rFonts w:asciiTheme="majorHAnsi" w:hAnsiTheme="majorHAnsi"/>
                                        <w:i/>
                                        <w:caps/>
                                        <w:color w:val="262626" w:themeColor="text1" w:themeTint="D9"/>
                                        <w:sz w:val="52"/>
                                        <w:szCs w:val="52"/>
                                      </w:rPr>
                                    </w:pPr>
                                    <w:r w:rsidRPr="00D52093">
                                      <w:rPr>
                                        <w:rFonts w:ascii="Times New Roman" w:eastAsia="Arial" w:hAnsi="Times New Roman" w:cs="Times New Roman"/>
                                        <w:b/>
                                        <w:bCs/>
                                        <w:color w:val="7030A0"/>
                                        <w:sz w:val="52"/>
                                        <w:szCs w:val="52"/>
                                        <w:lang w:val="en-GB" w:eastAsia="en-GB"/>
                                      </w:rPr>
                                      <w:t>An Investigation into Harmony Principles in Responsible Business:</w:t>
                                    </w:r>
                                    <w:r w:rsidRPr="00D52093">
                                      <w:rPr>
                                        <w:rFonts w:ascii="Times New Roman" w:eastAsia="Arial" w:hAnsi="Times New Roman" w:cs="Times New Roman"/>
                                        <w:b/>
                                        <w:bCs/>
                                        <w:color w:val="7030A0"/>
                                        <w:sz w:val="52"/>
                                        <w:szCs w:val="52"/>
                                        <w:lang w:val="en-GB" w:eastAsia="en-GB"/>
                                      </w:rPr>
                                      <w:t xml:space="preserve"> </w:t>
                                    </w:r>
                                    <w:r w:rsidRPr="00D52093">
                                      <w:rPr>
                                        <w:rFonts w:ascii="Times New Roman" w:eastAsia="Arial" w:hAnsi="Times New Roman" w:cs="Times New Roman"/>
                                        <w:b/>
                                        <w:bCs/>
                                        <w:color w:val="7030A0"/>
                                        <w:sz w:val="52"/>
                                        <w:szCs w:val="52"/>
                                        <w:lang w:val="en-GB" w:eastAsia="en-GB"/>
                                      </w:rPr>
                                      <w:t>A Case Study of Bluestone National Park Resort, Pembrokeshire</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37D3EAB" w14:textId="7B15B21E" w:rsidR="00D52093" w:rsidRDefault="00E724FD">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43B58BEF" id="_x0000_t202" coordsize="21600,21600" o:spt="202" path="m,l,21600r21600,l21600,xe">
                    <v:stroke joinstyle="miter"/>
                    <v:path gradientshapeok="t" o:connecttype="rect"/>
                  </v:shapetype>
                  <v:shape id="Text Box 139" o:spid="_x0000_s1026" type="#_x0000_t202" alt="Title: Title and subtitle" style="position:absolute;margin-left:-13.15pt;margin-top:99.4pt;width:7in;height:214.5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" filled="f" stroked="f" strokeweight=".5pt">
                    <v:textbox style="mso-fit-shape-to-text:t" inset="93.6pt,,0">
                      <w:txbxContent>
                        <w:sdt>
                          <w:sdtPr>
                            <w:rPr>
                              <w:rFonts w:ascii="Times New Roman" w:eastAsia="Arial" w:hAnsi="Times New Roman" w:cs="Times New Roman"/>
                              <w:b/>
                              <w:bCs/>
                              <w:color w:val="7030A0"/>
                              <w:sz w:val="52"/>
                              <w:szCs w:val="52"/>
                              <w:lang w:val="en-GB" w:eastAsia="en-GB"/>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18A3EB0E" w14:textId="217E7FCF" w:rsidR="00D52093" w:rsidRPr="00D52093" w:rsidRDefault="00D52093" w:rsidP="00D52093">
                              <w:pPr>
                                <w:pStyle w:val="NoSpacing"/>
                                <w:spacing w:after="900"/>
                                <w:rPr>
                                  <w:rFonts w:asciiTheme="majorHAnsi" w:hAnsiTheme="majorHAnsi"/>
                                  <w:i/>
                                  <w:caps/>
                                  <w:color w:val="262626" w:themeColor="text1" w:themeTint="D9"/>
                                  <w:sz w:val="52"/>
                                  <w:szCs w:val="52"/>
                                </w:rPr>
                              </w:pPr>
                              <w:r w:rsidRPr="00D52093">
                                <w:rPr>
                                  <w:rFonts w:ascii="Times New Roman" w:eastAsia="Arial" w:hAnsi="Times New Roman" w:cs="Times New Roman"/>
                                  <w:b/>
                                  <w:bCs/>
                                  <w:color w:val="7030A0"/>
                                  <w:sz w:val="52"/>
                                  <w:szCs w:val="52"/>
                                  <w:lang w:val="en-GB" w:eastAsia="en-GB"/>
                                </w:rPr>
                                <w:t>An Investigation into Harmony Principles in Responsible Business:</w:t>
                              </w:r>
                              <w:r w:rsidRPr="00D52093">
                                <w:rPr>
                                  <w:rFonts w:ascii="Times New Roman" w:eastAsia="Arial" w:hAnsi="Times New Roman" w:cs="Times New Roman"/>
                                  <w:b/>
                                  <w:bCs/>
                                  <w:color w:val="7030A0"/>
                                  <w:sz w:val="52"/>
                                  <w:szCs w:val="52"/>
                                  <w:lang w:val="en-GB" w:eastAsia="en-GB"/>
                                </w:rPr>
                                <w:t xml:space="preserve"> </w:t>
                              </w:r>
                              <w:r w:rsidRPr="00D52093">
                                <w:rPr>
                                  <w:rFonts w:ascii="Times New Roman" w:eastAsia="Arial" w:hAnsi="Times New Roman" w:cs="Times New Roman"/>
                                  <w:b/>
                                  <w:bCs/>
                                  <w:color w:val="7030A0"/>
                                  <w:sz w:val="52"/>
                                  <w:szCs w:val="52"/>
                                  <w:lang w:val="en-GB" w:eastAsia="en-GB"/>
                                </w:rPr>
                                <w:t>A Case Study of Bluestone National Park Resort, Pembrokeshire</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37D3EAB" w14:textId="7B15B21E" w:rsidR="00D52093" w:rsidRDefault="00E724FD">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r w:rsidR="00D52093">
            <w:rPr>
              <w:noProof/>
            </w:rPr>
            <mc:AlternateContent>
              <mc:Choice Requires="wps">
                <w:drawing>
                  <wp:anchor distT="0" distB="0" distL="114300" distR="114300" simplePos="0" relativeHeight="251660288" behindDoc="1" locked="0" layoutInCell="1" allowOverlap="1" wp14:anchorId="2DF7AE77" wp14:editId="08957167">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13DC0B4"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p w14:paraId="183FD385" w14:textId="1A11F11B" w:rsidR="00D52093" w:rsidRDefault="007F5A18">
          <w:pPr>
            <w:rPr>
              <w:rFonts w:ascii="Times New Roman" w:hAnsi="Times New Roman" w:cs="Times New Roman"/>
              <w:b/>
              <w:bCs/>
              <w:color w:val="7030A0"/>
              <w:sz w:val="28"/>
              <w:szCs w:val="28"/>
            </w:rPr>
          </w:pPr>
          <w:r>
            <w:rPr>
              <w:noProof/>
            </w:rPr>
            <w:drawing>
              <wp:anchor distT="0" distB="0" distL="114300" distR="114300" simplePos="0" relativeHeight="251662336" behindDoc="0" locked="0" layoutInCell="1" allowOverlap="1" wp14:anchorId="5C4A4E41" wp14:editId="3DA4555C">
                <wp:simplePos x="0" y="0"/>
                <wp:positionH relativeFrom="column">
                  <wp:posOffset>-38100</wp:posOffset>
                </wp:positionH>
                <wp:positionV relativeFrom="paragraph">
                  <wp:posOffset>2510790</wp:posOffset>
                </wp:positionV>
                <wp:extent cx="6205133" cy="3981450"/>
                <wp:effectExtent l="0" t="0" r="5715" b="0"/>
                <wp:wrapNone/>
                <wp:docPr id="1292951350" name="Picture 1" descr="Resort | Family Attractions &amp; Facilities | Blueston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ort | Family Attractions &amp; Facilities | Bluestone Wales"/>
                        <pic:cNvPicPr>
                          <a:picLocks noChangeAspect="1" noChangeArrowheads="1"/>
                        </pic:cNvPicPr>
                      </pic:nvPicPr>
                      <pic:blipFill rotWithShape="1">
                        <a:blip r:embed="rId6">
                          <a:extLst>
                            <a:ext uri="{28A0092B-C50C-407E-A947-70E740481C1C}">
                              <a14:useLocalDpi xmlns:a14="http://schemas.microsoft.com/office/drawing/2010/main" val="0"/>
                            </a:ext>
                          </a:extLst>
                        </a:blip>
                        <a:srcRect l="12268" t="-531" r="61" b="523"/>
                        <a:stretch>
                          <a:fillRect/>
                        </a:stretch>
                      </pic:blipFill>
                      <pic:spPr bwMode="auto">
                        <a:xfrm>
                          <a:off x="0" y="0"/>
                          <a:ext cx="6205133" cy="39814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1312" behindDoc="0" locked="0" layoutInCell="1" allowOverlap="1" wp14:anchorId="025B791F" wp14:editId="10FA251A">
                    <wp:simplePos x="0" y="0"/>
                    <wp:positionH relativeFrom="page">
                      <wp:posOffset>0</wp:posOffset>
                    </wp:positionH>
                    <wp:positionV relativeFrom="page">
                      <wp:posOffset>7205345</wp:posOffset>
                    </wp:positionV>
                    <wp:extent cx="5534025" cy="2724912"/>
                    <wp:effectExtent l="0" t="0" r="0" b="0"/>
                    <wp:wrapNone/>
                    <wp:docPr id="36" name="Text Box 135"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59D78EA1" w14:textId="088005D8" w:rsidR="00D52093" w:rsidRPr="00E724FD" w:rsidRDefault="00E724FD">
                                <w:pPr>
                                  <w:pStyle w:val="NoSpacing"/>
                                  <w:rPr>
                                    <w:b/>
                                    <w:bCs/>
                                    <w:iCs/>
                                    <w:color w:val="262626" w:themeColor="text1" w:themeTint="D9"/>
                                    <w:sz w:val="32"/>
                                    <w:szCs w:val="32"/>
                                    <w:lang w:val="en-GB"/>
                                  </w:rPr>
                                </w:pPr>
                                <w:r w:rsidRPr="00E724FD">
                                  <w:rPr>
                                    <w:b/>
                                    <w:bCs/>
                                    <w:iCs/>
                                    <w:color w:val="262626" w:themeColor="text1" w:themeTint="D9"/>
                                    <w:sz w:val="32"/>
                                    <w:szCs w:val="32"/>
                                    <w:lang w:val="en-GB"/>
                                  </w:rPr>
                                  <w:t>Taylor-Jayne Rowe</w:t>
                                </w:r>
                              </w:p>
                              <w:p w14:paraId="187E963E" w14:textId="626E695E" w:rsidR="00E724FD" w:rsidRPr="00E724FD" w:rsidRDefault="00E724FD">
                                <w:pPr>
                                  <w:pStyle w:val="NoSpacing"/>
                                  <w:rPr>
                                    <w:b/>
                                    <w:bCs/>
                                    <w:iCs/>
                                    <w:color w:val="262626" w:themeColor="text1" w:themeTint="D9"/>
                                    <w:sz w:val="26"/>
                                    <w:szCs w:val="26"/>
                                    <w:lang w:val="en-GB"/>
                                  </w:rPr>
                                </w:pPr>
                                <w:r w:rsidRPr="00E724FD">
                                  <w:rPr>
                                    <w:b/>
                                    <w:bCs/>
                                    <w:iCs/>
                                    <w:color w:val="262626" w:themeColor="text1" w:themeTint="D9"/>
                                    <w:sz w:val="32"/>
                                    <w:szCs w:val="32"/>
                                    <w:lang w:val="en-GB"/>
                                  </w:rPr>
                                  <w:t>2507302</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025B791F" id="Text Box 135" o:spid="_x0000_s1027" type="#_x0000_t202" alt="Title: Title and subtitle" style="position:absolute;margin-left:0;margin-top:567.35pt;width:435.75pt;height:214.55pt;z-index:251661312;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" filled="f" stroked="f" strokeweight=".5pt">
                    <v:textbox inset="93.6pt,7.2pt,0,1in">
                      <w:txbxContent>
                        <w:p w14:paraId="59D78EA1" w14:textId="088005D8" w:rsidR="00D52093" w:rsidRPr="00E724FD" w:rsidRDefault="00E724FD">
                          <w:pPr>
                            <w:pStyle w:val="NoSpacing"/>
                            <w:rPr>
                              <w:b/>
                              <w:bCs/>
                              <w:iCs/>
                              <w:color w:val="262626" w:themeColor="text1" w:themeTint="D9"/>
                              <w:sz w:val="32"/>
                              <w:szCs w:val="32"/>
                              <w:lang w:val="en-GB"/>
                            </w:rPr>
                          </w:pPr>
                          <w:r w:rsidRPr="00E724FD">
                            <w:rPr>
                              <w:b/>
                              <w:bCs/>
                              <w:iCs/>
                              <w:color w:val="262626" w:themeColor="text1" w:themeTint="D9"/>
                              <w:sz w:val="32"/>
                              <w:szCs w:val="32"/>
                              <w:lang w:val="en-GB"/>
                            </w:rPr>
                            <w:t>Taylor-Jayne Rowe</w:t>
                          </w:r>
                        </w:p>
                        <w:p w14:paraId="187E963E" w14:textId="626E695E" w:rsidR="00E724FD" w:rsidRPr="00E724FD" w:rsidRDefault="00E724FD">
                          <w:pPr>
                            <w:pStyle w:val="NoSpacing"/>
                            <w:rPr>
                              <w:b/>
                              <w:bCs/>
                              <w:iCs/>
                              <w:color w:val="262626" w:themeColor="text1" w:themeTint="D9"/>
                              <w:sz w:val="26"/>
                              <w:szCs w:val="26"/>
                              <w:lang w:val="en-GB"/>
                            </w:rPr>
                          </w:pPr>
                          <w:r w:rsidRPr="00E724FD">
                            <w:rPr>
                              <w:b/>
                              <w:bCs/>
                              <w:iCs/>
                              <w:color w:val="262626" w:themeColor="text1" w:themeTint="D9"/>
                              <w:sz w:val="32"/>
                              <w:szCs w:val="32"/>
                              <w:lang w:val="en-GB"/>
                            </w:rPr>
                            <w:t>2507302</w:t>
                          </w:r>
                        </w:p>
                      </w:txbxContent>
                    </v:textbox>
                    <w10:wrap anchorx="page" anchory="page"/>
                  </v:shape>
                </w:pict>
              </mc:Fallback>
            </mc:AlternateContent>
          </w:r>
          <w:r>
            <w:fldChar w:fldCharType="begin"/>
          </w:r>
          <w:r>
            <w:instrText xml:space="preserve"> INCLUDEPICTURE "/Users/taylor-jaynerowe/Library/Group Containers/UBF8T346G9.ms/WebArchiveCopyPasteTempFiles/com.microsoft.Word/web-header-landscape-2.jpg" \* MERGEFORMATINET </w:instrText>
          </w:r>
          <w:r>
            <w:fldChar w:fldCharType="separate"/>
          </w:r>
          <w:r>
            <w:fldChar w:fldCharType="end"/>
          </w:r>
          <w:r w:rsidR="00D52093">
            <w:rPr>
              <w:rFonts w:ascii="Times New Roman" w:hAnsi="Times New Roman" w:cs="Times New Roman"/>
              <w:b/>
              <w:bCs/>
              <w:color w:val="7030A0"/>
              <w:sz w:val="28"/>
              <w:szCs w:val="28"/>
            </w:rPr>
            <w:br w:type="page"/>
          </w:r>
        </w:p>
      </w:sdtContent>
    </w:sdt>
    <w:sdt>
      <w:sdtPr>
        <w:rPr>
          <w:sz w:val="44"/>
          <w:szCs w:val="44"/>
        </w:rPr>
        <w:id w:val="-781104568"/>
        <w:docPartObj>
          <w:docPartGallery w:val="Table of Contents"/>
          <w:docPartUnique/>
        </w:docPartObj>
      </w:sdtPr>
      <w:sdtEndPr>
        <w:rPr>
          <w:rFonts w:ascii="Arial" w:eastAsia="Arial" w:hAnsi="Arial" w:cs="Arial"/>
          <w:noProof/>
          <w:color w:val="auto"/>
          <w:sz w:val="40"/>
          <w:szCs w:val="40"/>
          <w:lang w:val="en-GB" w:eastAsia="en-GB"/>
        </w:rPr>
      </w:sdtEndPr>
      <w:sdtContent>
        <w:p w14:paraId="3254CC08" w14:textId="2C4EDE77" w:rsidR="00D52093" w:rsidRPr="0045681B" w:rsidRDefault="00D52093" w:rsidP="00D52093">
          <w:pPr>
            <w:pStyle w:val="TOCHeading"/>
            <w:jc w:val="center"/>
            <w:rPr>
              <w:rFonts w:ascii="Times New Roman" w:hAnsi="Times New Roman" w:cs="Times New Roman"/>
              <w:sz w:val="52"/>
              <w:szCs w:val="52"/>
            </w:rPr>
          </w:pPr>
          <w:r w:rsidRPr="0045681B">
            <w:rPr>
              <w:rFonts w:ascii="Times New Roman" w:hAnsi="Times New Roman" w:cs="Times New Roman"/>
              <w:sz w:val="52"/>
              <w:szCs w:val="52"/>
            </w:rPr>
            <w:t>Table of Contents</w:t>
          </w:r>
        </w:p>
        <w:p w14:paraId="12A3D65E" w14:textId="73992001" w:rsidR="00E724FD" w:rsidRPr="007F5A18" w:rsidRDefault="00D52093">
          <w:pPr>
            <w:pStyle w:val="TOC1"/>
            <w:tabs>
              <w:tab w:val="right" w:leader="dot" w:pos="9016"/>
            </w:tabs>
            <w:rPr>
              <w:rFonts w:eastAsiaTheme="minorEastAsia" w:cstheme="minorBidi"/>
              <w:b w:val="0"/>
              <w:bCs w:val="0"/>
              <w:i w:val="0"/>
              <w:iCs w:val="0"/>
              <w:noProof/>
              <w:kern w:val="2"/>
              <w:sz w:val="40"/>
              <w:szCs w:val="40"/>
              <w14:ligatures w14:val="standardContextual"/>
            </w:rPr>
          </w:pPr>
          <w:r w:rsidRPr="007F5A18">
            <w:rPr>
              <w:b w:val="0"/>
              <w:bCs w:val="0"/>
              <w:sz w:val="40"/>
              <w:szCs w:val="40"/>
            </w:rPr>
            <w:fldChar w:fldCharType="begin"/>
          </w:r>
          <w:r w:rsidRPr="007F5A18">
            <w:rPr>
              <w:sz w:val="40"/>
              <w:szCs w:val="40"/>
            </w:rPr>
            <w:instrText xml:space="preserve"> TOC \o "1-3" \h \z \u </w:instrText>
          </w:r>
          <w:r w:rsidRPr="007F5A18">
            <w:rPr>
              <w:b w:val="0"/>
              <w:bCs w:val="0"/>
              <w:sz w:val="40"/>
              <w:szCs w:val="40"/>
            </w:rPr>
            <w:fldChar w:fldCharType="separate"/>
          </w:r>
          <w:hyperlink w:anchor="_Toc227830384" w:history="1">
            <w:r w:rsidR="00E724FD" w:rsidRPr="007F5A18">
              <w:rPr>
                <w:rStyle w:val="Hyperlink"/>
                <w:rFonts w:ascii="Times New Roman" w:hAnsi="Times New Roman" w:cs="Times New Roman"/>
                <w:noProof/>
                <w:sz w:val="40"/>
                <w:szCs w:val="40"/>
              </w:rPr>
              <w:t>1. Introduction</w:t>
            </w:r>
            <w:r w:rsidR="00E724FD" w:rsidRPr="007F5A18">
              <w:rPr>
                <w:noProof/>
                <w:webHidden/>
                <w:sz w:val="40"/>
                <w:szCs w:val="40"/>
              </w:rPr>
              <w:tab/>
            </w:r>
            <w:r w:rsidR="00E724FD" w:rsidRPr="007F5A18">
              <w:rPr>
                <w:noProof/>
                <w:webHidden/>
                <w:sz w:val="40"/>
                <w:szCs w:val="40"/>
              </w:rPr>
              <w:fldChar w:fldCharType="begin"/>
            </w:r>
            <w:r w:rsidR="00E724FD" w:rsidRPr="007F5A18">
              <w:rPr>
                <w:noProof/>
                <w:webHidden/>
                <w:sz w:val="40"/>
                <w:szCs w:val="40"/>
              </w:rPr>
              <w:instrText xml:space="preserve"> PAGEREF _Toc227830384 \h </w:instrText>
            </w:r>
            <w:r w:rsidR="00E724FD" w:rsidRPr="007F5A18">
              <w:rPr>
                <w:noProof/>
                <w:webHidden/>
                <w:sz w:val="40"/>
                <w:szCs w:val="40"/>
              </w:rPr>
            </w:r>
            <w:r w:rsidR="00E724FD" w:rsidRPr="007F5A18">
              <w:rPr>
                <w:noProof/>
                <w:webHidden/>
                <w:sz w:val="40"/>
                <w:szCs w:val="40"/>
              </w:rPr>
              <w:fldChar w:fldCharType="separate"/>
            </w:r>
            <w:r w:rsidR="00E724FD" w:rsidRPr="007F5A18">
              <w:rPr>
                <w:noProof/>
                <w:webHidden/>
                <w:sz w:val="40"/>
                <w:szCs w:val="40"/>
              </w:rPr>
              <w:t>2</w:t>
            </w:r>
            <w:r w:rsidR="00E724FD" w:rsidRPr="007F5A18">
              <w:rPr>
                <w:noProof/>
                <w:webHidden/>
                <w:sz w:val="40"/>
                <w:szCs w:val="40"/>
              </w:rPr>
              <w:fldChar w:fldCharType="end"/>
            </w:r>
          </w:hyperlink>
        </w:p>
        <w:p w14:paraId="32638082" w14:textId="0E6268B9" w:rsidR="00E724FD" w:rsidRPr="007F5A18" w:rsidRDefault="00E724FD">
          <w:pPr>
            <w:pStyle w:val="TOC1"/>
            <w:tabs>
              <w:tab w:val="right" w:leader="dot" w:pos="9016"/>
            </w:tabs>
            <w:rPr>
              <w:rFonts w:eastAsiaTheme="minorEastAsia" w:cstheme="minorBidi"/>
              <w:b w:val="0"/>
              <w:bCs w:val="0"/>
              <w:i w:val="0"/>
              <w:iCs w:val="0"/>
              <w:noProof/>
              <w:kern w:val="2"/>
              <w:sz w:val="40"/>
              <w:szCs w:val="40"/>
              <w14:ligatures w14:val="standardContextual"/>
            </w:rPr>
          </w:pPr>
          <w:hyperlink w:anchor="_Toc227830385" w:history="1">
            <w:r w:rsidRPr="007F5A18">
              <w:rPr>
                <w:rStyle w:val="Hyperlink"/>
                <w:rFonts w:ascii="Times New Roman" w:hAnsi="Times New Roman" w:cs="Times New Roman"/>
                <w:noProof/>
                <w:sz w:val="40"/>
                <w:szCs w:val="40"/>
              </w:rPr>
              <w:t>2. Principles of Harmony in Responsible Business</w:t>
            </w:r>
            <w:r w:rsidRPr="007F5A18">
              <w:rPr>
                <w:noProof/>
                <w:webHidden/>
                <w:sz w:val="40"/>
                <w:szCs w:val="40"/>
              </w:rPr>
              <w:tab/>
            </w:r>
            <w:r w:rsidRPr="007F5A18">
              <w:rPr>
                <w:noProof/>
                <w:webHidden/>
                <w:sz w:val="40"/>
                <w:szCs w:val="40"/>
              </w:rPr>
              <w:fldChar w:fldCharType="begin"/>
            </w:r>
            <w:r w:rsidRPr="007F5A18">
              <w:rPr>
                <w:noProof/>
                <w:webHidden/>
                <w:sz w:val="40"/>
                <w:szCs w:val="40"/>
              </w:rPr>
              <w:instrText xml:space="preserve"> PAGEREF _Toc227830385 \h </w:instrText>
            </w:r>
            <w:r w:rsidRPr="007F5A18">
              <w:rPr>
                <w:noProof/>
                <w:webHidden/>
                <w:sz w:val="40"/>
                <w:szCs w:val="40"/>
              </w:rPr>
            </w:r>
            <w:r w:rsidRPr="007F5A18">
              <w:rPr>
                <w:noProof/>
                <w:webHidden/>
                <w:sz w:val="40"/>
                <w:szCs w:val="40"/>
              </w:rPr>
              <w:fldChar w:fldCharType="separate"/>
            </w:r>
            <w:r w:rsidRPr="007F5A18">
              <w:rPr>
                <w:noProof/>
                <w:webHidden/>
                <w:sz w:val="40"/>
                <w:szCs w:val="40"/>
              </w:rPr>
              <w:t>3</w:t>
            </w:r>
            <w:r w:rsidRPr="007F5A18">
              <w:rPr>
                <w:noProof/>
                <w:webHidden/>
                <w:sz w:val="40"/>
                <w:szCs w:val="40"/>
              </w:rPr>
              <w:fldChar w:fldCharType="end"/>
            </w:r>
          </w:hyperlink>
        </w:p>
        <w:p w14:paraId="2E45C316" w14:textId="0684A5BC" w:rsidR="00E724FD" w:rsidRPr="007F5A18" w:rsidRDefault="00E724FD">
          <w:pPr>
            <w:pStyle w:val="TOC1"/>
            <w:tabs>
              <w:tab w:val="right" w:leader="dot" w:pos="9016"/>
            </w:tabs>
            <w:rPr>
              <w:rFonts w:eastAsiaTheme="minorEastAsia" w:cstheme="minorBidi"/>
              <w:b w:val="0"/>
              <w:bCs w:val="0"/>
              <w:i w:val="0"/>
              <w:iCs w:val="0"/>
              <w:noProof/>
              <w:kern w:val="2"/>
              <w:sz w:val="40"/>
              <w:szCs w:val="40"/>
              <w14:ligatures w14:val="standardContextual"/>
            </w:rPr>
          </w:pPr>
          <w:hyperlink w:anchor="_Toc227830386" w:history="1">
            <w:r w:rsidRPr="007F5A18">
              <w:rPr>
                <w:rStyle w:val="Hyperlink"/>
                <w:rFonts w:ascii="Times New Roman" w:hAnsi="Times New Roman" w:cs="Times New Roman"/>
                <w:noProof/>
                <w:sz w:val="40"/>
                <w:szCs w:val="40"/>
              </w:rPr>
              <w:t>3. Case Study: Organisation Overview</w:t>
            </w:r>
            <w:r w:rsidRPr="007F5A18">
              <w:rPr>
                <w:noProof/>
                <w:webHidden/>
                <w:sz w:val="40"/>
                <w:szCs w:val="40"/>
              </w:rPr>
              <w:tab/>
            </w:r>
            <w:r w:rsidRPr="007F5A18">
              <w:rPr>
                <w:noProof/>
                <w:webHidden/>
                <w:sz w:val="40"/>
                <w:szCs w:val="40"/>
              </w:rPr>
              <w:fldChar w:fldCharType="begin"/>
            </w:r>
            <w:r w:rsidRPr="007F5A18">
              <w:rPr>
                <w:noProof/>
                <w:webHidden/>
                <w:sz w:val="40"/>
                <w:szCs w:val="40"/>
              </w:rPr>
              <w:instrText xml:space="preserve"> PAGEREF _Toc227830386 \h </w:instrText>
            </w:r>
            <w:r w:rsidRPr="007F5A18">
              <w:rPr>
                <w:noProof/>
                <w:webHidden/>
                <w:sz w:val="40"/>
                <w:szCs w:val="40"/>
              </w:rPr>
            </w:r>
            <w:r w:rsidRPr="007F5A18">
              <w:rPr>
                <w:noProof/>
                <w:webHidden/>
                <w:sz w:val="40"/>
                <w:szCs w:val="40"/>
              </w:rPr>
              <w:fldChar w:fldCharType="separate"/>
            </w:r>
            <w:r w:rsidRPr="007F5A18">
              <w:rPr>
                <w:noProof/>
                <w:webHidden/>
                <w:sz w:val="40"/>
                <w:szCs w:val="40"/>
              </w:rPr>
              <w:t>4</w:t>
            </w:r>
            <w:r w:rsidRPr="007F5A18">
              <w:rPr>
                <w:noProof/>
                <w:webHidden/>
                <w:sz w:val="40"/>
                <w:szCs w:val="40"/>
              </w:rPr>
              <w:fldChar w:fldCharType="end"/>
            </w:r>
          </w:hyperlink>
        </w:p>
        <w:p w14:paraId="4559DDE3" w14:textId="33FF6BFA" w:rsidR="00E724FD" w:rsidRPr="007F5A18" w:rsidRDefault="00E724FD">
          <w:pPr>
            <w:pStyle w:val="TOC1"/>
            <w:tabs>
              <w:tab w:val="right" w:leader="dot" w:pos="9016"/>
            </w:tabs>
            <w:rPr>
              <w:rFonts w:eastAsiaTheme="minorEastAsia" w:cstheme="minorBidi"/>
              <w:b w:val="0"/>
              <w:bCs w:val="0"/>
              <w:i w:val="0"/>
              <w:iCs w:val="0"/>
              <w:noProof/>
              <w:kern w:val="2"/>
              <w:sz w:val="40"/>
              <w:szCs w:val="40"/>
              <w14:ligatures w14:val="standardContextual"/>
            </w:rPr>
          </w:pPr>
          <w:hyperlink w:anchor="_Toc227830387" w:history="1">
            <w:r w:rsidRPr="007F5A18">
              <w:rPr>
                <w:rStyle w:val="Hyperlink"/>
                <w:rFonts w:ascii="Times New Roman" w:hAnsi="Times New Roman" w:cs="Times New Roman"/>
                <w:noProof/>
                <w:sz w:val="40"/>
                <w:szCs w:val="40"/>
              </w:rPr>
              <w:t>4. Evidence of Harmony Principles in the Organisation</w:t>
            </w:r>
            <w:r w:rsidRPr="007F5A18">
              <w:rPr>
                <w:noProof/>
                <w:webHidden/>
                <w:sz w:val="40"/>
                <w:szCs w:val="40"/>
              </w:rPr>
              <w:tab/>
            </w:r>
            <w:r w:rsidRPr="007F5A18">
              <w:rPr>
                <w:noProof/>
                <w:webHidden/>
                <w:sz w:val="40"/>
                <w:szCs w:val="40"/>
              </w:rPr>
              <w:fldChar w:fldCharType="begin"/>
            </w:r>
            <w:r w:rsidRPr="007F5A18">
              <w:rPr>
                <w:noProof/>
                <w:webHidden/>
                <w:sz w:val="40"/>
                <w:szCs w:val="40"/>
              </w:rPr>
              <w:instrText xml:space="preserve"> PAGEREF _Toc227830387 \h </w:instrText>
            </w:r>
            <w:r w:rsidRPr="007F5A18">
              <w:rPr>
                <w:noProof/>
                <w:webHidden/>
                <w:sz w:val="40"/>
                <w:szCs w:val="40"/>
              </w:rPr>
            </w:r>
            <w:r w:rsidRPr="007F5A18">
              <w:rPr>
                <w:noProof/>
                <w:webHidden/>
                <w:sz w:val="40"/>
                <w:szCs w:val="40"/>
              </w:rPr>
              <w:fldChar w:fldCharType="separate"/>
            </w:r>
            <w:r w:rsidRPr="007F5A18">
              <w:rPr>
                <w:noProof/>
                <w:webHidden/>
                <w:sz w:val="40"/>
                <w:szCs w:val="40"/>
              </w:rPr>
              <w:t>5</w:t>
            </w:r>
            <w:r w:rsidRPr="007F5A18">
              <w:rPr>
                <w:noProof/>
                <w:webHidden/>
                <w:sz w:val="40"/>
                <w:szCs w:val="40"/>
              </w:rPr>
              <w:fldChar w:fldCharType="end"/>
            </w:r>
          </w:hyperlink>
        </w:p>
        <w:p w14:paraId="23A21E77" w14:textId="2F2D7430" w:rsidR="00E724FD" w:rsidRPr="007F5A18" w:rsidRDefault="00E724FD">
          <w:pPr>
            <w:pStyle w:val="TOC2"/>
            <w:tabs>
              <w:tab w:val="right" w:leader="dot" w:pos="9016"/>
            </w:tabs>
            <w:rPr>
              <w:rFonts w:eastAsiaTheme="minorEastAsia" w:cstheme="minorBidi"/>
              <w:b w:val="0"/>
              <w:bCs w:val="0"/>
              <w:noProof/>
              <w:kern w:val="2"/>
              <w:sz w:val="40"/>
              <w:szCs w:val="40"/>
              <w14:ligatures w14:val="standardContextual"/>
            </w:rPr>
          </w:pPr>
          <w:hyperlink w:anchor="_Toc227830388" w:history="1">
            <w:r w:rsidRPr="007F5A18">
              <w:rPr>
                <w:rStyle w:val="Hyperlink"/>
                <w:rFonts w:ascii="Times New Roman" w:hAnsi="Times New Roman" w:cs="Times New Roman"/>
                <w:b w:val="0"/>
                <w:bCs w:val="0"/>
                <w:noProof/>
                <w:sz w:val="36"/>
                <w:szCs w:val="36"/>
              </w:rPr>
              <w:t>4.1 Circularity and Resource Management</w:t>
            </w:r>
            <w:r w:rsidRPr="007F5A18">
              <w:rPr>
                <w:b w:val="0"/>
                <w:bCs w:val="0"/>
                <w:noProof/>
                <w:webHidden/>
                <w:sz w:val="36"/>
                <w:szCs w:val="36"/>
              </w:rPr>
              <w:tab/>
            </w:r>
            <w:r w:rsidRPr="007F5A18">
              <w:rPr>
                <w:b w:val="0"/>
                <w:bCs w:val="0"/>
                <w:noProof/>
                <w:webHidden/>
                <w:sz w:val="36"/>
                <w:szCs w:val="36"/>
              </w:rPr>
              <w:fldChar w:fldCharType="begin"/>
            </w:r>
            <w:r w:rsidRPr="007F5A18">
              <w:rPr>
                <w:b w:val="0"/>
                <w:bCs w:val="0"/>
                <w:noProof/>
                <w:webHidden/>
                <w:sz w:val="36"/>
                <w:szCs w:val="36"/>
              </w:rPr>
              <w:instrText xml:space="preserve"> PAGEREF _Toc227830388 \h </w:instrText>
            </w:r>
            <w:r w:rsidRPr="007F5A18">
              <w:rPr>
                <w:b w:val="0"/>
                <w:bCs w:val="0"/>
                <w:noProof/>
                <w:webHidden/>
                <w:sz w:val="36"/>
                <w:szCs w:val="36"/>
              </w:rPr>
            </w:r>
            <w:r w:rsidRPr="007F5A18">
              <w:rPr>
                <w:b w:val="0"/>
                <w:bCs w:val="0"/>
                <w:noProof/>
                <w:webHidden/>
                <w:sz w:val="36"/>
                <w:szCs w:val="36"/>
              </w:rPr>
              <w:fldChar w:fldCharType="separate"/>
            </w:r>
            <w:r w:rsidRPr="007F5A18">
              <w:rPr>
                <w:b w:val="0"/>
                <w:bCs w:val="0"/>
                <w:noProof/>
                <w:webHidden/>
                <w:sz w:val="36"/>
                <w:szCs w:val="36"/>
              </w:rPr>
              <w:t>5</w:t>
            </w:r>
            <w:r w:rsidRPr="007F5A18">
              <w:rPr>
                <w:b w:val="0"/>
                <w:bCs w:val="0"/>
                <w:noProof/>
                <w:webHidden/>
                <w:sz w:val="36"/>
                <w:szCs w:val="36"/>
              </w:rPr>
              <w:fldChar w:fldCharType="end"/>
            </w:r>
          </w:hyperlink>
        </w:p>
        <w:p w14:paraId="1D777C45" w14:textId="0EFC97FD" w:rsidR="00E724FD" w:rsidRPr="007F5A18" w:rsidRDefault="00E724FD">
          <w:pPr>
            <w:pStyle w:val="TOC2"/>
            <w:tabs>
              <w:tab w:val="right" w:leader="dot" w:pos="9016"/>
            </w:tabs>
            <w:rPr>
              <w:rFonts w:eastAsiaTheme="minorEastAsia" w:cstheme="minorBidi"/>
              <w:b w:val="0"/>
              <w:bCs w:val="0"/>
              <w:noProof/>
              <w:kern w:val="2"/>
              <w:sz w:val="40"/>
              <w:szCs w:val="40"/>
              <w14:ligatures w14:val="standardContextual"/>
            </w:rPr>
          </w:pPr>
          <w:hyperlink w:anchor="_Toc227830389" w:history="1">
            <w:r w:rsidRPr="007F5A18">
              <w:rPr>
                <w:rStyle w:val="Hyperlink"/>
                <w:rFonts w:ascii="Times New Roman" w:hAnsi="Times New Roman" w:cs="Times New Roman"/>
                <w:b w:val="0"/>
                <w:bCs w:val="0"/>
                <w:noProof/>
                <w:sz w:val="36"/>
                <w:szCs w:val="36"/>
              </w:rPr>
              <w:t>4.2 Net Zero and Decarbonisation</w:t>
            </w:r>
            <w:r w:rsidRPr="007F5A18">
              <w:rPr>
                <w:b w:val="0"/>
                <w:bCs w:val="0"/>
                <w:noProof/>
                <w:webHidden/>
                <w:sz w:val="36"/>
                <w:szCs w:val="36"/>
              </w:rPr>
              <w:tab/>
            </w:r>
            <w:r w:rsidRPr="007F5A18">
              <w:rPr>
                <w:b w:val="0"/>
                <w:bCs w:val="0"/>
                <w:noProof/>
                <w:webHidden/>
                <w:sz w:val="36"/>
                <w:szCs w:val="36"/>
              </w:rPr>
              <w:fldChar w:fldCharType="begin"/>
            </w:r>
            <w:r w:rsidRPr="007F5A18">
              <w:rPr>
                <w:b w:val="0"/>
                <w:bCs w:val="0"/>
                <w:noProof/>
                <w:webHidden/>
                <w:sz w:val="36"/>
                <w:szCs w:val="36"/>
              </w:rPr>
              <w:instrText xml:space="preserve"> PAGEREF _Toc227830389 \h </w:instrText>
            </w:r>
            <w:r w:rsidRPr="007F5A18">
              <w:rPr>
                <w:b w:val="0"/>
                <w:bCs w:val="0"/>
                <w:noProof/>
                <w:webHidden/>
                <w:sz w:val="36"/>
                <w:szCs w:val="36"/>
              </w:rPr>
            </w:r>
            <w:r w:rsidRPr="007F5A18">
              <w:rPr>
                <w:b w:val="0"/>
                <w:bCs w:val="0"/>
                <w:noProof/>
                <w:webHidden/>
                <w:sz w:val="36"/>
                <w:szCs w:val="36"/>
              </w:rPr>
              <w:fldChar w:fldCharType="separate"/>
            </w:r>
            <w:r w:rsidRPr="007F5A18">
              <w:rPr>
                <w:b w:val="0"/>
                <w:bCs w:val="0"/>
                <w:noProof/>
                <w:webHidden/>
                <w:sz w:val="36"/>
                <w:szCs w:val="36"/>
              </w:rPr>
              <w:t>5</w:t>
            </w:r>
            <w:r w:rsidRPr="007F5A18">
              <w:rPr>
                <w:b w:val="0"/>
                <w:bCs w:val="0"/>
                <w:noProof/>
                <w:webHidden/>
                <w:sz w:val="36"/>
                <w:szCs w:val="36"/>
              </w:rPr>
              <w:fldChar w:fldCharType="end"/>
            </w:r>
          </w:hyperlink>
        </w:p>
        <w:p w14:paraId="0BE73005" w14:textId="67E807A7" w:rsidR="00E724FD" w:rsidRPr="007F5A18" w:rsidRDefault="00E724FD">
          <w:pPr>
            <w:pStyle w:val="TOC2"/>
            <w:tabs>
              <w:tab w:val="right" w:leader="dot" w:pos="9016"/>
            </w:tabs>
            <w:rPr>
              <w:rFonts w:eastAsiaTheme="minorEastAsia" w:cstheme="minorBidi"/>
              <w:b w:val="0"/>
              <w:bCs w:val="0"/>
              <w:noProof/>
              <w:kern w:val="2"/>
              <w:sz w:val="40"/>
              <w:szCs w:val="40"/>
              <w14:ligatures w14:val="standardContextual"/>
            </w:rPr>
          </w:pPr>
          <w:hyperlink w:anchor="_Toc227830390" w:history="1">
            <w:r w:rsidRPr="007F5A18">
              <w:rPr>
                <w:rStyle w:val="Hyperlink"/>
                <w:rFonts w:ascii="Times New Roman" w:hAnsi="Times New Roman" w:cs="Times New Roman"/>
                <w:b w:val="0"/>
                <w:bCs w:val="0"/>
                <w:noProof/>
                <w:sz w:val="36"/>
                <w:szCs w:val="36"/>
              </w:rPr>
              <w:t>4.3 Nature Regeneration</w:t>
            </w:r>
            <w:r w:rsidRPr="007F5A18">
              <w:rPr>
                <w:b w:val="0"/>
                <w:bCs w:val="0"/>
                <w:noProof/>
                <w:webHidden/>
                <w:sz w:val="36"/>
                <w:szCs w:val="36"/>
              </w:rPr>
              <w:tab/>
            </w:r>
            <w:r w:rsidRPr="007F5A18">
              <w:rPr>
                <w:b w:val="0"/>
                <w:bCs w:val="0"/>
                <w:noProof/>
                <w:webHidden/>
                <w:sz w:val="36"/>
                <w:szCs w:val="36"/>
              </w:rPr>
              <w:fldChar w:fldCharType="begin"/>
            </w:r>
            <w:r w:rsidRPr="007F5A18">
              <w:rPr>
                <w:b w:val="0"/>
                <w:bCs w:val="0"/>
                <w:noProof/>
                <w:webHidden/>
                <w:sz w:val="36"/>
                <w:szCs w:val="36"/>
              </w:rPr>
              <w:instrText xml:space="preserve"> PAGEREF _Toc227830390 \h </w:instrText>
            </w:r>
            <w:r w:rsidRPr="007F5A18">
              <w:rPr>
                <w:b w:val="0"/>
                <w:bCs w:val="0"/>
                <w:noProof/>
                <w:webHidden/>
                <w:sz w:val="36"/>
                <w:szCs w:val="36"/>
              </w:rPr>
            </w:r>
            <w:r w:rsidRPr="007F5A18">
              <w:rPr>
                <w:b w:val="0"/>
                <w:bCs w:val="0"/>
                <w:noProof/>
                <w:webHidden/>
                <w:sz w:val="36"/>
                <w:szCs w:val="36"/>
              </w:rPr>
              <w:fldChar w:fldCharType="separate"/>
            </w:r>
            <w:r w:rsidRPr="007F5A18">
              <w:rPr>
                <w:b w:val="0"/>
                <w:bCs w:val="0"/>
                <w:noProof/>
                <w:webHidden/>
                <w:sz w:val="36"/>
                <w:szCs w:val="36"/>
              </w:rPr>
              <w:t>5</w:t>
            </w:r>
            <w:r w:rsidRPr="007F5A18">
              <w:rPr>
                <w:b w:val="0"/>
                <w:bCs w:val="0"/>
                <w:noProof/>
                <w:webHidden/>
                <w:sz w:val="36"/>
                <w:szCs w:val="36"/>
              </w:rPr>
              <w:fldChar w:fldCharType="end"/>
            </w:r>
          </w:hyperlink>
        </w:p>
        <w:p w14:paraId="3F29F833" w14:textId="363580F7" w:rsidR="00E724FD" w:rsidRPr="007F5A18" w:rsidRDefault="00E724FD">
          <w:pPr>
            <w:pStyle w:val="TOC2"/>
            <w:tabs>
              <w:tab w:val="right" w:leader="dot" w:pos="9016"/>
            </w:tabs>
            <w:rPr>
              <w:rFonts w:eastAsiaTheme="minorEastAsia" w:cstheme="minorBidi"/>
              <w:b w:val="0"/>
              <w:bCs w:val="0"/>
              <w:noProof/>
              <w:kern w:val="2"/>
              <w:sz w:val="40"/>
              <w:szCs w:val="40"/>
              <w14:ligatures w14:val="standardContextual"/>
            </w:rPr>
          </w:pPr>
          <w:hyperlink w:anchor="_Toc227830391" w:history="1">
            <w:r w:rsidRPr="007F5A18">
              <w:rPr>
                <w:rStyle w:val="Hyperlink"/>
                <w:rFonts w:ascii="Times New Roman" w:hAnsi="Times New Roman" w:cs="Times New Roman"/>
                <w:b w:val="0"/>
                <w:bCs w:val="0"/>
                <w:noProof/>
                <w:sz w:val="36"/>
                <w:szCs w:val="36"/>
              </w:rPr>
              <w:t>4.4 Community and Stakeholder Relationships</w:t>
            </w:r>
            <w:r w:rsidRPr="007F5A18">
              <w:rPr>
                <w:b w:val="0"/>
                <w:bCs w:val="0"/>
                <w:noProof/>
                <w:webHidden/>
                <w:sz w:val="36"/>
                <w:szCs w:val="36"/>
              </w:rPr>
              <w:tab/>
            </w:r>
            <w:r w:rsidRPr="007F5A18">
              <w:rPr>
                <w:b w:val="0"/>
                <w:bCs w:val="0"/>
                <w:noProof/>
                <w:webHidden/>
                <w:sz w:val="36"/>
                <w:szCs w:val="36"/>
              </w:rPr>
              <w:fldChar w:fldCharType="begin"/>
            </w:r>
            <w:r w:rsidRPr="007F5A18">
              <w:rPr>
                <w:b w:val="0"/>
                <w:bCs w:val="0"/>
                <w:noProof/>
                <w:webHidden/>
                <w:sz w:val="36"/>
                <w:szCs w:val="36"/>
              </w:rPr>
              <w:instrText xml:space="preserve"> PAGEREF _Toc227830391 \h </w:instrText>
            </w:r>
            <w:r w:rsidRPr="007F5A18">
              <w:rPr>
                <w:b w:val="0"/>
                <w:bCs w:val="0"/>
                <w:noProof/>
                <w:webHidden/>
                <w:sz w:val="36"/>
                <w:szCs w:val="36"/>
              </w:rPr>
            </w:r>
            <w:r w:rsidRPr="007F5A18">
              <w:rPr>
                <w:b w:val="0"/>
                <w:bCs w:val="0"/>
                <w:noProof/>
                <w:webHidden/>
                <w:sz w:val="36"/>
                <w:szCs w:val="36"/>
              </w:rPr>
              <w:fldChar w:fldCharType="separate"/>
            </w:r>
            <w:r w:rsidRPr="007F5A18">
              <w:rPr>
                <w:b w:val="0"/>
                <w:bCs w:val="0"/>
                <w:noProof/>
                <w:webHidden/>
                <w:sz w:val="36"/>
                <w:szCs w:val="36"/>
              </w:rPr>
              <w:t>6</w:t>
            </w:r>
            <w:r w:rsidRPr="007F5A18">
              <w:rPr>
                <w:b w:val="0"/>
                <w:bCs w:val="0"/>
                <w:noProof/>
                <w:webHidden/>
                <w:sz w:val="36"/>
                <w:szCs w:val="36"/>
              </w:rPr>
              <w:fldChar w:fldCharType="end"/>
            </w:r>
          </w:hyperlink>
        </w:p>
        <w:p w14:paraId="482381D6" w14:textId="6EACE875" w:rsidR="00E724FD" w:rsidRPr="007F5A18" w:rsidRDefault="00E724FD">
          <w:pPr>
            <w:pStyle w:val="TOC1"/>
            <w:tabs>
              <w:tab w:val="right" w:leader="dot" w:pos="9016"/>
            </w:tabs>
            <w:rPr>
              <w:rFonts w:eastAsiaTheme="minorEastAsia" w:cstheme="minorBidi"/>
              <w:b w:val="0"/>
              <w:bCs w:val="0"/>
              <w:i w:val="0"/>
              <w:iCs w:val="0"/>
              <w:noProof/>
              <w:kern w:val="2"/>
              <w:sz w:val="40"/>
              <w:szCs w:val="40"/>
              <w14:ligatures w14:val="standardContextual"/>
            </w:rPr>
          </w:pPr>
          <w:hyperlink w:anchor="_Toc227830392" w:history="1">
            <w:r w:rsidRPr="007F5A18">
              <w:rPr>
                <w:rStyle w:val="Hyperlink"/>
                <w:rFonts w:ascii="Times New Roman" w:hAnsi="Times New Roman" w:cs="Times New Roman"/>
                <w:noProof/>
                <w:sz w:val="40"/>
                <w:szCs w:val="40"/>
              </w:rPr>
              <w:t>5. Critical Analysis: Local and Global Responsibility</w:t>
            </w:r>
            <w:r w:rsidRPr="007F5A18">
              <w:rPr>
                <w:noProof/>
                <w:webHidden/>
                <w:sz w:val="40"/>
                <w:szCs w:val="40"/>
              </w:rPr>
              <w:tab/>
            </w:r>
            <w:r w:rsidRPr="007F5A18">
              <w:rPr>
                <w:noProof/>
                <w:webHidden/>
                <w:sz w:val="40"/>
                <w:szCs w:val="40"/>
              </w:rPr>
              <w:fldChar w:fldCharType="begin"/>
            </w:r>
            <w:r w:rsidRPr="007F5A18">
              <w:rPr>
                <w:noProof/>
                <w:webHidden/>
                <w:sz w:val="40"/>
                <w:szCs w:val="40"/>
              </w:rPr>
              <w:instrText xml:space="preserve"> PAGEREF _Toc227830392 \h </w:instrText>
            </w:r>
            <w:r w:rsidRPr="007F5A18">
              <w:rPr>
                <w:noProof/>
                <w:webHidden/>
                <w:sz w:val="40"/>
                <w:szCs w:val="40"/>
              </w:rPr>
            </w:r>
            <w:r w:rsidRPr="007F5A18">
              <w:rPr>
                <w:noProof/>
                <w:webHidden/>
                <w:sz w:val="40"/>
                <w:szCs w:val="40"/>
              </w:rPr>
              <w:fldChar w:fldCharType="separate"/>
            </w:r>
            <w:r w:rsidRPr="007F5A18">
              <w:rPr>
                <w:noProof/>
                <w:webHidden/>
                <w:sz w:val="40"/>
                <w:szCs w:val="40"/>
              </w:rPr>
              <w:t>7</w:t>
            </w:r>
            <w:r w:rsidRPr="007F5A18">
              <w:rPr>
                <w:noProof/>
                <w:webHidden/>
                <w:sz w:val="40"/>
                <w:szCs w:val="40"/>
              </w:rPr>
              <w:fldChar w:fldCharType="end"/>
            </w:r>
          </w:hyperlink>
        </w:p>
        <w:p w14:paraId="1538C942" w14:textId="1D9FB95F" w:rsidR="00E724FD" w:rsidRPr="007F5A18" w:rsidRDefault="00E724FD">
          <w:pPr>
            <w:pStyle w:val="TOC2"/>
            <w:tabs>
              <w:tab w:val="right" w:leader="dot" w:pos="9016"/>
            </w:tabs>
            <w:rPr>
              <w:rFonts w:eastAsiaTheme="minorEastAsia" w:cstheme="minorBidi"/>
              <w:b w:val="0"/>
              <w:bCs w:val="0"/>
              <w:noProof/>
              <w:kern w:val="2"/>
              <w:sz w:val="40"/>
              <w:szCs w:val="40"/>
              <w14:ligatures w14:val="standardContextual"/>
            </w:rPr>
          </w:pPr>
          <w:hyperlink w:anchor="_Toc227830393" w:history="1">
            <w:r w:rsidRPr="007F5A18">
              <w:rPr>
                <w:rStyle w:val="Hyperlink"/>
                <w:rFonts w:ascii="Times New Roman" w:hAnsi="Times New Roman" w:cs="Times New Roman"/>
                <w:b w:val="0"/>
                <w:bCs w:val="0"/>
                <w:noProof/>
                <w:sz w:val="36"/>
                <w:szCs w:val="36"/>
              </w:rPr>
              <w:t>5.1 Socio-Cultural Responsibility</w:t>
            </w:r>
            <w:r w:rsidRPr="007F5A18">
              <w:rPr>
                <w:b w:val="0"/>
                <w:bCs w:val="0"/>
                <w:noProof/>
                <w:webHidden/>
                <w:sz w:val="36"/>
                <w:szCs w:val="36"/>
              </w:rPr>
              <w:tab/>
            </w:r>
            <w:r w:rsidRPr="007F5A18">
              <w:rPr>
                <w:b w:val="0"/>
                <w:bCs w:val="0"/>
                <w:noProof/>
                <w:webHidden/>
                <w:sz w:val="36"/>
                <w:szCs w:val="36"/>
              </w:rPr>
              <w:fldChar w:fldCharType="begin"/>
            </w:r>
            <w:r w:rsidRPr="007F5A18">
              <w:rPr>
                <w:b w:val="0"/>
                <w:bCs w:val="0"/>
                <w:noProof/>
                <w:webHidden/>
                <w:sz w:val="36"/>
                <w:szCs w:val="36"/>
              </w:rPr>
              <w:instrText xml:space="preserve"> PAGEREF _Toc227830393 \h </w:instrText>
            </w:r>
            <w:r w:rsidRPr="007F5A18">
              <w:rPr>
                <w:b w:val="0"/>
                <w:bCs w:val="0"/>
                <w:noProof/>
                <w:webHidden/>
                <w:sz w:val="36"/>
                <w:szCs w:val="36"/>
              </w:rPr>
            </w:r>
            <w:r w:rsidRPr="007F5A18">
              <w:rPr>
                <w:b w:val="0"/>
                <w:bCs w:val="0"/>
                <w:noProof/>
                <w:webHidden/>
                <w:sz w:val="36"/>
                <w:szCs w:val="36"/>
              </w:rPr>
              <w:fldChar w:fldCharType="separate"/>
            </w:r>
            <w:r w:rsidRPr="007F5A18">
              <w:rPr>
                <w:b w:val="0"/>
                <w:bCs w:val="0"/>
                <w:noProof/>
                <w:webHidden/>
                <w:sz w:val="36"/>
                <w:szCs w:val="36"/>
              </w:rPr>
              <w:t>7</w:t>
            </w:r>
            <w:r w:rsidRPr="007F5A18">
              <w:rPr>
                <w:b w:val="0"/>
                <w:bCs w:val="0"/>
                <w:noProof/>
                <w:webHidden/>
                <w:sz w:val="36"/>
                <w:szCs w:val="36"/>
              </w:rPr>
              <w:fldChar w:fldCharType="end"/>
            </w:r>
          </w:hyperlink>
        </w:p>
        <w:p w14:paraId="3E8DACA3" w14:textId="2BC5A94E" w:rsidR="00E724FD" w:rsidRPr="007F5A18" w:rsidRDefault="00E724FD">
          <w:pPr>
            <w:pStyle w:val="TOC2"/>
            <w:tabs>
              <w:tab w:val="right" w:leader="dot" w:pos="9016"/>
            </w:tabs>
            <w:rPr>
              <w:rFonts w:eastAsiaTheme="minorEastAsia" w:cstheme="minorBidi"/>
              <w:b w:val="0"/>
              <w:bCs w:val="0"/>
              <w:noProof/>
              <w:kern w:val="2"/>
              <w:sz w:val="40"/>
              <w:szCs w:val="40"/>
              <w14:ligatures w14:val="standardContextual"/>
            </w:rPr>
          </w:pPr>
          <w:hyperlink w:anchor="_Toc227830394" w:history="1">
            <w:r w:rsidRPr="007F5A18">
              <w:rPr>
                <w:rStyle w:val="Hyperlink"/>
                <w:rFonts w:ascii="Times New Roman" w:hAnsi="Times New Roman" w:cs="Times New Roman"/>
                <w:b w:val="0"/>
                <w:bCs w:val="0"/>
                <w:noProof/>
                <w:sz w:val="36"/>
                <w:szCs w:val="36"/>
              </w:rPr>
              <w:t>5.2 Environmental Responsibility</w:t>
            </w:r>
            <w:r w:rsidRPr="007F5A18">
              <w:rPr>
                <w:b w:val="0"/>
                <w:bCs w:val="0"/>
                <w:noProof/>
                <w:webHidden/>
                <w:sz w:val="36"/>
                <w:szCs w:val="36"/>
              </w:rPr>
              <w:tab/>
            </w:r>
            <w:r w:rsidRPr="007F5A18">
              <w:rPr>
                <w:b w:val="0"/>
                <w:bCs w:val="0"/>
                <w:noProof/>
                <w:webHidden/>
                <w:sz w:val="36"/>
                <w:szCs w:val="36"/>
              </w:rPr>
              <w:fldChar w:fldCharType="begin"/>
            </w:r>
            <w:r w:rsidRPr="007F5A18">
              <w:rPr>
                <w:b w:val="0"/>
                <w:bCs w:val="0"/>
                <w:noProof/>
                <w:webHidden/>
                <w:sz w:val="36"/>
                <w:szCs w:val="36"/>
              </w:rPr>
              <w:instrText xml:space="preserve"> PAGEREF _Toc227830394 \h </w:instrText>
            </w:r>
            <w:r w:rsidRPr="007F5A18">
              <w:rPr>
                <w:b w:val="0"/>
                <w:bCs w:val="0"/>
                <w:noProof/>
                <w:webHidden/>
                <w:sz w:val="36"/>
                <w:szCs w:val="36"/>
              </w:rPr>
            </w:r>
            <w:r w:rsidRPr="007F5A18">
              <w:rPr>
                <w:b w:val="0"/>
                <w:bCs w:val="0"/>
                <w:noProof/>
                <w:webHidden/>
                <w:sz w:val="36"/>
                <w:szCs w:val="36"/>
              </w:rPr>
              <w:fldChar w:fldCharType="separate"/>
            </w:r>
            <w:r w:rsidRPr="007F5A18">
              <w:rPr>
                <w:b w:val="0"/>
                <w:bCs w:val="0"/>
                <w:noProof/>
                <w:webHidden/>
                <w:sz w:val="36"/>
                <w:szCs w:val="36"/>
              </w:rPr>
              <w:t>8</w:t>
            </w:r>
            <w:r w:rsidRPr="007F5A18">
              <w:rPr>
                <w:b w:val="0"/>
                <w:bCs w:val="0"/>
                <w:noProof/>
                <w:webHidden/>
                <w:sz w:val="36"/>
                <w:szCs w:val="36"/>
              </w:rPr>
              <w:fldChar w:fldCharType="end"/>
            </w:r>
          </w:hyperlink>
        </w:p>
        <w:p w14:paraId="5C24C3E0" w14:textId="75CA588F" w:rsidR="00E724FD" w:rsidRPr="007F5A18" w:rsidRDefault="00E724FD">
          <w:pPr>
            <w:pStyle w:val="TOC2"/>
            <w:tabs>
              <w:tab w:val="right" w:leader="dot" w:pos="9016"/>
            </w:tabs>
            <w:rPr>
              <w:rFonts w:eastAsiaTheme="minorEastAsia" w:cstheme="minorBidi"/>
              <w:b w:val="0"/>
              <w:bCs w:val="0"/>
              <w:noProof/>
              <w:kern w:val="2"/>
              <w:sz w:val="40"/>
              <w:szCs w:val="40"/>
              <w14:ligatures w14:val="standardContextual"/>
            </w:rPr>
          </w:pPr>
          <w:hyperlink w:anchor="_Toc227830395" w:history="1">
            <w:r w:rsidRPr="007F5A18">
              <w:rPr>
                <w:rStyle w:val="Hyperlink"/>
                <w:rFonts w:ascii="Times New Roman" w:hAnsi="Times New Roman" w:cs="Times New Roman"/>
                <w:b w:val="0"/>
                <w:bCs w:val="0"/>
                <w:noProof/>
                <w:sz w:val="36"/>
                <w:szCs w:val="36"/>
              </w:rPr>
              <w:t>5.3 Economic Responsibility</w:t>
            </w:r>
            <w:r w:rsidRPr="007F5A18">
              <w:rPr>
                <w:b w:val="0"/>
                <w:bCs w:val="0"/>
                <w:noProof/>
                <w:webHidden/>
                <w:sz w:val="36"/>
                <w:szCs w:val="36"/>
              </w:rPr>
              <w:tab/>
            </w:r>
            <w:r w:rsidRPr="007F5A18">
              <w:rPr>
                <w:b w:val="0"/>
                <w:bCs w:val="0"/>
                <w:noProof/>
                <w:webHidden/>
                <w:sz w:val="36"/>
                <w:szCs w:val="36"/>
              </w:rPr>
              <w:fldChar w:fldCharType="begin"/>
            </w:r>
            <w:r w:rsidRPr="007F5A18">
              <w:rPr>
                <w:b w:val="0"/>
                <w:bCs w:val="0"/>
                <w:noProof/>
                <w:webHidden/>
                <w:sz w:val="36"/>
                <w:szCs w:val="36"/>
              </w:rPr>
              <w:instrText xml:space="preserve"> PAGEREF _Toc227830395 \h </w:instrText>
            </w:r>
            <w:r w:rsidRPr="007F5A18">
              <w:rPr>
                <w:b w:val="0"/>
                <w:bCs w:val="0"/>
                <w:noProof/>
                <w:webHidden/>
                <w:sz w:val="36"/>
                <w:szCs w:val="36"/>
              </w:rPr>
            </w:r>
            <w:r w:rsidRPr="007F5A18">
              <w:rPr>
                <w:b w:val="0"/>
                <w:bCs w:val="0"/>
                <w:noProof/>
                <w:webHidden/>
                <w:sz w:val="36"/>
                <w:szCs w:val="36"/>
              </w:rPr>
              <w:fldChar w:fldCharType="separate"/>
            </w:r>
            <w:r w:rsidRPr="007F5A18">
              <w:rPr>
                <w:b w:val="0"/>
                <w:bCs w:val="0"/>
                <w:noProof/>
                <w:webHidden/>
                <w:sz w:val="36"/>
                <w:szCs w:val="36"/>
              </w:rPr>
              <w:t>9</w:t>
            </w:r>
            <w:r w:rsidRPr="007F5A18">
              <w:rPr>
                <w:b w:val="0"/>
                <w:bCs w:val="0"/>
                <w:noProof/>
                <w:webHidden/>
                <w:sz w:val="36"/>
                <w:szCs w:val="36"/>
              </w:rPr>
              <w:fldChar w:fldCharType="end"/>
            </w:r>
          </w:hyperlink>
        </w:p>
        <w:p w14:paraId="097B6057" w14:textId="16A65B9D" w:rsidR="00E724FD" w:rsidRPr="007F5A18" w:rsidRDefault="00E724FD">
          <w:pPr>
            <w:pStyle w:val="TOC1"/>
            <w:tabs>
              <w:tab w:val="right" w:leader="dot" w:pos="9016"/>
            </w:tabs>
            <w:rPr>
              <w:rFonts w:eastAsiaTheme="minorEastAsia" w:cstheme="minorBidi"/>
              <w:b w:val="0"/>
              <w:bCs w:val="0"/>
              <w:i w:val="0"/>
              <w:iCs w:val="0"/>
              <w:noProof/>
              <w:kern w:val="2"/>
              <w:sz w:val="40"/>
              <w:szCs w:val="40"/>
              <w14:ligatures w14:val="standardContextual"/>
            </w:rPr>
          </w:pPr>
          <w:hyperlink w:anchor="_Toc227830396" w:history="1">
            <w:r w:rsidRPr="007F5A18">
              <w:rPr>
                <w:rStyle w:val="Hyperlink"/>
                <w:rFonts w:ascii="Times New Roman" w:hAnsi="Times New Roman" w:cs="Times New Roman"/>
                <w:noProof/>
                <w:sz w:val="40"/>
                <w:szCs w:val="40"/>
              </w:rPr>
              <w:t>6. Discussion</w:t>
            </w:r>
            <w:r w:rsidRPr="007F5A18">
              <w:rPr>
                <w:noProof/>
                <w:webHidden/>
                <w:sz w:val="40"/>
                <w:szCs w:val="40"/>
              </w:rPr>
              <w:tab/>
            </w:r>
            <w:r w:rsidRPr="007F5A18">
              <w:rPr>
                <w:noProof/>
                <w:webHidden/>
                <w:sz w:val="40"/>
                <w:szCs w:val="40"/>
              </w:rPr>
              <w:fldChar w:fldCharType="begin"/>
            </w:r>
            <w:r w:rsidRPr="007F5A18">
              <w:rPr>
                <w:noProof/>
                <w:webHidden/>
                <w:sz w:val="40"/>
                <w:szCs w:val="40"/>
              </w:rPr>
              <w:instrText xml:space="preserve"> PAGEREF _Toc227830396 \h </w:instrText>
            </w:r>
            <w:r w:rsidRPr="007F5A18">
              <w:rPr>
                <w:noProof/>
                <w:webHidden/>
                <w:sz w:val="40"/>
                <w:szCs w:val="40"/>
              </w:rPr>
            </w:r>
            <w:r w:rsidRPr="007F5A18">
              <w:rPr>
                <w:noProof/>
                <w:webHidden/>
                <w:sz w:val="40"/>
                <w:szCs w:val="40"/>
              </w:rPr>
              <w:fldChar w:fldCharType="separate"/>
            </w:r>
            <w:r w:rsidRPr="007F5A18">
              <w:rPr>
                <w:noProof/>
                <w:webHidden/>
                <w:sz w:val="40"/>
                <w:szCs w:val="40"/>
              </w:rPr>
              <w:t>11</w:t>
            </w:r>
            <w:r w:rsidRPr="007F5A18">
              <w:rPr>
                <w:noProof/>
                <w:webHidden/>
                <w:sz w:val="40"/>
                <w:szCs w:val="40"/>
              </w:rPr>
              <w:fldChar w:fldCharType="end"/>
            </w:r>
          </w:hyperlink>
        </w:p>
        <w:p w14:paraId="5D2B95A9" w14:textId="55A98429" w:rsidR="00E724FD" w:rsidRPr="007F5A18" w:rsidRDefault="00E724FD">
          <w:pPr>
            <w:pStyle w:val="TOC1"/>
            <w:tabs>
              <w:tab w:val="right" w:leader="dot" w:pos="9016"/>
            </w:tabs>
            <w:rPr>
              <w:rFonts w:eastAsiaTheme="minorEastAsia" w:cstheme="minorBidi"/>
              <w:b w:val="0"/>
              <w:bCs w:val="0"/>
              <w:i w:val="0"/>
              <w:iCs w:val="0"/>
              <w:noProof/>
              <w:kern w:val="2"/>
              <w:sz w:val="40"/>
              <w:szCs w:val="40"/>
              <w14:ligatures w14:val="standardContextual"/>
            </w:rPr>
          </w:pPr>
          <w:hyperlink w:anchor="_Toc227830397" w:history="1">
            <w:r w:rsidRPr="007F5A18">
              <w:rPr>
                <w:rStyle w:val="Hyperlink"/>
                <w:rFonts w:ascii="Times New Roman" w:hAnsi="Times New Roman" w:cs="Times New Roman"/>
                <w:noProof/>
                <w:sz w:val="40"/>
                <w:szCs w:val="40"/>
              </w:rPr>
              <w:t>7. Conclusion</w:t>
            </w:r>
            <w:r w:rsidRPr="007F5A18">
              <w:rPr>
                <w:noProof/>
                <w:webHidden/>
                <w:sz w:val="40"/>
                <w:szCs w:val="40"/>
              </w:rPr>
              <w:tab/>
            </w:r>
            <w:r w:rsidRPr="007F5A18">
              <w:rPr>
                <w:noProof/>
                <w:webHidden/>
                <w:sz w:val="40"/>
                <w:szCs w:val="40"/>
              </w:rPr>
              <w:fldChar w:fldCharType="begin"/>
            </w:r>
            <w:r w:rsidRPr="007F5A18">
              <w:rPr>
                <w:noProof/>
                <w:webHidden/>
                <w:sz w:val="40"/>
                <w:szCs w:val="40"/>
              </w:rPr>
              <w:instrText xml:space="preserve"> PAGEREF _Toc227830397 \h </w:instrText>
            </w:r>
            <w:r w:rsidRPr="007F5A18">
              <w:rPr>
                <w:noProof/>
                <w:webHidden/>
                <w:sz w:val="40"/>
                <w:szCs w:val="40"/>
              </w:rPr>
            </w:r>
            <w:r w:rsidRPr="007F5A18">
              <w:rPr>
                <w:noProof/>
                <w:webHidden/>
                <w:sz w:val="40"/>
                <w:szCs w:val="40"/>
              </w:rPr>
              <w:fldChar w:fldCharType="separate"/>
            </w:r>
            <w:r w:rsidRPr="007F5A18">
              <w:rPr>
                <w:noProof/>
                <w:webHidden/>
                <w:sz w:val="40"/>
                <w:szCs w:val="40"/>
              </w:rPr>
              <w:t>13</w:t>
            </w:r>
            <w:r w:rsidRPr="007F5A18">
              <w:rPr>
                <w:noProof/>
                <w:webHidden/>
                <w:sz w:val="40"/>
                <w:szCs w:val="40"/>
              </w:rPr>
              <w:fldChar w:fldCharType="end"/>
            </w:r>
          </w:hyperlink>
        </w:p>
        <w:p w14:paraId="6C196D1A" w14:textId="26923082" w:rsidR="00E724FD" w:rsidRPr="007F5A18" w:rsidRDefault="00E724FD">
          <w:pPr>
            <w:pStyle w:val="TOC1"/>
            <w:tabs>
              <w:tab w:val="right" w:leader="dot" w:pos="9016"/>
            </w:tabs>
            <w:rPr>
              <w:rFonts w:eastAsiaTheme="minorEastAsia" w:cstheme="minorBidi"/>
              <w:b w:val="0"/>
              <w:bCs w:val="0"/>
              <w:i w:val="0"/>
              <w:iCs w:val="0"/>
              <w:noProof/>
              <w:kern w:val="2"/>
              <w:sz w:val="40"/>
              <w:szCs w:val="40"/>
              <w14:ligatures w14:val="standardContextual"/>
            </w:rPr>
          </w:pPr>
          <w:hyperlink w:anchor="_Toc227830398" w:history="1">
            <w:r w:rsidRPr="007F5A18">
              <w:rPr>
                <w:rStyle w:val="Hyperlink"/>
                <w:rFonts w:ascii="Times New Roman" w:hAnsi="Times New Roman" w:cs="Times New Roman"/>
                <w:noProof/>
                <w:sz w:val="40"/>
                <w:szCs w:val="40"/>
              </w:rPr>
              <w:t>References</w:t>
            </w:r>
            <w:r w:rsidRPr="007F5A18">
              <w:rPr>
                <w:noProof/>
                <w:webHidden/>
                <w:sz w:val="40"/>
                <w:szCs w:val="40"/>
              </w:rPr>
              <w:tab/>
            </w:r>
            <w:r w:rsidRPr="007F5A18">
              <w:rPr>
                <w:noProof/>
                <w:webHidden/>
                <w:sz w:val="40"/>
                <w:szCs w:val="40"/>
              </w:rPr>
              <w:fldChar w:fldCharType="begin"/>
            </w:r>
            <w:r w:rsidRPr="007F5A18">
              <w:rPr>
                <w:noProof/>
                <w:webHidden/>
                <w:sz w:val="40"/>
                <w:szCs w:val="40"/>
              </w:rPr>
              <w:instrText xml:space="preserve"> PAGEREF _Toc227830398 \h </w:instrText>
            </w:r>
            <w:r w:rsidRPr="007F5A18">
              <w:rPr>
                <w:noProof/>
                <w:webHidden/>
                <w:sz w:val="40"/>
                <w:szCs w:val="40"/>
              </w:rPr>
            </w:r>
            <w:r w:rsidRPr="007F5A18">
              <w:rPr>
                <w:noProof/>
                <w:webHidden/>
                <w:sz w:val="40"/>
                <w:szCs w:val="40"/>
              </w:rPr>
              <w:fldChar w:fldCharType="separate"/>
            </w:r>
            <w:r w:rsidRPr="007F5A18">
              <w:rPr>
                <w:noProof/>
                <w:webHidden/>
                <w:sz w:val="40"/>
                <w:szCs w:val="40"/>
              </w:rPr>
              <w:t>14</w:t>
            </w:r>
            <w:r w:rsidRPr="007F5A18">
              <w:rPr>
                <w:noProof/>
                <w:webHidden/>
                <w:sz w:val="40"/>
                <w:szCs w:val="40"/>
              </w:rPr>
              <w:fldChar w:fldCharType="end"/>
            </w:r>
          </w:hyperlink>
        </w:p>
        <w:p w14:paraId="7A241B2E" w14:textId="267B7030" w:rsidR="00D52093" w:rsidRPr="007F5A18" w:rsidRDefault="00D52093">
          <w:pPr>
            <w:rPr>
              <w:sz w:val="40"/>
              <w:szCs w:val="40"/>
            </w:rPr>
          </w:pPr>
          <w:r w:rsidRPr="007F5A18">
            <w:rPr>
              <w:b/>
              <w:bCs/>
              <w:noProof/>
              <w:sz w:val="40"/>
              <w:szCs w:val="40"/>
            </w:rPr>
            <w:fldChar w:fldCharType="end"/>
          </w:r>
        </w:p>
      </w:sdtContent>
    </w:sdt>
    <w:p w14:paraId="1F92CD58" w14:textId="152D000E" w:rsidR="00D52093" w:rsidRPr="007F5A18" w:rsidRDefault="00D52093">
      <w:pPr>
        <w:rPr>
          <w:rFonts w:ascii="Times New Roman" w:hAnsi="Times New Roman" w:cs="Times New Roman"/>
          <w:color w:val="7030A0"/>
          <w:sz w:val="40"/>
          <w:szCs w:val="40"/>
        </w:rPr>
      </w:pPr>
      <w:r w:rsidRPr="007F5A18">
        <w:rPr>
          <w:rFonts w:ascii="Times New Roman" w:hAnsi="Times New Roman" w:cs="Times New Roman"/>
          <w:color w:val="7030A0"/>
          <w:sz w:val="40"/>
          <w:szCs w:val="40"/>
        </w:rPr>
        <w:br w:type="page"/>
      </w:r>
    </w:p>
    <w:p w14:paraId="5DDC6835" w14:textId="77777777" w:rsidR="008D5296" w:rsidRPr="00D52093" w:rsidRDefault="00000000" w:rsidP="00964259">
      <w:pPr>
        <w:pStyle w:val="Heading1"/>
        <w:spacing w:line="360" w:lineRule="auto"/>
        <w:jc w:val="center"/>
        <w:rPr>
          <w:rFonts w:ascii="Times New Roman" w:hAnsi="Times New Roman" w:cs="Times New Roman"/>
          <w:color w:val="7030A0"/>
          <w:sz w:val="36"/>
          <w:szCs w:val="36"/>
        </w:rPr>
      </w:pPr>
      <w:bookmarkStart w:id="0" w:name="_Toc227830384"/>
      <w:r w:rsidRPr="00D52093">
        <w:rPr>
          <w:rFonts w:ascii="Times New Roman" w:hAnsi="Times New Roman" w:cs="Times New Roman"/>
          <w:color w:val="7030A0"/>
          <w:sz w:val="36"/>
          <w:szCs w:val="36"/>
        </w:rPr>
        <w:lastRenderedPageBreak/>
        <w:t>1. Introduction</w:t>
      </w:r>
      <w:bookmarkEnd w:id="0"/>
    </w:p>
    <w:p w14:paraId="6B969EC8" w14:textId="455D6164" w:rsidR="008D5296" w:rsidRPr="00892BE2" w:rsidRDefault="00000000" w:rsidP="00964259">
      <w:pPr>
        <w:spacing w:after="160" w:line="360" w:lineRule="auto"/>
        <w:jc w:val="both"/>
        <w:rPr>
          <w:rFonts w:ascii="Times New Roman" w:hAnsi="Times New Roman" w:cs="Times New Roman"/>
          <w:color w:val="7030A0"/>
        </w:rPr>
      </w:pPr>
      <w:r w:rsidRPr="00892BE2">
        <w:rPr>
          <w:rFonts w:ascii="Times New Roman" w:hAnsi="Times New Roman" w:cs="Times New Roman"/>
          <w:color w:val="7030A0"/>
        </w:rPr>
        <w:t>Harmony</w:t>
      </w:r>
      <w:r w:rsidR="00BC6D5A" w:rsidRPr="00892BE2">
        <w:rPr>
          <w:rFonts w:ascii="Times New Roman" w:hAnsi="Times New Roman" w:cs="Times New Roman"/>
          <w:color w:val="7030A0"/>
        </w:rPr>
        <w:t xml:space="preserve"> </w:t>
      </w:r>
      <w:r w:rsidRPr="00892BE2">
        <w:rPr>
          <w:rFonts w:ascii="Times New Roman" w:hAnsi="Times New Roman" w:cs="Times New Roman"/>
          <w:color w:val="7030A0"/>
        </w:rPr>
        <w:t>is “the dynamic balance of interrelated and interdependent processes” — a formulation that challenges the fragmentation of economic activity from its ecological and social context</w:t>
      </w:r>
      <w:r w:rsidR="00BC6D5A" w:rsidRPr="00892BE2">
        <w:rPr>
          <w:rFonts w:ascii="Times New Roman" w:hAnsi="Times New Roman" w:cs="Times New Roman"/>
          <w:color w:val="7030A0"/>
        </w:rPr>
        <w:t xml:space="preserve"> (</w:t>
      </w:r>
      <w:r w:rsidR="00BC6D5A" w:rsidRPr="00892BE2">
        <w:rPr>
          <w:rFonts w:ascii="Times New Roman" w:hAnsi="Times New Roman" w:cs="Times New Roman"/>
          <w:color w:val="7030A0"/>
        </w:rPr>
        <w:t>Capr</w:t>
      </w:r>
      <w:r w:rsidR="00BC6D5A" w:rsidRPr="00892BE2">
        <w:rPr>
          <w:rFonts w:ascii="Times New Roman" w:hAnsi="Times New Roman" w:cs="Times New Roman"/>
          <w:color w:val="7030A0"/>
        </w:rPr>
        <w:t xml:space="preserve">a, </w:t>
      </w:r>
      <w:r w:rsidR="00BC6D5A" w:rsidRPr="00892BE2">
        <w:rPr>
          <w:rFonts w:ascii="Times New Roman" w:hAnsi="Times New Roman" w:cs="Times New Roman"/>
          <w:color w:val="7030A0"/>
        </w:rPr>
        <w:t>1996)</w:t>
      </w:r>
      <w:r w:rsidRPr="00892BE2">
        <w:rPr>
          <w:rFonts w:ascii="Times New Roman" w:hAnsi="Times New Roman" w:cs="Times New Roman"/>
          <w:color w:val="7030A0"/>
        </w:rPr>
        <w:t xml:space="preserve">. </w:t>
      </w:r>
      <w:r w:rsidR="00E749CC" w:rsidRPr="00892BE2">
        <w:rPr>
          <w:rFonts w:ascii="Times New Roman" w:eastAsia="Times New Roman" w:hAnsi="Times New Roman" w:cs="Times New Roman"/>
          <w:color w:val="7030A0"/>
        </w:rPr>
        <w:t>Rooted in ideas of balance</w:t>
      </w:r>
      <w:r w:rsidR="00FC3137" w:rsidRPr="00892BE2">
        <w:rPr>
          <w:rFonts w:ascii="Times New Roman" w:eastAsia="Times New Roman" w:hAnsi="Times New Roman" w:cs="Times New Roman"/>
          <w:color w:val="7030A0"/>
        </w:rPr>
        <w:t xml:space="preserve"> and </w:t>
      </w:r>
      <w:r w:rsidR="00E749CC" w:rsidRPr="00892BE2">
        <w:rPr>
          <w:rFonts w:ascii="Times New Roman" w:eastAsia="Times New Roman" w:hAnsi="Times New Roman" w:cs="Times New Roman"/>
          <w:color w:val="7030A0"/>
        </w:rPr>
        <w:t>long-term mutual benefit, harmonic thinking challenges the prevailing linear model of economic growth in favour of regenerative, cyclical, and socially embedded approaches to value creation (HRH The Prince of Wales et al., 2010). As climate breakdown, social inequality, and resource depletion intensify, the imperative for businesses to align with harmonic principles has become both an ethical responsibility and a strategic necessity.</w:t>
      </w:r>
    </w:p>
    <w:p w14:paraId="6711FB27" w14:textId="7C31E9B5" w:rsidR="005A1EE0" w:rsidRDefault="00000000" w:rsidP="005A1EE0">
      <w:pPr>
        <w:spacing w:after="160" w:line="360" w:lineRule="auto"/>
        <w:jc w:val="both"/>
        <w:rPr>
          <w:rFonts w:ascii="Times New Roman" w:hAnsi="Times New Roman" w:cs="Times New Roman"/>
          <w:color w:val="7030A0"/>
        </w:rPr>
      </w:pPr>
      <w:r w:rsidRPr="00892BE2">
        <w:rPr>
          <w:rFonts w:ascii="Times New Roman" w:hAnsi="Times New Roman" w:cs="Times New Roman"/>
          <w:color w:val="7030A0"/>
        </w:rPr>
        <w:t>Bluestone National Park Resort, located in the Pembrokeshire Coast National Park in Wales</w:t>
      </w:r>
      <w:proofErr w:type="gramStart"/>
      <w:r w:rsidRPr="00892BE2">
        <w:rPr>
          <w:rFonts w:ascii="Times New Roman" w:hAnsi="Times New Roman" w:cs="Times New Roman"/>
          <w:color w:val="7030A0"/>
        </w:rPr>
        <w:t xml:space="preserve">, </w:t>
      </w:r>
      <w:r w:rsidR="00E749CC" w:rsidRPr="00892BE2">
        <w:rPr>
          <w:rFonts w:ascii="Times New Roman" w:eastAsia="Times New Roman" w:hAnsi="Times New Roman" w:cs="Times New Roman"/>
          <w:color w:val="7030A0"/>
        </w:rPr>
        <w:t>,</w:t>
      </w:r>
      <w:proofErr w:type="gramEnd"/>
      <w:r w:rsidR="00E749CC" w:rsidRPr="00892BE2">
        <w:rPr>
          <w:rFonts w:ascii="Times New Roman" w:eastAsia="Times New Roman" w:hAnsi="Times New Roman" w:cs="Times New Roman"/>
          <w:color w:val="7030A0"/>
        </w:rPr>
        <w:t xml:space="preserve"> provides a compelling case study for examining harmony in practice</w:t>
      </w:r>
      <w:r w:rsidRPr="00892BE2">
        <w:rPr>
          <w:rFonts w:ascii="Times New Roman" w:hAnsi="Times New Roman" w:cs="Times New Roman"/>
          <w:color w:val="7030A0"/>
        </w:rPr>
        <w:t>. Founded with an explicit vision of mutual benefit for employees, environment, and community, the resort has pursued a multi-decade strategy encompassing net zero carbon commitments, nature regeneration, circular economy operations, and community investment (Bluestone Wales, 2025a). This report investigates the extent to which Bluestone reflects harmony principles, analyses its local and global responsibilities from socio-cultural, environmental, and economic perspectives, and examines the structural tensions between commercial imperatives and sustainability commitments that the resort has not yet resolved.</w:t>
      </w:r>
    </w:p>
    <w:p w14:paraId="781296D9" w14:textId="1B90DDAF" w:rsidR="00D52093" w:rsidRPr="005A1EE0" w:rsidRDefault="005A1EE0" w:rsidP="00D94D8B">
      <w:pPr>
        <w:rPr>
          <w:rFonts w:ascii="Times New Roman" w:hAnsi="Times New Roman" w:cs="Times New Roman"/>
          <w:color w:val="7030A0"/>
        </w:rPr>
      </w:pPr>
      <w:r>
        <w:rPr>
          <w:rFonts w:ascii="Times New Roman" w:hAnsi="Times New Roman" w:cs="Times New Roman"/>
          <w:color w:val="7030A0"/>
        </w:rPr>
        <w:br w:type="page"/>
      </w:r>
    </w:p>
    <w:p w14:paraId="7251BAB3" w14:textId="7C085781" w:rsidR="008D5296" w:rsidRPr="00F10165" w:rsidRDefault="00000000" w:rsidP="00F10165">
      <w:pPr>
        <w:pStyle w:val="Heading1"/>
        <w:spacing w:line="360" w:lineRule="auto"/>
        <w:jc w:val="center"/>
        <w:rPr>
          <w:rFonts w:ascii="Times New Roman" w:hAnsi="Times New Roman" w:cs="Times New Roman"/>
          <w:color w:val="7030A0"/>
          <w:sz w:val="36"/>
          <w:szCs w:val="36"/>
        </w:rPr>
      </w:pPr>
      <w:bookmarkStart w:id="1" w:name="_Toc227830385"/>
      <w:r w:rsidRPr="00F10165">
        <w:rPr>
          <w:rFonts w:ascii="Times New Roman" w:hAnsi="Times New Roman" w:cs="Times New Roman"/>
          <w:color w:val="7030A0"/>
          <w:sz w:val="36"/>
          <w:szCs w:val="36"/>
        </w:rPr>
        <w:lastRenderedPageBreak/>
        <w:t>2. Principles of Harmony in Responsible Business</w:t>
      </w:r>
      <w:bookmarkEnd w:id="1"/>
    </w:p>
    <w:p w14:paraId="44744ADB" w14:textId="18487916" w:rsidR="008D5296" w:rsidRPr="00892BE2" w:rsidRDefault="00000000" w:rsidP="00964259">
      <w:pPr>
        <w:spacing w:after="160" w:line="360" w:lineRule="auto"/>
        <w:jc w:val="both"/>
        <w:rPr>
          <w:rFonts w:ascii="Times New Roman" w:hAnsi="Times New Roman" w:cs="Times New Roman"/>
          <w:color w:val="7030A0"/>
        </w:rPr>
      </w:pPr>
      <w:r w:rsidRPr="00892BE2">
        <w:rPr>
          <w:rFonts w:ascii="Times New Roman" w:hAnsi="Times New Roman" w:cs="Times New Roman"/>
          <w:color w:val="7030A0"/>
        </w:rPr>
        <w:t>The principles of harmony in a business context derive from HRH The Prince of Wales, Juniper, and Skelly (2010), who argue that sustainable economies must mirror natural systems: circular, regenerative, and governed by interdependence rather than extraction. This echoes the Brundtland Commission (1987), whose definition of sustainable development — meeting present needs without compromising future generations’ ability to meet their own — underpins much of subsequent responsible business theory.</w:t>
      </w:r>
    </w:p>
    <w:p w14:paraId="3C6887B4" w14:textId="7A29EF97" w:rsidR="008D5296" w:rsidRPr="00892BE2" w:rsidRDefault="00000000" w:rsidP="00964259">
      <w:pPr>
        <w:spacing w:after="160" w:line="360" w:lineRule="auto"/>
        <w:jc w:val="both"/>
        <w:rPr>
          <w:rFonts w:ascii="Times New Roman" w:hAnsi="Times New Roman" w:cs="Times New Roman"/>
          <w:color w:val="7030A0"/>
        </w:rPr>
      </w:pPr>
      <w:r w:rsidRPr="00892BE2">
        <w:rPr>
          <w:rFonts w:ascii="Times New Roman" w:hAnsi="Times New Roman" w:cs="Times New Roman"/>
          <w:color w:val="7030A0"/>
        </w:rPr>
        <w:t xml:space="preserve">Elkington’s (1997) triple bottom line framework operationalises harmony by requiring organisations to account simultaneously for social, environmental, and economic performance, rejecting the prioritisation of financial return above all else. Porter and Kramer (2011) extend this through creating shared value, which proposes that competitive advantage can be generated by solving social and environmental problems rather than treating sustainability as a cost. </w:t>
      </w:r>
    </w:p>
    <w:p w14:paraId="476CE197" w14:textId="0B1D31F7" w:rsidR="00D52093" w:rsidRPr="00892BE2" w:rsidRDefault="00000000" w:rsidP="00964259">
      <w:pPr>
        <w:spacing w:after="160" w:line="360" w:lineRule="auto"/>
        <w:jc w:val="both"/>
        <w:rPr>
          <w:rFonts w:ascii="Times New Roman" w:hAnsi="Times New Roman" w:cs="Times New Roman"/>
          <w:color w:val="7030A0"/>
        </w:rPr>
      </w:pPr>
      <w:r w:rsidRPr="00892BE2">
        <w:rPr>
          <w:rFonts w:ascii="Times New Roman" w:hAnsi="Times New Roman" w:cs="Times New Roman"/>
          <w:color w:val="7030A0"/>
        </w:rPr>
        <w:t xml:space="preserve">The circular economy, as elaborated by the Ellen MacArthur Foundation (2013), provides a structural expression of harmony principles: designing out waste, keeping materials in use, and regenerating natural systems. </w:t>
      </w:r>
      <w:proofErr w:type="spellStart"/>
      <w:r w:rsidRPr="00892BE2">
        <w:rPr>
          <w:rFonts w:ascii="Times New Roman" w:hAnsi="Times New Roman" w:cs="Times New Roman"/>
          <w:color w:val="7030A0"/>
        </w:rPr>
        <w:t>Dyllick</w:t>
      </w:r>
      <w:proofErr w:type="spellEnd"/>
      <w:r w:rsidRPr="00892BE2">
        <w:rPr>
          <w:rFonts w:ascii="Times New Roman" w:hAnsi="Times New Roman" w:cs="Times New Roman"/>
          <w:color w:val="7030A0"/>
        </w:rPr>
        <w:t xml:space="preserve"> and Muff (2016) argue that truly responsible businesses must move beyond reducing harm to actively contributing to systemic health — a transition they describe as moving from “business sustainability” to “business for sustainability”. Within their typology, a 3.0 organisation defines value in terms of societal contribution rather than shareholder return. A material concept absent from much practitioner sustainability discourse is materiality itself: the discipline of identifying which environmental and social issues </w:t>
      </w:r>
      <w:proofErr w:type="gramStart"/>
      <w:r w:rsidRPr="00892BE2">
        <w:rPr>
          <w:rFonts w:ascii="Times New Roman" w:hAnsi="Times New Roman" w:cs="Times New Roman"/>
          <w:color w:val="7030A0"/>
        </w:rPr>
        <w:t>are</w:t>
      </w:r>
      <w:proofErr w:type="gramEnd"/>
      <w:r w:rsidRPr="00892BE2">
        <w:rPr>
          <w:rFonts w:ascii="Times New Roman" w:hAnsi="Times New Roman" w:cs="Times New Roman"/>
          <w:color w:val="7030A0"/>
        </w:rPr>
        <w:t xml:space="preserve"> significant enough to warrant strategic action (GRI, 2021). It is against this theoretical backdrop that Bluestone’s practices are assessed.</w:t>
      </w:r>
    </w:p>
    <w:p w14:paraId="36FE092C" w14:textId="436BBD32" w:rsidR="008479B3" w:rsidRPr="00892BE2" w:rsidRDefault="008479B3" w:rsidP="00964259">
      <w:pPr>
        <w:spacing w:after="160" w:line="360" w:lineRule="auto"/>
        <w:jc w:val="both"/>
        <w:rPr>
          <w:rFonts w:ascii="Times New Roman" w:hAnsi="Times New Roman" w:cs="Times New Roman"/>
          <w:b/>
          <w:bCs/>
          <w:color w:val="7030A0"/>
        </w:rPr>
      </w:pPr>
      <w:r w:rsidRPr="00892BE2">
        <w:rPr>
          <w:rFonts w:ascii="Times New Roman" w:hAnsi="Times New Roman" w:cs="Times New Roman"/>
          <w:b/>
          <w:bCs/>
          <w:color w:val="7030A0"/>
        </w:rPr>
        <w:t>Figure</w:t>
      </w:r>
      <w:r w:rsidR="007A05B9" w:rsidRPr="00892BE2">
        <w:rPr>
          <w:rFonts w:ascii="Times New Roman" w:hAnsi="Times New Roman" w:cs="Times New Roman"/>
          <w:b/>
          <w:bCs/>
          <w:color w:val="7030A0"/>
        </w:rPr>
        <w:t xml:space="preserve"> 1. </w:t>
      </w:r>
      <w:r w:rsidRPr="00892BE2">
        <w:rPr>
          <w:rFonts w:ascii="Times New Roman" w:hAnsi="Times New Roman" w:cs="Times New Roman"/>
          <w:b/>
          <w:bCs/>
          <w:color w:val="7030A0"/>
        </w:rPr>
        <w:t xml:space="preserve"> Four Business Sustainability Typologies -A Comparison (</w:t>
      </w:r>
      <w:proofErr w:type="spellStart"/>
      <w:r w:rsidRPr="00892BE2">
        <w:rPr>
          <w:rFonts w:ascii="Times New Roman" w:hAnsi="Times New Roman" w:cs="Times New Roman"/>
          <w:b/>
          <w:bCs/>
          <w:color w:val="7030A0"/>
        </w:rPr>
        <w:t>Dyllick</w:t>
      </w:r>
      <w:proofErr w:type="spellEnd"/>
      <w:r w:rsidRPr="00892BE2">
        <w:rPr>
          <w:rFonts w:ascii="Times New Roman" w:hAnsi="Times New Roman" w:cs="Times New Roman"/>
          <w:b/>
          <w:bCs/>
          <w:color w:val="7030A0"/>
        </w:rPr>
        <w:t xml:space="preserve"> &amp; Muff, 2016)</w:t>
      </w:r>
    </w:p>
    <w:p w14:paraId="5712604F" w14:textId="649085C6" w:rsidR="00843572" w:rsidRDefault="008479B3" w:rsidP="00F458BC">
      <w:pPr>
        <w:spacing w:after="160" w:line="360" w:lineRule="auto"/>
        <w:jc w:val="both"/>
        <w:rPr>
          <w:color w:val="7030A0"/>
        </w:rPr>
      </w:pPr>
      <w:r w:rsidRPr="00892BE2">
        <w:rPr>
          <w:color w:val="7030A0"/>
        </w:rPr>
        <w:fldChar w:fldCharType="begin"/>
      </w:r>
      <w:r w:rsidRPr="00892BE2">
        <w:rPr>
          <w:color w:val="7030A0"/>
        </w:rPr>
        <w:instrText xml:space="preserve"> INCLUDEPICTURE "/Users/taylor-jaynerowe/Library/Group Containers/UBF8T346G9.ms/WebArchiveCopyPasteTempFiles/com.microsoft.Word/Four-Business-Sustainability-Typologies-A-Comparison-Dyllick-Muff-2016.png" \* MERGEFORMATINET </w:instrText>
      </w:r>
      <w:r w:rsidRPr="00892BE2">
        <w:rPr>
          <w:color w:val="7030A0"/>
        </w:rPr>
        <w:fldChar w:fldCharType="separate"/>
      </w:r>
      <w:r w:rsidRPr="00892BE2">
        <w:rPr>
          <w:noProof/>
          <w:color w:val="7030A0"/>
        </w:rPr>
        <w:drawing>
          <wp:inline distT="0" distB="0" distL="0" distR="0" wp14:anchorId="5E05EEE8" wp14:editId="0049B007">
            <wp:extent cx="5731510" cy="1299845"/>
            <wp:effectExtent l="0" t="0" r="0" b="0"/>
            <wp:docPr id="443942242" name="Picture 6" descr="Four Business Sustainability Typologies -A Comparison (Dyllick &amp; Muff,...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ur Business Sustainability Typologies -A Comparison (Dyllick &amp; Muff,... |  Download Scientific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299845"/>
                    </a:xfrm>
                    <a:prstGeom prst="rect">
                      <a:avLst/>
                    </a:prstGeom>
                    <a:noFill/>
                    <a:ln>
                      <a:noFill/>
                    </a:ln>
                  </pic:spPr>
                </pic:pic>
              </a:graphicData>
            </a:graphic>
          </wp:inline>
        </w:drawing>
      </w:r>
      <w:r w:rsidRPr="00892BE2">
        <w:rPr>
          <w:color w:val="7030A0"/>
        </w:rPr>
        <w:fldChar w:fldCharType="end"/>
      </w:r>
      <w:bookmarkStart w:id="2" w:name="_Toc227830386"/>
    </w:p>
    <w:p w14:paraId="57013664" w14:textId="2EBBB5F1" w:rsidR="004016FD" w:rsidRPr="00843572" w:rsidRDefault="00843572" w:rsidP="00843572">
      <w:pPr>
        <w:rPr>
          <w:color w:val="7030A0"/>
        </w:rPr>
      </w:pPr>
      <w:r>
        <w:rPr>
          <w:color w:val="7030A0"/>
        </w:rPr>
        <w:br w:type="page"/>
      </w:r>
    </w:p>
    <w:p w14:paraId="34827045" w14:textId="2D34A107" w:rsidR="008D5296" w:rsidRPr="00892BE2" w:rsidRDefault="00000000" w:rsidP="004016FD">
      <w:pPr>
        <w:pStyle w:val="Heading1"/>
        <w:spacing w:line="360" w:lineRule="auto"/>
        <w:jc w:val="center"/>
        <w:rPr>
          <w:rFonts w:ascii="Times New Roman" w:hAnsi="Times New Roman" w:cs="Times New Roman"/>
          <w:color w:val="7030A0"/>
        </w:rPr>
      </w:pPr>
      <w:r w:rsidRPr="00883A3F">
        <w:rPr>
          <w:rFonts w:ascii="Times New Roman" w:hAnsi="Times New Roman" w:cs="Times New Roman"/>
          <w:color w:val="7030A0"/>
          <w:sz w:val="36"/>
          <w:szCs w:val="36"/>
        </w:rPr>
        <w:lastRenderedPageBreak/>
        <w:t>3</w:t>
      </w:r>
      <w:r w:rsidRPr="00883A3F">
        <w:rPr>
          <w:rFonts w:ascii="Times New Roman" w:hAnsi="Times New Roman" w:cs="Times New Roman"/>
          <w:color w:val="7030A0"/>
          <w:sz w:val="44"/>
          <w:szCs w:val="44"/>
        </w:rPr>
        <w:t xml:space="preserve">. </w:t>
      </w:r>
      <w:r w:rsidRPr="004016FD">
        <w:rPr>
          <w:rFonts w:ascii="Times New Roman" w:hAnsi="Times New Roman" w:cs="Times New Roman"/>
          <w:color w:val="7030A0"/>
          <w:sz w:val="36"/>
          <w:szCs w:val="36"/>
        </w:rPr>
        <w:t>Case Study: Organisation Overview</w:t>
      </w:r>
      <w:bookmarkEnd w:id="2"/>
    </w:p>
    <w:p w14:paraId="0B19DF30" w14:textId="77777777" w:rsidR="008D5296" w:rsidRPr="00892BE2" w:rsidRDefault="00000000" w:rsidP="00964259">
      <w:pPr>
        <w:spacing w:after="160" w:line="360" w:lineRule="auto"/>
        <w:jc w:val="both"/>
        <w:rPr>
          <w:rFonts w:ascii="Times New Roman" w:hAnsi="Times New Roman" w:cs="Times New Roman"/>
          <w:color w:val="7030A0"/>
        </w:rPr>
      </w:pPr>
      <w:r w:rsidRPr="00892BE2">
        <w:rPr>
          <w:rFonts w:ascii="Times New Roman" w:hAnsi="Times New Roman" w:cs="Times New Roman"/>
          <w:color w:val="7030A0"/>
        </w:rPr>
        <w:t>Bluestone National Park Resort is a privately owned holiday resort situated within the Pembrokeshire Coast National Park in south-west Wales. Opened in 2008, the resort spans approximately 500 acres and offers self-catering lodge accommodation, a water park, a spa, and outdoor leisure activities. With a workforce of 905 people, 97% of whom reside within 30 miles of the site, Bluestone is a significant employer in one of Wales’s most economically peripheral regions (Bluestone Wales, 2025). Employees collectively own a 30% share of the business, making it the second-largest employee-owned business in Wales.</w:t>
      </w:r>
    </w:p>
    <w:p w14:paraId="5EA36381" w14:textId="6120FAF0" w:rsidR="00D52093" w:rsidRPr="00892BE2" w:rsidRDefault="00000000" w:rsidP="00964259">
      <w:pPr>
        <w:spacing w:after="160" w:line="360" w:lineRule="auto"/>
        <w:jc w:val="both"/>
        <w:rPr>
          <w:rFonts w:ascii="Times New Roman" w:hAnsi="Times New Roman" w:cs="Times New Roman"/>
          <w:color w:val="7030A0"/>
        </w:rPr>
      </w:pPr>
      <w:r w:rsidRPr="00892BE2">
        <w:rPr>
          <w:rFonts w:ascii="Times New Roman" w:hAnsi="Times New Roman" w:cs="Times New Roman"/>
          <w:color w:val="7030A0"/>
        </w:rPr>
        <w:t>The resort was developed on land that had previously been farmed intensively for dairy and forestry, carrying low ecological value (Bluestone Wales, 2025b). The founding vision embedded ecological and community benefit as core organisational objectives rather than ancillary concerns. Bluestone holds the Green Key award and has received a King’s Award for Enterprise in Sustainable Development. These external validations indicate that sustainability commitments have been assessed against criteria beyond self-reporting, lending credibility to the organisation’s claims.</w:t>
      </w:r>
    </w:p>
    <w:p w14:paraId="5EDB3778" w14:textId="77777777" w:rsidR="00D52093" w:rsidRDefault="00D52093" w:rsidP="00964259">
      <w:pPr>
        <w:spacing w:line="360" w:lineRule="auto"/>
        <w:rPr>
          <w:rFonts w:ascii="Times New Roman" w:hAnsi="Times New Roman" w:cs="Times New Roman"/>
          <w:b/>
          <w:bCs/>
          <w:color w:val="7030A0"/>
          <w:sz w:val="28"/>
          <w:szCs w:val="28"/>
        </w:rPr>
      </w:pPr>
      <w:r>
        <w:rPr>
          <w:rFonts w:ascii="Times New Roman" w:hAnsi="Times New Roman" w:cs="Times New Roman"/>
          <w:color w:val="7030A0"/>
        </w:rPr>
        <w:br w:type="page"/>
      </w:r>
    </w:p>
    <w:p w14:paraId="14F5E78C" w14:textId="4947B443" w:rsidR="008D5296" w:rsidRPr="00D71B33" w:rsidRDefault="00000000" w:rsidP="00D71B33">
      <w:pPr>
        <w:pStyle w:val="Heading1"/>
        <w:spacing w:line="360" w:lineRule="auto"/>
        <w:jc w:val="center"/>
        <w:rPr>
          <w:rFonts w:ascii="Times New Roman" w:hAnsi="Times New Roman" w:cs="Times New Roman"/>
          <w:color w:val="7030A0"/>
          <w:sz w:val="36"/>
          <w:szCs w:val="36"/>
        </w:rPr>
      </w:pPr>
      <w:bookmarkStart w:id="3" w:name="_Toc227830387"/>
      <w:r w:rsidRPr="00D71B33">
        <w:rPr>
          <w:rFonts w:ascii="Times New Roman" w:hAnsi="Times New Roman" w:cs="Times New Roman"/>
          <w:color w:val="7030A0"/>
          <w:sz w:val="36"/>
          <w:szCs w:val="36"/>
        </w:rPr>
        <w:lastRenderedPageBreak/>
        <w:t>4. Evidence of Harmony Principles in the Organisation</w:t>
      </w:r>
      <w:bookmarkEnd w:id="3"/>
    </w:p>
    <w:p w14:paraId="38C0AB78" w14:textId="77777777" w:rsidR="008D5296" w:rsidRPr="00892BE2" w:rsidRDefault="00000000" w:rsidP="00964259">
      <w:pPr>
        <w:pStyle w:val="Heading2"/>
        <w:spacing w:line="360" w:lineRule="auto"/>
        <w:rPr>
          <w:rFonts w:ascii="Times New Roman" w:hAnsi="Times New Roman" w:cs="Times New Roman"/>
          <w:color w:val="7030A0"/>
        </w:rPr>
      </w:pPr>
      <w:bookmarkStart w:id="4" w:name="_Toc227830388"/>
      <w:r w:rsidRPr="00892BE2">
        <w:rPr>
          <w:rFonts w:ascii="Times New Roman" w:hAnsi="Times New Roman" w:cs="Times New Roman"/>
          <w:color w:val="7030A0"/>
        </w:rPr>
        <w:t>4.1 Circularity and Resource Management</w:t>
      </w:r>
      <w:bookmarkEnd w:id="4"/>
    </w:p>
    <w:p w14:paraId="4B0439F1" w14:textId="442DC225" w:rsidR="00D52093" w:rsidRPr="00892BE2" w:rsidRDefault="0045681B" w:rsidP="00964259">
      <w:pPr>
        <w:spacing w:after="160" w:line="360" w:lineRule="auto"/>
        <w:jc w:val="both"/>
        <w:rPr>
          <w:rFonts w:ascii="Times New Roman" w:hAnsi="Times New Roman" w:cs="Times New Roman"/>
          <w:color w:val="7030A0"/>
        </w:rPr>
      </w:pPr>
      <w:r w:rsidRPr="0045681B">
        <w:rPr>
          <w:rFonts w:ascii="Times New Roman" w:hAnsi="Times New Roman" w:cs="Times New Roman"/>
          <w:color w:val="7030A0"/>
        </w:rPr>
        <w:t>Since 2022, landfill waste has represented less than 1% of total waste volume and waste per guest has fallen by 16% since 2017 (Bluestone Wales, 2025d).  Key measures include diverting 500,000 nappies annually into asphalt construction, eliminating single-use plastic bottles, and achieving a 40% reduction in kitchen food waste in 2024. Surplus furnishings are redistributed to community organisations. These measures reflect the Ellen MacArthur Foundation’s (2013) principles: design out waste, keep materials in use, and regenerate natural systems.</w:t>
      </w:r>
    </w:p>
    <w:p w14:paraId="69FB88EF" w14:textId="77777777" w:rsidR="008D5296" w:rsidRPr="00892BE2" w:rsidRDefault="00000000" w:rsidP="00964259">
      <w:pPr>
        <w:pStyle w:val="Heading2"/>
        <w:spacing w:line="360" w:lineRule="auto"/>
        <w:rPr>
          <w:rFonts w:ascii="Times New Roman" w:hAnsi="Times New Roman" w:cs="Times New Roman"/>
          <w:color w:val="7030A0"/>
        </w:rPr>
      </w:pPr>
      <w:bookmarkStart w:id="5" w:name="_Toc227830389"/>
      <w:r w:rsidRPr="00892BE2">
        <w:rPr>
          <w:rFonts w:ascii="Times New Roman" w:hAnsi="Times New Roman" w:cs="Times New Roman"/>
          <w:color w:val="7030A0"/>
        </w:rPr>
        <w:t>4.2 Net Zero and Decarbonisation</w:t>
      </w:r>
      <w:bookmarkEnd w:id="5"/>
    </w:p>
    <w:p w14:paraId="4E650DF0" w14:textId="707F0A0D" w:rsidR="00D52093" w:rsidRPr="00A3302D" w:rsidRDefault="0045681B" w:rsidP="00964259">
      <w:pPr>
        <w:spacing w:after="160" w:line="360" w:lineRule="auto"/>
        <w:jc w:val="both"/>
        <w:rPr>
          <w:rFonts w:ascii="Times New Roman" w:hAnsi="Times New Roman" w:cs="Times New Roman"/>
          <w:color w:val="7030A0"/>
        </w:rPr>
      </w:pPr>
      <w:r w:rsidRPr="0045681B">
        <w:rPr>
          <w:rFonts w:ascii="Times New Roman" w:hAnsi="Times New Roman" w:cs="Times New Roman"/>
          <w:color w:val="7030A0"/>
        </w:rPr>
        <w:t xml:space="preserve">By its own account, in September 2025 Bluestone became the first UK holiday resort to be fossil fuel free in all purchased energy (Bluestone Wales, 2025c). An on-site solar park generates approximately one-third of annual electricity demand. Fleet electrification and the substitution of fossil fuels with HVO and </w:t>
      </w:r>
      <w:proofErr w:type="spellStart"/>
      <w:r w:rsidRPr="0045681B">
        <w:rPr>
          <w:rFonts w:ascii="Times New Roman" w:hAnsi="Times New Roman" w:cs="Times New Roman"/>
          <w:color w:val="7030A0"/>
        </w:rPr>
        <w:t>BioLPG</w:t>
      </w:r>
      <w:proofErr w:type="spellEnd"/>
      <w:r w:rsidRPr="0045681B">
        <w:rPr>
          <w:rFonts w:ascii="Times New Roman" w:hAnsi="Times New Roman" w:cs="Times New Roman"/>
          <w:color w:val="7030A0"/>
        </w:rPr>
        <w:t xml:space="preserve"> have reduced Scope 1 and 2 market-based emissions by over 96%, with a net zero target across all three scopes by 2040.</w:t>
      </w:r>
    </w:p>
    <w:p w14:paraId="1D0EAF35" w14:textId="77777777" w:rsidR="008D5296" w:rsidRPr="00A3302D" w:rsidRDefault="00000000" w:rsidP="00964259">
      <w:pPr>
        <w:pStyle w:val="Heading2"/>
        <w:spacing w:line="360" w:lineRule="auto"/>
        <w:rPr>
          <w:rFonts w:ascii="Times New Roman" w:hAnsi="Times New Roman" w:cs="Times New Roman"/>
          <w:color w:val="7030A0"/>
        </w:rPr>
      </w:pPr>
      <w:bookmarkStart w:id="6" w:name="_Toc227830390"/>
      <w:r w:rsidRPr="00A3302D">
        <w:rPr>
          <w:rFonts w:ascii="Times New Roman" w:hAnsi="Times New Roman" w:cs="Times New Roman"/>
          <w:color w:val="7030A0"/>
        </w:rPr>
        <w:t>4.3 Nature Regeneration</w:t>
      </w:r>
      <w:bookmarkEnd w:id="6"/>
    </w:p>
    <w:p w14:paraId="31083237" w14:textId="38DBA2C0" w:rsidR="00D52093" w:rsidRPr="00A3302D" w:rsidRDefault="0045681B" w:rsidP="00964259">
      <w:pPr>
        <w:spacing w:after="160" w:line="360" w:lineRule="auto"/>
        <w:jc w:val="both"/>
        <w:rPr>
          <w:rFonts w:ascii="Times New Roman" w:hAnsi="Times New Roman" w:cs="Times New Roman"/>
          <w:color w:val="7030A0"/>
        </w:rPr>
      </w:pPr>
      <w:r w:rsidRPr="0045681B">
        <w:rPr>
          <w:rFonts w:ascii="Times New Roman" w:hAnsi="Times New Roman" w:cs="Times New Roman"/>
          <w:color w:val="7030A0"/>
        </w:rPr>
        <w:t>An independent survey by the Kent Wildlife Trust found Bluestone on course for a 50% net gain in biodiversity over 30 years (Bluestone Wales, 2025b). Approximately half the site constitutes the Blackpool Nature Reserve, with 100 acres of native woodland planted and wildlife corridors supporting biodiversity recovery. This aligns with Wahl’s (2016) principle that regenerative enterprise contributes to the restoration of living systems, though the credibility of this claim is examined in Section 5.</w:t>
      </w:r>
    </w:p>
    <w:p w14:paraId="3E8666E5" w14:textId="77777777" w:rsidR="008D5296" w:rsidRPr="00A3302D" w:rsidRDefault="00000000" w:rsidP="00964259">
      <w:pPr>
        <w:pStyle w:val="Heading2"/>
        <w:spacing w:line="360" w:lineRule="auto"/>
        <w:rPr>
          <w:rFonts w:ascii="Times New Roman" w:hAnsi="Times New Roman" w:cs="Times New Roman"/>
          <w:color w:val="7030A0"/>
        </w:rPr>
      </w:pPr>
      <w:bookmarkStart w:id="7" w:name="_Toc227830391"/>
      <w:r w:rsidRPr="00A3302D">
        <w:rPr>
          <w:rFonts w:ascii="Times New Roman" w:hAnsi="Times New Roman" w:cs="Times New Roman"/>
          <w:color w:val="7030A0"/>
        </w:rPr>
        <w:t>4.4 Community and Stakeholder Relationships</w:t>
      </w:r>
      <w:bookmarkEnd w:id="7"/>
    </w:p>
    <w:p w14:paraId="6545F15F" w14:textId="08D94277" w:rsidR="00D52093" w:rsidRDefault="0045681B" w:rsidP="00964259">
      <w:pPr>
        <w:spacing w:line="360" w:lineRule="auto"/>
        <w:rPr>
          <w:rFonts w:ascii="Times New Roman" w:hAnsi="Times New Roman" w:cs="Times New Roman"/>
          <w:b/>
          <w:bCs/>
          <w:color w:val="7030A0"/>
          <w:sz w:val="28"/>
          <w:szCs w:val="28"/>
        </w:rPr>
      </w:pPr>
      <w:r w:rsidRPr="0045681B">
        <w:rPr>
          <w:rFonts w:ascii="Times New Roman" w:hAnsi="Times New Roman" w:cs="Times New Roman"/>
          <w:color w:val="7030A0"/>
        </w:rPr>
        <w:t xml:space="preserve">The Bluestone Foundation redistributes profit to local </w:t>
      </w:r>
      <w:proofErr w:type="gramStart"/>
      <w:r w:rsidRPr="0045681B">
        <w:rPr>
          <w:rFonts w:ascii="Times New Roman" w:hAnsi="Times New Roman" w:cs="Times New Roman"/>
          <w:color w:val="7030A0"/>
        </w:rPr>
        <w:t>groups</w:t>
      </w:r>
      <w:proofErr w:type="gramEnd"/>
      <w:r w:rsidRPr="0045681B">
        <w:rPr>
          <w:rFonts w:ascii="Times New Roman" w:hAnsi="Times New Roman" w:cs="Times New Roman"/>
          <w:color w:val="7030A0"/>
        </w:rPr>
        <w:t xml:space="preserve"> and a Community Access programme opens the Blue Lagoon to the public six times annually (Bluestone Wales, 2025e). The Bluestone Academy has produced 74 vocational qualifications at levels 2–7 in partnership with Pembrokeshire College.  The Living Lab Research Hub facilitates academic collaboration on energy, biodiversity, and circular economy innovation. These initiatives reflect Freeman’s (1984) stakeholder theory: that legitimacy requires attending to a broad constituency beyond the immediate market transaction.</w:t>
      </w:r>
      <w:r w:rsidR="00D52093">
        <w:rPr>
          <w:rFonts w:ascii="Times New Roman" w:hAnsi="Times New Roman" w:cs="Times New Roman"/>
          <w:color w:val="7030A0"/>
        </w:rPr>
        <w:br w:type="page"/>
      </w:r>
    </w:p>
    <w:p w14:paraId="648F4EC9" w14:textId="1AEBDB3A" w:rsidR="008D5296" w:rsidRPr="00D52093" w:rsidRDefault="00000000" w:rsidP="00964259">
      <w:pPr>
        <w:pStyle w:val="Heading1"/>
        <w:spacing w:line="360" w:lineRule="auto"/>
        <w:jc w:val="center"/>
        <w:rPr>
          <w:rFonts w:ascii="Times New Roman" w:hAnsi="Times New Roman" w:cs="Times New Roman"/>
          <w:color w:val="7030A0"/>
          <w:sz w:val="36"/>
          <w:szCs w:val="36"/>
        </w:rPr>
      </w:pPr>
      <w:bookmarkStart w:id="8" w:name="_Toc227830392"/>
      <w:r w:rsidRPr="00D52093">
        <w:rPr>
          <w:rFonts w:ascii="Times New Roman" w:hAnsi="Times New Roman" w:cs="Times New Roman"/>
          <w:color w:val="7030A0"/>
          <w:sz w:val="36"/>
          <w:szCs w:val="36"/>
        </w:rPr>
        <w:lastRenderedPageBreak/>
        <w:t>5. Critical Analysis: Local and Global Responsibility</w:t>
      </w:r>
      <w:bookmarkEnd w:id="8"/>
    </w:p>
    <w:p w14:paraId="68CE6616" w14:textId="77777777" w:rsidR="008D5296" w:rsidRPr="00A3302D" w:rsidRDefault="00000000" w:rsidP="00964259">
      <w:pPr>
        <w:pStyle w:val="Heading2"/>
        <w:spacing w:line="360" w:lineRule="auto"/>
        <w:rPr>
          <w:rFonts w:ascii="Times New Roman" w:hAnsi="Times New Roman" w:cs="Times New Roman"/>
          <w:color w:val="7030A0"/>
        </w:rPr>
      </w:pPr>
      <w:bookmarkStart w:id="9" w:name="_Toc227830393"/>
      <w:r w:rsidRPr="00A3302D">
        <w:rPr>
          <w:rFonts w:ascii="Times New Roman" w:hAnsi="Times New Roman" w:cs="Times New Roman"/>
          <w:color w:val="7030A0"/>
        </w:rPr>
        <w:t>5.1 Socio-Cultural Responsibility</w:t>
      </w:r>
      <w:bookmarkEnd w:id="9"/>
    </w:p>
    <w:p w14:paraId="2F39A632" w14:textId="77777777" w:rsidR="004720B5" w:rsidRPr="004720B5" w:rsidRDefault="004720B5" w:rsidP="004720B5">
      <w:pPr>
        <w:spacing w:after="160" w:line="360" w:lineRule="auto"/>
        <w:jc w:val="both"/>
        <w:rPr>
          <w:rFonts w:ascii="Times New Roman" w:hAnsi="Times New Roman" w:cs="Times New Roman"/>
          <w:color w:val="7030A0"/>
        </w:rPr>
      </w:pPr>
      <w:r w:rsidRPr="004720B5">
        <w:rPr>
          <w:rFonts w:ascii="Times New Roman" w:hAnsi="Times New Roman" w:cs="Times New Roman"/>
          <w:color w:val="7030A0"/>
        </w:rPr>
        <w:t>Bluestone’s local employment practices demonstrate a commitment to socio-cultural responsibility. The fact that 97% of its workforce lives within 30 miles reflects a deliberate policy of local recruitment that reduces commuting emissions whilst anchoring economic benefit in the surrounding community (Bluestone Wales, 2025e). The employee ownership model — a 30% collective stake — is associated with higher job satisfaction, lower staff turnover, and greater organisational resilience (Blasi et al., 2013).</w:t>
      </w:r>
    </w:p>
    <w:p w14:paraId="51A9A9D3" w14:textId="77777777" w:rsidR="004720B5" w:rsidRPr="004720B5" w:rsidRDefault="004720B5" w:rsidP="004720B5">
      <w:pPr>
        <w:spacing w:after="160" w:line="360" w:lineRule="auto"/>
        <w:jc w:val="both"/>
        <w:rPr>
          <w:rFonts w:ascii="Times New Roman" w:hAnsi="Times New Roman" w:cs="Times New Roman"/>
          <w:color w:val="7030A0"/>
        </w:rPr>
      </w:pPr>
      <w:r w:rsidRPr="004720B5">
        <w:rPr>
          <w:rFonts w:ascii="Times New Roman" w:hAnsi="Times New Roman" w:cs="Times New Roman"/>
          <w:color w:val="7030A0"/>
        </w:rPr>
        <w:t>However, the employee ownership figure requires interrogation. A 30% minority stake leaves strategic control firmly with the founder and the remaining shareholders. Under Dyllick and Muff’s (2016) typology, genuine 3.0 business sustainability implies that governance structures reflect societal accountability, not merely that workers share in profit. A minority employee ownership model, while progressive relative to conventional corporate structures, does not fundamentally redistribute decision-making authority over capital allocation, strategic direction, or sustainability commitments.</w:t>
      </w:r>
    </w:p>
    <w:p w14:paraId="74E4DF70" w14:textId="77777777" w:rsidR="004720B5" w:rsidRPr="004720B5" w:rsidRDefault="004720B5" w:rsidP="004720B5">
      <w:pPr>
        <w:spacing w:after="160" w:line="360" w:lineRule="auto"/>
        <w:jc w:val="both"/>
        <w:rPr>
          <w:rFonts w:ascii="Times New Roman" w:hAnsi="Times New Roman" w:cs="Times New Roman"/>
          <w:color w:val="7030A0"/>
        </w:rPr>
      </w:pPr>
      <w:r w:rsidRPr="004720B5">
        <w:rPr>
          <w:rFonts w:ascii="Times New Roman" w:hAnsi="Times New Roman" w:cs="Times New Roman"/>
          <w:color w:val="7030A0"/>
        </w:rPr>
        <w:t>The county has one of the highest proportions of second homes in Wales, and tourism-driven development in National Park areas has been associated with housing affordability pressures that displace residents (Welsh Government, 2023). Bluestone’s premium positioning may contribute to the perception of Pembrokeshire as an affluent leisure destination, which intensifies demand for holiday property. The Community Access programme partially addresses this tension, but six annual public openings are limited relative to the scale of the commercial operation. Bluestone does not publicly report against any recognised social value framework, which limits independent assessment of its community impact claims.</w:t>
      </w:r>
    </w:p>
    <w:p w14:paraId="7A9E0F8F" w14:textId="77777777" w:rsidR="004720B5" w:rsidRDefault="004720B5" w:rsidP="004720B5">
      <w:pPr>
        <w:spacing w:after="160" w:line="360" w:lineRule="auto"/>
        <w:jc w:val="both"/>
        <w:rPr>
          <w:rFonts w:ascii="Times New Roman" w:hAnsi="Times New Roman" w:cs="Times New Roman"/>
          <w:color w:val="7030A0"/>
        </w:rPr>
      </w:pPr>
      <w:r w:rsidRPr="004720B5">
        <w:rPr>
          <w:rFonts w:ascii="Times New Roman" w:hAnsi="Times New Roman" w:cs="Times New Roman"/>
          <w:color w:val="7030A0"/>
        </w:rPr>
        <w:t>At a global level, Bluestone’s socio-cultural contribution can be mapped against the UN Sustainable Development Goals. Its practices align with SDG 8, SDG 10, and SDG 11. Critically, however, Bluestone does not publish an SDG alignment statement or materiality assessment, which would strengthen the credibility of its sustainability narrative.</w:t>
      </w:r>
    </w:p>
    <w:p w14:paraId="0B9D6617" w14:textId="4919B769" w:rsidR="00245709" w:rsidRPr="00F42145" w:rsidRDefault="00245709" w:rsidP="004720B5">
      <w:pPr>
        <w:spacing w:after="160" w:line="360" w:lineRule="auto"/>
        <w:jc w:val="both"/>
        <w:rPr>
          <w:rFonts w:ascii="Times New Roman" w:hAnsi="Times New Roman" w:cs="Times New Roman"/>
          <w:b/>
          <w:bCs/>
          <w:color w:val="7030A0"/>
        </w:rPr>
      </w:pPr>
      <w:r w:rsidRPr="00F42145">
        <w:rPr>
          <w:rFonts w:ascii="Times New Roman" w:hAnsi="Times New Roman" w:cs="Times New Roman"/>
          <w:b/>
          <w:bCs/>
          <w:color w:val="7030A0"/>
        </w:rPr>
        <w:t xml:space="preserve">Figure </w:t>
      </w:r>
      <w:r w:rsidR="007A05B9">
        <w:rPr>
          <w:rFonts w:ascii="Times New Roman" w:hAnsi="Times New Roman" w:cs="Times New Roman"/>
          <w:b/>
          <w:bCs/>
          <w:color w:val="7030A0"/>
        </w:rPr>
        <w:t>2</w:t>
      </w:r>
      <w:r w:rsidRPr="00F42145">
        <w:rPr>
          <w:rFonts w:ascii="Times New Roman" w:hAnsi="Times New Roman" w:cs="Times New Roman"/>
          <w:b/>
          <w:bCs/>
          <w:color w:val="7030A0"/>
        </w:rPr>
        <w:t>. The Sustainable Development Goals (United Nations)</w:t>
      </w:r>
    </w:p>
    <w:p w14:paraId="66ADB0A5" w14:textId="07442574" w:rsidR="00245709" w:rsidRPr="00A3302D" w:rsidRDefault="00245709" w:rsidP="00964259">
      <w:pPr>
        <w:spacing w:after="160" w:line="360" w:lineRule="auto"/>
        <w:jc w:val="both"/>
        <w:rPr>
          <w:rFonts w:ascii="Times New Roman" w:hAnsi="Times New Roman" w:cs="Times New Roman"/>
          <w:color w:val="7030A0"/>
        </w:rPr>
      </w:pPr>
      <w:r>
        <w:lastRenderedPageBreak/>
        <w:fldChar w:fldCharType="begin"/>
      </w:r>
      <w:r>
        <w:instrText xml:space="preserve"> INCLUDEPICTURE "/Users/taylor-jaynerowe/Library/Group Containers/UBF8T346G9.ms/WebArchiveCopyPasteTempFiles/com.microsoft.Word/sdg-global-goals.png" \* MERGEFORMATINET </w:instrText>
      </w:r>
      <w:r>
        <w:fldChar w:fldCharType="separate"/>
      </w:r>
      <w:r>
        <w:rPr>
          <w:noProof/>
        </w:rPr>
        <w:drawing>
          <wp:inline distT="0" distB="0" distL="0" distR="0" wp14:anchorId="37C56339" wp14:editId="39017076">
            <wp:extent cx="5731510" cy="3548380"/>
            <wp:effectExtent l="0" t="0" r="0" b="0"/>
            <wp:docPr id="1308229568" name="Picture 1" descr="Sustainable Development Goals - Corporate Sustainability - Onze organisatie  - Pw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le Development Goals - Corporate Sustainability - Onze organisatie  - PwC"/>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548380"/>
                    </a:xfrm>
                    <a:prstGeom prst="rect">
                      <a:avLst/>
                    </a:prstGeom>
                    <a:noFill/>
                    <a:ln>
                      <a:noFill/>
                    </a:ln>
                  </pic:spPr>
                </pic:pic>
              </a:graphicData>
            </a:graphic>
          </wp:inline>
        </w:drawing>
      </w:r>
      <w:r>
        <w:fldChar w:fldCharType="end"/>
      </w:r>
    </w:p>
    <w:p w14:paraId="6B9EFDB8" w14:textId="77777777" w:rsidR="00D52093" w:rsidRDefault="00D52093" w:rsidP="00964259">
      <w:pPr>
        <w:pStyle w:val="Heading2"/>
        <w:spacing w:line="360" w:lineRule="auto"/>
        <w:rPr>
          <w:rFonts w:ascii="Times New Roman" w:hAnsi="Times New Roman" w:cs="Times New Roman"/>
          <w:color w:val="7030A0"/>
        </w:rPr>
      </w:pPr>
    </w:p>
    <w:p w14:paraId="07A18BAD" w14:textId="227B34A2" w:rsidR="008D5296" w:rsidRPr="00A3302D" w:rsidRDefault="00000000" w:rsidP="00964259">
      <w:pPr>
        <w:pStyle w:val="Heading2"/>
        <w:spacing w:line="360" w:lineRule="auto"/>
        <w:rPr>
          <w:rFonts w:ascii="Times New Roman" w:hAnsi="Times New Roman" w:cs="Times New Roman"/>
          <w:color w:val="7030A0"/>
        </w:rPr>
      </w:pPr>
      <w:bookmarkStart w:id="10" w:name="_Toc227830394"/>
      <w:r w:rsidRPr="00A3302D">
        <w:rPr>
          <w:rFonts w:ascii="Times New Roman" w:hAnsi="Times New Roman" w:cs="Times New Roman"/>
          <w:color w:val="7030A0"/>
        </w:rPr>
        <w:t>5.2 Environmental Responsibility</w:t>
      </w:r>
      <w:bookmarkEnd w:id="10"/>
    </w:p>
    <w:p w14:paraId="21B4B535" w14:textId="77777777" w:rsidR="004720B5" w:rsidRPr="004720B5" w:rsidRDefault="004720B5" w:rsidP="004720B5">
      <w:pPr>
        <w:spacing w:after="160" w:line="360" w:lineRule="auto"/>
        <w:jc w:val="both"/>
        <w:rPr>
          <w:rFonts w:ascii="Times New Roman" w:hAnsi="Times New Roman" w:cs="Times New Roman"/>
          <w:color w:val="7030A0"/>
        </w:rPr>
      </w:pPr>
      <w:r w:rsidRPr="004720B5">
        <w:rPr>
          <w:rFonts w:ascii="Times New Roman" w:hAnsi="Times New Roman" w:cs="Times New Roman"/>
          <w:color w:val="7030A0"/>
        </w:rPr>
        <w:t>Bluestone’s environmental record is substantive and externally validated. Green Key certification, King’s Award recognition, and independent biodiversity assessment by the Kent Wildlife Trust indicate that commitments have been assessed beyond self-reporting (Bluestone Wales, 2025a; 2025b; 2025c). The 96% reduction in Scope 1 and 2 market-based carbon emissions is a credible achievement.</w:t>
      </w:r>
    </w:p>
    <w:p w14:paraId="2C9867FB" w14:textId="77777777" w:rsidR="004720B5" w:rsidRPr="004720B5" w:rsidRDefault="004720B5" w:rsidP="004720B5">
      <w:pPr>
        <w:spacing w:after="160" w:line="360" w:lineRule="auto"/>
        <w:jc w:val="both"/>
        <w:rPr>
          <w:rFonts w:ascii="Times New Roman" w:hAnsi="Times New Roman" w:cs="Times New Roman"/>
          <w:color w:val="7030A0"/>
        </w:rPr>
      </w:pPr>
      <w:r w:rsidRPr="004720B5">
        <w:rPr>
          <w:rFonts w:ascii="Times New Roman" w:hAnsi="Times New Roman" w:cs="Times New Roman"/>
          <w:color w:val="7030A0"/>
        </w:rPr>
        <w:t xml:space="preserve">The reliance on transitional fuels — HVO and </w:t>
      </w:r>
      <w:proofErr w:type="spellStart"/>
      <w:r w:rsidRPr="004720B5">
        <w:rPr>
          <w:rFonts w:ascii="Times New Roman" w:hAnsi="Times New Roman" w:cs="Times New Roman"/>
          <w:color w:val="7030A0"/>
        </w:rPr>
        <w:t>BioLPG</w:t>
      </w:r>
      <w:proofErr w:type="spellEnd"/>
      <w:r w:rsidRPr="004720B5">
        <w:rPr>
          <w:rFonts w:ascii="Times New Roman" w:hAnsi="Times New Roman" w:cs="Times New Roman"/>
          <w:color w:val="7030A0"/>
        </w:rPr>
        <w:t xml:space="preserve"> — is contested. The ICCT (2023) has documented that supply chains for these fuels may involve emissions not captured in Scope 1 and 2 accounting. Bluestone acknowledges this limitation and commits to moving away from transitional fuels as infrastructure </w:t>
      </w:r>
      <w:proofErr w:type="gramStart"/>
      <w:r w:rsidRPr="004720B5">
        <w:rPr>
          <w:rFonts w:ascii="Times New Roman" w:hAnsi="Times New Roman" w:cs="Times New Roman"/>
          <w:color w:val="7030A0"/>
        </w:rPr>
        <w:t>matures, but</w:t>
      </w:r>
      <w:proofErr w:type="gramEnd"/>
      <w:r w:rsidRPr="004720B5">
        <w:rPr>
          <w:rFonts w:ascii="Times New Roman" w:hAnsi="Times New Roman" w:cs="Times New Roman"/>
          <w:color w:val="7030A0"/>
        </w:rPr>
        <w:t xml:space="preserve"> provides no timeline. This is a material gap.</w:t>
      </w:r>
    </w:p>
    <w:p w14:paraId="6DD9C4B9" w14:textId="77777777" w:rsidR="004720B5" w:rsidRPr="004720B5" w:rsidRDefault="004720B5" w:rsidP="004720B5">
      <w:pPr>
        <w:spacing w:after="160" w:line="360" w:lineRule="auto"/>
        <w:jc w:val="both"/>
        <w:rPr>
          <w:rFonts w:ascii="Times New Roman" w:hAnsi="Times New Roman" w:cs="Times New Roman"/>
          <w:color w:val="7030A0"/>
        </w:rPr>
      </w:pPr>
      <w:r w:rsidRPr="004720B5">
        <w:rPr>
          <w:rFonts w:ascii="Times New Roman" w:hAnsi="Times New Roman" w:cs="Times New Roman"/>
          <w:color w:val="7030A0"/>
        </w:rPr>
        <w:t>Scope 3 typically accounts for the large majority of a tourism business’s footprint, with guest travel the dominant component (Tourism Alliance, 2022). Bluestone does not publish figures on the carbon cost of guest travel or articulate a strategy for addressing it. The omission of Scope 3 from the net zero narrative is not a peripheral technical matter.</w:t>
      </w:r>
    </w:p>
    <w:p w14:paraId="565CE46B" w14:textId="77777777" w:rsidR="004720B5" w:rsidRPr="004720B5" w:rsidRDefault="004720B5" w:rsidP="004720B5">
      <w:pPr>
        <w:spacing w:after="160" w:line="360" w:lineRule="auto"/>
        <w:jc w:val="both"/>
        <w:rPr>
          <w:rFonts w:ascii="Times New Roman" w:hAnsi="Times New Roman" w:cs="Times New Roman"/>
          <w:color w:val="7030A0"/>
        </w:rPr>
      </w:pPr>
      <w:r w:rsidRPr="004720B5">
        <w:rPr>
          <w:rFonts w:ascii="Times New Roman" w:hAnsi="Times New Roman" w:cs="Times New Roman"/>
          <w:color w:val="7030A0"/>
        </w:rPr>
        <w:lastRenderedPageBreak/>
        <w:t>Bluestone has not sought verification from the Science Based Targets initiative (SBTi). Without SBTi validation, its 2040 net zero target cannot be confirmed as consistent with the Paris Agreement.</w:t>
      </w:r>
    </w:p>
    <w:p w14:paraId="21A07118" w14:textId="44B3B669" w:rsidR="00D52093" w:rsidRDefault="004720B5" w:rsidP="004720B5">
      <w:pPr>
        <w:spacing w:after="160" w:line="360" w:lineRule="auto"/>
        <w:jc w:val="both"/>
        <w:rPr>
          <w:rFonts w:ascii="Times New Roman" w:hAnsi="Times New Roman" w:cs="Times New Roman"/>
          <w:color w:val="7030A0"/>
        </w:rPr>
      </w:pPr>
      <w:r w:rsidRPr="004720B5">
        <w:rPr>
          <w:rFonts w:ascii="Times New Roman" w:hAnsi="Times New Roman" w:cs="Times New Roman"/>
          <w:color w:val="7030A0"/>
        </w:rPr>
        <w:t>The nature regeneration programme is the strongest component of Bluestone’s environmental record. Developing ecologically depleted land with a 50% net biodiversity gain target, verified by the Kent Wildlife Trust, represents regenerative logic rather than offset. However, Bluestone operates within a National Park with statutory conservation duties under the Environment (Wales) Act 2016, yet its sustainability reporting does not address whether its expansion aligns with these obligations or engages with authorities on cumulative environmental impacts.</w:t>
      </w:r>
    </w:p>
    <w:p w14:paraId="1B83B836" w14:textId="77777777" w:rsidR="004720B5" w:rsidRPr="00A3302D" w:rsidRDefault="004720B5" w:rsidP="004720B5">
      <w:pPr>
        <w:spacing w:after="160" w:line="360" w:lineRule="auto"/>
        <w:jc w:val="both"/>
        <w:rPr>
          <w:rFonts w:ascii="Times New Roman" w:hAnsi="Times New Roman" w:cs="Times New Roman"/>
          <w:color w:val="7030A0"/>
        </w:rPr>
      </w:pPr>
    </w:p>
    <w:p w14:paraId="017EC581" w14:textId="77777777" w:rsidR="008D5296" w:rsidRPr="00A3302D" w:rsidRDefault="00000000" w:rsidP="00964259">
      <w:pPr>
        <w:pStyle w:val="Heading2"/>
        <w:spacing w:line="360" w:lineRule="auto"/>
        <w:rPr>
          <w:rFonts w:ascii="Times New Roman" w:hAnsi="Times New Roman" w:cs="Times New Roman"/>
          <w:color w:val="7030A0"/>
        </w:rPr>
      </w:pPr>
      <w:bookmarkStart w:id="11" w:name="_Toc227830395"/>
      <w:r w:rsidRPr="00A3302D">
        <w:rPr>
          <w:rFonts w:ascii="Times New Roman" w:hAnsi="Times New Roman" w:cs="Times New Roman"/>
          <w:color w:val="7030A0"/>
        </w:rPr>
        <w:t>5.3 Economic Responsibility</w:t>
      </w:r>
      <w:bookmarkEnd w:id="11"/>
    </w:p>
    <w:p w14:paraId="3723F843" w14:textId="77777777" w:rsidR="004720B5" w:rsidRPr="004720B5" w:rsidRDefault="004720B5" w:rsidP="004720B5">
      <w:pPr>
        <w:pStyle w:val="Heading1"/>
        <w:spacing w:line="360" w:lineRule="auto"/>
        <w:jc w:val="both"/>
        <w:rPr>
          <w:rFonts w:ascii="Times New Roman" w:hAnsi="Times New Roman" w:cs="Times New Roman"/>
          <w:b w:val="0"/>
          <w:bCs w:val="0"/>
          <w:color w:val="7030A0"/>
          <w:sz w:val="24"/>
          <w:szCs w:val="24"/>
        </w:rPr>
      </w:pPr>
      <w:bookmarkStart w:id="12" w:name="_Toc227830396"/>
      <w:r w:rsidRPr="004720B5">
        <w:rPr>
          <w:rFonts w:ascii="Times New Roman" w:hAnsi="Times New Roman" w:cs="Times New Roman"/>
          <w:b w:val="0"/>
          <w:bCs w:val="0"/>
          <w:color w:val="7030A0"/>
          <w:sz w:val="24"/>
          <w:szCs w:val="24"/>
        </w:rPr>
        <w:t>Bluestone’s economic contribution to Pembrokeshire is multidimensional. Annual local procurement of approximately £5 million and over £10 million across Wales represents a multiplier effect in an economy where rural deprivation indices are elevated (Bluestone Wales, 2025e; Stats Wales, 2023). The employee ownership model distributes a share of financial returns to workers, and the apprenticeship programme, heritage conservation, and cycle path investments represent social infrastructure investment beyond direct employment.</w:t>
      </w:r>
    </w:p>
    <w:p w14:paraId="79F7F1D6" w14:textId="77777777" w:rsidR="004720B5" w:rsidRPr="004720B5" w:rsidRDefault="004720B5" w:rsidP="004720B5">
      <w:pPr>
        <w:pStyle w:val="Heading1"/>
        <w:spacing w:line="360" w:lineRule="auto"/>
        <w:jc w:val="both"/>
        <w:rPr>
          <w:rFonts w:ascii="Times New Roman" w:hAnsi="Times New Roman" w:cs="Times New Roman"/>
          <w:b w:val="0"/>
          <w:bCs w:val="0"/>
          <w:color w:val="7030A0"/>
          <w:sz w:val="24"/>
          <w:szCs w:val="24"/>
        </w:rPr>
      </w:pPr>
      <w:r w:rsidRPr="004720B5">
        <w:rPr>
          <w:rFonts w:ascii="Times New Roman" w:hAnsi="Times New Roman" w:cs="Times New Roman"/>
          <w:b w:val="0"/>
          <w:bCs w:val="0"/>
          <w:color w:val="7030A0"/>
          <w:sz w:val="24"/>
          <w:szCs w:val="24"/>
        </w:rPr>
        <w:t>However, the economic model raises questions of distributional equity. As a premium leisure resort, Bluestone’s commercial activity is oriented towards relatively affluent consumers. Porter and Kramer (2011) argue that creating shared value requires identifying opportunities where commercial success and social progress are interdependent. The question of whether Bluestone’s model truly creates shared value deserves explicit engagement. The governance of the Bluestone Foundation is not publicly disclosed in sufficient detail for independent assessment. This opacity is inconsistent with the transparency expected of an organisation claiming responsible business leadership.</w:t>
      </w:r>
    </w:p>
    <w:p w14:paraId="1DDF82C7" w14:textId="77777777" w:rsidR="004720B5" w:rsidRDefault="004720B5" w:rsidP="004720B5">
      <w:pPr>
        <w:pStyle w:val="Heading1"/>
        <w:spacing w:line="360" w:lineRule="auto"/>
        <w:jc w:val="both"/>
        <w:rPr>
          <w:rFonts w:ascii="Times New Roman" w:hAnsi="Times New Roman" w:cs="Times New Roman"/>
          <w:b w:val="0"/>
          <w:bCs w:val="0"/>
          <w:color w:val="7030A0"/>
          <w:sz w:val="24"/>
          <w:szCs w:val="24"/>
        </w:rPr>
      </w:pPr>
      <w:r w:rsidRPr="004720B5">
        <w:rPr>
          <w:rFonts w:ascii="Times New Roman" w:hAnsi="Times New Roman" w:cs="Times New Roman"/>
          <w:b w:val="0"/>
          <w:bCs w:val="0"/>
          <w:color w:val="7030A0"/>
          <w:sz w:val="24"/>
          <w:szCs w:val="24"/>
        </w:rPr>
        <w:t>At a global level, Bluestone’s alignment with SDG 12 and SDG 15 is evident. However, the resort does not engage with SDG 13 with the rigour that a net zero claim requires: without Scope 3 disclosure and SBTi verification, the SDG 13 alignment is partial.</w:t>
      </w:r>
    </w:p>
    <w:p w14:paraId="41FC55C5" w14:textId="77777777" w:rsidR="004720B5" w:rsidRDefault="004720B5" w:rsidP="004720B5">
      <w:pPr>
        <w:jc w:val="both"/>
        <w:rPr>
          <w:rFonts w:ascii="Times New Roman" w:hAnsi="Times New Roman" w:cs="Times New Roman"/>
          <w:color w:val="7030A0"/>
        </w:rPr>
      </w:pPr>
      <w:r>
        <w:rPr>
          <w:rFonts w:ascii="Times New Roman" w:hAnsi="Times New Roman" w:cs="Times New Roman"/>
          <w:b/>
          <w:bCs/>
          <w:color w:val="7030A0"/>
        </w:rPr>
        <w:br w:type="page"/>
      </w:r>
    </w:p>
    <w:p w14:paraId="76B99254" w14:textId="22A8D4E7" w:rsidR="008D5296" w:rsidRPr="00D52093" w:rsidRDefault="00000000" w:rsidP="004720B5">
      <w:pPr>
        <w:pStyle w:val="Heading1"/>
        <w:spacing w:line="360" w:lineRule="auto"/>
        <w:jc w:val="center"/>
        <w:rPr>
          <w:rFonts w:ascii="Times New Roman" w:hAnsi="Times New Roman" w:cs="Times New Roman"/>
          <w:color w:val="7030A0"/>
          <w:sz w:val="36"/>
          <w:szCs w:val="36"/>
        </w:rPr>
      </w:pPr>
      <w:r w:rsidRPr="00D52093">
        <w:rPr>
          <w:rFonts w:ascii="Times New Roman" w:hAnsi="Times New Roman" w:cs="Times New Roman"/>
          <w:color w:val="7030A0"/>
          <w:sz w:val="36"/>
          <w:szCs w:val="36"/>
        </w:rPr>
        <w:lastRenderedPageBreak/>
        <w:t>6. Discussion</w:t>
      </w:r>
      <w:bookmarkEnd w:id="12"/>
    </w:p>
    <w:p w14:paraId="1D20AA9C" w14:textId="444FB04E" w:rsidR="00D52093" w:rsidRDefault="00964259" w:rsidP="00964259">
      <w:pPr>
        <w:spacing w:after="160" w:line="360" w:lineRule="auto"/>
        <w:jc w:val="both"/>
        <w:rPr>
          <w:rFonts w:ascii="Times New Roman" w:hAnsi="Times New Roman" w:cs="Times New Roman"/>
          <w:color w:val="7030A0"/>
        </w:rPr>
      </w:pPr>
      <w:r w:rsidRPr="00964259">
        <w:rPr>
          <w:rFonts w:ascii="Times New Roman" w:hAnsi="Times New Roman" w:cs="Times New Roman"/>
          <w:color w:val="7030A0"/>
        </w:rPr>
        <w:t>Bluestone presents a case of substantive but structurally incomplete harmony. Applying Carroll’s (1991) pyramid: economic responsibilities are met through commercial viability and local employment; legal responsibilities through National Park compliance and certification; ethical responsibilities through employee ownership, community investment, and supply chain circularity; philanthropic responsibilities through the Foundation and heritage conservation, though governance opacity limits the credibility of these claims.</w:t>
      </w:r>
      <w:r w:rsidR="00A9646A">
        <w:rPr>
          <w:rFonts w:ascii="Times New Roman" w:hAnsi="Times New Roman" w:cs="Times New Roman"/>
          <w:color w:val="7030A0"/>
        </w:rPr>
        <w:t xml:space="preserve"> </w:t>
      </w:r>
      <w:r w:rsidR="00000000" w:rsidRPr="00A3302D">
        <w:rPr>
          <w:rFonts w:ascii="Times New Roman" w:hAnsi="Times New Roman" w:cs="Times New Roman"/>
          <w:color w:val="7030A0"/>
        </w:rPr>
        <w:t>The pyramid is largely, though not uniformly, populated.</w:t>
      </w:r>
    </w:p>
    <w:p w14:paraId="23A245A9" w14:textId="5969EB02" w:rsidR="00EC1606" w:rsidRPr="00F42145" w:rsidRDefault="00EC1606" w:rsidP="00964259">
      <w:pPr>
        <w:spacing w:after="160" w:line="360" w:lineRule="auto"/>
        <w:jc w:val="both"/>
        <w:rPr>
          <w:rFonts w:ascii="Times New Roman" w:hAnsi="Times New Roman" w:cs="Times New Roman"/>
          <w:b/>
          <w:bCs/>
          <w:color w:val="7030A0"/>
        </w:rPr>
      </w:pPr>
      <w:r w:rsidRPr="00F42145">
        <w:rPr>
          <w:rFonts w:ascii="Times New Roman" w:hAnsi="Times New Roman" w:cs="Times New Roman"/>
          <w:b/>
          <w:bCs/>
          <w:color w:val="7030A0"/>
        </w:rPr>
        <w:t xml:space="preserve">Figure </w:t>
      </w:r>
      <w:r w:rsidR="007A05B9">
        <w:rPr>
          <w:rFonts w:ascii="Times New Roman" w:hAnsi="Times New Roman" w:cs="Times New Roman"/>
          <w:b/>
          <w:bCs/>
          <w:color w:val="7030A0"/>
        </w:rPr>
        <w:t>3</w:t>
      </w:r>
      <w:r w:rsidRPr="00F42145">
        <w:rPr>
          <w:rFonts w:ascii="Times New Roman" w:hAnsi="Times New Roman" w:cs="Times New Roman"/>
          <w:b/>
          <w:bCs/>
          <w:color w:val="7030A0"/>
        </w:rPr>
        <w:t>. The Corporate Responsibility Pyramid (Carroll, 1991)</w:t>
      </w:r>
    </w:p>
    <w:p w14:paraId="092CAC13" w14:textId="00CC89D5" w:rsidR="00EC1606" w:rsidRPr="00A3302D" w:rsidRDefault="008D6CFF" w:rsidP="00964259">
      <w:pPr>
        <w:spacing w:after="160" w:line="360" w:lineRule="auto"/>
        <w:jc w:val="both"/>
        <w:rPr>
          <w:rFonts w:ascii="Times New Roman" w:hAnsi="Times New Roman" w:cs="Times New Roman"/>
          <w:color w:val="7030A0"/>
        </w:rPr>
      </w:pPr>
      <w:r>
        <w:fldChar w:fldCharType="begin"/>
      </w:r>
      <w:r>
        <w:instrText xml:space="preserve"> INCLUDEPICTURE "/Users/taylor-jaynerowe/Library/Group Containers/UBF8T346G9.ms/WebArchiveCopyPasteTempFiles/com.microsoft.Word/00159767-FA00136323-DA.png" \* MERGEFORMATINET </w:instrText>
      </w:r>
      <w:r>
        <w:fldChar w:fldCharType="separate"/>
      </w:r>
      <w:r>
        <w:rPr>
          <w:noProof/>
        </w:rPr>
        <w:drawing>
          <wp:inline distT="0" distB="0" distL="0" distR="0" wp14:anchorId="41D06D25" wp14:editId="73F80A31">
            <wp:extent cx="5731510" cy="3671570"/>
            <wp:effectExtent l="0" t="0" r="0" b="0"/>
            <wp:docPr id="2122544364" name="Picture 2" descr="AQA | Teaching guide: Carroll's corporate social responsibility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QA | Teaching guide: Carroll's corporate social responsibility pyram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71570"/>
                    </a:xfrm>
                    <a:prstGeom prst="rect">
                      <a:avLst/>
                    </a:prstGeom>
                    <a:noFill/>
                    <a:ln>
                      <a:noFill/>
                    </a:ln>
                  </pic:spPr>
                </pic:pic>
              </a:graphicData>
            </a:graphic>
          </wp:inline>
        </w:drawing>
      </w:r>
      <w:r>
        <w:fldChar w:fldCharType="end"/>
      </w:r>
    </w:p>
    <w:p w14:paraId="0AB5125F" w14:textId="29F0A9A8" w:rsidR="00D52093" w:rsidRDefault="00964259" w:rsidP="00964259">
      <w:pPr>
        <w:spacing w:line="360" w:lineRule="auto"/>
        <w:rPr>
          <w:rFonts w:ascii="Times New Roman" w:hAnsi="Times New Roman" w:cs="Times New Roman"/>
          <w:b/>
          <w:bCs/>
          <w:color w:val="7030A0"/>
          <w:sz w:val="28"/>
          <w:szCs w:val="28"/>
        </w:rPr>
      </w:pPr>
      <w:r w:rsidRPr="00964259">
        <w:rPr>
          <w:rFonts w:ascii="Times New Roman" w:hAnsi="Times New Roman" w:cs="Times New Roman"/>
          <w:color w:val="7030A0"/>
        </w:rPr>
        <w:t xml:space="preserve">The critical question is whether Bluestone constitutes a genuine 3.0 organisation or an advanced 2.0. The evidence points to the latter. The omission of Scope 3 emissions, the absence of a materiality assessment, the lack of SBTi verification, and the limited transparency of the Foundation’s governance collectively indicate a sustainability strategy shaped by commercial comfort rather than systemic change. Crane and Matten (2016) argue that voluntary commitments remain susceptible to indefinite deferral without binding accountability. Engagement with SBTi, publication of a GRI-aligned materiality assessment, </w:t>
      </w:r>
      <w:r w:rsidRPr="00964259">
        <w:rPr>
          <w:rFonts w:ascii="Times New Roman" w:hAnsi="Times New Roman" w:cs="Times New Roman"/>
          <w:color w:val="7030A0"/>
        </w:rPr>
        <w:lastRenderedPageBreak/>
        <w:t>and voluntary adoption of CSRD reporting standards would substantiate Bluestone’s claims and provide a replicable model for the wider tourism industry.</w:t>
      </w:r>
      <w:r w:rsidR="00D52093">
        <w:rPr>
          <w:rFonts w:ascii="Times New Roman" w:hAnsi="Times New Roman" w:cs="Times New Roman"/>
          <w:color w:val="7030A0"/>
        </w:rPr>
        <w:br w:type="page"/>
      </w:r>
    </w:p>
    <w:p w14:paraId="50C86F05" w14:textId="638F4774" w:rsidR="008D5296" w:rsidRPr="00D52093" w:rsidRDefault="00000000" w:rsidP="00964259">
      <w:pPr>
        <w:pStyle w:val="Heading1"/>
        <w:spacing w:line="360" w:lineRule="auto"/>
        <w:jc w:val="center"/>
        <w:rPr>
          <w:rFonts w:ascii="Times New Roman" w:hAnsi="Times New Roman" w:cs="Times New Roman"/>
          <w:color w:val="7030A0"/>
          <w:sz w:val="36"/>
          <w:szCs w:val="36"/>
        </w:rPr>
      </w:pPr>
      <w:bookmarkStart w:id="13" w:name="_Toc227830397"/>
      <w:r w:rsidRPr="00D52093">
        <w:rPr>
          <w:rFonts w:ascii="Times New Roman" w:hAnsi="Times New Roman" w:cs="Times New Roman"/>
          <w:color w:val="7030A0"/>
          <w:sz w:val="36"/>
          <w:szCs w:val="36"/>
        </w:rPr>
        <w:lastRenderedPageBreak/>
        <w:t>7. Conclusion</w:t>
      </w:r>
      <w:bookmarkEnd w:id="13"/>
    </w:p>
    <w:p w14:paraId="3457E90F" w14:textId="77777777" w:rsidR="008D5296" w:rsidRPr="00A3302D" w:rsidRDefault="00000000" w:rsidP="00964259">
      <w:pPr>
        <w:spacing w:after="160" w:line="360" w:lineRule="auto"/>
        <w:jc w:val="both"/>
        <w:rPr>
          <w:rFonts w:ascii="Times New Roman" w:hAnsi="Times New Roman" w:cs="Times New Roman"/>
          <w:color w:val="7030A0"/>
        </w:rPr>
      </w:pPr>
      <w:r w:rsidRPr="00A3302D">
        <w:rPr>
          <w:rFonts w:ascii="Times New Roman" w:hAnsi="Times New Roman" w:cs="Times New Roman"/>
          <w:color w:val="7030A0"/>
        </w:rPr>
        <w:t>This report has examined Bluestone National Park Resort as a case study for understanding how harmony principles can underpin responsible business. The evidence supports the conclusion that Bluestone represents a credible and substantive expression of harmonic business practice, grounded in a founding vision of ecological regeneration, community benefit, and employee ownership sustained over nearly two decades. Its circular economy programme, decarbonisation trajectory, biodiversity net gain, and local economic investments collectively reflect the interconnectedness and regenerative intent that define harmony in responsible business.</w:t>
      </w:r>
    </w:p>
    <w:p w14:paraId="2B94C0EA" w14:textId="77777777" w:rsidR="008D5296" w:rsidRPr="00A3302D" w:rsidRDefault="00000000" w:rsidP="00964259">
      <w:pPr>
        <w:spacing w:after="160" w:line="360" w:lineRule="auto"/>
        <w:jc w:val="both"/>
        <w:rPr>
          <w:rFonts w:ascii="Times New Roman" w:hAnsi="Times New Roman" w:cs="Times New Roman"/>
          <w:color w:val="7030A0"/>
        </w:rPr>
      </w:pPr>
      <w:r w:rsidRPr="00A3302D">
        <w:rPr>
          <w:rFonts w:ascii="Times New Roman" w:hAnsi="Times New Roman" w:cs="Times New Roman"/>
          <w:color w:val="7030A0"/>
        </w:rPr>
        <w:t xml:space="preserve">The analysis has also identified where the harmony narrative is structurally incomplete. The omission of Scope 3 emissions from the net zero strategy, the absence of SBTi verification, the limited transparency of the Bluestone Foundation’s governance, the minority nature of employee ownership, and the failure to publish a materiality assessment or SDG alignment statement are not peripheral gaps. They locate Bluestone, on </w:t>
      </w:r>
      <w:proofErr w:type="spellStart"/>
      <w:r w:rsidRPr="00A3302D">
        <w:rPr>
          <w:rFonts w:ascii="Times New Roman" w:hAnsi="Times New Roman" w:cs="Times New Roman"/>
          <w:color w:val="7030A0"/>
        </w:rPr>
        <w:t>Dyllick</w:t>
      </w:r>
      <w:proofErr w:type="spellEnd"/>
      <w:r w:rsidRPr="00A3302D">
        <w:rPr>
          <w:rFonts w:ascii="Times New Roman" w:hAnsi="Times New Roman" w:cs="Times New Roman"/>
          <w:color w:val="7030A0"/>
        </w:rPr>
        <w:t xml:space="preserve"> and Muff’s (2016) typology, as an advanced 2.0 organisation rather than the 3.0 genuinely sustainable business that its narrative implies. These limitations do not diminish the resort’s achievements, but they define the distance that remains.</w:t>
      </w:r>
    </w:p>
    <w:p w14:paraId="04B98A08" w14:textId="77777777" w:rsidR="008D5296" w:rsidRPr="00A3302D" w:rsidRDefault="00000000" w:rsidP="00964259">
      <w:pPr>
        <w:spacing w:after="160" w:line="360" w:lineRule="auto"/>
        <w:jc w:val="both"/>
        <w:rPr>
          <w:rFonts w:ascii="Times New Roman" w:hAnsi="Times New Roman" w:cs="Times New Roman"/>
          <w:color w:val="7030A0"/>
        </w:rPr>
      </w:pPr>
      <w:r w:rsidRPr="00A3302D">
        <w:rPr>
          <w:rFonts w:ascii="Times New Roman" w:hAnsi="Times New Roman" w:cs="Times New Roman"/>
          <w:color w:val="7030A0"/>
        </w:rPr>
        <w:t xml:space="preserve">Bluestone’s case demonstrates that harmony in business is achievable at commercial scale, </w:t>
      </w:r>
      <w:proofErr w:type="gramStart"/>
      <w:r w:rsidRPr="00A3302D">
        <w:rPr>
          <w:rFonts w:ascii="Times New Roman" w:hAnsi="Times New Roman" w:cs="Times New Roman"/>
          <w:color w:val="7030A0"/>
        </w:rPr>
        <w:t>provided that</w:t>
      </w:r>
      <w:proofErr w:type="gramEnd"/>
      <w:r w:rsidRPr="00A3302D">
        <w:rPr>
          <w:rFonts w:ascii="Times New Roman" w:hAnsi="Times New Roman" w:cs="Times New Roman"/>
          <w:color w:val="7030A0"/>
        </w:rPr>
        <w:t xml:space="preserve"> sustainability is embedded in ownership structures, operational decision-making, and long-term strategy rather than appended to existing commercial logic. For the tourism industry — one of the most significant contributors to global carbon emissions and one of the most powerful instruments of local economic development — this model carries implications beyond Pembrokeshire. However, those implications will only be fully realisable when the model’s remaining structural gaps are addressed with the same rigour that characterises its operational achievements.</w:t>
      </w:r>
    </w:p>
    <w:p w14:paraId="7A323653" w14:textId="77777777" w:rsidR="00D52093" w:rsidRDefault="00D52093" w:rsidP="00964259">
      <w:pPr>
        <w:spacing w:line="360" w:lineRule="auto"/>
        <w:rPr>
          <w:rFonts w:ascii="Times New Roman" w:hAnsi="Times New Roman" w:cs="Times New Roman"/>
          <w:b/>
          <w:bCs/>
          <w:color w:val="7030A0"/>
          <w:sz w:val="28"/>
          <w:szCs w:val="28"/>
        </w:rPr>
      </w:pPr>
      <w:r>
        <w:rPr>
          <w:rFonts w:ascii="Times New Roman" w:hAnsi="Times New Roman" w:cs="Times New Roman"/>
          <w:color w:val="7030A0"/>
        </w:rPr>
        <w:br w:type="page"/>
      </w:r>
    </w:p>
    <w:p w14:paraId="5CF11126" w14:textId="5F8E8932" w:rsidR="008D5296" w:rsidRPr="00D52093" w:rsidRDefault="00000000" w:rsidP="00D52093">
      <w:pPr>
        <w:pStyle w:val="Heading1"/>
        <w:spacing w:line="360" w:lineRule="auto"/>
        <w:jc w:val="center"/>
        <w:rPr>
          <w:rFonts w:ascii="Times New Roman" w:hAnsi="Times New Roman" w:cs="Times New Roman"/>
          <w:color w:val="7030A0"/>
          <w:sz w:val="36"/>
          <w:szCs w:val="36"/>
        </w:rPr>
      </w:pPr>
      <w:bookmarkStart w:id="14" w:name="_Toc227830398"/>
      <w:r w:rsidRPr="00D52093">
        <w:rPr>
          <w:rFonts w:ascii="Times New Roman" w:hAnsi="Times New Roman" w:cs="Times New Roman"/>
          <w:color w:val="7030A0"/>
          <w:sz w:val="36"/>
          <w:szCs w:val="36"/>
        </w:rPr>
        <w:lastRenderedPageBreak/>
        <w:t>References</w:t>
      </w:r>
      <w:bookmarkEnd w:id="14"/>
    </w:p>
    <w:p w14:paraId="272BBA25" w14:textId="77777777" w:rsidR="008D5296" w:rsidRPr="00A3302D" w:rsidRDefault="00000000" w:rsidP="00D52093">
      <w:pPr>
        <w:spacing w:after="120" w:line="360" w:lineRule="auto"/>
        <w:ind w:left="720" w:hanging="720"/>
        <w:rPr>
          <w:rFonts w:ascii="Times New Roman" w:hAnsi="Times New Roman" w:cs="Times New Roman"/>
          <w:color w:val="7030A0"/>
        </w:rPr>
      </w:pPr>
      <w:r w:rsidRPr="00A3302D">
        <w:rPr>
          <w:rFonts w:ascii="Times New Roman" w:hAnsi="Times New Roman" w:cs="Times New Roman"/>
          <w:color w:val="7030A0"/>
          <w:sz w:val="22"/>
          <w:szCs w:val="22"/>
        </w:rPr>
        <w:t>Blasi, J. R., Freeman, R. B., &amp; Kruse, D. L. (2013). The citizen’s share: Putting ownership back into democracy. Yale University Press.</w:t>
      </w:r>
    </w:p>
    <w:p w14:paraId="5390E107" w14:textId="77777777" w:rsidR="008D5296" w:rsidRPr="00A3302D" w:rsidRDefault="00000000" w:rsidP="00D52093">
      <w:pPr>
        <w:spacing w:after="120" w:line="360" w:lineRule="auto"/>
        <w:ind w:left="720" w:hanging="720"/>
        <w:rPr>
          <w:rFonts w:ascii="Times New Roman" w:hAnsi="Times New Roman" w:cs="Times New Roman"/>
          <w:color w:val="7030A0"/>
        </w:rPr>
      </w:pPr>
      <w:r w:rsidRPr="00A3302D">
        <w:rPr>
          <w:rFonts w:ascii="Times New Roman" w:hAnsi="Times New Roman" w:cs="Times New Roman"/>
          <w:color w:val="7030A0"/>
          <w:sz w:val="22"/>
          <w:szCs w:val="22"/>
        </w:rPr>
        <w:t>Bluestone Wales. (2025a). Sustainability: Our commitment and strategy. Bluestone National Park Resort. https://www.bluestonewales.com/sustainability</w:t>
      </w:r>
    </w:p>
    <w:p w14:paraId="78159D3C" w14:textId="77777777" w:rsidR="008D5296" w:rsidRPr="00A3302D" w:rsidRDefault="00000000" w:rsidP="00D52093">
      <w:pPr>
        <w:spacing w:after="120" w:line="360" w:lineRule="auto"/>
        <w:ind w:left="720" w:hanging="720"/>
        <w:rPr>
          <w:rFonts w:ascii="Times New Roman" w:hAnsi="Times New Roman" w:cs="Times New Roman"/>
          <w:color w:val="7030A0"/>
        </w:rPr>
      </w:pPr>
      <w:r w:rsidRPr="00A3302D">
        <w:rPr>
          <w:rFonts w:ascii="Times New Roman" w:hAnsi="Times New Roman" w:cs="Times New Roman"/>
          <w:color w:val="7030A0"/>
          <w:sz w:val="22"/>
          <w:szCs w:val="22"/>
        </w:rPr>
        <w:t>Bluestone Wales. (2025b). Nature regeneration. Bluestone National Park Resort. https://www.bluestonewales.com/sustainability/nature-regeneration</w:t>
      </w:r>
    </w:p>
    <w:p w14:paraId="703E02E0" w14:textId="77777777" w:rsidR="008D5296" w:rsidRPr="00A3302D" w:rsidRDefault="00000000" w:rsidP="00D52093">
      <w:pPr>
        <w:spacing w:after="120" w:line="360" w:lineRule="auto"/>
        <w:ind w:left="720" w:hanging="720"/>
        <w:rPr>
          <w:rFonts w:ascii="Times New Roman" w:hAnsi="Times New Roman" w:cs="Times New Roman"/>
          <w:color w:val="7030A0"/>
        </w:rPr>
      </w:pPr>
      <w:r w:rsidRPr="00A3302D">
        <w:rPr>
          <w:rFonts w:ascii="Times New Roman" w:hAnsi="Times New Roman" w:cs="Times New Roman"/>
          <w:color w:val="7030A0"/>
          <w:sz w:val="22"/>
          <w:szCs w:val="22"/>
        </w:rPr>
        <w:t>Bluestone Wales. (2025c). Net zero 2040. Bluestone National Park Resort. https://www.bluestonewales.com/sustainability/net-zero-2040</w:t>
      </w:r>
    </w:p>
    <w:p w14:paraId="160143CA" w14:textId="77777777" w:rsidR="008D5296" w:rsidRPr="00A3302D" w:rsidRDefault="00000000" w:rsidP="00D52093">
      <w:pPr>
        <w:spacing w:after="120" w:line="360" w:lineRule="auto"/>
        <w:ind w:left="720" w:hanging="720"/>
        <w:rPr>
          <w:rFonts w:ascii="Times New Roman" w:hAnsi="Times New Roman" w:cs="Times New Roman"/>
          <w:color w:val="7030A0"/>
        </w:rPr>
      </w:pPr>
      <w:r w:rsidRPr="00A3302D">
        <w:rPr>
          <w:rFonts w:ascii="Times New Roman" w:hAnsi="Times New Roman" w:cs="Times New Roman"/>
          <w:color w:val="7030A0"/>
          <w:sz w:val="22"/>
          <w:szCs w:val="22"/>
        </w:rPr>
        <w:t>Bluestone Wales. (2025d). Circular economy. Bluestone National Park Resort. https://www.bluestonewales.com/sustainability/circular-economy</w:t>
      </w:r>
    </w:p>
    <w:p w14:paraId="49924BF6" w14:textId="77777777" w:rsidR="008D5296" w:rsidRPr="00A3302D" w:rsidRDefault="00000000" w:rsidP="00D52093">
      <w:pPr>
        <w:spacing w:after="120" w:line="360" w:lineRule="auto"/>
        <w:ind w:left="720" w:hanging="720"/>
        <w:rPr>
          <w:rFonts w:ascii="Times New Roman" w:hAnsi="Times New Roman" w:cs="Times New Roman"/>
          <w:color w:val="7030A0"/>
        </w:rPr>
      </w:pPr>
      <w:r w:rsidRPr="00A3302D">
        <w:rPr>
          <w:rFonts w:ascii="Times New Roman" w:hAnsi="Times New Roman" w:cs="Times New Roman"/>
          <w:color w:val="7030A0"/>
          <w:sz w:val="22"/>
          <w:szCs w:val="22"/>
        </w:rPr>
        <w:t>Bluestone Wales. (2025e). Community. Bluestone National Park Resort. https://www.bluestonewales.com/sustainability/community</w:t>
      </w:r>
    </w:p>
    <w:p w14:paraId="0C790352" w14:textId="77777777" w:rsidR="008D5296" w:rsidRPr="00A3302D" w:rsidRDefault="00000000" w:rsidP="00D52093">
      <w:pPr>
        <w:spacing w:after="120" w:line="360" w:lineRule="auto"/>
        <w:ind w:left="720" w:hanging="720"/>
        <w:rPr>
          <w:rFonts w:ascii="Times New Roman" w:hAnsi="Times New Roman" w:cs="Times New Roman"/>
          <w:color w:val="7030A0"/>
        </w:rPr>
      </w:pPr>
      <w:r w:rsidRPr="00A3302D">
        <w:rPr>
          <w:rFonts w:ascii="Times New Roman" w:hAnsi="Times New Roman" w:cs="Times New Roman"/>
          <w:color w:val="7030A0"/>
          <w:sz w:val="22"/>
          <w:szCs w:val="22"/>
        </w:rPr>
        <w:t>Brundtland Commission. (1987). Our common future: Report of the World Commission on Environment and Development. Oxford University Press.</w:t>
      </w:r>
    </w:p>
    <w:p w14:paraId="19812A4C" w14:textId="77777777" w:rsidR="008D5296" w:rsidRPr="00A3302D" w:rsidRDefault="00000000" w:rsidP="00D52093">
      <w:pPr>
        <w:spacing w:after="120" w:line="360" w:lineRule="auto"/>
        <w:ind w:left="720" w:hanging="720"/>
        <w:rPr>
          <w:rFonts w:ascii="Times New Roman" w:hAnsi="Times New Roman" w:cs="Times New Roman"/>
          <w:color w:val="7030A0"/>
        </w:rPr>
      </w:pPr>
      <w:r w:rsidRPr="00A3302D">
        <w:rPr>
          <w:rFonts w:ascii="Times New Roman" w:hAnsi="Times New Roman" w:cs="Times New Roman"/>
          <w:color w:val="7030A0"/>
          <w:sz w:val="22"/>
          <w:szCs w:val="22"/>
        </w:rPr>
        <w:t>Capra, F. (1996). The web of life: A new scientific understanding of living systems. Anchor Books.</w:t>
      </w:r>
    </w:p>
    <w:p w14:paraId="0B40605B" w14:textId="77777777" w:rsidR="008D5296" w:rsidRPr="00A3302D" w:rsidRDefault="00000000" w:rsidP="00D52093">
      <w:pPr>
        <w:spacing w:after="120" w:line="360" w:lineRule="auto"/>
        <w:ind w:left="720" w:hanging="720"/>
        <w:rPr>
          <w:rFonts w:ascii="Times New Roman" w:hAnsi="Times New Roman" w:cs="Times New Roman"/>
          <w:color w:val="7030A0"/>
        </w:rPr>
      </w:pPr>
      <w:r w:rsidRPr="00A3302D">
        <w:rPr>
          <w:rFonts w:ascii="Times New Roman" w:hAnsi="Times New Roman" w:cs="Times New Roman"/>
          <w:color w:val="7030A0"/>
          <w:sz w:val="22"/>
          <w:szCs w:val="22"/>
        </w:rPr>
        <w:t>Carroll, A. B. (1991). The pyramid of corporate social responsibility: Toward the moral management of organizational stakeholders. Business Horizons, 34(4), 39–48. https://doi.org/10.1016/0007-6813(91)90005-G</w:t>
      </w:r>
    </w:p>
    <w:p w14:paraId="3FBD461F" w14:textId="77777777" w:rsidR="008D5296" w:rsidRPr="00A3302D" w:rsidRDefault="00000000" w:rsidP="00D52093">
      <w:pPr>
        <w:spacing w:after="120" w:line="360" w:lineRule="auto"/>
        <w:ind w:left="720" w:hanging="720"/>
        <w:rPr>
          <w:rFonts w:ascii="Times New Roman" w:hAnsi="Times New Roman" w:cs="Times New Roman"/>
          <w:color w:val="7030A0"/>
        </w:rPr>
      </w:pPr>
      <w:r w:rsidRPr="00A3302D">
        <w:rPr>
          <w:rFonts w:ascii="Times New Roman" w:hAnsi="Times New Roman" w:cs="Times New Roman"/>
          <w:color w:val="7030A0"/>
          <w:sz w:val="22"/>
          <w:szCs w:val="22"/>
        </w:rPr>
        <w:t>Crane, A., &amp; Matten, D. (2016). Business ethics: Managing corporate citizenship and sustainability in the age of globalisation (4th ed.). Oxford University Press.</w:t>
      </w:r>
    </w:p>
    <w:p w14:paraId="5B37DC8A" w14:textId="77777777" w:rsidR="008D5296" w:rsidRPr="00A3302D" w:rsidRDefault="00000000" w:rsidP="00D52093">
      <w:pPr>
        <w:spacing w:after="120" w:line="360" w:lineRule="auto"/>
        <w:ind w:left="720" w:hanging="720"/>
        <w:rPr>
          <w:rFonts w:ascii="Times New Roman" w:hAnsi="Times New Roman" w:cs="Times New Roman"/>
          <w:color w:val="7030A0"/>
        </w:rPr>
      </w:pPr>
      <w:r w:rsidRPr="00A3302D">
        <w:rPr>
          <w:rFonts w:ascii="Times New Roman" w:hAnsi="Times New Roman" w:cs="Times New Roman"/>
          <w:color w:val="7030A0"/>
          <w:sz w:val="22"/>
          <w:szCs w:val="22"/>
        </w:rPr>
        <w:t>Dyllick, T., &amp; Muff, K. (2016). Clarifying the meaning of sustainable business: Introducing a typology from business-as-usual to true business sustainability. Organization &amp; Environment, 29(2), 156–174. https://doi.org/10.1177/1086026615575176</w:t>
      </w:r>
    </w:p>
    <w:p w14:paraId="09148CB4" w14:textId="77777777" w:rsidR="008D5296" w:rsidRPr="00A3302D" w:rsidRDefault="00000000" w:rsidP="00D52093">
      <w:pPr>
        <w:spacing w:after="120" w:line="360" w:lineRule="auto"/>
        <w:ind w:left="720" w:hanging="720"/>
        <w:rPr>
          <w:rFonts w:ascii="Times New Roman" w:hAnsi="Times New Roman" w:cs="Times New Roman"/>
          <w:color w:val="7030A0"/>
        </w:rPr>
      </w:pPr>
      <w:r w:rsidRPr="00A3302D">
        <w:rPr>
          <w:rFonts w:ascii="Times New Roman" w:hAnsi="Times New Roman" w:cs="Times New Roman"/>
          <w:color w:val="7030A0"/>
          <w:sz w:val="22"/>
          <w:szCs w:val="22"/>
        </w:rPr>
        <w:t>Elkington, J. (1997). Cannibals with forks: The triple bottom line of 21st century business. Capstone.</w:t>
      </w:r>
    </w:p>
    <w:p w14:paraId="74667E73" w14:textId="77777777" w:rsidR="008D5296" w:rsidRPr="00A3302D" w:rsidRDefault="00000000" w:rsidP="00D52093">
      <w:pPr>
        <w:spacing w:after="120" w:line="360" w:lineRule="auto"/>
        <w:ind w:left="720" w:hanging="720"/>
        <w:rPr>
          <w:rFonts w:ascii="Times New Roman" w:hAnsi="Times New Roman" w:cs="Times New Roman"/>
          <w:color w:val="7030A0"/>
        </w:rPr>
      </w:pPr>
      <w:r w:rsidRPr="00A3302D">
        <w:rPr>
          <w:rFonts w:ascii="Times New Roman" w:hAnsi="Times New Roman" w:cs="Times New Roman"/>
          <w:color w:val="7030A0"/>
          <w:sz w:val="22"/>
          <w:szCs w:val="22"/>
        </w:rPr>
        <w:t>Ellen MacArthur Foundation. (2013). Towards the circular economy: Economic and business rationale for an accelerated transition. Ellen MacArthur Foundation. https://www.ellenmacarthurfoundation.org/towards-the-circular-economy</w:t>
      </w:r>
    </w:p>
    <w:p w14:paraId="1B0DF04D" w14:textId="77777777" w:rsidR="008D5296" w:rsidRPr="00A3302D" w:rsidRDefault="00000000" w:rsidP="00D52093">
      <w:pPr>
        <w:spacing w:after="120" w:line="360" w:lineRule="auto"/>
        <w:ind w:left="720" w:hanging="720"/>
        <w:rPr>
          <w:rFonts w:ascii="Times New Roman" w:hAnsi="Times New Roman" w:cs="Times New Roman"/>
          <w:color w:val="7030A0"/>
        </w:rPr>
      </w:pPr>
      <w:r w:rsidRPr="00A3302D">
        <w:rPr>
          <w:rFonts w:ascii="Times New Roman" w:hAnsi="Times New Roman" w:cs="Times New Roman"/>
          <w:color w:val="7030A0"/>
          <w:sz w:val="22"/>
          <w:szCs w:val="22"/>
        </w:rPr>
        <w:t>Freeman, R. E. (1984). Strategic management: A stakeholder approach. Pitman.</w:t>
      </w:r>
    </w:p>
    <w:p w14:paraId="00C86A75" w14:textId="77777777" w:rsidR="008D5296" w:rsidRPr="00A3302D" w:rsidRDefault="00000000" w:rsidP="00D52093">
      <w:pPr>
        <w:spacing w:after="120" w:line="360" w:lineRule="auto"/>
        <w:ind w:left="720" w:hanging="720"/>
        <w:rPr>
          <w:rFonts w:ascii="Times New Roman" w:hAnsi="Times New Roman" w:cs="Times New Roman"/>
          <w:color w:val="7030A0"/>
        </w:rPr>
      </w:pPr>
      <w:r w:rsidRPr="00A3302D">
        <w:rPr>
          <w:rFonts w:ascii="Times New Roman" w:hAnsi="Times New Roman" w:cs="Times New Roman"/>
          <w:color w:val="7030A0"/>
          <w:sz w:val="22"/>
          <w:szCs w:val="22"/>
        </w:rPr>
        <w:t>Global Reporting Initiative. (2021). GRI universal standards 2021. GRI. https://www.globalreporting.org/standards/</w:t>
      </w:r>
    </w:p>
    <w:p w14:paraId="23A8ABA0" w14:textId="77777777" w:rsidR="008D5296" w:rsidRPr="00A3302D" w:rsidRDefault="00000000" w:rsidP="00D52093">
      <w:pPr>
        <w:spacing w:after="120" w:line="360" w:lineRule="auto"/>
        <w:ind w:left="720" w:hanging="720"/>
        <w:rPr>
          <w:rFonts w:ascii="Times New Roman" w:hAnsi="Times New Roman" w:cs="Times New Roman"/>
          <w:color w:val="7030A0"/>
        </w:rPr>
      </w:pPr>
      <w:r w:rsidRPr="00A3302D">
        <w:rPr>
          <w:rFonts w:ascii="Times New Roman" w:hAnsi="Times New Roman" w:cs="Times New Roman"/>
          <w:color w:val="7030A0"/>
          <w:sz w:val="22"/>
          <w:szCs w:val="22"/>
        </w:rPr>
        <w:lastRenderedPageBreak/>
        <w:t>HRH The Prince of Wales, Juniper, T., &amp; Skelly, I. (2010). Harmony: A new way of looking at our world. Blue Door.</w:t>
      </w:r>
    </w:p>
    <w:p w14:paraId="18CCD78B" w14:textId="77777777" w:rsidR="008D5296" w:rsidRPr="00A3302D" w:rsidRDefault="00000000" w:rsidP="00D52093">
      <w:pPr>
        <w:spacing w:after="120" w:line="360" w:lineRule="auto"/>
        <w:ind w:left="720" w:hanging="720"/>
        <w:rPr>
          <w:rFonts w:ascii="Times New Roman" w:hAnsi="Times New Roman" w:cs="Times New Roman"/>
          <w:color w:val="7030A0"/>
        </w:rPr>
      </w:pPr>
      <w:r w:rsidRPr="00A3302D">
        <w:rPr>
          <w:rFonts w:ascii="Times New Roman" w:hAnsi="Times New Roman" w:cs="Times New Roman"/>
          <w:color w:val="7030A0"/>
          <w:sz w:val="22"/>
          <w:szCs w:val="22"/>
        </w:rPr>
        <w:t>International Council on Clean Transportation (ICCT). (2023). The land use change emissions of biofuels: Reviewing the evidence. ICCT. https://theicct.org/publication/the-land-use-change-emissions-of-biofuels-reviewing-the-evidence/</w:t>
      </w:r>
    </w:p>
    <w:p w14:paraId="0575BA3E" w14:textId="77777777" w:rsidR="008D5296" w:rsidRPr="00A3302D" w:rsidRDefault="00000000" w:rsidP="00D52093">
      <w:pPr>
        <w:spacing w:after="120" w:line="360" w:lineRule="auto"/>
        <w:ind w:left="720" w:hanging="720"/>
        <w:rPr>
          <w:rFonts w:ascii="Times New Roman" w:hAnsi="Times New Roman" w:cs="Times New Roman"/>
          <w:color w:val="7030A0"/>
        </w:rPr>
      </w:pPr>
      <w:r w:rsidRPr="00A3302D">
        <w:rPr>
          <w:rFonts w:ascii="Times New Roman" w:hAnsi="Times New Roman" w:cs="Times New Roman"/>
          <w:color w:val="7030A0"/>
          <w:sz w:val="22"/>
          <w:szCs w:val="22"/>
        </w:rPr>
        <w:t>Porter, M. E., &amp; Kramer, M. R. (2011). Creating shared value. Harvard Business Review, 89(1/2), 62–77. https://hbr.org/2011/01/the-big-idea-creating-shared-value</w:t>
      </w:r>
    </w:p>
    <w:p w14:paraId="107683FA" w14:textId="77777777" w:rsidR="008D5296" w:rsidRPr="00A3302D" w:rsidRDefault="00000000" w:rsidP="00D52093">
      <w:pPr>
        <w:spacing w:after="120" w:line="360" w:lineRule="auto"/>
        <w:ind w:left="720" w:hanging="720"/>
        <w:rPr>
          <w:rFonts w:ascii="Times New Roman" w:hAnsi="Times New Roman" w:cs="Times New Roman"/>
          <w:color w:val="7030A0"/>
        </w:rPr>
      </w:pPr>
      <w:r w:rsidRPr="00A3302D">
        <w:rPr>
          <w:rFonts w:ascii="Times New Roman" w:hAnsi="Times New Roman" w:cs="Times New Roman"/>
          <w:color w:val="7030A0"/>
          <w:sz w:val="22"/>
          <w:szCs w:val="22"/>
        </w:rPr>
        <w:t>Stats Wales. (2023). Relative deprivation index for Wales: Welsh Index of Multiple Deprivation. Welsh Government. https://statswales.gov.wales/Catalogue/Community-Safety-and-Social-Inclusion/Welsh-Index-of-Multiple-Deprivation</w:t>
      </w:r>
    </w:p>
    <w:p w14:paraId="2DB1C66E" w14:textId="77777777" w:rsidR="008D5296" w:rsidRPr="00A3302D" w:rsidRDefault="00000000" w:rsidP="00D52093">
      <w:pPr>
        <w:spacing w:after="120" w:line="360" w:lineRule="auto"/>
        <w:ind w:left="720" w:hanging="720"/>
        <w:rPr>
          <w:rFonts w:ascii="Times New Roman" w:hAnsi="Times New Roman" w:cs="Times New Roman"/>
          <w:color w:val="7030A0"/>
        </w:rPr>
      </w:pPr>
      <w:r w:rsidRPr="00A3302D">
        <w:rPr>
          <w:rFonts w:ascii="Times New Roman" w:hAnsi="Times New Roman" w:cs="Times New Roman"/>
          <w:color w:val="7030A0"/>
          <w:sz w:val="22"/>
          <w:szCs w:val="22"/>
        </w:rPr>
        <w:t>Tourism Alliance. (2022). Tourism and transport: Decarbonising visitor travel to UK destinations. Tourism Alliance. https://www.tourismalliance.com/</w:t>
      </w:r>
    </w:p>
    <w:p w14:paraId="1816396D" w14:textId="77777777" w:rsidR="008D5296" w:rsidRPr="00A3302D" w:rsidRDefault="00000000" w:rsidP="00D52093">
      <w:pPr>
        <w:spacing w:after="120" w:line="360" w:lineRule="auto"/>
        <w:ind w:left="720" w:hanging="720"/>
        <w:rPr>
          <w:rFonts w:ascii="Times New Roman" w:hAnsi="Times New Roman" w:cs="Times New Roman"/>
          <w:color w:val="7030A0"/>
        </w:rPr>
      </w:pPr>
      <w:r w:rsidRPr="00A3302D">
        <w:rPr>
          <w:rFonts w:ascii="Times New Roman" w:hAnsi="Times New Roman" w:cs="Times New Roman"/>
          <w:color w:val="7030A0"/>
          <w:sz w:val="22"/>
          <w:szCs w:val="22"/>
        </w:rPr>
        <w:t>UK Government. (2012). Social Value Act 2012: Impact assessment. HM Government. https://www.gov.uk/government/publications/social-value-act-2012</w:t>
      </w:r>
    </w:p>
    <w:p w14:paraId="27A5C30F" w14:textId="77777777" w:rsidR="008D5296" w:rsidRPr="00A3302D" w:rsidRDefault="00000000" w:rsidP="00D52093">
      <w:pPr>
        <w:spacing w:after="120" w:line="360" w:lineRule="auto"/>
        <w:ind w:left="720" w:hanging="720"/>
        <w:rPr>
          <w:rFonts w:ascii="Times New Roman" w:hAnsi="Times New Roman" w:cs="Times New Roman"/>
          <w:color w:val="7030A0"/>
        </w:rPr>
      </w:pPr>
      <w:r w:rsidRPr="00A3302D">
        <w:rPr>
          <w:rFonts w:ascii="Times New Roman" w:hAnsi="Times New Roman" w:cs="Times New Roman"/>
          <w:color w:val="7030A0"/>
          <w:sz w:val="22"/>
          <w:szCs w:val="22"/>
        </w:rPr>
        <w:t>Wahl, D. C. (2016). Designing regenerative cultures. Triarchy Press.</w:t>
      </w:r>
    </w:p>
    <w:p w14:paraId="1D38D7FA" w14:textId="77777777" w:rsidR="008D5296" w:rsidRPr="00A3302D" w:rsidRDefault="00000000" w:rsidP="00D52093">
      <w:pPr>
        <w:spacing w:after="120" w:line="360" w:lineRule="auto"/>
        <w:ind w:left="720" w:hanging="720"/>
        <w:rPr>
          <w:rFonts w:ascii="Times New Roman" w:hAnsi="Times New Roman" w:cs="Times New Roman"/>
          <w:color w:val="7030A0"/>
        </w:rPr>
      </w:pPr>
      <w:r w:rsidRPr="00A3302D">
        <w:rPr>
          <w:rFonts w:ascii="Times New Roman" w:hAnsi="Times New Roman" w:cs="Times New Roman"/>
          <w:color w:val="7030A0"/>
          <w:sz w:val="22"/>
          <w:szCs w:val="22"/>
        </w:rPr>
        <w:t>Wales Co-operative Centre. (2022). The state of co-operative and employee-owned business in Wales. Wales Co-operative Centre. https://www.walescooperative.org/</w:t>
      </w:r>
    </w:p>
    <w:p w14:paraId="28C25286" w14:textId="08D7FD39" w:rsidR="008D5296" w:rsidRDefault="00000000" w:rsidP="00D52093">
      <w:pPr>
        <w:spacing w:after="120" w:line="360" w:lineRule="auto"/>
        <w:ind w:left="720" w:hanging="720"/>
        <w:rPr>
          <w:sz w:val="22"/>
          <w:szCs w:val="22"/>
        </w:rPr>
      </w:pPr>
      <w:r w:rsidRPr="00A3302D">
        <w:rPr>
          <w:rFonts w:ascii="Times New Roman" w:hAnsi="Times New Roman" w:cs="Times New Roman"/>
          <w:color w:val="7030A0"/>
          <w:sz w:val="22"/>
          <w:szCs w:val="22"/>
        </w:rPr>
        <w:t xml:space="preserve">Welsh Government. (2023). Second homes: Regulatory changes and their impact on housing affordability in Wales. Welsh Government. </w:t>
      </w:r>
      <w:hyperlink r:id="rId10" w:history="1">
        <w:r w:rsidR="00245709" w:rsidRPr="004827BC">
          <w:rPr>
            <w:rStyle w:val="Hyperlink"/>
            <w:rFonts w:ascii="Times New Roman" w:hAnsi="Times New Roman" w:cs="Times New Roman"/>
            <w:sz w:val="22"/>
            <w:szCs w:val="22"/>
          </w:rPr>
          <w:t>https://gov</w:t>
        </w:r>
        <w:r w:rsidR="00245709" w:rsidRPr="004827BC">
          <w:rPr>
            <w:rStyle w:val="Hyperlink"/>
            <w:sz w:val="22"/>
            <w:szCs w:val="22"/>
          </w:rPr>
          <w:t>.wales/second-homes</w:t>
        </w:r>
      </w:hyperlink>
    </w:p>
    <w:p w14:paraId="6BA3142B" w14:textId="77777777" w:rsidR="00245709" w:rsidRDefault="00245709" w:rsidP="00A3302D">
      <w:pPr>
        <w:spacing w:after="120" w:line="360" w:lineRule="auto"/>
        <w:ind w:left="720" w:hanging="720"/>
        <w:jc w:val="both"/>
        <w:rPr>
          <w:sz w:val="22"/>
          <w:szCs w:val="22"/>
        </w:rPr>
      </w:pPr>
    </w:p>
    <w:p w14:paraId="7B43D516" w14:textId="77777777" w:rsidR="00245709" w:rsidRDefault="00245709" w:rsidP="00A3302D">
      <w:pPr>
        <w:spacing w:after="120" w:line="360" w:lineRule="auto"/>
        <w:ind w:left="720" w:hanging="720"/>
        <w:jc w:val="both"/>
        <w:rPr>
          <w:sz w:val="22"/>
          <w:szCs w:val="22"/>
        </w:rPr>
      </w:pPr>
    </w:p>
    <w:p w14:paraId="22FEE696" w14:textId="77777777" w:rsidR="00245709" w:rsidRDefault="00245709" w:rsidP="00A3302D">
      <w:pPr>
        <w:spacing w:after="120" w:line="360" w:lineRule="auto"/>
        <w:ind w:left="720" w:hanging="720"/>
        <w:jc w:val="both"/>
        <w:rPr>
          <w:sz w:val="22"/>
          <w:szCs w:val="22"/>
        </w:rPr>
      </w:pPr>
    </w:p>
    <w:p w14:paraId="74F69AFC" w14:textId="57D154F6" w:rsidR="00245709" w:rsidRDefault="00245709" w:rsidP="00A3302D">
      <w:pPr>
        <w:spacing w:after="120" w:line="360" w:lineRule="auto"/>
        <w:ind w:left="720" w:hanging="720"/>
        <w:jc w:val="both"/>
      </w:pPr>
      <w:r w:rsidRPr="00245709">
        <w:t>https://sdgs.un.org/goals</w:t>
      </w:r>
    </w:p>
    <w:sectPr w:rsidR="00245709" w:rsidSect="00D52093">
      <w:pgSz w:w="11906" w:h="16838"/>
      <w:pgMar w:top="1440" w:right="1440" w:bottom="1440" w:left="1440" w:header="708" w:footer="708"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4F7845"/>
    <w:multiLevelType w:val="hybridMultilevel"/>
    <w:tmpl w:val="84D2D56E"/>
    <w:lvl w:ilvl="0" w:tplc="57D600A2">
      <w:start w:val="1"/>
      <w:numFmt w:val="bullet"/>
      <w:lvlText w:val="●"/>
      <w:lvlJc w:val="left"/>
      <w:pPr>
        <w:ind w:left="720" w:hanging="360"/>
      </w:pPr>
    </w:lvl>
    <w:lvl w:ilvl="1" w:tplc="C0889A70">
      <w:start w:val="1"/>
      <w:numFmt w:val="bullet"/>
      <w:lvlText w:val="○"/>
      <w:lvlJc w:val="left"/>
      <w:pPr>
        <w:ind w:left="1440" w:hanging="360"/>
      </w:pPr>
    </w:lvl>
    <w:lvl w:ilvl="2" w:tplc="33BE4DFC">
      <w:start w:val="1"/>
      <w:numFmt w:val="bullet"/>
      <w:lvlText w:val="■"/>
      <w:lvlJc w:val="left"/>
      <w:pPr>
        <w:ind w:left="2160" w:hanging="360"/>
      </w:pPr>
    </w:lvl>
    <w:lvl w:ilvl="3" w:tplc="2624A3D8">
      <w:start w:val="1"/>
      <w:numFmt w:val="bullet"/>
      <w:lvlText w:val="●"/>
      <w:lvlJc w:val="left"/>
      <w:pPr>
        <w:ind w:left="2880" w:hanging="360"/>
      </w:pPr>
    </w:lvl>
    <w:lvl w:ilvl="4" w:tplc="35AA3BD6">
      <w:start w:val="1"/>
      <w:numFmt w:val="bullet"/>
      <w:lvlText w:val="○"/>
      <w:lvlJc w:val="left"/>
      <w:pPr>
        <w:ind w:left="3600" w:hanging="360"/>
      </w:pPr>
    </w:lvl>
    <w:lvl w:ilvl="5" w:tplc="F30A8D14">
      <w:start w:val="1"/>
      <w:numFmt w:val="bullet"/>
      <w:lvlText w:val="■"/>
      <w:lvlJc w:val="left"/>
      <w:pPr>
        <w:ind w:left="4320" w:hanging="360"/>
      </w:pPr>
    </w:lvl>
    <w:lvl w:ilvl="6" w:tplc="CA2EBAD0">
      <w:start w:val="1"/>
      <w:numFmt w:val="bullet"/>
      <w:lvlText w:val="●"/>
      <w:lvlJc w:val="left"/>
      <w:pPr>
        <w:ind w:left="5040" w:hanging="360"/>
      </w:pPr>
    </w:lvl>
    <w:lvl w:ilvl="7" w:tplc="6C300590">
      <w:start w:val="1"/>
      <w:numFmt w:val="bullet"/>
      <w:lvlText w:val="●"/>
      <w:lvlJc w:val="left"/>
      <w:pPr>
        <w:ind w:left="5760" w:hanging="360"/>
      </w:pPr>
    </w:lvl>
    <w:lvl w:ilvl="8" w:tplc="C0145CEA">
      <w:start w:val="1"/>
      <w:numFmt w:val="bullet"/>
      <w:lvlText w:val="●"/>
      <w:lvlJc w:val="left"/>
      <w:pPr>
        <w:ind w:left="6480" w:hanging="360"/>
      </w:pPr>
    </w:lvl>
  </w:abstractNum>
  <w:num w:numId="1" w16cid:durableId="172663735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5296"/>
    <w:rsid w:val="00017900"/>
    <w:rsid w:val="00245709"/>
    <w:rsid w:val="002465E0"/>
    <w:rsid w:val="004006E4"/>
    <w:rsid w:val="004016FD"/>
    <w:rsid w:val="00420A8B"/>
    <w:rsid w:val="00430CB1"/>
    <w:rsid w:val="0045317F"/>
    <w:rsid w:val="0045681B"/>
    <w:rsid w:val="004720B5"/>
    <w:rsid w:val="00564AC7"/>
    <w:rsid w:val="005A1EE0"/>
    <w:rsid w:val="005C4D8B"/>
    <w:rsid w:val="006B107A"/>
    <w:rsid w:val="006D1CD2"/>
    <w:rsid w:val="007606E6"/>
    <w:rsid w:val="007A05B9"/>
    <w:rsid w:val="007F5A18"/>
    <w:rsid w:val="00843572"/>
    <w:rsid w:val="00845730"/>
    <w:rsid w:val="008479B3"/>
    <w:rsid w:val="00883A3F"/>
    <w:rsid w:val="00892BE2"/>
    <w:rsid w:val="008D5296"/>
    <w:rsid w:val="008D6CFF"/>
    <w:rsid w:val="009474A8"/>
    <w:rsid w:val="00964259"/>
    <w:rsid w:val="009D3B82"/>
    <w:rsid w:val="009F4264"/>
    <w:rsid w:val="00A3302D"/>
    <w:rsid w:val="00A9646A"/>
    <w:rsid w:val="00B71D33"/>
    <w:rsid w:val="00BC6D5A"/>
    <w:rsid w:val="00D52093"/>
    <w:rsid w:val="00D71B33"/>
    <w:rsid w:val="00D94D8B"/>
    <w:rsid w:val="00DE643F"/>
    <w:rsid w:val="00E351D6"/>
    <w:rsid w:val="00E72284"/>
    <w:rsid w:val="00E724FD"/>
    <w:rsid w:val="00E749CC"/>
    <w:rsid w:val="00EC1606"/>
    <w:rsid w:val="00F10165"/>
    <w:rsid w:val="00F42145"/>
    <w:rsid w:val="00F458BC"/>
    <w:rsid w:val="00FC31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66263"/>
  <w15:docId w15:val="{5F434EBF-386B-4F40-B8A0-3497D8641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outlineLvl w:val="0"/>
    </w:pPr>
    <w:rPr>
      <w:b/>
      <w:bCs/>
      <w:color w:val="1F3864"/>
      <w:sz w:val="28"/>
      <w:szCs w:val="28"/>
    </w:rPr>
  </w:style>
  <w:style w:type="paragraph" w:styleId="Heading2">
    <w:name w:val="heading 2"/>
    <w:uiPriority w:val="9"/>
    <w:unhideWhenUsed/>
    <w:qFormat/>
    <w:pPr>
      <w:spacing w:before="240" w:after="120"/>
      <w:outlineLvl w:val="1"/>
    </w:pPr>
    <w:rPr>
      <w:b/>
      <w:bCs/>
      <w:color w:val="2E5090"/>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245709"/>
    <w:rPr>
      <w:color w:val="605E5C"/>
      <w:shd w:val="clear" w:color="auto" w:fill="E1DFDD"/>
    </w:rPr>
  </w:style>
  <w:style w:type="paragraph" w:styleId="NoSpacing">
    <w:name w:val="No Spacing"/>
    <w:link w:val="NoSpacingChar"/>
    <w:uiPriority w:val="1"/>
    <w:qFormat/>
    <w:rsid w:val="00D52093"/>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D52093"/>
    <w:rPr>
      <w:rFonts w:asciiTheme="minorHAnsi" w:eastAsiaTheme="minorEastAsia" w:hAnsiTheme="minorHAnsi" w:cstheme="minorBidi"/>
      <w:sz w:val="22"/>
      <w:szCs w:val="22"/>
      <w:lang w:val="en-US" w:eastAsia="zh-CN"/>
    </w:rPr>
  </w:style>
  <w:style w:type="paragraph" w:styleId="TOCHeading">
    <w:name w:val="TOC Heading"/>
    <w:basedOn w:val="Heading1"/>
    <w:next w:val="Normal"/>
    <w:uiPriority w:val="39"/>
    <w:unhideWhenUsed/>
    <w:qFormat/>
    <w:rsid w:val="00D52093"/>
    <w:pPr>
      <w:keepNext/>
      <w:keepLines/>
      <w:spacing w:before="480" w:after="0" w:line="276" w:lineRule="auto"/>
      <w:outlineLvl w:val="9"/>
    </w:pPr>
    <w:rPr>
      <w:rFonts w:asciiTheme="majorHAnsi" w:eastAsiaTheme="majorEastAsia" w:hAnsiTheme="majorHAnsi" w:cstheme="majorBidi"/>
      <w:color w:val="0F4761" w:themeColor="accent1" w:themeShade="BF"/>
      <w:lang w:val="en-US" w:eastAsia="en-US"/>
    </w:rPr>
  </w:style>
  <w:style w:type="paragraph" w:styleId="TOC1">
    <w:name w:val="toc 1"/>
    <w:basedOn w:val="Normal"/>
    <w:next w:val="Normal"/>
    <w:autoRedefine/>
    <w:uiPriority w:val="39"/>
    <w:unhideWhenUsed/>
    <w:rsid w:val="00D52093"/>
    <w:pPr>
      <w:spacing w:before="120"/>
    </w:pPr>
    <w:rPr>
      <w:rFonts w:asciiTheme="minorHAnsi" w:hAnsiTheme="minorHAnsi"/>
      <w:b/>
      <w:bCs/>
      <w:i/>
      <w:iCs/>
    </w:rPr>
  </w:style>
  <w:style w:type="paragraph" w:styleId="TOC2">
    <w:name w:val="toc 2"/>
    <w:basedOn w:val="Normal"/>
    <w:next w:val="Normal"/>
    <w:autoRedefine/>
    <w:uiPriority w:val="39"/>
    <w:unhideWhenUsed/>
    <w:rsid w:val="00D52093"/>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D52093"/>
    <w:pPr>
      <w:ind w:left="480"/>
    </w:pPr>
    <w:rPr>
      <w:rFonts w:asciiTheme="minorHAnsi" w:hAnsiTheme="minorHAnsi"/>
      <w:sz w:val="20"/>
      <w:szCs w:val="20"/>
    </w:rPr>
  </w:style>
  <w:style w:type="paragraph" w:styleId="TOC4">
    <w:name w:val="toc 4"/>
    <w:basedOn w:val="Normal"/>
    <w:next w:val="Normal"/>
    <w:autoRedefine/>
    <w:uiPriority w:val="39"/>
    <w:semiHidden/>
    <w:unhideWhenUsed/>
    <w:rsid w:val="00D52093"/>
    <w:pPr>
      <w:ind w:left="720"/>
    </w:pPr>
    <w:rPr>
      <w:rFonts w:asciiTheme="minorHAnsi" w:hAnsiTheme="minorHAnsi"/>
      <w:sz w:val="20"/>
      <w:szCs w:val="20"/>
    </w:rPr>
  </w:style>
  <w:style w:type="paragraph" w:styleId="TOC5">
    <w:name w:val="toc 5"/>
    <w:basedOn w:val="Normal"/>
    <w:next w:val="Normal"/>
    <w:autoRedefine/>
    <w:uiPriority w:val="39"/>
    <w:semiHidden/>
    <w:unhideWhenUsed/>
    <w:rsid w:val="00D52093"/>
    <w:pPr>
      <w:ind w:left="960"/>
    </w:pPr>
    <w:rPr>
      <w:rFonts w:asciiTheme="minorHAnsi" w:hAnsiTheme="minorHAnsi"/>
      <w:sz w:val="20"/>
      <w:szCs w:val="20"/>
    </w:rPr>
  </w:style>
  <w:style w:type="paragraph" w:styleId="TOC6">
    <w:name w:val="toc 6"/>
    <w:basedOn w:val="Normal"/>
    <w:next w:val="Normal"/>
    <w:autoRedefine/>
    <w:uiPriority w:val="39"/>
    <w:semiHidden/>
    <w:unhideWhenUsed/>
    <w:rsid w:val="00D52093"/>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D52093"/>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D52093"/>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D52093"/>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gov.wales/second-homes" TargetMode="Externa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C2C70C-B073-4547-A8F0-A00377DD9F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14</Pages>
  <Words>3295</Words>
  <Characters>18788</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Harmony Principles in Responsible Business: A Case Study of Bluestone National Park Resort, Pembrokeshire</dc:title>
  <dc:creator>Un-named</dc:creator>
  <cp:lastModifiedBy>Taylor-Jayne Rowe (2507302)</cp:lastModifiedBy>
  <cp:revision>46</cp:revision>
  <dcterms:created xsi:type="dcterms:W3CDTF">2026-04-23T08:13:00Z</dcterms:created>
  <dcterms:modified xsi:type="dcterms:W3CDTF">2026-04-23T09:45:00Z</dcterms:modified>
</cp:coreProperties>
</file>