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Merriweather" w:cs="Merriweather" w:eastAsia="Merriweather" w:hAnsi="Merriweather"/>
          <w:sz w:val="28"/>
          <w:szCs w:val="28"/>
          <w:u w:val="single"/>
        </w:rPr>
      </w:pPr>
      <w:r w:rsidDel="00000000" w:rsidR="00000000" w:rsidRPr="00000000">
        <w:rPr>
          <w:rFonts w:ascii="Merriweather" w:cs="Merriweather" w:eastAsia="Merriweather" w:hAnsi="Merriweather"/>
          <w:sz w:val="28"/>
          <w:szCs w:val="28"/>
          <w:u w:val="single"/>
          <w:rtl w:val="0"/>
        </w:rPr>
        <w:t xml:space="preserve">On an extract of Fredrick Engels condition of the working class in England</w:t>
      </w:r>
      <w:r w:rsidDel="00000000" w:rsidR="00000000" w:rsidRPr="00000000">
        <w:rPr>
          <w:rFonts w:ascii="Merriweather" w:cs="Merriweather" w:eastAsia="Merriweather" w:hAnsi="Merriweather"/>
          <w:sz w:val="28"/>
          <w:szCs w:val="28"/>
          <w:u w:val="single"/>
          <w:vertAlign w:val="superscript"/>
        </w:rPr>
        <w:footnoteReference w:customMarkFollows="0" w:id="0"/>
      </w:r>
      <w:r w:rsidDel="00000000" w:rsidR="00000000" w:rsidRPr="00000000">
        <w:rPr>
          <w:rFonts w:ascii="Merriweather" w:cs="Merriweather" w:eastAsia="Merriweather" w:hAnsi="Merriweather"/>
          <w:sz w:val="28"/>
          <w:szCs w:val="28"/>
          <w:u w:val="single"/>
          <w:rtl w:val="0"/>
        </w:rPr>
        <w:t xml:space="preserve"> </w:t>
      </w:r>
    </w:p>
    <w:p w:rsidR="00000000" w:rsidDel="00000000" w:rsidP="00000000" w:rsidRDefault="00000000" w:rsidRPr="00000000" w14:paraId="00000002">
      <w:pPr>
        <w:rPr>
          <w:rFonts w:ascii="Merriweather" w:cs="Merriweather" w:eastAsia="Merriweather" w:hAnsi="Merriweather"/>
          <w:sz w:val="20"/>
          <w:szCs w:val="20"/>
        </w:rPr>
      </w:pPr>
      <w:r w:rsidDel="00000000" w:rsidR="00000000" w:rsidRPr="00000000">
        <w:rPr>
          <w:rtl w:val="0"/>
        </w:rPr>
      </w:r>
    </w:p>
    <w:p w:rsidR="00000000" w:rsidDel="00000000" w:rsidP="00000000" w:rsidRDefault="00000000" w:rsidRPr="00000000" w14:paraId="00000003">
      <w:pPr>
        <w:rPr>
          <w:rFonts w:ascii="Merriweather" w:cs="Merriweather" w:eastAsia="Merriweather" w:hAnsi="Merriweather"/>
          <w:sz w:val="20"/>
          <w:szCs w:val="20"/>
        </w:rPr>
      </w:pPr>
      <w:r w:rsidDel="00000000" w:rsidR="00000000" w:rsidRPr="00000000">
        <w:rPr>
          <w:rFonts w:ascii="Merriweather" w:cs="Merriweather" w:eastAsia="Merriweather" w:hAnsi="Merriweather"/>
          <w:sz w:val="20"/>
          <w:szCs w:val="20"/>
          <w:rtl w:val="0"/>
        </w:rPr>
        <w:t xml:space="preserve"> Engels firsts starts off by talking about Manchester and the surrounding towns in such a way that it sounds as if he is well acquainted with them, this suggests that he knows what his talking about like the back of his hand. This makes him seem very reliable and I am inclined to agree with what he says as he follows up with a detailed description of the class system in these towns based partly on how they live geographically,on this last point it appears as if they live in concentric circles at the very center of which is the industrial and commercial heart of the city and from there on out the further out you are the more likely you are to be in the Bourgeoise in the order of lower, middle and upper. He also talks about how the streets </w:t>
      </w:r>
      <w:r w:rsidDel="00000000" w:rsidR="00000000" w:rsidRPr="00000000">
        <w:rPr>
          <w:rFonts w:ascii="Merriweather" w:cs="Merriweather" w:eastAsia="Merriweather" w:hAnsi="Merriweather"/>
          <w:sz w:val="20"/>
          <w:szCs w:val="20"/>
          <w:rtl w:val="0"/>
        </w:rPr>
        <w:t xml:space="preserve">are such laid</w:t>
      </w:r>
      <w:r w:rsidDel="00000000" w:rsidR="00000000" w:rsidRPr="00000000">
        <w:rPr>
          <w:rFonts w:ascii="Merriweather" w:cs="Merriweather" w:eastAsia="Merriweather" w:hAnsi="Merriweather"/>
          <w:sz w:val="20"/>
          <w:szCs w:val="20"/>
          <w:rtl w:val="0"/>
        </w:rPr>
        <w:t xml:space="preserve"> out that the upper Bourgeoise can travel from their villas out in the countryside to the center of Manchestter without witnessing the abject poverty and the awful conditions that their workers abide in which Engels believed to be partly their fault, he also believed that this was systematic he states this directly when he says “I have never seen so systematic a shutting out of the working-class from the thoroughfares, so tender a concealment of everything which might affront the eye and the nerves of the bourgeoisie, as in Manchester”</w:t>
      </w:r>
      <w:r w:rsidDel="00000000" w:rsidR="00000000" w:rsidRPr="00000000">
        <w:rPr>
          <w:rFonts w:ascii="Merriweather" w:cs="Merriweather" w:eastAsia="Merriweather" w:hAnsi="Merriweather"/>
          <w:sz w:val="20"/>
          <w:szCs w:val="20"/>
          <w:vertAlign w:val="superscript"/>
        </w:rPr>
        <w:footnoteReference w:customMarkFollows="0" w:id="1"/>
      </w:r>
      <w:r w:rsidDel="00000000" w:rsidR="00000000" w:rsidRPr="00000000">
        <w:rPr>
          <w:rFonts w:ascii="Merriweather" w:cs="Merriweather" w:eastAsia="Merriweather" w:hAnsi="Merriweather"/>
          <w:sz w:val="20"/>
          <w:szCs w:val="20"/>
          <w:rtl w:val="0"/>
        </w:rPr>
        <w:t xml:space="preserve">. He suggests that it may be the nerves of the bourgeoisie that are part of the problem, this suggests that they fear what these conditions may hold in store for the future perhaps alluding to the fact that he believes it is conditions such as those in which the working class are living in will eventually lead to a revolution</w:t>
      </w:r>
      <w:r w:rsidDel="00000000" w:rsidR="00000000" w:rsidRPr="00000000">
        <w:rPr>
          <w:rFonts w:ascii="Merriweather" w:cs="Merriweather" w:eastAsia="Merriweather" w:hAnsi="Merriweather"/>
          <w:sz w:val="20"/>
          <w:szCs w:val="20"/>
          <w:vertAlign w:val="superscript"/>
        </w:rPr>
        <w:footnoteReference w:customMarkFollows="0" w:id="2"/>
      </w:r>
      <w:r w:rsidDel="00000000" w:rsidR="00000000" w:rsidRPr="00000000">
        <w:rPr>
          <w:rFonts w:ascii="Merriweather" w:cs="Merriweather" w:eastAsia="Merriweather" w:hAnsi="Merriweather"/>
          <w:sz w:val="20"/>
          <w:szCs w:val="20"/>
          <w:rtl w:val="0"/>
        </w:rPr>
        <w:t xml:space="preserve"> and as such the bourgeoisie may understand and fear this and as such are `burying their heads in the sand` in an attempt to ignore the situation for now and possibly do something about it later. This could also be an elusion to the build up to the French revolution where a lack of interaction , correspondence and action between those in power and those subject to that power, on this I think that Engels would say that the bourgeois know what is happening however they refuse to acknowledge their faults and problems as they fear what could happen. </w:t>
      </w:r>
    </w:p>
    <w:p w:rsidR="00000000" w:rsidDel="00000000" w:rsidP="00000000" w:rsidRDefault="00000000" w:rsidRPr="00000000" w14:paraId="00000004">
      <w:pPr>
        <w:rPr>
          <w:rFonts w:ascii="Merriweather" w:cs="Merriweather" w:eastAsia="Merriweather" w:hAnsi="Merriweather"/>
          <w:sz w:val="20"/>
          <w:szCs w:val="20"/>
        </w:rPr>
      </w:pPr>
      <w:r w:rsidDel="00000000" w:rsidR="00000000" w:rsidRPr="00000000">
        <w:rPr>
          <w:rtl w:val="0"/>
        </w:rPr>
      </w:r>
    </w:p>
    <w:p w:rsidR="00000000" w:rsidDel="00000000" w:rsidP="00000000" w:rsidRDefault="00000000" w:rsidRPr="00000000" w14:paraId="00000005">
      <w:pPr>
        <w:rPr>
          <w:rFonts w:ascii="Merriweather" w:cs="Merriweather" w:eastAsia="Merriweather" w:hAnsi="Merriweather"/>
          <w:sz w:val="20"/>
          <w:szCs w:val="20"/>
        </w:rPr>
      </w:pPr>
      <w:r w:rsidDel="00000000" w:rsidR="00000000" w:rsidRPr="00000000">
        <w:rPr>
          <w:rFonts w:ascii="Merriweather" w:cs="Merriweather" w:eastAsia="Merriweather" w:hAnsi="Merriweather"/>
          <w:sz w:val="20"/>
          <w:szCs w:val="20"/>
          <w:rtl w:val="0"/>
        </w:rPr>
        <w:t xml:space="preserve"> Engels points out how the middle and lower Bourgeoisie frequently own shops on the main streets and that they keep a clean appearance in order to entice those whom are likely to have a large amount of money as they aim to make money themselves. This is a large indictment of capitalism as  it is suggesting that it is the search for money and power that creates such poor conditions for the working-class. However he does not have a major problem with the industrial middle class as he himself is part of it, as his father owns a factory in Manchester and he at times in his life he plays a major role in its operation. As such he is too some extent hypocritical as he writes of the plight of the working-class yet he himself is partly to blame according to his own works and ideas. The fact that he still goes and works with a factory, which he believes is responsible for making people's lives worse yet he still continues to do so tells me that he is more focused on the theoretical future that he and Marx predict rather than actively making the world a better place, or perhaps he too fears the revolution as a member of the bourgeoisie and so hopes that by working for a factory the way he did that maybe by the virtue of his works and understanding of their condition he may be spared by the revolutionaries as he hopes to inspire them rather than simply oppress them and in doing so awaken their class consciousness. However he could simply just have the need for wealth to uphold his lifestyle in which case he is no better than those he derides. </w:t>
      </w:r>
    </w:p>
    <w:p w:rsidR="00000000" w:rsidDel="00000000" w:rsidP="00000000" w:rsidRDefault="00000000" w:rsidRPr="00000000" w14:paraId="00000006">
      <w:pPr>
        <w:rPr>
          <w:rFonts w:ascii="Merriweather" w:cs="Merriweather" w:eastAsia="Merriweather" w:hAnsi="Merriweather"/>
          <w:sz w:val="20"/>
          <w:szCs w:val="20"/>
        </w:rPr>
      </w:pPr>
      <w:r w:rsidDel="00000000" w:rsidR="00000000" w:rsidRPr="00000000">
        <w:rPr>
          <w:rtl w:val="0"/>
        </w:rPr>
      </w:r>
    </w:p>
    <w:p w:rsidR="00000000" w:rsidDel="00000000" w:rsidP="00000000" w:rsidRDefault="00000000" w:rsidRPr="00000000" w14:paraId="00000007">
      <w:pPr>
        <w:rPr>
          <w:rFonts w:ascii="Merriweather" w:cs="Merriweather" w:eastAsia="Merriweather" w:hAnsi="Merriweather"/>
          <w:sz w:val="20"/>
          <w:szCs w:val="20"/>
        </w:rPr>
      </w:pPr>
      <w:r w:rsidDel="00000000" w:rsidR="00000000" w:rsidRPr="00000000">
        <w:rPr>
          <w:rtl w:val="0"/>
        </w:rPr>
      </w:r>
    </w:p>
    <w:p w:rsidR="00000000" w:rsidDel="00000000" w:rsidP="00000000" w:rsidRDefault="00000000" w:rsidRPr="00000000" w14:paraId="00000008">
      <w:pPr>
        <w:rPr>
          <w:rFonts w:ascii="Merriweather" w:cs="Merriweather" w:eastAsia="Merriweather" w:hAnsi="Merriweather"/>
          <w:sz w:val="20"/>
          <w:szCs w:val="20"/>
        </w:rPr>
      </w:pPr>
      <w:r w:rsidDel="00000000" w:rsidR="00000000" w:rsidRPr="00000000">
        <w:rPr>
          <w:rtl w:val="0"/>
        </w:rPr>
      </w:r>
    </w:p>
    <w:p w:rsidR="00000000" w:rsidDel="00000000" w:rsidP="00000000" w:rsidRDefault="00000000" w:rsidRPr="00000000" w14:paraId="00000009">
      <w:pPr>
        <w:jc w:val="center"/>
        <w:rPr>
          <w:rFonts w:ascii="Merriweather" w:cs="Merriweather" w:eastAsia="Merriweather" w:hAnsi="Merriweather"/>
          <w:sz w:val="28"/>
          <w:szCs w:val="28"/>
          <w:u w:val="single"/>
        </w:rPr>
      </w:pPr>
      <w:r w:rsidDel="00000000" w:rsidR="00000000" w:rsidRPr="00000000">
        <w:rPr>
          <w:rFonts w:ascii="Merriweather" w:cs="Merriweather" w:eastAsia="Merriweather" w:hAnsi="Merriweather"/>
          <w:sz w:val="28"/>
          <w:szCs w:val="28"/>
          <w:u w:val="single"/>
          <w:rtl w:val="0"/>
        </w:rPr>
        <w:t xml:space="preserve">Bibliography </w:t>
      </w:r>
    </w:p>
    <w:p w:rsidR="00000000" w:rsidDel="00000000" w:rsidP="00000000" w:rsidRDefault="00000000" w:rsidRPr="00000000" w14:paraId="0000000A">
      <w:pPr>
        <w:spacing w:line="240" w:lineRule="auto"/>
        <w:rPr>
          <w:rFonts w:ascii="Merriweather" w:cs="Merriweather" w:eastAsia="Merriweather" w:hAnsi="Merriweather"/>
          <w:sz w:val="20"/>
          <w:szCs w:val="20"/>
        </w:rPr>
      </w:pPr>
      <w:r w:rsidDel="00000000" w:rsidR="00000000" w:rsidRPr="00000000">
        <w:rPr>
          <w:rFonts w:ascii="Merriweather" w:cs="Merriweather" w:eastAsia="Merriweather" w:hAnsi="Merriweather"/>
          <w:sz w:val="20"/>
          <w:szCs w:val="20"/>
          <w:rtl w:val="0"/>
        </w:rPr>
        <w:t xml:space="preserve"> Fredrick Engels, The Condition of the Working Class in England in 1844 (London:Penguin, 2005{1845}. Original translation by Florence Wischnewetzky (for 1885 US edition), pp. 86-87.</w:t>
      </w:r>
    </w:p>
    <w:p w:rsidR="00000000" w:rsidDel="00000000" w:rsidP="00000000" w:rsidRDefault="00000000" w:rsidRPr="00000000" w14:paraId="0000000B">
      <w:pPr>
        <w:spacing w:line="240" w:lineRule="auto"/>
        <w:rPr>
          <w:rFonts w:ascii="Merriweather" w:cs="Merriweather" w:eastAsia="Merriweather" w:hAnsi="Merriweather"/>
          <w:sz w:val="20"/>
          <w:szCs w:val="20"/>
        </w:rPr>
      </w:pPr>
      <w:r w:rsidDel="00000000" w:rsidR="00000000" w:rsidRPr="00000000">
        <w:rPr>
          <w:rFonts w:ascii="Merriweather" w:cs="Merriweather" w:eastAsia="Merriweather" w:hAnsi="Merriweather"/>
          <w:sz w:val="20"/>
          <w:szCs w:val="20"/>
          <w:rtl w:val="0"/>
        </w:rPr>
        <w:t xml:space="preserve"> Fredrick Engels, The Condition of the Working Class in England in 1844 (London:Penguin, 2005{1845}. Original translation by Florence Wischnewetzky (for 1885 US edition), pp. 86-87.</w:t>
      </w:r>
    </w:p>
    <w:p w:rsidR="00000000" w:rsidDel="00000000" w:rsidP="00000000" w:rsidRDefault="00000000" w:rsidRPr="00000000" w14:paraId="0000000C">
      <w:pPr>
        <w:spacing w:line="240" w:lineRule="auto"/>
        <w:rPr>
          <w:sz w:val="20"/>
          <w:szCs w:val="20"/>
        </w:rPr>
      </w:pPr>
      <w:r w:rsidDel="00000000" w:rsidR="00000000" w:rsidRPr="00000000">
        <w:rPr>
          <w:sz w:val="20"/>
          <w:szCs w:val="20"/>
          <w:rtl w:val="0"/>
        </w:rPr>
        <w:t xml:space="preserve"> </w:t>
      </w:r>
      <w:r w:rsidDel="00000000" w:rsidR="00000000" w:rsidRPr="00000000">
        <w:rPr>
          <w:rFonts w:ascii="Merriweather" w:cs="Merriweather" w:eastAsia="Merriweather" w:hAnsi="Merriweather"/>
          <w:sz w:val="20"/>
          <w:szCs w:val="20"/>
          <w:rtl w:val="0"/>
        </w:rPr>
        <w:t xml:space="preserve"> Karl Marx, Frederick Engels, Communist Manifesto, 1848</w:t>
      </w:r>
      <w:r w:rsidDel="00000000" w:rsidR="00000000" w:rsidRPr="00000000">
        <w:rPr>
          <w:rtl w:val="0"/>
        </w:rPr>
      </w:r>
    </w:p>
    <w:p w:rsidR="00000000" w:rsidDel="00000000" w:rsidP="00000000" w:rsidRDefault="00000000" w:rsidRPr="00000000" w14:paraId="0000000D">
      <w:pPr>
        <w:rPr>
          <w:rFonts w:ascii="Merriweather" w:cs="Merriweather" w:eastAsia="Merriweather" w:hAnsi="Merriweather"/>
          <w:sz w:val="20"/>
          <w:szCs w:val="20"/>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Merriweather">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0E">
      <w:pPr>
        <w:spacing w:line="240" w:lineRule="auto"/>
        <w:rPr>
          <w:rFonts w:ascii="Merriweather" w:cs="Merriweather" w:eastAsia="Merriweather" w:hAnsi="Merriweather"/>
          <w:sz w:val="20"/>
          <w:szCs w:val="20"/>
        </w:rPr>
      </w:pPr>
      <w:r w:rsidDel="00000000" w:rsidR="00000000" w:rsidRPr="00000000">
        <w:rPr>
          <w:rStyle w:val="FootnoteReference"/>
          <w:vertAlign w:val="superscript"/>
        </w:rPr>
        <w:footnoteRef/>
      </w:r>
      <w:r w:rsidDel="00000000" w:rsidR="00000000" w:rsidRPr="00000000">
        <w:rPr>
          <w:rFonts w:ascii="Merriweather" w:cs="Merriweather" w:eastAsia="Merriweather" w:hAnsi="Merriweather"/>
          <w:sz w:val="20"/>
          <w:szCs w:val="20"/>
          <w:rtl w:val="0"/>
        </w:rPr>
        <w:t xml:space="preserve"> Fredrick Engels, The Condition of the Working Class in England in 1844 (London:Penguin, 2005{1845}. Original translation by Florence Wischnewetzky (for 1885 US edition), pp. 86-87.</w:t>
      </w:r>
    </w:p>
  </w:footnote>
  <w:footnote w:id="1">
    <w:p w:rsidR="00000000" w:rsidDel="00000000" w:rsidP="00000000" w:rsidRDefault="00000000" w:rsidRPr="00000000" w14:paraId="0000000F">
      <w:pPr>
        <w:spacing w:line="240" w:lineRule="auto"/>
        <w:rPr>
          <w:rFonts w:ascii="Merriweather" w:cs="Merriweather" w:eastAsia="Merriweather" w:hAnsi="Merriweather"/>
          <w:sz w:val="20"/>
          <w:szCs w:val="20"/>
        </w:rPr>
      </w:pPr>
      <w:r w:rsidDel="00000000" w:rsidR="00000000" w:rsidRPr="00000000">
        <w:rPr>
          <w:rStyle w:val="FootnoteReference"/>
          <w:vertAlign w:val="superscript"/>
        </w:rPr>
        <w:footnoteRef/>
      </w:r>
      <w:r w:rsidDel="00000000" w:rsidR="00000000" w:rsidRPr="00000000">
        <w:rPr>
          <w:rFonts w:ascii="Merriweather" w:cs="Merriweather" w:eastAsia="Merriweather" w:hAnsi="Merriweather"/>
          <w:sz w:val="20"/>
          <w:szCs w:val="20"/>
          <w:rtl w:val="0"/>
        </w:rPr>
        <w:t xml:space="preserve">  Fredrick Engels, The Condition of the Working Class in England in 1844 (London:Penguin, 2005{1845}. Original translation by Florence Wischnewetzky (for 1885 US edition), pp. 86-87.</w:t>
      </w:r>
    </w:p>
  </w:footnote>
  <w:footnote w:id="2">
    <w:p w:rsidR="00000000" w:rsidDel="00000000" w:rsidP="00000000" w:rsidRDefault="00000000" w:rsidRPr="00000000" w14:paraId="0000001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Merriweather" w:cs="Merriweather" w:eastAsia="Merriweather" w:hAnsi="Merriweather"/>
          <w:sz w:val="20"/>
          <w:szCs w:val="20"/>
          <w:rtl w:val="0"/>
        </w:rPr>
        <w:t xml:space="preserve"> Karl Marx, Frederick Engels, Communist Manifesto, 1848</w:t>
      </w: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Merriweather-regular.ttf"/><Relationship Id="rId2" Type="http://schemas.openxmlformats.org/officeDocument/2006/relationships/font" Target="fonts/Merriweather-bold.ttf"/><Relationship Id="rId3" Type="http://schemas.openxmlformats.org/officeDocument/2006/relationships/font" Target="fonts/Merriweather-italic.ttf"/><Relationship Id="rId4" Type="http://schemas.openxmlformats.org/officeDocument/2006/relationships/font" Target="fonts/Merriweather-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