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A6C58" w14:textId="295081E8" w:rsidR="003B3962" w:rsidRDefault="004D7D44" w:rsidP="004D7D44">
      <w:pPr>
        <w:spacing w:line="360" w:lineRule="auto"/>
        <w:jc w:val="center"/>
        <w:rPr>
          <w:rFonts w:ascii="Arial" w:hAnsi="Arial" w:cs="Arial"/>
          <w:b/>
          <w:bCs/>
          <w:sz w:val="28"/>
          <w:szCs w:val="28"/>
        </w:rPr>
      </w:pPr>
      <w:bookmarkStart w:id="0" w:name="_Hlk133399152"/>
      <w:r w:rsidRPr="004D7D44">
        <w:rPr>
          <w:rFonts w:ascii="Arial" w:hAnsi="Arial" w:cs="Arial"/>
          <w:b/>
          <w:bCs/>
          <w:sz w:val="28"/>
          <w:szCs w:val="28"/>
        </w:rPr>
        <w:t>Problem Solving and Decision Making</w:t>
      </w:r>
    </w:p>
    <w:p w14:paraId="68BCF08F" w14:textId="15080215" w:rsidR="004D7D44" w:rsidRDefault="004D7D44" w:rsidP="004D7D44">
      <w:pPr>
        <w:spacing w:line="360" w:lineRule="auto"/>
        <w:jc w:val="center"/>
        <w:rPr>
          <w:rFonts w:ascii="Arial" w:hAnsi="Arial" w:cs="Arial"/>
          <w:b/>
          <w:bCs/>
          <w:sz w:val="28"/>
          <w:szCs w:val="28"/>
        </w:rPr>
      </w:pPr>
      <w:r>
        <w:rPr>
          <w:rFonts w:ascii="Arial" w:hAnsi="Arial" w:cs="Arial"/>
          <w:b/>
          <w:bCs/>
          <w:sz w:val="28"/>
          <w:szCs w:val="28"/>
        </w:rPr>
        <w:t>BMSW4004</w:t>
      </w:r>
    </w:p>
    <w:p w14:paraId="33E36EF5" w14:textId="77777777" w:rsidR="004D7D44" w:rsidRDefault="004D7D44" w:rsidP="004D7D44">
      <w:pPr>
        <w:spacing w:line="360" w:lineRule="auto"/>
        <w:jc w:val="center"/>
        <w:rPr>
          <w:rFonts w:ascii="Arial" w:hAnsi="Arial" w:cs="Arial"/>
          <w:sz w:val="28"/>
          <w:szCs w:val="28"/>
        </w:rPr>
      </w:pPr>
    </w:p>
    <w:p w14:paraId="0D8FB294" w14:textId="4A0EF2CC" w:rsidR="004D7D44" w:rsidRPr="004D7D44" w:rsidRDefault="004D7D44" w:rsidP="004D7D44">
      <w:pPr>
        <w:spacing w:line="360" w:lineRule="auto"/>
        <w:jc w:val="center"/>
        <w:rPr>
          <w:rFonts w:ascii="Arial" w:hAnsi="Arial" w:cs="Arial"/>
          <w:b/>
          <w:bCs/>
          <w:sz w:val="28"/>
          <w:szCs w:val="28"/>
        </w:rPr>
      </w:pPr>
      <w:r w:rsidRPr="004D7D44">
        <w:rPr>
          <w:rFonts w:ascii="Arial" w:hAnsi="Arial" w:cs="Arial"/>
          <w:b/>
          <w:bCs/>
          <w:sz w:val="28"/>
          <w:szCs w:val="28"/>
        </w:rPr>
        <w:t>Diana Decheva</w:t>
      </w:r>
    </w:p>
    <w:p w14:paraId="2AE57E6E" w14:textId="3A396A9A" w:rsidR="004D7D44" w:rsidRDefault="004D7D44" w:rsidP="004D7D44">
      <w:pPr>
        <w:spacing w:line="360" w:lineRule="auto"/>
        <w:jc w:val="center"/>
        <w:rPr>
          <w:rFonts w:ascii="Arial" w:hAnsi="Arial" w:cs="Arial"/>
          <w:b/>
          <w:bCs/>
          <w:sz w:val="28"/>
          <w:szCs w:val="28"/>
        </w:rPr>
      </w:pPr>
      <w:r w:rsidRPr="004D7D44">
        <w:rPr>
          <w:rFonts w:ascii="Arial" w:hAnsi="Arial" w:cs="Arial"/>
          <w:b/>
          <w:bCs/>
          <w:sz w:val="28"/>
          <w:szCs w:val="28"/>
        </w:rPr>
        <w:t>Student ID 2129230</w:t>
      </w:r>
    </w:p>
    <w:p w14:paraId="79526B01" w14:textId="77777777" w:rsidR="004D7D44" w:rsidRDefault="004D7D44" w:rsidP="004D7D44">
      <w:pPr>
        <w:spacing w:line="360" w:lineRule="auto"/>
        <w:rPr>
          <w:rFonts w:ascii="Arial" w:hAnsi="Arial" w:cs="Arial"/>
          <w:sz w:val="28"/>
          <w:szCs w:val="28"/>
        </w:rPr>
      </w:pPr>
    </w:p>
    <w:p w14:paraId="503734F6" w14:textId="6262FE90" w:rsidR="004D7D44" w:rsidRPr="004D7D44" w:rsidRDefault="004D7D44" w:rsidP="004D7D44">
      <w:pPr>
        <w:spacing w:line="360" w:lineRule="auto"/>
        <w:jc w:val="center"/>
        <w:rPr>
          <w:rFonts w:ascii="Arial" w:hAnsi="Arial" w:cs="Arial"/>
          <w:sz w:val="28"/>
          <w:szCs w:val="28"/>
        </w:rPr>
      </w:pPr>
      <w:r>
        <w:rPr>
          <w:rFonts w:ascii="Arial" w:hAnsi="Arial" w:cs="Arial"/>
          <w:sz w:val="28"/>
          <w:szCs w:val="28"/>
        </w:rPr>
        <w:t>Task 2 Written Report</w:t>
      </w:r>
    </w:p>
    <w:p w14:paraId="39FE6A84" w14:textId="77777777" w:rsidR="003B3962" w:rsidRDefault="003B3962" w:rsidP="00E33B83">
      <w:pPr>
        <w:spacing w:line="360" w:lineRule="auto"/>
        <w:jc w:val="both"/>
        <w:rPr>
          <w:rFonts w:ascii="Times New Roman" w:hAnsi="Times New Roman" w:cs="Times New Roman"/>
          <w:sz w:val="24"/>
          <w:szCs w:val="24"/>
        </w:rPr>
      </w:pPr>
    </w:p>
    <w:p w14:paraId="521BB3D1" w14:textId="77777777" w:rsidR="003B3962" w:rsidRDefault="003B3962" w:rsidP="00E33B83">
      <w:pPr>
        <w:spacing w:line="360" w:lineRule="auto"/>
        <w:jc w:val="both"/>
        <w:rPr>
          <w:rFonts w:ascii="Times New Roman" w:hAnsi="Times New Roman" w:cs="Times New Roman"/>
          <w:sz w:val="24"/>
          <w:szCs w:val="24"/>
        </w:rPr>
      </w:pPr>
    </w:p>
    <w:p w14:paraId="038F1793" w14:textId="77777777" w:rsidR="003B3962" w:rsidRDefault="003B3962" w:rsidP="00E33B83">
      <w:pPr>
        <w:spacing w:line="360" w:lineRule="auto"/>
        <w:jc w:val="both"/>
        <w:rPr>
          <w:rFonts w:ascii="Times New Roman" w:hAnsi="Times New Roman" w:cs="Times New Roman"/>
          <w:sz w:val="24"/>
          <w:szCs w:val="24"/>
        </w:rPr>
      </w:pPr>
    </w:p>
    <w:p w14:paraId="34CAE0C9" w14:textId="77777777" w:rsidR="003B3962" w:rsidRDefault="003B3962" w:rsidP="00E33B83">
      <w:pPr>
        <w:spacing w:line="360" w:lineRule="auto"/>
        <w:jc w:val="both"/>
        <w:rPr>
          <w:rFonts w:ascii="Times New Roman" w:hAnsi="Times New Roman" w:cs="Times New Roman"/>
          <w:sz w:val="24"/>
          <w:szCs w:val="24"/>
        </w:rPr>
      </w:pPr>
    </w:p>
    <w:p w14:paraId="32CE3DEB" w14:textId="77777777" w:rsidR="003B3962" w:rsidRDefault="003B3962" w:rsidP="00E33B83">
      <w:pPr>
        <w:spacing w:line="360" w:lineRule="auto"/>
        <w:jc w:val="both"/>
        <w:rPr>
          <w:rFonts w:ascii="Times New Roman" w:hAnsi="Times New Roman" w:cs="Times New Roman"/>
          <w:sz w:val="24"/>
          <w:szCs w:val="24"/>
        </w:rPr>
      </w:pPr>
    </w:p>
    <w:p w14:paraId="453C3B7E" w14:textId="77777777" w:rsidR="003B3962" w:rsidRDefault="003B3962" w:rsidP="00E33B83">
      <w:pPr>
        <w:spacing w:line="360" w:lineRule="auto"/>
        <w:jc w:val="both"/>
        <w:rPr>
          <w:rFonts w:ascii="Times New Roman" w:hAnsi="Times New Roman" w:cs="Times New Roman"/>
          <w:sz w:val="24"/>
          <w:szCs w:val="24"/>
        </w:rPr>
      </w:pPr>
    </w:p>
    <w:p w14:paraId="02C28C2C" w14:textId="77777777" w:rsidR="003B3962" w:rsidRDefault="003B3962" w:rsidP="00E33B83">
      <w:pPr>
        <w:spacing w:line="360" w:lineRule="auto"/>
        <w:jc w:val="both"/>
        <w:rPr>
          <w:rFonts w:ascii="Times New Roman" w:hAnsi="Times New Roman" w:cs="Times New Roman"/>
          <w:sz w:val="24"/>
          <w:szCs w:val="24"/>
        </w:rPr>
      </w:pPr>
    </w:p>
    <w:p w14:paraId="0B706D4D" w14:textId="77777777" w:rsidR="003B3962" w:rsidRDefault="003B3962" w:rsidP="00E33B83">
      <w:pPr>
        <w:spacing w:line="360" w:lineRule="auto"/>
        <w:jc w:val="both"/>
        <w:rPr>
          <w:rFonts w:ascii="Times New Roman" w:hAnsi="Times New Roman" w:cs="Times New Roman"/>
          <w:sz w:val="24"/>
          <w:szCs w:val="24"/>
        </w:rPr>
      </w:pPr>
    </w:p>
    <w:p w14:paraId="5890E447" w14:textId="77777777" w:rsidR="003B3962" w:rsidRDefault="003B3962" w:rsidP="00E33B83">
      <w:pPr>
        <w:spacing w:line="360" w:lineRule="auto"/>
        <w:jc w:val="both"/>
        <w:rPr>
          <w:rFonts w:ascii="Times New Roman" w:hAnsi="Times New Roman" w:cs="Times New Roman"/>
          <w:sz w:val="24"/>
          <w:szCs w:val="24"/>
        </w:rPr>
      </w:pPr>
    </w:p>
    <w:p w14:paraId="10DEDCA9" w14:textId="77777777" w:rsidR="003B3962" w:rsidRDefault="003B3962" w:rsidP="00E33B83">
      <w:pPr>
        <w:spacing w:line="360" w:lineRule="auto"/>
        <w:jc w:val="both"/>
        <w:rPr>
          <w:rFonts w:ascii="Times New Roman" w:hAnsi="Times New Roman" w:cs="Times New Roman"/>
          <w:sz w:val="24"/>
          <w:szCs w:val="24"/>
        </w:rPr>
      </w:pPr>
    </w:p>
    <w:p w14:paraId="088863D8" w14:textId="77777777" w:rsidR="003B3962" w:rsidRDefault="003B3962" w:rsidP="00E33B83">
      <w:pPr>
        <w:spacing w:line="360" w:lineRule="auto"/>
        <w:jc w:val="both"/>
        <w:rPr>
          <w:rFonts w:ascii="Times New Roman" w:hAnsi="Times New Roman" w:cs="Times New Roman"/>
          <w:sz w:val="24"/>
          <w:szCs w:val="24"/>
        </w:rPr>
      </w:pPr>
    </w:p>
    <w:p w14:paraId="6A1B166A" w14:textId="77777777" w:rsidR="003B3962" w:rsidRDefault="003B3962" w:rsidP="00E33B83">
      <w:pPr>
        <w:spacing w:line="360" w:lineRule="auto"/>
        <w:jc w:val="both"/>
        <w:rPr>
          <w:rFonts w:ascii="Times New Roman" w:hAnsi="Times New Roman" w:cs="Times New Roman"/>
          <w:sz w:val="24"/>
          <w:szCs w:val="24"/>
        </w:rPr>
      </w:pPr>
    </w:p>
    <w:p w14:paraId="74811122" w14:textId="77777777" w:rsidR="003B3962" w:rsidRDefault="003B3962" w:rsidP="00E33B83">
      <w:pPr>
        <w:spacing w:line="360" w:lineRule="auto"/>
        <w:jc w:val="both"/>
        <w:rPr>
          <w:rFonts w:ascii="Times New Roman" w:hAnsi="Times New Roman" w:cs="Times New Roman"/>
          <w:sz w:val="24"/>
          <w:szCs w:val="24"/>
        </w:rPr>
      </w:pPr>
    </w:p>
    <w:p w14:paraId="1267677E" w14:textId="77777777" w:rsidR="003B3962" w:rsidRDefault="003B3962" w:rsidP="00E33B83">
      <w:pPr>
        <w:spacing w:line="360" w:lineRule="auto"/>
        <w:jc w:val="both"/>
        <w:rPr>
          <w:rFonts w:ascii="Times New Roman" w:hAnsi="Times New Roman" w:cs="Times New Roman"/>
          <w:sz w:val="24"/>
          <w:szCs w:val="24"/>
        </w:rPr>
      </w:pPr>
    </w:p>
    <w:p w14:paraId="47CBD5BA" w14:textId="77777777" w:rsidR="003B3962" w:rsidRDefault="003B3962" w:rsidP="00E33B83">
      <w:pPr>
        <w:spacing w:line="360" w:lineRule="auto"/>
        <w:jc w:val="both"/>
        <w:rPr>
          <w:rFonts w:ascii="Times New Roman" w:hAnsi="Times New Roman" w:cs="Times New Roman"/>
          <w:sz w:val="24"/>
          <w:szCs w:val="24"/>
        </w:rPr>
      </w:pPr>
    </w:p>
    <w:p w14:paraId="487E38C7" w14:textId="77777777" w:rsidR="003B3962" w:rsidRDefault="003B3962" w:rsidP="00E33B83">
      <w:pPr>
        <w:spacing w:line="360" w:lineRule="auto"/>
        <w:jc w:val="both"/>
        <w:rPr>
          <w:rFonts w:ascii="Times New Roman" w:hAnsi="Times New Roman" w:cs="Times New Roman"/>
          <w:sz w:val="24"/>
          <w:szCs w:val="24"/>
        </w:rPr>
      </w:pPr>
    </w:p>
    <w:p w14:paraId="2FF43064" w14:textId="77777777" w:rsidR="003B3962" w:rsidRDefault="003B3962" w:rsidP="00E33B83">
      <w:pPr>
        <w:spacing w:line="360" w:lineRule="auto"/>
        <w:jc w:val="both"/>
        <w:rPr>
          <w:rFonts w:ascii="Times New Roman" w:hAnsi="Times New Roman" w:cs="Times New Roman"/>
          <w:sz w:val="24"/>
          <w:szCs w:val="24"/>
        </w:rPr>
      </w:pPr>
    </w:p>
    <w:p w14:paraId="4FC26379" w14:textId="77777777" w:rsidR="003B3962" w:rsidRDefault="003B3962" w:rsidP="00E33B83">
      <w:pPr>
        <w:spacing w:line="360" w:lineRule="auto"/>
        <w:jc w:val="both"/>
        <w:rPr>
          <w:rFonts w:ascii="Times New Roman" w:hAnsi="Times New Roman" w:cs="Times New Roman"/>
          <w:sz w:val="24"/>
          <w:szCs w:val="24"/>
        </w:rPr>
      </w:pPr>
    </w:p>
    <w:p w14:paraId="0C7CA3C5" w14:textId="77777777" w:rsidR="003B3962" w:rsidRDefault="003B3962" w:rsidP="00E33B83">
      <w:pPr>
        <w:spacing w:line="360" w:lineRule="auto"/>
        <w:jc w:val="both"/>
        <w:rPr>
          <w:rFonts w:ascii="Times New Roman" w:hAnsi="Times New Roman" w:cs="Times New Roman"/>
          <w:sz w:val="24"/>
          <w:szCs w:val="24"/>
        </w:rPr>
      </w:pPr>
    </w:p>
    <w:p w14:paraId="2E7E171E" w14:textId="77777777" w:rsidR="003B3962" w:rsidRDefault="003B3962" w:rsidP="00E33B83">
      <w:pPr>
        <w:spacing w:line="360" w:lineRule="auto"/>
        <w:jc w:val="both"/>
        <w:rPr>
          <w:rFonts w:ascii="Times New Roman" w:hAnsi="Times New Roman" w:cs="Times New Roman"/>
          <w:sz w:val="24"/>
          <w:szCs w:val="24"/>
        </w:rPr>
      </w:pPr>
    </w:p>
    <w:p w14:paraId="40201DC5" w14:textId="77777777" w:rsidR="003B3962" w:rsidRDefault="003B3962" w:rsidP="00E33B83">
      <w:pPr>
        <w:spacing w:line="360" w:lineRule="auto"/>
        <w:jc w:val="both"/>
        <w:rPr>
          <w:rFonts w:ascii="Times New Roman" w:hAnsi="Times New Roman" w:cs="Times New Roman"/>
          <w:sz w:val="24"/>
          <w:szCs w:val="24"/>
        </w:rPr>
      </w:pPr>
    </w:p>
    <w:p w14:paraId="748E3736" w14:textId="77777777" w:rsidR="003B3962" w:rsidRDefault="003B3962" w:rsidP="00E33B83">
      <w:pPr>
        <w:spacing w:line="360" w:lineRule="auto"/>
        <w:jc w:val="both"/>
        <w:rPr>
          <w:rFonts w:ascii="Times New Roman" w:hAnsi="Times New Roman" w:cs="Times New Roman"/>
          <w:sz w:val="24"/>
          <w:szCs w:val="24"/>
        </w:rPr>
      </w:pPr>
    </w:p>
    <w:p w14:paraId="1B42398B" w14:textId="77777777" w:rsidR="003B3962" w:rsidRDefault="003B3962" w:rsidP="00E33B83">
      <w:pPr>
        <w:spacing w:line="360" w:lineRule="auto"/>
        <w:jc w:val="both"/>
        <w:rPr>
          <w:rFonts w:ascii="Times New Roman" w:hAnsi="Times New Roman" w:cs="Times New Roman"/>
          <w:sz w:val="24"/>
          <w:szCs w:val="24"/>
        </w:rPr>
      </w:pPr>
    </w:p>
    <w:sdt>
      <w:sdtPr>
        <w:rPr>
          <w:rFonts w:ascii="Arial" w:eastAsiaTheme="minorHAnsi" w:hAnsi="Arial" w:cs="Arial"/>
          <w:color w:val="auto"/>
          <w:kern w:val="2"/>
          <w:sz w:val="22"/>
          <w:szCs w:val="22"/>
          <w:lang w:val="en-GB"/>
          <w14:ligatures w14:val="standardContextual"/>
        </w:rPr>
        <w:id w:val="795028649"/>
        <w:docPartObj>
          <w:docPartGallery w:val="Table of Contents"/>
          <w:docPartUnique/>
        </w:docPartObj>
      </w:sdtPr>
      <w:sdtEndPr>
        <w:rPr>
          <w:b/>
          <w:bCs/>
          <w:noProof/>
        </w:rPr>
      </w:sdtEndPr>
      <w:sdtContent>
        <w:p w14:paraId="646817A9" w14:textId="734F2DE8" w:rsidR="003B3962" w:rsidRPr="007E311B" w:rsidRDefault="003B3962" w:rsidP="003B3962">
          <w:pPr>
            <w:pStyle w:val="TOCHeading"/>
            <w:spacing w:after="240" w:line="480" w:lineRule="auto"/>
            <w:jc w:val="both"/>
            <w:rPr>
              <w:rFonts w:ascii="Arial" w:hAnsi="Arial" w:cs="Arial"/>
              <w:b/>
              <w:bCs/>
              <w:sz w:val="28"/>
              <w:szCs w:val="28"/>
            </w:rPr>
          </w:pPr>
          <w:r w:rsidRPr="007E311B">
            <w:rPr>
              <w:rFonts w:ascii="Arial" w:hAnsi="Arial" w:cs="Arial"/>
              <w:b/>
              <w:bCs/>
              <w:sz w:val="28"/>
              <w:szCs w:val="28"/>
            </w:rPr>
            <w:t>Table of Contents</w:t>
          </w:r>
        </w:p>
        <w:p w14:paraId="71A3BB4B" w14:textId="5B5A8B18" w:rsidR="003B3962" w:rsidRPr="007E311B" w:rsidRDefault="003B3962" w:rsidP="003B3962">
          <w:pPr>
            <w:pStyle w:val="TOC1"/>
            <w:tabs>
              <w:tab w:val="right" w:leader="dot" w:pos="9062"/>
            </w:tabs>
            <w:spacing w:after="240" w:line="480" w:lineRule="auto"/>
            <w:jc w:val="both"/>
            <w:rPr>
              <w:rFonts w:ascii="Arial" w:hAnsi="Arial" w:cs="Arial"/>
              <w:noProof/>
              <w:sz w:val="24"/>
              <w:szCs w:val="24"/>
            </w:rPr>
          </w:pPr>
          <w:r w:rsidRPr="007E311B">
            <w:rPr>
              <w:rFonts w:ascii="Arial" w:hAnsi="Arial" w:cs="Arial"/>
              <w:sz w:val="24"/>
              <w:szCs w:val="24"/>
            </w:rPr>
            <w:fldChar w:fldCharType="begin"/>
          </w:r>
          <w:r w:rsidRPr="007E311B">
            <w:rPr>
              <w:rFonts w:ascii="Arial" w:hAnsi="Arial" w:cs="Arial"/>
              <w:sz w:val="24"/>
              <w:szCs w:val="24"/>
            </w:rPr>
            <w:instrText xml:space="preserve"> TOC \o "1-3" \h \z \u </w:instrText>
          </w:r>
          <w:r w:rsidRPr="007E311B">
            <w:rPr>
              <w:rFonts w:ascii="Arial" w:hAnsi="Arial" w:cs="Arial"/>
              <w:sz w:val="24"/>
              <w:szCs w:val="24"/>
            </w:rPr>
            <w:fldChar w:fldCharType="separate"/>
          </w:r>
          <w:hyperlink w:anchor="_Toc133446212" w:history="1">
            <w:r w:rsidRPr="007E311B">
              <w:rPr>
                <w:rStyle w:val="Hyperlink"/>
                <w:rFonts w:ascii="Arial" w:hAnsi="Arial" w:cs="Arial"/>
                <w:noProof/>
                <w:sz w:val="24"/>
                <w:szCs w:val="24"/>
              </w:rPr>
              <w:t>Introduction</w:t>
            </w:r>
            <w:r w:rsidRPr="007E311B">
              <w:rPr>
                <w:rFonts w:ascii="Arial" w:hAnsi="Arial" w:cs="Arial"/>
                <w:noProof/>
                <w:webHidden/>
                <w:sz w:val="24"/>
                <w:szCs w:val="24"/>
              </w:rPr>
              <w:tab/>
            </w:r>
            <w:r w:rsidRPr="007E311B">
              <w:rPr>
                <w:rFonts w:ascii="Arial" w:hAnsi="Arial" w:cs="Arial"/>
                <w:noProof/>
                <w:webHidden/>
                <w:sz w:val="24"/>
                <w:szCs w:val="24"/>
              </w:rPr>
              <w:fldChar w:fldCharType="begin"/>
            </w:r>
            <w:r w:rsidRPr="007E311B">
              <w:rPr>
                <w:rFonts w:ascii="Arial" w:hAnsi="Arial" w:cs="Arial"/>
                <w:noProof/>
                <w:webHidden/>
                <w:sz w:val="24"/>
                <w:szCs w:val="24"/>
              </w:rPr>
              <w:instrText xml:space="preserve"> PAGEREF _Toc133446212 \h </w:instrText>
            </w:r>
            <w:r w:rsidRPr="007E311B">
              <w:rPr>
                <w:rFonts w:ascii="Arial" w:hAnsi="Arial" w:cs="Arial"/>
                <w:noProof/>
                <w:webHidden/>
                <w:sz w:val="24"/>
                <w:szCs w:val="24"/>
              </w:rPr>
            </w:r>
            <w:r w:rsidRPr="007E311B">
              <w:rPr>
                <w:rFonts w:ascii="Arial" w:hAnsi="Arial" w:cs="Arial"/>
                <w:noProof/>
                <w:webHidden/>
                <w:sz w:val="24"/>
                <w:szCs w:val="24"/>
              </w:rPr>
              <w:fldChar w:fldCharType="separate"/>
            </w:r>
            <w:r w:rsidR="00435C5A">
              <w:rPr>
                <w:rFonts w:ascii="Arial" w:hAnsi="Arial" w:cs="Arial"/>
                <w:noProof/>
                <w:webHidden/>
                <w:sz w:val="24"/>
                <w:szCs w:val="24"/>
              </w:rPr>
              <w:t>3</w:t>
            </w:r>
            <w:r w:rsidRPr="007E311B">
              <w:rPr>
                <w:rFonts w:ascii="Arial" w:hAnsi="Arial" w:cs="Arial"/>
                <w:noProof/>
                <w:webHidden/>
                <w:sz w:val="24"/>
                <w:szCs w:val="24"/>
              </w:rPr>
              <w:fldChar w:fldCharType="end"/>
            </w:r>
          </w:hyperlink>
        </w:p>
        <w:p w14:paraId="315529E8" w14:textId="0604DF4E"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13" w:history="1">
            <w:r w:rsidR="003B3962" w:rsidRPr="007E311B">
              <w:rPr>
                <w:rStyle w:val="Hyperlink"/>
                <w:rFonts w:ascii="Arial" w:hAnsi="Arial" w:cs="Arial"/>
                <w:noProof/>
                <w:sz w:val="24"/>
                <w:szCs w:val="24"/>
              </w:rPr>
              <w:t>Background</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_Toc133446213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3</w:t>
            </w:r>
            <w:r w:rsidR="003B3962" w:rsidRPr="007E311B">
              <w:rPr>
                <w:rFonts w:ascii="Arial" w:hAnsi="Arial" w:cs="Arial"/>
                <w:noProof/>
                <w:webHidden/>
                <w:sz w:val="24"/>
                <w:szCs w:val="24"/>
              </w:rPr>
              <w:fldChar w:fldCharType="end"/>
            </w:r>
          </w:hyperlink>
        </w:p>
        <w:p w14:paraId="2B3564DA" w14:textId="100A0B74"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14" w:history="1">
            <w:r w:rsidR="003B3962" w:rsidRPr="007E311B">
              <w:rPr>
                <w:rStyle w:val="Hyperlink"/>
                <w:rFonts w:ascii="Arial" w:hAnsi="Arial" w:cs="Arial"/>
                <w:noProof/>
                <w:sz w:val="24"/>
                <w:szCs w:val="24"/>
                <w:lang w:val="en-US"/>
              </w:rPr>
              <w:t>The workplace problem</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_Toc133446214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3</w:t>
            </w:r>
            <w:r w:rsidR="003B3962" w:rsidRPr="007E311B">
              <w:rPr>
                <w:rFonts w:ascii="Arial" w:hAnsi="Arial" w:cs="Arial"/>
                <w:noProof/>
                <w:webHidden/>
                <w:sz w:val="24"/>
                <w:szCs w:val="24"/>
              </w:rPr>
              <w:fldChar w:fldCharType="end"/>
            </w:r>
          </w:hyperlink>
        </w:p>
        <w:p w14:paraId="3A6AC22F" w14:textId="2E257AFB"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15" w:history="1">
            <w:r w:rsidR="003B3962" w:rsidRPr="007E311B">
              <w:rPr>
                <w:rStyle w:val="Hyperlink"/>
                <w:rFonts w:ascii="Arial" w:hAnsi="Arial" w:cs="Arial"/>
                <w:noProof/>
                <w:sz w:val="24"/>
                <w:szCs w:val="24"/>
                <w:lang w:val="en-US"/>
              </w:rPr>
              <w:t>Analysing information</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_Toc133446215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4</w:t>
            </w:r>
            <w:r w:rsidR="003B3962" w:rsidRPr="007E311B">
              <w:rPr>
                <w:rFonts w:ascii="Arial" w:hAnsi="Arial" w:cs="Arial"/>
                <w:noProof/>
                <w:webHidden/>
                <w:sz w:val="24"/>
                <w:szCs w:val="24"/>
              </w:rPr>
              <w:fldChar w:fldCharType="end"/>
            </w:r>
          </w:hyperlink>
        </w:p>
        <w:p w14:paraId="2CA84763" w14:textId="17569EF3"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16" w:history="1">
            <w:r w:rsidR="003B3962" w:rsidRPr="007E311B">
              <w:rPr>
                <w:rStyle w:val="Hyperlink"/>
                <w:rFonts w:ascii="Arial" w:hAnsi="Arial" w:cs="Arial"/>
                <w:noProof/>
                <w:sz w:val="24"/>
                <w:szCs w:val="24"/>
                <w:lang w:val="en-US"/>
              </w:rPr>
              <w:t>Root cause analysis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_Toc133446216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4</w:t>
            </w:r>
            <w:r w:rsidR="003B3962" w:rsidRPr="007E311B">
              <w:rPr>
                <w:rFonts w:ascii="Arial" w:hAnsi="Arial" w:cs="Arial"/>
                <w:noProof/>
                <w:webHidden/>
                <w:sz w:val="24"/>
                <w:szCs w:val="24"/>
              </w:rPr>
              <w:fldChar w:fldCharType="end"/>
            </w:r>
          </w:hyperlink>
        </w:p>
        <w:p w14:paraId="4EC7714A" w14:textId="2212A854"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17" w:history="1">
            <w:r w:rsidR="003B3962" w:rsidRPr="007E311B">
              <w:rPr>
                <w:rStyle w:val="Hyperlink"/>
                <w:rFonts w:ascii="Arial" w:hAnsi="Arial" w:cs="Arial"/>
                <w:noProof/>
                <w:sz w:val="24"/>
                <w:szCs w:val="24"/>
                <w:lang w:val="en-US"/>
              </w:rPr>
              <w:t>Situational analysis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_Toc133446217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4</w:t>
            </w:r>
            <w:r w:rsidR="003B3962" w:rsidRPr="007E311B">
              <w:rPr>
                <w:rFonts w:ascii="Arial" w:hAnsi="Arial" w:cs="Arial"/>
                <w:noProof/>
                <w:webHidden/>
                <w:sz w:val="24"/>
                <w:szCs w:val="24"/>
              </w:rPr>
              <w:fldChar w:fldCharType="end"/>
            </w:r>
          </w:hyperlink>
        </w:p>
        <w:p w14:paraId="5451F2EE" w14:textId="5F208DB0"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18" w:history="1">
            <w:r w:rsidR="003B3962" w:rsidRPr="007E311B">
              <w:rPr>
                <w:rStyle w:val="Hyperlink"/>
                <w:rFonts w:ascii="Arial" w:hAnsi="Arial" w:cs="Arial"/>
                <w:noProof/>
                <w:sz w:val="24"/>
                <w:szCs w:val="24"/>
                <w:lang w:val="en-US"/>
              </w:rPr>
              <w:t>Range of alternative solutions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_Toc133446218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6</w:t>
            </w:r>
            <w:r w:rsidR="003B3962" w:rsidRPr="007E311B">
              <w:rPr>
                <w:rFonts w:ascii="Arial" w:hAnsi="Arial" w:cs="Arial"/>
                <w:noProof/>
                <w:webHidden/>
                <w:sz w:val="24"/>
                <w:szCs w:val="24"/>
              </w:rPr>
              <w:fldChar w:fldCharType="end"/>
            </w:r>
          </w:hyperlink>
        </w:p>
        <w:p w14:paraId="66E18680" w14:textId="08EFBB0A"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19" w:history="1">
            <w:r w:rsidR="003B3962" w:rsidRPr="007E311B">
              <w:rPr>
                <w:rStyle w:val="Hyperlink"/>
                <w:rFonts w:ascii="Arial" w:hAnsi="Arial" w:cs="Arial"/>
                <w:noProof/>
                <w:sz w:val="24"/>
                <w:szCs w:val="24"/>
                <w:lang w:val="en-US"/>
              </w:rPr>
              <w:t>Evaluation of alternative solutions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_Toc133446219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7</w:t>
            </w:r>
            <w:r w:rsidR="003B3962" w:rsidRPr="007E311B">
              <w:rPr>
                <w:rFonts w:ascii="Arial" w:hAnsi="Arial" w:cs="Arial"/>
                <w:noProof/>
                <w:webHidden/>
                <w:sz w:val="24"/>
                <w:szCs w:val="24"/>
              </w:rPr>
              <w:fldChar w:fldCharType="end"/>
            </w:r>
          </w:hyperlink>
        </w:p>
        <w:p w14:paraId="74F1C7DF" w14:textId="0C03668E"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20" w:history="1">
            <w:r w:rsidR="003B3962" w:rsidRPr="007E311B">
              <w:rPr>
                <w:rStyle w:val="Hyperlink"/>
                <w:rFonts w:ascii="Arial" w:hAnsi="Arial" w:cs="Arial"/>
                <w:noProof/>
                <w:sz w:val="24"/>
                <w:szCs w:val="24"/>
                <w:lang w:val="en-US"/>
              </w:rPr>
              <w:t>Implementing the solution</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_Toc133446220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8</w:t>
            </w:r>
            <w:r w:rsidR="003B3962" w:rsidRPr="007E311B">
              <w:rPr>
                <w:rFonts w:ascii="Arial" w:hAnsi="Arial" w:cs="Arial"/>
                <w:noProof/>
                <w:webHidden/>
                <w:sz w:val="24"/>
                <w:szCs w:val="24"/>
              </w:rPr>
              <w:fldChar w:fldCharType="end"/>
            </w:r>
          </w:hyperlink>
        </w:p>
        <w:p w14:paraId="7A8D9B03" w14:textId="7B8BF78C" w:rsidR="003B3962" w:rsidRPr="007E311B" w:rsidRDefault="00000000" w:rsidP="003B3962">
          <w:pPr>
            <w:pStyle w:val="TOC2"/>
            <w:tabs>
              <w:tab w:val="right" w:leader="dot" w:pos="9062"/>
            </w:tabs>
            <w:spacing w:after="240" w:line="480" w:lineRule="auto"/>
            <w:jc w:val="both"/>
            <w:rPr>
              <w:rFonts w:ascii="Arial" w:hAnsi="Arial" w:cs="Arial"/>
              <w:noProof/>
              <w:sz w:val="24"/>
              <w:szCs w:val="24"/>
            </w:rPr>
          </w:pPr>
          <w:hyperlink w:anchor="_Toc133446221" w:history="1">
            <w:r w:rsidR="003B3962" w:rsidRPr="007E311B">
              <w:rPr>
                <w:rStyle w:val="Hyperlink"/>
                <w:rFonts w:ascii="Arial" w:hAnsi="Arial" w:cs="Arial"/>
                <w:noProof/>
                <w:sz w:val="24"/>
                <w:szCs w:val="24"/>
                <w:lang w:val="en-US"/>
              </w:rPr>
              <w:t>Communication plan with stakeholders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_Toc133446221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8</w:t>
            </w:r>
            <w:r w:rsidR="003B3962" w:rsidRPr="007E311B">
              <w:rPr>
                <w:rFonts w:ascii="Arial" w:hAnsi="Arial" w:cs="Arial"/>
                <w:noProof/>
                <w:webHidden/>
                <w:sz w:val="24"/>
                <w:szCs w:val="24"/>
              </w:rPr>
              <w:fldChar w:fldCharType="end"/>
            </w:r>
          </w:hyperlink>
        </w:p>
        <w:p w14:paraId="2580BC99" w14:textId="68C2A1EC"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22" w:history="1">
            <w:r w:rsidR="003B3962" w:rsidRPr="007E311B">
              <w:rPr>
                <w:rStyle w:val="Hyperlink"/>
                <w:rFonts w:ascii="Arial" w:hAnsi="Arial" w:cs="Arial"/>
                <w:noProof/>
                <w:sz w:val="24"/>
                <w:szCs w:val="24"/>
                <w:lang w:val="en-US"/>
              </w:rPr>
              <w:t>Monitoring and review techniques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_Toc133446222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10</w:t>
            </w:r>
            <w:r w:rsidR="003B3962" w:rsidRPr="007E311B">
              <w:rPr>
                <w:rFonts w:ascii="Arial" w:hAnsi="Arial" w:cs="Arial"/>
                <w:noProof/>
                <w:webHidden/>
                <w:sz w:val="24"/>
                <w:szCs w:val="24"/>
              </w:rPr>
              <w:fldChar w:fldCharType="end"/>
            </w:r>
          </w:hyperlink>
        </w:p>
        <w:p w14:paraId="56D012D2" w14:textId="2CA6A1CA"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23" w:history="1">
            <w:r w:rsidR="003B3962" w:rsidRPr="007E311B">
              <w:rPr>
                <w:rStyle w:val="Hyperlink"/>
                <w:rFonts w:ascii="Arial" w:hAnsi="Arial" w:cs="Arial"/>
                <w:noProof/>
                <w:sz w:val="24"/>
                <w:szCs w:val="24"/>
                <w:lang w:val="en-US"/>
              </w:rPr>
              <w:t>Conclusion</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_Toc133446223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11</w:t>
            </w:r>
            <w:r w:rsidR="003B3962" w:rsidRPr="007E311B">
              <w:rPr>
                <w:rFonts w:ascii="Arial" w:hAnsi="Arial" w:cs="Arial"/>
                <w:noProof/>
                <w:webHidden/>
                <w:sz w:val="24"/>
                <w:szCs w:val="24"/>
              </w:rPr>
              <w:fldChar w:fldCharType="end"/>
            </w:r>
          </w:hyperlink>
        </w:p>
        <w:p w14:paraId="076EE8F2" w14:textId="192158D4" w:rsidR="003B3962" w:rsidRPr="007E311B" w:rsidRDefault="00000000" w:rsidP="003B3962">
          <w:pPr>
            <w:pStyle w:val="TOC1"/>
            <w:tabs>
              <w:tab w:val="right" w:leader="dot" w:pos="9062"/>
            </w:tabs>
            <w:spacing w:after="240" w:line="480" w:lineRule="auto"/>
            <w:jc w:val="both"/>
            <w:rPr>
              <w:rFonts w:ascii="Arial" w:hAnsi="Arial" w:cs="Arial"/>
              <w:noProof/>
              <w:sz w:val="24"/>
              <w:szCs w:val="24"/>
            </w:rPr>
          </w:pPr>
          <w:hyperlink w:anchor="_Toc133446224" w:history="1">
            <w:r w:rsidR="003B3962" w:rsidRPr="007E311B">
              <w:rPr>
                <w:rStyle w:val="Hyperlink"/>
                <w:rFonts w:ascii="Arial" w:hAnsi="Arial" w:cs="Arial"/>
                <w:noProof/>
                <w:sz w:val="24"/>
                <w:szCs w:val="24"/>
                <w:lang w:val="en-US"/>
              </w:rPr>
              <w:t>References</w:t>
            </w:r>
            <w:r w:rsidR="003B3962" w:rsidRPr="007E311B">
              <w:rPr>
                <w:rFonts w:ascii="Arial" w:hAnsi="Arial" w:cs="Arial"/>
                <w:noProof/>
                <w:webHidden/>
                <w:sz w:val="24"/>
                <w:szCs w:val="24"/>
              </w:rPr>
              <w:tab/>
            </w:r>
            <w:r w:rsidR="003B3962" w:rsidRPr="007E311B">
              <w:rPr>
                <w:rFonts w:ascii="Arial" w:hAnsi="Arial" w:cs="Arial"/>
                <w:noProof/>
                <w:webHidden/>
                <w:sz w:val="24"/>
                <w:szCs w:val="24"/>
              </w:rPr>
              <w:fldChar w:fldCharType="begin"/>
            </w:r>
            <w:r w:rsidR="003B3962" w:rsidRPr="007E311B">
              <w:rPr>
                <w:rFonts w:ascii="Arial" w:hAnsi="Arial" w:cs="Arial"/>
                <w:noProof/>
                <w:webHidden/>
                <w:sz w:val="24"/>
                <w:szCs w:val="24"/>
              </w:rPr>
              <w:instrText xml:space="preserve"> PAGEREF _Toc133446224 \h </w:instrText>
            </w:r>
            <w:r w:rsidR="003B3962" w:rsidRPr="007E311B">
              <w:rPr>
                <w:rFonts w:ascii="Arial" w:hAnsi="Arial" w:cs="Arial"/>
                <w:noProof/>
                <w:webHidden/>
                <w:sz w:val="24"/>
                <w:szCs w:val="24"/>
              </w:rPr>
            </w:r>
            <w:r w:rsidR="003B3962" w:rsidRPr="007E311B">
              <w:rPr>
                <w:rFonts w:ascii="Arial" w:hAnsi="Arial" w:cs="Arial"/>
                <w:noProof/>
                <w:webHidden/>
                <w:sz w:val="24"/>
                <w:szCs w:val="24"/>
              </w:rPr>
              <w:fldChar w:fldCharType="separate"/>
            </w:r>
            <w:r w:rsidR="00435C5A">
              <w:rPr>
                <w:rFonts w:ascii="Arial" w:hAnsi="Arial" w:cs="Arial"/>
                <w:noProof/>
                <w:webHidden/>
                <w:sz w:val="24"/>
                <w:szCs w:val="24"/>
              </w:rPr>
              <w:t>12</w:t>
            </w:r>
            <w:r w:rsidR="003B3962" w:rsidRPr="007E311B">
              <w:rPr>
                <w:rFonts w:ascii="Arial" w:hAnsi="Arial" w:cs="Arial"/>
                <w:noProof/>
                <w:webHidden/>
                <w:sz w:val="24"/>
                <w:szCs w:val="24"/>
              </w:rPr>
              <w:fldChar w:fldCharType="end"/>
            </w:r>
          </w:hyperlink>
        </w:p>
        <w:p w14:paraId="0860A95B" w14:textId="3BA63BC1" w:rsidR="003B3962" w:rsidRPr="007E311B" w:rsidRDefault="003B3962" w:rsidP="003B3962">
          <w:pPr>
            <w:spacing w:after="240" w:line="480" w:lineRule="auto"/>
            <w:jc w:val="both"/>
            <w:rPr>
              <w:rFonts w:ascii="Arial" w:hAnsi="Arial" w:cs="Arial"/>
            </w:rPr>
          </w:pPr>
          <w:r w:rsidRPr="007E311B">
            <w:rPr>
              <w:rFonts w:ascii="Arial" w:hAnsi="Arial" w:cs="Arial"/>
              <w:b/>
              <w:bCs/>
              <w:noProof/>
              <w:sz w:val="24"/>
              <w:szCs w:val="24"/>
            </w:rPr>
            <w:fldChar w:fldCharType="end"/>
          </w:r>
        </w:p>
      </w:sdtContent>
    </w:sdt>
    <w:p w14:paraId="445838CA" w14:textId="77777777" w:rsidR="003B3962" w:rsidRPr="007E311B" w:rsidRDefault="003B3962" w:rsidP="00E33B83">
      <w:pPr>
        <w:spacing w:line="360" w:lineRule="auto"/>
        <w:jc w:val="both"/>
        <w:rPr>
          <w:rFonts w:ascii="Arial" w:hAnsi="Arial" w:cs="Arial"/>
          <w:sz w:val="24"/>
          <w:szCs w:val="24"/>
        </w:rPr>
      </w:pPr>
    </w:p>
    <w:p w14:paraId="7479A5EB" w14:textId="77777777" w:rsidR="003B3962" w:rsidRPr="007E311B" w:rsidRDefault="003B3962" w:rsidP="00E33B83">
      <w:pPr>
        <w:spacing w:line="360" w:lineRule="auto"/>
        <w:jc w:val="both"/>
        <w:rPr>
          <w:rFonts w:ascii="Arial" w:hAnsi="Arial" w:cs="Arial"/>
          <w:sz w:val="24"/>
          <w:szCs w:val="24"/>
        </w:rPr>
      </w:pPr>
    </w:p>
    <w:p w14:paraId="3EAA4E8B" w14:textId="77777777" w:rsidR="003B3962" w:rsidRPr="007E311B" w:rsidRDefault="003B3962" w:rsidP="00E33B83">
      <w:pPr>
        <w:spacing w:line="360" w:lineRule="auto"/>
        <w:jc w:val="both"/>
        <w:rPr>
          <w:rFonts w:ascii="Arial" w:hAnsi="Arial" w:cs="Arial"/>
          <w:sz w:val="24"/>
          <w:szCs w:val="24"/>
        </w:rPr>
      </w:pPr>
    </w:p>
    <w:p w14:paraId="1F090108" w14:textId="704914A7" w:rsidR="00E33B83" w:rsidRPr="007E311B" w:rsidRDefault="00E33B83" w:rsidP="003B3962">
      <w:pPr>
        <w:pStyle w:val="Heading1"/>
        <w:spacing w:after="240"/>
        <w:rPr>
          <w:rFonts w:ascii="Arial" w:hAnsi="Arial" w:cs="Arial"/>
        </w:rPr>
      </w:pPr>
      <w:bookmarkStart w:id="1" w:name="_Toc133446212"/>
      <w:r w:rsidRPr="007E311B">
        <w:rPr>
          <w:rFonts w:ascii="Arial" w:hAnsi="Arial" w:cs="Arial"/>
        </w:rPr>
        <w:t>Introduction</w:t>
      </w:r>
      <w:bookmarkEnd w:id="1"/>
    </w:p>
    <w:p w14:paraId="37794EEC" w14:textId="77777777" w:rsidR="00E33B83" w:rsidRPr="007E311B" w:rsidRDefault="00E33B83" w:rsidP="003B3962">
      <w:pPr>
        <w:pStyle w:val="Heading2"/>
        <w:spacing w:before="0"/>
        <w:rPr>
          <w:rFonts w:ascii="Arial" w:hAnsi="Arial" w:cs="Arial"/>
        </w:rPr>
      </w:pPr>
      <w:bookmarkStart w:id="2" w:name="_Toc133446213"/>
      <w:r w:rsidRPr="007E311B">
        <w:rPr>
          <w:rFonts w:ascii="Arial" w:hAnsi="Arial" w:cs="Arial"/>
        </w:rPr>
        <w:t>Background</w:t>
      </w:r>
      <w:bookmarkEnd w:id="2"/>
      <w:r w:rsidRPr="007E311B">
        <w:rPr>
          <w:rFonts w:ascii="Arial" w:hAnsi="Arial" w:cs="Arial"/>
        </w:rPr>
        <w:t xml:space="preserve"> </w:t>
      </w:r>
    </w:p>
    <w:p w14:paraId="43D5845B" w14:textId="68AB61E0" w:rsidR="00E33B83" w:rsidRPr="007E311B" w:rsidRDefault="00FB4554" w:rsidP="00E33B83">
      <w:pPr>
        <w:spacing w:line="360" w:lineRule="auto"/>
        <w:jc w:val="both"/>
        <w:rPr>
          <w:rFonts w:ascii="Arial" w:hAnsi="Arial" w:cs="Arial"/>
          <w:sz w:val="24"/>
          <w:szCs w:val="24"/>
        </w:rPr>
      </w:pPr>
      <w:r w:rsidRPr="007E311B">
        <w:rPr>
          <w:rFonts w:ascii="Arial" w:hAnsi="Arial" w:cs="Arial"/>
          <w:sz w:val="24"/>
          <w:szCs w:val="24"/>
        </w:rPr>
        <w:t xml:space="preserve">The problem-solving ability of management largely determines the success of an organisation. Problem-solving ensures effective navigation of a business entity in a quite dynamic external environment and frequent changes (Johnson et al., 2017). Therefore, the skill delivers flexibility, creativity and an ability to implement effective solutions in a challenging business environment. </w:t>
      </w:r>
    </w:p>
    <w:p w14:paraId="45DE5BBD" w14:textId="51998682" w:rsidR="00E33B83" w:rsidRPr="007E311B" w:rsidRDefault="00A1576F" w:rsidP="00E33B83">
      <w:pPr>
        <w:spacing w:line="360" w:lineRule="auto"/>
        <w:jc w:val="both"/>
        <w:rPr>
          <w:rFonts w:ascii="Arial" w:hAnsi="Arial" w:cs="Arial"/>
          <w:sz w:val="24"/>
          <w:szCs w:val="24"/>
        </w:rPr>
      </w:pPr>
      <w:r w:rsidRPr="007E311B">
        <w:rPr>
          <w:rFonts w:ascii="Arial" w:hAnsi="Arial" w:cs="Arial"/>
          <w:sz w:val="24"/>
          <w:szCs w:val="24"/>
        </w:rPr>
        <w:t xml:space="preserve">The analysis considers the case of Tesco – a public company with more than a century (est. 1919) of business operations and a leader in the retail sector with a market share of approximately 27.3% (BSH, 2023; Marketing Week, 2023). Tesco is a considerable company with more than 361,000 employees and annual revenue of £57.8 billion, as of year 2021 (BSH, 2023). The market capitalisation of the company is £20.4 billion which clearly indicates its considerable size and relevance for the current analysis (Reuters, 2023). </w:t>
      </w:r>
    </w:p>
    <w:p w14:paraId="7E724EAD" w14:textId="77777777" w:rsidR="00E33B83" w:rsidRPr="007E311B" w:rsidRDefault="00E33B83" w:rsidP="003B3962">
      <w:pPr>
        <w:pStyle w:val="Heading2"/>
        <w:spacing w:before="0"/>
        <w:rPr>
          <w:rFonts w:ascii="Arial" w:hAnsi="Arial" w:cs="Arial"/>
          <w:lang w:val="en-US"/>
        </w:rPr>
      </w:pPr>
      <w:bookmarkStart w:id="3" w:name="_Toc133446214"/>
      <w:r w:rsidRPr="007E311B">
        <w:rPr>
          <w:rFonts w:ascii="Arial" w:hAnsi="Arial" w:cs="Arial"/>
          <w:lang w:val="en-US"/>
        </w:rPr>
        <w:t>The workplace problem</w:t>
      </w:r>
      <w:bookmarkEnd w:id="3"/>
      <w:r w:rsidRPr="007E311B">
        <w:rPr>
          <w:rFonts w:ascii="Arial" w:hAnsi="Arial" w:cs="Arial"/>
          <w:lang w:val="en-US"/>
        </w:rPr>
        <w:t xml:space="preserve"> </w:t>
      </w:r>
    </w:p>
    <w:p w14:paraId="02414E12" w14:textId="2BBF9647" w:rsidR="00E33B83" w:rsidRPr="007E311B" w:rsidRDefault="00C2437E"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specific workplace problem at Tesco refers to the existence of a gender-based pay gap. The mean pay gap between men and women is 9.3% - much lower than the UK national average level of 15.4% (Tesco, 2021). Nevertheless, the mere existence of </w:t>
      </w:r>
      <w:r w:rsidR="004368AF" w:rsidRPr="007E311B">
        <w:rPr>
          <w:rFonts w:ascii="Arial" w:hAnsi="Arial" w:cs="Arial"/>
          <w:sz w:val="24"/>
          <w:szCs w:val="24"/>
          <w:lang w:val="en-US"/>
        </w:rPr>
        <w:t>gender</w:t>
      </w:r>
      <w:r w:rsidRPr="007E311B">
        <w:rPr>
          <w:rFonts w:ascii="Arial" w:hAnsi="Arial" w:cs="Arial"/>
          <w:sz w:val="24"/>
          <w:szCs w:val="24"/>
          <w:lang w:val="en-US"/>
        </w:rPr>
        <w:t>-based variations in pay levels can be considered as a sign of discrimination and unequal treatment</w:t>
      </w:r>
      <w:r w:rsidR="00492C30" w:rsidRPr="007E311B">
        <w:rPr>
          <w:rFonts w:ascii="Arial" w:hAnsi="Arial" w:cs="Arial"/>
          <w:sz w:val="24"/>
          <w:szCs w:val="24"/>
          <w:lang w:val="en-US"/>
        </w:rPr>
        <w:t xml:space="preserve">; thereby, </w:t>
      </w:r>
      <w:r w:rsidRPr="007E311B">
        <w:rPr>
          <w:rFonts w:ascii="Arial" w:hAnsi="Arial" w:cs="Arial"/>
          <w:sz w:val="24"/>
          <w:szCs w:val="24"/>
          <w:lang w:val="en-US"/>
        </w:rPr>
        <w:t xml:space="preserve">breaching the </w:t>
      </w:r>
      <w:r w:rsidR="00492C30" w:rsidRPr="007E311B">
        <w:rPr>
          <w:rFonts w:ascii="Arial" w:hAnsi="Arial" w:cs="Arial"/>
          <w:sz w:val="24"/>
          <w:szCs w:val="24"/>
          <w:lang w:val="en-US"/>
        </w:rPr>
        <w:t xml:space="preserve">essential legal </w:t>
      </w:r>
      <w:r w:rsidRPr="007E311B">
        <w:rPr>
          <w:rFonts w:ascii="Arial" w:hAnsi="Arial" w:cs="Arial"/>
          <w:sz w:val="24"/>
          <w:szCs w:val="24"/>
          <w:lang w:val="en-US"/>
        </w:rPr>
        <w:t>propositions</w:t>
      </w:r>
      <w:r w:rsidR="004368AF" w:rsidRPr="007E311B">
        <w:rPr>
          <w:rFonts w:ascii="Arial" w:hAnsi="Arial" w:cs="Arial"/>
          <w:sz w:val="24"/>
          <w:szCs w:val="24"/>
          <w:lang w:val="en-US"/>
        </w:rPr>
        <w:t xml:space="preserve"> </w:t>
      </w:r>
      <w:r w:rsidR="00492C30" w:rsidRPr="007E311B">
        <w:rPr>
          <w:rFonts w:ascii="Arial" w:hAnsi="Arial" w:cs="Arial"/>
          <w:sz w:val="24"/>
          <w:szCs w:val="24"/>
          <w:lang w:val="en-US"/>
        </w:rPr>
        <w:t xml:space="preserve">specified by the Equality Act 2010 </w:t>
      </w:r>
      <w:r w:rsidR="004368AF" w:rsidRPr="007E311B">
        <w:rPr>
          <w:rFonts w:ascii="Arial" w:hAnsi="Arial" w:cs="Arial"/>
          <w:sz w:val="24"/>
          <w:szCs w:val="24"/>
          <w:lang w:val="en-US"/>
        </w:rPr>
        <w:t>(Sharma, 2020</w:t>
      </w:r>
      <w:r w:rsidRPr="007E311B">
        <w:rPr>
          <w:rFonts w:ascii="Arial" w:hAnsi="Arial" w:cs="Arial"/>
          <w:sz w:val="24"/>
          <w:szCs w:val="24"/>
          <w:lang w:val="en-US"/>
        </w:rPr>
        <w:t>).</w:t>
      </w:r>
    </w:p>
    <w:p w14:paraId="5DF95F3F" w14:textId="3341999C" w:rsidR="00C2437E" w:rsidRPr="007E311B" w:rsidRDefault="00C2437E"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Gender-based pay gap can be a considerable source of de-motivation among female employees with negative consequences on performance and employee retention. </w:t>
      </w:r>
      <w:r w:rsidRPr="007E311B">
        <w:rPr>
          <w:rFonts w:ascii="Arial" w:hAnsi="Arial" w:cs="Arial"/>
          <w:sz w:val="24"/>
          <w:szCs w:val="24"/>
          <w:lang w:val="en-US"/>
        </w:rPr>
        <w:lastRenderedPageBreak/>
        <w:t xml:space="preserve">Moreover, discrimination erodes organisational values, as the former can cause a loss of brand value for Tesco. The company has already gone to court for its discriminatory policies in the field of unequal payment </w:t>
      </w:r>
      <w:r w:rsidR="004368AF" w:rsidRPr="007E311B">
        <w:rPr>
          <w:rFonts w:ascii="Arial" w:hAnsi="Arial" w:cs="Arial"/>
          <w:sz w:val="24"/>
          <w:szCs w:val="24"/>
          <w:lang w:val="en-US"/>
        </w:rPr>
        <w:t>(Sharma, 2020).</w:t>
      </w:r>
      <w:r w:rsidRPr="007E311B">
        <w:rPr>
          <w:rFonts w:ascii="Arial" w:hAnsi="Arial" w:cs="Arial"/>
          <w:sz w:val="24"/>
          <w:szCs w:val="24"/>
          <w:lang w:val="en-US"/>
        </w:rPr>
        <w:t xml:space="preserve"> Such developments must be avoided and effectively solved, so that female employees are treated equally and motivated to deliver optimal performance in the workplace. </w:t>
      </w:r>
    </w:p>
    <w:p w14:paraId="7EEBAB71" w14:textId="77777777" w:rsidR="00E33B83" w:rsidRPr="007E311B" w:rsidRDefault="00E33B83" w:rsidP="003B3962">
      <w:pPr>
        <w:pStyle w:val="Heading1"/>
        <w:spacing w:before="0" w:after="240"/>
        <w:rPr>
          <w:rFonts w:ascii="Arial" w:hAnsi="Arial" w:cs="Arial"/>
          <w:lang w:val="en-US"/>
        </w:rPr>
      </w:pPr>
      <w:bookmarkStart w:id="4" w:name="_Toc133446215"/>
      <w:r w:rsidRPr="007E311B">
        <w:rPr>
          <w:rFonts w:ascii="Arial" w:hAnsi="Arial" w:cs="Arial"/>
          <w:lang w:val="en-US"/>
        </w:rPr>
        <w:t>Analysing information</w:t>
      </w:r>
      <w:bookmarkEnd w:id="4"/>
    </w:p>
    <w:p w14:paraId="321D0B42" w14:textId="77777777" w:rsidR="00E33B83" w:rsidRPr="007E311B" w:rsidRDefault="00E33B83" w:rsidP="003B3962">
      <w:pPr>
        <w:pStyle w:val="Heading2"/>
        <w:spacing w:before="0"/>
        <w:rPr>
          <w:rFonts w:ascii="Arial" w:hAnsi="Arial" w:cs="Arial"/>
          <w:lang w:val="en-US"/>
        </w:rPr>
      </w:pPr>
      <w:bookmarkStart w:id="5" w:name="_Toc133446216"/>
      <w:r w:rsidRPr="007E311B">
        <w:rPr>
          <w:rFonts w:ascii="Arial" w:hAnsi="Arial" w:cs="Arial"/>
          <w:lang w:val="en-US"/>
        </w:rPr>
        <w:t>Root cause analysis</w:t>
      </w:r>
      <w:bookmarkEnd w:id="5"/>
      <w:r w:rsidRPr="007E311B">
        <w:rPr>
          <w:rFonts w:ascii="Arial" w:hAnsi="Arial" w:cs="Arial"/>
          <w:lang w:val="en-US"/>
        </w:rPr>
        <w:t xml:space="preserve"> </w:t>
      </w:r>
    </w:p>
    <w:p w14:paraId="1F45AA89" w14:textId="4FBBCC42" w:rsidR="00E33B83" w:rsidRPr="007E311B" w:rsidRDefault="00EE666C"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fishbone diagram identifies potential determinants of the existing problem with the gender-based pay gap in the case of Tesco. </w:t>
      </w:r>
    </w:p>
    <w:p w14:paraId="47CDEA1D" w14:textId="3307B46B" w:rsidR="00EE666C" w:rsidRPr="007E311B" w:rsidRDefault="00EE666C" w:rsidP="00E33B83">
      <w:pPr>
        <w:spacing w:line="360" w:lineRule="auto"/>
        <w:jc w:val="both"/>
        <w:rPr>
          <w:rFonts w:ascii="Arial" w:hAnsi="Arial" w:cs="Arial"/>
          <w:b/>
          <w:bCs/>
          <w:sz w:val="24"/>
          <w:szCs w:val="24"/>
          <w:lang w:val="en-US"/>
        </w:rPr>
      </w:pPr>
      <w:r w:rsidRPr="007E311B">
        <w:rPr>
          <w:rFonts w:ascii="Arial" w:hAnsi="Arial" w:cs="Arial"/>
          <w:b/>
          <w:bCs/>
          <w:sz w:val="24"/>
          <w:szCs w:val="24"/>
          <w:lang w:val="en-US"/>
        </w:rPr>
        <w:t>Figure 1 – Fishbone diagram showing the roots of the problem</w:t>
      </w:r>
    </w:p>
    <w:p w14:paraId="4EAC0F27" w14:textId="461B29F7" w:rsidR="00E33B83" w:rsidRPr="007E311B" w:rsidRDefault="00B12687" w:rsidP="00E33B83">
      <w:pPr>
        <w:spacing w:line="360" w:lineRule="auto"/>
        <w:jc w:val="both"/>
        <w:rPr>
          <w:rFonts w:ascii="Arial" w:hAnsi="Arial" w:cs="Arial"/>
          <w:b/>
          <w:bCs/>
          <w:sz w:val="24"/>
          <w:szCs w:val="24"/>
          <w:lang w:val="en-US"/>
        </w:rPr>
      </w:pPr>
      <w:r w:rsidRPr="007E311B">
        <w:rPr>
          <w:rFonts w:ascii="Arial" w:hAnsi="Arial" w:cs="Arial"/>
          <w:b/>
          <w:bCs/>
          <w:noProof/>
          <w:sz w:val="24"/>
          <w:szCs w:val="24"/>
          <w:lang w:val="en-US"/>
        </w:rPr>
        <w:drawing>
          <wp:inline distT="0" distB="0" distL="0" distR="0" wp14:anchorId="49ED10B0" wp14:editId="4E565F8E">
            <wp:extent cx="5747385" cy="3331028"/>
            <wp:effectExtent l="0" t="0" r="5715"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9670" cy="3332352"/>
                    </a:xfrm>
                    <a:prstGeom prst="rect">
                      <a:avLst/>
                    </a:prstGeom>
                    <a:noFill/>
                    <a:ln>
                      <a:noFill/>
                    </a:ln>
                  </pic:spPr>
                </pic:pic>
              </a:graphicData>
            </a:graphic>
          </wp:inline>
        </w:drawing>
      </w:r>
    </w:p>
    <w:p w14:paraId="507F783F" w14:textId="2759E277" w:rsidR="00A85FBF" w:rsidRPr="007E311B" w:rsidRDefault="00A85FBF"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existence of complex problems requires a thorough analysis of the situational and organisational context. </w:t>
      </w:r>
    </w:p>
    <w:p w14:paraId="39CE2CA6" w14:textId="77777777" w:rsidR="00E33B83" w:rsidRPr="007E311B" w:rsidRDefault="00E33B83" w:rsidP="003B3962">
      <w:pPr>
        <w:pStyle w:val="Heading2"/>
        <w:spacing w:before="0"/>
        <w:rPr>
          <w:rFonts w:ascii="Arial" w:hAnsi="Arial" w:cs="Arial"/>
          <w:lang w:val="en-US"/>
        </w:rPr>
      </w:pPr>
      <w:bookmarkStart w:id="6" w:name="_Toc133446217"/>
      <w:r w:rsidRPr="007E311B">
        <w:rPr>
          <w:rFonts w:ascii="Arial" w:hAnsi="Arial" w:cs="Arial"/>
          <w:lang w:val="en-US"/>
        </w:rPr>
        <w:t>Situational analysis</w:t>
      </w:r>
      <w:bookmarkEnd w:id="6"/>
      <w:r w:rsidRPr="007E311B">
        <w:rPr>
          <w:rFonts w:ascii="Arial" w:hAnsi="Arial" w:cs="Arial"/>
          <w:lang w:val="en-US"/>
        </w:rPr>
        <w:t xml:space="preserve"> </w:t>
      </w:r>
    </w:p>
    <w:p w14:paraId="3593C235" w14:textId="2129A416" w:rsidR="00E33B83" w:rsidRPr="007E311B" w:rsidRDefault="00617CC4"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situational analysis is based on SWOT model – strengths, weaknesses, opportunities and threats (Johnson et al., 2017). This framework is considered quite suitable because of its ability to identify the main internal strengths and weaknesses of Tesco, as well as the key external trends leading to specific opportunities and threats </w:t>
      </w:r>
      <w:r w:rsidRPr="007E311B">
        <w:rPr>
          <w:rFonts w:ascii="Arial" w:hAnsi="Arial" w:cs="Arial"/>
          <w:sz w:val="24"/>
          <w:szCs w:val="24"/>
          <w:lang w:val="en-US"/>
        </w:rPr>
        <w:lastRenderedPageBreak/>
        <w:t xml:space="preserve">for the organisation (Johnson et al., 2017). The key aspects of the SWOT model are analysed in detail below. </w:t>
      </w:r>
    </w:p>
    <w:p w14:paraId="7762682A" w14:textId="3A67A376" w:rsidR="00617CC4" w:rsidRPr="007E311B" w:rsidRDefault="00617CC4" w:rsidP="00E33B83">
      <w:pPr>
        <w:spacing w:line="360" w:lineRule="auto"/>
        <w:jc w:val="both"/>
        <w:rPr>
          <w:rFonts w:ascii="Arial" w:hAnsi="Arial" w:cs="Arial"/>
          <w:b/>
          <w:bCs/>
          <w:i/>
          <w:iCs/>
          <w:sz w:val="24"/>
          <w:szCs w:val="24"/>
          <w:lang w:val="en-US"/>
        </w:rPr>
      </w:pPr>
      <w:r w:rsidRPr="007E311B">
        <w:rPr>
          <w:rFonts w:ascii="Arial" w:hAnsi="Arial" w:cs="Arial"/>
          <w:b/>
          <w:bCs/>
          <w:i/>
          <w:iCs/>
          <w:sz w:val="24"/>
          <w:szCs w:val="24"/>
          <w:lang w:val="en-US"/>
        </w:rPr>
        <w:t>Strengths</w:t>
      </w:r>
    </w:p>
    <w:p w14:paraId="7781A74E" w14:textId="1701CFD5" w:rsidR="00617CC4" w:rsidRPr="007E311B" w:rsidRDefault="00617CC4" w:rsidP="00617CC4">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lang w:val="en-US"/>
        </w:rPr>
        <w:t>The largest UK retailer in terms of market size – 27.3% (Marketing Week, 2023).</w:t>
      </w:r>
    </w:p>
    <w:p w14:paraId="0E39D6C4" w14:textId="1A5A42E7" w:rsidR="00617CC4" w:rsidRPr="007E311B" w:rsidRDefault="00617CC4" w:rsidP="00617CC4">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lang w:val="en-US"/>
        </w:rPr>
        <w:t xml:space="preserve">Considerable financial resources – annual revenue of </w:t>
      </w:r>
      <w:r w:rsidRPr="007E311B">
        <w:rPr>
          <w:rFonts w:ascii="Arial" w:hAnsi="Arial" w:cs="Arial"/>
          <w:sz w:val="24"/>
          <w:szCs w:val="24"/>
        </w:rPr>
        <w:t xml:space="preserve">£57.8 billion (BSH, 2023). </w:t>
      </w:r>
    </w:p>
    <w:p w14:paraId="73F56F1F" w14:textId="12B3D9EC" w:rsidR="00617CC4" w:rsidRPr="007E311B" w:rsidRDefault="00617CC4" w:rsidP="00617CC4">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Large workforce size - 361,000 employees (BSH, 2023).</w:t>
      </w:r>
    </w:p>
    <w:p w14:paraId="6FE14C18" w14:textId="18E4C1EA" w:rsidR="00617CC4" w:rsidRPr="007E311B" w:rsidRDefault="00617CC4" w:rsidP="00617CC4">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Extensive history (est. 1919) and brand popularity (BSH, 2023).</w:t>
      </w:r>
    </w:p>
    <w:p w14:paraId="020E682D" w14:textId="5AE8C44D" w:rsidR="00617CC4" w:rsidRPr="007E311B" w:rsidRDefault="00617CC4" w:rsidP="00617CC4">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Public company with access to equity capital (Reuters, 2023).</w:t>
      </w:r>
    </w:p>
    <w:p w14:paraId="416DA49B" w14:textId="10254C78" w:rsidR="00617CC4" w:rsidRPr="007E311B" w:rsidRDefault="00617CC4" w:rsidP="00E33B83">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 xml:space="preserve">International diversification of operations (BSH, 2023). </w:t>
      </w:r>
    </w:p>
    <w:p w14:paraId="10760F6D" w14:textId="7F67729A" w:rsidR="00844006" w:rsidRPr="007E311B" w:rsidRDefault="00844006" w:rsidP="00E33B83">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Large distribution network: online sales and 4,376 grocery stores (BSH, 2023).</w:t>
      </w:r>
    </w:p>
    <w:p w14:paraId="58C129A2" w14:textId="4893AE16" w:rsidR="00844006" w:rsidRPr="007E311B" w:rsidRDefault="00844006" w:rsidP="00E33B83">
      <w:pPr>
        <w:pStyle w:val="ListParagraph"/>
        <w:numPr>
          <w:ilvl w:val="0"/>
          <w:numId w:val="1"/>
        </w:numPr>
        <w:spacing w:line="360" w:lineRule="auto"/>
        <w:jc w:val="both"/>
        <w:rPr>
          <w:rFonts w:ascii="Arial" w:hAnsi="Arial" w:cs="Arial"/>
          <w:sz w:val="24"/>
          <w:szCs w:val="24"/>
          <w:lang w:val="en-US"/>
        </w:rPr>
      </w:pPr>
      <w:r w:rsidRPr="007E311B">
        <w:rPr>
          <w:rFonts w:ascii="Arial" w:hAnsi="Arial" w:cs="Arial"/>
          <w:sz w:val="24"/>
          <w:szCs w:val="24"/>
        </w:rPr>
        <w:t xml:space="preserve">Fast growth (+60% per annum) in the online sales segment (BSH, 2023). </w:t>
      </w:r>
    </w:p>
    <w:p w14:paraId="008E9D20" w14:textId="40174837" w:rsidR="00617CC4" w:rsidRPr="007E311B" w:rsidRDefault="00617CC4" w:rsidP="00E33B83">
      <w:pPr>
        <w:spacing w:line="360" w:lineRule="auto"/>
        <w:jc w:val="both"/>
        <w:rPr>
          <w:rFonts w:ascii="Arial" w:hAnsi="Arial" w:cs="Arial"/>
          <w:b/>
          <w:bCs/>
          <w:i/>
          <w:iCs/>
          <w:sz w:val="24"/>
          <w:szCs w:val="24"/>
          <w:lang w:val="en-US"/>
        </w:rPr>
      </w:pPr>
      <w:r w:rsidRPr="007E311B">
        <w:rPr>
          <w:rFonts w:ascii="Arial" w:hAnsi="Arial" w:cs="Arial"/>
          <w:b/>
          <w:bCs/>
          <w:i/>
          <w:iCs/>
          <w:sz w:val="24"/>
          <w:szCs w:val="24"/>
          <w:lang w:val="en-US"/>
        </w:rPr>
        <w:t>Weaknesses</w:t>
      </w:r>
    </w:p>
    <w:p w14:paraId="4ECBC028" w14:textId="47147126" w:rsidR="00617CC4" w:rsidRPr="007E311B" w:rsidRDefault="00844006" w:rsidP="00844006">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lang w:val="en-US"/>
        </w:rPr>
        <w:t>Gender-based pay discrimination of women who receive 9.3% less than men on average (</w:t>
      </w:r>
      <w:r w:rsidR="00CC4B4B" w:rsidRPr="007E311B">
        <w:rPr>
          <w:rFonts w:ascii="Arial" w:hAnsi="Arial" w:cs="Arial"/>
          <w:sz w:val="24"/>
          <w:szCs w:val="24"/>
          <w:lang w:val="en-US"/>
        </w:rPr>
        <w:t>Sharma, 2020; Tesco, 2021</w:t>
      </w:r>
      <w:r w:rsidRPr="007E311B">
        <w:rPr>
          <w:rFonts w:ascii="Arial" w:hAnsi="Arial" w:cs="Arial"/>
          <w:sz w:val="24"/>
          <w:szCs w:val="24"/>
          <w:lang w:val="en-US"/>
        </w:rPr>
        <w:t>).</w:t>
      </w:r>
    </w:p>
    <w:p w14:paraId="7E91B33B" w14:textId="7B70D4CD" w:rsidR="00844006" w:rsidRPr="007E311B" w:rsidRDefault="00844006" w:rsidP="00844006">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lang w:val="en-US"/>
        </w:rPr>
        <w:t xml:space="preserve">Quite a low profit margin of roughly 1.2% (calculations based on </w:t>
      </w:r>
      <w:r w:rsidRPr="007E311B">
        <w:rPr>
          <w:rFonts w:ascii="Arial" w:hAnsi="Arial" w:cs="Arial"/>
          <w:sz w:val="24"/>
          <w:szCs w:val="24"/>
        </w:rPr>
        <w:t xml:space="preserve">£721 million in annual net profit and £57.8 billion in revenue) (BSH, 2023). </w:t>
      </w:r>
    </w:p>
    <w:p w14:paraId="3B22435E" w14:textId="7B3C9DF2" w:rsidR="00844006" w:rsidRPr="007E311B" w:rsidRDefault="00844006" w:rsidP="00844006">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rPr>
        <w:t xml:space="preserve">Continuous decrease in operating profits over time (BSH, 2023). </w:t>
      </w:r>
    </w:p>
    <w:p w14:paraId="2D13FEF2" w14:textId="0EB28AF6" w:rsidR="00844006" w:rsidRPr="007E311B" w:rsidRDefault="00844006" w:rsidP="00844006">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rPr>
        <w:t xml:space="preserve">Image scandal and financial losses from being fined for selling expired food and engaging in accounting scandal (BSH, 2023). </w:t>
      </w:r>
    </w:p>
    <w:p w14:paraId="28795050" w14:textId="7B563E22" w:rsidR="00844006" w:rsidRPr="007E311B" w:rsidRDefault="00844006" w:rsidP="00844006">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rPr>
        <w:t>Poor performance in some foreign markets, such as US and Japan (BSH, 2023).</w:t>
      </w:r>
    </w:p>
    <w:p w14:paraId="49C58EC6" w14:textId="50C3D8A4" w:rsidR="00617CC4" w:rsidRPr="007E311B" w:rsidRDefault="00844006" w:rsidP="00E33B83">
      <w:pPr>
        <w:pStyle w:val="ListParagraph"/>
        <w:numPr>
          <w:ilvl w:val="0"/>
          <w:numId w:val="2"/>
        </w:numPr>
        <w:spacing w:line="360" w:lineRule="auto"/>
        <w:jc w:val="both"/>
        <w:rPr>
          <w:rFonts w:ascii="Arial" w:hAnsi="Arial" w:cs="Arial"/>
          <w:sz w:val="24"/>
          <w:szCs w:val="24"/>
          <w:lang w:val="en-US"/>
        </w:rPr>
      </w:pPr>
      <w:r w:rsidRPr="007E311B">
        <w:rPr>
          <w:rFonts w:ascii="Arial" w:hAnsi="Arial" w:cs="Arial"/>
          <w:sz w:val="24"/>
          <w:szCs w:val="24"/>
        </w:rPr>
        <w:t xml:space="preserve">Unclear strategic focus by engaging in low-cost offerings which contract with Tesco’s strategy for differentiation (BSH, 2023). </w:t>
      </w:r>
    </w:p>
    <w:p w14:paraId="04720208" w14:textId="71CB1B3D" w:rsidR="00617CC4" w:rsidRPr="007E311B" w:rsidRDefault="00617CC4" w:rsidP="00E33B83">
      <w:pPr>
        <w:spacing w:line="360" w:lineRule="auto"/>
        <w:jc w:val="both"/>
        <w:rPr>
          <w:rFonts w:ascii="Arial" w:hAnsi="Arial" w:cs="Arial"/>
          <w:b/>
          <w:bCs/>
          <w:i/>
          <w:iCs/>
          <w:sz w:val="24"/>
          <w:szCs w:val="24"/>
          <w:lang w:val="en-US"/>
        </w:rPr>
      </w:pPr>
      <w:r w:rsidRPr="007E311B">
        <w:rPr>
          <w:rFonts w:ascii="Arial" w:hAnsi="Arial" w:cs="Arial"/>
          <w:b/>
          <w:bCs/>
          <w:i/>
          <w:iCs/>
          <w:sz w:val="24"/>
          <w:szCs w:val="24"/>
          <w:lang w:val="en-US"/>
        </w:rPr>
        <w:t>Opportunities</w:t>
      </w:r>
    </w:p>
    <w:p w14:paraId="28CBAC3A" w14:textId="064F7817" w:rsidR="00617CC4" w:rsidRPr="007E311B" w:rsidRDefault="00DE348F" w:rsidP="00DE348F">
      <w:pPr>
        <w:pStyle w:val="ListParagraph"/>
        <w:numPr>
          <w:ilvl w:val="0"/>
          <w:numId w:val="3"/>
        </w:numPr>
        <w:spacing w:line="360" w:lineRule="auto"/>
        <w:jc w:val="both"/>
        <w:rPr>
          <w:rFonts w:ascii="Arial" w:hAnsi="Arial" w:cs="Arial"/>
          <w:sz w:val="24"/>
          <w:szCs w:val="24"/>
          <w:lang w:val="en-US"/>
        </w:rPr>
      </w:pPr>
      <w:r w:rsidRPr="007E311B">
        <w:rPr>
          <w:rFonts w:ascii="Arial" w:hAnsi="Arial" w:cs="Arial"/>
          <w:sz w:val="24"/>
          <w:szCs w:val="24"/>
          <w:lang w:val="en-US"/>
        </w:rPr>
        <w:t>Technological progress facilitating automation and productivity through Big Data analytics, artificial intelligence and others (</w:t>
      </w:r>
      <w:r w:rsidR="00CC4B4B" w:rsidRPr="007E311B">
        <w:rPr>
          <w:rFonts w:ascii="Arial" w:hAnsi="Arial" w:cs="Arial"/>
          <w:sz w:val="24"/>
          <w:szCs w:val="24"/>
          <w:lang w:val="en-US"/>
        </w:rPr>
        <w:t>Rijmenam, 2014</w:t>
      </w:r>
      <w:r w:rsidRPr="007E311B">
        <w:rPr>
          <w:rFonts w:ascii="Arial" w:hAnsi="Arial" w:cs="Arial"/>
          <w:sz w:val="24"/>
          <w:szCs w:val="24"/>
          <w:lang w:val="en-US"/>
        </w:rPr>
        <w:t>).</w:t>
      </w:r>
    </w:p>
    <w:p w14:paraId="17C259E8" w14:textId="72BC0C95" w:rsidR="00DE348F" w:rsidRPr="007E311B" w:rsidRDefault="00DE348F" w:rsidP="00DE348F">
      <w:pPr>
        <w:pStyle w:val="ListParagraph"/>
        <w:numPr>
          <w:ilvl w:val="0"/>
          <w:numId w:val="3"/>
        </w:numPr>
        <w:spacing w:line="360" w:lineRule="auto"/>
        <w:jc w:val="both"/>
        <w:rPr>
          <w:rFonts w:ascii="Arial" w:hAnsi="Arial" w:cs="Arial"/>
          <w:sz w:val="24"/>
          <w:szCs w:val="24"/>
          <w:lang w:val="en-US"/>
        </w:rPr>
      </w:pPr>
      <w:r w:rsidRPr="007E311B">
        <w:rPr>
          <w:rFonts w:ascii="Arial" w:hAnsi="Arial" w:cs="Arial"/>
          <w:sz w:val="24"/>
          <w:szCs w:val="24"/>
          <w:lang w:val="en-US"/>
        </w:rPr>
        <w:t>Strong growth in e-commerce, which already accounts for 25% of all retail sales in the UK (ONS, 2023</w:t>
      </w:r>
      <w:r w:rsidR="00CC4B4B" w:rsidRPr="007E311B">
        <w:rPr>
          <w:rFonts w:ascii="Arial" w:hAnsi="Arial" w:cs="Arial"/>
          <w:sz w:val="24"/>
          <w:szCs w:val="24"/>
          <w:lang w:val="en-US"/>
        </w:rPr>
        <w:t>a</w:t>
      </w:r>
      <w:r w:rsidRPr="007E311B">
        <w:rPr>
          <w:rFonts w:ascii="Arial" w:hAnsi="Arial" w:cs="Arial"/>
          <w:sz w:val="24"/>
          <w:szCs w:val="24"/>
          <w:lang w:val="en-US"/>
        </w:rPr>
        <w:t xml:space="preserve">). </w:t>
      </w:r>
    </w:p>
    <w:p w14:paraId="69596874" w14:textId="1631D425" w:rsidR="00CC4B4B" w:rsidRPr="007E311B" w:rsidRDefault="007A436A" w:rsidP="00DE348F">
      <w:pPr>
        <w:pStyle w:val="ListParagraph"/>
        <w:numPr>
          <w:ilvl w:val="0"/>
          <w:numId w:val="3"/>
        </w:numPr>
        <w:spacing w:line="360" w:lineRule="auto"/>
        <w:jc w:val="both"/>
        <w:rPr>
          <w:rFonts w:ascii="Arial" w:hAnsi="Arial" w:cs="Arial"/>
          <w:sz w:val="24"/>
          <w:szCs w:val="24"/>
          <w:lang w:val="en-US"/>
        </w:rPr>
      </w:pPr>
      <w:r w:rsidRPr="007E311B">
        <w:rPr>
          <w:rFonts w:ascii="Arial" w:hAnsi="Arial" w:cs="Arial"/>
          <w:sz w:val="24"/>
          <w:szCs w:val="24"/>
          <w:lang w:val="en-US"/>
        </w:rPr>
        <w:t xml:space="preserve">Political stability in </w:t>
      </w:r>
      <w:r w:rsidR="00EA5546" w:rsidRPr="007E311B">
        <w:rPr>
          <w:rFonts w:ascii="Arial" w:hAnsi="Arial" w:cs="Arial"/>
          <w:sz w:val="24"/>
          <w:szCs w:val="24"/>
          <w:lang w:val="en-US"/>
        </w:rPr>
        <w:t>the UK is</w:t>
      </w:r>
      <w:r w:rsidRPr="007E311B">
        <w:rPr>
          <w:rFonts w:ascii="Arial" w:hAnsi="Arial" w:cs="Arial"/>
          <w:sz w:val="24"/>
          <w:szCs w:val="24"/>
          <w:lang w:val="en-US"/>
        </w:rPr>
        <w:t xml:space="preserve"> based on rule of law, institutional efficiency, limited </w:t>
      </w:r>
      <w:r w:rsidR="00EA5546" w:rsidRPr="007E311B">
        <w:rPr>
          <w:rFonts w:ascii="Arial" w:hAnsi="Arial" w:cs="Arial"/>
          <w:sz w:val="24"/>
          <w:szCs w:val="24"/>
          <w:lang w:val="en-US"/>
        </w:rPr>
        <w:t>corruption</w:t>
      </w:r>
      <w:r w:rsidRPr="007E311B">
        <w:rPr>
          <w:rFonts w:ascii="Arial" w:hAnsi="Arial" w:cs="Arial"/>
          <w:sz w:val="24"/>
          <w:szCs w:val="24"/>
          <w:lang w:val="en-US"/>
        </w:rPr>
        <w:t xml:space="preserve"> and business-friendly regulations (Transparency International, 2022).</w:t>
      </w:r>
    </w:p>
    <w:p w14:paraId="6DFA6CBE" w14:textId="5842002C" w:rsidR="007A436A" w:rsidRPr="007E311B" w:rsidRDefault="007A436A" w:rsidP="00DE348F">
      <w:pPr>
        <w:pStyle w:val="ListParagraph"/>
        <w:numPr>
          <w:ilvl w:val="0"/>
          <w:numId w:val="3"/>
        </w:numPr>
        <w:spacing w:line="360" w:lineRule="auto"/>
        <w:jc w:val="both"/>
        <w:rPr>
          <w:rFonts w:ascii="Arial" w:hAnsi="Arial" w:cs="Arial"/>
          <w:sz w:val="24"/>
          <w:szCs w:val="24"/>
          <w:lang w:val="en-US"/>
        </w:rPr>
      </w:pPr>
      <w:r w:rsidRPr="007E311B">
        <w:rPr>
          <w:rFonts w:ascii="Arial" w:hAnsi="Arial" w:cs="Arial"/>
          <w:sz w:val="24"/>
          <w:szCs w:val="24"/>
          <w:lang w:val="en-US"/>
        </w:rPr>
        <w:t xml:space="preserve">Strong population growth suggesting higher demand in the future (Worldometers, 2023). </w:t>
      </w:r>
    </w:p>
    <w:p w14:paraId="5D599658" w14:textId="2ED4A95E" w:rsidR="00617CC4" w:rsidRPr="007E311B" w:rsidRDefault="007A436A" w:rsidP="00E33B83">
      <w:pPr>
        <w:pStyle w:val="ListParagraph"/>
        <w:numPr>
          <w:ilvl w:val="0"/>
          <w:numId w:val="3"/>
        </w:numPr>
        <w:spacing w:line="360" w:lineRule="auto"/>
        <w:jc w:val="both"/>
        <w:rPr>
          <w:rFonts w:ascii="Arial" w:hAnsi="Arial" w:cs="Arial"/>
          <w:sz w:val="24"/>
          <w:szCs w:val="24"/>
          <w:lang w:val="en-US"/>
        </w:rPr>
      </w:pPr>
      <w:r w:rsidRPr="007E311B">
        <w:rPr>
          <w:rFonts w:ascii="Arial" w:hAnsi="Arial" w:cs="Arial"/>
          <w:sz w:val="24"/>
          <w:szCs w:val="24"/>
          <w:lang w:val="en-US"/>
        </w:rPr>
        <w:lastRenderedPageBreak/>
        <w:t xml:space="preserve">Solid growth in sustainable consumption (Statista, 2021). </w:t>
      </w:r>
    </w:p>
    <w:p w14:paraId="29EC434C" w14:textId="167BC386" w:rsidR="00617CC4" w:rsidRPr="007E311B" w:rsidRDefault="00617CC4" w:rsidP="00E33B83">
      <w:pPr>
        <w:spacing w:line="360" w:lineRule="auto"/>
        <w:jc w:val="both"/>
        <w:rPr>
          <w:rFonts w:ascii="Arial" w:hAnsi="Arial" w:cs="Arial"/>
          <w:b/>
          <w:bCs/>
          <w:i/>
          <w:iCs/>
          <w:sz w:val="24"/>
          <w:szCs w:val="24"/>
          <w:lang w:val="en-US"/>
        </w:rPr>
      </w:pPr>
      <w:r w:rsidRPr="007E311B">
        <w:rPr>
          <w:rFonts w:ascii="Arial" w:hAnsi="Arial" w:cs="Arial"/>
          <w:b/>
          <w:bCs/>
          <w:i/>
          <w:iCs/>
          <w:sz w:val="24"/>
          <w:szCs w:val="24"/>
          <w:lang w:val="en-US"/>
        </w:rPr>
        <w:t xml:space="preserve">Threats </w:t>
      </w:r>
    </w:p>
    <w:p w14:paraId="6C9479E4" w14:textId="279C5824" w:rsidR="00D65839" w:rsidRPr="007E311B" w:rsidRDefault="00DE348F"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 xml:space="preserve">Very high inflation rate (10.1%) making UK consumers migrate to discounters – Aldi and Lidl </w:t>
      </w:r>
      <w:r w:rsidR="00CC4B4B" w:rsidRPr="007E311B">
        <w:rPr>
          <w:rFonts w:ascii="Arial" w:hAnsi="Arial" w:cs="Arial"/>
          <w:sz w:val="24"/>
          <w:szCs w:val="24"/>
          <w:lang w:val="en-US"/>
        </w:rPr>
        <w:t>(Trading Economics, 2023)</w:t>
      </w:r>
      <w:r w:rsidRPr="007E311B">
        <w:rPr>
          <w:rFonts w:ascii="Arial" w:hAnsi="Arial" w:cs="Arial"/>
          <w:sz w:val="24"/>
          <w:szCs w:val="24"/>
          <w:lang w:val="en-US"/>
        </w:rPr>
        <w:t>.</w:t>
      </w:r>
    </w:p>
    <w:p w14:paraId="60FD1A8E" w14:textId="4FBD0848" w:rsidR="00DE348F" w:rsidRPr="007E311B" w:rsidRDefault="00DE348F"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Low unemployment rate of just 3.8% driving salary costs and making recruitment of new employees more difficult (ONS, 2023</w:t>
      </w:r>
      <w:r w:rsidR="00CC4B4B" w:rsidRPr="007E311B">
        <w:rPr>
          <w:rFonts w:ascii="Arial" w:hAnsi="Arial" w:cs="Arial"/>
          <w:sz w:val="24"/>
          <w:szCs w:val="24"/>
          <w:lang w:val="en-US"/>
        </w:rPr>
        <w:t>b</w:t>
      </w:r>
      <w:r w:rsidRPr="007E311B">
        <w:rPr>
          <w:rFonts w:ascii="Arial" w:hAnsi="Arial" w:cs="Arial"/>
          <w:sz w:val="24"/>
          <w:szCs w:val="24"/>
          <w:lang w:val="en-US"/>
        </w:rPr>
        <w:t xml:space="preserve">). </w:t>
      </w:r>
    </w:p>
    <w:p w14:paraId="3F8CC441" w14:textId="1976A7B9" w:rsidR="00B6413A" w:rsidRPr="007E311B" w:rsidRDefault="00B6413A"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 xml:space="preserve">Practically no economic growth when comparing UK’s total GDP with the pre-pandemic peak levels of 2019 – a key factor showing no real income growth (Harari, 2023). </w:t>
      </w:r>
    </w:p>
    <w:p w14:paraId="5580BF41" w14:textId="458F77EF" w:rsidR="00DE348F" w:rsidRPr="007E311B" w:rsidRDefault="00DE348F"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Intensified level of competition in the market, especially by discounters (Marketing Week, 2023).</w:t>
      </w:r>
    </w:p>
    <w:p w14:paraId="0405D9A9" w14:textId="50FF2D69" w:rsidR="00DE348F" w:rsidRPr="007E311B" w:rsidRDefault="00DE348F"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Geopolitical uncertainty.</w:t>
      </w:r>
    </w:p>
    <w:p w14:paraId="42A20715" w14:textId="2232DDA4" w:rsidR="00DE348F" w:rsidRPr="007E311B" w:rsidRDefault="00DE348F" w:rsidP="00DE348F">
      <w:pPr>
        <w:pStyle w:val="ListParagraph"/>
        <w:numPr>
          <w:ilvl w:val="0"/>
          <w:numId w:val="4"/>
        </w:numPr>
        <w:spacing w:line="360" w:lineRule="auto"/>
        <w:jc w:val="both"/>
        <w:rPr>
          <w:rFonts w:ascii="Arial" w:hAnsi="Arial" w:cs="Arial"/>
          <w:sz w:val="24"/>
          <w:szCs w:val="24"/>
          <w:lang w:val="en-US"/>
        </w:rPr>
      </w:pPr>
      <w:r w:rsidRPr="007E311B">
        <w:rPr>
          <w:rFonts w:ascii="Arial" w:hAnsi="Arial" w:cs="Arial"/>
          <w:sz w:val="24"/>
          <w:szCs w:val="24"/>
          <w:lang w:val="en-US"/>
        </w:rPr>
        <w:t xml:space="preserve">Exchange rate fluctuations making cross-border management of cash flows more unpredictable (Krugman and Wells, 2020). </w:t>
      </w:r>
    </w:p>
    <w:p w14:paraId="41C83B07" w14:textId="4FDBCD49" w:rsidR="00D65839" w:rsidRPr="007E311B" w:rsidRDefault="00F349F4"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SWOT findings are extensive. Considering the studied problem, it is important to note that labour is scarce in the key macroeconomic environment due to the low unemployment (threat). Tesco must also consider the threats of intensified competition and migration to discounters in a highly inflationary environment (threats). Therefore, the company has to use its extensive resources to develop better policies ensuring fair treatment of the considerable workforce – a key strength for the company. In general, better treatment and fair policies could also strengthen female employee motivation and retention; thereby, enhancing the performance of Tesco in a challenging external environment. </w:t>
      </w:r>
    </w:p>
    <w:p w14:paraId="008E464C" w14:textId="77777777" w:rsidR="00E33B83" w:rsidRPr="007E311B" w:rsidRDefault="00E33B83" w:rsidP="003B3962">
      <w:pPr>
        <w:pStyle w:val="Heading1"/>
        <w:spacing w:before="0" w:after="240"/>
        <w:rPr>
          <w:rFonts w:ascii="Arial" w:hAnsi="Arial" w:cs="Arial"/>
          <w:lang w:val="en-US"/>
        </w:rPr>
      </w:pPr>
      <w:bookmarkStart w:id="7" w:name="_Toc133446218"/>
      <w:r w:rsidRPr="007E311B">
        <w:rPr>
          <w:rFonts w:ascii="Arial" w:hAnsi="Arial" w:cs="Arial"/>
          <w:lang w:val="en-US"/>
        </w:rPr>
        <w:t>Range of alternative solutions</w:t>
      </w:r>
      <w:bookmarkEnd w:id="7"/>
    </w:p>
    <w:p w14:paraId="6A74DA36" w14:textId="6A98895B" w:rsidR="00777ACA" w:rsidRPr="007E311B" w:rsidRDefault="007C5B2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analysis of the company’s problems and key external trends demonstrate the importance of having </w:t>
      </w:r>
      <w:r w:rsidR="003B3962" w:rsidRPr="007E311B">
        <w:rPr>
          <w:rFonts w:ascii="Arial" w:hAnsi="Arial" w:cs="Arial"/>
          <w:sz w:val="24"/>
          <w:szCs w:val="24"/>
          <w:lang w:val="en-US"/>
        </w:rPr>
        <w:t>a motivated</w:t>
      </w:r>
      <w:r w:rsidRPr="007E311B">
        <w:rPr>
          <w:rFonts w:ascii="Arial" w:hAnsi="Arial" w:cs="Arial"/>
          <w:sz w:val="24"/>
          <w:szCs w:val="24"/>
          <w:lang w:val="en-US"/>
        </w:rPr>
        <w:t xml:space="preserve"> workforce to stay competitive in a dynamic and challenging environment. </w:t>
      </w:r>
      <w:r w:rsidR="00777ACA" w:rsidRPr="007E311B">
        <w:rPr>
          <w:rFonts w:ascii="Arial" w:hAnsi="Arial" w:cs="Arial"/>
          <w:sz w:val="24"/>
          <w:szCs w:val="24"/>
          <w:lang w:val="en-US"/>
        </w:rPr>
        <w:t xml:space="preserve">Therefore, three solutions are offered to Tesco. </w:t>
      </w:r>
    </w:p>
    <w:p w14:paraId="6AED94E5" w14:textId="25EC7588" w:rsidR="00777ACA" w:rsidRPr="007E311B" w:rsidRDefault="00777ACA" w:rsidP="00E33B83">
      <w:pPr>
        <w:spacing w:line="360" w:lineRule="auto"/>
        <w:jc w:val="both"/>
        <w:rPr>
          <w:rFonts w:ascii="Arial" w:hAnsi="Arial" w:cs="Arial"/>
          <w:sz w:val="24"/>
          <w:szCs w:val="24"/>
          <w:lang w:val="en-US"/>
        </w:rPr>
      </w:pPr>
      <w:r w:rsidRPr="007E311B">
        <w:rPr>
          <w:rFonts w:ascii="Arial" w:hAnsi="Arial" w:cs="Arial"/>
          <w:b/>
          <w:bCs/>
          <w:i/>
          <w:iCs/>
          <w:sz w:val="24"/>
          <w:szCs w:val="24"/>
          <w:lang w:val="en-US"/>
        </w:rPr>
        <w:t>Solution 1</w:t>
      </w:r>
      <w:r w:rsidRPr="007E311B">
        <w:rPr>
          <w:rFonts w:ascii="Arial" w:hAnsi="Arial" w:cs="Arial"/>
          <w:sz w:val="24"/>
          <w:szCs w:val="24"/>
          <w:lang w:val="en-US"/>
        </w:rPr>
        <w:t xml:space="preserve">: Immediately equalise all pay rates for a given position regardless of gender to eliminate the pay gap. </w:t>
      </w:r>
    </w:p>
    <w:p w14:paraId="4EF0B5FD" w14:textId="4ECD9A98" w:rsidR="00777ACA" w:rsidRPr="007E311B" w:rsidRDefault="00777ACA" w:rsidP="00E33B83">
      <w:pPr>
        <w:spacing w:line="360" w:lineRule="auto"/>
        <w:jc w:val="both"/>
        <w:rPr>
          <w:rFonts w:ascii="Arial" w:hAnsi="Arial" w:cs="Arial"/>
          <w:sz w:val="24"/>
          <w:szCs w:val="24"/>
          <w:lang w:val="en-US"/>
        </w:rPr>
      </w:pPr>
      <w:r w:rsidRPr="007E311B">
        <w:rPr>
          <w:rFonts w:ascii="Arial" w:hAnsi="Arial" w:cs="Arial"/>
          <w:b/>
          <w:bCs/>
          <w:i/>
          <w:iCs/>
          <w:sz w:val="24"/>
          <w:szCs w:val="24"/>
          <w:lang w:val="en-US"/>
        </w:rPr>
        <w:t>Solution 2</w:t>
      </w:r>
      <w:r w:rsidRPr="007E311B">
        <w:rPr>
          <w:rFonts w:ascii="Arial" w:hAnsi="Arial" w:cs="Arial"/>
          <w:sz w:val="24"/>
          <w:szCs w:val="24"/>
          <w:lang w:val="en-US"/>
        </w:rPr>
        <w:t>: Implement a three-year plan for a step-by-step gradual reduction in the gender-based pay gap, so that the latter is reduced to just 3%.</w:t>
      </w:r>
    </w:p>
    <w:p w14:paraId="62AE51BB" w14:textId="42501412" w:rsidR="00777ACA" w:rsidRPr="007E311B" w:rsidRDefault="00777ACA" w:rsidP="00E33B83">
      <w:pPr>
        <w:spacing w:line="360" w:lineRule="auto"/>
        <w:jc w:val="both"/>
        <w:rPr>
          <w:rFonts w:ascii="Arial" w:hAnsi="Arial" w:cs="Arial"/>
          <w:sz w:val="24"/>
          <w:szCs w:val="24"/>
          <w:lang w:val="en-US"/>
        </w:rPr>
      </w:pPr>
      <w:r w:rsidRPr="007E311B">
        <w:rPr>
          <w:rFonts w:ascii="Arial" w:hAnsi="Arial" w:cs="Arial"/>
          <w:b/>
          <w:bCs/>
          <w:i/>
          <w:iCs/>
          <w:sz w:val="24"/>
          <w:szCs w:val="24"/>
          <w:lang w:val="en-US"/>
        </w:rPr>
        <w:lastRenderedPageBreak/>
        <w:t>Solution 3</w:t>
      </w:r>
      <w:r w:rsidRPr="007E311B">
        <w:rPr>
          <w:rFonts w:ascii="Arial" w:hAnsi="Arial" w:cs="Arial"/>
          <w:sz w:val="24"/>
          <w:szCs w:val="24"/>
          <w:lang w:val="en-US"/>
        </w:rPr>
        <w:t xml:space="preserve">: Propose an ambitious career growth and promotion scheme to female employees to boost their career development prospects and ability to occupy better paid positions in the company. </w:t>
      </w:r>
    </w:p>
    <w:p w14:paraId="37DA22F8" w14:textId="77777777" w:rsidR="00E33B83" w:rsidRPr="007E311B" w:rsidRDefault="00E33B83" w:rsidP="003B3962">
      <w:pPr>
        <w:pStyle w:val="Heading2"/>
        <w:spacing w:before="0"/>
        <w:rPr>
          <w:rFonts w:ascii="Arial" w:hAnsi="Arial" w:cs="Arial"/>
          <w:lang w:val="en-US"/>
        </w:rPr>
      </w:pPr>
      <w:bookmarkStart w:id="8" w:name="_Toc133446219"/>
      <w:r w:rsidRPr="007E311B">
        <w:rPr>
          <w:rFonts w:ascii="Arial" w:hAnsi="Arial" w:cs="Arial"/>
          <w:lang w:val="en-US"/>
        </w:rPr>
        <w:t>Evaluation of alternative solutions</w:t>
      </w:r>
      <w:bookmarkEnd w:id="8"/>
    </w:p>
    <w:p w14:paraId="467C63ED" w14:textId="29F376A9" w:rsidR="00E33B83" w:rsidRPr="007E311B" w:rsidRDefault="00777ACA"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solutions are plausible but difficult to determine the most appropriate one. The sole existence of gender-based gap means that many employees do not consider it as a major issue. In contrast, the problem continues to inhibit Tesco’s performance. Hence, it is important to carefully analyse the profile of each solution based on an objective assessment scheme. The following weighted decision-making matrix considers several criteria – cost, speed of change (time), scope and resistance to change. The latter is a major inhibiting factor and sabotage by male employees or other stakeholders may eventually lead to a failure (Rollinson, 2019). Hence, the proposed change should be feasible and accepted by organisational members. </w:t>
      </w:r>
    </w:p>
    <w:p w14:paraId="5AF90DB1" w14:textId="5DBCE625" w:rsidR="00777ACA" w:rsidRPr="007E311B" w:rsidRDefault="00777ACA" w:rsidP="00E33B83">
      <w:pPr>
        <w:spacing w:line="360" w:lineRule="auto"/>
        <w:jc w:val="both"/>
        <w:rPr>
          <w:rFonts w:ascii="Arial" w:hAnsi="Arial" w:cs="Arial"/>
          <w:sz w:val="24"/>
          <w:szCs w:val="24"/>
          <w:lang w:val="en-US"/>
        </w:rPr>
      </w:pPr>
      <w:r w:rsidRPr="007E311B">
        <w:rPr>
          <w:rFonts w:ascii="Arial" w:hAnsi="Arial" w:cs="Arial"/>
          <w:sz w:val="24"/>
          <w:szCs w:val="24"/>
          <w:lang w:val="en-US"/>
        </w:rPr>
        <w:t>Each of the four indicators has a unique weight (1-4) in the analysis measuring its importance. Similarly, the three solutions are evaluated based on the same quantitative scheme.</w:t>
      </w:r>
      <w:r w:rsidR="004C0525" w:rsidRPr="007E311B">
        <w:rPr>
          <w:rFonts w:ascii="Arial" w:hAnsi="Arial" w:cs="Arial"/>
          <w:sz w:val="24"/>
          <w:szCs w:val="24"/>
          <w:lang w:val="en-US"/>
        </w:rPr>
        <w:t xml:space="preserve"> The solution with the highest score is implemented. High scores indicate </w:t>
      </w:r>
      <w:r w:rsidR="00866715" w:rsidRPr="007E311B">
        <w:rPr>
          <w:rFonts w:ascii="Arial" w:hAnsi="Arial" w:cs="Arial"/>
          <w:sz w:val="24"/>
          <w:szCs w:val="24"/>
          <w:lang w:val="en-US"/>
        </w:rPr>
        <w:t>a positive</w:t>
      </w:r>
      <w:r w:rsidR="004C0525" w:rsidRPr="007E311B">
        <w:rPr>
          <w:rFonts w:ascii="Arial" w:hAnsi="Arial" w:cs="Arial"/>
          <w:sz w:val="24"/>
          <w:szCs w:val="24"/>
          <w:lang w:val="en-US"/>
        </w:rPr>
        <w:t xml:space="preserve"> profile, whereas low scores are synonymous </w:t>
      </w:r>
      <w:r w:rsidR="00DA4CA5" w:rsidRPr="007E311B">
        <w:rPr>
          <w:rFonts w:ascii="Arial" w:hAnsi="Arial" w:cs="Arial"/>
          <w:sz w:val="24"/>
          <w:szCs w:val="24"/>
          <w:lang w:val="en-US"/>
        </w:rPr>
        <w:t>with</w:t>
      </w:r>
      <w:r w:rsidR="004C0525" w:rsidRPr="007E311B">
        <w:rPr>
          <w:rFonts w:ascii="Arial" w:hAnsi="Arial" w:cs="Arial"/>
          <w:sz w:val="24"/>
          <w:szCs w:val="24"/>
          <w:lang w:val="en-US"/>
        </w:rPr>
        <w:t xml:space="preserve"> difficulties and potential issues. </w:t>
      </w:r>
    </w:p>
    <w:p w14:paraId="5983528A" w14:textId="50F38741" w:rsidR="00777ACA" w:rsidRPr="007E311B" w:rsidRDefault="00777ACA" w:rsidP="00E33B83">
      <w:pPr>
        <w:spacing w:line="360" w:lineRule="auto"/>
        <w:jc w:val="both"/>
        <w:rPr>
          <w:rFonts w:ascii="Arial" w:hAnsi="Arial" w:cs="Arial"/>
          <w:b/>
          <w:bCs/>
          <w:sz w:val="24"/>
          <w:szCs w:val="24"/>
          <w:lang w:val="en-US"/>
        </w:rPr>
      </w:pPr>
      <w:r w:rsidRPr="007E311B">
        <w:rPr>
          <w:rFonts w:ascii="Arial" w:hAnsi="Arial" w:cs="Arial"/>
          <w:b/>
          <w:bCs/>
          <w:sz w:val="24"/>
          <w:szCs w:val="24"/>
          <w:lang w:val="en-US"/>
        </w:rPr>
        <w:t>Table 1 – Weighted decision-making matrix</w:t>
      </w:r>
    </w:p>
    <w:tbl>
      <w:tblPr>
        <w:tblStyle w:val="TableGrid"/>
        <w:tblW w:w="0" w:type="auto"/>
        <w:tblInd w:w="-5" w:type="dxa"/>
        <w:tblLook w:val="04A0" w:firstRow="1" w:lastRow="0" w:firstColumn="1" w:lastColumn="0" w:noHBand="0" w:noVBand="1"/>
      </w:tblPr>
      <w:tblGrid>
        <w:gridCol w:w="1916"/>
        <w:gridCol w:w="709"/>
        <w:gridCol w:w="1102"/>
        <w:gridCol w:w="964"/>
        <w:gridCol w:w="1102"/>
        <w:gridCol w:w="1088"/>
        <w:gridCol w:w="1112"/>
        <w:gridCol w:w="1074"/>
      </w:tblGrid>
      <w:tr w:rsidR="00777ACA" w:rsidRPr="007E311B" w14:paraId="2C7AE3F6" w14:textId="77777777" w:rsidTr="003B3962">
        <w:trPr>
          <w:cantSplit/>
          <w:trHeight w:val="1134"/>
        </w:trPr>
        <w:tc>
          <w:tcPr>
            <w:tcW w:w="1985" w:type="dxa"/>
          </w:tcPr>
          <w:p w14:paraId="0002F5A4" w14:textId="4A7498E4" w:rsidR="00777ACA" w:rsidRPr="007E311B" w:rsidRDefault="00866715"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Evaluation c</w:t>
            </w:r>
            <w:r w:rsidR="00777ACA" w:rsidRPr="007E311B">
              <w:rPr>
                <w:rFonts w:ascii="Arial" w:hAnsi="Arial" w:cs="Arial"/>
                <w:b/>
                <w:bCs/>
                <w:sz w:val="24"/>
                <w:szCs w:val="24"/>
                <w:lang w:val="en-US"/>
              </w:rPr>
              <w:t>riteria</w:t>
            </w:r>
            <w:r w:rsidRPr="007E311B">
              <w:rPr>
                <w:rFonts w:ascii="Arial" w:hAnsi="Arial" w:cs="Arial"/>
                <w:b/>
                <w:bCs/>
                <w:sz w:val="24"/>
                <w:szCs w:val="24"/>
                <w:lang w:val="en-US"/>
              </w:rPr>
              <w:t xml:space="preserve"> (ranking)</w:t>
            </w:r>
          </w:p>
        </w:tc>
        <w:tc>
          <w:tcPr>
            <w:tcW w:w="425" w:type="dxa"/>
            <w:textDirection w:val="btLr"/>
          </w:tcPr>
          <w:p w14:paraId="0C964669" w14:textId="77777777" w:rsidR="00777ACA" w:rsidRPr="007E311B" w:rsidRDefault="00777ACA" w:rsidP="003B3962">
            <w:pPr>
              <w:spacing w:after="160" w:line="276" w:lineRule="auto"/>
              <w:ind w:left="113" w:right="113"/>
              <w:jc w:val="center"/>
              <w:rPr>
                <w:rFonts w:ascii="Arial" w:hAnsi="Arial" w:cs="Arial"/>
                <w:b/>
                <w:bCs/>
                <w:sz w:val="24"/>
                <w:szCs w:val="24"/>
                <w:lang w:val="en-US"/>
              </w:rPr>
            </w:pPr>
            <w:r w:rsidRPr="007E311B">
              <w:rPr>
                <w:rFonts w:ascii="Arial" w:hAnsi="Arial" w:cs="Arial"/>
                <w:b/>
                <w:bCs/>
                <w:sz w:val="24"/>
                <w:szCs w:val="24"/>
                <w:lang w:val="en-US"/>
              </w:rPr>
              <w:t>Weight</w:t>
            </w:r>
          </w:p>
        </w:tc>
        <w:tc>
          <w:tcPr>
            <w:tcW w:w="2126" w:type="dxa"/>
            <w:gridSpan w:val="2"/>
          </w:tcPr>
          <w:p w14:paraId="7C17D59A" w14:textId="135B0847" w:rsidR="00777ACA" w:rsidRPr="007E311B" w:rsidRDefault="004C0525"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Immediate elimination of pay gap</w:t>
            </w:r>
          </w:p>
        </w:tc>
        <w:tc>
          <w:tcPr>
            <w:tcW w:w="2268" w:type="dxa"/>
            <w:gridSpan w:val="2"/>
          </w:tcPr>
          <w:p w14:paraId="396A6A1B" w14:textId="14833EDD" w:rsidR="00777ACA" w:rsidRPr="007E311B" w:rsidRDefault="004C0525"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 xml:space="preserve">Gradual pay-gap reduction plan </w:t>
            </w:r>
          </w:p>
        </w:tc>
        <w:tc>
          <w:tcPr>
            <w:tcW w:w="2263" w:type="dxa"/>
            <w:gridSpan w:val="2"/>
          </w:tcPr>
          <w:p w14:paraId="4275639A" w14:textId="1B1E5703" w:rsidR="00777ACA" w:rsidRPr="007E311B" w:rsidRDefault="004C0525"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Career growth and promotional quotas</w:t>
            </w:r>
          </w:p>
        </w:tc>
      </w:tr>
      <w:tr w:rsidR="003B3962" w:rsidRPr="007E311B" w14:paraId="45069647" w14:textId="77777777" w:rsidTr="003B3962">
        <w:tc>
          <w:tcPr>
            <w:tcW w:w="1985" w:type="dxa"/>
          </w:tcPr>
          <w:p w14:paraId="0188261E" w14:textId="77777777" w:rsidR="00777ACA" w:rsidRPr="007E311B" w:rsidRDefault="00777ACA" w:rsidP="00866715">
            <w:pPr>
              <w:spacing w:after="160" w:line="276" w:lineRule="auto"/>
              <w:jc w:val="both"/>
              <w:rPr>
                <w:rFonts w:ascii="Arial" w:hAnsi="Arial" w:cs="Arial"/>
                <w:sz w:val="24"/>
                <w:szCs w:val="24"/>
                <w:lang w:val="en-US"/>
              </w:rPr>
            </w:pPr>
          </w:p>
        </w:tc>
        <w:tc>
          <w:tcPr>
            <w:tcW w:w="425" w:type="dxa"/>
          </w:tcPr>
          <w:p w14:paraId="5F2B06E4" w14:textId="77777777" w:rsidR="00777ACA" w:rsidRPr="007E311B" w:rsidRDefault="00777ACA" w:rsidP="00866715">
            <w:pPr>
              <w:spacing w:after="160" w:line="276" w:lineRule="auto"/>
              <w:jc w:val="both"/>
              <w:rPr>
                <w:rFonts w:ascii="Arial" w:hAnsi="Arial" w:cs="Arial"/>
                <w:sz w:val="24"/>
                <w:szCs w:val="24"/>
                <w:lang w:val="en-US"/>
              </w:rPr>
            </w:pPr>
          </w:p>
        </w:tc>
        <w:tc>
          <w:tcPr>
            <w:tcW w:w="1134" w:type="dxa"/>
          </w:tcPr>
          <w:p w14:paraId="10B4494D" w14:textId="77777777"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Score</w:t>
            </w:r>
          </w:p>
        </w:tc>
        <w:tc>
          <w:tcPr>
            <w:tcW w:w="992" w:type="dxa"/>
          </w:tcPr>
          <w:p w14:paraId="6F6CC033" w14:textId="2979436E"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Total</w:t>
            </w:r>
          </w:p>
        </w:tc>
        <w:tc>
          <w:tcPr>
            <w:tcW w:w="1134" w:type="dxa"/>
          </w:tcPr>
          <w:p w14:paraId="3A164B54" w14:textId="77777777"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Score</w:t>
            </w:r>
          </w:p>
        </w:tc>
        <w:tc>
          <w:tcPr>
            <w:tcW w:w="1134" w:type="dxa"/>
          </w:tcPr>
          <w:p w14:paraId="0454B773" w14:textId="77777777"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Total</w:t>
            </w:r>
          </w:p>
        </w:tc>
        <w:tc>
          <w:tcPr>
            <w:tcW w:w="1145" w:type="dxa"/>
          </w:tcPr>
          <w:p w14:paraId="410E79C3" w14:textId="77777777"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Score</w:t>
            </w:r>
          </w:p>
        </w:tc>
        <w:tc>
          <w:tcPr>
            <w:tcW w:w="1118" w:type="dxa"/>
          </w:tcPr>
          <w:p w14:paraId="63621683" w14:textId="2C1CA130" w:rsidR="00777ACA" w:rsidRPr="007E311B" w:rsidRDefault="00777ACA" w:rsidP="00866715">
            <w:pPr>
              <w:spacing w:after="160" w:line="276" w:lineRule="auto"/>
              <w:jc w:val="center"/>
              <w:rPr>
                <w:rFonts w:ascii="Arial" w:hAnsi="Arial" w:cs="Arial"/>
                <w:b/>
                <w:bCs/>
                <w:sz w:val="24"/>
                <w:szCs w:val="24"/>
                <w:lang w:val="en-US"/>
              </w:rPr>
            </w:pPr>
            <w:r w:rsidRPr="007E311B">
              <w:rPr>
                <w:rFonts w:ascii="Arial" w:hAnsi="Arial" w:cs="Arial"/>
                <w:b/>
                <w:bCs/>
                <w:sz w:val="24"/>
                <w:szCs w:val="24"/>
                <w:lang w:val="en-US"/>
              </w:rPr>
              <w:t>Total</w:t>
            </w:r>
          </w:p>
        </w:tc>
      </w:tr>
      <w:tr w:rsidR="003B3962" w:rsidRPr="007E311B" w14:paraId="7029726B" w14:textId="77777777" w:rsidTr="003B3962">
        <w:tc>
          <w:tcPr>
            <w:tcW w:w="1985" w:type="dxa"/>
          </w:tcPr>
          <w:p w14:paraId="28BFF0D8" w14:textId="72AEF0AF" w:rsidR="00777ACA" w:rsidRPr="007E311B" w:rsidRDefault="004C0525" w:rsidP="003B3962">
            <w:pPr>
              <w:spacing w:after="160" w:line="276" w:lineRule="auto"/>
              <w:rPr>
                <w:rFonts w:ascii="Arial" w:hAnsi="Arial" w:cs="Arial"/>
                <w:sz w:val="24"/>
                <w:szCs w:val="24"/>
                <w:lang w:val="en-US"/>
              </w:rPr>
            </w:pPr>
            <w:r w:rsidRPr="007E311B">
              <w:rPr>
                <w:rFonts w:ascii="Arial" w:hAnsi="Arial" w:cs="Arial"/>
                <w:sz w:val="24"/>
                <w:szCs w:val="24"/>
                <w:lang w:val="en-US"/>
              </w:rPr>
              <w:t>Cost</w:t>
            </w:r>
          </w:p>
        </w:tc>
        <w:tc>
          <w:tcPr>
            <w:tcW w:w="425" w:type="dxa"/>
          </w:tcPr>
          <w:p w14:paraId="66875A25" w14:textId="77777777" w:rsidR="00777ACA" w:rsidRPr="007E311B" w:rsidRDefault="00777AC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1134" w:type="dxa"/>
          </w:tcPr>
          <w:p w14:paraId="719A28D0" w14:textId="761A2DD4"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1</w:t>
            </w:r>
          </w:p>
        </w:tc>
        <w:tc>
          <w:tcPr>
            <w:tcW w:w="992" w:type="dxa"/>
          </w:tcPr>
          <w:p w14:paraId="421C9891" w14:textId="655D1766"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1134" w:type="dxa"/>
          </w:tcPr>
          <w:p w14:paraId="5E15C6D2" w14:textId="2C6769F2" w:rsidR="00777ACA" w:rsidRPr="007E311B" w:rsidRDefault="0098183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34" w:type="dxa"/>
          </w:tcPr>
          <w:p w14:paraId="04793F75" w14:textId="501D3948" w:rsidR="00777ACA" w:rsidRPr="007E311B" w:rsidRDefault="0098183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12</w:t>
            </w:r>
          </w:p>
        </w:tc>
        <w:tc>
          <w:tcPr>
            <w:tcW w:w="1145" w:type="dxa"/>
          </w:tcPr>
          <w:p w14:paraId="3A8424D3" w14:textId="6A40A5E6" w:rsidR="00777ACA" w:rsidRPr="007E311B" w:rsidRDefault="00DA4CA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2</w:t>
            </w:r>
          </w:p>
        </w:tc>
        <w:tc>
          <w:tcPr>
            <w:tcW w:w="1118" w:type="dxa"/>
          </w:tcPr>
          <w:p w14:paraId="7A858AC4" w14:textId="329C2899" w:rsidR="00777ACA" w:rsidRPr="007E311B" w:rsidRDefault="00DA4CA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8</w:t>
            </w:r>
          </w:p>
        </w:tc>
      </w:tr>
      <w:tr w:rsidR="003B3962" w:rsidRPr="007E311B" w14:paraId="49E957B0" w14:textId="77777777" w:rsidTr="003B3962">
        <w:tc>
          <w:tcPr>
            <w:tcW w:w="1985" w:type="dxa"/>
          </w:tcPr>
          <w:p w14:paraId="01175E66" w14:textId="7A3EF8EB" w:rsidR="00777ACA" w:rsidRPr="007E311B" w:rsidRDefault="004C0525" w:rsidP="003B3962">
            <w:pPr>
              <w:spacing w:after="160" w:line="276" w:lineRule="auto"/>
              <w:rPr>
                <w:rFonts w:ascii="Arial" w:hAnsi="Arial" w:cs="Arial"/>
                <w:sz w:val="24"/>
                <w:szCs w:val="24"/>
                <w:lang w:val="en-US"/>
              </w:rPr>
            </w:pPr>
            <w:r w:rsidRPr="007E311B">
              <w:rPr>
                <w:rFonts w:ascii="Arial" w:hAnsi="Arial" w:cs="Arial"/>
                <w:sz w:val="24"/>
                <w:szCs w:val="24"/>
                <w:lang w:val="en-US"/>
              </w:rPr>
              <w:t xml:space="preserve">Resistance to change  </w:t>
            </w:r>
          </w:p>
        </w:tc>
        <w:tc>
          <w:tcPr>
            <w:tcW w:w="425" w:type="dxa"/>
          </w:tcPr>
          <w:p w14:paraId="788D1557" w14:textId="77777777" w:rsidR="00777ACA" w:rsidRPr="007E311B" w:rsidRDefault="00777AC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34" w:type="dxa"/>
          </w:tcPr>
          <w:p w14:paraId="5778A3D7" w14:textId="3F5787C9"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1</w:t>
            </w:r>
          </w:p>
        </w:tc>
        <w:tc>
          <w:tcPr>
            <w:tcW w:w="992" w:type="dxa"/>
          </w:tcPr>
          <w:p w14:paraId="4A325070" w14:textId="1C00FACB"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34" w:type="dxa"/>
          </w:tcPr>
          <w:p w14:paraId="0744B0A8" w14:textId="7D2490B1" w:rsidR="00777ACA" w:rsidRPr="007E311B" w:rsidRDefault="0098183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34" w:type="dxa"/>
          </w:tcPr>
          <w:p w14:paraId="7139D9F2" w14:textId="7ECFCCE9" w:rsidR="00777ACA" w:rsidRPr="007E311B" w:rsidRDefault="0098183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9</w:t>
            </w:r>
          </w:p>
        </w:tc>
        <w:tc>
          <w:tcPr>
            <w:tcW w:w="1145" w:type="dxa"/>
          </w:tcPr>
          <w:p w14:paraId="536B0C9A" w14:textId="4909479F" w:rsidR="00777ACA" w:rsidRPr="007E311B" w:rsidRDefault="00DA4CA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18" w:type="dxa"/>
          </w:tcPr>
          <w:p w14:paraId="4CCF5B2B" w14:textId="1C6CA00B" w:rsidR="00777ACA" w:rsidRPr="007E311B" w:rsidRDefault="00DA4CA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9</w:t>
            </w:r>
          </w:p>
        </w:tc>
      </w:tr>
      <w:tr w:rsidR="003B3962" w:rsidRPr="007E311B" w14:paraId="18754910" w14:textId="77777777" w:rsidTr="003B3962">
        <w:tc>
          <w:tcPr>
            <w:tcW w:w="1985" w:type="dxa"/>
          </w:tcPr>
          <w:p w14:paraId="17D5D754" w14:textId="7E433FF0" w:rsidR="00777ACA" w:rsidRPr="007E311B" w:rsidRDefault="004C0525" w:rsidP="003B3962">
            <w:pPr>
              <w:spacing w:after="160" w:line="276" w:lineRule="auto"/>
              <w:rPr>
                <w:rFonts w:ascii="Arial" w:hAnsi="Arial" w:cs="Arial"/>
                <w:sz w:val="24"/>
                <w:szCs w:val="24"/>
                <w:lang w:val="en-US"/>
              </w:rPr>
            </w:pPr>
            <w:r w:rsidRPr="007E311B">
              <w:rPr>
                <w:rFonts w:ascii="Arial" w:hAnsi="Arial" w:cs="Arial"/>
                <w:sz w:val="24"/>
                <w:szCs w:val="24"/>
                <w:lang w:val="en-US"/>
              </w:rPr>
              <w:t>Time</w:t>
            </w:r>
          </w:p>
        </w:tc>
        <w:tc>
          <w:tcPr>
            <w:tcW w:w="425" w:type="dxa"/>
          </w:tcPr>
          <w:p w14:paraId="01B26392" w14:textId="77777777" w:rsidR="00777ACA" w:rsidRPr="007E311B" w:rsidRDefault="00777AC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2</w:t>
            </w:r>
          </w:p>
        </w:tc>
        <w:tc>
          <w:tcPr>
            <w:tcW w:w="1134" w:type="dxa"/>
          </w:tcPr>
          <w:p w14:paraId="33A29867" w14:textId="6CA2103D"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992" w:type="dxa"/>
          </w:tcPr>
          <w:p w14:paraId="7FBD8261" w14:textId="2055F3D7"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8</w:t>
            </w:r>
          </w:p>
        </w:tc>
        <w:tc>
          <w:tcPr>
            <w:tcW w:w="1134" w:type="dxa"/>
          </w:tcPr>
          <w:p w14:paraId="243FC7B7" w14:textId="02435646" w:rsidR="00777ACA" w:rsidRPr="007E311B" w:rsidRDefault="003843A9"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2</w:t>
            </w:r>
          </w:p>
        </w:tc>
        <w:tc>
          <w:tcPr>
            <w:tcW w:w="1134" w:type="dxa"/>
          </w:tcPr>
          <w:p w14:paraId="3DDD705A" w14:textId="08D3E615" w:rsidR="00777ACA" w:rsidRPr="007E311B" w:rsidRDefault="003843A9"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1145" w:type="dxa"/>
          </w:tcPr>
          <w:p w14:paraId="732C015D" w14:textId="1528CE7D" w:rsidR="00777ACA" w:rsidRPr="007E311B" w:rsidRDefault="00DA4CA5"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2</w:t>
            </w:r>
          </w:p>
        </w:tc>
        <w:tc>
          <w:tcPr>
            <w:tcW w:w="1118" w:type="dxa"/>
          </w:tcPr>
          <w:p w14:paraId="7A3D305D" w14:textId="77E01B7E" w:rsidR="00777ACA" w:rsidRPr="007E311B" w:rsidRDefault="00DA4CA5"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r>
      <w:tr w:rsidR="003B3962" w:rsidRPr="007E311B" w14:paraId="4DB7E1AE" w14:textId="77777777" w:rsidTr="003B3962">
        <w:tc>
          <w:tcPr>
            <w:tcW w:w="1985" w:type="dxa"/>
          </w:tcPr>
          <w:p w14:paraId="6680A63B" w14:textId="0F9B00FD" w:rsidR="00777ACA" w:rsidRPr="007E311B" w:rsidRDefault="004C0525" w:rsidP="003B3962">
            <w:pPr>
              <w:spacing w:after="160" w:line="276" w:lineRule="auto"/>
              <w:rPr>
                <w:rFonts w:ascii="Arial" w:hAnsi="Arial" w:cs="Arial"/>
                <w:sz w:val="24"/>
                <w:szCs w:val="24"/>
                <w:lang w:val="en-US"/>
              </w:rPr>
            </w:pPr>
            <w:r w:rsidRPr="007E311B">
              <w:rPr>
                <w:rFonts w:ascii="Arial" w:hAnsi="Arial" w:cs="Arial"/>
                <w:sz w:val="24"/>
                <w:szCs w:val="24"/>
                <w:lang w:val="en-US"/>
              </w:rPr>
              <w:t xml:space="preserve">Scope </w:t>
            </w:r>
            <w:r w:rsidR="00777ACA" w:rsidRPr="007E311B">
              <w:rPr>
                <w:rFonts w:ascii="Arial" w:hAnsi="Arial" w:cs="Arial"/>
                <w:sz w:val="24"/>
                <w:szCs w:val="24"/>
                <w:lang w:val="en-US"/>
              </w:rPr>
              <w:t xml:space="preserve"> </w:t>
            </w:r>
          </w:p>
        </w:tc>
        <w:tc>
          <w:tcPr>
            <w:tcW w:w="425" w:type="dxa"/>
          </w:tcPr>
          <w:p w14:paraId="707600D8" w14:textId="77777777" w:rsidR="00777ACA" w:rsidRPr="007E311B" w:rsidRDefault="00777ACA"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1</w:t>
            </w:r>
          </w:p>
        </w:tc>
        <w:tc>
          <w:tcPr>
            <w:tcW w:w="1134" w:type="dxa"/>
          </w:tcPr>
          <w:p w14:paraId="7A0B4F62" w14:textId="1C78465D"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992" w:type="dxa"/>
          </w:tcPr>
          <w:p w14:paraId="1EF1589E" w14:textId="4D302DA9" w:rsidR="00777ACA" w:rsidRPr="007E311B" w:rsidRDefault="00866715" w:rsidP="00866715">
            <w:pPr>
              <w:spacing w:after="160" w:line="276" w:lineRule="auto"/>
              <w:jc w:val="center"/>
              <w:rPr>
                <w:rFonts w:ascii="Arial" w:hAnsi="Arial" w:cs="Arial"/>
                <w:sz w:val="24"/>
                <w:szCs w:val="24"/>
                <w:lang w:val="en-US"/>
              </w:rPr>
            </w:pPr>
            <w:r w:rsidRPr="007E311B">
              <w:rPr>
                <w:rFonts w:ascii="Arial" w:hAnsi="Arial" w:cs="Arial"/>
                <w:sz w:val="24"/>
                <w:szCs w:val="24"/>
                <w:lang w:val="en-US"/>
              </w:rPr>
              <w:t>4</w:t>
            </w:r>
          </w:p>
        </w:tc>
        <w:tc>
          <w:tcPr>
            <w:tcW w:w="1134" w:type="dxa"/>
          </w:tcPr>
          <w:p w14:paraId="2BE15C2C" w14:textId="15836FC7" w:rsidR="00777ACA" w:rsidRPr="007E311B" w:rsidRDefault="003843A9"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34" w:type="dxa"/>
          </w:tcPr>
          <w:p w14:paraId="7F99D55A" w14:textId="446E231A" w:rsidR="00777ACA" w:rsidRPr="007E311B" w:rsidRDefault="0098183A"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45" w:type="dxa"/>
          </w:tcPr>
          <w:p w14:paraId="4B9AE7F0" w14:textId="670E6C95" w:rsidR="00777ACA" w:rsidRPr="007E311B" w:rsidRDefault="0098183A"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c>
          <w:tcPr>
            <w:tcW w:w="1118" w:type="dxa"/>
          </w:tcPr>
          <w:p w14:paraId="10C0C0FA" w14:textId="2F687116" w:rsidR="00777ACA" w:rsidRPr="007E311B" w:rsidRDefault="0098183A" w:rsidP="0098183A">
            <w:pPr>
              <w:spacing w:after="160" w:line="276" w:lineRule="auto"/>
              <w:jc w:val="center"/>
              <w:rPr>
                <w:rFonts w:ascii="Arial" w:hAnsi="Arial" w:cs="Arial"/>
                <w:sz w:val="24"/>
                <w:szCs w:val="24"/>
                <w:lang w:val="en-US"/>
              </w:rPr>
            </w:pPr>
            <w:r w:rsidRPr="007E311B">
              <w:rPr>
                <w:rFonts w:ascii="Arial" w:hAnsi="Arial" w:cs="Arial"/>
                <w:sz w:val="24"/>
                <w:szCs w:val="24"/>
                <w:lang w:val="en-US"/>
              </w:rPr>
              <w:t>3</w:t>
            </w:r>
          </w:p>
        </w:tc>
      </w:tr>
      <w:tr w:rsidR="00866715" w:rsidRPr="007E311B" w14:paraId="0BA1DE89" w14:textId="77777777" w:rsidTr="003B3962">
        <w:tc>
          <w:tcPr>
            <w:tcW w:w="1985" w:type="dxa"/>
          </w:tcPr>
          <w:p w14:paraId="291D22BE" w14:textId="4EBBE2BD" w:rsidR="00866715" w:rsidRPr="007E311B" w:rsidRDefault="00866715" w:rsidP="00866715">
            <w:pPr>
              <w:spacing w:line="276" w:lineRule="auto"/>
              <w:jc w:val="both"/>
              <w:rPr>
                <w:rFonts w:ascii="Arial" w:hAnsi="Arial" w:cs="Arial"/>
                <w:b/>
                <w:bCs/>
                <w:sz w:val="24"/>
                <w:szCs w:val="24"/>
                <w:lang w:val="en-US"/>
              </w:rPr>
            </w:pPr>
            <w:r w:rsidRPr="007E311B">
              <w:rPr>
                <w:rFonts w:ascii="Arial" w:hAnsi="Arial" w:cs="Arial"/>
                <w:b/>
                <w:bCs/>
                <w:sz w:val="24"/>
                <w:szCs w:val="24"/>
                <w:lang w:val="en-US"/>
              </w:rPr>
              <w:t xml:space="preserve">TOTAL </w:t>
            </w:r>
          </w:p>
        </w:tc>
        <w:tc>
          <w:tcPr>
            <w:tcW w:w="425" w:type="dxa"/>
          </w:tcPr>
          <w:p w14:paraId="5DCAA704" w14:textId="77777777" w:rsidR="00866715" w:rsidRPr="007E311B" w:rsidRDefault="00866715" w:rsidP="00866715">
            <w:pPr>
              <w:spacing w:line="276" w:lineRule="auto"/>
              <w:jc w:val="center"/>
              <w:rPr>
                <w:rFonts w:ascii="Arial" w:hAnsi="Arial" w:cs="Arial"/>
                <w:sz w:val="24"/>
                <w:szCs w:val="24"/>
                <w:lang w:val="en-US"/>
              </w:rPr>
            </w:pPr>
          </w:p>
        </w:tc>
        <w:tc>
          <w:tcPr>
            <w:tcW w:w="1134" w:type="dxa"/>
          </w:tcPr>
          <w:p w14:paraId="4276360B" w14:textId="77777777" w:rsidR="00866715" w:rsidRPr="007E311B" w:rsidRDefault="00866715" w:rsidP="00866715">
            <w:pPr>
              <w:spacing w:line="276" w:lineRule="auto"/>
              <w:jc w:val="center"/>
              <w:rPr>
                <w:rFonts w:ascii="Arial" w:hAnsi="Arial" w:cs="Arial"/>
                <w:sz w:val="24"/>
                <w:szCs w:val="24"/>
                <w:lang w:val="en-US"/>
              </w:rPr>
            </w:pPr>
          </w:p>
        </w:tc>
        <w:tc>
          <w:tcPr>
            <w:tcW w:w="992" w:type="dxa"/>
          </w:tcPr>
          <w:p w14:paraId="4C042BEC" w14:textId="34415FC6" w:rsidR="00866715" w:rsidRPr="007E311B" w:rsidRDefault="00866715" w:rsidP="00866715">
            <w:pPr>
              <w:spacing w:line="276" w:lineRule="auto"/>
              <w:jc w:val="center"/>
              <w:rPr>
                <w:rFonts w:ascii="Arial" w:hAnsi="Arial" w:cs="Arial"/>
                <w:b/>
                <w:bCs/>
                <w:sz w:val="24"/>
                <w:szCs w:val="24"/>
                <w:lang w:val="en-US"/>
              </w:rPr>
            </w:pPr>
            <w:r w:rsidRPr="007E311B">
              <w:rPr>
                <w:rFonts w:ascii="Arial" w:hAnsi="Arial" w:cs="Arial"/>
                <w:b/>
                <w:bCs/>
                <w:sz w:val="24"/>
                <w:szCs w:val="24"/>
                <w:lang w:val="en-US"/>
              </w:rPr>
              <w:t>19</w:t>
            </w:r>
          </w:p>
        </w:tc>
        <w:tc>
          <w:tcPr>
            <w:tcW w:w="1134" w:type="dxa"/>
          </w:tcPr>
          <w:p w14:paraId="5715D41A" w14:textId="77777777" w:rsidR="00866715" w:rsidRPr="007E311B" w:rsidRDefault="00866715" w:rsidP="00866715">
            <w:pPr>
              <w:spacing w:line="276" w:lineRule="auto"/>
              <w:jc w:val="center"/>
              <w:rPr>
                <w:rFonts w:ascii="Arial" w:hAnsi="Arial" w:cs="Arial"/>
                <w:sz w:val="24"/>
                <w:szCs w:val="24"/>
                <w:lang w:val="en-US"/>
              </w:rPr>
            </w:pPr>
          </w:p>
        </w:tc>
        <w:tc>
          <w:tcPr>
            <w:tcW w:w="1134" w:type="dxa"/>
          </w:tcPr>
          <w:p w14:paraId="7B76BB57" w14:textId="1301B524" w:rsidR="00866715" w:rsidRPr="007E311B" w:rsidRDefault="003843A9" w:rsidP="00866715">
            <w:pPr>
              <w:spacing w:line="276" w:lineRule="auto"/>
              <w:jc w:val="center"/>
              <w:rPr>
                <w:rFonts w:ascii="Arial" w:hAnsi="Arial" w:cs="Arial"/>
                <w:b/>
                <w:bCs/>
                <w:sz w:val="24"/>
                <w:szCs w:val="24"/>
                <w:lang w:val="en-US"/>
              </w:rPr>
            </w:pPr>
            <w:r w:rsidRPr="007E311B">
              <w:rPr>
                <w:rFonts w:ascii="Arial" w:hAnsi="Arial" w:cs="Arial"/>
                <w:b/>
                <w:bCs/>
                <w:sz w:val="24"/>
                <w:szCs w:val="24"/>
                <w:lang w:val="en-US"/>
              </w:rPr>
              <w:t>28</w:t>
            </w:r>
          </w:p>
        </w:tc>
        <w:tc>
          <w:tcPr>
            <w:tcW w:w="1145" w:type="dxa"/>
          </w:tcPr>
          <w:p w14:paraId="14FDE6E7" w14:textId="77777777" w:rsidR="00866715" w:rsidRPr="007E311B" w:rsidRDefault="00866715" w:rsidP="00866715">
            <w:pPr>
              <w:spacing w:line="276" w:lineRule="auto"/>
              <w:jc w:val="center"/>
              <w:rPr>
                <w:rFonts w:ascii="Arial" w:hAnsi="Arial" w:cs="Arial"/>
                <w:sz w:val="24"/>
                <w:szCs w:val="24"/>
                <w:lang w:val="en-US"/>
              </w:rPr>
            </w:pPr>
          </w:p>
        </w:tc>
        <w:tc>
          <w:tcPr>
            <w:tcW w:w="1118" w:type="dxa"/>
          </w:tcPr>
          <w:p w14:paraId="6B8FEDC7" w14:textId="352C3006" w:rsidR="00866715" w:rsidRPr="007E311B" w:rsidRDefault="00DA4CA5" w:rsidP="00866715">
            <w:pPr>
              <w:spacing w:line="276" w:lineRule="auto"/>
              <w:jc w:val="center"/>
              <w:rPr>
                <w:rFonts w:ascii="Arial" w:hAnsi="Arial" w:cs="Arial"/>
                <w:b/>
                <w:bCs/>
                <w:sz w:val="24"/>
                <w:szCs w:val="24"/>
                <w:lang w:val="en-US"/>
              </w:rPr>
            </w:pPr>
            <w:r w:rsidRPr="007E311B">
              <w:rPr>
                <w:rFonts w:ascii="Arial" w:hAnsi="Arial" w:cs="Arial"/>
                <w:b/>
                <w:bCs/>
                <w:sz w:val="24"/>
                <w:szCs w:val="24"/>
                <w:lang w:val="en-US"/>
              </w:rPr>
              <w:t>24</w:t>
            </w:r>
          </w:p>
        </w:tc>
      </w:tr>
    </w:tbl>
    <w:p w14:paraId="2D126127" w14:textId="2AC70E7D" w:rsidR="00E33B83" w:rsidRPr="007E311B" w:rsidRDefault="003843A9"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immediate elimination of the pay gap is a time-efficient and scalable solution delivering radical change. Nevertheless, the speed of change is quite likely to cause </w:t>
      </w:r>
      <w:r w:rsidRPr="007E311B">
        <w:rPr>
          <w:rFonts w:ascii="Arial" w:hAnsi="Arial" w:cs="Arial"/>
          <w:sz w:val="24"/>
          <w:szCs w:val="24"/>
          <w:lang w:val="en-US"/>
        </w:rPr>
        <w:lastRenderedPageBreak/>
        <w:t xml:space="preserve">resistance from some organisational members and a considerable cost for Tesco. As a result, solution 1 has the lowest score of just 19 points. </w:t>
      </w:r>
    </w:p>
    <w:p w14:paraId="5713699C" w14:textId="7548561C" w:rsidR="00DA4CA5" w:rsidRPr="007E311B" w:rsidRDefault="003843A9"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gradual pay gap reduction plan is more cost-efficient, as female employees’ salaries are increased step-by-step over time. The plan is also more acceptable and unlikely to cause resistance. Time is one of the weaknesses of the solution; however, the proposition receives the maximum 28 points. </w:t>
      </w:r>
    </w:p>
    <w:p w14:paraId="61E4538B" w14:textId="3748EA8B" w:rsidR="00DA4CA5" w:rsidRPr="007E311B" w:rsidRDefault="003843A9"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Solution 3 has a moderate performance in relation to the three performance criteria. It has the </w:t>
      </w:r>
      <w:r w:rsidR="00FD10E2" w:rsidRPr="007E311B">
        <w:rPr>
          <w:rFonts w:ascii="Arial" w:hAnsi="Arial" w:cs="Arial"/>
          <w:sz w:val="24"/>
          <w:szCs w:val="24"/>
          <w:lang w:val="en-US"/>
        </w:rPr>
        <w:t>second-best</w:t>
      </w:r>
      <w:r w:rsidRPr="007E311B">
        <w:rPr>
          <w:rFonts w:ascii="Arial" w:hAnsi="Arial" w:cs="Arial"/>
          <w:sz w:val="24"/>
          <w:szCs w:val="24"/>
          <w:lang w:val="en-US"/>
        </w:rPr>
        <w:t xml:space="preserve"> result of 24 points. </w:t>
      </w:r>
    </w:p>
    <w:p w14:paraId="3525D7C8" w14:textId="77777777" w:rsidR="00E33B83" w:rsidRPr="007E311B" w:rsidRDefault="00E33B83" w:rsidP="003B3962">
      <w:pPr>
        <w:pStyle w:val="Heading1"/>
        <w:spacing w:before="0" w:after="240"/>
        <w:rPr>
          <w:rFonts w:ascii="Arial" w:hAnsi="Arial" w:cs="Arial"/>
          <w:lang w:val="en-US"/>
        </w:rPr>
      </w:pPr>
      <w:bookmarkStart w:id="9" w:name="_Toc133446220"/>
      <w:r w:rsidRPr="007E311B">
        <w:rPr>
          <w:rFonts w:ascii="Arial" w:hAnsi="Arial" w:cs="Arial"/>
          <w:lang w:val="en-US"/>
        </w:rPr>
        <w:t>Implementing the solution</w:t>
      </w:r>
      <w:bookmarkEnd w:id="9"/>
      <w:r w:rsidRPr="007E311B">
        <w:rPr>
          <w:rFonts w:ascii="Arial" w:hAnsi="Arial" w:cs="Arial"/>
          <w:lang w:val="en-US"/>
        </w:rPr>
        <w:t xml:space="preserve"> </w:t>
      </w:r>
    </w:p>
    <w:p w14:paraId="07D3D97E" w14:textId="2FED2CD6" w:rsidR="00E33B83" w:rsidRPr="007E311B" w:rsidRDefault="00FD10E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The accepted solution is expected to consumer three years or the equivalent of 12 quarters. The Gantt chart proposes a set of specific activities which serve as milestones. The sequence and durations of activities are also presented accordingly. The proposed change is expected to last 12 quarters. </w:t>
      </w:r>
    </w:p>
    <w:p w14:paraId="44AE6635" w14:textId="17A0AD63" w:rsidR="00FD10E2" w:rsidRPr="007E311B" w:rsidRDefault="00C7628F" w:rsidP="00E33B83">
      <w:pPr>
        <w:spacing w:line="360" w:lineRule="auto"/>
        <w:jc w:val="both"/>
        <w:rPr>
          <w:rFonts w:ascii="Arial" w:hAnsi="Arial" w:cs="Arial"/>
          <w:b/>
          <w:bCs/>
          <w:sz w:val="24"/>
          <w:szCs w:val="24"/>
          <w:lang w:val="en-US"/>
        </w:rPr>
      </w:pPr>
      <w:r w:rsidRPr="007E311B">
        <w:rPr>
          <w:rFonts w:ascii="Arial" w:hAnsi="Arial" w:cs="Arial"/>
          <w:b/>
          <w:bCs/>
          <w:sz w:val="24"/>
          <w:szCs w:val="24"/>
          <w:lang w:val="en-US"/>
        </w:rPr>
        <w:t>Table 2 – Gantt chart of the planned change</w:t>
      </w:r>
    </w:p>
    <w:tbl>
      <w:tblPr>
        <w:tblStyle w:val="TableGrid"/>
        <w:tblW w:w="9426" w:type="dxa"/>
        <w:tblInd w:w="-289" w:type="dxa"/>
        <w:tblLook w:val="04A0" w:firstRow="1" w:lastRow="0" w:firstColumn="1" w:lastColumn="0" w:noHBand="0" w:noVBand="1"/>
      </w:tblPr>
      <w:tblGrid>
        <w:gridCol w:w="3261"/>
        <w:gridCol w:w="513"/>
        <w:gridCol w:w="514"/>
        <w:gridCol w:w="514"/>
        <w:gridCol w:w="514"/>
        <w:gridCol w:w="513"/>
        <w:gridCol w:w="514"/>
        <w:gridCol w:w="514"/>
        <w:gridCol w:w="514"/>
        <w:gridCol w:w="513"/>
        <w:gridCol w:w="514"/>
        <w:gridCol w:w="514"/>
        <w:gridCol w:w="514"/>
      </w:tblGrid>
      <w:tr w:rsidR="00C7628F" w:rsidRPr="007E311B" w14:paraId="751545AE" w14:textId="414F4091" w:rsidTr="00C7628F">
        <w:tc>
          <w:tcPr>
            <w:tcW w:w="3261" w:type="dxa"/>
          </w:tcPr>
          <w:p w14:paraId="68A4BE62" w14:textId="258728CF" w:rsidR="00C7628F" w:rsidRPr="007E311B" w:rsidRDefault="00C7628F"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Quarters </w:t>
            </w:r>
          </w:p>
        </w:tc>
        <w:tc>
          <w:tcPr>
            <w:tcW w:w="513" w:type="dxa"/>
          </w:tcPr>
          <w:p w14:paraId="1328ADDD" w14:textId="21C01555"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1</w:t>
            </w:r>
          </w:p>
        </w:tc>
        <w:tc>
          <w:tcPr>
            <w:tcW w:w="514" w:type="dxa"/>
          </w:tcPr>
          <w:p w14:paraId="1AA2BF38" w14:textId="60FF237C"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2</w:t>
            </w:r>
          </w:p>
        </w:tc>
        <w:tc>
          <w:tcPr>
            <w:tcW w:w="514" w:type="dxa"/>
          </w:tcPr>
          <w:p w14:paraId="708E8934" w14:textId="3701426F"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3</w:t>
            </w:r>
          </w:p>
        </w:tc>
        <w:tc>
          <w:tcPr>
            <w:tcW w:w="514" w:type="dxa"/>
          </w:tcPr>
          <w:p w14:paraId="27328322" w14:textId="465E75DD"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4</w:t>
            </w:r>
          </w:p>
        </w:tc>
        <w:tc>
          <w:tcPr>
            <w:tcW w:w="513" w:type="dxa"/>
          </w:tcPr>
          <w:p w14:paraId="57DD70EA" w14:textId="30DC7B73"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5</w:t>
            </w:r>
          </w:p>
        </w:tc>
        <w:tc>
          <w:tcPr>
            <w:tcW w:w="514" w:type="dxa"/>
          </w:tcPr>
          <w:p w14:paraId="6541985F" w14:textId="1578AE4A"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6</w:t>
            </w:r>
          </w:p>
        </w:tc>
        <w:tc>
          <w:tcPr>
            <w:tcW w:w="514" w:type="dxa"/>
          </w:tcPr>
          <w:p w14:paraId="207F6CC6" w14:textId="51C3199C"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7</w:t>
            </w:r>
          </w:p>
        </w:tc>
        <w:tc>
          <w:tcPr>
            <w:tcW w:w="514" w:type="dxa"/>
          </w:tcPr>
          <w:p w14:paraId="537CAFDC" w14:textId="44BA4F83"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8</w:t>
            </w:r>
          </w:p>
        </w:tc>
        <w:tc>
          <w:tcPr>
            <w:tcW w:w="513" w:type="dxa"/>
          </w:tcPr>
          <w:p w14:paraId="71737325" w14:textId="3A892643"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9</w:t>
            </w:r>
          </w:p>
        </w:tc>
        <w:tc>
          <w:tcPr>
            <w:tcW w:w="514" w:type="dxa"/>
          </w:tcPr>
          <w:p w14:paraId="59CAB10D" w14:textId="68E82128"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10</w:t>
            </w:r>
          </w:p>
        </w:tc>
        <w:tc>
          <w:tcPr>
            <w:tcW w:w="514" w:type="dxa"/>
          </w:tcPr>
          <w:p w14:paraId="0CA92FCF" w14:textId="1E45C549"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11</w:t>
            </w:r>
          </w:p>
        </w:tc>
        <w:tc>
          <w:tcPr>
            <w:tcW w:w="514" w:type="dxa"/>
          </w:tcPr>
          <w:p w14:paraId="186CDA49" w14:textId="16E24797" w:rsidR="00C7628F" w:rsidRPr="007E311B" w:rsidRDefault="00C7628F" w:rsidP="00C7628F">
            <w:pPr>
              <w:spacing w:line="360" w:lineRule="auto"/>
              <w:jc w:val="center"/>
              <w:rPr>
                <w:rFonts w:ascii="Arial" w:hAnsi="Arial" w:cs="Arial"/>
                <w:b/>
                <w:bCs/>
                <w:sz w:val="24"/>
                <w:szCs w:val="24"/>
                <w:lang w:val="en-US"/>
              </w:rPr>
            </w:pPr>
            <w:r w:rsidRPr="007E311B">
              <w:rPr>
                <w:rFonts w:ascii="Arial" w:hAnsi="Arial" w:cs="Arial"/>
                <w:b/>
                <w:bCs/>
                <w:sz w:val="24"/>
                <w:szCs w:val="24"/>
                <w:lang w:val="en-US"/>
              </w:rPr>
              <w:t>12</w:t>
            </w:r>
          </w:p>
        </w:tc>
      </w:tr>
      <w:tr w:rsidR="00C7628F" w:rsidRPr="007E311B" w14:paraId="10C8FECD" w14:textId="22FEF3AB" w:rsidTr="00C7628F">
        <w:tc>
          <w:tcPr>
            <w:tcW w:w="3261" w:type="dxa"/>
          </w:tcPr>
          <w:p w14:paraId="4C1F0C23" w14:textId="3E97360B"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 xml:space="preserve">Analyse the budget for the plan </w:t>
            </w:r>
          </w:p>
        </w:tc>
        <w:tc>
          <w:tcPr>
            <w:tcW w:w="513" w:type="dxa"/>
            <w:shd w:val="clear" w:color="auto" w:fill="0070C0"/>
          </w:tcPr>
          <w:p w14:paraId="5E217228"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4254165"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44AA9DD"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1F636BE3"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442EACD2"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DA8C775"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5EF8C52B"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8B0F185"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072E2834"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59766EA0"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2C187EC"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9D6B619"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1F6FF350" w14:textId="2D14A1CB" w:rsidTr="00C7628F">
        <w:tc>
          <w:tcPr>
            <w:tcW w:w="3261" w:type="dxa"/>
          </w:tcPr>
          <w:p w14:paraId="09E3C2E3" w14:textId="5B8EC40A"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 xml:space="preserve">Consult HR specialists and key stakeholders </w:t>
            </w:r>
          </w:p>
        </w:tc>
        <w:tc>
          <w:tcPr>
            <w:tcW w:w="513" w:type="dxa"/>
          </w:tcPr>
          <w:p w14:paraId="01B82BBA"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117226F6"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634D5B2C"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9AF937B"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4FB9B01F"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1A67852"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A629A37"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3C2DAD8"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6552400C"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EE8B0F6"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7B6AFD7"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B8FB1E1"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26828614" w14:textId="77777777" w:rsidTr="00C7628F">
        <w:tc>
          <w:tcPr>
            <w:tcW w:w="3261" w:type="dxa"/>
          </w:tcPr>
          <w:p w14:paraId="52B58C60" w14:textId="0E2CE2FE"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 xml:space="preserve">Determine the specific steps of pay change </w:t>
            </w:r>
          </w:p>
        </w:tc>
        <w:tc>
          <w:tcPr>
            <w:tcW w:w="513" w:type="dxa"/>
          </w:tcPr>
          <w:p w14:paraId="19D72215"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D4345FC"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48E0C3E4"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71C7D8AB"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1AD005F8"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3981B9A9"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0BC5592"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142B9F54"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688C1275"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0AD1481"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AF87852"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592CCB5D"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4F181FF6" w14:textId="22A7C301" w:rsidTr="00C7628F">
        <w:tc>
          <w:tcPr>
            <w:tcW w:w="3261" w:type="dxa"/>
          </w:tcPr>
          <w:p w14:paraId="24D60D92" w14:textId="4ECC7FF1"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Increase female pay rates</w:t>
            </w:r>
          </w:p>
        </w:tc>
        <w:tc>
          <w:tcPr>
            <w:tcW w:w="513" w:type="dxa"/>
          </w:tcPr>
          <w:p w14:paraId="42D354C8"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0686615"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020FCEA"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0C9342DA"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08784E43"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A5F1083"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7C09344D"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0828688D"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113F93DC"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CC8043A"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B76358A"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18F0D508"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74A3B86C" w14:textId="6A295B50" w:rsidTr="00C7628F">
        <w:tc>
          <w:tcPr>
            <w:tcW w:w="3261" w:type="dxa"/>
          </w:tcPr>
          <w:p w14:paraId="6B8EED51" w14:textId="32E7911F"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 xml:space="preserve">New performance rewards stimulating pay gap close </w:t>
            </w:r>
          </w:p>
        </w:tc>
        <w:tc>
          <w:tcPr>
            <w:tcW w:w="513" w:type="dxa"/>
          </w:tcPr>
          <w:p w14:paraId="65332B2B"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770BFC71"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1E06381"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3856076F" w14:textId="77777777" w:rsidR="00C7628F" w:rsidRPr="007E311B" w:rsidRDefault="00C7628F" w:rsidP="00F47B80">
            <w:pPr>
              <w:spacing w:line="276" w:lineRule="auto"/>
              <w:jc w:val="both"/>
              <w:rPr>
                <w:rFonts w:ascii="Arial" w:hAnsi="Arial" w:cs="Arial"/>
                <w:sz w:val="24"/>
                <w:szCs w:val="24"/>
                <w:lang w:val="en-US"/>
              </w:rPr>
            </w:pPr>
          </w:p>
        </w:tc>
        <w:tc>
          <w:tcPr>
            <w:tcW w:w="513" w:type="dxa"/>
            <w:shd w:val="clear" w:color="auto" w:fill="0070C0"/>
          </w:tcPr>
          <w:p w14:paraId="5767F04F"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97AEF60"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C3E0634"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280A194" w14:textId="77777777" w:rsidR="00C7628F" w:rsidRPr="007E311B" w:rsidRDefault="00C7628F" w:rsidP="00F47B80">
            <w:pPr>
              <w:spacing w:line="276" w:lineRule="auto"/>
              <w:jc w:val="both"/>
              <w:rPr>
                <w:rFonts w:ascii="Arial" w:hAnsi="Arial" w:cs="Arial"/>
                <w:sz w:val="24"/>
                <w:szCs w:val="24"/>
                <w:lang w:val="en-US"/>
              </w:rPr>
            </w:pPr>
          </w:p>
        </w:tc>
        <w:tc>
          <w:tcPr>
            <w:tcW w:w="513" w:type="dxa"/>
            <w:shd w:val="clear" w:color="auto" w:fill="0070C0"/>
          </w:tcPr>
          <w:p w14:paraId="5BC37671"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141966D9"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224C13C2"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FA0E9DF"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65263BD5" w14:textId="77777777" w:rsidTr="00C7628F">
        <w:tc>
          <w:tcPr>
            <w:tcW w:w="3261" w:type="dxa"/>
          </w:tcPr>
          <w:p w14:paraId="5307ABE3" w14:textId="5953CBAF"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 xml:space="preserve">Measurement of pay gap </w:t>
            </w:r>
          </w:p>
        </w:tc>
        <w:tc>
          <w:tcPr>
            <w:tcW w:w="513" w:type="dxa"/>
          </w:tcPr>
          <w:p w14:paraId="685A15E1"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3064096"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1E8B142"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56E4E0A1" w14:textId="77777777" w:rsidR="00C7628F" w:rsidRPr="007E311B" w:rsidRDefault="00C7628F" w:rsidP="00F47B80">
            <w:pPr>
              <w:spacing w:line="276" w:lineRule="auto"/>
              <w:jc w:val="both"/>
              <w:rPr>
                <w:rFonts w:ascii="Arial" w:hAnsi="Arial" w:cs="Arial"/>
                <w:sz w:val="24"/>
                <w:szCs w:val="24"/>
                <w:lang w:val="en-US"/>
              </w:rPr>
            </w:pPr>
          </w:p>
        </w:tc>
        <w:tc>
          <w:tcPr>
            <w:tcW w:w="513" w:type="dxa"/>
            <w:shd w:val="clear" w:color="auto" w:fill="auto"/>
          </w:tcPr>
          <w:p w14:paraId="258A6E6A"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4ABA8E88"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71FACFD2"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3E039204"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2A057E7E"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FD275DA"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37FFEA03"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6FC1494F" w14:textId="77777777" w:rsidR="00C7628F" w:rsidRPr="007E311B" w:rsidRDefault="00C7628F" w:rsidP="00F47B80">
            <w:pPr>
              <w:spacing w:line="276" w:lineRule="auto"/>
              <w:jc w:val="both"/>
              <w:rPr>
                <w:rFonts w:ascii="Arial" w:hAnsi="Arial" w:cs="Arial"/>
                <w:sz w:val="24"/>
                <w:szCs w:val="24"/>
                <w:lang w:val="en-US"/>
              </w:rPr>
            </w:pPr>
          </w:p>
        </w:tc>
      </w:tr>
      <w:tr w:rsidR="00C7628F" w:rsidRPr="007E311B" w14:paraId="62F28D15" w14:textId="6B38F9BC" w:rsidTr="00C7628F">
        <w:tc>
          <w:tcPr>
            <w:tcW w:w="3261" w:type="dxa"/>
          </w:tcPr>
          <w:p w14:paraId="47E6EC3D" w14:textId="73AA189E" w:rsidR="00C7628F" w:rsidRPr="007E311B" w:rsidRDefault="00C7628F" w:rsidP="00F47B80">
            <w:pPr>
              <w:spacing w:line="276" w:lineRule="auto"/>
              <w:rPr>
                <w:rFonts w:ascii="Arial" w:hAnsi="Arial" w:cs="Arial"/>
                <w:sz w:val="24"/>
                <w:szCs w:val="24"/>
                <w:lang w:val="en-US"/>
              </w:rPr>
            </w:pPr>
            <w:r w:rsidRPr="007E311B">
              <w:rPr>
                <w:rFonts w:ascii="Arial" w:hAnsi="Arial" w:cs="Arial"/>
                <w:sz w:val="24"/>
                <w:szCs w:val="24"/>
                <w:lang w:val="en-US"/>
              </w:rPr>
              <w:t>Measurement of female performance and satisfaction</w:t>
            </w:r>
          </w:p>
        </w:tc>
        <w:tc>
          <w:tcPr>
            <w:tcW w:w="513" w:type="dxa"/>
          </w:tcPr>
          <w:p w14:paraId="0101B44F"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396EED80"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6F9A272F"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07DE19A8"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6E8B04F1"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66497341"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AD77F6C"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284020E9" w14:textId="77777777" w:rsidR="00C7628F" w:rsidRPr="007E311B" w:rsidRDefault="00C7628F" w:rsidP="00F47B80">
            <w:pPr>
              <w:spacing w:line="276" w:lineRule="auto"/>
              <w:jc w:val="both"/>
              <w:rPr>
                <w:rFonts w:ascii="Arial" w:hAnsi="Arial" w:cs="Arial"/>
                <w:sz w:val="24"/>
                <w:szCs w:val="24"/>
                <w:lang w:val="en-US"/>
              </w:rPr>
            </w:pPr>
          </w:p>
        </w:tc>
        <w:tc>
          <w:tcPr>
            <w:tcW w:w="513" w:type="dxa"/>
          </w:tcPr>
          <w:p w14:paraId="3F3B59D8"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51A2470E" w14:textId="77777777" w:rsidR="00C7628F" w:rsidRPr="007E311B" w:rsidRDefault="00C7628F" w:rsidP="00F47B80">
            <w:pPr>
              <w:spacing w:line="276" w:lineRule="auto"/>
              <w:jc w:val="both"/>
              <w:rPr>
                <w:rFonts w:ascii="Arial" w:hAnsi="Arial" w:cs="Arial"/>
                <w:sz w:val="24"/>
                <w:szCs w:val="24"/>
                <w:lang w:val="en-US"/>
              </w:rPr>
            </w:pPr>
          </w:p>
        </w:tc>
        <w:tc>
          <w:tcPr>
            <w:tcW w:w="514" w:type="dxa"/>
          </w:tcPr>
          <w:p w14:paraId="73B0E38A" w14:textId="77777777" w:rsidR="00C7628F" w:rsidRPr="007E311B" w:rsidRDefault="00C7628F" w:rsidP="00F47B80">
            <w:pPr>
              <w:spacing w:line="276" w:lineRule="auto"/>
              <w:jc w:val="both"/>
              <w:rPr>
                <w:rFonts w:ascii="Arial" w:hAnsi="Arial" w:cs="Arial"/>
                <w:sz w:val="24"/>
                <w:szCs w:val="24"/>
                <w:lang w:val="en-US"/>
              </w:rPr>
            </w:pPr>
          </w:p>
        </w:tc>
        <w:tc>
          <w:tcPr>
            <w:tcW w:w="514" w:type="dxa"/>
            <w:shd w:val="clear" w:color="auto" w:fill="0070C0"/>
          </w:tcPr>
          <w:p w14:paraId="03D18674" w14:textId="77777777" w:rsidR="00C7628F" w:rsidRPr="007E311B" w:rsidRDefault="00C7628F" w:rsidP="00F47B80">
            <w:pPr>
              <w:spacing w:line="276" w:lineRule="auto"/>
              <w:jc w:val="both"/>
              <w:rPr>
                <w:rFonts w:ascii="Arial" w:hAnsi="Arial" w:cs="Arial"/>
                <w:sz w:val="24"/>
                <w:szCs w:val="24"/>
                <w:lang w:val="en-US"/>
              </w:rPr>
            </w:pPr>
          </w:p>
        </w:tc>
      </w:tr>
    </w:tbl>
    <w:p w14:paraId="6C8F05AF" w14:textId="775D5CD7" w:rsidR="00FD10E2" w:rsidRPr="007E311B" w:rsidRDefault="00C7628F" w:rsidP="00C7628F">
      <w:pPr>
        <w:spacing w:before="240" w:line="360" w:lineRule="auto"/>
        <w:jc w:val="both"/>
        <w:rPr>
          <w:rFonts w:ascii="Arial" w:hAnsi="Arial" w:cs="Arial"/>
          <w:sz w:val="24"/>
          <w:szCs w:val="24"/>
          <w:lang w:val="en-US"/>
        </w:rPr>
      </w:pPr>
      <w:r w:rsidRPr="007E311B">
        <w:rPr>
          <w:rFonts w:ascii="Arial" w:hAnsi="Arial" w:cs="Arial"/>
          <w:sz w:val="24"/>
          <w:szCs w:val="24"/>
          <w:lang w:val="en-US"/>
        </w:rPr>
        <w:t>The schedule is complex and includes activities with different lengths and frequency. In addition, t</w:t>
      </w:r>
      <w:r w:rsidR="00FD10E2" w:rsidRPr="007E311B">
        <w:rPr>
          <w:rFonts w:ascii="Arial" w:hAnsi="Arial" w:cs="Arial"/>
          <w:sz w:val="24"/>
          <w:szCs w:val="24"/>
          <w:lang w:val="en-US"/>
        </w:rPr>
        <w:t xml:space="preserve">he Gantt chart provides a reasonable tool for monitoring performance and implementing changes, if necessary. </w:t>
      </w:r>
    </w:p>
    <w:p w14:paraId="654B7556" w14:textId="77777777" w:rsidR="00E33B83" w:rsidRPr="007E311B" w:rsidRDefault="00E33B83" w:rsidP="003B3962">
      <w:pPr>
        <w:pStyle w:val="Heading2"/>
        <w:spacing w:before="0"/>
        <w:rPr>
          <w:rFonts w:ascii="Arial" w:hAnsi="Arial" w:cs="Arial"/>
          <w:lang w:val="en-US"/>
        </w:rPr>
      </w:pPr>
      <w:bookmarkStart w:id="10" w:name="_Toc133446221"/>
      <w:r w:rsidRPr="007E311B">
        <w:rPr>
          <w:rFonts w:ascii="Arial" w:hAnsi="Arial" w:cs="Arial"/>
          <w:lang w:val="en-US"/>
        </w:rPr>
        <w:lastRenderedPageBreak/>
        <w:t>Communication plan with stakeholders</w:t>
      </w:r>
      <w:bookmarkEnd w:id="10"/>
    </w:p>
    <w:p w14:paraId="1AE157C9" w14:textId="6B21B640" w:rsidR="00E33B83" w:rsidRPr="007E311B" w:rsidRDefault="00EC56E9"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Tesco is a large public company with many stakeholders – individuals or groups influenced or having the capacity to influence organisational policies and actions (Johnson et al., 2017).  The list of stakeholders includes: all types of employees, Board members, shareholders, suppliers, business partners, customers, financial institutions (creditors), bondholders, authorities/regulators, media, NGOs, community members and others. </w:t>
      </w:r>
    </w:p>
    <w:p w14:paraId="00D651F9" w14:textId="389D4997" w:rsidR="00A85FBF" w:rsidRPr="007E311B" w:rsidRDefault="00EC56E9" w:rsidP="00E33B83">
      <w:pPr>
        <w:spacing w:line="360" w:lineRule="auto"/>
        <w:jc w:val="both"/>
        <w:rPr>
          <w:rFonts w:ascii="Arial" w:hAnsi="Arial" w:cs="Arial"/>
          <w:sz w:val="24"/>
          <w:szCs w:val="24"/>
          <w:lang w:val="en-US"/>
        </w:rPr>
      </w:pPr>
      <w:r w:rsidRPr="007E311B">
        <w:rPr>
          <w:rFonts w:ascii="Arial" w:hAnsi="Arial" w:cs="Arial"/>
          <w:sz w:val="24"/>
          <w:szCs w:val="24"/>
          <w:lang w:val="en-US"/>
        </w:rPr>
        <w:t>Stakeholders have different profiles based on the levels of influence and interest</w:t>
      </w:r>
      <w:r w:rsidR="00B6360C" w:rsidRPr="007E311B">
        <w:rPr>
          <w:rFonts w:ascii="Arial" w:hAnsi="Arial" w:cs="Arial"/>
          <w:sz w:val="24"/>
          <w:szCs w:val="24"/>
          <w:lang w:val="en-US"/>
        </w:rPr>
        <w:t xml:space="preserve"> (Johnson et al., 2017)</w:t>
      </w:r>
      <w:r w:rsidRPr="007E311B">
        <w:rPr>
          <w:rFonts w:ascii="Arial" w:hAnsi="Arial" w:cs="Arial"/>
          <w:sz w:val="24"/>
          <w:szCs w:val="24"/>
          <w:lang w:val="en-US"/>
        </w:rPr>
        <w:t>. The stakeholder matrix, as shown below, is a map of stakeholders. Respectively, the most suitable communication strategy is presented in each of the four quadrants depending on the profile of a given stakeholder group</w:t>
      </w:r>
      <w:r w:rsidR="00B6360C" w:rsidRPr="007E311B">
        <w:rPr>
          <w:rFonts w:ascii="Arial" w:hAnsi="Arial" w:cs="Arial"/>
          <w:sz w:val="24"/>
          <w:szCs w:val="24"/>
          <w:lang w:val="en-US"/>
        </w:rPr>
        <w:t xml:space="preserve"> (Johnson et al., 2017)</w:t>
      </w:r>
      <w:r w:rsidRPr="007E311B">
        <w:rPr>
          <w:rFonts w:ascii="Arial" w:hAnsi="Arial" w:cs="Arial"/>
          <w:sz w:val="24"/>
          <w:szCs w:val="24"/>
          <w:lang w:val="en-US"/>
        </w:rPr>
        <w:t xml:space="preserve">. </w:t>
      </w:r>
      <w:r w:rsidR="00B6360C" w:rsidRPr="007E311B">
        <w:rPr>
          <w:rFonts w:ascii="Arial" w:hAnsi="Arial" w:cs="Arial"/>
          <w:sz w:val="24"/>
          <w:szCs w:val="24"/>
          <w:lang w:val="en-US"/>
        </w:rPr>
        <w:t xml:space="preserve">Communication effectiveness </w:t>
      </w:r>
      <w:r w:rsidR="000442BA" w:rsidRPr="007E311B">
        <w:rPr>
          <w:rFonts w:ascii="Arial" w:hAnsi="Arial" w:cs="Arial"/>
          <w:sz w:val="24"/>
          <w:szCs w:val="24"/>
          <w:lang w:val="en-US"/>
        </w:rPr>
        <w:t>ensures</w:t>
      </w:r>
      <w:r w:rsidR="00B6360C" w:rsidRPr="007E311B">
        <w:rPr>
          <w:rFonts w:ascii="Arial" w:hAnsi="Arial" w:cs="Arial"/>
          <w:sz w:val="24"/>
          <w:szCs w:val="24"/>
          <w:lang w:val="en-US"/>
        </w:rPr>
        <w:t xml:space="preserve"> maximum utilisation of scarce resources and satisfaction of contrasting needs of stakeholders. </w:t>
      </w:r>
    </w:p>
    <w:p w14:paraId="3686ACDC" w14:textId="2E440AEE" w:rsidR="00E33B83" w:rsidRPr="007E311B" w:rsidRDefault="00B6360C" w:rsidP="00E33B83">
      <w:pPr>
        <w:spacing w:line="360" w:lineRule="auto"/>
        <w:jc w:val="both"/>
        <w:rPr>
          <w:rFonts w:ascii="Arial" w:hAnsi="Arial" w:cs="Arial"/>
          <w:b/>
          <w:bCs/>
          <w:sz w:val="24"/>
          <w:szCs w:val="24"/>
          <w:lang w:val="en-US"/>
        </w:rPr>
      </w:pPr>
      <w:r w:rsidRPr="007E311B">
        <w:rPr>
          <w:rFonts w:ascii="Arial" w:hAnsi="Arial" w:cs="Arial"/>
          <w:b/>
          <w:bCs/>
          <w:sz w:val="24"/>
          <w:szCs w:val="24"/>
          <w:lang w:val="en-US"/>
        </w:rPr>
        <w:t xml:space="preserve">Figure 1 – Stakeholder mapping for Tesco </w:t>
      </w:r>
    </w:p>
    <w:p w14:paraId="39F8F485" w14:textId="558FDD56" w:rsidR="00B6360C" w:rsidRPr="007E311B" w:rsidRDefault="00B6360C" w:rsidP="00E33B83">
      <w:pPr>
        <w:spacing w:line="360" w:lineRule="auto"/>
        <w:jc w:val="both"/>
        <w:rPr>
          <w:rFonts w:ascii="Arial" w:hAnsi="Arial" w:cs="Arial"/>
          <w:sz w:val="24"/>
          <w:szCs w:val="24"/>
          <w:lang w:val="en-US"/>
        </w:rPr>
      </w:pPr>
      <w:r w:rsidRPr="007E311B">
        <w:rPr>
          <w:rFonts w:ascii="Arial" w:hAnsi="Arial" w:cs="Arial"/>
          <w:noProof/>
          <w:sz w:val="24"/>
          <w:szCs w:val="24"/>
          <w:lang w:val="en-US"/>
        </w:rPr>
        <w:drawing>
          <wp:inline distT="0" distB="0" distL="0" distR="0" wp14:anchorId="3C51F4D1" wp14:editId="6529A851">
            <wp:extent cx="5753100"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777" cy="3886657"/>
                    </a:xfrm>
                    <a:prstGeom prst="rect">
                      <a:avLst/>
                    </a:prstGeom>
                    <a:noFill/>
                    <a:ln>
                      <a:noFill/>
                    </a:ln>
                  </pic:spPr>
                </pic:pic>
              </a:graphicData>
            </a:graphic>
          </wp:inline>
        </w:drawing>
      </w:r>
    </w:p>
    <w:p w14:paraId="6CE13DC3" w14:textId="5A770F80" w:rsidR="00EC56E9" w:rsidRPr="007E311B" w:rsidRDefault="00B6360C"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Based on the analysis, it is also possible to develop more detailed strategies of communication, as shown below. Depending on the levels of influence and interest, </w:t>
      </w:r>
      <w:r w:rsidRPr="007E311B">
        <w:rPr>
          <w:rFonts w:ascii="Arial" w:hAnsi="Arial" w:cs="Arial"/>
          <w:sz w:val="24"/>
          <w:szCs w:val="24"/>
          <w:lang w:val="en-US"/>
        </w:rPr>
        <w:lastRenderedPageBreak/>
        <w:t xml:space="preserve">stakeholders are engaged to a different extent and intensity by applying a variety of communication methods. </w:t>
      </w:r>
    </w:p>
    <w:p w14:paraId="39143BAE" w14:textId="77777777" w:rsidR="00A85FBF" w:rsidRPr="007E311B" w:rsidRDefault="00A85FBF" w:rsidP="00E33B83">
      <w:pPr>
        <w:spacing w:line="360" w:lineRule="auto"/>
        <w:jc w:val="both"/>
        <w:rPr>
          <w:rFonts w:ascii="Arial" w:hAnsi="Arial" w:cs="Arial"/>
          <w:sz w:val="24"/>
          <w:szCs w:val="24"/>
          <w:lang w:val="en-US"/>
        </w:rPr>
      </w:pPr>
    </w:p>
    <w:p w14:paraId="0453B617" w14:textId="77777777" w:rsidR="00A85FBF" w:rsidRPr="007E311B" w:rsidRDefault="00A85FBF" w:rsidP="00E33B83">
      <w:pPr>
        <w:spacing w:line="360" w:lineRule="auto"/>
        <w:jc w:val="both"/>
        <w:rPr>
          <w:rFonts w:ascii="Arial" w:hAnsi="Arial" w:cs="Arial"/>
          <w:sz w:val="24"/>
          <w:szCs w:val="24"/>
          <w:lang w:val="en-US"/>
        </w:rPr>
      </w:pPr>
    </w:p>
    <w:p w14:paraId="72117994" w14:textId="77777777" w:rsidR="00A85FBF" w:rsidRPr="007E311B" w:rsidRDefault="00A85FBF" w:rsidP="00E33B83">
      <w:pPr>
        <w:spacing w:line="360" w:lineRule="auto"/>
        <w:jc w:val="both"/>
        <w:rPr>
          <w:rFonts w:ascii="Arial" w:hAnsi="Arial" w:cs="Arial"/>
          <w:sz w:val="24"/>
          <w:szCs w:val="24"/>
          <w:lang w:val="en-US"/>
        </w:rPr>
      </w:pPr>
    </w:p>
    <w:p w14:paraId="376FF50A" w14:textId="41A8AC8A" w:rsidR="00BC5F21" w:rsidRPr="007E311B" w:rsidRDefault="00BC5F21" w:rsidP="00E33B83">
      <w:pPr>
        <w:spacing w:line="360" w:lineRule="auto"/>
        <w:jc w:val="both"/>
        <w:rPr>
          <w:rFonts w:ascii="Arial" w:hAnsi="Arial" w:cs="Arial"/>
          <w:b/>
          <w:bCs/>
          <w:sz w:val="24"/>
          <w:szCs w:val="24"/>
          <w:lang w:val="en-US"/>
        </w:rPr>
      </w:pPr>
      <w:r w:rsidRPr="007E311B">
        <w:rPr>
          <w:rFonts w:ascii="Arial" w:hAnsi="Arial" w:cs="Arial"/>
          <w:b/>
          <w:bCs/>
          <w:sz w:val="24"/>
          <w:szCs w:val="24"/>
          <w:lang w:val="en-US"/>
        </w:rPr>
        <w:t xml:space="preserve">Table 3 – Stakeholder communication plan </w:t>
      </w:r>
    </w:p>
    <w:tbl>
      <w:tblPr>
        <w:tblStyle w:val="TableGrid"/>
        <w:tblW w:w="10207" w:type="dxa"/>
        <w:tblInd w:w="-714" w:type="dxa"/>
        <w:tblLook w:val="04A0" w:firstRow="1" w:lastRow="0" w:firstColumn="1" w:lastColumn="0" w:noHBand="0" w:noVBand="1"/>
      </w:tblPr>
      <w:tblGrid>
        <w:gridCol w:w="1646"/>
        <w:gridCol w:w="1398"/>
        <w:gridCol w:w="2566"/>
        <w:gridCol w:w="2604"/>
        <w:gridCol w:w="1993"/>
      </w:tblGrid>
      <w:tr w:rsidR="00F47B80" w:rsidRPr="007E311B" w14:paraId="73152C80" w14:textId="77777777" w:rsidTr="00BC5F21">
        <w:tc>
          <w:tcPr>
            <w:tcW w:w="1646" w:type="dxa"/>
          </w:tcPr>
          <w:p w14:paraId="2F695627" w14:textId="59CDA31E" w:rsidR="00F47B80" w:rsidRPr="007E311B" w:rsidRDefault="00F47B80" w:rsidP="00F47B80">
            <w:pPr>
              <w:spacing w:line="360" w:lineRule="auto"/>
              <w:jc w:val="center"/>
              <w:rPr>
                <w:rFonts w:ascii="Arial" w:hAnsi="Arial" w:cs="Arial"/>
                <w:b/>
                <w:bCs/>
                <w:sz w:val="24"/>
                <w:szCs w:val="24"/>
                <w:lang w:val="en-US"/>
              </w:rPr>
            </w:pPr>
            <w:r w:rsidRPr="007E311B">
              <w:rPr>
                <w:rFonts w:ascii="Arial" w:hAnsi="Arial" w:cs="Arial"/>
                <w:b/>
                <w:bCs/>
                <w:sz w:val="24"/>
                <w:szCs w:val="24"/>
                <w:lang w:val="en-US"/>
              </w:rPr>
              <w:t>Stakeholder</w:t>
            </w:r>
          </w:p>
        </w:tc>
        <w:tc>
          <w:tcPr>
            <w:tcW w:w="1398" w:type="dxa"/>
          </w:tcPr>
          <w:p w14:paraId="771AE60A" w14:textId="32C6843A" w:rsidR="00F47B80" w:rsidRPr="007E311B" w:rsidRDefault="00F47B80" w:rsidP="00F47B80">
            <w:pPr>
              <w:spacing w:line="360" w:lineRule="auto"/>
              <w:jc w:val="center"/>
              <w:rPr>
                <w:rFonts w:ascii="Arial" w:hAnsi="Arial" w:cs="Arial"/>
                <w:b/>
                <w:bCs/>
                <w:sz w:val="24"/>
                <w:szCs w:val="24"/>
                <w:lang w:val="en-US"/>
              </w:rPr>
            </w:pPr>
            <w:r w:rsidRPr="007E311B">
              <w:rPr>
                <w:rFonts w:ascii="Arial" w:hAnsi="Arial" w:cs="Arial"/>
                <w:b/>
                <w:bCs/>
                <w:sz w:val="24"/>
                <w:szCs w:val="24"/>
                <w:lang w:val="en-US"/>
              </w:rPr>
              <w:t>Influence/ Interest</w:t>
            </w:r>
          </w:p>
        </w:tc>
        <w:tc>
          <w:tcPr>
            <w:tcW w:w="2566" w:type="dxa"/>
          </w:tcPr>
          <w:p w14:paraId="5DF7FF99" w14:textId="04CB654A" w:rsidR="00F47B80" w:rsidRPr="007E311B" w:rsidRDefault="00F47B80" w:rsidP="00F47B80">
            <w:pPr>
              <w:spacing w:line="360" w:lineRule="auto"/>
              <w:jc w:val="center"/>
              <w:rPr>
                <w:rFonts w:ascii="Arial" w:hAnsi="Arial" w:cs="Arial"/>
                <w:b/>
                <w:bCs/>
                <w:sz w:val="24"/>
                <w:szCs w:val="24"/>
                <w:lang w:val="en-US"/>
              </w:rPr>
            </w:pPr>
            <w:r w:rsidRPr="007E311B">
              <w:rPr>
                <w:rFonts w:ascii="Arial" w:hAnsi="Arial" w:cs="Arial"/>
                <w:b/>
                <w:bCs/>
                <w:sz w:val="24"/>
                <w:szCs w:val="24"/>
                <w:lang w:val="en-US"/>
              </w:rPr>
              <w:t>Interest/ Issues</w:t>
            </w:r>
          </w:p>
        </w:tc>
        <w:tc>
          <w:tcPr>
            <w:tcW w:w="2604" w:type="dxa"/>
          </w:tcPr>
          <w:p w14:paraId="0E157510" w14:textId="09F96E8D" w:rsidR="00F47B80" w:rsidRPr="007E311B" w:rsidRDefault="00F47B80" w:rsidP="00F47B80">
            <w:pPr>
              <w:spacing w:line="360" w:lineRule="auto"/>
              <w:jc w:val="center"/>
              <w:rPr>
                <w:rFonts w:ascii="Arial" w:hAnsi="Arial" w:cs="Arial"/>
                <w:b/>
                <w:bCs/>
                <w:sz w:val="24"/>
                <w:szCs w:val="24"/>
                <w:lang w:val="en-US"/>
              </w:rPr>
            </w:pPr>
            <w:r w:rsidRPr="007E311B">
              <w:rPr>
                <w:rFonts w:ascii="Arial" w:hAnsi="Arial" w:cs="Arial"/>
                <w:b/>
                <w:bCs/>
                <w:sz w:val="24"/>
                <w:szCs w:val="24"/>
                <w:lang w:val="en-US"/>
              </w:rPr>
              <w:t>Communication vehicle</w:t>
            </w:r>
          </w:p>
        </w:tc>
        <w:tc>
          <w:tcPr>
            <w:tcW w:w="1993" w:type="dxa"/>
          </w:tcPr>
          <w:p w14:paraId="6838B08A" w14:textId="5E1B7516" w:rsidR="00F47B80" w:rsidRPr="007E311B" w:rsidRDefault="00F47B80" w:rsidP="00F47B80">
            <w:pPr>
              <w:spacing w:line="360" w:lineRule="auto"/>
              <w:jc w:val="center"/>
              <w:rPr>
                <w:rFonts w:ascii="Arial" w:hAnsi="Arial" w:cs="Arial"/>
                <w:b/>
                <w:bCs/>
                <w:sz w:val="24"/>
                <w:szCs w:val="24"/>
                <w:lang w:val="en-US"/>
              </w:rPr>
            </w:pPr>
            <w:r w:rsidRPr="007E311B">
              <w:rPr>
                <w:rFonts w:ascii="Arial" w:hAnsi="Arial" w:cs="Arial"/>
                <w:b/>
                <w:bCs/>
                <w:sz w:val="24"/>
                <w:szCs w:val="24"/>
                <w:lang w:val="en-US"/>
              </w:rPr>
              <w:t>Frequency</w:t>
            </w:r>
          </w:p>
        </w:tc>
      </w:tr>
      <w:tr w:rsidR="00982CCB" w:rsidRPr="007E311B" w14:paraId="627216FC" w14:textId="77777777" w:rsidTr="00BC5F21">
        <w:tc>
          <w:tcPr>
            <w:tcW w:w="1646" w:type="dxa"/>
          </w:tcPr>
          <w:p w14:paraId="0E591B45" w14:textId="0BC27260"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Employees </w:t>
            </w:r>
          </w:p>
        </w:tc>
        <w:tc>
          <w:tcPr>
            <w:tcW w:w="1398" w:type="dxa"/>
          </w:tcPr>
          <w:p w14:paraId="0B77E7C8" w14:textId="1C8BBD48"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High/high</w:t>
            </w:r>
          </w:p>
        </w:tc>
        <w:tc>
          <w:tcPr>
            <w:tcW w:w="2566" w:type="dxa"/>
          </w:tcPr>
          <w:p w14:paraId="1203A299" w14:textId="2EC728C5"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Fair, equitable treatment</w:t>
            </w:r>
          </w:p>
        </w:tc>
        <w:tc>
          <w:tcPr>
            <w:tcW w:w="2604" w:type="dxa"/>
            <w:vMerge w:val="restart"/>
          </w:tcPr>
          <w:p w14:paraId="3081913D" w14:textId="37DFF56A" w:rsidR="00982CCB" w:rsidRPr="007E311B" w:rsidRDefault="00982CCB" w:rsidP="005A6F02">
            <w:pPr>
              <w:spacing w:line="360" w:lineRule="auto"/>
              <w:jc w:val="both"/>
              <w:rPr>
                <w:rFonts w:ascii="Arial" w:hAnsi="Arial" w:cs="Arial"/>
                <w:sz w:val="24"/>
                <w:szCs w:val="24"/>
                <w:lang w:val="en-US"/>
              </w:rPr>
            </w:pPr>
            <w:r w:rsidRPr="007E311B">
              <w:rPr>
                <w:rFonts w:ascii="Arial" w:hAnsi="Arial" w:cs="Arial"/>
                <w:sz w:val="24"/>
                <w:szCs w:val="24"/>
                <w:lang w:val="en-US"/>
              </w:rPr>
              <w:t>Face-to-face, meetings, intranet (emails)</w:t>
            </w:r>
          </w:p>
        </w:tc>
        <w:tc>
          <w:tcPr>
            <w:tcW w:w="1993" w:type="dxa"/>
          </w:tcPr>
          <w:p w14:paraId="75AD99D6" w14:textId="73F29D88"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Daily</w:t>
            </w:r>
          </w:p>
        </w:tc>
      </w:tr>
      <w:tr w:rsidR="00982CCB" w:rsidRPr="007E311B" w14:paraId="187D3823" w14:textId="77777777" w:rsidTr="00BC5F21">
        <w:tc>
          <w:tcPr>
            <w:tcW w:w="1646" w:type="dxa"/>
          </w:tcPr>
          <w:p w14:paraId="4DE8B409" w14:textId="2A7DF05F"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Board members</w:t>
            </w:r>
          </w:p>
        </w:tc>
        <w:tc>
          <w:tcPr>
            <w:tcW w:w="1398" w:type="dxa"/>
          </w:tcPr>
          <w:p w14:paraId="734FAC16" w14:textId="733F4B1C"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High/high</w:t>
            </w:r>
          </w:p>
        </w:tc>
        <w:tc>
          <w:tcPr>
            <w:tcW w:w="2566" w:type="dxa"/>
          </w:tcPr>
          <w:p w14:paraId="5289BAA2" w14:textId="1C7953F8"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Sustainable performance</w:t>
            </w:r>
          </w:p>
        </w:tc>
        <w:tc>
          <w:tcPr>
            <w:tcW w:w="2604" w:type="dxa"/>
            <w:vMerge/>
          </w:tcPr>
          <w:p w14:paraId="08C9AF66" w14:textId="079123F6" w:rsidR="00982CCB" w:rsidRPr="007E311B" w:rsidRDefault="00982CCB" w:rsidP="00E33B83">
            <w:pPr>
              <w:spacing w:line="360" w:lineRule="auto"/>
              <w:jc w:val="both"/>
              <w:rPr>
                <w:rFonts w:ascii="Arial" w:hAnsi="Arial" w:cs="Arial"/>
                <w:sz w:val="24"/>
                <w:szCs w:val="24"/>
                <w:lang w:val="en-US"/>
              </w:rPr>
            </w:pPr>
          </w:p>
        </w:tc>
        <w:tc>
          <w:tcPr>
            <w:tcW w:w="1993" w:type="dxa"/>
          </w:tcPr>
          <w:p w14:paraId="3C5A87AA" w14:textId="5C52F69F"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Weekly </w:t>
            </w:r>
          </w:p>
        </w:tc>
      </w:tr>
      <w:tr w:rsidR="00F47B80" w:rsidRPr="007E311B" w14:paraId="4F404C2A" w14:textId="77777777" w:rsidTr="00BC5F21">
        <w:tc>
          <w:tcPr>
            <w:tcW w:w="1646" w:type="dxa"/>
          </w:tcPr>
          <w:p w14:paraId="16DF63F8" w14:textId="2AFF0094"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Shareholders </w:t>
            </w:r>
          </w:p>
        </w:tc>
        <w:tc>
          <w:tcPr>
            <w:tcW w:w="1398" w:type="dxa"/>
          </w:tcPr>
          <w:p w14:paraId="130ADEFD" w14:textId="5E31714C"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High/high</w:t>
            </w:r>
          </w:p>
        </w:tc>
        <w:tc>
          <w:tcPr>
            <w:tcW w:w="2566" w:type="dxa"/>
          </w:tcPr>
          <w:p w14:paraId="231944BD" w14:textId="04AE7CB6"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Profit maximisation </w:t>
            </w:r>
          </w:p>
        </w:tc>
        <w:tc>
          <w:tcPr>
            <w:tcW w:w="2604" w:type="dxa"/>
          </w:tcPr>
          <w:p w14:paraId="1B6EBC50" w14:textId="6DD6117E" w:rsidR="00F47B80"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Annual reports, major announcements </w:t>
            </w:r>
          </w:p>
        </w:tc>
        <w:tc>
          <w:tcPr>
            <w:tcW w:w="1993" w:type="dxa"/>
          </w:tcPr>
          <w:p w14:paraId="023AFEA4" w14:textId="20D158A2"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Quarterly</w:t>
            </w:r>
          </w:p>
        </w:tc>
      </w:tr>
      <w:tr w:rsidR="00F47B80" w:rsidRPr="007E311B" w14:paraId="597A0F86" w14:textId="77777777" w:rsidTr="00BC5F21">
        <w:tc>
          <w:tcPr>
            <w:tcW w:w="1646" w:type="dxa"/>
          </w:tcPr>
          <w:p w14:paraId="70B6D6F9" w14:textId="6D2178FD"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Business partners </w:t>
            </w:r>
          </w:p>
        </w:tc>
        <w:tc>
          <w:tcPr>
            <w:tcW w:w="1398" w:type="dxa"/>
          </w:tcPr>
          <w:p w14:paraId="316207FE" w14:textId="29D461D4"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High/high</w:t>
            </w:r>
          </w:p>
        </w:tc>
        <w:tc>
          <w:tcPr>
            <w:tcW w:w="2566" w:type="dxa"/>
          </w:tcPr>
          <w:p w14:paraId="18D966BB" w14:textId="7C936D62"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Stability and profitability </w:t>
            </w:r>
          </w:p>
        </w:tc>
        <w:tc>
          <w:tcPr>
            <w:tcW w:w="2604" w:type="dxa"/>
          </w:tcPr>
          <w:p w14:paraId="6746C409" w14:textId="4A869FAB" w:rsidR="00F47B80"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Oral and written form</w:t>
            </w:r>
          </w:p>
        </w:tc>
        <w:tc>
          <w:tcPr>
            <w:tcW w:w="1993" w:type="dxa"/>
          </w:tcPr>
          <w:p w14:paraId="20DB7EA3" w14:textId="3FD10AF6"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Monthly </w:t>
            </w:r>
          </w:p>
        </w:tc>
      </w:tr>
      <w:tr w:rsidR="00F47B80" w:rsidRPr="007E311B" w14:paraId="794ADA5D" w14:textId="77777777" w:rsidTr="00BC5F21">
        <w:tc>
          <w:tcPr>
            <w:tcW w:w="1646" w:type="dxa"/>
          </w:tcPr>
          <w:p w14:paraId="3AB27ED1" w14:textId="36A64252"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Authorities</w:t>
            </w:r>
          </w:p>
        </w:tc>
        <w:tc>
          <w:tcPr>
            <w:tcW w:w="1398" w:type="dxa"/>
          </w:tcPr>
          <w:p w14:paraId="6CB7EA6B" w14:textId="5B91AFAB"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High/low</w:t>
            </w:r>
          </w:p>
        </w:tc>
        <w:tc>
          <w:tcPr>
            <w:tcW w:w="2566" w:type="dxa"/>
          </w:tcPr>
          <w:p w14:paraId="66A90A8C" w14:textId="1A5A79AF"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Regulatory compliance </w:t>
            </w:r>
          </w:p>
        </w:tc>
        <w:tc>
          <w:tcPr>
            <w:tcW w:w="2604" w:type="dxa"/>
          </w:tcPr>
          <w:p w14:paraId="7E068A7A" w14:textId="5603C145" w:rsidR="00F47B80"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Official reporting </w:t>
            </w:r>
          </w:p>
        </w:tc>
        <w:tc>
          <w:tcPr>
            <w:tcW w:w="1993" w:type="dxa"/>
          </w:tcPr>
          <w:p w14:paraId="5BFB608E" w14:textId="0121AFCB"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Periodic reporting </w:t>
            </w:r>
          </w:p>
        </w:tc>
      </w:tr>
      <w:tr w:rsidR="005A6F02" w:rsidRPr="007E311B" w14:paraId="0551BB62" w14:textId="77777777" w:rsidTr="00BC5F21">
        <w:tc>
          <w:tcPr>
            <w:tcW w:w="1646" w:type="dxa"/>
          </w:tcPr>
          <w:p w14:paraId="47A82908" w14:textId="176BFA9F"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Creditors</w:t>
            </w:r>
          </w:p>
        </w:tc>
        <w:tc>
          <w:tcPr>
            <w:tcW w:w="1398" w:type="dxa"/>
          </w:tcPr>
          <w:p w14:paraId="193AEC81" w14:textId="21D1FC3A"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High/low</w:t>
            </w:r>
          </w:p>
        </w:tc>
        <w:tc>
          <w:tcPr>
            <w:tcW w:w="2566" w:type="dxa"/>
            <w:vMerge w:val="restart"/>
          </w:tcPr>
          <w:p w14:paraId="048FC71E" w14:textId="5210A3B3"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Stability and repayment of debt obligations </w:t>
            </w:r>
          </w:p>
        </w:tc>
        <w:tc>
          <w:tcPr>
            <w:tcW w:w="2604" w:type="dxa"/>
          </w:tcPr>
          <w:p w14:paraId="1AD66A7F" w14:textId="503DD036" w:rsidR="005A6F02"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Written </w:t>
            </w:r>
          </w:p>
        </w:tc>
        <w:tc>
          <w:tcPr>
            <w:tcW w:w="1993" w:type="dxa"/>
            <w:vMerge w:val="restart"/>
          </w:tcPr>
          <w:p w14:paraId="2EC03E23" w14:textId="266C2AC9"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When necessary</w:t>
            </w:r>
          </w:p>
        </w:tc>
      </w:tr>
      <w:tr w:rsidR="005A6F02" w:rsidRPr="007E311B" w14:paraId="72161988" w14:textId="77777777" w:rsidTr="00BC5F21">
        <w:tc>
          <w:tcPr>
            <w:tcW w:w="1646" w:type="dxa"/>
          </w:tcPr>
          <w:p w14:paraId="2B8E4916" w14:textId="51939230"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Bondholders</w:t>
            </w:r>
          </w:p>
        </w:tc>
        <w:tc>
          <w:tcPr>
            <w:tcW w:w="1398" w:type="dxa"/>
          </w:tcPr>
          <w:p w14:paraId="0C96AA76" w14:textId="7E91F26D"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High/low</w:t>
            </w:r>
          </w:p>
        </w:tc>
        <w:tc>
          <w:tcPr>
            <w:tcW w:w="2566" w:type="dxa"/>
            <w:vMerge/>
          </w:tcPr>
          <w:p w14:paraId="0B161FB3" w14:textId="77777777" w:rsidR="005A6F02" w:rsidRPr="007E311B" w:rsidRDefault="005A6F02" w:rsidP="00E33B83">
            <w:pPr>
              <w:spacing w:line="360" w:lineRule="auto"/>
              <w:jc w:val="both"/>
              <w:rPr>
                <w:rFonts w:ascii="Arial" w:hAnsi="Arial" w:cs="Arial"/>
                <w:sz w:val="24"/>
                <w:szCs w:val="24"/>
                <w:lang w:val="en-US"/>
              </w:rPr>
            </w:pPr>
          </w:p>
        </w:tc>
        <w:tc>
          <w:tcPr>
            <w:tcW w:w="2604" w:type="dxa"/>
          </w:tcPr>
          <w:p w14:paraId="6ACADDA8" w14:textId="12714DE9" w:rsidR="005A6F02"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Written </w:t>
            </w:r>
          </w:p>
        </w:tc>
        <w:tc>
          <w:tcPr>
            <w:tcW w:w="1993" w:type="dxa"/>
            <w:vMerge/>
          </w:tcPr>
          <w:p w14:paraId="03A668C0" w14:textId="77777777" w:rsidR="005A6F02" w:rsidRPr="007E311B" w:rsidRDefault="005A6F02" w:rsidP="00E33B83">
            <w:pPr>
              <w:spacing w:line="360" w:lineRule="auto"/>
              <w:jc w:val="both"/>
              <w:rPr>
                <w:rFonts w:ascii="Arial" w:hAnsi="Arial" w:cs="Arial"/>
                <w:sz w:val="24"/>
                <w:szCs w:val="24"/>
                <w:lang w:val="en-US"/>
              </w:rPr>
            </w:pPr>
          </w:p>
        </w:tc>
      </w:tr>
      <w:tr w:rsidR="005A6F02" w:rsidRPr="007E311B" w14:paraId="5B53079B" w14:textId="77777777" w:rsidTr="00BC5F21">
        <w:tc>
          <w:tcPr>
            <w:tcW w:w="1646" w:type="dxa"/>
          </w:tcPr>
          <w:p w14:paraId="2BD7741F" w14:textId="2F634A9F"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Suppliers</w:t>
            </w:r>
          </w:p>
        </w:tc>
        <w:tc>
          <w:tcPr>
            <w:tcW w:w="1398" w:type="dxa"/>
          </w:tcPr>
          <w:p w14:paraId="038E8A15" w14:textId="04801F86"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High/low</w:t>
            </w:r>
          </w:p>
        </w:tc>
        <w:tc>
          <w:tcPr>
            <w:tcW w:w="2566" w:type="dxa"/>
          </w:tcPr>
          <w:p w14:paraId="0E53F051" w14:textId="77ECDCC3" w:rsidR="005A6F02"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Predictability </w:t>
            </w:r>
          </w:p>
        </w:tc>
        <w:tc>
          <w:tcPr>
            <w:tcW w:w="2604" w:type="dxa"/>
          </w:tcPr>
          <w:p w14:paraId="45371F1A" w14:textId="58F4292A" w:rsidR="005A6F02"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Written, formal </w:t>
            </w:r>
          </w:p>
        </w:tc>
        <w:tc>
          <w:tcPr>
            <w:tcW w:w="1993" w:type="dxa"/>
            <w:vMerge/>
          </w:tcPr>
          <w:p w14:paraId="6EB113D1" w14:textId="77777777" w:rsidR="005A6F02" w:rsidRPr="007E311B" w:rsidRDefault="005A6F02" w:rsidP="00E33B83">
            <w:pPr>
              <w:spacing w:line="360" w:lineRule="auto"/>
              <w:jc w:val="both"/>
              <w:rPr>
                <w:rFonts w:ascii="Arial" w:hAnsi="Arial" w:cs="Arial"/>
                <w:sz w:val="24"/>
                <w:szCs w:val="24"/>
                <w:lang w:val="en-US"/>
              </w:rPr>
            </w:pPr>
          </w:p>
        </w:tc>
      </w:tr>
      <w:tr w:rsidR="00F47B80" w:rsidRPr="007E311B" w14:paraId="6A03409B" w14:textId="77777777" w:rsidTr="00BC5F21">
        <w:tc>
          <w:tcPr>
            <w:tcW w:w="1646" w:type="dxa"/>
          </w:tcPr>
          <w:p w14:paraId="2BB3B1A5" w14:textId="5C9D7E50"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Customers</w:t>
            </w:r>
          </w:p>
        </w:tc>
        <w:tc>
          <w:tcPr>
            <w:tcW w:w="1398" w:type="dxa"/>
          </w:tcPr>
          <w:p w14:paraId="27B2C116" w14:textId="7DAD8296"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High/low</w:t>
            </w:r>
          </w:p>
        </w:tc>
        <w:tc>
          <w:tcPr>
            <w:tcW w:w="2566" w:type="dxa"/>
          </w:tcPr>
          <w:p w14:paraId="0FA64109" w14:textId="2668E00C"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Best offers, quality and variety of products </w:t>
            </w:r>
          </w:p>
        </w:tc>
        <w:tc>
          <w:tcPr>
            <w:tcW w:w="2604" w:type="dxa"/>
          </w:tcPr>
          <w:p w14:paraId="7819BA27" w14:textId="167F918D" w:rsidR="00F47B80"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Oral, written, social media, advertising </w:t>
            </w:r>
          </w:p>
        </w:tc>
        <w:tc>
          <w:tcPr>
            <w:tcW w:w="1993" w:type="dxa"/>
          </w:tcPr>
          <w:p w14:paraId="0E0759BD" w14:textId="0906697F"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Daily </w:t>
            </w:r>
          </w:p>
        </w:tc>
      </w:tr>
      <w:tr w:rsidR="00982CCB" w:rsidRPr="007E311B" w14:paraId="218D2670" w14:textId="77777777" w:rsidTr="00BC5F21">
        <w:tc>
          <w:tcPr>
            <w:tcW w:w="1646" w:type="dxa"/>
          </w:tcPr>
          <w:p w14:paraId="6EFC4151" w14:textId="3884AF23"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NGOs</w:t>
            </w:r>
          </w:p>
        </w:tc>
        <w:tc>
          <w:tcPr>
            <w:tcW w:w="1398" w:type="dxa"/>
          </w:tcPr>
          <w:p w14:paraId="5E62B5E9" w14:textId="5ABD090B"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Low/high</w:t>
            </w:r>
          </w:p>
        </w:tc>
        <w:tc>
          <w:tcPr>
            <w:tcW w:w="2566" w:type="dxa"/>
          </w:tcPr>
          <w:p w14:paraId="0BE9A4A8" w14:textId="0D5D809A"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Commitment of Tesco to causes </w:t>
            </w:r>
          </w:p>
        </w:tc>
        <w:tc>
          <w:tcPr>
            <w:tcW w:w="2604" w:type="dxa"/>
            <w:vMerge w:val="restart"/>
          </w:tcPr>
          <w:p w14:paraId="1D5E81EC" w14:textId="1BD3B9E7"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Written, oral. Social media </w:t>
            </w:r>
          </w:p>
        </w:tc>
        <w:tc>
          <w:tcPr>
            <w:tcW w:w="1993" w:type="dxa"/>
            <w:vMerge w:val="restart"/>
          </w:tcPr>
          <w:p w14:paraId="4DAAF9C0" w14:textId="2BB60113"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When necessary, major announcements and campaigns </w:t>
            </w:r>
          </w:p>
        </w:tc>
      </w:tr>
      <w:tr w:rsidR="00982CCB" w:rsidRPr="007E311B" w14:paraId="28DA14A6" w14:textId="77777777" w:rsidTr="00BC5F21">
        <w:tc>
          <w:tcPr>
            <w:tcW w:w="1646" w:type="dxa"/>
          </w:tcPr>
          <w:p w14:paraId="03590006" w14:textId="1FE5A15F"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Media </w:t>
            </w:r>
          </w:p>
        </w:tc>
        <w:tc>
          <w:tcPr>
            <w:tcW w:w="1398" w:type="dxa"/>
          </w:tcPr>
          <w:p w14:paraId="08628608" w14:textId="2110E355"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Low/high</w:t>
            </w:r>
          </w:p>
        </w:tc>
        <w:tc>
          <w:tcPr>
            <w:tcW w:w="2566" w:type="dxa"/>
          </w:tcPr>
          <w:p w14:paraId="46BC8C94" w14:textId="1E9DC9FB" w:rsidR="00982CCB"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Regular deliver of information </w:t>
            </w:r>
          </w:p>
        </w:tc>
        <w:tc>
          <w:tcPr>
            <w:tcW w:w="2604" w:type="dxa"/>
            <w:vMerge/>
          </w:tcPr>
          <w:p w14:paraId="4A69F6BD" w14:textId="50139F51" w:rsidR="00982CCB" w:rsidRPr="007E311B" w:rsidRDefault="00982CCB" w:rsidP="00E33B83">
            <w:pPr>
              <w:spacing w:line="360" w:lineRule="auto"/>
              <w:jc w:val="both"/>
              <w:rPr>
                <w:rFonts w:ascii="Arial" w:hAnsi="Arial" w:cs="Arial"/>
                <w:sz w:val="24"/>
                <w:szCs w:val="24"/>
                <w:lang w:val="en-US"/>
              </w:rPr>
            </w:pPr>
          </w:p>
        </w:tc>
        <w:tc>
          <w:tcPr>
            <w:tcW w:w="1993" w:type="dxa"/>
            <w:vMerge/>
          </w:tcPr>
          <w:p w14:paraId="5E2B95F6" w14:textId="77777777" w:rsidR="00982CCB" w:rsidRPr="007E311B" w:rsidRDefault="00982CCB" w:rsidP="00E33B83">
            <w:pPr>
              <w:spacing w:line="360" w:lineRule="auto"/>
              <w:jc w:val="both"/>
              <w:rPr>
                <w:rFonts w:ascii="Arial" w:hAnsi="Arial" w:cs="Arial"/>
                <w:sz w:val="24"/>
                <w:szCs w:val="24"/>
                <w:lang w:val="en-US"/>
              </w:rPr>
            </w:pPr>
          </w:p>
        </w:tc>
      </w:tr>
      <w:tr w:rsidR="00F47B80" w:rsidRPr="007E311B" w14:paraId="7983CAEE" w14:textId="77777777" w:rsidTr="00BC5F21">
        <w:tc>
          <w:tcPr>
            <w:tcW w:w="1646" w:type="dxa"/>
          </w:tcPr>
          <w:p w14:paraId="4A0E62A3" w14:textId="34D011AE"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Community </w:t>
            </w:r>
          </w:p>
        </w:tc>
        <w:tc>
          <w:tcPr>
            <w:tcW w:w="1398" w:type="dxa"/>
          </w:tcPr>
          <w:p w14:paraId="24EAEC4C" w14:textId="60987715" w:rsidR="00F47B80" w:rsidRPr="007E311B" w:rsidRDefault="00F47B80" w:rsidP="00E33B83">
            <w:pPr>
              <w:spacing w:line="360" w:lineRule="auto"/>
              <w:jc w:val="both"/>
              <w:rPr>
                <w:rFonts w:ascii="Arial" w:hAnsi="Arial" w:cs="Arial"/>
                <w:sz w:val="24"/>
                <w:szCs w:val="24"/>
                <w:lang w:val="en-US"/>
              </w:rPr>
            </w:pPr>
            <w:r w:rsidRPr="007E311B">
              <w:rPr>
                <w:rFonts w:ascii="Arial" w:hAnsi="Arial" w:cs="Arial"/>
                <w:sz w:val="24"/>
                <w:szCs w:val="24"/>
                <w:lang w:val="en-US"/>
              </w:rPr>
              <w:t>Low/low</w:t>
            </w:r>
          </w:p>
        </w:tc>
        <w:tc>
          <w:tcPr>
            <w:tcW w:w="2566" w:type="dxa"/>
          </w:tcPr>
          <w:p w14:paraId="6377D45B" w14:textId="4AB0EF08"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Support and inclusion </w:t>
            </w:r>
          </w:p>
        </w:tc>
        <w:tc>
          <w:tcPr>
            <w:tcW w:w="2604" w:type="dxa"/>
          </w:tcPr>
          <w:p w14:paraId="071AA278" w14:textId="72CBC84D" w:rsidR="00F47B80" w:rsidRPr="007E311B" w:rsidRDefault="00982CCB" w:rsidP="00E33B83">
            <w:pPr>
              <w:spacing w:line="360" w:lineRule="auto"/>
              <w:jc w:val="both"/>
              <w:rPr>
                <w:rFonts w:ascii="Arial" w:hAnsi="Arial" w:cs="Arial"/>
                <w:sz w:val="24"/>
                <w:szCs w:val="24"/>
                <w:lang w:val="en-US"/>
              </w:rPr>
            </w:pPr>
            <w:r w:rsidRPr="007E311B">
              <w:rPr>
                <w:rFonts w:ascii="Arial" w:hAnsi="Arial" w:cs="Arial"/>
                <w:sz w:val="24"/>
                <w:szCs w:val="24"/>
                <w:lang w:val="en-US"/>
              </w:rPr>
              <w:t>Various forms</w:t>
            </w:r>
          </w:p>
        </w:tc>
        <w:tc>
          <w:tcPr>
            <w:tcW w:w="1993" w:type="dxa"/>
          </w:tcPr>
          <w:p w14:paraId="23D78F4A" w14:textId="24887C0C" w:rsidR="00F47B80" w:rsidRPr="007E311B" w:rsidRDefault="005A6F0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Sporadic </w:t>
            </w:r>
          </w:p>
        </w:tc>
      </w:tr>
    </w:tbl>
    <w:p w14:paraId="6F5D1C03" w14:textId="4F26DE93" w:rsidR="003B3962" w:rsidRPr="007E311B" w:rsidRDefault="00BC5F21" w:rsidP="00BC5F21">
      <w:pPr>
        <w:spacing w:before="240" w:line="360" w:lineRule="auto"/>
        <w:jc w:val="both"/>
        <w:rPr>
          <w:rFonts w:ascii="Arial" w:hAnsi="Arial" w:cs="Arial"/>
          <w:sz w:val="24"/>
          <w:szCs w:val="24"/>
          <w:lang w:val="en-US"/>
        </w:rPr>
      </w:pPr>
      <w:r w:rsidRPr="007E311B">
        <w:rPr>
          <w:rFonts w:ascii="Arial" w:hAnsi="Arial" w:cs="Arial"/>
          <w:sz w:val="24"/>
          <w:szCs w:val="24"/>
          <w:lang w:val="en-US"/>
        </w:rPr>
        <w:lastRenderedPageBreak/>
        <w:t xml:space="preserve">The information from the stakeholder communication plan clearly shows the complexity of engaging stakeholders with different interests and influence. </w:t>
      </w:r>
    </w:p>
    <w:p w14:paraId="67A24F8F" w14:textId="77777777" w:rsidR="00E33B83" w:rsidRPr="007E311B" w:rsidRDefault="00E33B83" w:rsidP="003B3962">
      <w:pPr>
        <w:pStyle w:val="Heading1"/>
        <w:spacing w:before="0" w:after="240"/>
        <w:rPr>
          <w:rFonts w:ascii="Arial" w:hAnsi="Arial" w:cs="Arial"/>
          <w:lang w:val="en-US"/>
        </w:rPr>
      </w:pPr>
      <w:bookmarkStart w:id="11" w:name="_Toc133446222"/>
      <w:r w:rsidRPr="007E311B">
        <w:rPr>
          <w:rFonts w:ascii="Arial" w:hAnsi="Arial" w:cs="Arial"/>
          <w:lang w:val="en-US"/>
        </w:rPr>
        <w:t>Monitoring and review techniques</w:t>
      </w:r>
      <w:bookmarkEnd w:id="11"/>
      <w:r w:rsidRPr="007E311B">
        <w:rPr>
          <w:rFonts w:ascii="Arial" w:hAnsi="Arial" w:cs="Arial"/>
          <w:lang w:val="en-US"/>
        </w:rPr>
        <w:t xml:space="preserve"> </w:t>
      </w:r>
    </w:p>
    <w:p w14:paraId="58D30068" w14:textId="3907684A" w:rsidR="00E33B83" w:rsidRPr="007E311B" w:rsidRDefault="003B3962" w:rsidP="00E33B83">
      <w:pPr>
        <w:spacing w:line="360" w:lineRule="auto"/>
        <w:jc w:val="both"/>
        <w:rPr>
          <w:rFonts w:ascii="Arial" w:hAnsi="Arial" w:cs="Arial"/>
          <w:sz w:val="24"/>
          <w:szCs w:val="24"/>
          <w:lang w:val="en-US"/>
        </w:rPr>
      </w:pPr>
      <w:r w:rsidRPr="007E311B">
        <w:rPr>
          <w:rFonts w:ascii="Arial" w:hAnsi="Arial" w:cs="Arial"/>
          <w:sz w:val="24"/>
          <w:szCs w:val="24"/>
          <w:lang w:val="en-US"/>
        </w:rPr>
        <w:t>Tesco can monitor and review the actual implementation process based on:</w:t>
      </w:r>
    </w:p>
    <w:p w14:paraId="2D9D460F" w14:textId="46A7C82E" w:rsidR="003B3962" w:rsidRPr="007E311B" w:rsidRDefault="003B3962"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Gantt chart and its strict time-determined periods for accomplishing the range of milestones.</w:t>
      </w:r>
    </w:p>
    <w:p w14:paraId="7227C6E6" w14:textId="472FAB2B" w:rsidR="003B3962" w:rsidRPr="007E311B" w:rsidRDefault="003B3962"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 xml:space="preserve">Quantitative assessment of the gender-based pay gap after the adjustment of pay rates. </w:t>
      </w:r>
    </w:p>
    <w:p w14:paraId="7B4AA761" w14:textId="49EC9D37" w:rsidR="003B3962" w:rsidRPr="007E311B" w:rsidRDefault="003B3962"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Financial measurements indicating the actual costs of pay adjustments versus projected expenditures.</w:t>
      </w:r>
    </w:p>
    <w:p w14:paraId="73C1697F" w14:textId="07F2F61F" w:rsidR="003B3962" w:rsidRPr="007E311B" w:rsidRDefault="003B3962"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Qualitative assessment (interviews and focus groups) with female employees asking for their general satisfaction at work and opinions regarding the pay changes.</w:t>
      </w:r>
    </w:p>
    <w:p w14:paraId="2A298ADF" w14:textId="023DA1B1" w:rsidR="003B3962" w:rsidRPr="007E311B" w:rsidRDefault="003B3962"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 xml:space="preserve">Return on investment by measuring the levels of productivity and retention of female employees. </w:t>
      </w:r>
    </w:p>
    <w:p w14:paraId="38E979FB" w14:textId="4168256B" w:rsidR="00296451" w:rsidRPr="007E311B" w:rsidRDefault="00296451" w:rsidP="003B3962">
      <w:pPr>
        <w:pStyle w:val="ListParagraph"/>
        <w:numPr>
          <w:ilvl w:val="0"/>
          <w:numId w:val="5"/>
        </w:numPr>
        <w:spacing w:line="360" w:lineRule="auto"/>
        <w:jc w:val="both"/>
        <w:rPr>
          <w:rFonts w:ascii="Arial" w:hAnsi="Arial" w:cs="Arial"/>
          <w:sz w:val="24"/>
          <w:szCs w:val="24"/>
          <w:lang w:val="en-US"/>
        </w:rPr>
      </w:pPr>
      <w:r w:rsidRPr="007E311B">
        <w:rPr>
          <w:rFonts w:ascii="Arial" w:hAnsi="Arial" w:cs="Arial"/>
          <w:sz w:val="24"/>
          <w:szCs w:val="24"/>
          <w:lang w:val="en-US"/>
        </w:rPr>
        <w:t xml:space="preserve">Comparison of Tesco’s performance in the field against other major rivals in the </w:t>
      </w:r>
      <w:r w:rsidR="007E311B" w:rsidRPr="007E311B">
        <w:rPr>
          <w:rFonts w:ascii="Arial" w:hAnsi="Arial" w:cs="Arial"/>
          <w:sz w:val="24"/>
          <w:szCs w:val="24"/>
          <w:lang w:val="en-US"/>
        </w:rPr>
        <w:t>retail</w:t>
      </w:r>
      <w:r w:rsidRPr="007E311B">
        <w:rPr>
          <w:rFonts w:ascii="Arial" w:hAnsi="Arial" w:cs="Arial"/>
          <w:sz w:val="24"/>
          <w:szCs w:val="24"/>
          <w:lang w:val="en-US"/>
        </w:rPr>
        <w:t xml:space="preserve"> sector. </w:t>
      </w:r>
    </w:p>
    <w:p w14:paraId="33F99D47" w14:textId="7CEE335B" w:rsidR="00E33B83" w:rsidRPr="007E311B" w:rsidRDefault="003B3962"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All the above-mentioned performance indicators are to be considered for an objective assessment of the planned change and solution. </w:t>
      </w:r>
    </w:p>
    <w:p w14:paraId="0A1370C2" w14:textId="77777777" w:rsidR="00E33B83" w:rsidRPr="007E311B" w:rsidRDefault="00E33B83" w:rsidP="003B3962">
      <w:pPr>
        <w:pStyle w:val="Heading1"/>
        <w:spacing w:before="0" w:after="240"/>
        <w:rPr>
          <w:rFonts w:ascii="Arial" w:hAnsi="Arial" w:cs="Arial"/>
          <w:lang w:val="en-US"/>
        </w:rPr>
      </w:pPr>
      <w:bookmarkStart w:id="12" w:name="_Toc133446223"/>
      <w:r w:rsidRPr="007E311B">
        <w:rPr>
          <w:rFonts w:ascii="Arial" w:hAnsi="Arial" w:cs="Arial"/>
          <w:lang w:val="en-US"/>
        </w:rPr>
        <w:t>Conclusion</w:t>
      </w:r>
      <w:bookmarkEnd w:id="12"/>
    </w:p>
    <w:p w14:paraId="1B991415" w14:textId="7373CBF1" w:rsidR="000442BA" w:rsidRPr="007E311B" w:rsidRDefault="000442BA" w:rsidP="00E33B83">
      <w:pPr>
        <w:spacing w:line="360" w:lineRule="auto"/>
        <w:jc w:val="both"/>
        <w:rPr>
          <w:rFonts w:ascii="Arial" w:hAnsi="Arial" w:cs="Arial"/>
          <w:sz w:val="24"/>
          <w:szCs w:val="24"/>
          <w:lang w:val="en-US"/>
        </w:rPr>
      </w:pPr>
      <w:r w:rsidRPr="007E311B">
        <w:rPr>
          <w:rFonts w:ascii="Arial" w:hAnsi="Arial" w:cs="Arial"/>
          <w:sz w:val="24"/>
          <w:szCs w:val="24"/>
          <w:lang w:val="en-US"/>
        </w:rPr>
        <w:t xml:space="preserve">In conclusion, research findings indicate that the gender-based pay gap issue is solvable. A gradual approach is chosen given its most favourable profile. Specific actions and performance monitoring methods together with an analysis of stakeholders’ needs are also implemented. Overall, the report delivered clarity regarding the relevance of the problem for Tesco and challenging external context, as well as the ways of achieving sustainable progress based on the intended solution and action plan. Adjustments in the plan may be considered if the internal or external environments experience changes; hence, the conduct of SWOT model is also a reasonable recommendation for strategic development and effective problem-solving. </w:t>
      </w:r>
    </w:p>
    <w:p w14:paraId="66C2A65E" w14:textId="77777777" w:rsidR="003034DF" w:rsidRPr="007E311B" w:rsidRDefault="003034DF" w:rsidP="00E33B83">
      <w:pPr>
        <w:spacing w:line="360" w:lineRule="auto"/>
        <w:jc w:val="both"/>
        <w:rPr>
          <w:rFonts w:ascii="Arial" w:hAnsi="Arial" w:cs="Arial"/>
          <w:sz w:val="24"/>
          <w:szCs w:val="24"/>
          <w:lang w:val="en-US"/>
        </w:rPr>
      </w:pPr>
    </w:p>
    <w:p w14:paraId="73F023A1" w14:textId="77777777" w:rsidR="00BC5F21" w:rsidRPr="007E311B" w:rsidRDefault="00BC5F21" w:rsidP="00E33B83">
      <w:pPr>
        <w:spacing w:line="360" w:lineRule="auto"/>
        <w:jc w:val="both"/>
        <w:rPr>
          <w:rFonts w:ascii="Arial" w:hAnsi="Arial" w:cs="Arial"/>
          <w:sz w:val="24"/>
          <w:szCs w:val="24"/>
          <w:lang w:val="en-US"/>
        </w:rPr>
      </w:pPr>
    </w:p>
    <w:p w14:paraId="6028F69A" w14:textId="77777777" w:rsidR="00BC5F21" w:rsidRPr="007E311B" w:rsidRDefault="00BC5F21" w:rsidP="00E33B83">
      <w:pPr>
        <w:spacing w:line="360" w:lineRule="auto"/>
        <w:jc w:val="both"/>
        <w:rPr>
          <w:rFonts w:ascii="Arial" w:hAnsi="Arial" w:cs="Arial"/>
          <w:sz w:val="24"/>
          <w:szCs w:val="24"/>
          <w:lang w:val="en-US"/>
        </w:rPr>
      </w:pPr>
    </w:p>
    <w:p w14:paraId="154F82A2" w14:textId="77777777" w:rsidR="00BC5F21" w:rsidRPr="007E311B" w:rsidRDefault="00BC5F21" w:rsidP="00E33B83">
      <w:pPr>
        <w:spacing w:line="360" w:lineRule="auto"/>
        <w:jc w:val="both"/>
        <w:rPr>
          <w:rFonts w:ascii="Arial" w:hAnsi="Arial" w:cs="Arial"/>
          <w:sz w:val="24"/>
          <w:szCs w:val="24"/>
          <w:lang w:val="en-US"/>
        </w:rPr>
      </w:pPr>
    </w:p>
    <w:p w14:paraId="60F9E91C" w14:textId="77777777" w:rsidR="00C7628F" w:rsidRPr="007E311B" w:rsidRDefault="00C7628F" w:rsidP="00E33B83">
      <w:pPr>
        <w:spacing w:line="360" w:lineRule="auto"/>
        <w:jc w:val="both"/>
        <w:rPr>
          <w:rFonts w:ascii="Arial" w:hAnsi="Arial" w:cs="Arial"/>
          <w:sz w:val="24"/>
          <w:szCs w:val="24"/>
          <w:lang w:val="en-US"/>
        </w:rPr>
      </w:pPr>
    </w:p>
    <w:p w14:paraId="1637F18F" w14:textId="77777777" w:rsidR="00E33B83" w:rsidRPr="007E311B" w:rsidRDefault="00E33B83" w:rsidP="003B3962">
      <w:pPr>
        <w:pStyle w:val="Heading1"/>
        <w:spacing w:after="240"/>
        <w:rPr>
          <w:rFonts w:ascii="Arial" w:hAnsi="Arial" w:cs="Arial"/>
          <w:lang w:val="en-US"/>
        </w:rPr>
      </w:pPr>
      <w:bookmarkStart w:id="13" w:name="_Toc133446224"/>
      <w:r w:rsidRPr="007E311B">
        <w:rPr>
          <w:rFonts w:ascii="Arial" w:hAnsi="Arial" w:cs="Arial"/>
          <w:lang w:val="en-US"/>
        </w:rPr>
        <w:t>References</w:t>
      </w:r>
      <w:bookmarkEnd w:id="13"/>
    </w:p>
    <w:bookmarkEnd w:id="0"/>
    <w:p w14:paraId="6C516C6D" w14:textId="77777777" w:rsidR="00BC5F21" w:rsidRPr="007E311B" w:rsidRDefault="00BC5F21" w:rsidP="00BC5F21">
      <w:pPr>
        <w:spacing w:line="360" w:lineRule="auto"/>
        <w:rPr>
          <w:rFonts w:ascii="Arial" w:hAnsi="Arial" w:cs="Arial"/>
          <w:sz w:val="24"/>
          <w:szCs w:val="24"/>
          <w:lang w:val="en-US"/>
        </w:rPr>
      </w:pPr>
      <w:r w:rsidRPr="007E311B">
        <w:rPr>
          <w:rFonts w:ascii="Arial" w:hAnsi="Arial" w:cs="Arial"/>
          <w:sz w:val="24"/>
          <w:szCs w:val="24"/>
          <w:lang w:val="en-US"/>
        </w:rPr>
        <w:t xml:space="preserve">Business Strategy Hub (BSH) (2023) </w:t>
      </w:r>
      <w:r w:rsidRPr="007E311B">
        <w:rPr>
          <w:rFonts w:ascii="Arial" w:hAnsi="Arial" w:cs="Arial"/>
          <w:i/>
          <w:iCs/>
          <w:sz w:val="24"/>
          <w:szCs w:val="24"/>
          <w:lang w:val="bg-BG"/>
        </w:rPr>
        <w:t>TESCO SWOT Analysis 2023 | SWOT analysis of TESCO</w:t>
      </w:r>
      <w:r w:rsidRPr="007E311B">
        <w:rPr>
          <w:rFonts w:ascii="Arial" w:hAnsi="Arial" w:cs="Arial"/>
          <w:sz w:val="24"/>
          <w:szCs w:val="24"/>
          <w:lang w:val="en-US"/>
        </w:rPr>
        <w:t xml:space="preserve">, [online] Available: </w:t>
      </w:r>
      <w:hyperlink r:id="rId10" w:history="1">
        <w:r w:rsidRPr="007E311B">
          <w:rPr>
            <w:rStyle w:val="Hyperlink"/>
            <w:rFonts w:ascii="Arial" w:hAnsi="Arial" w:cs="Arial"/>
            <w:sz w:val="24"/>
            <w:szCs w:val="24"/>
            <w:lang w:val="en-US"/>
          </w:rPr>
          <w:t>https://bstrategyhub.com/tesco-swot-analysis-2019swot-analysis-of-tesco/</w:t>
        </w:r>
      </w:hyperlink>
      <w:r w:rsidRPr="007E311B">
        <w:rPr>
          <w:rFonts w:ascii="Arial" w:hAnsi="Arial" w:cs="Arial"/>
          <w:sz w:val="24"/>
          <w:szCs w:val="24"/>
          <w:lang w:val="en-US"/>
        </w:rPr>
        <w:t xml:space="preserve"> [Accessed: 20 April 2023]</w:t>
      </w:r>
    </w:p>
    <w:p w14:paraId="0AB97422" w14:textId="77777777" w:rsidR="00BC5F21" w:rsidRPr="007E311B" w:rsidRDefault="00BC5F21" w:rsidP="00BC5F21">
      <w:pPr>
        <w:spacing w:after="240" w:line="360" w:lineRule="auto"/>
        <w:rPr>
          <w:rFonts w:ascii="Arial" w:eastAsia="Calibri" w:hAnsi="Arial" w:cs="Arial"/>
          <w:kern w:val="0"/>
          <w:sz w:val="24"/>
          <w:szCs w:val="24"/>
          <w14:ligatures w14:val="none"/>
        </w:rPr>
      </w:pPr>
      <w:r w:rsidRPr="007E311B">
        <w:rPr>
          <w:rFonts w:ascii="Arial" w:eastAsia="Calibri" w:hAnsi="Arial" w:cs="Arial"/>
          <w:bCs/>
          <w:iCs/>
          <w:kern w:val="0"/>
          <w:sz w:val="24"/>
          <w:szCs w:val="24"/>
          <w:lang w:val="en-US"/>
          <w14:ligatures w14:val="none"/>
        </w:rPr>
        <w:t xml:space="preserve">Harari, D. (2023) GDP – International Comparisons: Key Economic Indicators, </w:t>
      </w:r>
      <w:r w:rsidRPr="007E311B">
        <w:rPr>
          <w:rFonts w:ascii="Arial" w:eastAsia="Calibri" w:hAnsi="Arial" w:cs="Arial"/>
          <w:bCs/>
          <w:i/>
          <w:iCs/>
          <w:kern w:val="0"/>
          <w:sz w:val="24"/>
          <w:szCs w:val="24"/>
          <w:lang w:val="en-US"/>
          <w14:ligatures w14:val="none"/>
        </w:rPr>
        <w:t>House of Commons</w:t>
      </w:r>
      <w:r w:rsidRPr="007E311B">
        <w:rPr>
          <w:rFonts w:ascii="Arial" w:eastAsia="Calibri" w:hAnsi="Arial" w:cs="Arial"/>
          <w:bCs/>
          <w:iCs/>
          <w:kern w:val="0"/>
          <w:sz w:val="24"/>
          <w:szCs w:val="24"/>
          <w:lang w:val="en-US"/>
          <w14:ligatures w14:val="none"/>
        </w:rPr>
        <w:t xml:space="preserve">, [online] Available: </w:t>
      </w:r>
      <w:hyperlink r:id="rId11" w:history="1">
        <w:r w:rsidRPr="007E311B">
          <w:rPr>
            <w:rFonts w:ascii="Arial" w:eastAsia="Calibri" w:hAnsi="Arial" w:cs="Arial"/>
            <w:bCs/>
            <w:color w:val="0563C1"/>
            <w:kern w:val="0"/>
            <w:sz w:val="24"/>
            <w:szCs w:val="24"/>
            <w:u w:val="single"/>
            <w14:ligatures w14:val="none"/>
          </w:rPr>
          <w:t>https://commonslibrary.parliament.uk/research-briefings/sn02784/</w:t>
        </w:r>
      </w:hyperlink>
      <w:r w:rsidRPr="007E311B">
        <w:rPr>
          <w:rFonts w:ascii="Arial" w:eastAsia="Calibri" w:hAnsi="Arial" w:cs="Arial"/>
          <w:bCs/>
          <w:kern w:val="0"/>
          <w:sz w:val="24"/>
          <w:szCs w:val="24"/>
          <w14:ligatures w14:val="none"/>
        </w:rPr>
        <w:t xml:space="preserve"> </w:t>
      </w:r>
      <w:r w:rsidRPr="007E311B">
        <w:rPr>
          <w:rFonts w:ascii="Arial" w:eastAsia="Calibri" w:hAnsi="Arial" w:cs="Arial"/>
          <w:kern w:val="0"/>
          <w:sz w:val="24"/>
          <w:szCs w:val="24"/>
          <w14:ligatures w14:val="none"/>
        </w:rPr>
        <w:t>[Accessed: 25 April 2023]</w:t>
      </w:r>
    </w:p>
    <w:p w14:paraId="07A8EA70" w14:textId="77777777" w:rsidR="00BC5F21" w:rsidRPr="007E311B" w:rsidRDefault="00BC5F21" w:rsidP="00BC5F21">
      <w:pPr>
        <w:spacing w:line="360" w:lineRule="auto"/>
        <w:rPr>
          <w:rFonts w:ascii="Arial" w:hAnsi="Arial" w:cs="Arial"/>
          <w:bCs/>
          <w:sz w:val="24"/>
          <w:szCs w:val="24"/>
        </w:rPr>
      </w:pPr>
      <w:r w:rsidRPr="007E311B">
        <w:rPr>
          <w:rFonts w:ascii="Arial" w:hAnsi="Arial" w:cs="Arial"/>
          <w:bCs/>
          <w:sz w:val="24"/>
          <w:szCs w:val="24"/>
        </w:rPr>
        <w:t xml:space="preserve">Johnson, G., Whittington, R., Scholes, K., Angwin, D. and Regner, P. (2017) </w:t>
      </w:r>
      <w:r w:rsidRPr="007E311B">
        <w:rPr>
          <w:rFonts w:ascii="Arial" w:hAnsi="Arial" w:cs="Arial"/>
          <w:bCs/>
          <w:i/>
          <w:iCs/>
          <w:sz w:val="24"/>
          <w:szCs w:val="24"/>
        </w:rPr>
        <w:t>Exploring Strategy</w:t>
      </w:r>
      <w:r w:rsidRPr="007E311B">
        <w:rPr>
          <w:rFonts w:ascii="Arial" w:hAnsi="Arial" w:cs="Arial"/>
          <w:bCs/>
          <w:sz w:val="24"/>
          <w:szCs w:val="24"/>
        </w:rPr>
        <w:t>. 11</w:t>
      </w:r>
      <w:r w:rsidRPr="007E311B">
        <w:rPr>
          <w:rFonts w:ascii="Arial" w:hAnsi="Arial" w:cs="Arial"/>
          <w:bCs/>
          <w:sz w:val="24"/>
          <w:szCs w:val="24"/>
          <w:vertAlign w:val="superscript"/>
        </w:rPr>
        <w:t>th</w:t>
      </w:r>
      <w:r w:rsidRPr="007E311B">
        <w:rPr>
          <w:rFonts w:ascii="Arial" w:hAnsi="Arial" w:cs="Arial"/>
          <w:bCs/>
          <w:sz w:val="24"/>
          <w:szCs w:val="24"/>
        </w:rPr>
        <w:t xml:space="preserve"> edition, Pearson </w:t>
      </w:r>
    </w:p>
    <w:p w14:paraId="763672FF" w14:textId="77777777" w:rsidR="00BC5F21" w:rsidRPr="007E311B" w:rsidRDefault="00BC5F21" w:rsidP="00BC5F21">
      <w:pPr>
        <w:spacing w:line="360" w:lineRule="auto"/>
        <w:rPr>
          <w:rFonts w:ascii="Arial" w:hAnsi="Arial" w:cs="Arial"/>
          <w:sz w:val="24"/>
          <w:szCs w:val="24"/>
          <w:lang w:val="en-US"/>
        </w:rPr>
      </w:pPr>
      <w:r w:rsidRPr="007E311B">
        <w:rPr>
          <w:rFonts w:ascii="Arial" w:hAnsi="Arial" w:cs="Arial"/>
          <w:sz w:val="24"/>
          <w:szCs w:val="24"/>
          <w:lang w:val="en-US"/>
        </w:rPr>
        <w:t xml:space="preserve">Krugman, P. and Wells, R. (2020) </w:t>
      </w:r>
      <w:r w:rsidRPr="007E311B">
        <w:rPr>
          <w:rFonts w:ascii="Arial" w:hAnsi="Arial" w:cs="Arial"/>
          <w:i/>
          <w:sz w:val="24"/>
          <w:szCs w:val="24"/>
          <w:lang w:val="en-US"/>
        </w:rPr>
        <w:t>Essentials of Economics</w:t>
      </w:r>
      <w:r w:rsidRPr="007E311B">
        <w:rPr>
          <w:rFonts w:ascii="Arial" w:hAnsi="Arial" w:cs="Arial"/>
          <w:sz w:val="24"/>
          <w:szCs w:val="24"/>
          <w:lang w:val="en-US"/>
        </w:rPr>
        <w:t>. 5</w:t>
      </w:r>
      <w:r w:rsidRPr="007E311B">
        <w:rPr>
          <w:rFonts w:ascii="Arial" w:hAnsi="Arial" w:cs="Arial"/>
          <w:sz w:val="24"/>
          <w:szCs w:val="24"/>
          <w:vertAlign w:val="superscript"/>
          <w:lang w:val="en-US"/>
        </w:rPr>
        <w:t>th</w:t>
      </w:r>
      <w:r w:rsidRPr="007E311B">
        <w:rPr>
          <w:rFonts w:ascii="Arial" w:hAnsi="Arial" w:cs="Arial"/>
          <w:sz w:val="24"/>
          <w:szCs w:val="24"/>
          <w:lang w:val="en-US"/>
        </w:rPr>
        <w:t xml:space="preserve"> edition, New York Worth Publishers, Macmillan Learning</w:t>
      </w:r>
    </w:p>
    <w:p w14:paraId="21E69634" w14:textId="77777777" w:rsidR="00BC5F21" w:rsidRPr="007E311B" w:rsidRDefault="00BC5F21" w:rsidP="00BC5F21">
      <w:pPr>
        <w:spacing w:line="360" w:lineRule="auto"/>
        <w:rPr>
          <w:rFonts w:ascii="Arial" w:hAnsi="Arial" w:cs="Arial"/>
          <w:sz w:val="24"/>
          <w:szCs w:val="24"/>
          <w:lang w:val="en-US"/>
        </w:rPr>
      </w:pPr>
      <w:r w:rsidRPr="007E311B">
        <w:rPr>
          <w:rFonts w:ascii="Arial" w:hAnsi="Arial" w:cs="Arial"/>
          <w:sz w:val="24"/>
          <w:szCs w:val="24"/>
        </w:rPr>
        <w:t xml:space="preserve">Marketing Week (2023) </w:t>
      </w:r>
      <w:r w:rsidRPr="007E311B">
        <w:rPr>
          <w:rFonts w:ascii="Arial" w:hAnsi="Arial" w:cs="Arial"/>
          <w:i/>
          <w:iCs/>
          <w:sz w:val="24"/>
          <w:szCs w:val="24"/>
          <w:lang w:val="bg-BG"/>
        </w:rPr>
        <w:t>Market share, top UK ads, diversity: 5 interesting stats to start your week</w:t>
      </w:r>
      <w:r w:rsidRPr="007E311B">
        <w:rPr>
          <w:rFonts w:ascii="Arial" w:hAnsi="Arial" w:cs="Arial"/>
          <w:sz w:val="24"/>
          <w:szCs w:val="24"/>
          <w:lang w:val="en-US"/>
        </w:rPr>
        <w:t xml:space="preserve">, [online] Available: </w:t>
      </w:r>
      <w:hyperlink r:id="rId12" w:history="1">
        <w:r w:rsidRPr="007E311B">
          <w:rPr>
            <w:rStyle w:val="Hyperlink"/>
            <w:rFonts w:ascii="Arial" w:hAnsi="Arial" w:cs="Arial"/>
            <w:sz w:val="24"/>
            <w:szCs w:val="24"/>
            <w:lang w:val="en-US"/>
          </w:rPr>
          <w:t>https://www.marketingweek.com/grocery-market-share-top-uk-ads-agency-diversity-5-interesting-stats/</w:t>
        </w:r>
      </w:hyperlink>
      <w:r w:rsidRPr="007E311B">
        <w:rPr>
          <w:rFonts w:ascii="Arial" w:hAnsi="Arial" w:cs="Arial"/>
          <w:sz w:val="24"/>
          <w:szCs w:val="24"/>
          <w:lang w:val="en-US"/>
        </w:rPr>
        <w:t xml:space="preserve"> [Accessed: 20 April 2023]</w:t>
      </w:r>
    </w:p>
    <w:p w14:paraId="261CFC38" w14:textId="77777777" w:rsidR="00BC5F21" w:rsidRPr="007E311B" w:rsidRDefault="00BC5F21" w:rsidP="00BC5F21">
      <w:pPr>
        <w:spacing w:line="360" w:lineRule="auto"/>
        <w:rPr>
          <w:rFonts w:ascii="Arial" w:hAnsi="Arial" w:cs="Arial"/>
          <w:sz w:val="24"/>
          <w:szCs w:val="24"/>
          <w:lang w:val="bg-BG"/>
        </w:rPr>
      </w:pPr>
      <w:r w:rsidRPr="007E311B">
        <w:rPr>
          <w:rFonts w:ascii="Arial" w:hAnsi="Arial" w:cs="Arial"/>
          <w:sz w:val="24"/>
          <w:szCs w:val="24"/>
        </w:rPr>
        <w:t xml:space="preserve">Office for National Statistics (ONS) (2023a) </w:t>
      </w:r>
      <w:r w:rsidRPr="007E311B">
        <w:rPr>
          <w:rFonts w:ascii="Arial" w:hAnsi="Arial" w:cs="Arial"/>
          <w:i/>
          <w:iCs/>
          <w:sz w:val="24"/>
          <w:szCs w:val="24"/>
        </w:rPr>
        <w:t xml:space="preserve">Internet Sales as a Percentage of Total Retail Sales (Ratio), </w:t>
      </w:r>
      <w:r w:rsidRPr="007E311B">
        <w:rPr>
          <w:rFonts w:ascii="Arial" w:hAnsi="Arial" w:cs="Arial"/>
          <w:sz w:val="24"/>
          <w:szCs w:val="24"/>
        </w:rPr>
        <w:t xml:space="preserve">[online] Available: </w:t>
      </w:r>
      <w:hyperlink r:id="rId13" w:history="1">
        <w:r w:rsidRPr="007E311B">
          <w:rPr>
            <w:rStyle w:val="Hyperlink"/>
            <w:rFonts w:ascii="Arial" w:hAnsi="Arial" w:cs="Arial"/>
            <w:sz w:val="24"/>
            <w:szCs w:val="24"/>
          </w:rPr>
          <w:t>https://www.ons.gov.uk/businessindustryandtrade/retailindustry/timeseries/j4mc/drsi</w:t>
        </w:r>
      </w:hyperlink>
      <w:r w:rsidRPr="007E311B">
        <w:rPr>
          <w:rFonts w:ascii="Arial" w:hAnsi="Arial" w:cs="Arial"/>
          <w:sz w:val="24"/>
          <w:szCs w:val="24"/>
        </w:rPr>
        <w:t xml:space="preserve"> [Accessed: </w:t>
      </w:r>
      <w:r w:rsidRPr="007E311B">
        <w:rPr>
          <w:rFonts w:ascii="Arial" w:hAnsi="Arial" w:cs="Arial"/>
          <w:sz w:val="24"/>
          <w:szCs w:val="24"/>
          <w:lang w:val="en-US"/>
        </w:rPr>
        <w:t>23 April 2023]</w:t>
      </w:r>
    </w:p>
    <w:p w14:paraId="4104B414" w14:textId="77777777" w:rsidR="00BC5F21" w:rsidRPr="007E311B" w:rsidRDefault="00BC5F21" w:rsidP="00BC5F21">
      <w:pPr>
        <w:spacing w:line="360" w:lineRule="auto"/>
        <w:rPr>
          <w:rFonts w:ascii="Arial" w:hAnsi="Arial" w:cs="Arial"/>
          <w:sz w:val="24"/>
          <w:szCs w:val="24"/>
          <w:lang w:val="en-US"/>
        </w:rPr>
      </w:pPr>
      <w:r w:rsidRPr="007E311B">
        <w:rPr>
          <w:rFonts w:ascii="Arial" w:hAnsi="Arial" w:cs="Arial"/>
          <w:sz w:val="24"/>
          <w:szCs w:val="24"/>
        </w:rPr>
        <w:t xml:space="preserve">Office for National Statistics (ONS) (2023b) </w:t>
      </w:r>
      <w:r w:rsidRPr="007E311B">
        <w:rPr>
          <w:rFonts w:ascii="Arial" w:hAnsi="Arial" w:cs="Arial"/>
          <w:i/>
          <w:iCs/>
          <w:sz w:val="24"/>
          <w:szCs w:val="24"/>
          <w:lang w:val="bg-BG"/>
        </w:rPr>
        <w:t>Unemployment rate (aged 16 and over, seasonally adjusted): %</w:t>
      </w:r>
      <w:r w:rsidRPr="007E311B">
        <w:rPr>
          <w:rFonts w:ascii="Arial" w:hAnsi="Arial" w:cs="Arial"/>
          <w:i/>
          <w:iCs/>
          <w:sz w:val="24"/>
          <w:szCs w:val="24"/>
          <w:lang w:val="en-US"/>
        </w:rPr>
        <w:t xml:space="preserve">, </w:t>
      </w:r>
      <w:r w:rsidRPr="007E311B">
        <w:rPr>
          <w:rFonts w:ascii="Arial" w:hAnsi="Arial" w:cs="Arial"/>
          <w:sz w:val="24"/>
          <w:szCs w:val="24"/>
          <w:lang w:val="en-US"/>
        </w:rPr>
        <w:t xml:space="preserve">[online] Available: </w:t>
      </w:r>
      <w:hyperlink r:id="rId14" w:history="1">
        <w:r w:rsidRPr="007E311B">
          <w:rPr>
            <w:rStyle w:val="Hyperlink"/>
            <w:rFonts w:ascii="Arial" w:hAnsi="Arial" w:cs="Arial"/>
            <w:sz w:val="24"/>
            <w:szCs w:val="24"/>
            <w:lang w:val="en-US"/>
          </w:rPr>
          <w:t>https://www.ons.gov.uk/employmentandlabourmarket/peoplenotinwork/unemployment/timeseries/mgsx/lms</w:t>
        </w:r>
      </w:hyperlink>
      <w:r w:rsidRPr="007E311B">
        <w:rPr>
          <w:rFonts w:ascii="Arial" w:hAnsi="Arial" w:cs="Arial"/>
          <w:sz w:val="24"/>
          <w:szCs w:val="24"/>
          <w:lang w:val="en-US"/>
        </w:rPr>
        <w:t xml:space="preserve"> [Accessed: 25 April 2023]</w:t>
      </w:r>
    </w:p>
    <w:p w14:paraId="6C7D44E5" w14:textId="77777777" w:rsidR="00BC5F21" w:rsidRPr="007E311B" w:rsidRDefault="00BC5F21" w:rsidP="00BC5F21">
      <w:pPr>
        <w:spacing w:line="360" w:lineRule="auto"/>
        <w:rPr>
          <w:rFonts w:ascii="Arial" w:hAnsi="Arial" w:cs="Arial"/>
          <w:sz w:val="24"/>
          <w:szCs w:val="24"/>
        </w:rPr>
      </w:pPr>
      <w:r w:rsidRPr="007E311B">
        <w:rPr>
          <w:rFonts w:ascii="Arial" w:hAnsi="Arial" w:cs="Arial"/>
          <w:sz w:val="24"/>
          <w:szCs w:val="24"/>
        </w:rPr>
        <w:t xml:space="preserve">Reuters (2023) </w:t>
      </w:r>
      <w:r w:rsidRPr="007E311B">
        <w:rPr>
          <w:rFonts w:ascii="Arial" w:hAnsi="Arial" w:cs="Arial"/>
          <w:i/>
          <w:iCs/>
          <w:sz w:val="24"/>
          <w:szCs w:val="24"/>
        </w:rPr>
        <w:t>Tesco PLC</w:t>
      </w:r>
      <w:r w:rsidRPr="007E311B">
        <w:rPr>
          <w:rFonts w:ascii="Arial" w:hAnsi="Arial" w:cs="Arial"/>
          <w:sz w:val="24"/>
          <w:szCs w:val="24"/>
        </w:rPr>
        <w:t xml:space="preserve">, [online] Available: </w:t>
      </w:r>
      <w:hyperlink r:id="rId15" w:history="1">
        <w:r w:rsidRPr="007E311B">
          <w:rPr>
            <w:rStyle w:val="Hyperlink"/>
            <w:rFonts w:ascii="Arial" w:hAnsi="Arial" w:cs="Arial"/>
            <w:sz w:val="24"/>
            <w:szCs w:val="24"/>
          </w:rPr>
          <w:t>https://www.reuters.com/markets/companies/TSCO.L/</w:t>
        </w:r>
      </w:hyperlink>
      <w:r w:rsidRPr="007E311B">
        <w:rPr>
          <w:rFonts w:ascii="Arial" w:hAnsi="Arial" w:cs="Arial"/>
          <w:sz w:val="24"/>
          <w:szCs w:val="24"/>
        </w:rPr>
        <w:t xml:space="preserve"> [Accessed: 25 April 2023]</w:t>
      </w:r>
    </w:p>
    <w:p w14:paraId="1CC8F908" w14:textId="77777777" w:rsidR="00BC5F21" w:rsidRPr="007E311B" w:rsidRDefault="00BC5F21" w:rsidP="00BC5F21">
      <w:pPr>
        <w:spacing w:line="360" w:lineRule="auto"/>
        <w:rPr>
          <w:rFonts w:ascii="Arial" w:hAnsi="Arial" w:cs="Arial"/>
          <w:bCs/>
          <w:iCs/>
          <w:sz w:val="24"/>
          <w:szCs w:val="24"/>
          <w:lang w:val="en-US"/>
        </w:rPr>
      </w:pPr>
      <w:r w:rsidRPr="007E311B">
        <w:rPr>
          <w:rFonts w:ascii="Arial" w:hAnsi="Arial" w:cs="Arial"/>
          <w:bCs/>
          <w:iCs/>
          <w:sz w:val="24"/>
          <w:szCs w:val="24"/>
        </w:rPr>
        <w:lastRenderedPageBreak/>
        <w:t xml:space="preserve">Rijmenam, M. (2014) </w:t>
      </w:r>
      <w:r w:rsidRPr="007E311B">
        <w:rPr>
          <w:rFonts w:ascii="Arial" w:hAnsi="Arial" w:cs="Arial"/>
          <w:bCs/>
          <w:i/>
          <w:iCs/>
          <w:sz w:val="24"/>
          <w:szCs w:val="24"/>
        </w:rPr>
        <w:t>Tesco and Big Data Analytics, a Recipe for Success?</w:t>
      </w:r>
      <w:r w:rsidRPr="007E311B">
        <w:rPr>
          <w:rFonts w:ascii="Arial" w:hAnsi="Arial" w:cs="Arial"/>
          <w:bCs/>
          <w:iCs/>
          <w:sz w:val="24"/>
          <w:szCs w:val="24"/>
        </w:rPr>
        <w:t xml:space="preserve"> [online] Available: </w:t>
      </w:r>
      <w:hyperlink r:id="rId16" w:history="1">
        <w:r w:rsidRPr="007E311B">
          <w:rPr>
            <w:rStyle w:val="Hyperlink"/>
            <w:rFonts w:ascii="Arial" w:hAnsi="Arial" w:cs="Arial"/>
            <w:bCs/>
            <w:iCs/>
            <w:sz w:val="24"/>
            <w:szCs w:val="24"/>
          </w:rPr>
          <w:t>https://datafloq.com/read/tesco-big-data-analytics-recipe-success/665</w:t>
        </w:r>
      </w:hyperlink>
      <w:r w:rsidRPr="007E311B">
        <w:rPr>
          <w:rFonts w:ascii="Arial" w:hAnsi="Arial" w:cs="Arial"/>
          <w:bCs/>
          <w:iCs/>
          <w:sz w:val="24"/>
          <w:szCs w:val="24"/>
        </w:rPr>
        <w:t xml:space="preserve"> [Accessed: </w:t>
      </w:r>
      <w:r w:rsidRPr="007E311B">
        <w:rPr>
          <w:rFonts w:ascii="Arial" w:hAnsi="Arial" w:cs="Arial"/>
          <w:bCs/>
          <w:iCs/>
          <w:sz w:val="24"/>
          <w:szCs w:val="24"/>
          <w:lang w:val="en-US"/>
        </w:rPr>
        <w:t>23 April 2023]</w:t>
      </w:r>
    </w:p>
    <w:p w14:paraId="65067ADA" w14:textId="77777777" w:rsidR="00BC5F21" w:rsidRPr="007E311B" w:rsidRDefault="00BC5F21" w:rsidP="00BC5F21">
      <w:pPr>
        <w:spacing w:line="360" w:lineRule="auto"/>
        <w:rPr>
          <w:rFonts w:ascii="Arial" w:hAnsi="Arial" w:cs="Arial"/>
          <w:bCs/>
          <w:sz w:val="24"/>
          <w:szCs w:val="24"/>
        </w:rPr>
      </w:pPr>
      <w:r w:rsidRPr="007E311B">
        <w:rPr>
          <w:rFonts w:ascii="Arial" w:hAnsi="Arial" w:cs="Arial"/>
          <w:bCs/>
          <w:sz w:val="24"/>
          <w:szCs w:val="24"/>
        </w:rPr>
        <w:t xml:space="preserve">Rollinson, D. (2019) </w:t>
      </w:r>
      <w:r w:rsidRPr="007E311B">
        <w:rPr>
          <w:rFonts w:ascii="Arial" w:hAnsi="Arial" w:cs="Arial"/>
          <w:bCs/>
          <w:i/>
          <w:sz w:val="24"/>
          <w:szCs w:val="24"/>
        </w:rPr>
        <w:t>Organisational Behaviour and Analysis: An Integrated Approach</w:t>
      </w:r>
      <w:r w:rsidRPr="007E311B">
        <w:rPr>
          <w:rFonts w:ascii="Arial" w:hAnsi="Arial" w:cs="Arial"/>
          <w:bCs/>
          <w:sz w:val="24"/>
          <w:szCs w:val="24"/>
        </w:rPr>
        <w:t>. 7</w:t>
      </w:r>
      <w:r w:rsidRPr="007E311B">
        <w:rPr>
          <w:rFonts w:ascii="Arial" w:hAnsi="Arial" w:cs="Arial"/>
          <w:bCs/>
          <w:sz w:val="24"/>
          <w:szCs w:val="24"/>
          <w:vertAlign w:val="superscript"/>
        </w:rPr>
        <w:t>th</w:t>
      </w:r>
      <w:r w:rsidRPr="007E311B">
        <w:rPr>
          <w:rFonts w:ascii="Arial" w:hAnsi="Arial" w:cs="Arial"/>
          <w:bCs/>
          <w:sz w:val="24"/>
          <w:szCs w:val="24"/>
        </w:rPr>
        <w:t xml:space="preserve"> edition, London: Pearson</w:t>
      </w:r>
    </w:p>
    <w:p w14:paraId="44A3D9F5" w14:textId="77777777" w:rsidR="00BC5F21" w:rsidRPr="007E311B" w:rsidRDefault="00BC5F21" w:rsidP="00BC5F21">
      <w:pPr>
        <w:spacing w:line="360" w:lineRule="auto"/>
        <w:rPr>
          <w:rFonts w:ascii="Arial" w:hAnsi="Arial" w:cs="Arial"/>
          <w:sz w:val="24"/>
          <w:szCs w:val="24"/>
          <w:lang w:val="en-US"/>
        </w:rPr>
      </w:pPr>
      <w:r w:rsidRPr="007E311B">
        <w:rPr>
          <w:rFonts w:ascii="Arial" w:hAnsi="Arial" w:cs="Arial"/>
          <w:sz w:val="24"/>
          <w:szCs w:val="24"/>
          <w:lang w:val="en-US"/>
        </w:rPr>
        <w:t xml:space="preserve">Sharma, (2020) </w:t>
      </w:r>
      <w:r w:rsidRPr="007E311B">
        <w:rPr>
          <w:rFonts w:ascii="Arial" w:hAnsi="Arial" w:cs="Arial"/>
          <w:i/>
          <w:iCs/>
          <w:sz w:val="24"/>
          <w:szCs w:val="24"/>
          <w:lang w:val="en-US"/>
        </w:rPr>
        <w:t>Tesco employees take legal action over equal pay dispute</w:t>
      </w:r>
      <w:r w:rsidRPr="007E311B">
        <w:rPr>
          <w:rFonts w:ascii="Arial" w:hAnsi="Arial" w:cs="Arial"/>
          <w:sz w:val="24"/>
          <w:szCs w:val="24"/>
          <w:lang w:val="en-US"/>
        </w:rPr>
        <w:t xml:space="preserve">, [online] Available: </w:t>
      </w:r>
      <w:hyperlink r:id="rId17" w:anchor=":~:text=Yesterday%20(6th%20October%202020)%2C,a%20seven%20year%20time%20frame" w:history="1">
        <w:r w:rsidRPr="007E311B">
          <w:rPr>
            <w:rStyle w:val="Hyperlink"/>
            <w:rFonts w:ascii="Arial" w:hAnsi="Arial" w:cs="Arial"/>
            <w:sz w:val="24"/>
            <w:szCs w:val="24"/>
            <w:lang w:val="en-US"/>
          </w:rPr>
          <w:t>https://www.hrreview.co.uk/hr-news/employment-law/tesco-employees-take-legal-action-over-equal-pay-dispute/127792#:~:text=Yesterday%20(6th%20October%202020)%2C,a%20seven%20year%20time%20frame</w:t>
        </w:r>
      </w:hyperlink>
      <w:r w:rsidRPr="007E311B">
        <w:rPr>
          <w:rFonts w:ascii="Arial" w:hAnsi="Arial" w:cs="Arial"/>
          <w:sz w:val="24"/>
          <w:szCs w:val="24"/>
          <w:lang w:val="en-US"/>
        </w:rPr>
        <w:t>. [Accessed: 22 April 2023]</w:t>
      </w:r>
    </w:p>
    <w:p w14:paraId="5CED60E5" w14:textId="77777777" w:rsidR="00BC5F21" w:rsidRPr="007E311B" w:rsidRDefault="00BC5F21" w:rsidP="00BC5F21">
      <w:pPr>
        <w:spacing w:line="360" w:lineRule="auto"/>
        <w:rPr>
          <w:rFonts w:ascii="Arial" w:hAnsi="Arial" w:cs="Arial"/>
          <w:bCs/>
          <w:sz w:val="24"/>
          <w:szCs w:val="24"/>
        </w:rPr>
      </w:pPr>
      <w:r w:rsidRPr="007E311B">
        <w:rPr>
          <w:rFonts w:ascii="Arial" w:hAnsi="Arial" w:cs="Arial"/>
          <w:bCs/>
          <w:sz w:val="24"/>
          <w:szCs w:val="24"/>
        </w:rPr>
        <w:t xml:space="preserve">Statista (2021) </w:t>
      </w:r>
      <w:r w:rsidRPr="007E311B">
        <w:rPr>
          <w:rFonts w:ascii="Arial" w:hAnsi="Arial" w:cs="Arial"/>
          <w:bCs/>
          <w:i/>
          <w:sz w:val="24"/>
          <w:szCs w:val="24"/>
          <w:lang w:val="en-US"/>
        </w:rPr>
        <w:t xml:space="preserve">Sustainable Consumption in the UK 2021 Report, </w:t>
      </w:r>
      <w:r w:rsidRPr="007E311B">
        <w:rPr>
          <w:rFonts w:ascii="Arial" w:hAnsi="Arial" w:cs="Arial"/>
          <w:bCs/>
          <w:sz w:val="24"/>
          <w:szCs w:val="24"/>
          <w:lang w:val="en-US"/>
        </w:rPr>
        <w:t xml:space="preserve">[online] Accessed: </w:t>
      </w:r>
      <w:hyperlink r:id="rId18" w:history="1">
        <w:r w:rsidRPr="007E311B">
          <w:rPr>
            <w:rStyle w:val="Hyperlink"/>
            <w:rFonts w:ascii="Arial" w:hAnsi="Arial" w:cs="Arial"/>
            <w:bCs/>
            <w:sz w:val="24"/>
            <w:szCs w:val="24"/>
          </w:rPr>
          <w:t>https://www.statista.com/study/89745/sustainable-consumption-in-the-uk-report/</w:t>
        </w:r>
      </w:hyperlink>
      <w:r w:rsidRPr="007E311B">
        <w:rPr>
          <w:rFonts w:ascii="Arial" w:hAnsi="Arial" w:cs="Arial"/>
          <w:bCs/>
          <w:sz w:val="24"/>
          <w:szCs w:val="24"/>
        </w:rPr>
        <w:t xml:space="preserve"> [Accessed: 23 April 2023]</w:t>
      </w:r>
    </w:p>
    <w:p w14:paraId="19AB29AE" w14:textId="77777777" w:rsidR="00BC5F21" w:rsidRPr="007E311B" w:rsidRDefault="00BC5F21" w:rsidP="00BC5F21">
      <w:pPr>
        <w:spacing w:line="360" w:lineRule="auto"/>
        <w:rPr>
          <w:rFonts w:ascii="Arial" w:hAnsi="Arial" w:cs="Arial"/>
          <w:sz w:val="24"/>
          <w:szCs w:val="24"/>
        </w:rPr>
      </w:pPr>
      <w:r w:rsidRPr="007E311B">
        <w:rPr>
          <w:rFonts w:ascii="Arial" w:hAnsi="Arial" w:cs="Arial"/>
          <w:sz w:val="24"/>
          <w:szCs w:val="24"/>
          <w:lang w:val="en-US"/>
        </w:rPr>
        <w:t xml:space="preserve">Tesco (2021) </w:t>
      </w:r>
      <w:r w:rsidRPr="007E311B">
        <w:rPr>
          <w:rFonts w:ascii="Arial" w:hAnsi="Arial" w:cs="Arial"/>
          <w:i/>
          <w:iCs/>
          <w:sz w:val="24"/>
          <w:szCs w:val="24"/>
        </w:rPr>
        <w:t>Everyone’s Welcome Report 2021. Celebrating diversity across our business</w:t>
      </w:r>
      <w:r w:rsidRPr="007E311B">
        <w:rPr>
          <w:rFonts w:ascii="Arial" w:hAnsi="Arial" w:cs="Arial"/>
          <w:sz w:val="24"/>
          <w:szCs w:val="24"/>
        </w:rPr>
        <w:t xml:space="preserve">, [online] Available: </w:t>
      </w:r>
      <w:hyperlink r:id="rId19" w:history="1">
        <w:r w:rsidRPr="007E311B">
          <w:rPr>
            <w:rStyle w:val="Hyperlink"/>
            <w:rFonts w:ascii="Arial" w:hAnsi="Arial" w:cs="Arial"/>
            <w:sz w:val="24"/>
            <w:szCs w:val="24"/>
          </w:rPr>
          <w:t>https://www.tescoplc.com/media/758508/tesco-everyones-welcome-report-2021-7.pdf</w:t>
        </w:r>
      </w:hyperlink>
      <w:r w:rsidRPr="007E311B">
        <w:rPr>
          <w:rFonts w:ascii="Arial" w:hAnsi="Arial" w:cs="Arial"/>
          <w:sz w:val="24"/>
          <w:szCs w:val="24"/>
        </w:rPr>
        <w:t xml:space="preserve"> [Accessed: 22 April 2023]</w:t>
      </w:r>
    </w:p>
    <w:p w14:paraId="566AAEAF" w14:textId="77777777" w:rsidR="00BC5F21" w:rsidRPr="007E311B" w:rsidRDefault="00BC5F21" w:rsidP="00BC5F21">
      <w:pPr>
        <w:spacing w:line="360" w:lineRule="auto"/>
        <w:rPr>
          <w:rFonts w:ascii="Arial" w:hAnsi="Arial" w:cs="Arial"/>
          <w:bCs/>
          <w:sz w:val="24"/>
          <w:szCs w:val="24"/>
          <w:lang w:val="en-US"/>
        </w:rPr>
      </w:pPr>
      <w:r w:rsidRPr="007E311B">
        <w:rPr>
          <w:rFonts w:ascii="Arial" w:hAnsi="Arial" w:cs="Arial"/>
          <w:bCs/>
          <w:sz w:val="24"/>
          <w:szCs w:val="24"/>
          <w:lang w:val="en-US"/>
        </w:rPr>
        <w:t xml:space="preserve">Trading Economics (2023) </w:t>
      </w:r>
      <w:r w:rsidRPr="007E311B">
        <w:rPr>
          <w:rFonts w:ascii="Arial" w:hAnsi="Arial" w:cs="Arial"/>
          <w:bCs/>
          <w:i/>
          <w:iCs/>
          <w:sz w:val="24"/>
          <w:szCs w:val="24"/>
          <w:lang w:val="en-US"/>
        </w:rPr>
        <w:t>Inflation Rate</w:t>
      </w:r>
      <w:r w:rsidRPr="007E311B">
        <w:rPr>
          <w:rFonts w:ascii="Arial" w:hAnsi="Arial" w:cs="Arial"/>
          <w:bCs/>
          <w:sz w:val="24"/>
          <w:szCs w:val="24"/>
          <w:lang w:val="en-US"/>
        </w:rPr>
        <w:t xml:space="preserve">, [online] Available: </w:t>
      </w:r>
      <w:hyperlink r:id="rId20" w:history="1">
        <w:r w:rsidRPr="007E311B">
          <w:rPr>
            <w:rStyle w:val="Hyperlink"/>
            <w:rFonts w:ascii="Arial" w:hAnsi="Arial" w:cs="Arial"/>
            <w:bCs/>
            <w:sz w:val="24"/>
            <w:szCs w:val="24"/>
            <w:lang w:val="en-US"/>
          </w:rPr>
          <w:t>https://tradingeconomics.com/country-list/inflation-rate</w:t>
        </w:r>
      </w:hyperlink>
      <w:r w:rsidRPr="007E311B">
        <w:rPr>
          <w:rFonts w:ascii="Arial" w:hAnsi="Arial" w:cs="Arial"/>
          <w:bCs/>
          <w:sz w:val="24"/>
          <w:szCs w:val="24"/>
          <w:lang w:val="en-US"/>
        </w:rPr>
        <w:t xml:space="preserve"> [Accessed: 23 April 2023]</w:t>
      </w:r>
    </w:p>
    <w:p w14:paraId="55BC4B6F" w14:textId="77777777" w:rsidR="00BC5F21" w:rsidRPr="007E311B" w:rsidRDefault="00BC5F21" w:rsidP="00BC5F21">
      <w:pPr>
        <w:spacing w:line="360" w:lineRule="auto"/>
        <w:rPr>
          <w:rFonts w:ascii="Arial" w:hAnsi="Arial" w:cs="Arial"/>
          <w:sz w:val="24"/>
          <w:szCs w:val="24"/>
        </w:rPr>
      </w:pPr>
      <w:r w:rsidRPr="007E311B">
        <w:rPr>
          <w:rFonts w:ascii="Arial" w:hAnsi="Arial" w:cs="Arial"/>
          <w:sz w:val="24"/>
          <w:szCs w:val="24"/>
        </w:rPr>
        <w:t xml:space="preserve">Worldometers (2023) </w:t>
      </w:r>
      <w:r w:rsidRPr="007E311B">
        <w:rPr>
          <w:rFonts w:ascii="Arial" w:hAnsi="Arial" w:cs="Arial"/>
          <w:i/>
          <w:iCs/>
          <w:sz w:val="24"/>
          <w:szCs w:val="24"/>
        </w:rPr>
        <w:t>Current World Population</w:t>
      </w:r>
      <w:r w:rsidRPr="007E311B">
        <w:rPr>
          <w:rFonts w:ascii="Arial" w:hAnsi="Arial" w:cs="Arial"/>
          <w:sz w:val="24"/>
          <w:szCs w:val="24"/>
        </w:rPr>
        <w:t xml:space="preserve">, [online] Available: </w:t>
      </w:r>
      <w:hyperlink r:id="rId21" w:anchor=":~:text=8%20Billion%20(2023),to%20the%20U.S.%20Census%20Bureau" w:history="1">
        <w:r w:rsidRPr="007E311B">
          <w:rPr>
            <w:rStyle w:val="Hyperlink"/>
            <w:rFonts w:ascii="Arial" w:hAnsi="Arial" w:cs="Arial"/>
            <w:sz w:val="24"/>
            <w:szCs w:val="24"/>
          </w:rPr>
          <w:t>https://www.worldometers.info/world-population/#:~:text=8%20Billion%20(2023),to%20the%20U.S.%20Census%20Bureau</w:t>
        </w:r>
      </w:hyperlink>
      <w:r w:rsidRPr="007E311B">
        <w:rPr>
          <w:rFonts w:ascii="Arial" w:hAnsi="Arial" w:cs="Arial"/>
          <w:sz w:val="24"/>
          <w:szCs w:val="24"/>
        </w:rPr>
        <w:t>) [Accessed: 23 April 2023]</w:t>
      </w:r>
    </w:p>
    <w:p w14:paraId="5AE35F83" w14:textId="7E8921B8" w:rsidR="003034DF" w:rsidRPr="007E311B" w:rsidRDefault="003034DF" w:rsidP="00C41520">
      <w:pPr>
        <w:rPr>
          <w:rFonts w:ascii="Arial" w:hAnsi="Arial" w:cs="Arial"/>
          <w:lang w:val="en-US"/>
        </w:rPr>
      </w:pPr>
    </w:p>
    <w:p w14:paraId="275AA9AF" w14:textId="77777777" w:rsidR="003034DF" w:rsidRPr="007E311B" w:rsidRDefault="003034DF" w:rsidP="00C41520">
      <w:pPr>
        <w:rPr>
          <w:rFonts w:ascii="Arial" w:hAnsi="Arial" w:cs="Arial"/>
          <w:lang w:val="en-US"/>
        </w:rPr>
      </w:pPr>
    </w:p>
    <w:p w14:paraId="631B2EF4" w14:textId="78775DF0" w:rsidR="00C41520" w:rsidRPr="00C41520" w:rsidRDefault="00C41520" w:rsidP="00C41520">
      <w:pPr>
        <w:rPr>
          <w:lang w:val="en-US"/>
        </w:rPr>
      </w:pPr>
    </w:p>
    <w:p w14:paraId="74E42467" w14:textId="09298FC4" w:rsidR="00E9170F" w:rsidRPr="00C41520" w:rsidRDefault="00C41520">
      <w:r w:rsidRPr="00C41520">
        <w:t xml:space="preserve"> </w:t>
      </w:r>
    </w:p>
    <w:sectPr w:rsidR="00E9170F" w:rsidRPr="00C41520">
      <w:footerReference w:type="default" r:id="rId2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AE6AB" w14:textId="77777777" w:rsidR="00371A3C" w:rsidRDefault="00371A3C" w:rsidP="00462015">
      <w:pPr>
        <w:spacing w:after="0" w:line="240" w:lineRule="auto"/>
      </w:pPr>
      <w:r>
        <w:separator/>
      </w:r>
    </w:p>
  </w:endnote>
  <w:endnote w:type="continuationSeparator" w:id="0">
    <w:p w14:paraId="08837D68" w14:textId="77777777" w:rsidR="00371A3C" w:rsidRDefault="00371A3C" w:rsidP="00462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886143"/>
      <w:docPartObj>
        <w:docPartGallery w:val="Page Numbers (Bottom of Page)"/>
        <w:docPartUnique/>
      </w:docPartObj>
    </w:sdtPr>
    <w:sdtEndPr>
      <w:rPr>
        <w:noProof/>
      </w:rPr>
    </w:sdtEndPr>
    <w:sdtContent>
      <w:p w14:paraId="06C39A58" w14:textId="68F06E6C" w:rsidR="00462015" w:rsidRDefault="004620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56813" w14:textId="77777777" w:rsidR="00462015" w:rsidRDefault="00462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1162F" w14:textId="77777777" w:rsidR="00371A3C" w:rsidRDefault="00371A3C" w:rsidP="00462015">
      <w:pPr>
        <w:spacing w:after="0" w:line="240" w:lineRule="auto"/>
      </w:pPr>
      <w:r>
        <w:separator/>
      </w:r>
    </w:p>
  </w:footnote>
  <w:footnote w:type="continuationSeparator" w:id="0">
    <w:p w14:paraId="0F8FDD88" w14:textId="77777777" w:rsidR="00371A3C" w:rsidRDefault="00371A3C" w:rsidP="00462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7C82"/>
    <w:multiLevelType w:val="hybridMultilevel"/>
    <w:tmpl w:val="BA82BD50"/>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FDE6AED"/>
    <w:multiLevelType w:val="hybridMultilevel"/>
    <w:tmpl w:val="C85645A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2F57F14"/>
    <w:multiLevelType w:val="hybridMultilevel"/>
    <w:tmpl w:val="092ADA1C"/>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5FB4279"/>
    <w:multiLevelType w:val="hybridMultilevel"/>
    <w:tmpl w:val="D0FE34C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358573D5"/>
    <w:multiLevelType w:val="hybridMultilevel"/>
    <w:tmpl w:val="0872569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484C49CA"/>
    <w:multiLevelType w:val="hybridMultilevel"/>
    <w:tmpl w:val="43C092E0"/>
    <w:lvl w:ilvl="0" w:tplc="EFB242A6">
      <w:start w:val="1"/>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5CF9074D"/>
    <w:multiLevelType w:val="hybridMultilevel"/>
    <w:tmpl w:val="7B8ABEB4"/>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621303866">
    <w:abstractNumId w:val="0"/>
  </w:num>
  <w:num w:numId="2" w16cid:durableId="232857732">
    <w:abstractNumId w:val="3"/>
  </w:num>
  <w:num w:numId="3" w16cid:durableId="663506208">
    <w:abstractNumId w:val="2"/>
  </w:num>
  <w:num w:numId="4" w16cid:durableId="1801264798">
    <w:abstractNumId w:val="6"/>
  </w:num>
  <w:num w:numId="5" w16cid:durableId="404111410">
    <w:abstractNumId w:val="1"/>
  </w:num>
  <w:num w:numId="6" w16cid:durableId="956378007">
    <w:abstractNumId w:val="5"/>
  </w:num>
  <w:num w:numId="7" w16cid:durableId="1461743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83"/>
    <w:rsid w:val="00006904"/>
    <w:rsid w:val="000442BA"/>
    <w:rsid w:val="00083311"/>
    <w:rsid w:val="000A24F6"/>
    <w:rsid w:val="001D2D7B"/>
    <w:rsid w:val="001E69A0"/>
    <w:rsid w:val="00296451"/>
    <w:rsid w:val="003034DF"/>
    <w:rsid w:val="00361203"/>
    <w:rsid w:val="00371A3C"/>
    <w:rsid w:val="003843A9"/>
    <w:rsid w:val="003A3509"/>
    <w:rsid w:val="003B231F"/>
    <w:rsid w:val="003B3962"/>
    <w:rsid w:val="00435C5A"/>
    <w:rsid w:val="004368AF"/>
    <w:rsid w:val="00462015"/>
    <w:rsid w:val="00492C30"/>
    <w:rsid w:val="004C0525"/>
    <w:rsid w:val="004D7D44"/>
    <w:rsid w:val="005532BB"/>
    <w:rsid w:val="005A6F02"/>
    <w:rsid w:val="00617CC4"/>
    <w:rsid w:val="006559E2"/>
    <w:rsid w:val="00777ACA"/>
    <w:rsid w:val="007A436A"/>
    <w:rsid w:val="007B1AB0"/>
    <w:rsid w:val="007B2419"/>
    <w:rsid w:val="007C5B2B"/>
    <w:rsid w:val="007E311B"/>
    <w:rsid w:val="008108AF"/>
    <w:rsid w:val="00844006"/>
    <w:rsid w:val="00866715"/>
    <w:rsid w:val="008E0B87"/>
    <w:rsid w:val="009168EC"/>
    <w:rsid w:val="0098183A"/>
    <w:rsid w:val="00982CCB"/>
    <w:rsid w:val="00A1576F"/>
    <w:rsid w:val="00A85FBF"/>
    <w:rsid w:val="00AB529F"/>
    <w:rsid w:val="00B12687"/>
    <w:rsid w:val="00B6360C"/>
    <w:rsid w:val="00B6413A"/>
    <w:rsid w:val="00B86DEC"/>
    <w:rsid w:val="00B95AFE"/>
    <w:rsid w:val="00BC5F21"/>
    <w:rsid w:val="00C2437E"/>
    <w:rsid w:val="00C41520"/>
    <w:rsid w:val="00C7628F"/>
    <w:rsid w:val="00CC4B4B"/>
    <w:rsid w:val="00D65839"/>
    <w:rsid w:val="00DA4CA5"/>
    <w:rsid w:val="00DE348F"/>
    <w:rsid w:val="00E33B83"/>
    <w:rsid w:val="00E9170F"/>
    <w:rsid w:val="00EA5546"/>
    <w:rsid w:val="00EC56E9"/>
    <w:rsid w:val="00EE666C"/>
    <w:rsid w:val="00F349F4"/>
    <w:rsid w:val="00F47B80"/>
    <w:rsid w:val="00FB4554"/>
    <w:rsid w:val="00FD10E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D4D32"/>
  <w15:chartTrackingRefBased/>
  <w15:docId w15:val="{F73414CB-8AE7-460B-9CA3-5659ADA86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B83"/>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462015"/>
    <w:pPr>
      <w:tabs>
        <w:tab w:val="center" w:pos="4536"/>
        <w:tab w:val="right" w:pos="9072"/>
      </w:tabs>
      <w:spacing w:after="0" w:line="240" w:lineRule="auto"/>
    </w:pPr>
  </w:style>
  <w:style w:type="character" w:customStyle="1" w:styleId="HeaderChar">
    <w:name w:val="Header Char"/>
    <w:basedOn w:val="DefaultParagraphFont"/>
    <w:link w:val="Header"/>
    <w:uiPriority w:val="99"/>
    <w:rsid w:val="00462015"/>
    <w:rPr>
      <w:lang w:val="en-GB"/>
    </w:rPr>
  </w:style>
  <w:style w:type="paragraph" w:styleId="Footer">
    <w:name w:val="footer"/>
    <w:basedOn w:val="Normal"/>
    <w:link w:val="FooterChar"/>
    <w:uiPriority w:val="99"/>
    <w:unhideWhenUsed/>
    <w:rsid w:val="00462015"/>
    <w:pPr>
      <w:tabs>
        <w:tab w:val="center" w:pos="4536"/>
        <w:tab w:val="right" w:pos="9072"/>
      </w:tabs>
      <w:spacing w:after="0" w:line="240" w:lineRule="auto"/>
    </w:pPr>
  </w:style>
  <w:style w:type="character" w:customStyle="1" w:styleId="FooterChar">
    <w:name w:val="Footer Char"/>
    <w:basedOn w:val="DefaultParagraphFont"/>
    <w:link w:val="Footer"/>
    <w:uiPriority w:val="99"/>
    <w:rsid w:val="00462015"/>
    <w:rPr>
      <w:lang w:val="en-GB"/>
    </w:rPr>
  </w:style>
  <w:style w:type="character" w:styleId="Hyperlink">
    <w:name w:val="Hyperlink"/>
    <w:basedOn w:val="DefaultParagraphFont"/>
    <w:uiPriority w:val="99"/>
    <w:unhideWhenUsed/>
    <w:rsid w:val="00C41520"/>
    <w:rPr>
      <w:color w:val="0563C1" w:themeColor="hyperlink"/>
      <w:u w:val="single"/>
    </w:rPr>
  </w:style>
  <w:style w:type="character" w:styleId="UnresolvedMention">
    <w:name w:val="Unresolved Mention"/>
    <w:basedOn w:val="DefaultParagraphFont"/>
    <w:uiPriority w:val="99"/>
    <w:semiHidden/>
    <w:unhideWhenUsed/>
    <w:rsid w:val="00C41520"/>
    <w:rPr>
      <w:color w:val="605E5C"/>
      <w:shd w:val="clear" w:color="auto" w:fill="E1DFDD"/>
    </w:rPr>
  </w:style>
  <w:style w:type="paragraph" w:styleId="ListParagraph">
    <w:name w:val="List Paragraph"/>
    <w:basedOn w:val="Normal"/>
    <w:uiPriority w:val="34"/>
    <w:qFormat/>
    <w:rsid w:val="00617CC4"/>
    <w:pPr>
      <w:ind w:left="720"/>
      <w:contextualSpacing/>
    </w:pPr>
  </w:style>
  <w:style w:type="table" w:styleId="TableGrid">
    <w:name w:val="Table Grid"/>
    <w:basedOn w:val="TableNormal"/>
    <w:uiPriority w:val="39"/>
    <w:rsid w:val="00777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B396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B3962"/>
    <w:pPr>
      <w:spacing w:after="100"/>
    </w:pPr>
  </w:style>
  <w:style w:type="paragraph" w:styleId="TOC2">
    <w:name w:val="toc 2"/>
    <w:basedOn w:val="Normal"/>
    <w:next w:val="Normal"/>
    <w:autoRedefine/>
    <w:uiPriority w:val="39"/>
    <w:unhideWhenUsed/>
    <w:rsid w:val="003B396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90328">
      <w:bodyDiv w:val="1"/>
      <w:marLeft w:val="0"/>
      <w:marRight w:val="0"/>
      <w:marTop w:val="0"/>
      <w:marBottom w:val="0"/>
      <w:divBdr>
        <w:top w:val="none" w:sz="0" w:space="0" w:color="auto"/>
        <w:left w:val="none" w:sz="0" w:space="0" w:color="auto"/>
        <w:bottom w:val="none" w:sz="0" w:space="0" w:color="auto"/>
        <w:right w:val="none" w:sz="0" w:space="0" w:color="auto"/>
      </w:divBdr>
    </w:div>
    <w:div w:id="814221499">
      <w:bodyDiv w:val="1"/>
      <w:marLeft w:val="0"/>
      <w:marRight w:val="0"/>
      <w:marTop w:val="0"/>
      <w:marBottom w:val="0"/>
      <w:divBdr>
        <w:top w:val="none" w:sz="0" w:space="0" w:color="auto"/>
        <w:left w:val="none" w:sz="0" w:space="0" w:color="auto"/>
        <w:bottom w:val="none" w:sz="0" w:space="0" w:color="auto"/>
        <w:right w:val="none" w:sz="0" w:space="0" w:color="auto"/>
      </w:divBdr>
    </w:div>
    <w:div w:id="934947743">
      <w:bodyDiv w:val="1"/>
      <w:marLeft w:val="0"/>
      <w:marRight w:val="0"/>
      <w:marTop w:val="0"/>
      <w:marBottom w:val="0"/>
      <w:divBdr>
        <w:top w:val="none" w:sz="0" w:space="0" w:color="auto"/>
        <w:left w:val="none" w:sz="0" w:space="0" w:color="auto"/>
        <w:bottom w:val="none" w:sz="0" w:space="0" w:color="auto"/>
        <w:right w:val="none" w:sz="0" w:space="0" w:color="auto"/>
      </w:divBdr>
    </w:div>
    <w:div w:id="138806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businessindustryandtrade/retailindustry/timeseries/j4mc/drsi" TargetMode="External"/><Relationship Id="rId18" Type="http://schemas.openxmlformats.org/officeDocument/2006/relationships/hyperlink" Target="https://www.statista.com/study/89745/sustainable-consumption-in-the-uk-report/" TargetMode="External"/><Relationship Id="rId3" Type="http://schemas.openxmlformats.org/officeDocument/2006/relationships/styles" Target="styles.xml"/><Relationship Id="rId21" Type="http://schemas.openxmlformats.org/officeDocument/2006/relationships/hyperlink" Target="https://www.worldometers.info/world-population/" TargetMode="External"/><Relationship Id="rId7" Type="http://schemas.openxmlformats.org/officeDocument/2006/relationships/endnotes" Target="endnotes.xml"/><Relationship Id="rId12" Type="http://schemas.openxmlformats.org/officeDocument/2006/relationships/hyperlink" Target="https://www.marketingweek.com/grocery-market-share-top-uk-ads-agency-diversity-5-interesting-stats/" TargetMode="External"/><Relationship Id="rId17" Type="http://schemas.openxmlformats.org/officeDocument/2006/relationships/hyperlink" Target="https://www.hrreview.co.uk/hr-news/employment-law/tesco-employees-take-legal-action-over-equal-pay-dispute/127792" TargetMode="External"/><Relationship Id="rId2" Type="http://schemas.openxmlformats.org/officeDocument/2006/relationships/numbering" Target="numbering.xml"/><Relationship Id="rId16" Type="http://schemas.openxmlformats.org/officeDocument/2006/relationships/hyperlink" Target="https://datafloq.com/read/tesco-big-data-analytics-recipe-success/665" TargetMode="External"/><Relationship Id="rId20" Type="http://schemas.openxmlformats.org/officeDocument/2006/relationships/hyperlink" Target="https://tradingeconomics.com/country-list/inflation-r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sn0278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uters.com/markets/companies/TSCO.L/" TargetMode="External"/><Relationship Id="rId23" Type="http://schemas.openxmlformats.org/officeDocument/2006/relationships/fontTable" Target="fontTable.xml"/><Relationship Id="rId10" Type="http://schemas.openxmlformats.org/officeDocument/2006/relationships/hyperlink" Target="https://bstrategyhub.com/tesco-swot-analysis-2019swot-analysis-of-tesco/" TargetMode="External"/><Relationship Id="rId19" Type="http://schemas.openxmlformats.org/officeDocument/2006/relationships/hyperlink" Target="https://www.tescoplc.com/media/758508/tesco-everyones-welcome-report-2021-7.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mploymentandlabourmarket/peoplenotinwork/unemployment/timeseries/mgsx/lm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5F8B8-DC76-4FBB-9C70-F77BF6ACB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13</Pages>
  <Words>2897</Words>
  <Characters>16516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Nikolaeva Decheva (2129230)</cp:lastModifiedBy>
  <cp:revision>2</cp:revision>
  <dcterms:created xsi:type="dcterms:W3CDTF">2023-04-26T07:57:00Z</dcterms:created>
  <dcterms:modified xsi:type="dcterms:W3CDTF">2023-04-27T14:38:00Z</dcterms:modified>
</cp:coreProperties>
</file>