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26"/>
      </w:tblGrid>
      <w:tr w:rsidR="00930C5B" w:rsidRPr="00930C5B" w14:paraId="33C8C6F7" w14:textId="77777777" w:rsidTr="00930C5B">
        <w:tc>
          <w:tcPr>
            <w:tcW w:w="0" w:type="auto"/>
            <w:hideMark/>
          </w:tcPr>
          <w:tbl>
            <w:tblPr>
              <w:tblW w:w="5000" w:type="pct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026"/>
            </w:tblGrid>
            <w:tr w:rsidR="00930C5B" w:rsidRPr="00930C5B" w14:paraId="6E8B3BD3" w14:textId="77777777">
              <w:trPr>
                <w:trHeight w:val="240"/>
              </w:trPr>
              <w:tc>
                <w:tcPr>
                  <w:tcW w:w="0" w:type="auto"/>
                  <w:vAlign w:val="center"/>
                  <w:hideMark/>
                </w:tcPr>
                <w:p w14:paraId="3B2AA867" w14:textId="77777777" w:rsidR="00930C5B" w:rsidRPr="00930C5B" w:rsidRDefault="00930C5B" w:rsidP="00930C5B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eastAsia="en-GB"/>
                    </w:rPr>
                  </w:pPr>
                </w:p>
              </w:tc>
            </w:tr>
          </w:tbl>
          <w:p w14:paraId="6E8307A2" w14:textId="77777777" w:rsidR="00930C5B" w:rsidRPr="00930C5B" w:rsidRDefault="00930C5B" w:rsidP="00930C5B">
            <w:pPr>
              <w:spacing w:after="0" w:line="240" w:lineRule="auto"/>
              <w:rPr>
                <w:rFonts w:ascii="Segoe UI" w:eastAsia="Times New Roman" w:hAnsi="Segoe UI" w:cs="Segoe UI"/>
                <w:color w:val="201F1E"/>
                <w:sz w:val="23"/>
                <w:szCs w:val="23"/>
                <w:lang w:eastAsia="en-GB"/>
              </w:rPr>
            </w:pPr>
          </w:p>
        </w:tc>
      </w:tr>
    </w:tbl>
    <w:p w14:paraId="3885C7F9" w14:textId="77777777" w:rsidR="00930C5B" w:rsidRPr="00930C5B" w:rsidRDefault="00930C5B" w:rsidP="00930C5B">
      <w:pPr>
        <w:spacing w:after="0" w:line="240" w:lineRule="auto"/>
        <w:rPr>
          <w:rFonts w:ascii="Times New Roman" w:eastAsia="Times New Roman" w:hAnsi="Times New Roman" w:cs="Times New Roman"/>
          <w:vanish/>
          <w:sz w:val="24"/>
          <w:szCs w:val="24"/>
          <w:lang w:eastAsia="en-GB"/>
        </w:rPr>
      </w:pP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26"/>
      </w:tblGrid>
      <w:tr w:rsidR="00930C5B" w:rsidRPr="00930C5B" w14:paraId="4791BD0D" w14:textId="77777777" w:rsidTr="00930C5B">
        <w:tc>
          <w:tcPr>
            <w:tcW w:w="0" w:type="auto"/>
            <w:tcMar>
              <w:top w:w="135" w:type="dxa"/>
              <w:left w:w="0" w:type="dxa"/>
              <w:bottom w:w="0" w:type="dxa"/>
              <w:right w:w="0" w:type="dxa"/>
            </w:tcMar>
            <w:hideMark/>
          </w:tcPr>
          <w:p w14:paraId="29F93F17" w14:textId="7EBBDD38" w:rsidR="00930C5B" w:rsidRDefault="00930C5B">
            <w:r>
              <w:t>Daniel Barnett, Employment Law Bulletin  - 16</w:t>
            </w:r>
            <w:r w:rsidRPr="00930C5B">
              <w:rPr>
                <w:vertAlign w:val="superscript"/>
              </w:rPr>
              <w:t>th</w:t>
            </w:r>
            <w:r>
              <w:t xml:space="preserve"> November 2020</w:t>
            </w:r>
          </w:p>
          <w:p w14:paraId="54CDDF37" w14:textId="77777777" w:rsidR="00930C5B" w:rsidRDefault="00930C5B"/>
          <w:tbl>
            <w:tblPr>
              <w:tblpPr w:leftFromText="45" w:rightFromText="45" w:vertAnchor="text"/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9026"/>
            </w:tblGrid>
            <w:tr w:rsidR="00930C5B" w:rsidRPr="00930C5B" w14:paraId="0CE651C2" w14:textId="77777777">
              <w:tc>
                <w:tcPr>
                  <w:tcW w:w="0" w:type="auto"/>
                  <w:tcMar>
                    <w:top w:w="0" w:type="dxa"/>
                    <w:left w:w="270" w:type="dxa"/>
                    <w:bottom w:w="135" w:type="dxa"/>
                    <w:right w:w="270" w:type="dxa"/>
                  </w:tcMar>
                  <w:hideMark/>
                </w:tcPr>
                <w:p w14:paraId="7F5577EA" w14:textId="77777777" w:rsidR="00930C5B" w:rsidRPr="00930C5B" w:rsidRDefault="00930C5B" w:rsidP="00930C5B">
                  <w:pPr>
                    <w:spacing w:after="0" w:line="435" w:lineRule="atLeast"/>
                    <w:jc w:val="center"/>
                    <w:outlineLvl w:val="0"/>
                    <w:rPr>
                      <w:rFonts w:ascii="Helvetica" w:eastAsia="Times New Roman" w:hAnsi="Helvetica" w:cs="Helvetica"/>
                      <w:b/>
                      <w:bCs/>
                      <w:color w:val="5C5B5B"/>
                      <w:kern w:val="36"/>
                      <w:sz w:val="44"/>
                      <w:szCs w:val="44"/>
                      <w:lang w:eastAsia="en-GB"/>
                    </w:rPr>
                  </w:pPr>
                  <w:r w:rsidRPr="00930C5B">
                    <w:rPr>
                      <w:rFonts w:ascii="Helvetica" w:eastAsia="Times New Roman" w:hAnsi="Helvetica" w:cs="Helvetica"/>
                      <w:b/>
                      <w:bCs/>
                      <w:color w:val="5C5B5B"/>
                      <w:kern w:val="36"/>
                      <w:sz w:val="44"/>
                      <w:szCs w:val="44"/>
                      <w:lang w:eastAsia="en-GB"/>
                    </w:rPr>
                    <w:t>New CJRS Treasury Direction</w:t>
                  </w:r>
                </w:p>
              </w:tc>
            </w:tr>
          </w:tbl>
          <w:p w14:paraId="7ADB3BCA" w14:textId="77777777" w:rsidR="00930C5B" w:rsidRPr="00930C5B" w:rsidRDefault="00930C5B" w:rsidP="00930C5B">
            <w:pPr>
              <w:spacing w:after="0" w:line="240" w:lineRule="auto"/>
              <w:rPr>
                <w:rFonts w:ascii="Segoe UI" w:eastAsia="Times New Roman" w:hAnsi="Segoe UI" w:cs="Segoe UI"/>
                <w:color w:val="201F1E"/>
                <w:sz w:val="23"/>
                <w:szCs w:val="23"/>
                <w:lang w:eastAsia="en-GB"/>
              </w:rPr>
            </w:pPr>
          </w:p>
        </w:tc>
      </w:tr>
    </w:tbl>
    <w:p w14:paraId="3D0E818D" w14:textId="77777777" w:rsidR="00930C5B" w:rsidRPr="00930C5B" w:rsidRDefault="00930C5B" w:rsidP="00930C5B">
      <w:pPr>
        <w:spacing w:after="0" w:line="240" w:lineRule="auto"/>
        <w:rPr>
          <w:rFonts w:ascii="Times New Roman" w:eastAsia="Times New Roman" w:hAnsi="Times New Roman" w:cs="Times New Roman"/>
          <w:vanish/>
          <w:sz w:val="24"/>
          <w:szCs w:val="24"/>
          <w:lang w:eastAsia="en-GB"/>
        </w:rPr>
      </w:pP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26"/>
      </w:tblGrid>
      <w:tr w:rsidR="00930C5B" w:rsidRPr="00930C5B" w14:paraId="3EEA39B9" w14:textId="77777777" w:rsidTr="00930C5B">
        <w:tc>
          <w:tcPr>
            <w:tcW w:w="0" w:type="auto"/>
            <w:tcMar>
              <w:top w:w="135" w:type="dxa"/>
              <w:left w:w="0" w:type="dxa"/>
              <w:bottom w:w="0" w:type="dxa"/>
              <w:right w:w="0" w:type="dxa"/>
            </w:tcMar>
            <w:hideMark/>
          </w:tcPr>
          <w:tbl>
            <w:tblPr>
              <w:tblpPr w:leftFromText="45" w:rightFromText="45" w:vertAnchor="text"/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9026"/>
            </w:tblGrid>
            <w:tr w:rsidR="00930C5B" w:rsidRPr="00930C5B" w14:paraId="419FC835" w14:textId="77777777">
              <w:tc>
                <w:tcPr>
                  <w:tcW w:w="0" w:type="auto"/>
                  <w:tcMar>
                    <w:top w:w="0" w:type="dxa"/>
                    <w:left w:w="270" w:type="dxa"/>
                    <w:bottom w:w="135" w:type="dxa"/>
                    <w:right w:w="270" w:type="dxa"/>
                  </w:tcMar>
                  <w:hideMark/>
                </w:tcPr>
                <w:p w14:paraId="708CD24A" w14:textId="77777777" w:rsidR="00930C5B" w:rsidRPr="00930C5B" w:rsidRDefault="00930C5B" w:rsidP="00930C5B">
                  <w:pPr>
                    <w:spacing w:after="0" w:line="360" w:lineRule="atLeast"/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</w:pP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>On 13 November 2020, HM Treasury published </w:t>
                  </w:r>
                  <w:hyperlink r:id="rId5" w:tgtFrame="_blank" w:tooltip="Original URL: https://assets.publishing.service.gov.uk/government/uploads/system/uploads/attachment_data/file/935146/201112_CJRS_DIRECTION_No_5___CJRS_extension_1_Nov_-_31_Jan__SIGNED.pdf. Click or tap if you trust this link." w:history="1">
                    <w:r w:rsidRPr="00930C5B">
                      <w:rPr>
                        <w:rFonts w:ascii="inherit" w:eastAsia="Times New Roman" w:hAnsi="inherit" w:cs="Helvetica"/>
                        <w:color w:val="007C89"/>
                        <w:sz w:val="24"/>
                        <w:szCs w:val="24"/>
                        <w:u w:val="single"/>
                        <w:bdr w:val="none" w:sz="0" w:space="0" w:color="auto" w:frame="1"/>
                        <w:lang w:eastAsia="en-GB"/>
                      </w:rPr>
                      <w:t>The Coronavirus Act 2020 Functions of her Majesty’s Revenue and Customs (Coronavirus Job Retention Scheme) Direction</w:t>
                    </w:r>
                  </w:hyperlink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>. This is the fourth such Treasury Direction to be issued (you can view the previous Treasury Directions </w:t>
                  </w:r>
                  <w:hyperlink r:id="rId6" w:tgtFrame="_blank" w:tooltip="Original URL: https://www.gov.uk/government/publications/treasury-direction-made-under-sections-71-and-76-of-the-coronavirus-act-2020?utm_source=0680f31c-0f8c-4d5d-be64-d697c49cf908&amp;utm_medium=email&amp;utm_campaign=govuk-notifications&amp;utm_content=immediate. Click or tap if you trust this link." w:history="1">
                    <w:r w:rsidRPr="00930C5B">
                      <w:rPr>
                        <w:rFonts w:ascii="inherit" w:eastAsia="Times New Roman" w:hAnsi="inherit" w:cs="Helvetica"/>
                        <w:color w:val="007C89"/>
                        <w:sz w:val="24"/>
                        <w:szCs w:val="24"/>
                        <w:u w:val="single"/>
                        <w:bdr w:val="none" w:sz="0" w:space="0" w:color="auto" w:frame="1"/>
                        <w:lang w:eastAsia="en-GB"/>
                      </w:rPr>
                      <w:t>here</w:t>
                    </w:r>
                  </w:hyperlink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>). Together, the Treasury Directions form the legal framework for the Coronavirus Job Retention Scheme (CJRS).</w:t>
                  </w: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br/>
                  </w: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br/>
                    <w:t>The fourth Treasury Direction:</w:t>
                  </w:r>
                </w:p>
                <w:p w14:paraId="656C5971" w14:textId="77777777" w:rsidR="00930C5B" w:rsidRPr="00930C5B" w:rsidRDefault="00930C5B" w:rsidP="00930C5B">
                  <w:pPr>
                    <w:numPr>
                      <w:ilvl w:val="0"/>
                      <w:numId w:val="1"/>
                    </w:numPr>
                    <w:spacing w:before="100" w:beforeAutospacing="1" w:after="100" w:afterAutospacing="1" w:line="360" w:lineRule="atLeast"/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</w:pP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 xml:space="preserve">formally extends the CJRS from 1 November 2020 until 31 March </w:t>
                  </w:r>
                  <w:proofErr w:type="gramStart"/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>2021;</w:t>
                  </w:r>
                  <w:proofErr w:type="gramEnd"/>
                </w:p>
                <w:p w14:paraId="08B027EF" w14:textId="77777777" w:rsidR="00930C5B" w:rsidRPr="00930C5B" w:rsidRDefault="00930C5B" w:rsidP="00930C5B">
                  <w:pPr>
                    <w:numPr>
                      <w:ilvl w:val="0"/>
                      <w:numId w:val="1"/>
                    </w:numPr>
                    <w:spacing w:before="100" w:beforeAutospacing="1" w:after="100" w:afterAutospacing="1" w:line="360" w:lineRule="atLeast"/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</w:pP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>sets out the detail of how the CJRS will operate between 1 November 2020 and 31 January 2021 (fifth Treasury Direction covering February and March 2021 to be published in due course); and</w:t>
                  </w:r>
                </w:p>
                <w:p w14:paraId="68F8B42B" w14:textId="77777777" w:rsidR="00930C5B" w:rsidRPr="00930C5B" w:rsidRDefault="00930C5B" w:rsidP="00930C5B">
                  <w:pPr>
                    <w:numPr>
                      <w:ilvl w:val="0"/>
                      <w:numId w:val="1"/>
                    </w:numPr>
                    <w:spacing w:before="100" w:beforeAutospacing="1" w:after="100" w:afterAutospacing="1" w:line="360" w:lineRule="atLeast"/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</w:pP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>withdraws the Coronavirus Job Retention Bonus.</w:t>
                  </w:r>
                </w:p>
                <w:p w14:paraId="2824C63D" w14:textId="77777777" w:rsidR="00930C5B" w:rsidRPr="00930C5B" w:rsidRDefault="00930C5B" w:rsidP="00930C5B">
                  <w:pPr>
                    <w:spacing w:after="0" w:line="360" w:lineRule="atLeast"/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</w:pP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 xml:space="preserve">The </w:t>
                  </w:r>
                  <w:proofErr w:type="gramStart"/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>main focus</w:t>
                  </w:r>
                  <w:proofErr w:type="gramEnd"/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 xml:space="preserve"> of the 32-page document is to address how the CJRS will operate until 31 January 2021. The rules cover a wide range of issues including: eligibility; furlough agreements; claim periods; reference salaries; calculating the usual hours of work; permitted activities during furlough; business succession (including TUPE); PAYE scheme reorganisations; time limits for making claims; and publication of CJRS claimants’ details.</w:t>
                  </w: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br/>
                  </w: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br/>
                    <w:t>For those advising on furlough it is an essential read. In the meantime, here are some key points worth noting:</w:t>
                  </w:r>
                </w:p>
                <w:p w14:paraId="25D5EC3A" w14:textId="77777777" w:rsidR="00930C5B" w:rsidRPr="00930C5B" w:rsidRDefault="00930C5B" w:rsidP="00930C5B">
                  <w:pPr>
                    <w:numPr>
                      <w:ilvl w:val="0"/>
                      <w:numId w:val="2"/>
                    </w:numPr>
                    <w:spacing w:before="100" w:beforeAutospacing="1" w:after="100" w:afterAutospacing="1" w:line="360" w:lineRule="atLeast"/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</w:pP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>It is now a condition of making a claim that the employer accepts that HMRC will publish information about CJRS claims on the internet. This includes the name of the employer and a “reasonable indication” of the amount claimed. An exception may be made for employers who can show that publication would expose their workforce to “serious risk of violence or intimidation”.</w:t>
                  </w:r>
                </w:p>
                <w:p w14:paraId="1AD42D49" w14:textId="77777777" w:rsidR="00930C5B" w:rsidRPr="00930C5B" w:rsidRDefault="00930C5B" w:rsidP="00930C5B">
                  <w:pPr>
                    <w:numPr>
                      <w:ilvl w:val="0"/>
                      <w:numId w:val="2"/>
                    </w:numPr>
                    <w:spacing w:before="100" w:beforeAutospacing="1" w:after="100" w:afterAutospacing="1" w:line="360" w:lineRule="atLeast"/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</w:pP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 xml:space="preserve">Furlough agreements must be in place before the start of the relevant claim period (but may be varied during the claim period). It should be </w:t>
                  </w: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lastRenderedPageBreak/>
                    <w:t>sufficient to update an earlier furlough agreement, provided it is done before the employee is furloughed under this phase of the CJRS. There was a small window of opportunity for employers to backdate agreements, but this has now passed.</w:t>
                  </w:r>
                </w:p>
                <w:p w14:paraId="58DA168B" w14:textId="77777777" w:rsidR="00930C5B" w:rsidRPr="00930C5B" w:rsidRDefault="00930C5B" w:rsidP="00930C5B">
                  <w:pPr>
                    <w:numPr>
                      <w:ilvl w:val="0"/>
                      <w:numId w:val="2"/>
                    </w:numPr>
                    <w:spacing w:before="100" w:beforeAutospacing="1" w:after="100" w:afterAutospacing="1" w:line="360" w:lineRule="atLeast"/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</w:pPr>
                  <w:r w:rsidRPr="00930C5B">
                    <w:rPr>
                      <w:rFonts w:ascii="Helvetica" w:eastAsia="Times New Roman" w:hAnsi="Helvetica" w:cs="Helvetica"/>
                      <w:color w:val="202020"/>
                      <w:sz w:val="24"/>
                      <w:szCs w:val="24"/>
                      <w:lang w:eastAsia="en-GB"/>
                    </w:rPr>
                    <w:t>Claims may not be made for any day that an employee is serving notice between 1 December 2020 and 31 January 2021 (and the latest guidance says this means both statutory and contractual notice periods</w:t>
                  </w:r>
                </w:p>
              </w:tc>
            </w:tr>
          </w:tbl>
          <w:p w14:paraId="29D080CE" w14:textId="77777777" w:rsidR="00930C5B" w:rsidRPr="00930C5B" w:rsidRDefault="00930C5B" w:rsidP="00930C5B">
            <w:pPr>
              <w:spacing w:after="0" w:line="240" w:lineRule="auto"/>
              <w:rPr>
                <w:rFonts w:ascii="Segoe UI" w:eastAsia="Times New Roman" w:hAnsi="Segoe UI" w:cs="Segoe UI"/>
                <w:color w:val="201F1E"/>
                <w:sz w:val="23"/>
                <w:szCs w:val="23"/>
                <w:lang w:eastAsia="en-GB"/>
              </w:rPr>
            </w:pPr>
          </w:p>
        </w:tc>
      </w:tr>
    </w:tbl>
    <w:p w14:paraId="3AB554B6" w14:textId="77777777" w:rsidR="00DF680A" w:rsidRDefault="00DF680A"/>
    <w:sectPr w:rsidR="00DF68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73354F7"/>
    <w:multiLevelType w:val="multilevel"/>
    <w:tmpl w:val="803E49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CCC23D7"/>
    <w:multiLevelType w:val="multilevel"/>
    <w:tmpl w:val="2AE85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C5B"/>
    <w:rsid w:val="00930C5B"/>
    <w:rsid w:val="00DF6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296FBD"/>
  <w15:chartTrackingRefBased/>
  <w15:docId w15:val="{CC5BCC07-5EE5-4F05-A45F-96DE08D91E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5926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www.gov.uk%2Fgovernment%2Fpublications%2Ftreasury-direction-made-under-sections-71-and-76-of-the-coronavirus-act-2020%3Futm_source%3D0680f31c-0f8c-4d5d-be64-d697c49cf908%26utm_medium%3Demail%26utm_campaign%3Dgovuk-notifications%26utm_content%3Dimmediate&amp;data=04%7C01%7C%7C8dfb1ced77c04351b26908d88a132c2c%7C4e0f11f9046e45059cb8db2152311e21%7C0%7C1%7C637411162242076280%7CUnknown%7CTWFpbGZsb3d8eyJWIjoiMC4wLjAwMDAiLCJQIjoiV2luMzIiLCJBTiI6Ik1haWwiLCJXVCI6Mn0%3D%7C1000&amp;sdata=w94tOqSLpUPrlUBWvuom326c0MefQmMdO3Iunys49gg%3D&amp;reserved=0" TargetMode="External"/><Relationship Id="rId5" Type="http://schemas.openxmlformats.org/officeDocument/2006/relationships/hyperlink" Target="https://eur01.safelinks.protection.outlook.com/?url=https%3A%2F%2Fassets.publishing.service.gov.uk%2Fgovernment%2Fuploads%2Fsystem%2Fuploads%2Fattachment_data%2Ffile%2F935146%2F201112_CJRS_DIRECTION_No_5___CJRS_extension_1_Nov_-_31_Jan__SIGNED.pdf&amp;data=04%7C01%7C%7C8dfb1ced77c04351b26908d88a132c2c%7C4e0f11f9046e45059cb8db2152311e21%7C0%7C1%7C637411162242066285%7CUnknown%7CTWFpbGZsb3d8eyJWIjoiMC4wLjAwMDAiLCJQIjoiV2luMzIiLCJBTiI6Ik1haWwiLCJXVCI6Mn0%3D%7C1000&amp;sdata=Drf80BOImiqbqhgz6QvvjH2OOCVMCGi2FIJC%2BCYXWq4%3D&amp;reserved=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601</Words>
  <Characters>3430</Characters>
  <Application>Microsoft Office Word</Application>
  <DocSecurity>0</DocSecurity>
  <Lines>28</Lines>
  <Paragraphs>8</Paragraphs>
  <ScaleCrop>false</ScaleCrop>
  <Company/>
  <LinksUpToDate>false</LinksUpToDate>
  <CharactersWithSpaces>4023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1</cp:revision>
  <dcterms:created xsi:type="dcterms:W3CDTF">2020-11-16T13:05:00Z</dcterms:created>
  <dcterms:modified xsi:type="dcterms:W3CDTF">2020-11-16T13:07:00Z</dcterms:modified>
</cp:coreProperties>
</file>