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sdt>
      <w:sdtPr>
        <w:id w:val="2043320247"/>
        <w:docPartObj>
          <w:docPartGallery w:val="Cover Pages"/>
          <w:docPartUnique/>
        </w:docPartObj>
        <w:rPr>
          <w:rFonts w:eastAsia="Aptos" w:eastAsiaTheme="minorAscii"/>
          <w:kern w:val="2"/>
          <w:sz w:val="2"/>
          <w:szCs w:val="2"/>
          <w:lang w:eastAsia="en-US"/>
          <w14:ligatures w14:val="standardContextual"/>
        </w:rPr>
      </w:sdtPr>
      <w:sdtEndPr>
        <w:rPr>
          <w:rFonts w:eastAsia="Aptos" w:eastAsiaTheme="minorAscii"/>
          <w:sz w:val="24"/>
          <w:szCs w:val="24"/>
          <w:lang w:eastAsia="en-US"/>
        </w:rPr>
      </w:sdtEndPr>
      <w:sdtContent>
        <w:p w:rsidR="005F4C8A" w:rsidRDefault="005F4C8A" w14:paraId="21E7ECC5" w14:textId="77777777">
          <w:pPr>
            <w:pStyle w:val="NoSpacing"/>
            <w:rPr>
              <w:rFonts w:eastAsiaTheme="minorHAnsi"/>
              <w:kern w:val="2"/>
              <w:sz w:val="2"/>
              <w:szCs w:val="24"/>
              <w:lang w:eastAsia="en-US"/>
              <w14:ligatures w14:val="standardContextual"/>
            </w:rPr>
          </w:pPr>
        </w:p>
        <w:p w:rsidR="005F4C8A" w:rsidRDefault="005F4C8A" w14:paraId="2B09EED7" w14:textId="77777777">
          <w:pPr>
            <w:pStyle w:val="NoSpacing"/>
            <w:rPr>
              <w:rFonts w:eastAsiaTheme="minorHAnsi"/>
              <w:kern w:val="2"/>
              <w:sz w:val="2"/>
              <w:szCs w:val="24"/>
              <w:lang w:eastAsia="en-US"/>
              <w14:ligatures w14:val="standardContextual"/>
            </w:rPr>
          </w:pPr>
        </w:p>
        <w:p w:rsidR="005F4C8A" w:rsidRDefault="005F4C8A" w14:paraId="5B956C39" w14:textId="77777777">
          <w:pPr>
            <w:pStyle w:val="NoSpacing"/>
            <w:rPr>
              <w:rFonts w:eastAsiaTheme="minorHAnsi"/>
              <w:kern w:val="2"/>
              <w:sz w:val="2"/>
              <w:szCs w:val="24"/>
              <w:lang w:eastAsia="en-US"/>
              <w14:ligatures w14:val="standardContextual"/>
            </w:rPr>
          </w:pPr>
        </w:p>
        <w:p w:rsidR="00194E93" w:rsidP="18518B0B" w:rsidRDefault="00194E93" w14:paraId="26B186B2" w14:textId="119BD285" w14:noSpellErr="1">
          <w:pPr>
            <w:pStyle w:val="NoSpacing"/>
            <w:rPr>
              <w:sz w:val="2"/>
              <w:szCs w:val="2"/>
            </w:rPr>
          </w:pPr>
          <w:r>
            <w:rPr>
              <w:noProof/>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1312" behindDoc="0" locked="0" layoutInCell="1" allowOverlap="1" wp14:anchorId="3D129FB0" wp14:editId="7ACD807F">
                    <wp:simplePos x="0" y="0"/>
                    <wp:positionH relativeFrom="page">
                      <wp:align>right</wp:align>
                    </wp:positionH>
                    <wp:positionV relativeFrom="margin">
                      <wp:align>top</wp:align>
                    </wp:positionV>
                    <wp:extent cx="7472045" cy="914400"/>
                    <wp:effectExtent l="0" t="0" r="0" b="0"/>
                    <wp:wrapNone/>
                    <wp:docPr id="62" name="Text Box 66"/>
                    <wp:cNvGraphicFramePr/>
                    <a:graphic xmlns:a="http://schemas.openxmlformats.org/drawingml/2006/main">
                      <a:graphicData uri="http://schemas.microsoft.com/office/word/2010/wordprocessingShape">
                        <wps:wsp xmlns:wps="http://schemas.microsoft.com/office/word/2010/wordprocessingShape">
                          <wps:cNvSpPr txBox="1"/>
                          <wps:spPr>
                            <a:xfrm>
                              <a:off x="0" y="0"/>
                              <a:ext cx="7472363"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eastAsia="Aptos" w:cs="Calibri"/>
                                    <w:b/>
                                    <w:i/>
                                    <w:iCs/>
                                    <w:color w:val="000000" w:themeColor="text1"/>
                                    <w:sz w:val="48"/>
                                    <w:szCs w:val="48"/>
                                    <w14:shadow xmlns:w14="http://schemas.microsoft.com/office/word/2010/wordml" w14:blurRad="12700" w14:dist="38100" w14:dir="2700000" w14:sx="100000" w14:sy="100000" w14:kx="0" w14:ky="0" w14:algn="tl">
                                      <w14:srgbClr w14:val="7F7F7F"/>
                                    </w14:shadow>
                                    <w14:textOutline xmlns:w14="http://schemas.microsoft.com/office/word/2010/wordml" w14:w="9525" w14:cap="flat" w14:cmpd="sng" w14:algn="ctr">
                                      <w14:solidFill>
                                        <w14:srgbClr w14:val="FFFFFF"/>
                                      </w14:solidFill>
                                      <w14:prstDash w14:val="solid"/>
                                      <w14:round/>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xmlns:w14="http://schemas.microsoft.com/office/word/2010/wordml" w:rsidRPr="00E37BC9" w:rsidR="00194E93" w:rsidRDefault="00A85303" w14:paraId="7624E60C" w14:textId="5C176CA2">
                                    <w:pPr>
                                      <w:pStyle w:val="NoSpacing"/>
                                      <w:rPr>
                                        <w:rFonts w:asciiTheme="majorHAnsi" w:hAnsiTheme="majorHAnsi" w:eastAsiaTheme="majorEastAsia" w:cstheme="majorBidi"/>
                                        <w:caps/>
                                        <w:color w:val="000000" w:themeColor="text1"/>
                                        <w:sz w:val="68"/>
                                        <w:szCs w:val="68"/>
                                      </w:rPr>
                                    </w:pPr>
                                    <w:r>
                                      <w:rPr>
                                        <w:rFonts w:ascii="Calibri" w:hAnsi="Calibri" w:eastAsia="Aptos" w:cs="Calibri"/>
                                        <w:b/>
                                        <w:i/>
                                        <w:iCs/>
                                        <w:color w:val="000000" w:themeColor="text1"/>
                                        <w:sz w:val="48"/>
                                        <w:szCs w:val="48"/>
                                        <w14:shadow w14:blurRad="12700" w14:dist="38100" w14:dir="2700000" w14:sx="100000" w14:sy="100000" w14:kx="0" w14:ky="0" w14:algn="tl">
                                          <w14:srgbClr w14:val="7F7F7F"/>
                                        </w14:shadow>
                                        <w14:textOutline w14:w="9525" w14:cap="flat" w14:cmpd="sng" w14:algn="ctr">
                                          <w14:solidFill>
                                            <w14:srgbClr w14:val="FFFFFF"/>
                                          </w14:solidFill>
                                          <w14:prstDash w14:val="solid"/>
                                          <w14:round/>
                                        </w14:textOutline>
                                      </w:rPr>
                                      <w:t>ARREST POWER AND PROCEDURES OPTION</w:t>
                                    </w:r>
                                  </w:p>
                                </w:sdtContent>
                              </w:sdt>
                              <w:p xmlns:w14="http://schemas.microsoft.com/office/word/2010/wordml" w:rsidRPr="00E37BC9" w:rsidR="00194E93" w:rsidRDefault="005C6874" w14:paraId="009A644F" w14:textId="754FD092">
                                <w:pPr>
                                  <w:pStyle w:val="NoSpacing"/>
                                  <w:spacing w:before="120"/>
                                  <w:rPr>
                                    <w:color w:val="000000" w:themeColor="text1"/>
                                    <w:sz w:val="36"/>
                                    <w:szCs w:val="36"/>
                                  </w:rPr>
                                </w:pPr>
                                <w:sdt>
                                  <w:sdtPr>
                                    <w:rPr>
                                      <w:rStyle w:val="IntenseEmphasis"/>
                                      <w:color w:val="000000" w:themeColor="text1"/>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rPr>
                                      <w:rStyle w:val="IntenseEmphasis"/>
                                    </w:rPr>
                                  </w:sdtEndPr>
                                  <w:sdtContent>
                                    <w:r w:rsidR="00A85303">
                                      <w:rPr>
                                        <w:rStyle w:val="IntenseEmphasis"/>
                                        <w:color w:val="000000" w:themeColor="text1"/>
                                      </w:rPr>
                                      <w:t>Evaluate the balance of both the victim's and suspect's journeys through the criminal justice process.</w:t>
                                    </w:r>
                                  </w:sdtContent>
                                </w:sdt>
                                <w:r w:rsidRPr="00E37BC9" w:rsidR="00194E93">
                                  <w:rPr>
                                    <w:color w:val="000000" w:themeColor="text1"/>
                                  </w:rPr>
                                  <w:t xml:space="preserve"> </w:t>
                                </w:r>
                              </w:p>
                              <w:p xmlns:w14="http://schemas.microsoft.com/office/word/2010/wordml" w:rsidRPr="00E37BC9" w:rsidR="00194E93" w:rsidRDefault="00194E93" w14:paraId="3E06DE2D" w14:textId="77777777">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xmlns:w14="http://schemas.microsoft.com/office/word/2010/wordml" xmlns:w="http://schemas.openxmlformats.org/wordprocessingml/2006/main" w14:anchorId="69681A7A">
                  <v:shapetype xmlns:o="urn:schemas-microsoft-com:office:office" xmlns:v="urn:schemas-microsoft-com:vml" id="_x0000_t202" coordsize="21600,21600" o:spt="202" path="m,l,21600r21600,l21600,xe" w14:anchorId="3D129FB0">
                    <v:stroke joinstyle="miter"/>
                    <v:path gradientshapeok="t" o:connecttype="rect"/>
                  </v:shapetype>
                  <v:shape xmlns:o="urn:schemas-microsoft-com:office:office" xmlns:v="urn:schemas-microsoft-com:vml" id="Text Box 66" style="position:absolute;margin-left:537.15pt;margin-top:0;width:588.35pt;height:1in;z-index:251661312;visibility:visible;mso-wrap-style:square;mso-width-percent:0;mso-wrap-distance-left:9pt;mso-wrap-distance-top:0;mso-wrap-distance-right:9pt;mso-wrap-distance-bottom:0;mso-position-horizontal:right;mso-position-horizontal-relative:page;mso-position-vertical:top;mso-position-vertical-relative:margin;mso-width-percent:0;mso-width-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785ZwIAAD0FAAAOAAAAZHJzL2Uyb0RvYy54bWysVMlu2zAQvRfoPxC8N/KWpDUsB64DFwWC&#10;JKhT5ExTpC2U4rDk2JL79R1S8gK3lxS9UCPOm/0NJ3dNZdhO+VCCzXn/qseZshKK0q5z/v1l8eEj&#10;ZwGFLYQBq3K+V4HfTd+/m9RurAawAVMoz8iJDePa5XyD6MZZFuRGVSJcgVOWlBp8JZB+/TorvKjJ&#10;e2WyQa93k9XgC+dBqhDo9r5V8mnyr7WS+KR1UMhMzik3TKdP5yqe2XQixmsv3KaUXRriH7KoRGkp&#10;6NHVvUDBtr78w1VVSg8BNF5JqDLQupQq1UDV9HsX1Sw3wqlUCzUnuGObwv9zKx93S/fsGTafoaEB&#10;xobULowDXcZ6Gu2r+KVMGemphftj21SDTNLl7eh2MLwZciZJ96k/GvVSX7OTtfMBvyioWBRy7mks&#10;qVti9xCQIhL0AInBLCxKY9JojGV1zm+G171kcNSQhbERq9KQOzenzJOEe6MixthvSrOySAXEi0Qv&#10;NTee7QQRQ0ipLKbak19CR5SmJN5i2OFPWb3FuK3jEBksHo2r0oJP1V+kXfw4pKxbPDXyrO4oYrNq&#10;uomuoNjToD20OxCcXJQ0jQcR8Fl4Ij3NlhYZn+jQBqjr0EmcbcD/+tt9xBMXSctZTUuU8/BzK7zi&#10;zHy1xNJEBtq69DO6vh1QDH+uWZ1r7LaaA42jT0+Gk0mMeDQHUXuoXmnfZzEqqYSVFDvneBDn2K42&#10;vRdSzWYJRHvmBD7YpZPRdZxO5NpL8yq86wiJROVHOKybGF/wssUm4rjZFomdibSxwW1Xu8bTjiYu&#10;d+9JfATO/xPq9OpNfwMAAP//AwBQSwMEFAAGAAgAAAAhAJHYKYHZAAAABgEAAA8AAABkcnMvZG93&#10;bnJldi54bWxMj8FOwzAQRO9I/IO1SFwQtVNVLQpxKlQp56opH+DGSxKw11HsNOHv2XKBy2pWs5p5&#10;W+wX78QVx9gH0pCtFAikJtieWg3v5+r5BURMhqxxgVDDN0bYl/d3hcltmOmE1zq1gkMo5kZDl9KQ&#10;SxmbDr2JqzAgsfcRRm8Sr2Mr7WhmDvdOrpXaSm964obODHjosPmqJ68hrOcnd6qz6nCcPyt1nPBc&#10;R9T68WF5ewWRcEl/x3DDZ3QomekSJrJROA38SPqdNy/bbXcgLqw2GwWyLOR//PIHAAD//wMAUEsB&#10;Ai0AFAAGAAgAAAAhALaDOJL+AAAA4QEAABMAAAAAAAAAAAAAAAAAAAAAAFtDb250ZW50X1R5cGVz&#10;XS54bWxQSwECLQAUAAYACAAAACEAOP0h/9YAAACUAQAACwAAAAAAAAAAAAAAAAAvAQAAX3JlbHMv&#10;LnJlbHNQSwECLQAUAAYACAAAACEAhqu/OWcCAAA9BQAADgAAAAAAAAAAAAAAAAAuAgAAZHJzL2Uy&#10;b0RvYy54bWxQSwECLQAUAAYACAAAACEAkdgpgdkAAAAGAQAADwAAAAAAAAAAAAAAAADBBAAAZHJz&#10;L2Rvd25yZXYueG1sUEsFBgAAAAAEAAQA8wAAAMcFAAAAAA==&#10;">
                    <v:textbox style="mso-fit-shape-to-text:t">
                      <w:txbxContent>
                        <w:sdt>
                          <w:sdtPr>
                            <w:id w:val="723246079"/>
                            <w:rPr>
                              <w:rFonts w:ascii="Calibri" w:hAnsi="Calibri" w:eastAsia="Aptos" w:cs="Calibri"/>
                              <w:b/>
                              <w:i/>
                              <w:iCs/>
                              <w:color w:val="000000" w:themeColor="text1"/>
                              <w:sz w:val="48"/>
                              <w:szCs w:val="48"/>
                              <w14:shadow w14:blurRad="12700" w14:dist="38100" w14:dir="2700000" w14:sx="100000" w14:sy="100000" w14:kx="0" w14:ky="0" w14:algn="tl">
                                <w14:srgbClr w14:val="7F7F7F"/>
                              </w14:shadow>
                              <w14:textOutline w14:w="9525" w14:cap="flat" w14:cmpd="sng" w14:algn="ctr">
                                <w14:solidFill>
                                  <w14:srgbClr w14:val="FFFFFF"/>
                                </w14:solidFill>
                                <w14:prstDash w14:val="solid"/>
                                <w14:round/>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Pr="00E37BC9" w:rsidR="00194E93" w:rsidRDefault="00A85303" w14:paraId="2087D2AD" w14:textId="5C176CA2">
                              <w:pPr>
                                <w:pStyle w:val="NoSpacing"/>
                                <w:rPr>
                                  <w:rFonts w:asciiTheme="majorHAnsi" w:hAnsiTheme="majorHAnsi" w:eastAsiaTheme="majorEastAsia" w:cstheme="majorBidi"/>
                                  <w:caps/>
                                  <w:color w:val="000000" w:themeColor="text1"/>
                                  <w:sz w:val="68"/>
                                  <w:szCs w:val="68"/>
                                </w:rPr>
                              </w:pPr>
                              <w:r>
                                <w:rPr>
                                  <w:rFonts w:ascii="Calibri" w:hAnsi="Calibri" w:eastAsia="Aptos" w:cs="Calibri"/>
                                  <w:b/>
                                  <w:i/>
                                  <w:iCs/>
                                  <w:color w:val="000000" w:themeColor="text1"/>
                                  <w:sz w:val="48"/>
                                  <w:szCs w:val="48"/>
                                  <w14:shadow w14:blurRad="12700" w14:dist="38100" w14:dir="2700000" w14:sx="100000" w14:sy="100000" w14:kx="0" w14:ky="0" w14:algn="tl">
                                    <w14:srgbClr w14:val="7F7F7F"/>
                                  </w14:shadow>
                                  <w14:textOutline w14:w="9525" w14:cap="flat" w14:cmpd="sng" w14:algn="ctr">
                                    <w14:solidFill>
                                      <w14:srgbClr w14:val="FFFFFF"/>
                                    </w14:solidFill>
                                    <w14:prstDash w14:val="solid"/>
                                    <w14:round/>
                                  </w14:textOutline>
                                </w:rPr>
                                <w:t>ARREST POWER AND PROCEDURES OPTION</w:t>
                              </w:r>
                            </w:p>
                          </w:sdtContent>
                        </w:sdt>
                        <w:p w:rsidRPr="00E37BC9" w:rsidR="00194E93" w:rsidRDefault="005C6874" w14:paraId="4F2A3C80" w14:textId="754FD092">
                          <w:pPr>
                            <w:pStyle w:val="NoSpacing"/>
                            <w:spacing w:before="120"/>
                            <w:rPr>
                              <w:color w:val="000000" w:themeColor="text1"/>
                              <w:sz w:val="36"/>
                              <w:szCs w:val="36"/>
                            </w:rPr>
                          </w:pPr>
                          <w:sdt>
                            <w:sdtPr>
                              <w:id w:val="1042594568"/>
                              <w:rPr>
                                <w:rStyle w:val="IntenseEmphasis"/>
                                <w:color w:val="000000" w:themeColor="text1"/>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rPr>
                                <w:rStyle w:val="IntenseEmphasis"/>
                              </w:rPr>
                            </w:sdtEndPr>
                            <w:sdtContent>
                              <w:r w:rsidR="00A85303">
                                <w:rPr>
                                  <w:rStyle w:val="IntenseEmphasis"/>
                                  <w:color w:val="000000" w:themeColor="text1"/>
                                </w:rPr>
                                <w:t>Evaluate the balance of both the victim's and suspect's journeys through the criminal justice process.</w:t>
                              </w:r>
                            </w:sdtContent>
                          </w:sdt>
                          <w:r w:rsidRPr="00E37BC9" w:rsidR="00194E93">
                            <w:rPr>
                              <w:color w:val="000000" w:themeColor="text1"/>
                            </w:rPr>
                            <w:t xml:space="preserve"> </w:t>
                          </w:r>
                        </w:p>
                        <w:p w:rsidRPr="00E37BC9" w:rsidR="00194E93" w:rsidRDefault="00194E93" w14:paraId="672A6659" w14:textId="77777777">
                          <w:pPr>
                            <w:rPr>
                              <w:color w:val="000000" w:themeColor="text1"/>
                            </w:rPr>
                          </w:pPr>
                        </w:p>
                      </w:txbxContent>
                    </v:textbox>
                    <w10:wrap xmlns:w10="urn:schemas-microsoft-com:office:word" anchorx="page" anchory="margin"/>
                  </v:shape>
                </w:pict>
              </mc:Fallback>
            </mc:AlternateContent>
          </w:r>
        </w:p>
        <w:p w:rsidR="00194E93" w:rsidRDefault="00194E93" w14:paraId="038915B6" w14:textId="5B18CC3D"/>
        <w:p w:rsidR="00E37BC9" w:rsidP="00E37BC9" w:rsidRDefault="00E37BC9" w14:paraId="6C553367" w14:textId="6B6224D9">
          <w:pPr>
            <w:spacing w:line="259" w:lineRule="auto"/>
            <w:jc w:val="both"/>
          </w:pPr>
        </w:p>
        <w:p w:rsidRPr="00E37BC9" w:rsidR="00E37BC9" w:rsidP="00E37BC9" w:rsidRDefault="00E37BC9" w14:paraId="2EE6AA70" w14:textId="2F2C943E">
          <w:r>
            <w:rPr>
              <w:noProof/>
              <w:color w:val="156082" w:themeColor="accent1"/>
              <w:sz w:val="36"/>
              <w:szCs w:val="36"/>
            </w:rPr>
            <mc:AlternateContent>
              <mc:Choice Requires="wpg">
                <w:drawing>
                  <wp:anchor distT="0" distB="0" distL="114300" distR="114300" simplePos="0" relativeHeight="251660288" behindDoc="1" locked="0" layoutInCell="1" allowOverlap="1" wp14:anchorId="1FAE46C9" wp14:editId="0A3E737A">
                    <wp:simplePos x="0" y="0"/>
                    <wp:positionH relativeFrom="page">
                      <wp:posOffset>1615440</wp:posOffset>
                    </wp:positionH>
                    <wp:positionV relativeFrom="page">
                      <wp:posOffset>1570990</wp:posOffset>
                    </wp:positionV>
                    <wp:extent cx="5494020" cy="5696585"/>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020" cy="5696585"/>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w14:anchorId="0130BC9F">
                  <v:group id="Group 2" style="position:absolute;margin-left:127.2pt;margin-top:123.7pt;width:432.6pt;height:448.55pt;z-index:-251656192;mso-width-percent:706;mso-height-percent:566;mso-position-horizontal-relative:page;mso-position-vertical-relative:page;mso-width-percent:706;mso-height-percent:566" coordsize="43291,44910" o:spid="_x0000_s1026" w14:anchorId="180950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tvONwYAAAEhAAAOAAAAZHJzL2Uyb0RvYy54bWzsmtuO2zYQhu8L9B0EXRZorLMsI96g2DRB&#10;gTQNkC16zZXlAyqJqiSvnTx9/xmKNi1L3kV2CzSAc7GWzN/D4czwI0Xl9Zt9kVsPWd1sZDm33VeO&#10;bWVlKhebcjW3/7x79/PUtppWlAuRyzKb21+yxn5z8+MPr3fVLPPkWuaLrLZgpGxmu2pur9u2mk0m&#10;TbrOCtG8klVWonEp60K0uK1Xk0UtdrBe5BPPcaLJTtaLqpZp1jT49q1qtG/Y/nKZpe0fy2WTtVY+&#10;t+Fby39r/ntPfyc3r8VsVYtqvUk7N8Q3eFGITYlOD6beilZY23pzZqrYpLVs5LJ9lcpiIpfLTZrx&#10;GDAa1+mN5n0ttxWPZTXbrapDmBDaXpy+2Wz68eF9XX2uPtXKe1x+kOnfjVXK27UoV9kvTYUgIrUU&#10;qsmuWs3Mn9D96vj7/bIuyA7GZe05yF8OQc72rZXiyzBIAsdDLlK0hVEShdNQpSFdI1dnv0vXv3a/&#10;DHwvcV1f/TIIEtfxp+yVmOmOG5lvFu82eU5ecBFlt3ltPQikv917nKJ8W/wuF+q7yME/1Tu+pu5Z&#10;GuivJ4YVDB93xw44GIfB7yoUcHPMUfO8HH1eiyrj1DcU8E+1tVnM7SiwrVIUmEfv6iyjWWHhKySG&#10;eodM57FRSVQZM1pI1iDX1v0OIYAZsW0lB0UHsMucGzpuHIe2dZ4/b+rFPgLP+fOmfuhBRz0ds5Bu&#10;m/Z9JrkUxMOHpkUzpsYCV+qiG8QdqmBZ5JhwP02swNpZbjzlOiOx1riGBu2RtSZZpJJ2lHmGzBkx&#10;hdI5dAcb3ogpBNmQxdGINUTnIHNGTEWGhgY3Yio2ZOGIKUT80N1YrBJD04sV0nNIgFjrnKT7sksK&#10;rizMd5qulKNKNjQTKUMogTs1+8UMKmodESMHJPa7crgsRpRJrGvnshhxJHH8JMuIFIkTU4zho4du&#10;rDWI1l8QatvCgnCvyqoSLYWIA4FLawf+UWlaa76IOESFfMjuJGtaipUaEIW96/goyEtTqGIKodcJ&#10;dbP+rNgeJqAaNgMKA9DN+lPLyDEMWEdSN+tPJTvzTjenuWwyNX9p2DyRD+OnsBmTGbQjuPJ0zrkS&#10;Stl9wf7xCqEQo5h0LxdfgBtsELCErGX91bZ2WGzndvPPVtSZbeW/lSBl4gYBotLyTRDGtDzUZsu9&#10;2VJui1sJoGPYokxhFWzXl7etWtyxumIQH8rPVUpCzlLdtHf7v0RdWRUu8SMsSR+lJq2YaVRhKCRQ&#10;2m5IaiDdDTivhvffAx+Q6QOf8/zSwEcxRj4whDryvNjBKstJ1ou2HwZRQOsBLdr6RhWNXjnMOtGR&#10;NJhzJDVyewBZCCB6ns9r2Bj0qR1MHJL1oT+kMaHveV4yYgrz4+AVy4Yd60N/qEcT+uz8sKk+9IdM&#10;mdAfi5UJfe7uGCtU8hX6z4A+p4SgzxcEkSPTFVZRDzxlVAkj3keBBqwSKuhTZV2EPgvI5GXoK8cg&#10;uwz9M++0T1foq+31/xP6AEgf+ryneGnoTwPX7zb5rpOE6mlKzA7QD6ZxrHf6fnfzAtBPCPpuwpu5&#10;UeijnUg9IDuD/oDmBPpu4o+YOoG+O52OOHYG/YEeT6BPzg+P0YS+S08NQyM0qT8WrBPqU39HU1fq&#10;P2+rzylh6lOeh6iP4BP1uzJ4nPqowMvUR+2xyUeoTx1Sz+5l3Zl7V+x/D3t95LaPfWbkS2Pf9dzI&#10;8dTeIEimtK8/3ezjkM2hguTNPtQkfiHuu0l0+YQnifiEBx/KqeNzQ5/7Q6ZM7rtJSFSE7MyUyX3I&#10;PMB6yFqf+0OmTO6TjRFTJvfpEWTIVB/7Qy6Z2Ccbhqkr9p+HfQ43n/BQxYxjX6fuUexTAV7EPpXe&#10;E7CvHAP2Lz86KOob3l2p/z1QH7O+T31+q/HS1FcPoG7oJ0D7Ce9P36v4fuyEen/xrMMdOob3Yu/y&#10;Pj/26RgerxT4MNR8HOjzfsiUyXu0T0dMmbyHjHg/ZK3P+yGvTN6TjRFTJu/pRH/IlMn7sViZvCcb&#10;hqkr75/He64A3uZT8Q3xvjuz6WrzUd7DoH4fqdGrP9UZEARP4b1y7NHDnTPvdGfXw51vO9zhF7p4&#10;z86vQLr/E0Av8s17fgNw/J8LN/8CAAD//wMAUEsDBBQABgAIAAAAIQAIRxKm4AAAAA0BAAAPAAAA&#10;ZHJzL2Rvd25yZXYueG1sTI9BTsMwEEX3SNzBGiQ2iDoJbktDnKpCsI1EQZW6c2KTWMTjKHYac3uc&#10;Fd290Xz9eVPsg+nJRY1OW+SQrhIgChsrNbYcvj7fH5+BOC9Qit6i4vCrHOzL25tC5NLO+KEuR9+S&#10;WIIuFxw674ecUtd0ygi3soPCuPu2oxE+jmNL5SjmWG56miXJhhqhMV7oxKBeO9X8HCfDoWZ60odq&#10;F/zbfD6F6qmqTtkD5/d34fACxKvg/8Ow6Ed1KKNTbSeUjvQcsjVjMRqBbSMsiTTdbYDUCzG2BloW&#10;9PqL8g8AAP//AwBQSwECLQAUAAYACAAAACEAtoM4kv4AAADhAQAAEwAAAAAAAAAAAAAAAAAAAAAA&#10;W0NvbnRlbnRfVHlwZXNdLnhtbFBLAQItABQABgAIAAAAIQA4/SH/1gAAAJQBAAALAAAAAAAAAAAA&#10;AAAAAC8BAABfcmVscy8ucmVsc1BLAQItABQABgAIAAAAIQCNEtvONwYAAAEhAAAOAAAAAAAAAAAA&#10;AAAAAC4CAABkcnMvZTJvRG9jLnhtbFBLAQItABQABgAIAAAAIQAIRxKm4AAAAA0BAAAPAAAAAAAA&#10;AAAAAAAAAJEIAABkcnMvZG93bnJldi54bWxQSwUGAAAAAAQABADzAAAAngk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p>
        <w:p w:rsidRPr="00E37BC9" w:rsidR="00E37BC9" w:rsidP="00E37BC9" w:rsidRDefault="00E37BC9" w14:paraId="4FD07DBD" w14:textId="77777777"/>
        <w:p w:rsidRPr="00E37BC9" w:rsidR="00E37BC9" w:rsidP="00E37BC9" w:rsidRDefault="00E37BC9" w14:paraId="7291DEE6" w14:textId="77777777"/>
        <w:p w:rsidRPr="00E37BC9" w:rsidR="00E37BC9" w:rsidP="00FA03BA" w:rsidRDefault="00E37BC9" w14:paraId="4BBF2CFC" w14:textId="77777777">
          <w:pPr>
            <w:jc w:val="center"/>
          </w:pPr>
        </w:p>
        <w:p w:rsidRPr="00E37BC9" w:rsidR="00E37BC9" w:rsidP="00E37BC9" w:rsidRDefault="00E37BC9" w14:paraId="6E7C727E" w14:textId="77777777"/>
        <w:p w:rsidRPr="00E37BC9" w:rsidR="00E37BC9" w:rsidP="00E37BC9" w:rsidRDefault="00E37BC9" w14:paraId="5A1EAEA7" w14:textId="77777777"/>
        <w:p w:rsidRPr="00E37BC9" w:rsidR="00E37BC9" w:rsidP="00E37BC9" w:rsidRDefault="00E37BC9" w14:paraId="51CEE97A" w14:textId="77777777"/>
        <w:p w:rsidRPr="00E37BC9" w:rsidR="00E37BC9" w:rsidP="00E37BC9" w:rsidRDefault="00E37BC9" w14:paraId="67CBAE5E" w14:textId="77777777"/>
        <w:p w:rsidRPr="00E37BC9" w:rsidR="00E37BC9" w:rsidP="00E37BC9" w:rsidRDefault="00E37BC9" w14:paraId="276C2354" w14:textId="77777777"/>
        <w:p w:rsidRPr="00E37BC9" w:rsidR="00E37BC9" w:rsidP="00E37BC9" w:rsidRDefault="00E37BC9" w14:paraId="1F1B923A" w14:textId="77777777"/>
        <w:p w:rsidRPr="00E37BC9" w:rsidR="00E37BC9" w:rsidP="00E37BC9" w:rsidRDefault="00E37BC9" w14:paraId="56342B40" w14:textId="77777777"/>
        <w:p w:rsidRPr="00E37BC9" w:rsidR="00E37BC9" w:rsidP="00E37BC9" w:rsidRDefault="00E37BC9" w14:paraId="1277E894" w14:textId="77777777"/>
        <w:p w:rsidR="00E37BC9" w:rsidP="00E37BC9" w:rsidRDefault="00E37BC9" w14:paraId="58A27E63" w14:textId="77777777">
          <w:pPr>
            <w:spacing w:line="259" w:lineRule="auto"/>
            <w:jc w:val="both"/>
          </w:pPr>
        </w:p>
        <w:p w:rsidR="00E37BC9" w:rsidP="00E37BC9" w:rsidRDefault="00E37BC9" w14:paraId="5CBCDDC3" w14:textId="54BA6416">
          <w:pPr>
            <w:tabs>
              <w:tab w:val="left" w:pos="6180"/>
            </w:tabs>
            <w:spacing w:line="259" w:lineRule="auto"/>
            <w:jc w:val="both"/>
          </w:pPr>
          <w:r>
            <w:tab/>
          </w:r>
          <w:r>
            <w:t xml:space="preserve">    </w:t>
          </w:r>
        </w:p>
        <w:p w:rsidR="00E37BC9" w:rsidP="00E37BC9" w:rsidRDefault="00E37BC9" w14:paraId="3789B005" w14:textId="4670CF62">
          <w:pPr>
            <w:spacing w:line="259" w:lineRule="auto"/>
            <w:jc w:val="center"/>
          </w:pPr>
          <w:r>
            <w:t xml:space="preserve">  </w:t>
          </w:r>
        </w:p>
        <w:p w:rsidR="00E37BC9" w:rsidP="00E37BC9" w:rsidRDefault="00E37BC9" w14:paraId="4DDC847A" w14:textId="324D10F8">
          <w:pPr>
            <w:spacing w:line="259" w:lineRule="auto"/>
            <w:jc w:val="center"/>
          </w:pPr>
          <w:r>
            <w:t xml:space="preserve">     </w:t>
          </w:r>
        </w:p>
        <w:p w:rsidR="00E37BC9" w:rsidP="00E37BC9" w:rsidRDefault="00E37BC9" w14:paraId="58D1E2D9" w14:textId="0A8A218B">
          <w:pPr>
            <w:spacing w:line="259" w:lineRule="auto"/>
          </w:pPr>
          <w:r>
            <w:t xml:space="preserve">                                                                             </w:t>
          </w:r>
        </w:p>
        <w:p w:rsidR="00E37BC9" w:rsidP="00E37BC9" w:rsidRDefault="00E37BC9" w14:paraId="46916BF2" w14:textId="77777777">
          <w:pPr>
            <w:spacing w:line="259" w:lineRule="auto"/>
            <w:jc w:val="center"/>
          </w:pPr>
        </w:p>
        <w:p w:rsidR="00FA03BA" w:rsidP="00E37BC9" w:rsidRDefault="00FA03BA" w14:paraId="13071FB0" w14:textId="77777777">
          <w:pPr>
            <w:spacing w:line="259" w:lineRule="auto"/>
            <w:jc w:val="both"/>
          </w:pPr>
        </w:p>
        <w:p w:rsidR="00FA03BA" w:rsidP="00E37BC9" w:rsidRDefault="00FA03BA" w14:paraId="1C81D53E" w14:textId="77777777">
          <w:pPr>
            <w:spacing w:line="259" w:lineRule="auto"/>
            <w:jc w:val="both"/>
          </w:pPr>
        </w:p>
        <w:p w:rsidR="00FA03BA" w:rsidP="00FA03BA" w:rsidRDefault="00FA03BA" w14:paraId="5DD99A21" w14:textId="0C1CF509">
          <w:pPr>
            <w:spacing w:line="259" w:lineRule="auto"/>
          </w:pPr>
          <w:r>
            <w:t xml:space="preserve">                                                                 Student name:</w:t>
          </w:r>
          <w:r w:rsidR="001813E5">
            <w:t xml:space="preserve"> Alina Dana Chitu Ispas </w:t>
          </w:r>
        </w:p>
        <w:p w:rsidR="00FA03BA" w:rsidP="00FA03BA" w:rsidRDefault="00FA03BA" w14:paraId="253DFC48" w14:textId="3A1E77C5">
          <w:pPr>
            <w:spacing w:line="259" w:lineRule="auto"/>
            <w:jc w:val="center"/>
          </w:pPr>
          <w:r>
            <w:t>Student number:</w:t>
          </w:r>
          <w:r w:rsidR="001813E5">
            <w:t xml:space="preserve"> 1914672</w:t>
          </w:r>
        </w:p>
        <w:p w:rsidR="00FA03BA" w:rsidP="00FA03BA" w:rsidRDefault="00FA03BA" w14:paraId="6AC3B5E2" w14:textId="0E805142">
          <w:pPr>
            <w:spacing w:line="259" w:lineRule="auto"/>
          </w:pPr>
          <w:r>
            <w:t xml:space="preserve">                                                                 Moodle:  </w:t>
          </w:r>
          <w:r w:rsidR="001813E5">
            <w:t>BMPL4017</w:t>
          </w:r>
        </w:p>
        <w:p w:rsidRPr="005F4C8A" w:rsidR="00EF34F1" w:rsidP="005F4C8A" w:rsidRDefault="00194E93" w14:paraId="7D956CFE" w14:textId="6C05F20E">
          <w:pPr>
            <w:spacing w:line="259" w:lineRule="auto"/>
            <w:jc w:val="both"/>
          </w:pPr>
          <w:r w:rsidRPr="00FA03BA">
            <w:br w:type="page"/>
          </w:r>
        </w:p>
      </w:sdtContent>
    </w:sdt>
    <w:p w:rsidRPr="00480CFA" w:rsidR="00EF34F1" w:rsidP="00E37BC9" w:rsidRDefault="00EF34F1" w14:paraId="5DFBD236" w14:textId="7911A371">
      <w:pPr>
        <w:spacing w:line="259" w:lineRule="auto"/>
        <w:jc w:val="both"/>
        <w:rPr>
          <w:rFonts w:ascii="Calibri" w:hAnsi="Calibri" w:eastAsia="Calibri" w:cs="Times New Roman"/>
        </w:rPr>
      </w:pPr>
      <w:bookmarkStart w:name="_Hlk195629105" w:id="0"/>
    </w:p>
    <w:bookmarkEnd w:id="0"/>
    <w:p w:rsidRPr="00480CFA" w:rsidR="00EF34F1" w:rsidP="003C23D5" w:rsidRDefault="00EF34F1" w14:paraId="0912E1DA" w14:textId="6C499591">
      <w:pPr>
        <w:spacing w:after="0" w:line="360" w:lineRule="auto"/>
        <w:contextualSpacing/>
        <w:jc w:val="both"/>
        <w:rPr>
          <w:rFonts w:ascii="Calibri" w:hAnsi="Calibri" w:cs="Calibri"/>
          <w:b/>
          <w:bCs/>
          <w:i/>
          <w:iCs/>
          <w:sz w:val="22"/>
          <w:szCs w:val="22"/>
        </w:rPr>
      </w:pPr>
      <w:r w:rsidRPr="00480CFA">
        <w:rPr>
          <w:rFonts w:ascii="Calibri" w:hAnsi="Calibri" w:cs="Calibri"/>
          <w:b/>
          <w:bCs/>
          <w:i/>
          <w:iCs/>
          <w:sz w:val="22"/>
          <w:szCs w:val="22"/>
        </w:rPr>
        <w:t>Introduction</w:t>
      </w:r>
    </w:p>
    <w:p w:rsidRPr="00480CFA" w:rsidR="00EF34F1" w:rsidP="003C23D5" w:rsidRDefault="00EF34F1" w14:paraId="5E47EAD6" w14:textId="77777777">
      <w:pPr>
        <w:spacing w:after="0" w:line="360" w:lineRule="auto"/>
        <w:ind w:firstLine="567"/>
        <w:contextualSpacing/>
        <w:jc w:val="both"/>
        <w:rPr>
          <w:rFonts w:ascii="Calibri" w:hAnsi="Calibri" w:cs="Calibri"/>
          <w:sz w:val="22"/>
          <w:szCs w:val="22"/>
        </w:rPr>
      </w:pPr>
    </w:p>
    <w:p w:rsidRPr="00480CFA" w:rsidR="00EF34F1" w:rsidP="003C23D5" w:rsidRDefault="00EF34F1" w14:paraId="346F2C88" w14:textId="495C4434">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The criminal justice system of the United Kingdom seeks to protect the rights of victims and suspects with equal fairness. </w:t>
      </w:r>
      <w:r w:rsidR="00FA14BA">
        <w:rPr>
          <w:rFonts w:ascii="Calibri" w:hAnsi="Calibri" w:cs="Calibri"/>
          <w:sz w:val="22"/>
          <w:szCs w:val="22"/>
        </w:rPr>
        <w:t>Victims require acknowledgement, sympathy, and justice, whereas suspects have rights</w:t>
      </w:r>
      <w:r w:rsidR="002539C3">
        <w:rPr>
          <w:rFonts w:ascii="Calibri" w:hAnsi="Calibri" w:cs="Calibri"/>
          <w:sz w:val="22"/>
          <w:szCs w:val="22"/>
        </w:rPr>
        <w:t>,</w:t>
      </w:r>
      <w:r w:rsidR="00FA14BA">
        <w:rPr>
          <w:rFonts w:ascii="Calibri" w:hAnsi="Calibri" w:cs="Calibri"/>
          <w:sz w:val="22"/>
          <w:szCs w:val="22"/>
        </w:rPr>
        <w:t xml:space="preserve"> </w:t>
      </w:r>
      <w:r w:rsidR="002539C3">
        <w:rPr>
          <w:rFonts w:ascii="Calibri" w:hAnsi="Calibri" w:cs="Calibri"/>
          <w:sz w:val="22"/>
          <w:szCs w:val="22"/>
        </w:rPr>
        <w:t>including</w:t>
      </w:r>
      <w:r w:rsidR="00FA14BA">
        <w:rPr>
          <w:rFonts w:ascii="Calibri" w:hAnsi="Calibri" w:cs="Calibri"/>
          <w:sz w:val="22"/>
          <w:szCs w:val="22"/>
        </w:rPr>
        <w:t xml:space="preserve"> innocence and access to a fair trial. Balancing such demands </w:t>
      </w:r>
      <w:r w:rsidR="00F40A88">
        <w:rPr>
          <w:rFonts w:ascii="Calibri" w:hAnsi="Calibri" w:cs="Calibri"/>
          <w:sz w:val="22"/>
          <w:szCs w:val="22"/>
        </w:rPr>
        <w:t>requires</w:t>
      </w:r>
      <w:r w:rsidR="00FA14BA">
        <w:rPr>
          <w:rFonts w:ascii="Calibri" w:hAnsi="Calibri" w:cs="Calibri"/>
          <w:sz w:val="22"/>
          <w:szCs w:val="22"/>
        </w:rPr>
        <w:t xml:space="preserve"> equilibrium between laws, protocols, and human costs. This paper describes the UK criminal justice system, including alternatives </w:t>
      </w:r>
      <w:r w:rsidR="00E47E73">
        <w:rPr>
          <w:rFonts w:ascii="Calibri" w:hAnsi="Calibri" w:cs="Calibri"/>
          <w:sz w:val="22"/>
          <w:szCs w:val="22"/>
        </w:rPr>
        <w:t xml:space="preserve">to arrest, detention, charging, and court proceedings, and analyses its effectiveness (Wood et al., </w:t>
      </w:r>
      <w:r w:rsidR="00FA14BA">
        <w:rPr>
          <w:rFonts w:ascii="Calibri" w:hAnsi="Calibri" w:cs="Calibri"/>
          <w:sz w:val="22"/>
          <w:szCs w:val="22"/>
        </w:rPr>
        <w:t>2024, p</w:t>
      </w:r>
      <w:r w:rsidR="009E659A">
        <w:rPr>
          <w:rFonts w:ascii="Calibri" w:hAnsi="Calibri" w:cs="Calibri"/>
          <w:sz w:val="22"/>
          <w:szCs w:val="22"/>
        </w:rPr>
        <w:t>p</w:t>
      </w:r>
      <w:r w:rsidR="00FA14BA">
        <w:rPr>
          <w:rFonts w:ascii="Calibri" w:hAnsi="Calibri" w:cs="Calibri"/>
          <w:sz w:val="22"/>
          <w:szCs w:val="22"/>
        </w:rPr>
        <w:t>. 393-395)</w:t>
      </w:r>
      <w:r w:rsidR="00734E7B">
        <w:rPr>
          <w:rFonts w:ascii="Calibri" w:hAnsi="Calibri" w:cs="Calibri"/>
          <w:sz w:val="22"/>
          <w:szCs w:val="22"/>
        </w:rPr>
        <w:t>.</w:t>
      </w:r>
    </w:p>
    <w:p w:rsidRPr="00480CFA" w:rsidR="00067EC5" w:rsidP="003C23D5" w:rsidRDefault="00067EC5" w14:paraId="186E27E2" w14:textId="77777777">
      <w:pPr>
        <w:spacing w:after="0" w:line="360" w:lineRule="auto"/>
        <w:ind w:firstLine="567"/>
        <w:contextualSpacing/>
        <w:jc w:val="both"/>
        <w:rPr>
          <w:rFonts w:ascii="Calibri" w:hAnsi="Calibri" w:cs="Calibri"/>
          <w:sz w:val="22"/>
          <w:szCs w:val="22"/>
        </w:rPr>
      </w:pPr>
    </w:p>
    <w:p w:rsidR="00067EC5" w:rsidP="003C23D5" w:rsidRDefault="00067EC5" w14:paraId="0292C0A2" w14:textId="77777777">
      <w:pPr>
        <w:spacing w:after="0" w:line="360" w:lineRule="auto"/>
        <w:ind w:firstLine="567"/>
        <w:contextualSpacing/>
        <w:jc w:val="both"/>
        <w:rPr>
          <w:rFonts w:ascii="Calibri" w:hAnsi="Calibri" w:cs="Calibri"/>
          <w:sz w:val="22"/>
          <w:szCs w:val="22"/>
        </w:rPr>
      </w:pPr>
    </w:p>
    <w:p w:rsidRPr="00480CFA" w:rsidR="00084C6A" w:rsidP="003C23D5" w:rsidRDefault="00084C6A" w14:paraId="71AB7F51" w14:textId="77777777">
      <w:pPr>
        <w:spacing w:after="0" w:line="360" w:lineRule="auto"/>
        <w:ind w:firstLine="567"/>
        <w:contextualSpacing/>
        <w:jc w:val="both"/>
        <w:rPr>
          <w:rFonts w:ascii="Calibri" w:hAnsi="Calibri" w:cs="Calibri"/>
          <w:sz w:val="22"/>
          <w:szCs w:val="22"/>
        </w:rPr>
      </w:pPr>
    </w:p>
    <w:p w:rsidRPr="00480CFA" w:rsidR="00EF34F1" w:rsidP="003C23D5" w:rsidRDefault="00EF34F1" w14:paraId="69217F59" w14:textId="77777777">
      <w:pPr>
        <w:spacing w:after="0" w:line="360" w:lineRule="auto"/>
        <w:ind w:firstLine="567"/>
        <w:contextualSpacing/>
        <w:jc w:val="both"/>
        <w:rPr>
          <w:rFonts w:ascii="Calibri" w:hAnsi="Calibri" w:cs="Calibri"/>
          <w:i/>
          <w:iCs/>
          <w:sz w:val="22"/>
          <w:szCs w:val="22"/>
        </w:rPr>
      </w:pPr>
    </w:p>
    <w:p w:rsidRPr="00480CFA" w:rsidR="00EF34F1" w:rsidP="003C23D5" w:rsidRDefault="00EF34F1" w14:paraId="5A725495" w14:textId="6F23C539">
      <w:pPr>
        <w:spacing w:after="0" w:line="360" w:lineRule="auto"/>
        <w:contextualSpacing/>
        <w:jc w:val="both"/>
        <w:rPr>
          <w:rFonts w:ascii="Calibri" w:hAnsi="Calibri" w:cs="Calibri"/>
          <w:b/>
          <w:bCs/>
          <w:i/>
          <w:iCs/>
          <w:sz w:val="22"/>
          <w:szCs w:val="22"/>
        </w:rPr>
      </w:pPr>
      <w:r w:rsidRPr="00480CFA">
        <w:rPr>
          <w:rFonts w:ascii="Calibri" w:hAnsi="Calibri" w:cs="Calibri"/>
          <w:b/>
          <w:bCs/>
          <w:i/>
          <w:iCs/>
          <w:sz w:val="22"/>
          <w:szCs w:val="22"/>
        </w:rPr>
        <w:t>Victim's Journey Through the Criminal Justice System</w:t>
      </w:r>
    </w:p>
    <w:p w:rsidRPr="00480CFA" w:rsidR="00EF34F1" w:rsidP="003C23D5" w:rsidRDefault="00EF34F1" w14:paraId="75B65451" w14:textId="032100B7">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Victims of crime have legal rights under the UK Code of Practice for Victims of Crime, </w:t>
      </w:r>
      <w:r w:rsidR="001168E3">
        <w:rPr>
          <w:rFonts w:ascii="Calibri" w:hAnsi="Calibri" w:cs="Calibri"/>
          <w:sz w:val="22"/>
          <w:szCs w:val="22"/>
        </w:rPr>
        <w:t>for instance,</w:t>
      </w:r>
      <w:r w:rsidRPr="00480CFA">
        <w:rPr>
          <w:rFonts w:ascii="Calibri" w:hAnsi="Calibri" w:cs="Calibri"/>
          <w:sz w:val="22"/>
          <w:szCs w:val="22"/>
        </w:rPr>
        <w:t xml:space="preserve"> notification of their case and referral to suitable services</w:t>
      </w:r>
      <w:r w:rsidR="00102D6E">
        <w:rPr>
          <w:rFonts w:ascii="Calibri" w:hAnsi="Calibri" w:cs="Calibri"/>
          <w:sz w:val="22"/>
          <w:szCs w:val="22"/>
        </w:rPr>
        <w:t>,</w:t>
      </w:r>
      <w:r w:rsidRPr="00480CFA">
        <w:rPr>
          <w:rFonts w:ascii="Calibri" w:hAnsi="Calibri" w:cs="Calibri"/>
          <w:sz w:val="22"/>
          <w:szCs w:val="22"/>
        </w:rPr>
        <w:t xml:space="preserve"> </w:t>
      </w:r>
      <w:r w:rsidR="00102D6E">
        <w:rPr>
          <w:rFonts w:ascii="Calibri" w:hAnsi="Calibri" w:cs="Calibri"/>
          <w:sz w:val="22"/>
          <w:szCs w:val="22"/>
        </w:rPr>
        <w:t>including</w:t>
      </w:r>
      <w:r w:rsidRPr="00480CFA">
        <w:rPr>
          <w:rFonts w:ascii="Calibri" w:hAnsi="Calibri" w:cs="Calibri"/>
          <w:sz w:val="22"/>
          <w:szCs w:val="22"/>
        </w:rPr>
        <w:t xml:space="preserve"> </w:t>
      </w:r>
      <w:r w:rsidRPr="00480CFA" w:rsidR="00480CFA">
        <w:rPr>
          <w:rFonts w:ascii="Calibri" w:hAnsi="Calibri" w:cs="Calibri"/>
          <w:sz w:val="22"/>
          <w:szCs w:val="22"/>
        </w:rPr>
        <w:t>counselling</w:t>
      </w:r>
      <w:r w:rsidRPr="00480CFA">
        <w:rPr>
          <w:rFonts w:ascii="Calibri" w:hAnsi="Calibri" w:cs="Calibri"/>
          <w:sz w:val="22"/>
          <w:szCs w:val="22"/>
        </w:rPr>
        <w:t xml:space="preserve"> and advocacy. </w:t>
      </w:r>
      <w:r w:rsidR="00400A9F">
        <w:rPr>
          <w:rFonts w:ascii="Calibri" w:hAnsi="Calibri" w:cs="Calibri"/>
          <w:sz w:val="22"/>
          <w:szCs w:val="22"/>
        </w:rPr>
        <w:t xml:space="preserve">Further, </w:t>
      </w:r>
      <w:r w:rsidRPr="00480CFA">
        <w:rPr>
          <w:rFonts w:ascii="Calibri" w:hAnsi="Calibri" w:cs="Calibri"/>
          <w:sz w:val="22"/>
          <w:szCs w:val="22"/>
        </w:rPr>
        <w:t>victims of rape and serious sexual offenses frequently experience challenges within the criminal justice system. HMICFRS (2019) concluded that such cases tend to remain outstanding for four years before reaching court, detrimentally affecting the state of mind of the victim and their willingness to prosecute. The lengthy wait for justice frequently induces victims to drop their support for the prosecution, thus negatively affecting the chances of conviction and further entrenching the experienced trauma (</w:t>
      </w:r>
      <w:r w:rsidRPr="00480CFA" w:rsidR="00C4213E">
        <w:rPr>
          <w:rFonts w:ascii="Calibri" w:hAnsi="Calibri" w:cs="Calibri"/>
          <w:sz w:val="22"/>
          <w:szCs w:val="22"/>
        </w:rPr>
        <w:t>Wood et al.</w:t>
      </w:r>
      <w:r w:rsidRPr="00480CFA">
        <w:rPr>
          <w:rFonts w:ascii="Calibri" w:hAnsi="Calibri" w:cs="Calibri"/>
          <w:sz w:val="22"/>
          <w:szCs w:val="22"/>
        </w:rPr>
        <w:t>, 2021</w:t>
      </w:r>
      <w:r w:rsidRPr="00480CFA" w:rsidR="00C4213E">
        <w:rPr>
          <w:rFonts w:ascii="Calibri" w:hAnsi="Calibri" w:cs="Calibri"/>
          <w:sz w:val="22"/>
          <w:szCs w:val="22"/>
        </w:rPr>
        <w:t xml:space="preserve">, </w:t>
      </w:r>
      <w:r w:rsidR="00966E80">
        <w:rPr>
          <w:rFonts w:ascii="Calibri" w:hAnsi="Calibri" w:cs="Calibri"/>
          <w:sz w:val="22"/>
          <w:szCs w:val="22"/>
        </w:rPr>
        <w:t>pp.</w:t>
      </w:r>
      <w:r w:rsidRPr="00480CFA" w:rsidR="00C4213E">
        <w:rPr>
          <w:rFonts w:ascii="Calibri" w:hAnsi="Calibri" w:cs="Calibri"/>
          <w:sz w:val="22"/>
          <w:szCs w:val="22"/>
        </w:rPr>
        <w:t xml:space="preserve"> 61- 71</w:t>
      </w:r>
      <w:r w:rsidRPr="00480CFA">
        <w:rPr>
          <w:rFonts w:ascii="Calibri" w:hAnsi="Calibri" w:cs="Calibri"/>
          <w:sz w:val="22"/>
          <w:szCs w:val="22"/>
        </w:rPr>
        <w:t>). The delays make victims not only feel frustrated but also alienated from the criminal justice system</w:t>
      </w:r>
      <w:r w:rsidR="00966E80">
        <w:rPr>
          <w:rFonts w:ascii="Calibri" w:hAnsi="Calibri" w:cs="Calibri"/>
          <w:sz w:val="22"/>
          <w:szCs w:val="22"/>
        </w:rPr>
        <w:t>,</w:t>
      </w:r>
      <w:r w:rsidRPr="00480CFA">
        <w:rPr>
          <w:rFonts w:ascii="Calibri" w:hAnsi="Calibri" w:cs="Calibri"/>
          <w:sz w:val="22"/>
          <w:szCs w:val="22"/>
        </w:rPr>
        <w:t xml:space="preserve"> when they may begin questioning the criminal justice system's capacity for protecting and serving them.</w:t>
      </w:r>
    </w:p>
    <w:p w:rsidR="00EF34F1" w:rsidP="003C23D5" w:rsidRDefault="00EF34F1" w14:paraId="6ECDA394" w14:textId="6C35DDFA">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Moreover, victims will feel ignored and forgotten through the investigation and court proceedings, with the focus of the system on getting the procedures right over their emotional and psychological needs. For many, the criminal justice system must seem detached and mechanistic, with victims becoming passive witnesses </w:t>
      </w:r>
      <w:r w:rsidRPr="00480CFA" w:rsidR="00480CFA">
        <w:rPr>
          <w:rFonts w:ascii="Calibri" w:hAnsi="Calibri" w:cs="Calibri"/>
          <w:sz w:val="22"/>
          <w:szCs w:val="22"/>
        </w:rPr>
        <w:t>on</w:t>
      </w:r>
      <w:r w:rsidRPr="00480CFA">
        <w:rPr>
          <w:rFonts w:ascii="Calibri" w:hAnsi="Calibri" w:cs="Calibri"/>
          <w:sz w:val="22"/>
          <w:szCs w:val="22"/>
        </w:rPr>
        <w:t xml:space="preserve"> their journey toward justice rather than active participants (Sturge, 2023). The victim's function becomes that of simple evidence-gathering, with their emotional responses not always accounted for in the treatment of the case. This absence of tailored attention and care can contribute further towards making a victim feel disassociated, compounding </w:t>
      </w:r>
      <w:r w:rsidRPr="00480CFA" w:rsidR="00C4213E">
        <w:rPr>
          <w:rFonts w:ascii="Calibri" w:hAnsi="Calibri" w:cs="Calibri"/>
          <w:sz w:val="22"/>
          <w:szCs w:val="22"/>
        </w:rPr>
        <w:t>the</w:t>
      </w:r>
      <w:r w:rsidRPr="00480CFA">
        <w:rPr>
          <w:rFonts w:ascii="Calibri" w:hAnsi="Calibri" w:cs="Calibri"/>
          <w:sz w:val="22"/>
          <w:szCs w:val="22"/>
        </w:rPr>
        <w:t xml:space="preserve"> trauma that they may already be suffering. Such a focus on procedure over the emotional needs of the victim further </w:t>
      </w:r>
      <w:r w:rsidRPr="00480CFA" w:rsidR="00C4213E">
        <w:rPr>
          <w:rFonts w:ascii="Calibri" w:hAnsi="Calibri" w:cs="Calibri"/>
          <w:sz w:val="22"/>
          <w:szCs w:val="22"/>
        </w:rPr>
        <w:t>shows</w:t>
      </w:r>
      <w:r w:rsidRPr="00480CFA">
        <w:rPr>
          <w:rFonts w:ascii="Calibri" w:hAnsi="Calibri" w:cs="Calibri"/>
          <w:sz w:val="22"/>
          <w:szCs w:val="22"/>
        </w:rPr>
        <w:t xml:space="preserve"> the critical necessity for the criminal justice system </w:t>
      </w:r>
      <w:r w:rsidRPr="00480CFA" w:rsidR="00C4213E">
        <w:rPr>
          <w:rFonts w:ascii="Calibri" w:hAnsi="Calibri" w:cs="Calibri"/>
          <w:sz w:val="22"/>
          <w:szCs w:val="22"/>
        </w:rPr>
        <w:t>to have</w:t>
      </w:r>
      <w:r w:rsidRPr="00480CFA">
        <w:rPr>
          <w:rFonts w:ascii="Calibri" w:hAnsi="Calibri" w:cs="Calibri"/>
          <w:sz w:val="22"/>
          <w:szCs w:val="22"/>
        </w:rPr>
        <w:t xml:space="preserve"> a more </w:t>
      </w:r>
      <w:r w:rsidRPr="00480CFA" w:rsidR="00480CFA">
        <w:rPr>
          <w:rFonts w:ascii="Calibri" w:hAnsi="Calibri" w:cs="Calibri"/>
          <w:sz w:val="22"/>
          <w:szCs w:val="22"/>
        </w:rPr>
        <w:t>victim-centred</w:t>
      </w:r>
      <w:r w:rsidRPr="00480CFA">
        <w:rPr>
          <w:rFonts w:ascii="Calibri" w:hAnsi="Calibri" w:cs="Calibri"/>
          <w:sz w:val="22"/>
          <w:szCs w:val="22"/>
        </w:rPr>
        <w:t xml:space="preserve"> </w:t>
      </w:r>
      <w:r w:rsidRPr="00480CFA" w:rsidR="00C4213E">
        <w:rPr>
          <w:rFonts w:ascii="Calibri" w:hAnsi="Calibri" w:cs="Calibri"/>
          <w:sz w:val="22"/>
          <w:szCs w:val="22"/>
        </w:rPr>
        <w:t>method</w:t>
      </w:r>
      <w:r w:rsidRPr="00480CFA">
        <w:rPr>
          <w:rFonts w:ascii="Calibri" w:hAnsi="Calibri" w:cs="Calibri"/>
          <w:sz w:val="22"/>
          <w:szCs w:val="22"/>
        </w:rPr>
        <w:t xml:space="preserve"> (McAvinchey, 2020). That </w:t>
      </w:r>
      <w:r w:rsidRPr="00480CFA" w:rsidR="00C4213E">
        <w:rPr>
          <w:rFonts w:ascii="Calibri" w:hAnsi="Calibri" w:cs="Calibri"/>
          <w:sz w:val="22"/>
          <w:szCs w:val="22"/>
        </w:rPr>
        <w:t>method</w:t>
      </w:r>
      <w:r w:rsidRPr="00480CFA">
        <w:rPr>
          <w:rFonts w:ascii="Calibri" w:hAnsi="Calibri" w:cs="Calibri"/>
          <w:sz w:val="22"/>
          <w:szCs w:val="22"/>
        </w:rPr>
        <w:t xml:space="preserve"> would </w:t>
      </w:r>
      <w:r w:rsidR="00B32249">
        <w:rPr>
          <w:rFonts w:ascii="Calibri" w:hAnsi="Calibri" w:cs="Calibri"/>
          <w:sz w:val="22"/>
          <w:szCs w:val="22"/>
        </w:rPr>
        <w:t xml:space="preserve">instil in the victim a pervasive, empathetic regard </w:t>
      </w:r>
      <w:r w:rsidR="00B32249">
        <w:rPr>
          <w:rFonts w:ascii="Calibri" w:hAnsi="Calibri" w:cs="Calibri"/>
          <w:sz w:val="22"/>
          <w:szCs w:val="22"/>
        </w:rPr>
        <w:t>and acknowledgement throughout the court process, recognising their experiences and the consideration and respect they deserve</w:t>
      </w:r>
      <w:r w:rsidRPr="00480CFA">
        <w:rPr>
          <w:rFonts w:ascii="Calibri" w:hAnsi="Calibri" w:cs="Calibri"/>
          <w:sz w:val="22"/>
          <w:szCs w:val="22"/>
        </w:rPr>
        <w:t>.​</w:t>
      </w:r>
    </w:p>
    <w:p w:rsidRPr="00480CFA" w:rsidR="00132631" w:rsidP="003C23D5" w:rsidRDefault="00132631" w14:paraId="2769B05A" w14:textId="77777777">
      <w:pPr>
        <w:spacing w:after="0" w:line="360" w:lineRule="auto"/>
        <w:ind w:firstLine="567"/>
        <w:contextualSpacing/>
        <w:jc w:val="both"/>
        <w:rPr>
          <w:rFonts w:ascii="Calibri" w:hAnsi="Calibri" w:cs="Calibri"/>
          <w:sz w:val="22"/>
          <w:szCs w:val="22"/>
        </w:rPr>
      </w:pPr>
    </w:p>
    <w:p w:rsidRPr="00480CFA" w:rsidR="00067EC5" w:rsidP="003C23D5" w:rsidRDefault="00EF34F1" w14:paraId="5B2D4DD3" w14:textId="740F86B1">
      <w:pPr>
        <w:spacing w:after="0" w:line="360" w:lineRule="auto"/>
        <w:contextualSpacing/>
        <w:jc w:val="both"/>
        <w:rPr>
          <w:rFonts w:ascii="Calibri" w:hAnsi="Calibri" w:cs="Calibri"/>
          <w:b/>
          <w:bCs/>
          <w:i/>
          <w:iCs/>
          <w:sz w:val="22"/>
          <w:szCs w:val="22"/>
        </w:rPr>
      </w:pPr>
      <w:r w:rsidRPr="00480CFA">
        <w:rPr>
          <w:rFonts w:ascii="Calibri" w:hAnsi="Calibri" w:cs="Calibri"/>
          <w:b/>
          <w:bCs/>
          <w:i/>
          <w:iCs/>
          <w:sz w:val="22"/>
          <w:szCs w:val="22"/>
        </w:rPr>
        <w:t>Suspect's Journey Through the Criminal Justice System</w:t>
      </w:r>
    </w:p>
    <w:p w:rsidRPr="00480CFA" w:rsidR="00EF34F1" w:rsidP="003C23D5" w:rsidRDefault="00EF34F1" w14:paraId="1D569123" w14:textId="6475B621">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UK suspects are entitled to various legal protections that aim to treat them fairly and justly within the criminal justice system. Suspects have </w:t>
      </w:r>
      <w:r w:rsidRPr="00480CFA" w:rsidR="00C4213E">
        <w:rPr>
          <w:rFonts w:ascii="Calibri" w:hAnsi="Calibri" w:cs="Calibri"/>
          <w:sz w:val="22"/>
          <w:szCs w:val="22"/>
        </w:rPr>
        <w:t>the right</w:t>
      </w:r>
      <w:r w:rsidRPr="00480CFA">
        <w:rPr>
          <w:rFonts w:ascii="Calibri" w:hAnsi="Calibri" w:cs="Calibri"/>
          <w:sz w:val="22"/>
          <w:szCs w:val="22"/>
        </w:rPr>
        <w:t xml:space="preserve"> under the Police and Criminal Evidence Act 1984 (PACE) </w:t>
      </w:r>
      <w:r w:rsidR="000C073C">
        <w:rPr>
          <w:rFonts w:ascii="Calibri" w:hAnsi="Calibri" w:cs="Calibri"/>
          <w:sz w:val="22"/>
          <w:szCs w:val="22"/>
        </w:rPr>
        <w:t>to be informed</w:t>
      </w:r>
      <w:r w:rsidRPr="00480CFA">
        <w:rPr>
          <w:rFonts w:ascii="Calibri" w:hAnsi="Calibri" w:cs="Calibri"/>
          <w:sz w:val="22"/>
          <w:szCs w:val="22"/>
        </w:rPr>
        <w:t xml:space="preserve"> </w:t>
      </w:r>
      <w:r w:rsidR="000C073C">
        <w:rPr>
          <w:rFonts w:ascii="Calibri" w:hAnsi="Calibri" w:cs="Calibri"/>
          <w:sz w:val="22"/>
          <w:szCs w:val="22"/>
        </w:rPr>
        <w:t xml:space="preserve">of </w:t>
      </w:r>
      <w:r w:rsidRPr="00480CFA">
        <w:rPr>
          <w:rFonts w:ascii="Calibri" w:hAnsi="Calibri" w:cs="Calibri"/>
          <w:sz w:val="22"/>
          <w:szCs w:val="22"/>
        </w:rPr>
        <w:t xml:space="preserve">the reasons for their arrest and access to legal representation (UK GOV, 2023). Furthermore, they have a right to be treated humanely in custody and have their fundamental rights preserved through the investigation stage (Liberty, 2024). One of the primary fundamentals of guiding the treatment of suspects includes the presumption of innocence, guaranteeing that people are not punished and </w:t>
      </w:r>
      <w:r w:rsidRPr="00480CFA" w:rsidR="00480CFA">
        <w:rPr>
          <w:rFonts w:ascii="Calibri" w:hAnsi="Calibri" w:cs="Calibri"/>
          <w:sz w:val="22"/>
          <w:szCs w:val="22"/>
        </w:rPr>
        <w:t>stigmatised</w:t>
      </w:r>
      <w:r w:rsidRPr="00480CFA">
        <w:rPr>
          <w:rFonts w:ascii="Calibri" w:hAnsi="Calibri" w:cs="Calibri"/>
          <w:sz w:val="22"/>
          <w:szCs w:val="22"/>
        </w:rPr>
        <w:t xml:space="preserve"> before they are found guilty in a court of law. This is essential for protecting the fundamental rights of suspects from wrongful detention or </w:t>
      </w:r>
      <w:r w:rsidR="00480CFA">
        <w:rPr>
          <w:rFonts w:ascii="Calibri" w:hAnsi="Calibri" w:cs="Calibri"/>
          <w:sz w:val="22"/>
          <w:szCs w:val="22"/>
        </w:rPr>
        <w:t>penalisation</w:t>
      </w:r>
      <w:r w:rsidRPr="00480CFA">
        <w:rPr>
          <w:rFonts w:ascii="Calibri" w:hAnsi="Calibri" w:cs="Calibri"/>
          <w:sz w:val="22"/>
          <w:szCs w:val="22"/>
        </w:rPr>
        <w:t xml:space="preserve"> (Stainton et al., 2025). However, with these legal protections, the experience of </w:t>
      </w:r>
      <w:r w:rsidR="00376514">
        <w:rPr>
          <w:rFonts w:ascii="Calibri" w:hAnsi="Calibri" w:cs="Calibri"/>
          <w:sz w:val="22"/>
          <w:szCs w:val="22"/>
        </w:rPr>
        <w:t>navigating</w:t>
      </w:r>
      <w:r w:rsidRPr="00480CFA">
        <w:rPr>
          <w:rFonts w:ascii="Calibri" w:hAnsi="Calibri" w:cs="Calibri"/>
          <w:sz w:val="22"/>
          <w:szCs w:val="22"/>
        </w:rPr>
        <w:t xml:space="preserve"> the criminal justice system includes its challenges. Suspects will likely be put through intrusive and often prolonged investigations, leaving them in limbo as they wait for their </w:t>
      </w:r>
      <w:r w:rsidRPr="00480CFA" w:rsidR="00480CFA">
        <w:rPr>
          <w:rFonts w:ascii="Calibri" w:hAnsi="Calibri" w:cs="Calibri"/>
          <w:sz w:val="22"/>
          <w:szCs w:val="22"/>
        </w:rPr>
        <w:t>cases</w:t>
      </w:r>
      <w:r w:rsidRPr="00480CFA">
        <w:rPr>
          <w:rFonts w:ascii="Calibri" w:hAnsi="Calibri" w:cs="Calibri"/>
          <w:sz w:val="22"/>
          <w:szCs w:val="22"/>
        </w:rPr>
        <w:t xml:space="preserve"> to be solved (Liberty, 2024). The presumption of innocence is essential but challenging to uphold when suspects undergo intense scrutiny and extended detentions with uncertain consequences.</w:t>
      </w:r>
    </w:p>
    <w:p w:rsidRPr="00480CFA" w:rsidR="00EF34F1" w:rsidP="003C23D5" w:rsidRDefault="00EF34F1" w14:paraId="1D0AA88F" w14:textId="77777777">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Also, suspects may face substantial psychological and social repercussions throughout the criminal justice process, especially during prolonged pre-charge bail or release under investigation. During these periods of uncertainty, in which suspects have limited access to their case information, their mental health and overall well-being may be adversely affected by these experiences (College of Policing, 2022). The uncertainty of when they will hear about their legal situation and the associated waiting and worry of not knowing what will happen can be overwhelming, and the uncertainty of an indefinite outcome may disrupt their personal and work life. </w:t>
      </w:r>
    </w:p>
    <w:p w:rsidRPr="00480CFA" w:rsidR="00EF34F1" w:rsidP="003C23D5" w:rsidRDefault="00EF34F1" w14:paraId="3CF13C4F" w14:textId="0C7E6FED">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Additionally, the media and public opinions tend to spread social stigma that will inevitably damage a suspect's reputation, where the outcome of the case will have no bearing on such stigma. Even when the suspect is acquitted or found not guilty, their personal life and reputation will already be irreparably damaged (College of Policing, 2022). Balancing protecting the public and providing the victims with their rights with the suspect's legal rights must be attended to with </w:t>
      </w:r>
      <w:r w:rsidR="00480CFA">
        <w:rPr>
          <w:rFonts w:ascii="Calibri" w:hAnsi="Calibri" w:cs="Calibri"/>
          <w:sz w:val="22"/>
          <w:szCs w:val="22"/>
        </w:rPr>
        <w:t xml:space="preserve">the </w:t>
      </w:r>
      <w:r w:rsidRPr="00480CFA">
        <w:rPr>
          <w:rFonts w:ascii="Calibri" w:hAnsi="Calibri" w:cs="Calibri"/>
          <w:sz w:val="22"/>
          <w:szCs w:val="22"/>
        </w:rPr>
        <w:t xml:space="preserve">utmost care for </w:t>
      </w:r>
      <w:r w:rsidR="00F40A88">
        <w:rPr>
          <w:rFonts w:ascii="Calibri" w:hAnsi="Calibri" w:cs="Calibri"/>
          <w:sz w:val="22"/>
          <w:szCs w:val="22"/>
        </w:rPr>
        <w:t>procedural</w:t>
      </w:r>
      <w:r w:rsidRPr="00480CFA">
        <w:rPr>
          <w:rFonts w:ascii="Calibri" w:hAnsi="Calibri" w:cs="Calibri"/>
          <w:sz w:val="22"/>
          <w:szCs w:val="22"/>
        </w:rPr>
        <w:t xml:space="preserve"> fairness, transparent communication, and exercise of precautions that will preserve the dignity and rights of the suspect during the investigative period.</w:t>
      </w:r>
    </w:p>
    <w:p w:rsidR="00EF34F1" w:rsidP="003C23D5" w:rsidRDefault="00EF34F1" w14:paraId="49D201E4" w14:textId="77777777">
      <w:pPr>
        <w:spacing w:after="0" w:line="360" w:lineRule="auto"/>
        <w:ind w:firstLine="567"/>
        <w:contextualSpacing/>
        <w:jc w:val="both"/>
        <w:rPr>
          <w:rFonts w:ascii="Calibri" w:hAnsi="Calibri" w:cs="Calibri"/>
          <w:sz w:val="22"/>
          <w:szCs w:val="22"/>
        </w:rPr>
      </w:pPr>
    </w:p>
    <w:p w:rsidR="00084C6A" w:rsidP="003C23D5" w:rsidRDefault="00084C6A" w14:paraId="1C9FBB00" w14:textId="77777777">
      <w:pPr>
        <w:spacing w:after="0" w:line="360" w:lineRule="auto"/>
        <w:ind w:firstLine="567"/>
        <w:contextualSpacing/>
        <w:jc w:val="both"/>
        <w:rPr>
          <w:rFonts w:ascii="Calibri" w:hAnsi="Calibri" w:cs="Calibri"/>
          <w:sz w:val="22"/>
          <w:szCs w:val="22"/>
        </w:rPr>
      </w:pPr>
    </w:p>
    <w:p w:rsidRPr="00480CFA" w:rsidR="00084C6A" w:rsidP="003C23D5" w:rsidRDefault="00084C6A" w14:paraId="3EF49AE7" w14:textId="77777777">
      <w:pPr>
        <w:spacing w:after="0" w:line="360" w:lineRule="auto"/>
        <w:ind w:firstLine="567"/>
        <w:contextualSpacing/>
        <w:jc w:val="both"/>
        <w:rPr>
          <w:rFonts w:ascii="Calibri" w:hAnsi="Calibri" w:cs="Calibri"/>
          <w:sz w:val="22"/>
          <w:szCs w:val="22"/>
        </w:rPr>
      </w:pPr>
    </w:p>
    <w:p w:rsidRPr="00480CFA" w:rsidR="00EF34F1" w:rsidP="003C23D5" w:rsidRDefault="00EF34F1" w14:paraId="0DA36BAF" w14:textId="77777777">
      <w:pPr>
        <w:spacing w:after="0" w:line="360" w:lineRule="auto"/>
        <w:contextualSpacing/>
        <w:jc w:val="both"/>
        <w:rPr>
          <w:rFonts w:ascii="Calibri" w:hAnsi="Calibri" w:cs="Calibri"/>
          <w:i/>
          <w:iCs/>
          <w:sz w:val="22"/>
          <w:szCs w:val="22"/>
        </w:rPr>
      </w:pPr>
      <w:r w:rsidRPr="00480CFA">
        <w:rPr>
          <w:rFonts w:ascii="Calibri" w:hAnsi="Calibri" w:cs="Calibri"/>
          <w:b/>
          <w:bCs/>
          <w:i/>
          <w:iCs/>
          <w:sz w:val="22"/>
          <w:szCs w:val="22"/>
        </w:rPr>
        <w:t>Alternatives to Arrest</w:t>
      </w:r>
    </w:p>
    <w:p w:rsidRPr="00480CFA" w:rsidR="00EF34F1" w:rsidP="003C23D5" w:rsidRDefault="00EF34F1" w14:paraId="5166C8E7" w14:textId="332E3550">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British police officers are urged to explore alternatives to arrest when possible. Voluntary interviews, community </w:t>
      </w:r>
      <w:r w:rsidRPr="00480CFA" w:rsidR="003C23D5">
        <w:rPr>
          <w:rFonts w:ascii="Calibri" w:hAnsi="Calibri" w:cs="Calibri"/>
          <w:sz w:val="22"/>
          <w:szCs w:val="22"/>
        </w:rPr>
        <w:t>resolutions</w:t>
      </w:r>
      <w:r w:rsidRPr="00480CFA">
        <w:rPr>
          <w:rFonts w:ascii="Calibri" w:hAnsi="Calibri" w:cs="Calibri"/>
          <w:sz w:val="22"/>
          <w:szCs w:val="22"/>
        </w:rPr>
        <w:t>, and issuing warnings or cautions are among these alternatives (College of Policing, 2022). They are meant to prevent unnecessary criminali</w:t>
      </w:r>
      <w:r w:rsidRPr="00480CFA" w:rsidR="003C23D5">
        <w:rPr>
          <w:rFonts w:ascii="Calibri" w:hAnsi="Calibri" w:cs="Calibri"/>
          <w:sz w:val="22"/>
          <w:szCs w:val="22"/>
        </w:rPr>
        <w:t>s</w:t>
      </w:r>
      <w:r w:rsidRPr="00480CFA">
        <w:rPr>
          <w:rFonts w:ascii="Calibri" w:hAnsi="Calibri" w:cs="Calibri"/>
          <w:sz w:val="22"/>
          <w:szCs w:val="22"/>
        </w:rPr>
        <w:t xml:space="preserve">ation and concentrate on more serious </w:t>
      </w:r>
      <w:r w:rsidR="00480CFA">
        <w:rPr>
          <w:rFonts w:ascii="Calibri" w:hAnsi="Calibri" w:cs="Calibri"/>
          <w:sz w:val="22"/>
          <w:szCs w:val="22"/>
        </w:rPr>
        <w:t>offences</w:t>
      </w:r>
      <w:r w:rsidRPr="00480CFA">
        <w:rPr>
          <w:rFonts w:ascii="Calibri" w:hAnsi="Calibri" w:cs="Calibri"/>
          <w:sz w:val="22"/>
          <w:szCs w:val="22"/>
        </w:rPr>
        <w:t xml:space="preserve">. For instance, a voluntary interview could be more proportionate than </w:t>
      </w:r>
      <w:r w:rsidR="00F40A88">
        <w:rPr>
          <w:rFonts w:ascii="Calibri" w:hAnsi="Calibri" w:cs="Calibri"/>
          <w:sz w:val="22"/>
          <w:szCs w:val="22"/>
        </w:rPr>
        <w:t>an arrest in minor offences</w:t>
      </w:r>
      <w:r w:rsidRPr="00480CFA">
        <w:rPr>
          <w:rFonts w:ascii="Calibri" w:hAnsi="Calibri" w:cs="Calibri"/>
          <w:sz w:val="22"/>
          <w:szCs w:val="22"/>
        </w:rPr>
        <w:t xml:space="preserve"> or when the suspect does not pose an immediate threat.</w:t>
      </w:r>
    </w:p>
    <w:p w:rsidRPr="00480CFA" w:rsidR="00EF34F1" w:rsidP="003C23D5" w:rsidRDefault="00EF34F1" w14:paraId="6F3625D3" w14:textId="017CF57C">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However, such a choice must be balanced with the necessity of </w:t>
      </w:r>
      <w:r w:rsidR="00F40A88">
        <w:rPr>
          <w:rFonts w:ascii="Calibri" w:hAnsi="Calibri" w:cs="Calibri"/>
          <w:sz w:val="22"/>
          <w:szCs w:val="22"/>
        </w:rPr>
        <w:t>the victim's defence</w:t>
      </w:r>
      <w:r w:rsidRPr="00480CFA">
        <w:rPr>
          <w:rFonts w:ascii="Calibri" w:hAnsi="Calibri" w:cs="Calibri"/>
          <w:sz w:val="22"/>
          <w:szCs w:val="22"/>
        </w:rPr>
        <w:t xml:space="preserve"> and public trust in the criminal justice system. For example, in cases of domestic abuse, </w:t>
      </w:r>
      <w:r w:rsidRPr="00480CFA" w:rsidR="003C23D5">
        <w:rPr>
          <w:rFonts w:ascii="Calibri" w:hAnsi="Calibri" w:cs="Calibri"/>
          <w:sz w:val="22"/>
          <w:szCs w:val="22"/>
        </w:rPr>
        <w:t>arrest</w:t>
      </w:r>
      <w:r w:rsidRPr="00480CFA">
        <w:rPr>
          <w:rFonts w:ascii="Calibri" w:hAnsi="Calibri" w:cs="Calibri"/>
          <w:sz w:val="22"/>
          <w:szCs w:val="22"/>
        </w:rPr>
        <w:t xml:space="preserve"> will be necessary to protect the victim from further injury and for safety reasons (College of Policing, 2022). Therefore, although alternatives to arrest will help suspects by not exposing them to the ill effects of custody, they should be exercised with circumspection so that they serve the interests of justice and public security.​</w:t>
      </w:r>
    </w:p>
    <w:p w:rsidRPr="00480CFA" w:rsidR="00EF34F1" w:rsidP="003C23D5" w:rsidRDefault="00EF34F1" w14:paraId="3A5EF1EF" w14:textId="77777777">
      <w:pPr>
        <w:spacing w:after="0" w:line="360" w:lineRule="auto"/>
        <w:ind w:firstLine="567"/>
        <w:contextualSpacing/>
        <w:jc w:val="both"/>
        <w:rPr>
          <w:rFonts w:ascii="Calibri" w:hAnsi="Calibri" w:cs="Calibri"/>
          <w:sz w:val="22"/>
          <w:szCs w:val="22"/>
        </w:rPr>
      </w:pPr>
    </w:p>
    <w:p w:rsidRPr="00480CFA" w:rsidR="00EF34F1" w:rsidP="003C23D5" w:rsidRDefault="00EF34F1" w14:paraId="0B55FCAD" w14:textId="77777777">
      <w:pPr>
        <w:spacing w:after="0" w:line="360" w:lineRule="auto"/>
        <w:contextualSpacing/>
        <w:jc w:val="both"/>
        <w:rPr>
          <w:rFonts w:ascii="Calibri" w:hAnsi="Calibri" w:cs="Calibri"/>
          <w:i/>
          <w:iCs/>
          <w:sz w:val="22"/>
          <w:szCs w:val="22"/>
        </w:rPr>
      </w:pPr>
      <w:r w:rsidRPr="00480CFA">
        <w:rPr>
          <w:rFonts w:ascii="Calibri" w:hAnsi="Calibri" w:cs="Calibri"/>
          <w:b/>
          <w:bCs/>
          <w:i/>
          <w:iCs/>
          <w:sz w:val="22"/>
          <w:szCs w:val="22"/>
        </w:rPr>
        <w:t>Detaining and Charging Procedures</w:t>
      </w:r>
    </w:p>
    <w:p w:rsidRPr="00480CFA" w:rsidR="00EF34F1" w:rsidP="003C23D5" w:rsidRDefault="00EF34F1" w14:paraId="7CCB3769" w14:textId="5FEF0CEA">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Once arrested, they will be held for questioning and investigation. PACE outlines the time limits for detention and the necessity for periodic reviews of justification for continued custody (Liberty, 2024). If there is enough evidence, the suspect will be </w:t>
      </w:r>
      <w:r w:rsidRPr="00480CFA" w:rsidR="006517A5">
        <w:rPr>
          <w:rFonts w:ascii="Calibri" w:hAnsi="Calibri" w:cs="Calibri"/>
          <w:sz w:val="22"/>
          <w:szCs w:val="22"/>
        </w:rPr>
        <w:t>charged</w:t>
      </w:r>
      <w:r w:rsidRPr="00480CFA">
        <w:rPr>
          <w:rFonts w:ascii="Calibri" w:hAnsi="Calibri" w:cs="Calibri"/>
          <w:sz w:val="22"/>
          <w:szCs w:val="22"/>
        </w:rPr>
        <w:t xml:space="preserve"> and either be kept in custody or released on bail with conditions. The conditions of bail aim to avoid risks, for example, contact with victims or obstruction of witnesses (Crown Prosecution Service, 2023).</w:t>
      </w:r>
    </w:p>
    <w:p w:rsidRPr="00480CFA" w:rsidR="00EF34F1" w:rsidP="003C23D5" w:rsidRDefault="00EF34F1" w14:paraId="1B19AAB0" w14:textId="6BA27B75">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The decision on whether to charge usually rests with the Crown Prosecution Service (CPS), which considers whether there is a reasonable likelihood of conviction based on the available evidence and whether prosecution is in </w:t>
      </w:r>
      <w:r w:rsidRPr="00480CFA" w:rsidR="00067EC5">
        <w:rPr>
          <w:rFonts w:ascii="Calibri" w:hAnsi="Calibri" w:cs="Calibri"/>
          <w:sz w:val="22"/>
          <w:szCs w:val="22"/>
        </w:rPr>
        <w:t xml:space="preserve">the </w:t>
      </w:r>
      <w:r w:rsidRPr="00480CFA" w:rsidR="003C23D5">
        <w:rPr>
          <w:rFonts w:ascii="Calibri" w:hAnsi="Calibri" w:cs="Calibri"/>
          <w:sz w:val="22"/>
          <w:szCs w:val="22"/>
        </w:rPr>
        <w:t>public</w:t>
      </w:r>
      <w:r w:rsidRPr="00480CFA">
        <w:rPr>
          <w:rFonts w:ascii="Calibri" w:hAnsi="Calibri" w:cs="Calibri"/>
          <w:sz w:val="22"/>
          <w:szCs w:val="22"/>
        </w:rPr>
        <w:t xml:space="preserve"> interest (CPS, 2023). The rationale is that only suitable cases are taken before the court, avoiding unnecessary trials for suspects and preserving judicial time (Cooper and </w:t>
      </w:r>
      <w:r w:rsidRPr="00480CFA" w:rsidR="00F40A88">
        <w:rPr>
          <w:rFonts w:ascii="Calibri" w:hAnsi="Calibri" w:cs="Calibri"/>
          <w:sz w:val="22"/>
          <w:szCs w:val="22"/>
        </w:rPr>
        <w:t>Norton</w:t>
      </w:r>
      <w:r w:rsidRPr="00480CFA">
        <w:rPr>
          <w:rFonts w:ascii="Calibri" w:hAnsi="Calibri" w:cs="Calibri"/>
          <w:sz w:val="22"/>
          <w:szCs w:val="22"/>
        </w:rPr>
        <w:t>, 2017). Allowing delays in charging decisions keeps victims and suspects uncertain for extended periods, which calls for efficient and timely procedures.​</w:t>
      </w:r>
    </w:p>
    <w:p w:rsidRPr="00480CFA" w:rsidR="00EF34F1" w:rsidP="003C23D5" w:rsidRDefault="00EF34F1" w14:paraId="6D7789BC" w14:textId="77777777">
      <w:pPr>
        <w:spacing w:after="0" w:line="360" w:lineRule="auto"/>
        <w:ind w:firstLine="567"/>
        <w:contextualSpacing/>
        <w:jc w:val="both"/>
        <w:rPr>
          <w:rFonts w:ascii="Calibri" w:hAnsi="Calibri" w:cs="Calibri"/>
          <w:sz w:val="22"/>
          <w:szCs w:val="22"/>
        </w:rPr>
      </w:pPr>
    </w:p>
    <w:p w:rsidRPr="00480CFA" w:rsidR="00EF34F1" w:rsidP="003C23D5" w:rsidRDefault="00EF34F1" w14:paraId="42B5D903" w14:textId="77777777">
      <w:pPr>
        <w:spacing w:after="0" w:line="360" w:lineRule="auto"/>
        <w:contextualSpacing/>
        <w:jc w:val="both"/>
        <w:rPr>
          <w:rFonts w:ascii="Calibri" w:hAnsi="Calibri" w:cs="Calibri"/>
          <w:i/>
          <w:iCs/>
          <w:sz w:val="22"/>
          <w:szCs w:val="22"/>
        </w:rPr>
      </w:pPr>
      <w:r w:rsidRPr="00480CFA">
        <w:rPr>
          <w:rFonts w:ascii="Calibri" w:hAnsi="Calibri" w:cs="Calibri"/>
          <w:b/>
          <w:bCs/>
          <w:i/>
          <w:iCs/>
          <w:sz w:val="22"/>
          <w:szCs w:val="22"/>
        </w:rPr>
        <w:t>Court Process and Types of Courts</w:t>
      </w:r>
    </w:p>
    <w:p w:rsidRPr="00480CFA" w:rsidR="00EF34F1" w:rsidP="003C23D5" w:rsidRDefault="00EF34F1" w14:paraId="55530EF9" w14:textId="77777777">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The UK court system uses a hierarchical framework where Magistrates' Courts deal with lesser offences and Crown Courts with more serious crimes. The court procedure and legal jargon may be overwhelming for victims and suspects (Rossetti et al., 2017). Attempts have been made to make courts accessible, for example, by introducing special measures for vulnerable witnesses and legal representation for defendants (Ministry of Justice, 2024).</w:t>
      </w:r>
    </w:p>
    <w:p w:rsidRPr="00480CFA" w:rsidR="00EF34F1" w:rsidP="003C23D5" w:rsidRDefault="00EF34F1" w14:paraId="6E7239DA" w14:textId="3866BCCC">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Then again, court delays and pendency persist. For instance, there were nearly 68,000 pending Crown Court cases by the end of 2023, and trials had to be booked as long ago as two </w:t>
      </w:r>
      <w:r w:rsidR="00F40A88">
        <w:rPr>
          <w:rFonts w:ascii="Calibri" w:hAnsi="Calibri" w:cs="Calibri"/>
          <w:sz w:val="22"/>
          <w:szCs w:val="22"/>
        </w:rPr>
        <w:t>or</w:t>
      </w:r>
      <w:r w:rsidRPr="00480CFA">
        <w:rPr>
          <w:rFonts w:ascii="Calibri" w:hAnsi="Calibri" w:cs="Calibri"/>
          <w:sz w:val="22"/>
          <w:szCs w:val="22"/>
        </w:rPr>
        <w:t xml:space="preserve"> three years </w:t>
      </w:r>
      <w:r w:rsidRPr="00480CFA">
        <w:rPr>
          <w:rFonts w:ascii="Calibri" w:hAnsi="Calibri" w:cs="Calibri"/>
          <w:sz w:val="22"/>
          <w:szCs w:val="22"/>
        </w:rPr>
        <w:t xml:space="preserve">before they took place (Sturge, 2023). Delays like these threaten the efficacy of the criminal justice system, inflicting anguish on victims seeking closure and unnecessary uncertainty on suspects. All of these are challenges that demand investment in judiciary infrastructure and court reform to </w:t>
      </w:r>
      <w:r w:rsidR="00480CFA">
        <w:rPr>
          <w:rFonts w:ascii="Calibri" w:hAnsi="Calibri" w:cs="Calibri"/>
          <w:sz w:val="22"/>
          <w:szCs w:val="22"/>
        </w:rPr>
        <w:t>rationalise</w:t>
      </w:r>
      <w:r w:rsidRPr="00480CFA">
        <w:rPr>
          <w:rFonts w:ascii="Calibri" w:hAnsi="Calibri" w:cs="Calibri"/>
          <w:sz w:val="22"/>
          <w:szCs w:val="22"/>
        </w:rPr>
        <w:t xml:space="preserve"> court procedures.​</w:t>
      </w:r>
    </w:p>
    <w:p w:rsidRPr="00480CFA" w:rsidR="00EF34F1" w:rsidP="003C23D5" w:rsidRDefault="00EF34F1" w14:paraId="4752FC14" w14:textId="77777777">
      <w:pPr>
        <w:spacing w:after="0" w:line="360" w:lineRule="auto"/>
        <w:ind w:firstLine="567"/>
        <w:contextualSpacing/>
        <w:jc w:val="both"/>
        <w:rPr>
          <w:rFonts w:ascii="Calibri" w:hAnsi="Calibri" w:cs="Calibri"/>
          <w:sz w:val="22"/>
          <w:szCs w:val="22"/>
        </w:rPr>
      </w:pPr>
    </w:p>
    <w:p w:rsidRPr="00480CFA" w:rsidR="00EF34F1" w:rsidP="003C23D5" w:rsidRDefault="00EF34F1" w14:paraId="2F224068" w14:textId="77777777">
      <w:pPr>
        <w:spacing w:after="0" w:line="360" w:lineRule="auto"/>
        <w:contextualSpacing/>
        <w:jc w:val="both"/>
        <w:rPr>
          <w:rFonts w:ascii="Calibri" w:hAnsi="Calibri" w:cs="Calibri"/>
          <w:i/>
          <w:iCs/>
          <w:sz w:val="22"/>
          <w:szCs w:val="22"/>
        </w:rPr>
      </w:pPr>
      <w:r w:rsidRPr="00480CFA">
        <w:rPr>
          <w:rFonts w:ascii="Calibri" w:hAnsi="Calibri" w:cs="Calibri"/>
          <w:b/>
          <w:bCs/>
          <w:i/>
          <w:iCs/>
          <w:sz w:val="22"/>
          <w:szCs w:val="22"/>
        </w:rPr>
        <w:t>Evaluating the Balance Between Victim and Suspect Journeys</w:t>
      </w:r>
    </w:p>
    <w:p w:rsidRPr="00480CFA" w:rsidR="00EF34F1" w:rsidP="003C23D5" w:rsidRDefault="00EF34F1" w14:paraId="500D91F3" w14:textId="057F45BC">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Finding a reasonable balance between the victim's and the suspect's experience ranks among the most challenging aspects of the UK criminal justice system. On one hand, the system is mandated to protect, respect, and provide a voice for the victims. On the other hand, the same must also protect suspects from unfair treatment and prosecution before they are found guilty (HM Government, 2018). The balance usually depends on the case's nature and the institution's success. For example, women who have experienced domestic violence will often feel that the system is not always acting fast enough to protect them. Women's Aid states that victims of abuse still experience </w:t>
      </w:r>
      <w:r w:rsidR="00480CFA">
        <w:rPr>
          <w:rFonts w:ascii="Calibri" w:hAnsi="Calibri" w:cs="Calibri"/>
          <w:sz w:val="22"/>
          <w:szCs w:val="22"/>
        </w:rPr>
        <w:t>disbelief</w:t>
      </w:r>
      <w:r w:rsidRPr="00480CFA">
        <w:rPr>
          <w:rFonts w:ascii="Calibri" w:hAnsi="Calibri" w:cs="Calibri"/>
          <w:sz w:val="22"/>
          <w:szCs w:val="22"/>
        </w:rPr>
        <w:t xml:space="preserve"> and delay when they report (Angharad, 2023). Meanwhile, suspects report that they are held in custody and interviewed based on little evidence, which will have a lasting effect on their reputation and health (Cooper and </w:t>
      </w:r>
      <w:r w:rsidRPr="00480CFA" w:rsidR="00F40A88">
        <w:rPr>
          <w:rFonts w:ascii="Calibri" w:hAnsi="Calibri" w:cs="Calibri"/>
          <w:sz w:val="22"/>
          <w:szCs w:val="22"/>
        </w:rPr>
        <w:t>Norton</w:t>
      </w:r>
      <w:r w:rsidRPr="00480CFA">
        <w:rPr>
          <w:rFonts w:ascii="Calibri" w:hAnsi="Calibri" w:cs="Calibri"/>
          <w:sz w:val="22"/>
          <w:szCs w:val="22"/>
        </w:rPr>
        <w:t>, 2017). The above instances show why there should be proper procedures and proper policing.</w:t>
      </w:r>
    </w:p>
    <w:p w:rsidRPr="00480CFA" w:rsidR="00EF34F1" w:rsidP="003C23D5" w:rsidRDefault="00EF34F1" w14:paraId="33A4EBA6" w14:textId="73B15A86">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Officers must make difficult decisions, arrest an individual, or employ another measure. They have an impact on both. If complainants feel they are not </w:t>
      </w:r>
      <w:r w:rsidR="00F40A88">
        <w:rPr>
          <w:rFonts w:ascii="Calibri" w:hAnsi="Calibri" w:cs="Calibri"/>
          <w:sz w:val="22"/>
          <w:szCs w:val="22"/>
        </w:rPr>
        <w:t xml:space="preserve">being </w:t>
      </w:r>
      <w:r w:rsidRPr="00480CFA">
        <w:rPr>
          <w:rFonts w:ascii="Calibri" w:hAnsi="Calibri" w:cs="Calibri"/>
          <w:sz w:val="22"/>
          <w:szCs w:val="22"/>
        </w:rPr>
        <w:t>treated seriously, they will lose confidence in the system. If suspects think they have not been treated fairly, their rights are compromised. Balance will only be created by proper training, sound policies, and ongoing examination of consequences (College of Policing, 2022).</w:t>
      </w:r>
    </w:p>
    <w:p w:rsidRPr="00480CFA" w:rsidR="00067EC5" w:rsidP="003C23D5" w:rsidRDefault="00067EC5" w14:paraId="5C99BC2F" w14:textId="77777777">
      <w:pPr>
        <w:spacing w:after="0" w:line="360" w:lineRule="auto"/>
        <w:ind w:firstLine="567"/>
        <w:contextualSpacing/>
        <w:jc w:val="both"/>
        <w:rPr>
          <w:rFonts w:ascii="Calibri" w:hAnsi="Calibri" w:cs="Calibri"/>
          <w:sz w:val="22"/>
          <w:szCs w:val="22"/>
        </w:rPr>
      </w:pPr>
    </w:p>
    <w:p w:rsidRPr="00480CFA" w:rsidR="00EF34F1" w:rsidP="003C23D5" w:rsidRDefault="00EF34F1" w14:paraId="68AA5CE7" w14:textId="77777777">
      <w:pPr>
        <w:spacing w:after="0" w:line="360" w:lineRule="auto"/>
        <w:ind w:firstLine="567"/>
        <w:contextualSpacing/>
        <w:jc w:val="both"/>
        <w:rPr>
          <w:rFonts w:ascii="Calibri" w:hAnsi="Calibri" w:cs="Calibri"/>
          <w:sz w:val="22"/>
          <w:szCs w:val="22"/>
        </w:rPr>
      </w:pPr>
    </w:p>
    <w:p w:rsidRPr="00480CFA" w:rsidR="00EF34F1" w:rsidP="003C23D5" w:rsidRDefault="00EF34F1" w14:paraId="58F10703" w14:textId="77777777">
      <w:pPr>
        <w:spacing w:after="0" w:line="360" w:lineRule="auto"/>
        <w:contextualSpacing/>
        <w:jc w:val="both"/>
        <w:rPr>
          <w:rFonts w:ascii="Calibri" w:hAnsi="Calibri" w:cs="Calibri"/>
          <w:b/>
          <w:bCs/>
          <w:i/>
          <w:iCs/>
          <w:sz w:val="22"/>
          <w:szCs w:val="22"/>
        </w:rPr>
      </w:pPr>
      <w:r w:rsidRPr="00480CFA">
        <w:rPr>
          <w:rFonts w:ascii="Calibri" w:hAnsi="Calibri" w:cs="Calibri"/>
          <w:b/>
          <w:bCs/>
          <w:i/>
          <w:iCs/>
          <w:sz w:val="22"/>
          <w:szCs w:val="22"/>
        </w:rPr>
        <w:t>Conclusion</w:t>
      </w:r>
    </w:p>
    <w:p w:rsidRPr="00480CFA" w:rsidR="00067EC5" w:rsidP="003C23D5" w:rsidRDefault="00067EC5" w14:paraId="35A01EB3" w14:textId="77777777">
      <w:pPr>
        <w:spacing w:after="0" w:line="360" w:lineRule="auto"/>
        <w:contextualSpacing/>
        <w:jc w:val="both"/>
        <w:rPr>
          <w:rFonts w:ascii="Calibri" w:hAnsi="Calibri" w:cs="Calibri"/>
          <w:i/>
          <w:iCs/>
          <w:sz w:val="22"/>
          <w:szCs w:val="22"/>
        </w:rPr>
      </w:pPr>
    </w:p>
    <w:p w:rsidRPr="00480CFA" w:rsidR="00EF34F1" w:rsidP="003C23D5" w:rsidRDefault="00EF34F1" w14:paraId="0A5B0870" w14:textId="47E3A528">
      <w:pPr>
        <w:spacing w:after="0" w:line="360" w:lineRule="auto"/>
        <w:ind w:firstLine="567"/>
        <w:contextualSpacing/>
        <w:jc w:val="both"/>
        <w:rPr>
          <w:rFonts w:ascii="Calibri" w:hAnsi="Calibri" w:cs="Calibri"/>
          <w:sz w:val="22"/>
          <w:szCs w:val="22"/>
        </w:rPr>
      </w:pPr>
      <w:r w:rsidRPr="00480CFA">
        <w:rPr>
          <w:rFonts w:ascii="Calibri" w:hAnsi="Calibri" w:cs="Calibri"/>
          <w:sz w:val="22"/>
          <w:szCs w:val="22"/>
        </w:rPr>
        <w:t xml:space="preserve">The criminal justice system in the UK attempts to balance the rights and needs of suspects and victims. It gives them legal protection and procedures, but gaps remain that must be filled. Its victims frequently feel ignored or neglected, particularly in complicated cases such as sexual violence and domestic violence. </w:t>
      </w:r>
      <w:r w:rsidR="00F40A88">
        <w:rPr>
          <w:rFonts w:ascii="Calibri" w:hAnsi="Calibri" w:cs="Calibri"/>
          <w:sz w:val="22"/>
          <w:szCs w:val="22"/>
        </w:rPr>
        <w:t>It's</w:t>
      </w:r>
      <w:r w:rsidRPr="00480CFA">
        <w:rPr>
          <w:rFonts w:ascii="Calibri" w:hAnsi="Calibri" w:cs="Calibri"/>
          <w:sz w:val="22"/>
          <w:szCs w:val="22"/>
        </w:rPr>
        <w:t xml:space="preserve"> suspects experience damaging personal and social repercussions before a case reaches court. More investment in services, improved communication, and faster legal resolution are necessary for improved balance. An equal system should shield the vulnerable while maintaining fairness for everyone.</w:t>
      </w:r>
    </w:p>
    <w:p w:rsidRPr="00480CFA" w:rsidR="003C23D5" w:rsidP="00563820" w:rsidRDefault="003C23D5" w14:paraId="5D4B4750" w14:textId="77777777">
      <w:pPr>
        <w:spacing w:after="0" w:line="360" w:lineRule="auto"/>
        <w:contextualSpacing/>
        <w:jc w:val="both"/>
        <w:rPr>
          <w:rFonts w:ascii="Calibri" w:hAnsi="Calibri" w:cs="Calibri"/>
          <w:sz w:val="22"/>
          <w:szCs w:val="22"/>
        </w:rPr>
      </w:pPr>
    </w:p>
    <w:p w:rsidRPr="00480CFA" w:rsidR="00067EC5" w:rsidP="003C23D5" w:rsidRDefault="00067EC5" w14:paraId="0FFFD4AF" w14:textId="77777777">
      <w:pPr>
        <w:spacing w:after="0" w:line="360" w:lineRule="auto"/>
        <w:ind w:firstLine="567"/>
        <w:contextualSpacing/>
        <w:jc w:val="both"/>
        <w:rPr>
          <w:rFonts w:ascii="Calibri" w:hAnsi="Calibri" w:cs="Calibri"/>
          <w:sz w:val="22"/>
          <w:szCs w:val="22"/>
        </w:rPr>
      </w:pPr>
    </w:p>
    <w:p w:rsidRPr="00480CFA" w:rsidR="00EF34F1" w:rsidP="00EF34F1" w:rsidRDefault="00EF34F1" w14:paraId="615F6A75" w14:textId="77777777">
      <w:pPr>
        <w:spacing w:after="0" w:line="480" w:lineRule="auto"/>
        <w:contextualSpacing/>
        <w:jc w:val="center"/>
        <w:rPr>
          <w:rFonts w:ascii="Calibri" w:hAnsi="Calibri" w:cs="Calibri"/>
          <w:b/>
          <w:bCs/>
          <w:i/>
          <w:iCs/>
          <w:sz w:val="22"/>
          <w:szCs w:val="22"/>
        </w:rPr>
      </w:pPr>
      <w:r w:rsidRPr="00480CFA">
        <w:rPr>
          <w:rFonts w:ascii="Calibri" w:hAnsi="Calibri" w:cs="Calibri"/>
          <w:b/>
          <w:bCs/>
          <w:i/>
          <w:iCs/>
          <w:sz w:val="22"/>
          <w:szCs w:val="22"/>
        </w:rPr>
        <w:t>Reference List</w:t>
      </w:r>
    </w:p>
    <w:p w:rsidRPr="00480CFA" w:rsidR="00067EC5" w:rsidP="008D6E64" w:rsidRDefault="00067EC5" w14:paraId="0301743E" w14:textId="77777777">
      <w:pPr>
        <w:spacing w:after="0" w:line="360" w:lineRule="auto"/>
        <w:ind w:hanging="624"/>
        <w:contextualSpacing/>
        <w:jc w:val="both"/>
        <w:rPr>
          <w:rFonts w:ascii="Calibri" w:hAnsi="Calibri" w:cs="Calibri"/>
          <w:b/>
          <w:bCs/>
          <w:i/>
          <w:iCs/>
          <w:sz w:val="22"/>
          <w:szCs w:val="22"/>
        </w:rPr>
      </w:pPr>
    </w:p>
    <w:p w:rsidRPr="00480CFA" w:rsidR="00067EC5" w:rsidP="0073515F" w:rsidRDefault="00EF34F1" w14:paraId="36D65B66" w14:textId="0CEDFB04">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 xml:space="preserve">Angharad (2023) </w:t>
      </w:r>
      <w:r w:rsidRPr="00480CFA">
        <w:rPr>
          <w:rFonts w:ascii="Calibri" w:hAnsi="Calibri" w:cs="Calibri"/>
          <w:i/>
          <w:iCs/>
          <w:sz w:val="22"/>
          <w:szCs w:val="22"/>
        </w:rPr>
        <w:t>Annual Audit 2024</w:t>
      </w:r>
      <w:r w:rsidRPr="00480CFA">
        <w:rPr>
          <w:rFonts w:ascii="Calibri" w:hAnsi="Calibri" w:cs="Calibri"/>
          <w:sz w:val="22"/>
          <w:szCs w:val="22"/>
        </w:rPr>
        <w:t xml:space="preserve">. [online] Women’s Aid. Available at: </w:t>
      </w:r>
      <w:hyperlink w:history="1" r:id="rId9">
        <w:r w:rsidRPr="00480CFA">
          <w:rPr>
            <w:rStyle w:val="Hyperlink"/>
            <w:rFonts w:ascii="Calibri" w:hAnsi="Calibri" w:cs="Calibri"/>
            <w:sz w:val="22"/>
            <w:szCs w:val="22"/>
          </w:rPr>
          <w:t>https://www.womensaid.org.uk/annual-audit-2024/</w:t>
        </w:r>
      </w:hyperlink>
      <w:r w:rsidRPr="00480CFA" w:rsidR="001C396B">
        <w:rPr>
          <w:rFonts w:ascii="Calibri" w:hAnsi="Calibri" w:cs="Calibri"/>
          <w:sz w:val="22"/>
          <w:szCs w:val="22"/>
        </w:rPr>
        <w:t xml:space="preserve"> [Accessed </w:t>
      </w:r>
      <w:r w:rsidRPr="00480CFA" w:rsidR="00354E78">
        <w:rPr>
          <w:rFonts w:ascii="Calibri" w:hAnsi="Calibri" w:cs="Calibri"/>
          <w:sz w:val="22"/>
          <w:szCs w:val="22"/>
        </w:rPr>
        <w:t>4</w:t>
      </w:r>
      <w:r w:rsidRPr="00480CFA" w:rsidR="00863238">
        <w:rPr>
          <w:rFonts w:ascii="Calibri" w:hAnsi="Calibri" w:cs="Calibri"/>
          <w:sz w:val="22"/>
          <w:szCs w:val="22"/>
        </w:rPr>
        <w:t xml:space="preserve"> </w:t>
      </w:r>
      <w:r w:rsidRPr="00480CFA" w:rsidR="00383E1C">
        <w:rPr>
          <w:rFonts w:ascii="Calibri" w:hAnsi="Calibri" w:cs="Calibri"/>
          <w:sz w:val="22"/>
          <w:szCs w:val="22"/>
        </w:rPr>
        <w:t>Apr.</w:t>
      </w:r>
      <w:r w:rsidRPr="00480CFA" w:rsidR="00863238">
        <w:rPr>
          <w:rFonts w:ascii="Calibri" w:hAnsi="Calibri" w:cs="Calibri"/>
          <w:sz w:val="22"/>
          <w:szCs w:val="22"/>
        </w:rPr>
        <w:t xml:space="preserve"> 2025].</w:t>
      </w:r>
      <w:bookmarkStart w:name="_Hlk195627155" w:id="1"/>
    </w:p>
    <w:bookmarkEnd w:id="1"/>
    <w:p w:rsidRPr="00480CFA" w:rsidR="00EF34F1" w:rsidP="0073515F" w:rsidRDefault="00EF34F1" w14:paraId="3788A5FC" w14:textId="7295C272">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 xml:space="preserve">College of Policing (2022) </w:t>
      </w:r>
      <w:r w:rsidRPr="00480CFA">
        <w:rPr>
          <w:rFonts w:ascii="Calibri" w:hAnsi="Calibri" w:cs="Calibri"/>
          <w:i/>
          <w:iCs/>
          <w:sz w:val="22"/>
          <w:szCs w:val="22"/>
        </w:rPr>
        <w:t xml:space="preserve">Response, </w:t>
      </w:r>
      <w:r w:rsidRPr="00480CFA" w:rsidR="00067EC5">
        <w:rPr>
          <w:rFonts w:ascii="Calibri" w:hAnsi="Calibri" w:cs="Calibri"/>
          <w:i/>
          <w:iCs/>
          <w:sz w:val="22"/>
          <w:szCs w:val="22"/>
        </w:rPr>
        <w:t>arrest,</w:t>
      </w:r>
      <w:r w:rsidRPr="00480CFA">
        <w:rPr>
          <w:rFonts w:ascii="Calibri" w:hAnsi="Calibri" w:cs="Calibri"/>
          <w:i/>
          <w:iCs/>
          <w:sz w:val="22"/>
          <w:szCs w:val="22"/>
        </w:rPr>
        <w:t xml:space="preserve"> and detention</w:t>
      </w:r>
      <w:r w:rsidRPr="00480CFA">
        <w:rPr>
          <w:rFonts w:ascii="Calibri" w:hAnsi="Calibri" w:cs="Calibri"/>
          <w:sz w:val="22"/>
          <w:szCs w:val="22"/>
        </w:rPr>
        <w:t xml:space="preserve">. [online] College of Policing. Available at: </w:t>
      </w:r>
      <w:hyperlink w:history="1" r:id="rId10">
        <w:r w:rsidRPr="00480CFA">
          <w:rPr>
            <w:rStyle w:val="Hyperlink"/>
            <w:rFonts w:ascii="Calibri" w:hAnsi="Calibri" w:cs="Calibri"/>
            <w:sz w:val="22"/>
            <w:szCs w:val="22"/>
          </w:rPr>
          <w:t>https://www.college.police.uk/app/detention-and-custody/response-arrest-and-detention</w:t>
        </w:r>
      </w:hyperlink>
      <w:r w:rsidRPr="00480CFA">
        <w:rPr>
          <w:rFonts w:ascii="Calibri" w:hAnsi="Calibri" w:cs="Calibri"/>
          <w:sz w:val="22"/>
          <w:szCs w:val="22"/>
        </w:rPr>
        <w:t xml:space="preserve">. </w:t>
      </w:r>
      <w:r w:rsidRPr="00480CFA" w:rsidR="003820AE">
        <w:rPr>
          <w:rFonts w:ascii="Calibri" w:hAnsi="Calibri" w:cs="Calibri"/>
          <w:sz w:val="22"/>
          <w:szCs w:val="22"/>
        </w:rPr>
        <w:t xml:space="preserve">[Accessed </w:t>
      </w:r>
      <w:r w:rsidRPr="00480CFA" w:rsidR="00383E1C">
        <w:rPr>
          <w:rFonts w:ascii="Calibri" w:hAnsi="Calibri" w:cs="Calibri"/>
          <w:sz w:val="22"/>
          <w:szCs w:val="22"/>
        </w:rPr>
        <w:t>5 Apr.</w:t>
      </w:r>
      <w:r w:rsidRPr="00480CFA" w:rsidR="003820AE">
        <w:rPr>
          <w:rFonts w:ascii="Calibri" w:hAnsi="Calibri" w:cs="Calibri"/>
          <w:sz w:val="22"/>
          <w:szCs w:val="22"/>
        </w:rPr>
        <w:t xml:space="preserve"> 2025].</w:t>
      </w:r>
    </w:p>
    <w:p w:rsidRPr="00480CFA" w:rsidR="00EF34F1" w:rsidP="0073515F" w:rsidRDefault="00EF34F1" w14:paraId="10547C08" w14:textId="4CFB8217">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 xml:space="preserve">Cooper, P. and </w:t>
      </w:r>
      <w:r w:rsidRPr="00480CFA" w:rsidR="00F40A88">
        <w:rPr>
          <w:rFonts w:ascii="Calibri" w:hAnsi="Calibri" w:cs="Calibri"/>
          <w:sz w:val="22"/>
          <w:szCs w:val="22"/>
        </w:rPr>
        <w:t>Norton</w:t>
      </w:r>
      <w:r w:rsidRPr="00480CFA">
        <w:rPr>
          <w:rFonts w:ascii="Calibri" w:hAnsi="Calibri" w:cs="Calibri"/>
          <w:sz w:val="22"/>
          <w:szCs w:val="22"/>
        </w:rPr>
        <w:t>, H. (2017</w:t>
      </w:r>
      <w:r w:rsidRPr="00480CFA" w:rsidR="008971B3">
        <w:rPr>
          <w:rFonts w:ascii="Calibri" w:hAnsi="Calibri" w:cs="Calibri"/>
          <w:sz w:val="22"/>
          <w:szCs w:val="22"/>
        </w:rPr>
        <w:t>)</w:t>
      </w:r>
      <w:r w:rsidR="008971B3">
        <w:rPr>
          <w:rFonts w:ascii="Calibri" w:hAnsi="Calibri" w:cs="Calibri"/>
          <w:sz w:val="22"/>
          <w:szCs w:val="22"/>
        </w:rPr>
        <w:t>.</w:t>
      </w:r>
      <w:r w:rsidRPr="00480CFA" w:rsidR="008971B3">
        <w:rPr>
          <w:rFonts w:ascii="Calibri" w:hAnsi="Calibri" w:cs="Calibri"/>
          <w:i/>
          <w:iCs/>
          <w:sz w:val="22"/>
          <w:szCs w:val="22"/>
        </w:rPr>
        <w:t xml:space="preserve"> Vulnerable</w:t>
      </w:r>
      <w:r w:rsidRPr="00480CFA">
        <w:rPr>
          <w:rFonts w:ascii="Calibri" w:hAnsi="Calibri" w:cs="Calibri"/>
          <w:i/>
          <w:iCs/>
          <w:sz w:val="22"/>
          <w:szCs w:val="22"/>
        </w:rPr>
        <w:t xml:space="preserve"> People and the Criminal Justice System</w:t>
      </w:r>
      <w:r w:rsidRPr="00480CFA">
        <w:rPr>
          <w:rFonts w:ascii="Calibri" w:hAnsi="Calibri" w:cs="Calibri"/>
          <w:sz w:val="22"/>
          <w:szCs w:val="22"/>
        </w:rPr>
        <w:t xml:space="preserve">. </w:t>
      </w:r>
      <w:r w:rsidRPr="00480CFA" w:rsidR="007C459B">
        <w:rPr>
          <w:rFonts w:ascii="Calibri" w:hAnsi="Calibri" w:cs="Calibri"/>
          <w:sz w:val="22"/>
          <w:szCs w:val="22"/>
        </w:rPr>
        <w:t xml:space="preserve">[online] Available at: </w:t>
      </w:r>
      <w:hyperlink w:history="1" r:id="rId11">
        <w:r w:rsidRPr="00480CFA" w:rsidR="004E3FAA">
          <w:rPr>
            <w:rStyle w:val="Hyperlink"/>
            <w:rFonts w:ascii="Calibri" w:hAnsi="Calibri" w:cs="Calibri"/>
            <w:sz w:val="22"/>
            <w:szCs w:val="22"/>
          </w:rPr>
          <w:t>https://books.google.co.uk/</w:t>
        </w:r>
      </w:hyperlink>
      <w:r w:rsidRPr="00480CFA" w:rsidR="004E3FAA">
        <w:rPr>
          <w:rFonts w:ascii="Calibri" w:hAnsi="Calibri" w:cs="Calibri"/>
          <w:sz w:val="22"/>
          <w:szCs w:val="22"/>
        </w:rPr>
        <w:t xml:space="preserve"> </w:t>
      </w:r>
      <w:r w:rsidRPr="00480CFA" w:rsidR="003820AE">
        <w:rPr>
          <w:rFonts w:ascii="Calibri" w:hAnsi="Calibri" w:cs="Calibri"/>
          <w:sz w:val="22"/>
          <w:szCs w:val="22"/>
        </w:rPr>
        <w:t>[Accessed</w:t>
      </w:r>
      <w:r w:rsidRPr="00480CFA" w:rsidR="00073D20">
        <w:rPr>
          <w:rFonts w:ascii="Calibri" w:hAnsi="Calibri" w:cs="Calibri"/>
          <w:sz w:val="22"/>
          <w:szCs w:val="22"/>
        </w:rPr>
        <w:t xml:space="preserve"> </w:t>
      </w:r>
      <w:r w:rsidRPr="00480CFA" w:rsidR="002955B5">
        <w:rPr>
          <w:rFonts w:ascii="Calibri" w:hAnsi="Calibri" w:cs="Calibri"/>
          <w:sz w:val="22"/>
          <w:szCs w:val="22"/>
        </w:rPr>
        <w:t>9</w:t>
      </w:r>
      <w:r w:rsidRPr="00480CFA" w:rsidR="003820AE">
        <w:rPr>
          <w:rFonts w:ascii="Calibri" w:hAnsi="Calibri" w:cs="Calibri"/>
          <w:sz w:val="22"/>
          <w:szCs w:val="22"/>
        </w:rPr>
        <w:t xml:space="preserve"> Apr. 2025]. </w:t>
      </w:r>
    </w:p>
    <w:p w:rsidRPr="00480CFA" w:rsidR="00EF34F1" w:rsidP="0073515F" w:rsidRDefault="00EF34F1" w14:paraId="1426FD53" w14:textId="7DB18525">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Crown Prosecution Service (2023)</w:t>
      </w:r>
      <w:r w:rsidR="008971B3">
        <w:rPr>
          <w:rFonts w:ascii="Calibri" w:hAnsi="Calibri" w:cs="Calibri"/>
          <w:sz w:val="22"/>
          <w:szCs w:val="22"/>
        </w:rPr>
        <w:t xml:space="preserve">. </w:t>
      </w:r>
      <w:r w:rsidRPr="00480CFA">
        <w:rPr>
          <w:rFonts w:ascii="Calibri" w:hAnsi="Calibri" w:cs="Calibri"/>
          <w:i/>
          <w:iCs/>
          <w:sz w:val="22"/>
          <w:szCs w:val="22"/>
        </w:rPr>
        <w:t>The Crown Prosecution Service</w:t>
      </w:r>
      <w:r w:rsidRPr="00480CFA">
        <w:rPr>
          <w:rFonts w:ascii="Calibri" w:hAnsi="Calibri" w:cs="Calibri"/>
          <w:sz w:val="22"/>
          <w:szCs w:val="22"/>
        </w:rPr>
        <w:t xml:space="preserve">. [online] www.cps.gov.uk. Available at: </w:t>
      </w:r>
      <w:hyperlink w:history="1" r:id="rId12">
        <w:r w:rsidRPr="00480CFA">
          <w:rPr>
            <w:rStyle w:val="Hyperlink"/>
            <w:rFonts w:ascii="Calibri" w:hAnsi="Calibri" w:cs="Calibri"/>
            <w:sz w:val="22"/>
            <w:szCs w:val="22"/>
          </w:rPr>
          <w:t>https://www.cps.gov.uk/crown-prosecution-service</w:t>
        </w:r>
      </w:hyperlink>
      <w:r w:rsidRPr="00480CFA">
        <w:rPr>
          <w:rFonts w:ascii="Calibri" w:hAnsi="Calibri" w:cs="Calibri"/>
          <w:sz w:val="22"/>
          <w:szCs w:val="22"/>
        </w:rPr>
        <w:t xml:space="preserve">  [Accessed </w:t>
      </w:r>
      <w:r w:rsidRPr="00480CFA" w:rsidR="002955B5">
        <w:rPr>
          <w:rFonts w:ascii="Calibri" w:hAnsi="Calibri" w:cs="Calibri"/>
          <w:sz w:val="22"/>
          <w:szCs w:val="22"/>
        </w:rPr>
        <w:t>9</w:t>
      </w:r>
      <w:r w:rsidRPr="00480CFA" w:rsidR="00073D20">
        <w:rPr>
          <w:rFonts w:ascii="Calibri" w:hAnsi="Calibri" w:cs="Calibri"/>
          <w:sz w:val="22"/>
          <w:szCs w:val="22"/>
        </w:rPr>
        <w:t xml:space="preserve"> Apr. 2025</w:t>
      </w:r>
      <w:r w:rsidRPr="00480CFA">
        <w:rPr>
          <w:rFonts w:ascii="Calibri" w:hAnsi="Calibri" w:cs="Calibri"/>
          <w:sz w:val="22"/>
          <w:szCs w:val="22"/>
        </w:rPr>
        <w:t>].</w:t>
      </w:r>
    </w:p>
    <w:p w:rsidRPr="00480CFA" w:rsidR="00EF34F1" w:rsidP="0073515F" w:rsidRDefault="00EF34F1" w14:paraId="36D11865" w14:textId="444FE460">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 xml:space="preserve">HM Government (2018) </w:t>
      </w:r>
      <w:r w:rsidRPr="00480CFA">
        <w:rPr>
          <w:rFonts w:ascii="Calibri" w:hAnsi="Calibri" w:cs="Calibri"/>
          <w:i/>
          <w:iCs/>
          <w:sz w:val="22"/>
          <w:szCs w:val="22"/>
        </w:rPr>
        <w:t>Victims Strategy Cm 9700</w:t>
      </w:r>
      <w:r w:rsidRPr="00480CFA">
        <w:rPr>
          <w:rFonts w:ascii="Calibri" w:hAnsi="Calibri" w:cs="Calibri"/>
          <w:sz w:val="22"/>
          <w:szCs w:val="22"/>
        </w:rPr>
        <w:t xml:space="preserve">. [online] Available at: </w:t>
      </w:r>
      <w:hyperlink w:history="1" r:id="rId13">
        <w:r w:rsidRPr="00480CFA">
          <w:rPr>
            <w:rStyle w:val="Hyperlink"/>
            <w:rFonts w:ascii="Calibri" w:hAnsi="Calibri" w:cs="Calibri"/>
            <w:sz w:val="22"/>
            <w:szCs w:val="22"/>
          </w:rPr>
          <w:t>https://assets.publishing.service.gov.uk/media/5bbca235ed915d23aa4c2e2d/victim-strategy.pdf</w:t>
        </w:r>
      </w:hyperlink>
      <w:r w:rsidRPr="00480CFA" w:rsidR="00A87F39">
        <w:rPr>
          <w:rFonts w:ascii="Calibri" w:hAnsi="Calibri" w:cs="Calibri"/>
          <w:sz w:val="22"/>
          <w:szCs w:val="22"/>
        </w:rPr>
        <w:t xml:space="preserve"> [Accessed 16 Apr. 2025].</w:t>
      </w:r>
    </w:p>
    <w:p w:rsidRPr="00480CFA" w:rsidR="00EF34F1" w:rsidP="0073515F" w:rsidRDefault="00EF34F1" w14:paraId="0EA199DC" w14:textId="74529667">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 xml:space="preserve">HMICFRS (2019) </w:t>
      </w:r>
      <w:r w:rsidRPr="00480CFA">
        <w:rPr>
          <w:rFonts w:ascii="Calibri" w:hAnsi="Calibri" w:cs="Calibri"/>
          <w:i/>
          <w:iCs/>
          <w:sz w:val="22"/>
          <w:szCs w:val="22"/>
        </w:rPr>
        <w:t>Rape and sexual violence - His Majesty’s Inspectorate of Constabulary and Fire &amp; Rescue Services</w:t>
      </w:r>
      <w:r w:rsidRPr="00480CFA">
        <w:rPr>
          <w:rFonts w:ascii="Calibri" w:hAnsi="Calibri" w:cs="Calibri"/>
          <w:sz w:val="22"/>
          <w:szCs w:val="22"/>
        </w:rPr>
        <w:t xml:space="preserve">. [online] His Majesty’s Inspectorate of Constabulary and Fire &amp; Rescue Services. Available at: </w:t>
      </w:r>
      <w:hyperlink w:history="1" r:id="rId14">
        <w:r w:rsidRPr="00480CFA">
          <w:rPr>
            <w:rStyle w:val="Hyperlink"/>
            <w:rFonts w:ascii="Calibri" w:hAnsi="Calibri" w:cs="Calibri"/>
            <w:sz w:val="22"/>
            <w:szCs w:val="22"/>
          </w:rPr>
          <w:t>https://hmicfrs.justiceinspectorates.gov.uk/our-work/article/rape-and-sexual-violence/</w:t>
        </w:r>
      </w:hyperlink>
      <w:r w:rsidRPr="00480CFA">
        <w:rPr>
          <w:rFonts w:ascii="Calibri" w:hAnsi="Calibri" w:cs="Calibri"/>
          <w:sz w:val="22"/>
          <w:szCs w:val="22"/>
        </w:rPr>
        <w:t xml:space="preserve">  [Accessed </w:t>
      </w:r>
      <w:r w:rsidRPr="00480CFA" w:rsidR="00A87F39">
        <w:rPr>
          <w:rFonts w:ascii="Calibri" w:hAnsi="Calibri" w:cs="Calibri"/>
          <w:sz w:val="22"/>
          <w:szCs w:val="22"/>
        </w:rPr>
        <w:t>15 Apr. 2025</w:t>
      </w:r>
      <w:r w:rsidRPr="00480CFA">
        <w:rPr>
          <w:rFonts w:ascii="Calibri" w:hAnsi="Calibri" w:cs="Calibri"/>
          <w:sz w:val="22"/>
          <w:szCs w:val="22"/>
        </w:rPr>
        <w:t>].</w:t>
      </w:r>
    </w:p>
    <w:p w:rsidR="00EF34F1" w:rsidP="0073515F" w:rsidRDefault="00EF34F1" w14:paraId="6898451E" w14:textId="09BB51DD">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 xml:space="preserve">Liberty (2024) </w:t>
      </w:r>
      <w:r w:rsidRPr="00480CFA">
        <w:rPr>
          <w:rFonts w:ascii="Calibri" w:hAnsi="Calibri" w:cs="Calibri"/>
          <w:i/>
          <w:iCs/>
          <w:sz w:val="22"/>
          <w:szCs w:val="22"/>
        </w:rPr>
        <w:t>Police powers of arrest</w:t>
      </w:r>
      <w:r w:rsidRPr="00480CFA">
        <w:rPr>
          <w:rFonts w:ascii="Calibri" w:hAnsi="Calibri" w:cs="Calibri"/>
          <w:sz w:val="22"/>
          <w:szCs w:val="22"/>
        </w:rPr>
        <w:t xml:space="preserve">. [online] Liberty. Available at: </w:t>
      </w:r>
      <w:hyperlink w:history="1" r:id="rId15">
        <w:r w:rsidRPr="00480CFA">
          <w:rPr>
            <w:rStyle w:val="Hyperlink"/>
            <w:rFonts w:ascii="Calibri" w:hAnsi="Calibri" w:cs="Calibri"/>
            <w:sz w:val="22"/>
            <w:szCs w:val="22"/>
          </w:rPr>
          <w:t>https://www.libertyhumanrights.org.uk/advice_information/police-powers-of-arrest-2/</w:t>
        </w:r>
      </w:hyperlink>
      <w:r w:rsidRPr="00480CFA">
        <w:rPr>
          <w:rFonts w:ascii="Calibri" w:hAnsi="Calibri" w:cs="Calibri"/>
          <w:sz w:val="22"/>
          <w:szCs w:val="22"/>
        </w:rPr>
        <w:t xml:space="preserve">. </w:t>
      </w:r>
      <w:r w:rsidRPr="00480CFA" w:rsidR="00BE0A96">
        <w:rPr>
          <w:rFonts w:ascii="Calibri" w:hAnsi="Calibri" w:cs="Calibri"/>
          <w:sz w:val="22"/>
          <w:szCs w:val="22"/>
        </w:rPr>
        <w:t>[Accessed 1</w:t>
      </w:r>
      <w:r w:rsidRPr="00480CFA" w:rsidR="00DB3D98">
        <w:rPr>
          <w:rFonts w:ascii="Calibri" w:hAnsi="Calibri" w:cs="Calibri"/>
          <w:sz w:val="22"/>
          <w:szCs w:val="22"/>
        </w:rPr>
        <w:t>2</w:t>
      </w:r>
      <w:r w:rsidRPr="00480CFA" w:rsidR="00BE0A96">
        <w:rPr>
          <w:rFonts w:ascii="Calibri" w:hAnsi="Calibri" w:cs="Calibri"/>
          <w:sz w:val="22"/>
          <w:szCs w:val="22"/>
        </w:rPr>
        <w:t xml:space="preserve"> Apr. 2025].</w:t>
      </w:r>
    </w:p>
    <w:p w:rsidRPr="00480CFA" w:rsidR="00551A41" w:rsidP="0073515F" w:rsidRDefault="00551A41" w14:paraId="23FEF577" w14:textId="608F71F8">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McAvinchey</w:t>
      </w:r>
      <w:r w:rsidR="001813E5">
        <w:rPr>
          <w:rFonts w:ascii="Calibri" w:hAnsi="Calibri" w:cs="Calibri"/>
          <w:sz w:val="22"/>
          <w:szCs w:val="22"/>
        </w:rPr>
        <w:t>,</w:t>
      </w:r>
      <w:r w:rsidRPr="00480CFA">
        <w:rPr>
          <w:rFonts w:ascii="Calibri" w:hAnsi="Calibri" w:cs="Calibri"/>
          <w:sz w:val="22"/>
          <w:szCs w:val="22"/>
        </w:rPr>
        <w:t xml:space="preserve"> C. (2020). </w:t>
      </w:r>
      <w:r w:rsidRPr="00480CFA">
        <w:rPr>
          <w:rFonts w:ascii="Calibri" w:hAnsi="Calibri" w:cs="Calibri"/>
          <w:i/>
          <w:iCs/>
          <w:sz w:val="22"/>
          <w:szCs w:val="22"/>
        </w:rPr>
        <w:t>Applied Theatre: Women and the Criminal Justice System</w:t>
      </w:r>
      <w:r w:rsidRPr="00480CFA">
        <w:rPr>
          <w:rFonts w:ascii="Calibri" w:hAnsi="Calibri" w:cs="Calibri"/>
          <w:sz w:val="22"/>
          <w:szCs w:val="22"/>
        </w:rPr>
        <w:t xml:space="preserve">. </w:t>
      </w:r>
      <w:r w:rsidRPr="00480CFA">
        <w:rPr>
          <w:rFonts w:ascii="Calibri" w:hAnsi="Calibri" w:cs="Calibri"/>
          <w:i/>
          <w:iCs/>
          <w:sz w:val="22"/>
          <w:szCs w:val="22"/>
        </w:rPr>
        <w:t>Bloomsbury Publishing Plc eBooks</w:t>
      </w:r>
      <w:r w:rsidRPr="00480CFA">
        <w:rPr>
          <w:rFonts w:ascii="Calibri" w:hAnsi="Calibri" w:cs="Calibri"/>
          <w:sz w:val="22"/>
          <w:szCs w:val="22"/>
        </w:rPr>
        <w:t xml:space="preserve">. Bloomsbury Publishing plc. </w:t>
      </w:r>
      <w:r>
        <w:rPr>
          <w:rFonts w:ascii="Calibri" w:hAnsi="Calibri" w:cs="Calibri"/>
          <w:sz w:val="22"/>
          <w:szCs w:val="22"/>
        </w:rPr>
        <w:t>Doi</w:t>
      </w:r>
      <w:r w:rsidRPr="00480CFA">
        <w:rPr>
          <w:rFonts w:ascii="Calibri" w:hAnsi="Calibri" w:cs="Calibri"/>
          <w:sz w:val="22"/>
          <w:szCs w:val="22"/>
        </w:rPr>
        <w:t xml:space="preserve">: </w:t>
      </w:r>
      <w:hyperlink w:history="1" r:id="rId16">
        <w:r w:rsidRPr="00480CFA">
          <w:rPr>
            <w:rStyle w:val="Hyperlink"/>
            <w:rFonts w:ascii="Calibri" w:hAnsi="Calibri" w:cs="Calibri"/>
            <w:sz w:val="22"/>
            <w:szCs w:val="22"/>
          </w:rPr>
          <w:t>https://doi.org/10.5040/9781474262583</w:t>
        </w:r>
      </w:hyperlink>
      <w:r w:rsidRPr="00480CFA">
        <w:rPr>
          <w:rFonts w:ascii="Calibri" w:hAnsi="Calibri" w:cs="Calibri"/>
          <w:sz w:val="22"/>
          <w:szCs w:val="22"/>
        </w:rPr>
        <w:t>. [Accessed 6 Apr. 2025].</w:t>
      </w:r>
    </w:p>
    <w:p w:rsidR="00551A41" w:rsidP="0073515F" w:rsidRDefault="00551A41" w14:paraId="3446D5DD" w14:textId="41F02E92">
      <w:pPr>
        <w:pStyle w:val="NormalWeb"/>
        <w:spacing w:before="0" w:beforeAutospacing="0" w:after="0" w:afterAutospacing="0" w:line="360" w:lineRule="auto"/>
        <w:ind w:left="720" w:hanging="720"/>
        <w:contextualSpacing/>
        <w:jc w:val="both"/>
        <w:rPr>
          <w:rFonts w:ascii="Calibri" w:hAnsi="Calibri" w:cs="Calibri"/>
          <w:sz w:val="22"/>
          <w:szCs w:val="22"/>
        </w:rPr>
      </w:pPr>
    </w:p>
    <w:p w:rsidRPr="00480CFA" w:rsidR="00EF34F1" w:rsidP="00CD5E0B" w:rsidRDefault="00EF34F1" w14:paraId="34A07294" w14:textId="413B8C67">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 xml:space="preserve">Ministry of Justice (2024) </w:t>
      </w:r>
      <w:r w:rsidRPr="00480CFA">
        <w:rPr>
          <w:rFonts w:ascii="Calibri" w:hAnsi="Calibri" w:cs="Calibri"/>
          <w:i/>
          <w:iCs/>
          <w:sz w:val="22"/>
          <w:szCs w:val="22"/>
        </w:rPr>
        <w:t>Code of Practice for Victims of Crime in England and Wales (</w:t>
      </w:r>
      <w:r w:rsidR="001813E5">
        <w:rPr>
          <w:rFonts w:ascii="Calibri" w:hAnsi="Calibri" w:cs="Calibri"/>
          <w:i/>
          <w:iCs/>
          <w:sz w:val="22"/>
          <w:szCs w:val="22"/>
        </w:rPr>
        <w:t>Victims’</w:t>
      </w:r>
      <w:r w:rsidRPr="00480CFA">
        <w:rPr>
          <w:rFonts w:ascii="Calibri" w:hAnsi="Calibri" w:cs="Calibri"/>
          <w:i/>
          <w:iCs/>
          <w:sz w:val="22"/>
          <w:szCs w:val="22"/>
        </w:rPr>
        <w:t xml:space="preserve"> Code)</w:t>
      </w:r>
      <w:r w:rsidRPr="00480CFA">
        <w:rPr>
          <w:rFonts w:ascii="Calibri" w:hAnsi="Calibri" w:cs="Calibri"/>
          <w:sz w:val="22"/>
          <w:szCs w:val="22"/>
        </w:rPr>
        <w:t xml:space="preserve">. [online] GOV.UK. Available at: </w:t>
      </w:r>
      <w:hyperlink w:history="1" r:id="rId17">
        <w:r w:rsidRPr="00480CFA">
          <w:rPr>
            <w:rStyle w:val="Hyperlink"/>
            <w:rFonts w:ascii="Calibri" w:hAnsi="Calibri" w:cs="Calibri"/>
            <w:sz w:val="22"/>
            <w:szCs w:val="22"/>
          </w:rPr>
          <w:t>https://www.gov.uk/government/publications/the-code-of-practice-for-victims-of-crime/code-of-practice-for-victims-of-crime-in-england-and-wales-victims-code</w:t>
        </w:r>
      </w:hyperlink>
      <w:r w:rsidRPr="00480CFA" w:rsidR="00AD3BBC">
        <w:rPr>
          <w:rFonts w:ascii="Calibri" w:hAnsi="Calibri" w:cs="Calibri"/>
          <w:sz w:val="22"/>
          <w:szCs w:val="22"/>
        </w:rPr>
        <w:t xml:space="preserve"> </w:t>
      </w:r>
      <w:r w:rsidRPr="00480CFA">
        <w:rPr>
          <w:rFonts w:ascii="Calibri" w:hAnsi="Calibri" w:cs="Calibri"/>
          <w:sz w:val="22"/>
          <w:szCs w:val="22"/>
        </w:rPr>
        <w:t xml:space="preserve"> </w:t>
      </w:r>
      <w:r w:rsidRPr="00480CFA" w:rsidR="00BC1E23">
        <w:rPr>
          <w:rFonts w:ascii="Calibri" w:hAnsi="Calibri" w:cs="Calibri"/>
          <w:sz w:val="22"/>
          <w:szCs w:val="22"/>
        </w:rPr>
        <w:t xml:space="preserve">[Accessed </w:t>
      </w:r>
      <w:r w:rsidRPr="00480CFA" w:rsidR="00AD3BBC">
        <w:rPr>
          <w:rFonts w:ascii="Calibri" w:hAnsi="Calibri" w:cs="Calibri"/>
          <w:sz w:val="22"/>
          <w:szCs w:val="22"/>
        </w:rPr>
        <w:t>16 Apr. 2025].</w:t>
      </w:r>
    </w:p>
    <w:p w:rsidRPr="00480CFA" w:rsidR="00EF34F1" w:rsidP="0073515F" w:rsidRDefault="00EF34F1" w14:paraId="0A587A13" w14:textId="768B2AD3">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 xml:space="preserve">Rossetti, P., Mayes, A. and Moroz, A. (2017) </w:t>
      </w:r>
      <w:r w:rsidRPr="00480CFA">
        <w:rPr>
          <w:rFonts w:ascii="Calibri" w:hAnsi="Calibri" w:cs="Calibri"/>
          <w:i/>
          <w:iCs/>
          <w:sz w:val="22"/>
          <w:szCs w:val="22"/>
        </w:rPr>
        <w:t>Victim of the system 2 Victim of the system</w:t>
      </w:r>
      <w:r w:rsidRPr="00480CFA">
        <w:rPr>
          <w:rFonts w:ascii="Calibri" w:hAnsi="Calibri" w:cs="Calibri"/>
          <w:sz w:val="22"/>
          <w:szCs w:val="22"/>
        </w:rPr>
        <w:t xml:space="preserve">. [online] Available at: </w:t>
      </w:r>
      <w:hyperlink w:history="1" r:id="rId18">
        <w:r w:rsidRPr="00480CFA">
          <w:rPr>
            <w:rStyle w:val="Hyperlink"/>
            <w:rFonts w:ascii="Calibri" w:hAnsi="Calibri" w:cs="Calibri"/>
            <w:sz w:val="22"/>
            <w:szCs w:val="22"/>
          </w:rPr>
          <w:t>https://www.victimsupport.org.uk/wp-content/uploads/documents/files/Victim%20of%20the%20System%20report.pdf</w:t>
        </w:r>
      </w:hyperlink>
      <w:r w:rsidRPr="00480CFA">
        <w:rPr>
          <w:rFonts w:ascii="Calibri" w:hAnsi="Calibri" w:cs="Calibri"/>
          <w:sz w:val="22"/>
          <w:szCs w:val="22"/>
        </w:rPr>
        <w:t xml:space="preserve"> </w:t>
      </w:r>
      <w:r w:rsidRPr="00480CFA" w:rsidR="00BC1E23">
        <w:rPr>
          <w:rFonts w:ascii="Calibri" w:hAnsi="Calibri" w:cs="Calibri"/>
          <w:sz w:val="22"/>
          <w:szCs w:val="22"/>
        </w:rPr>
        <w:t>[Accessed 15 Apr. 2025].</w:t>
      </w:r>
    </w:p>
    <w:p w:rsidRPr="00480CFA" w:rsidR="00EF34F1" w:rsidP="0073515F" w:rsidRDefault="00EF34F1" w14:paraId="7F4FEA5D" w14:textId="6D107CB3">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 xml:space="preserve">Stainton, I., Ewin, R. and Blockley, T. (2025) </w:t>
      </w:r>
      <w:r w:rsidRPr="00480CFA">
        <w:rPr>
          <w:rFonts w:ascii="Calibri" w:hAnsi="Calibri" w:cs="Calibri"/>
          <w:i/>
          <w:iCs/>
          <w:sz w:val="22"/>
          <w:szCs w:val="22"/>
        </w:rPr>
        <w:t>Criminal Investigation.</w:t>
      </w:r>
      <w:r w:rsidRPr="00480CFA">
        <w:rPr>
          <w:rFonts w:ascii="Calibri" w:hAnsi="Calibri" w:cs="Calibri"/>
          <w:sz w:val="22"/>
          <w:szCs w:val="22"/>
        </w:rPr>
        <w:t xml:space="preserve"> </w:t>
      </w:r>
      <w:r w:rsidR="00FA14BA">
        <w:rPr>
          <w:rFonts w:ascii="Calibri" w:hAnsi="Calibri" w:cs="Calibri"/>
          <w:sz w:val="22"/>
          <w:szCs w:val="22"/>
        </w:rPr>
        <w:t>Doi</w:t>
      </w:r>
      <w:r w:rsidRPr="00480CFA">
        <w:rPr>
          <w:rFonts w:ascii="Calibri" w:hAnsi="Calibri" w:cs="Calibri"/>
          <w:sz w:val="22"/>
          <w:szCs w:val="22"/>
        </w:rPr>
        <w:t xml:space="preserve">: </w:t>
      </w:r>
      <w:hyperlink w:history="1" r:id="rId19">
        <w:r w:rsidRPr="00480CFA">
          <w:rPr>
            <w:rStyle w:val="Hyperlink"/>
            <w:rFonts w:ascii="Calibri" w:hAnsi="Calibri" w:cs="Calibri"/>
            <w:sz w:val="22"/>
            <w:szCs w:val="22"/>
          </w:rPr>
          <w:t>https://doi.org/10.4324/9781041054801</w:t>
        </w:r>
      </w:hyperlink>
      <w:r w:rsidRPr="00480CFA">
        <w:rPr>
          <w:rFonts w:ascii="Calibri" w:hAnsi="Calibri" w:cs="Calibri"/>
          <w:sz w:val="22"/>
          <w:szCs w:val="22"/>
        </w:rPr>
        <w:t xml:space="preserve">. </w:t>
      </w:r>
      <w:r w:rsidRPr="00480CFA" w:rsidR="00BC1E23">
        <w:rPr>
          <w:rFonts w:ascii="Calibri" w:hAnsi="Calibri" w:cs="Calibri"/>
          <w:sz w:val="22"/>
          <w:szCs w:val="22"/>
        </w:rPr>
        <w:t>[Accessed 14 Apr. 2025].</w:t>
      </w:r>
    </w:p>
    <w:p w:rsidRPr="00480CFA" w:rsidR="00EF34F1" w:rsidP="0073515F" w:rsidRDefault="00EF34F1" w14:paraId="37DEEC38" w14:textId="14C5D27B">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Sturge, G. (2023)</w:t>
      </w:r>
      <w:r w:rsidRPr="00480CFA" w:rsidR="00291412">
        <w:rPr>
          <w:rFonts w:ascii="Calibri" w:hAnsi="Calibri" w:cs="Calibri"/>
          <w:sz w:val="22"/>
          <w:szCs w:val="22"/>
        </w:rPr>
        <w:t xml:space="preserve">. </w:t>
      </w:r>
      <w:r w:rsidRPr="00480CFA">
        <w:rPr>
          <w:rFonts w:ascii="Calibri" w:hAnsi="Calibri" w:cs="Calibri"/>
          <w:i/>
          <w:iCs/>
          <w:sz w:val="22"/>
          <w:szCs w:val="22"/>
        </w:rPr>
        <w:t>Court Statistics for England and Wales.</w:t>
      </w:r>
      <w:r w:rsidRPr="00480CFA">
        <w:rPr>
          <w:rFonts w:ascii="Calibri" w:hAnsi="Calibri" w:cs="Calibri"/>
          <w:sz w:val="22"/>
          <w:szCs w:val="22"/>
        </w:rPr>
        <w:t xml:space="preserve"> [online] Available at: </w:t>
      </w:r>
      <w:hyperlink w:history="1" r:id="rId20">
        <w:r w:rsidRPr="00480CFA">
          <w:rPr>
            <w:rStyle w:val="Hyperlink"/>
            <w:rFonts w:ascii="Calibri" w:hAnsi="Calibri" w:cs="Calibri"/>
            <w:sz w:val="22"/>
            <w:szCs w:val="22"/>
          </w:rPr>
          <w:t>https://commonslibrary.parliament.uk/research-briefings/cbp-8372/</w:t>
        </w:r>
      </w:hyperlink>
      <w:r w:rsidRPr="00480CFA">
        <w:rPr>
          <w:rFonts w:ascii="Calibri" w:hAnsi="Calibri" w:cs="Calibri"/>
          <w:sz w:val="22"/>
          <w:szCs w:val="22"/>
        </w:rPr>
        <w:t>.</w:t>
      </w:r>
      <w:r w:rsidRPr="00480CFA" w:rsidR="003A25F3">
        <w:rPr>
          <w:rFonts w:ascii="Calibri" w:hAnsi="Calibri" w:cs="Calibri"/>
          <w:sz w:val="22"/>
          <w:szCs w:val="22"/>
        </w:rPr>
        <w:t xml:space="preserve"> [Accessed 9 Apr. 2025].</w:t>
      </w:r>
    </w:p>
    <w:p w:rsidRPr="00480CFA" w:rsidR="00EF34F1" w:rsidP="0073515F" w:rsidRDefault="00EF34F1" w14:paraId="7E18F2B0" w14:textId="446F2F73">
      <w:pPr>
        <w:pStyle w:val="NormalWeb"/>
        <w:spacing w:before="0" w:beforeAutospacing="0" w:after="0" w:afterAutospacing="0" w:line="360" w:lineRule="auto"/>
        <w:ind w:left="720" w:hanging="720"/>
        <w:contextualSpacing/>
        <w:jc w:val="both"/>
        <w:rPr>
          <w:rFonts w:ascii="Calibri" w:hAnsi="Calibri" w:cs="Calibri"/>
          <w:sz w:val="22"/>
          <w:szCs w:val="22"/>
        </w:rPr>
      </w:pPr>
      <w:r w:rsidRPr="00480CFA">
        <w:rPr>
          <w:rFonts w:ascii="Calibri" w:hAnsi="Calibri" w:cs="Calibri"/>
          <w:sz w:val="22"/>
          <w:szCs w:val="22"/>
        </w:rPr>
        <w:t xml:space="preserve">UK GOV (2023) </w:t>
      </w:r>
      <w:r w:rsidRPr="00480CFA">
        <w:rPr>
          <w:rFonts w:ascii="Calibri" w:hAnsi="Calibri" w:cs="Calibri"/>
          <w:i/>
          <w:iCs/>
          <w:sz w:val="22"/>
          <w:szCs w:val="22"/>
        </w:rPr>
        <w:t>Police and Criminal Evidence Act (1984) PACE – Code H (accessible)</w:t>
      </w:r>
      <w:r w:rsidRPr="00480CFA">
        <w:rPr>
          <w:rFonts w:ascii="Calibri" w:hAnsi="Calibri" w:cs="Calibri"/>
          <w:sz w:val="22"/>
          <w:szCs w:val="22"/>
        </w:rPr>
        <w:t xml:space="preserve">. [online] Available at: </w:t>
      </w:r>
      <w:hyperlink w:history="1" r:id="rId21">
        <w:r w:rsidRPr="00480CFA">
          <w:rPr>
            <w:rStyle w:val="Hyperlink"/>
            <w:rFonts w:ascii="Calibri" w:hAnsi="Calibri" w:cs="Calibri"/>
            <w:sz w:val="22"/>
            <w:szCs w:val="22"/>
          </w:rPr>
          <w:t>https://www.gov.uk/government/publications/revised-pace-code-h-2022/police-and-criminal-evidence-act-1984-pace-code-h-accessible</w:t>
        </w:r>
      </w:hyperlink>
      <w:r w:rsidRPr="00480CFA">
        <w:rPr>
          <w:rFonts w:ascii="Calibri" w:hAnsi="Calibri" w:cs="Calibri"/>
          <w:sz w:val="22"/>
          <w:szCs w:val="22"/>
        </w:rPr>
        <w:t xml:space="preserve">  [Accessed </w:t>
      </w:r>
      <w:r w:rsidRPr="00480CFA" w:rsidR="00F31E87">
        <w:rPr>
          <w:rFonts w:ascii="Calibri" w:hAnsi="Calibri" w:cs="Calibri"/>
          <w:sz w:val="22"/>
          <w:szCs w:val="22"/>
        </w:rPr>
        <w:t>1</w:t>
      </w:r>
      <w:r w:rsidRPr="00480CFA" w:rsidR="002955B5">
        <w:rPr>
          <w:rFonts w:ascii="Calibri" w:hAnsi="Calibri" w:cs="Calibri"/>
          <w:sz w:val="22"/>
          <w:szCs w:val="22"/>
        </w:rPr>
        <w:t>5</w:t>
      </w:r>
      <w:r w:rsidRPr="00480CFA" w:rsidR="00F31E87">
        <w:rPr>
          <w:rFonts w:ascii="Calibri" w:hAnsi="Calibri" w:cs="Calibri"/>
          <w:sz w:val="22"/>
          <w:szCs w:val="22"/>
        </w:rPr>
        <w:t xml:space="preserve"> Apr. 2025</w:t>
      </w:r>
      <w:r w:rsidRPr="00480CFA">
        <w:rPr>
          <w:rFonts w:ascii="Calibri" w:hAnsi="Calibri" w:cs="Calibri"/>
          <w:sz w:val="22"/>
          <w:szCs w:val="22"/>
        </w:rPr>
        <w:t>].</w:t>
      </w:r>
    </w:p>
    <w:p w:rsidRPr="00194E93" w:rsidR="00EF34F1" w:rsidP="0073515F" w:rsidRDefault="00551A41" w14:paraId="1E233BAE" w14:textId="33820DCA">
      <w:pPr>
        <w:spacing w:line="360" w:lineRule="auto"/>
        <w:ind w:left="720" w:hanging="720"/>
        <w:contextualSpacing/>
        <w:jc w:val="both"/>
        <w:rPr>
          <w:rFonts w:ascii="Calibri" w:hAnsi="Calibri" w:cs="Calibri"/>
          <w:i/>
          <w:iCs/>
          <w:sz w:val="22"/>
          <w:szCs w:val="22"/>
        </w:rPr>
      </w:pPr>
      <w:r w:rsidRPr="00551A41">
        <w:rPr>
          <w:rFonts w:ascii="Calibri" w:hAnsi="Calibri" w:cs="Calibri"/>
          <w:sz w:val="22"/>
          <w:szCs w:val="22"/>
        </w:rPr>
        <w:t xml:space="preserve">Wood D. et al. (2024). </w:t>
      </w:r>
      <w:r w:rsidRPr="00194E93">
        <w:rPr>
          <w:rFonts w:ascii="Calibri" w:hAnsi="Calibri" w:cs="Calibri"/>
          <w:i/>
          <w:iCs/>
          <w:sz w:val="22"/>
          <w:szCs w:val="22"/>
        </w:rPr>
        <w:t>Blackstone’s Handbook for Policing Students</w:t>
      </w:r>
      <w:r w:rsidRPr="00551A41">
        <w:rPr>
          <w:rFonts w:ascii="Calibri" w:hAnsi="Calibri" w:cs="Calibri"/>
          <w:sz w:val="22"/>
          <w:szCs w:val="22"/>
        </w:rPr>
        <w:t xml:space="preserve">. 18th Edition. </w:t>
      </w:r>
      <w:r w:rsidRPr="00194E93">
        <w:rPr>
          <w:rFonts w:ascii="Calibri" w:hAnsi="Calibri" w:cs="Calibri"/>
          <w:i/>
          <w:iCs/>
          <w:sz w:val="22"/>
          <w:szCs w:val="22"/>
        </w:rPr>
        <w:t>Publisher Oxford University Press, Oxford.</w:t>
      </w:r>
    </w:p>
    <w:p w:rsidRPr="00194E93" w:rsidR="00551A41" w:rsidP="0073515F" w:rsidRDefault="00551A41" w14:paraId="238A9F1A" w14:textId="2E08EFD3">
      <w:pPr>
        <w:spacing w:line="360" w:lineRule="auto"/>
        <w:ind w:left="720" w:hanging="720"/>
        <w:contextualSpacing/>
        <w:jc w:val="both"/>
        <w:rPr>
          <w:rFonts w:ascii="Calibri" w:hAnsi="Calibri" w:cs="Calibri"/>
          <w:i/>
          <w:iCs/>
          <w:sz w:val="22"/>
          <w:szCs w:val="22"/>
        </w:rPr>
      </w:pPr>
      <w:r w:rsidRPr="00551A41">
        <w:rPr>
          <w:rFonts w:ascii="Calibri" w:hAnsi="Calibri" w:cs="Calibri"/>
          <w:sz w:val="22"/>
          <w:szCs w:val="22"/>
        </w:rPr>
        <w:t xml:space="preserve">Wood D. et al. (2021). </w:t>
      </w:r>
      <w:r w:rsidRPr="00194E93">
        <w:rPr>
          <w:rFonts w:ascii="Calibri" w:hAnsi="Calibri" w:cs="Calibri"/>
          <w:i/>
          <w:iCs/>
          <w:sz w:val="22"/>
          <w:szCs w:val="22"/>
        </w:rPr>
        <w:t>Blackstone’s Handbook for Policing Students</w:t>
      </w:r>
      <w:r w:rsidRPr="00551A41">
        <w:rPr>
          <w:rFonts w:ascii="Calibri" w:hAnsi="Calibri" w:cs="Calibri"/>
          <w:sz w:val="22"/>
          <w:szCs w:val="22"/>
        </w:rPr>
        <w:t xml:space="preserve">. </w:t>
      </w:r>
      <w:r w:rsidRPr="00194E93">
        <w:rPr>
          <w:rFonts w:ascii="Calibri" w:hAnsi="Calibri" w:cs="Calibri"/>
          <w:i/>
          <w:iCs/>
          <w:sz w:val="22"/>
          <w:szCs w:val="22"/>
        </w:rPr>
        <w:t>16th Edition. Publisher Oxford University Press, Oxford.</w:t>
      </w:r>
    </w:p>
    <w:p w:rsidRPr="00194E93" w:rsidR="00EF34F1" w:rsidP="00EF34F1" w:rsidRDefault="00EF34F1" w14:paraId="48B551DC" w14:textId="77777777">
      <w:pPr>
        <w:spacing w:line="480" w:lineRule="auto"/>
        <w:rPr>
          <w:rFonts w:ascii="Calibri" w:hAnsi="Calibri" w:cs="Calibri"/>
          <w:i/>
          <w:iCs/>
          <w:sz w:val="22"/>
          <w:szCs w:val="22"/>
        </w:rPr>
      </w:pPr>
    </w:p>
    <w:p w:rsidRPr="00480CFA" w:rsidR="00EF34F1" w:rsidP="00EF34F1" w:rsidRDefault="00EF34F1" w14:paraId="6F1241FB" w14:textId="77777777">
      <w:pPr>
        <w:spacing w:line="480" w:lineRule="auto"/>
        <w:rPr>
          <w:rFonts w:ascii="Calibri" w:hAnsi="Calibri" w:cs="Calibri"/>
          <w:sz w:val="22"/>
          <w:szCs w:val="22"/>
        </w:rPr>
      </w:pPr>
    </w:p>
    <w:p w:rsidRPr="00480CFA" w:rsidR="00EF34F1" w:rsidP="00EF34F1" w:rsidRDefault="00EF34F1" w14:paraId="2A7A2AF4" w14:textId="77777777">
      <w:pPr>
        <w:spacing w:line="480" w:lineRule="auto"/>
        <w:rPr>
          <w:rFonts w:ascii="Calibri" w:hAnsi="Calibri" w:cs="Calibri"/>
          <w:sz w:val="22"/>
          <w:szCs w:val="22"/>
        </w:rPr>
      </w:pPr>
    </w:p>
    <w:p w:rsidR="00B31AE4" w:rsidRDefault="00B31AE4" w14:paraId="388BAAF2" w14:textId="77777777"/>
    <w:sectPr w:rsidR="00B31AE4" w:rsidSect="00954045">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2A1"/>
    <w:multiLevelType w:val="hybridMultilevel"/>
    <w:tmpl w:val="1A12888C"/>
    <w:lvl w:ilvl="0" w:tplc="E4E01E66">
      <w:start w:val="1"/>
      <w:numFmt w:val="bullet"/>
      <w:lvlText w:val=""/>
      <w:lvlJc w:val="left"/>
      <w:pPr>
        <w:tabs>
          <w:tab w:val="num" w:pos="720"/>
        </w:tabs>
        <w:ind w:left="720" w:hanging="360"/>
      </w:pPr>
      <w:rPr>
        <w:rFonts w:hint="default" w:ascii="Wingdings" w:hAnsi="Wingdings"/>
      </w:rPr>
    </w:lvl>
    <w:lvl w:ilvl="1" w:tplc="8F0E8A60" w:tentative="1">
      <w:start w:val="1"/>
      <w:numFmt w:val="bullet"/>
      <w:lvlText w:val=""/>
      <w:lvlJc w:val="left"/>
      <w:pPr>
        <w:tabs>
          <w:tab w:val="num" w:pos="1440"/>
        </w:tabs>
        <w:ind w:left="1440" w:hanging="360"/>
      </w:pPr>
      <w:rPr>
        <w:rFonts w:hint="default" w:ascii="Wingdings" w:hAnsi="Wingdings"/>
      </w:rPr>
    </w:lvl>
    <w:lvl w:ilvl="2" w:tplc="2C366F9A" w:tentative="1">
      <w:start w:val="1"/>
      <w:numFmt w:val="bullet"/>
      <w:lvlText w:val=""/>
      <w:lvlJc w:val="left"/>
      <w:pPr>
        <w:tabs>
          <w:tab w:val="num" w:pos="2160"/>
        </w:tabs>
        <w:ind w:left="2160" w:hanging="360"/>
      </w:pPr>
      <w:rPr>
        <w:rFonts w:hint="default" w:ascii="Wingdings" w:hAnsi="Wingdings"/>
      </w:rPr>
    </w:lvl>
    <w:lvl w:ilvl="3" w:tplc="E4BC84F2" w:tentative="1">
      <w:start w:val="1"/>
      <w:numFmt w:val="bullet"/>
      <w:lvlText w:val=""/>
      <w:lvlJc w:val="left"/>
      <w:pPr>
        <w:tabs>
          <w:tab w:val="num" w:pos="2880"/>
        </w:tabs>
        <w:ind w:left="2880" w:hanging="360"/>
      </w:pPr>
      <w:rPr>
        <w:rFonts w:hint="default" w:ascii="Wingdings" w:hAnsi="Wingdings"/>
      </w:rPr>
    </w:lvl>
    <w:lvl w:ilvl="4" w:tplc="9D069A32" w:tentative="1">
      <w:start w:val="1"/>
      <w:numFmt w:val="bullet"/>
      <w:lvlText w:val=""/>
      <w:lvlJc w:val="left"/>
      <w:pPr>
        <w:tabs>
          <w:tab w:val="num" w:pos="3600"/>
        </w:tabs>
        <w:ind w:left="3600" w:hanging="360"/>
      </w:pPr>
      <w:rPr>
        <w:rFonts w:hint="default" w:ascii="Wingdings" w:hAnsi="Wingdings"/>
      </w:rPr>
    </w:lvl>
    <w:lvl w:ilvl="5" w:tplc="D994B0D0" w:tentative="1">
      <w:start w:val="1"/>
      <w:numFmt w:val="bullet"/>
      <w:lvlText w:val=""/>
      <w:lvlJc w:val="left"/>
      <w:pPr>
        <w:tabs>
          <w:tab w:val="num" w:pos="4320"/>
        </w:tabs>
        <w:ind w:left="4320" w:hanging="360"/>
      </w:pPr>
      <w:rPr>
        <w:rFonts w:hint="default" w:ascii="Wingdings" w:hAnsi="Wingdings"/>
      </w:rPr>
    </w:lvl>
    <w:lvl w:ilvl="6" w:tplc="B77CB88A" w:tentative="1">
      <w:start w:val="1"/>
      <w:numFmt w:val="bullet"/>
      <w:lvlText w:val=""/>
      <w:lvlJc w:val="left"/>
      <w:pPr>
        <w:tabs>
          <w:tab w:val="num" w:pos="5040"/>
        </w:tabs>
        <w:ind w:left="5040" w:hanging="360"/>
      </w:pPr>
      <w:rPr>
        <w:rFonts w:hint="default" w:ascii="Wingdings" w:hAnsi="Wingdings"/>
      </w:rPr>
    </w:lvl>
    <w:lvl w:ilvl="7" w:tplc="3A3ED61C" w:tentative="1">
      <w:start w:val="1"/>
      <w:numFmt w:val="bullet"/>
      <w:lvlText w:val=""/>
      <w:lvlJc w:val="left"/>
      <w:pPr>
        <w:tabs>
          <w:tab w:val="num" w:pos="5760"/>
        </w:tabs>
        <w:ind w:left="5760" w:hanging="360"/>
      </w:pPr>
      <w:rPr>
        <w:rFonts w:hint="default" w:ascii="Wingdings" w:hAnsi="Wingdings"/>
      </w:rPr>
    </w:lvl>
    <w:lvl w:ilvl="8" w:tplc="ADC4D170" w:tentative="1">
      <w:start w:val="1"/>
      <w:numFmt w:val="bullet"/>
      <w:lvlText w:val=""/>
      <w:lvlJc w:val="left"/>
      <w:pPr>
        <w:tabs>
          <w:tab w:val="num" w:pos="6480"/>
        </w:tabs>
        <w:ind w:left="6480" w:hanging="360"/>
      </w:pPr>
      <w:rPr>
        <w:rFonts w:hint="default" w:ascii="Wingdings" w:hAnsi="Wingdings"/>
      </w:rPr>
    </w:lvl>
  </w:abstractNum>
  <w:num w:numId="1" w16cid:durableId="76121761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n-GB" w:vendorID="64" w:dllVersion="0" w:nlCheck="1" w:checkStyle="0" w:appName="MSWord"/>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4F1"/>
    <w:rsid w:val="00067EC5"/>
    <w:rsid w:val="00073D20"/>
    <w:rsid w:val="00084C6A"/>
    <w:rsid w:val="000C073C"/>
    <w:rsid w:val="00102D6E"/>
    <w:rsid w:val="001168E3"/>
    <w:rsid w:val="00132631"/>
    <w:rsid w:val="001371CC"/>
    <w:rsid w:val="001813E5"/>
    <w:rsid w:val="00194E93"/>
    <w:rsid w:val="001C396B"/>
    <w:rsid w:val="002539C3"/>
    <w:rsid w:val="0027467D"/>
    <w:rsid w:val="00291412"/>
    <w:rsid w:val="002955B5"/>
    <w:rsid w:val="002F304D"/>
    <w:rsid w:val="00354E78"/>
    <w:rsid w:val="00374085"/>
    <w:rsid w:val="00376514"/>
    <w:rsid w:val="003820AE"/>
    <w:rsid w:val="00383E1C"/>
    <w:rsid w:val="003A25F3"/>
    <w:rsid w:val="003C23D5"/>
    <w:rsid w:val="00400A9F"/>
    <w:rsid w:val="00480CFA"/>
    <w:rsid w:val="004E3FAA"/>
    <w:rsid w:val="00551A41"/>
    <w:rsid w:val="00563820"/>
    <w:rsid w:val="00581E15"/>
    <w:rsid w:val="005C6874"/>
    <w:rsid w:val="005F4C8A"/>
    <w:rsid w:val="00640E06"/>
    <w:rsid w:val="00642A15"/>
    <w:rsid w:val="006517A5"/>
    <w:rsid w:val="00734E7B"/>
    <w:rsid w:val="0073515F"/>
    <w:rsid w:val="007B4304"/>
    <w:rsid w:val="007C459B"/>
    <w:rsid w:val="00863238"/>
    <w:rsid w:val="008677FD"/>
    <w:rsid w:val="008971B3"/>
    <w:rsid w:val="008D6E64"/>
    <w:rsid w:val="0094199D"/>
    <w:rsid w:val="00954045"/>
    <w:rsid w:val="00966E80"/>
    <w:rsid w:val="009D7B13"/>
    <w:rsid w:val="009E659A"/>
    <w:rsid w:val="00A56F0F"/>
    <w:rsid w:val="00A85303"/>
    <w:rsid w:val="00A87F39"/>
    <w:rsid w:val="00AD3BBC"/>
    <w:rsid w:val="00B31AE4"/>
    <w:rsid w:val="00B32249"/>
    <w:rsid w:val="00B5186A"/>
    <w:rsid w:val="00BC1E23"/>
    <w:rsid w:val="00BE0A96"/>
    <w:rsid w:val="00C07B28"/>
    <w:rsid w:val="00C347CF"/>
    <w:rsid w:val="00C4213E"/>
    <w:rsid w:val="00CD5E0B"/>
    <w:rsid w:val="00D07255"/>
    <w:rsid w:val="00DB3D98"/>
    <w:rsid w:val="00E37BC9"/>
    <w:rsid w:val="00E47E73"/>
    <w:rsid w:val="00E67EF8"/>
    <w:rsid w:val="00E844D7"/>
    <w:rsid w:val="00EF34F1"/>
    <w:rsid w:val="00F24159"/>
    <w:rsid w:val="00F31E87"/>
    <w:rsid w:val="00F40A88"/>
    <w:rsid w:val="00FA03BA"/>
    <w:rsid w:val="00FA14BA"/>
    <w:rsid w:val="18518B0B"/>
    <w:rsid w:val="1EADC410"/>
    <w:rsid w:val="226EEE57"/>
    <w:rsid w:val="5867FE2C"/>
    <w:rsid w:val="6C270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768C9"/>
  <w15:chartTrackingRefBased/>
  <w15:docId w15:val="{DAFF3458-942E-4DEB-A99E-7BAC8DEC0F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F34F1"/>
    <w:pPr>
      <w:spacing w:line="278" w:lineRule="auto"/>
    </w:pPr>
    <w:rPr>
      <w:sz w:val="24"/>
      <w:szCs w:val="24"/>
    </w:rPr>
  </w:style>
  <w:style w:type="paragraph" w:styleId="Heading1">
    <w:name w:val="heading 1"/>
    <w:basedOn w:val="Normal"/>
    <w:next w:val="Normal"/>
    <w:link w:val="Heading1Char"/>
    <w:uiPriority w:val="9"/>
    <w:qFormat/>
    <w:rsid w:val="00EF34F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34F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34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34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34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34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34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4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4F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F34F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F34F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F34F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F34F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F34F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F34F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F34F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F34F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F34F1"/>
    <w:rPr>
      <w:rFonts w:eastAsiaTheme="majorEastAsia" w:cstheme="majorBidi"/>
      <w:color w:val="272727" w:themeColor="text1" w:themeTint="D8"/>
    </w:rPr>
  </w:style>
  <w:style w:type="paragraph" w:styleId="Title">
    <w:name w:val="Title"/>
    <w:basedOn w:val="Normal"/>
    <w:next w:val="Normal"/>
    <w:link w:val="TitleChar"/>
    <w:uiPriority w:val="10"/>
    <w:qFormat/>
    <w:rsid w:val="00EF34F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F34F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F34F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F34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4F1"/>
    <w:pPr>
      <w:spacing w:before="160"/>
      <w:jc w:val="center"/>
    </w:pPr>
    <w:rPr>
      <w:i/>
      <w:iCs/>
      <w:color w:val="404040" w:themeColor="text1" w:themeTint="BF"/>
    </w:rPr>
  </w:style>
  <w:style w:type="character" w:styleId="QuoteChar" w:customStyle="1">
    <w:name w:val="Quote Char"/>
    <w:basedOn w:val="DefaultParagraphFont"/>
    <w:link w:val="Quote"/>
    <w:uiPriority w:val="29"/>
    <w:rsid w:val="00EF34F1"/>
    <w:rPr>
      <w:i/>
      <w:iCs/>
      <w:color w:val="404040" w:themeColor="text1" w:themeTint="BF"/>
    </w:rPr>
  </w:style>
  <w:style w:type="paragraph" w:styleId="ListParagraph">
    <w:name w:val="List Paragraph"/>
    <w:basedOn w:val="Normal"/>
    <w:uiPriority w:val="34"/>
    <w:qFormat/>
    <w:rsid w:val="00EF34F1"/>
    <w:pPr>
      <w:ind w:left="720"/>
      <w:contextualSpacing/>
    </w:pPr>
  </w:style>
  <w:style w:type="character" w:styleId="IntenseEmphasis">
    <w:name w:val="Intense Emphasis"/>
    <w:basedOn w:val="DefaultParagraphFont"/>
    <w:uiPriority w:val="21"/>
    <w:qFormat/>
    <w:rsid w:val="00EF34F1"/>
    <w:rPr>
      <w:i/>
      <w:iCs/>
      <w:color w:val="0F4761" w:themeColor="accent1" w:themeShade="BF"/>
    </w:rPr>
  </w:style>
  <w:style w:type="paragraph" w:styleId="IntenseQuote">
    <w:name w:val="Intense Quote"/>
    <w:basedOn w:val="Normal"/>
    <w:next w:val="Normal"/>
    <w:link w:val="IntenseQuoteChar"/>
    <w:uiPriority w:val="30"/>
    <w:qFormat/>
    <w:rsid w:val="00EF34F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F34F1"/>
    <w:rPr>
      <w:i/>
      <w:iCs/>
      <w:color w:val="0F4761" w:themeColor="accent1" w:themeShade="BF"/>
    </w:rPr>
  </w:style>
  <w:style w:type="character" w:styleId="IntenseReference">
    <w:name w:val="Intense Reference"/>
    <w:basedOn w:val="DefaultParagraphFont"/>
    <w:uiPriority w:val="32"/>
    <w:qFormat/>
    <w:rsid w:val="00EF34F1"/>
    <w:rPr>
      <w:b/>
      <w:bCs/>
      <w:smallCaps/>
      <w:color w:val="0F4761" w:themeColor="accent1" w:themeShade="BF"/>
      <w:spacing w:val="5"/>
    </w:rPr>
  </w:style>
  <w:style w:type="character" w:styleId="Hyperlink">
    <w:name w:val="Hyperlink"/>
    <w:basedOn w:val="DefaultParagraphFont"/>
    <w:uiPriority w:val="99"/>
    <w:unhideWhenUsed/>
    <w:rsid w:val="00EF34F1"/>
    <w:rPr>
      <w:color w:val="467886" w:themeColor="hyperlink"/>
      <w:u w:val="single"/>
    </w:rPr>
  </w:style>
  <w:style w:type="paragraph" w:styleId="NormalWeb">
    <w:name w:val="Normal (Web)"/>
    <w:basedOn w:val="Normal"/>
    <w:uiPriority w:val="99"/>
    <w:semiHidden/>
    <w:unhideWhenUsed/>
    <w:rsid w:val="00EF34F1"/>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UnresolvedMention">
    <w:name w:val="Unresolved Mention"/>
    <w:basedOn w:val="DefaultParagraphFont"/>
    <w:uiPriority w:val="99"/>
    <w:semiHidden/>
    <w:unhideWhenUsed/>
    <w:rsid w:val="003A25F3"/>
    <w:rPr>
      <w:color w:val="605E5C"/>
      <w:shd w:val="clear" w:color="auto" w:fill="E1DFDD"/>
    </w:rPr>
  </w:style>
  <w:style w:type="paragraph" w:styleId="NoSpacing">
    <w:name w:val="No Spacing"/>
    <w:link w:val="NoSpacingChar"/>
    <w:uiPriority w:val="1"/>
    <w:qFormat/>
    <w:rsid w:val="00954045"/>
    <w:pPr>
      <w:spacing w:after="0" w:line="240" w:lineRule="auto"/>
    </w:pPr>
    <w:rPr>
      <w:rFonts w:eastAsiaTheme="minorEastAsia"/>
      <w:kern w:val="0"/>
      <w:lang w:eastAsia="en-GB"/>
      <w14:ligatures w14:val="none"/>
    </w:rPr>
  </w:style>
  <w:style w:type="character" w:styleId="NoSpacingChar" w:customStyle="1">
    <w:name w:val="No Spacing Char"/>
    <w:basedOn w:val="DefaultParagraphFont"/>
    <w:link w:val="NoSpacing"/>
    <w:uiPriority w:val="1"/>
    <w:rsid w:val="00954045"/>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7320874">
      <w:bodyDiv w:val="1"/>
      <w:marLeft w:val="0"/>
      <w:marRight w:val="0"/>
      <w:marTop w:val="0"/>
      <w:marBottom w:val="0"/>
      <w:divBdr>
        <w:top w:val="none" w:sz="0" w:space="0" w:color="auto"/>
        <w:left w:val="none" w:sz="0" w:space="0" w:color="auto"/>
        <w:bottom w:val="none" w:sz="0" w:space="0" w:color="auto"/>
        <w:right w:val="none" w:sz="0" w:space="0" w:color="auto"/>
      </w:divBdr>
      <w:divsChild>
        <w:div w:id="98103997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assets.publishing.service.gov.uk/media/5bbca235ed915d23aa4c2e2d/victim-strategy.pdf" TargetMode="External" Id="rId13" /><Relationship Type="http://schemas.openxmlformats.org/officeDocument/2006/relationships/hyperlink" Target="https://www.victimsupport.org.uk/wp-content/uploads/documents/files/Victim%20of%20the%20System%20report.pdf" TargetMode="External" Id="rId18" /><Relationship Type="http://schemas.openxmlformats.org/officeDocument/2006/relationships/customXml" Target="../customXml/item3.xml" Id="rId3" /><Relationship Type="http://schemas.openxmlformats.org/officeDocument/2006/relationships/hyperlink" Target="https://www.gov.uk/government/publications/revised-pace-code-h-2022/police-and-criminal-evidence-act-1984-pace-code-h-accessible" TargetMode="External" Id="rId21" /><Relationship Type="http://schemas.openxmlformats.org/officeDocument/2006/relationships/settings" Target="settings.xml" Id="rId7" /><Relationship Type="http://schemas.openxmlformats.org/officeDocument/2006/relationships/hyperlink" Target="https://www.cps.gov.uk/crown-prosecution-service" TargetMode="External" Id="rId12" /><Relationship Type="http://schemas.openxmlformats.org/officeDocument/2006/relationships/hyperlink" Target="https://www.gov.uk/government/publications/the-code-of-practice-for-victims-of-crime/code-of-practice-for-victims-of-crime-in-england-and-wales-victims-code" TargetMode="External" Id="rId17" /><Relationship Type="http://schemas.openxmlformats.org/officeDocument/2006/relationships/customXml" Target="../customXml/item2.xml" Id="rId2" /><Relationship Type="http://schemas.openxmlformats.org/officeDocument/2006/relationships/hyperlink" Target="https://doi.org/10.5040/9781474262583" TargetMode="External" Id="rId16" /><Relationship Type="http://schemas.openxmlformats.org/officeDocument/2006/relationships/hyperlink" Target="https://commonslibrary.parliament.uk/research-briefings/cbp-8372/"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books.google.co.uk/" TargetMode="External" Id="rId11" /><Relationship Type="http://schemas.openxmlformats.org/officeDocument/2006/relationships/numbering" Target="numbering.xml" Id="rId5" /><Relationship Type="http://schemas.openxmlformats.org/officeDocument/2006/relationships/hyperlink" Target="https://www.libertyhumanrights.org.uk/advice_information/police-powers-of-arrest-2/" TargetMode="External" Id="rId15" /><Relationship Type="http://schemas.openxmlformats.org/officeDocument/2006/relationships/theme" Target="theme/theme1.xml" Id="rId23" /><Relationship Type="http://schemas.openxmlformats.org/officeDocument/2006/relationships/hyperlink" Target="https://www.college.police.uk/app/detention-and-custody/response-arrest-and-detention" TargetMode="External" Id="rId10" /><Relationship Type="http://schemas.openxmlformats.org/officeDocument/2006/relationships/hyperlink" Target="https://doi.org/10.4324/9781041054801" TargetMode="External" Id="rId19" /><Relationship Type="http://schemas.openxmlformats.org/officeDocument/2006/relationships/customXml" Target="../customXml/item4.xml" Id="rId4" /><Relationship Type="http://schemas.openxmlformats.org/officeDocument/2006/relationships/hyperlink" Target="https://www.womensaid.org.uk/annual-audit-2024/" TargetMode="External" Id="rId9" /><Relationship Type="http://schemas.openxmlformats.org/officeDocument/2006/relationships/hyperlink" Target="https://hmicfrs.justiceinspectorates.gov.uk/our-work/article/rape-and-sexual-violence/" TargetMode="External" Id="rId14" /><Relationship Type="http://schemas.openxmlformats.org/officeDocument/2006/relationships/fontTable" Target="fontTable.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b1ffacba106e42e31661c9ca51d9000b">
  <xsd:schema xmlns:xsd="http://www.w3.org/2001/XMLSchema" xmlns:xs="http://www.w3.org/2001/XMLSchema" xmlns:p="http://schemas.microsoft.com/office/2006/metadata/properties" xmlns:ns3="bf244c3e-e0b4-4871-bb4e-fd032a14544d" targetNamespace="http://schemas.microsoft.com/office/2006/metadata/properties" ma:root="true" ma:fieldsID="09d509b7d843135d799fe57efd5d9d8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8705DD-5D89-4547-867B-43053446B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D9F93E-74A9-4D1F-8A55-16F0E0AD2976}">
  <ds:schemaRefs>
    <ds:schemaRef ds:uri="http://schemas.microsoft.com/sharepoint/v3/contenttype/forms"/>
  </ds:schemaRefs>
</ds:datastoreItem>
</file>

<file path=customXml/itemProps4.xml><?xml version="1.0" encoding="utf-8"?>
<ds:datastoreItem xmlns:ds="http://schemas.openxmlformats.org/officeDocument/2006/customXml" ds:itemID="{8B0BEC72-EBFF-43CB-91CD-0F27F8256895}">
  <ds:schemaRefs>
    <ds:schemaRef ds:uri="http://schemas.microsoft.com/office/infopath/2007/PartnerControls"/>
    <ds:schemaRef ds:uri="http://purl.org/dc/dcmitype/"/>
    <ds:schemaRef ds:uri="http://purl.org/dc/elements/1.1/"/>
    <ds:schemaRef ds:uri="http://schemas.openxmlformats.org/package/2006/metadata/core-properties"/>
    <ds:schemaRef ds:uri="http://www.w3.org/XML/1998/namespace"/>
    <ds:schemaRef ds:uri="http://schemas.microsoft.com/office/2006/documentManagement/types"/>
    <ds:schemaRef ds:uri="bf244c3e-e0b4-4871-bb4e-fd032a14544d"/>
    <ds:schemaRef ds:uri="http://schemas.microsoft.com/office/2006/metadata/properties"/>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ARREST POWER AND PROCEDURES OPTION</dc:title>
  <dc:subject>Evaluate the balance of both the victim's and suspect's journeys through the criminal justice process.</dc:subject>
  <dc:creator>Mirela Grosu</dc:creator>
  <keywords/>
  <dc:description/>
  <lastModifiedBy>Alina Dana Chitu Ispas (1914672)</lastModifiedBy>
  <revision>7</revision>
  <dcterms:created xsi:type="dcterms:W3CDTF">2025-04-25T10:58:00.0000000Z</dcterms:created>
  <dcterms:modified xsi:type="dcterms:W3CDTF">2025-04-25T11:13:10.5186163Z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08e05a29-f903-424c-95e7-2f1cf98dfd71</vt:lpwstr>
  </property>
  <property fmtid="{D5CDD505-2E9C-101B-9397-08002B2CF9AE}" pid="3" name="ContentTypeId">
    <vt:lpwstr>0x010100885BDE7C2597694E9B52267909D130AC</vt:lpwstr>
  </property>
</Properties>
</file>