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DFDBE14" wp14:paraId="398FD0FC" wp14:textId="234E2127">
      <w:pPr>
        <w:pStyle w:val="Heading3"/>
        <w:shd w:val="clear" w:color="auto" w:fill="FFFFFF" w:themeFill="background1"/>
        <w:spacing w:before="480" w:beforeAutospacing="off" w:after="240" w:afterAutospacing="off" w:line="450" w:lineRule="auto"/>
      </w:pPr>
      <w:r w:rsidRPr="3DFDBE14" w:rsidR="72461EA1">
        <w:rPr>
          <w:rFonts w:ascii="system-ui" w:hAnsi="system-ui" w:eastAsia="system-ui" w:cs="system-ui"/>
          <w:b w:val="1"/>
          <w:bCs w:val="1"/>
          <w:i w:val="0"/>
          <w:iCs w:val="0"/>
          <w:caps w:val="0"/>
          <w:smallCaps w:val="0"/>
          <w:noProof w:val="0"/>
          <w:color w:val="0F1115"/>
          <w:sz w:val="30"/>
          <w:szCs w:val="30"/>
          <w:lang w:val="en-US"/>
        </w:rPr>
        <w:t>Explanation of Significant Year-on-Year Changes</w:t>
      </w:r>
    </w:p>
    <w:p xmlns:wp14="http://schemas.microsoft.com/office/word/2010/wordml" w:rsidP="3DFDBE14" wp14:paraId="57D4D95B" wp14:textId="6920D465">
      <w:pPr>
        <w:shd w:val="clear" w:color="auto" w:fill="FFFFFF" w:themeFill="background1"/>
        <w:spacing w:before="240" w:beforeAutospacing="off" w:after="240" w:afterAutospacing="off"/>
      </w:pPr>
      <w:r w:rsidRPr="3DFDBE14" w:rsidR="72461EA1">
        <w:rPr>
          <w:rFonts w:ascii="system-ui" w:hAnsi="system-ui" w:eastAsia="system-ui" w:cs="system-ui"/>
          <w:b w:val="0"/>
          <w:bCs w:val="0"/>
          <w:i w:val="0"/>
          <w:iCs w:val="0"/>
          <w:caps w:val="0"/>
          <w:smallCaps w:val="0"/>
          <w:noProof w:val="0"/>
          <w:color w:val="0F1115"/>
          <w:sz w:val="24"/>
          <w:szCs w:val="24"/>
          <w:lang w:val="en-US"/>
        </w:rPr>
        <w:t>The CCC for Mitchells &amp; Butlers has consistently been negative, indicating that the business effectively operates using its suppliers' cash to finance its inventory, a common characteristic of the hospitality industry.</w:t>
      </w:r>
    </w:p>
    <w:p xmlns:wp14="http://schemas.microsoft.com/office/word/2010/wordml" w:rsidP="3DFDBE14" wp14:paraId="2C04311A" wp14:textId="7E0BA854">
      <w:pPr>
        <w:pStyle w:val="ListParagraph"/>
        <w:numPr>
          <w:ilvl w:val="0"/>
          <w:numId w:val="1"/>
        </w:numPr>
        <w:shd w:val="clear" w:color="auto" w:fill="FFFFFF" w:themeFill="background1"/>
        <w:spacing w:before="0" w:beforeAutospacing="off" w:after="120" w:afterAutospacing="off"/>
        <w:rPr>
          <w:rFonts w:ascii="system-ui" w:hAnsi="system-ui" w:eastAsia="system-ui" w:cs="system-ui"/>
          <w:b w:val="0"/>
          <w:bCs w:val="0"/>
          <w:i w:val="0"/>
          <w:iCs w:val="0"/>
          <w:caps w:val="0"/>
          <w:smallCaps w:val="0"/>
          <w:noProof w:val="0"/>
          <w:color w:val="0F1115"/>
          <w:sz w:val="24"/>
          <w:szCs w:val="24"/>
          <w:lang w:val="en-US"/>
        </w:rPr>
      </w:pPr>
      <w:r w:rsidRPr="3DFDBE14" w:rsidR="72461EA1">
        <w:rPr>
          <w:rFonts w:ascii="system-ui" w:hAnsi="system-ui" w:eastAsia="system-ui" w:cs="system-ui"/>
          <w:b w:val="1"/>
          <w:bCs w:val="1"/>
          <w:i w:val="0"/>
          <w:iCs w:val="0"/>
          <w:caps w:val="0"/>
          <w:smallCaps w:val="0"/>
          <w:noProof w:val="0"/>
          <w:color w:val="0F1115"/>
          <w:sz w:val="24"/>
          <w:szCs w:val="24"/>
          <w:lang w:val="en-US"/>
        </w:rPr>
        <w:t>2020 to 2021 (CCC moved from -17.9 to -9.8):</w:t>
      </w:r>
      <w:r w:rsidRPr="3DFDBE14" w:rsidR="72461EA1">
        <w:rPr>
          <w:rFonts w:ascii="system-ui" w:hAnsi="system-ui" w:eastAsia="system-ui" w:cs="system-ui"/>
          <w:b w:val="0"/>
          <w:bCs w:val="0"/>
          <w:i w:val="0"/>
          <w:iCs w:val="0"/>
          <w:caps w:val="0"/>
          <w:smallCaps w:val="0"/>
          <w:noProof w:val="0"/>
          <w:color w:val="0F1115"/>
          <w:sz w:val="24"/>
          <w:szCs w:val="24"/>
          <w:lang w:val="en-US"/>
        </w:rPr>
        <w:t xml:space="preserve"> This was the largest and most significant change in the period.</w:t>
      </w:r>
    </w:p>
    <w:p xmlns:wp14="http://schemas.microsoft.com/office/word/2010/wordml" w:rsidP="3DFDBE14" wp14:paraId="55BBFFAA" wp14:textId="3D9A0640">
      <w:pPr>
        <w:pStyle w:val="ListParagraph"/>
        <w:numPr>
          <w:ilvl w:val="1"/>
          <w:numId w:val="1"/>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F1115"/>
          <w:sz w:val="24"/>
          <w:szCs w:val="24"/>
          <w:lang w:val="en-US"/>
        </w:rPr>
      </w:pPr>
      <w:r w:rsidRPr="3DFDBE14" w:rsidR="72461EA1">
        <w:rPr>
          <w:rFonts w:ascii="system-ui" w:hAnsi="system-ui" w:eastAsia="system-ui" w:cs="system-ui"/>
          <w:b w:val="1"/>
          <w:bCs w:val="1"/>
          <w:i w:val="0"/>
          <w:iCs w:val="0"/>
          <w:caps w:val="0"/>
          <w:smallCaps w:val="0"/>
          <w:noProof w:val="0"/>
          <w:color w:val="0F1115"/>
          <w:sz w:val="24"/>
          <w:szCs w:val="24"/>
          <w:lang w:val="en-US"/>
        </w:rPr>
        <w:t>Cause:</w:t>
      </w:r>
      <w:r w:rsidRPr="3DFDBE14" w:rsidR="72461EA1">
        <w:rPr>
          <w:rFonts w:ascii="system-ui" w:hAnsi="system-ui" w:eastAsia="system-ui" w:cs="system-ui"/>
          <w:b w:val="0"/>
          <w:bCs w:val="0"/>
          <w:i w:val="0"/>
          <w:iCs w:val="0"/>
          <w:caps w:val="0"/>
          <w:smallCaps w:val="0"/>
          <w:noProof w:val="0"/>
          <w:color w:val="0F1115"/>
          <w:sz w:val="24"/>
          <w:szCs w:val="24"/>
          <w:lang w:val="en-US"/>
        </w:rPr>
        <w:t xml:space="preserve"> The impact of the COVID-19 pandemic. Total revenue fell significantly by 27.8% (£1,475m in 2020 to £1,065m in 2021). However, COGS fell even more sharply (by 34.9%), mainly because food and drink sales (which directly drive this cost) were heavily impacted by government-mandated closures. This resulted in </w:t>
      </w:r>
      <w:r w:rsidRPr="3DFDBE14" w:rsidR="72461EA1">
        <w:rPr>
          <w:rFonts w:ascii="system-ui" w:hAnsi="system-ui" w:eastAsia="system-ui" w:cs="system-ui"/>
          <w:b w:val="1"/>
          <w:bCs w:val="1"/>
          <w:i w:val="0"/>
          <w:iCs w:val="0"/>
          <w:caps w:val="0"/>
          <w:smallCaps w:val="0"/>
          <w:noProof w:val="0"/>
          <w:color w:val="0F1115"/>
          <w:sz w:val="24"/>
          <w:szCs w:val="24"/>
          <w:lang w:val="en-US"/>
        </w:rPr>
        <w:t>Inventory Days increasing from 6.5 to 7.9</w:t>
      </w:r>
      <w:r w:rsidRPr="3DFDBE14" w:rsidR="72461EA1">
        <w:rPr>
          <w:rFonts w:ascii="system-ui" w:hAnsi="system-ui" w:eastAsia="system-ui" w:cs="system-ui"/>
          <w:b w:val="0"/>
          <w:bCs w:val="0"/>
          <w:i w:val="0"/>
          <w:iCs w:val="0"/>
          <w:caps w:val="0"/>
          <w:smallCaps w:val="0"/>
          <w:noProof w:val="0"/>
          <w:color w:val="0F1115"/>
          <w:sz w:val="24"/>
          <w:szCs w:val="24"/>
          <w:lang w:val="en-US"/>
        </w:rPr>
        <w:t>.</w:t>
      </w:r>
    </w:p>
    <w:p xmlns:wp14="http://schemas.microsoft.com/office/word/2010/wordml" w:rsidP="3DFDBE14" wp14:paraId="00BAD8AF" wp14:textId="0702E6D0">
      <w:pPr>
        <w:pStyle w:val="ListParagraph"/>
        <w:numPr>
          <w:ilvl w:val="1"/>
          <w:numId w:val="1"/>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F1115"/>
          <w:sz w:val="24"/>
          <w:szCs w:val="24"/>
          <w:lang w:val="en-US"/>
        </w:rPr>
      </w:pPr>
      <w:r w:rsidRPr="3DFDBE14" w:rsidR="72461EA1">
        <w:rPr>
          <w:rFonts w:ascii="system-ui" w:hAnsi="system-ui" w:eastAsia="system-ui" w:cs="system-ui"/>
          <w:b w:val="0"/>
          <w:bCs w:val="0"/>
          <w:i w:val="0"/>
          <w:iCs w:val="0"/>
          <w:caps w:val="0"/>
          <w:smallCaps w:val="0"/>
          <w:noProof w:val="0"/>
          <w:color w:val="0F1115"/>
          <w:sz w:val="24"/>
          <w:szCs w:val="24"/>
          <w:lang w:val="en-US"/>
        </w:rPr>
        <w:t xml:space="preserve">The most impactful change was in </w:t>
      </w:r>
      <w:r w:rsidRPr="3DFDBE14" w:rsidR="72461EA1">
        <w:rPr>
          <w:rFonts w:ascii="system-ui" w:hAnsi="system-ui" w:eastAsia="system-ui" w:cs="system-ui"/>
          <w:b w:val="1"/>
          <w:bCs w:val="1"/>
          <w:i w:val="0"/>
          <w:iCs w:val="0"/>
          <w:caps w:val="0"/>
          <w:smallCaps w:val="0"/>
          <w:noProof w:val="0"/>
          <w:color w:val="0F1115"/>
          <w:sz w:val="24"/>
          <w:szCs w:val="24"/>
          <w:lang w:val="en-US"/>
        </w:rPr>
        <w:t>Payable Days</w:t>
      </w:r>
      <w:r w:rsidRPr="3DFDBE14" w:rsidR="72461EA1">
        <w:rPr>
          <w:rFonts w:ascii="system-ui" w:hAnsi="system-ui" w:eastAsia="system-ui" w:cs="system-ui"/>
          <w:b w:val="0"/>
          <w:bCs w:val="0"/>
          <w:i w:val="0"/>
          <w:iCs w:val="0"/>
          <w:caps w:val="0"/>
          <w:smallCaps w:val="0"/>
          <w:noProof w:val="0"/>
          <w:color w:val="0F1115"/>
          <w:sz w:val="24"/>
          <w:szCs w:val="24"/>
          <w:lang w:val="en-US"/>
        </w:rPr>
        <w:t>, which dropped dramatically from 25.6 days to 18.8 days. This reduction in the ability to delay payments to suppliers suggests that the Group's liquidity position was under significant strain during the pandemic, compelling it to settle its obligations more quickly to maintain supplier confidence and supply chains.</w:t>
      </w:r>
    </w:p>
    <w:p xmlns:wp14="http://schemas.microsoft.com/office/word/2010/wordml" w:rsidP="3DFDBE14" wp14:paraId="46C6A9DE" wp14:textId="3EC4D55B">
      <w:pPr>
        <w:pStyle w:val="ListParagraph"/>
        <w:numPr>
          <w:ilvl w:val="0"/>
          <w:numId w:val="1"/>
        </w:numPr>
        <w:shd w:val="clear" w:color="auto" w:fill="FFFFFF" w:themeFill="background1"/>
        <w:spacing w:before="0" w:beforeAutospacing="off" w:after="120" w:afterAutospacing="off"/>
        <w:rPr>
          <w:rFonts w:ascii="system-ui" w:hAnsi="system-ui" w:eastAsia="system-ui" w:cs="system-ui"/>
          <w:b w:val="1"/>
          <w:bCs w:val="1"/>
          <w:i w:val="0"/>
          <w:iCs w:val="0"/>
          <w:caps w:val="0"/>
          <w:smallCaps w:val="0"/>
          <w:noProof w:val="0"/>
          <w:color w:val="0F1115"/>
          <w:sz w:val="24"/>
          <w:szCs w:val="24"/>
          <w:lang w:val="en-US"/>
        </w:rPr>
      </w:pPr>
      <w:r w:rsidRPr="3DFDBE14" w:rsidR="72461EA1">
        <w:rPr>
          <w:rFonts w:ascii="system-ui" w:hAnsi="system-ui" w:eastAsia="system-ui" w:cs="system-ui"/>
          <w:b w:val="1"/>
          <w:bCs w:val="1"/>
          <w:i w:val="0"/>
          <w:iCs w:val="0"/>
          <w:caps w:val="0"/>
          <w:smallCaps w:val="0"/>
          <w:noProof w:val="0"/>
          <w:color w:val="0F1115"/>
          <w:sz w:val="24"/>
          <w:szCs w:val="24"/>
          <w:lang w:val="en-US"/>
        </w:rPr>
        <w:t>2021 to 2022 (CCC moved from -9.8 to -11.4):</w:t>
      </w:r>
    </w:p>
    <w:p xmlns:wp14="http://schemas.microsoft.com/office/word/2010/wordml" w:rsidP="3DFDBE14" wp14:paraId="7FD3A81C" wp14:textId="62B79CC1">
      <w:pPr>
        <w:pStyle w:val="ListParagraph"/>
        <w:numPr>
          <w:ilvl w:val="1"/>
          <w:numId w:val="1"/>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F1115"/>
          <w:sz w:val="24"/>
          <w:szCs w:val="24"/>
          <w:lang w:val="en-US"/>
        </w:rPr>
      </w:pPr>
      <w:r w:rsidRPr="3DFDBE14" w:rsidR="72461EA1">
        <w:rPr>
          <w:rFonts w:ascii="system-ui" w:hAnsi="system-ui" w:eastAsia="system-ui" w:cs="system-ui"/>
          <w:b w:val="1"/>
          <w:bCs w:val="1"/>
          <w:i w:val="0"/>
          <w:iCs w:val="0"/>
          <w:caps w:val="0"/>
          <w:smallCaps w:val="0"/>
          <w:noProof w:val="0"/>
          <w:color w:val="0F1115"/>
          <w:sz w:val="24"/>
          <w:szCs w:val="24"/>
          <w:lang w:val="en-US"/>
        </w:rPr>
        <w:t>Cause:</w:t>
      </w:r>
      <w:r w:rsidRPr="3DFDBE14" w:rsidR="72461EA1">
        <w:rPr>
          <w:rFonts w:ascii="system-ui" w:hAnsi="system-ui" w:eastAsia="system-ui" w:cs="system-ui"/>
          <w:b w:val="0"/>
          <w:bCs w:val="0"/>
          <w:i w:val="0"/>
          <w:iCs w:val="0"/>
          <w:caps w:val="0"/>
          <w:smallCaps w:val="0"/>
          <w:noProof w:val="0"/>
          <w:color w:val="0F1115"/>
          <w:sz w:val="24"/>
          <w:szCs w:val="24"/>
          <w:lang w:val="en-US"/>
        </w:rPr>
        <w:t xml:space="preserve"> The business began to recover from the pandemic, with a return to near-normal trading. Revenue more than doubled (£1,065m to £2,208m), leading to a significant increase in COGS. This resulted in </w:t>
      </w:r>
      <w:r w:rsidRPr="3DFDBE14" w:rsidR="72461EA1">
        <w:rPr>
          <w:rFonts w:ascii="system-ui" w:hAnsi="system-ui" w:eastAsia="system-ui" w:cs="system-ui"/>
          <w:b w:val="1"/>
          <w:bCs w:val="1"/>
          <w:i w:val="0"/>
          <w:iCs w:val="0"/>
          <w:caps w:val="0"/>
          <w:smallCaps w:val="0"/>
          <w:noProof w:val="0"/>
          <w:color w:val="0F1115"/>
          <w:sz w:val="24"/>
          <w:szCs w:val="24"/>
          <w:lang w:val="en-US"/>
        </w:rPr>
        <w:t>Inventory Days dropping sharply from 7.9 to 3.8</w:t>
      </w:r>
      <w:r w:rsidRPr="3DFDBE14" w:rsidR="72461EA1">
        <w:rPr>
          <w:rFonts w:ascii="system-ui" w:hAnsi="system-ui" w:eastAsia="system-ui" w:cs="system-ui"/>
          <w:b w:val="0"/>
          <w:bCs w:val="0"/>
          <w:i w:val="0"/>
          <w:iCs w:val="0"/>
          <w:caps w:val="0"/>
          <w:smallCaps w:val="0"/>
          <w:noProof w:val="0"/>
          <w:color w:val="0F1115"/>
          <w:sz w:val="24"/>
          <w:szCs w:val="24"/>
          <w:lang w:val="en-US"/>
        </w:rPr>
        <w:t>, as stock management normalized after the disruption of 2021.</w:t>
      </w:r>
    </w:p>
    <w:p xmlns:wp14="http://schemas.microsoft.com/office/word/2010/wordml" w:rsidP="3DFDBE14" wp14:paraId="2E56C296" wp14:textId="6C1A9FC1">
      <w:pPr>
        <w:pStyle w:val="ListParagraph"/>
        <w:numPr>
          <w:ilvl w:val="1"/>
          <w:numId w:val="1"/>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F1115"/>
          <w:sz w:val="24"/>
          <w:szCs w:val="24"/>
          <w:lang w:val="en-US"/>
        </w:rPr>
      </w:pPr>
      <w:r w:rsidRPr="3DFDBE14" w:rsidR="72461EA1">
        <w:rPr>
          <w:rFonts w:ascii="system-ui" w:hAnsi="system-ui" w:eastAsia="system-ui" w:cs="system-ui"/>
          <w:b w:val="1"/>
          <w:bCs w:val="1"/>
          <w:i w:val="0"/>
          <w:iCs w:val="0"/>
          <w:caps w:val="0"/>
          <w:smallCaps w:val="0"/>
          <w:noProof w:val="0"/>
          <w:color w:val="0F1115"/>
          <w:sz w:val="24"/>
          <w:szCs w:val="24"/>
          <w:lang w:val="en-US"/>
        </w:rPr>
        <w:t>Receivable Days</w:t>
      </w:r>
      <w:r w:rsidRPr="3DFDBE14" w:rsidR="72461EA1">
        <w:rPr>
          <w:rFonts w:ascii="system-ui" w:hAnsi="system-ui" w:eastAsia="system-ui" w:cs="system-ui"/>
          <w:b w:val="0"/>
          <w:bCs w:val="0"/>
          <w:i w:val="0"/>
          <w:iCs w:val="0"/>
          <w:caps w:val="0"/>
          <w:smallCaps w:val="0"/>
          <w:noProof w:val="0"/>
          <w:color w:val="0F1115"/>
          <w:sz w:val="24"/>
          <w:szCs w:val="24"/>
          <w:lang w:val="en-US"/>
        </w:rPr>
        <w:t xml:space="preserve"> increased from 1.1 to 2.1, likely due to a broader customer base returning to the business, including corporate accounts.</w:t>
      </w:r>
    </w:p>
    <w:p xmlns:wp14="http://schemas.microsoft.com/office/word/2010/wordml" w:rsidP="3DFDBE14" wp14:paraId="64B099FE" wp14:textId="238CAB9B">
      <w:pPr>
        <w:pStyle w:val="ListParagraph"/>
        <w:numPr>
          <w:ilvl w:val="1"/>
          <w:numId w:val="1"/>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F1115"/>
          <w:sz w:val="24"/>
          <w:szCs w:val="24"/>
          <w:lang w:val="en-US"/>
        </w:rPr>
      </w:pPr>
      <w:r w:rsidRPr="3DFDBE14" w:rsidR="72461EA1">
        <w:rPr>
          <w:rFonts w:ascii="system-ui" w:hAnsi="system-ui" w:eastAsia="system-ui" w:cs="system-ui"/>
          <w:b w:val="1"/>
          <w:bCs w:val="1"/>
          <w:i w:val="0"/>
          <w:iCs w:val="0"/>
          <w:caps w:val="0"/>
          <w:smallCaps w:val="0"/>
          <w:noProof w:val="0"/>
          <w:color w:val="0F1115"/>
          <w:sz w:val="24"/>
          <w:szCs w:val="24"/>
          <w:lang w:val="en-US"/>
        </w:rPr>
        <w:t>Payable Days</w:t>
      </w:r>
      <w:r w:rsidRPr="3DFDBE14" w:rsidR="72461EA1">
        <w:rPr>
          <w:rFonts w:ascii="system-ui" w:hAnsi="system-ui" w:eastAsia="system-ui" w:cs="system-ui"/>
          <w:b w:val="0"/>
          <w:bCs w:val="0"/>
          <w:i w:val="0"/>
          <w:iCs w:val="0"/>
          <w:caps w:val="0"/>
          <w:smallCaps w:val="0"/>
          <w:noProof w:val="0"/>
          <w:color w:val="0F1115"/>
          <w:sz w:val="24"/>
          <w:szCs w:val="24"/>
          <w:lang w:val="en-US"/>
        </w:rPr>
        <w:t xml:space="preserve"> also decreased slightly from 18.8 to 17.3, reflecting improved inventory management and </w:t>
      </w:r>
      <w:r w:rsidRPr="3DFDBE14" w:rsidR="72461EA1">
        <w:rPr>
          <w:rFonts w:ascii="system-ui" w:hAnsi="system-ui" w:eastAsia="system-ui" w:cs="system-ui"/>
          <w:b w:val="0"/>
          <w:bCs w:val="0"/>
          <w:i w:val="0"/>
          <w:iCs w:val="0"/>
          <w:caps w:val="0"/>
          <w:smallCaps w:val="0"/>
          <w:noProof w:val="0"/>
          <w:color w:val="0F1115"/>
          <w:sz w:val="24"/>
          <w:szCs w:val="24"/>
          <w:lang w:val="en-US"/>
        </w:rPr>
        <w:t>perhaps a</w:t>
      </w:r>
      <w:r w:rsidRPr="3DFDBE14" w:rsidR="72461EA1">
        <w:rPr>
          <w:rFonts w:ascii="system-ui" w:hAnsi="system-ui" w:eastAsia="system-ui" w:cs="system-ui"/>
          <w:b w:val="0"/>
          <w:bCs w:val="0"/>
          <w:i w:val="0"/>
          <w:iCs w:val="0"/>
          <w:caps w:val="0"/>
          <w:smallCaps w:val="0"/>
          <w:noProof w:val="0"/>
          <w:color w:val="0F1115"/>
          <w:sz w:val="24"/>
          <w:szCs w:val="24"/>
          <w:lang w:val="en-US"/>
        </w:rPr>
        <w:t xml:space="preserve"> continuation of stricter terms as the business prioritized cash conservation.</w:t>
      </w:r>
    </w:p>
    <w:p xmlns:wp14="http://schemas.microsoft.com/office/word/2010/wordml" w:rsidP="3DFDBE14" wp14:paraId="0E108AD7" wp14:textId="2325F9D3">
      <w:pPr>
        <w:pStyle w:val="ListParagraph"/>
        <w:numPr>
          <w:ilvl w:val="0"/>
          <w:numId w:val="1"/>
        </w:numPr>
        <w:shd w:val="clear" w:color="auto" w:fill="FFFFFF" w:themeFill="background1"/>
        <w:spacing w:before="0" w:beforeAutospacing="off" w:after="120" w:afterAutospacing="off"/>
        <w:rPr>
          <w:rFonts w:ascii="system-ui" w:hAnsi="system-ui" w:eastAsia="system-ui" w:cs="system-ui"/>
          <w:b w:val="1"/>
          <w:bCs w:val="1"/>
          <w:i w:val="0"/>
          <w:iCs w:val="0"/>
          <w:caps w:val="0"/>
          <w:smallCaps w:val="0"/>
          <w:noProof w:val="0"/>
          <w:color w:val="0F1115"/>
          <w:sz w:val="24"/>
          <w:szCs w:val="24"/>
          <w:lang w:val="en-US"/>
        </w:rPr>
      </w:pPr>
      <w:r w:rsidRPr="3DFDBE14" w:rsidR="72461EA1">
        <w:rPr>
          <w:rFonts w:ascii="system-ui" w:hAnsi="system-ui" w:eastAsia="system-ui" w:cs="system-ui"/>
          <w:b w:val="1"/>
          <w:bCs w:val="1"/>
          <w:i w:val="0"/>
          <w:iCs w:val="0"/>
          <w:caps w:val="0"/>
          <w:smallCaps w:val="0"/>
          <w:noProof w:val="0"/>
          <w:color w:val="0F1115"/>
          <w:sz w:val="24"/>
          <w:szCs w:val="24"/>
          <w:lang w:val="en-US"/>
        </w:rPr>
        <w:t>2022 to 2023 (CCC moved from -11.4 to -9.2):</w:t>
      </w:r>
    </w:p>
    <w:p xmlns:wp14="http://schemas.microsoft.com/office/word/2010/wordml" w:rsidP="3DFDBE14" wp14:paraId="2554761C" wp14:textId="6CE56431">
      <w:pPr>
        <w:pStyle w:val="ListParagraph"/>
        <w:numPr>
          <w:ilvl w:val="1"/>
          <w:numId w:val="1"/>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F1115"/>
          <w:sz w:val="24"/>
          <w:szCs w:val="24"/>
          <w:lang w:val="en-US"/>
        </w:rPr>
      </w:pPr>
      <w:r w:rsidRPr="3DFDBE14" w:rsidR="72461EA1">
        <w:rPr>
          <w:rFonts w:ascii="system-ui" w:hAnsi="system-ui" w:eastAsia="system-ui" w:cs="system-ui"/>
          <w:b w:val="1"/>
          <w:bCs w:val="1"/>
          <w:i w:val="0"/>
          <w:iCs w:val="0"/>
          <w:caps w:val="0"/>
          <w:smallCaps w:val="0"/>
          <w:noProof w:val="0"/>
          <w:color w:val="0F1115"/>
          <w:sz w:val="24"/>
          <w:szCs w:val="24"/>
          <w:lang w:val="en-US"/>
        </w:rPr>
        <w:t>Cause:</w:t>
      </w:r>
      <w:r w:rsidRPr="3DFDBE14" w:rsidR="72461EA1">
        <w:rPr>
          <w:rFonts w:ascii="system-ui" w:hAnsi="system-ui" w:eastAsia="system-ui" w:cs="system-ui"/>
          <w:b w:val="0"/>
          <w:bCs w:val="0"/>
          <w:i w:val="0"/>
          <w:iCs w:val="0"/>
          <w:caps w:val="0"/>
          <w:smallCaps w:val="0"/>
          <w:noProof w:val="0"/>
          <w:color w:val="0F1115"/>
          <w:sz w:val="24"/>
          <w:szCs w:val="24"/>
          <w:lang w:val="en-US"/>
        </w:rPr>
        <w:t xml:space="preserve"> This is a period of stabilization. Revenue and COGS both grew at a moderate pace. The slight reduction in CCC (making it less efficient) was driven by a continued increase in </w:t>
      </w:r>
      <w:r w:rsidRPr="3DFDBE14" w:rsidR="72461EA1">
        <w:rPr>
          <w:rFonts w:ascii="system-ui" w:hAnsi="system-ui" w:eastAsia="system-ui" w:cs="system-ui"/>
          <w:b w:val="1"/>
          <w:bCs w:val="1"/>
          <w:i w:val="0"/>
          <w:iCs w:val="0"/>
          <w:caps w:val="0"/>
          <w:smallCaps w:val="0"/>
          <w:noProof w:val="0"/>
          <w:color w:val="0F1115"/>
          <w:sz w:val="24"/>
          <w:szCs w:val="24"/>
          <w:lang w:val="en-US"/>
        </w:rPr>
        <w:t>Receivable Days</w:t>
      </w:r>
      <w:r w:rsidRPr="3DFDBE14" w:rsidR="72461EA1">
        <w:rPr>
          <w:rFonts w:ascii="system-ui" w:hAnsi="system-ui" w:eastAsia="system-ui" w:cs="system-ui"/>
          <w:b w:val="0"/>
          <w:bCs w:val="0"/>
          <w:i w:val="0"/>
          <w:iCs w:val="0"/>
          <w:caps w:val="0"/>
          <w:smallCaps w:val="0"/>
          <w:noProof w:val="0"/>
          <w:color w:val="0F1115"/>
          <w:sz w:val="24"/>
          <w:szCs w:val="24"/>
          <w:lang w:val="en-US"/>
        </w:rPr>
        <w:t xml:space="preserve"> (from 2.1 to 2.5) and a decrease in </w:t>
      </w:r>
      <w:r w:rsidRPr="3DFDBE14" w:rsidR="72461EA1">
        <w:rPr>
          <w:rFonts w:ascii="system-ui" w:hAnsi="system-ui" w:eastAsia="system-ui" w:cs="system-ui"/>
          <w:b w:val="1"/>
          <w:bCs w:val="1"/>
          <w:i w:val="0"/>
          <w:iCs w:val="0"/>
          <w:caps w:val="0"/>
          <w:smallCaps w:val="0"/>
          <w:noProof w:val="0"/>
          <w:color w:val="0F1115"/>
          <w:sz w:val="24"/>
          <w:szCs w:val="24"/>
          <w:lang w:val="en-US"/>
        </w:rPr>
        <w:t>Payable Days</w:t>
      </w:r>
      <w:r w:rsidRPr="3DFDBE14" w:rsidR="72461EA1">
        <w:rPr>
          <w:rFonts w:ascii="system-ui" w:hAnsi="system-ui" w:eastAsia="system-ui" w:cs="system-ui"/>
          <w:b w:val="0"/>
          <w:bCs w:val="0"/>
          <w:i w:val="0"/>
          <w:iCs w:val="0"/>
          <w:caps w:val="0"/>
          <w:smallCaps w:val="0"/>
          <w:noProof w:val="0"/>
          <w:color w:val="0F1115"/>
          <w:sz w:val="24"/>
          <w:szCs w:val="24"/>
          <w:lang w:val="en-US"/>
        </w:rPr>
        <w:t xml:space="preserve"> (17.3 to 15.6).</w:t>
      </w:r>
    </w:p>
    <w:p xmlns:wp14="http://schemas.microsoft.com/office/word/2010/wordml" w:rsidP="3DFDBE14" wp14:paraId="28F50E21" wp14:textId="3B04621A">
      <w:pPr>
        <w:pStyle w:val="ListParagraph"/>
        <w:numPr>
          <w:ilvl w:val="1"/>
          <w:numId w:val="1"/>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F1115"/>
          <w:sz w:val="24"/>
          <w:szCs w:val="24"/>
          <w:lang w:val="en-US"/>
        </w:rPr>
      </w:pPr>
      <w:r w:rsidRPr="3DFDBE14" w:rsidR="72461EA1">
        <w:rPr>
          <w:rFonts w:ascii="system-ui" w:hAnsi="system-ui" w:eastAsia="system-ui" w:cs="system-ui"/>
          <w:b w:val="0"/>
          <w:bCs w:val="0"/>
          <w:i w:val="0"/>
          <w:iCs w:val="0"/>
          <w:caps w:val="0"/>
          <w:smallCaps w:val="0"/>
          <w:noProof w:val="0"/>
          <w:color w:val="0F1115"/>
          <w:sz w:val="24"/>
          <w:szCs w:val="24"/>
          <w:lang w:val="en-US"/>
        </w:rPr>
        <w:t>The reduction in Payable Days could be due to the Group renegotiating payment terms or, more likely, reflecting inflation (food and drink costs were significantly higher). The suppliers themselves may have shortened payment windows to improve their own cash flow during a period of high inflation.</w:t>
      </w:r>
    </w:p>
    <w:p xmlns:wp14="http://schemas.microsoft.com/office/word/2010/wordml" w:rsidP="3DFDBE14" wp14:paraId="676882D4" wp14:textId="20DCCBC8">
      <w:pPr>
        <w:pStyle w:val="ListParagraph"/>
        <w:numPr>
          <w:ilvl w:val="0"/>
          <w:numId w:val="1"/>
        </w:numPr>
        <w:shd w:val="clear" w:color="auto" w:fill="FFFFFF" w:themeFill="background1"/>
        <w:spacing w:before="0" w:beforeAutospacing="off" w:after="120" w:afterAutospacing="off"/>
        <w:rPr>
          <w:rFonts w:ascii="system-ui" w:hAnsi="system-ui" w:eastAsia="system-ui" w:cs="system-ui"/>
          <w:b w:val="1"/>
          <w:bCs w:val="1"/>
          <w:i w:val="0"/>
          <w:iCs w:val="0"/>
          <w:caps w:val="0"/>
          <w:smallCaps w:val="0"/>
          <w:noProof w:val="0"/>
          <w:color w:val="0F1115"/>
          <w:sz w:val="24"/>
          <w:szCs w:val="24"/>
          <w:lang w:val="en-US"/>
        </w:rPr>
      </w:pPr>
      <w:r w:rsidRPr="3DFDBE14" w:rsidR="72461EA1">
        <w:rPr>
          <w:rFonts w:ascii="system-ui" w:hAnsi="system-ui" w:eastAsia="system-ui" w:cs="system-ui"/>
          <w:b w:val="1"/>
          <w:bCs w:val="1"/>
          <w:i w:val="0"/>
          <w:iCs w:val="0"/>
          <w:caps w:val="0"/>
          <w:smallCaps w:val="0"/>
          <w:noProof w:val="0"/>
          <w:color w:val="0F1115"/>
          <w:sz w:val="24"/>
          <w:szCs w:val="24"/>
          <w:lang w:val="en-US"/>
        </w:rPr>
        <w:t>2023 to 2024 (CCC moved from -9.2 to -10.5):</w:t>
      </w:r>
    </w:p>
    <w:p xmlns:wp14="http://schemas.microsoft.com/office/word/2010/wordml" w:rsidP="3DFDBE14" wp14:paraId="06F13850" wp14:textId="0E82D481">
      <w:pPr>
        <w:pStyle w:val="ListParagraph"/>
        <w:numPr>
          <w:ilvl w:val="1"/>
          <w:numId w:val="1"/>
        </w:numPr>
        <w:shd w:val="clear" w:color="auto" w:fill="FFFFFF" w:themeFill="background1"/>
        <w:spacing w:before="0" w:beforeAutospacing="off" w:after="0" w:afterAutospacing="off"/>
        <w:rPr>
          <w:rFonts w:ascii="system-ui" w:hAnsi="system-ui" w:eastAsia="system-ui" w:cs="system-ui"/>
          <w:b w:val="0"/>
          <w:bCs w:val="0"/>
          <w:i w:val="0"/>
          <w:iCs w:val="0"/>
          <w:caps w:val="0"/>
          <w:smallCaps w:val="0"/>
          <w:noProof w:val="0"/>
          <w:color w:val="0F1115"/>
          <w:sz w:val="24"/>
          <w:szCs w:val="24"/>
          <w:lang w:val="en-US"/>
        </w:rPr>
      </w:pPr>
      <w:r w:rsidRPr="3DFDBE14" w:rsidR="72461EA1">
        <w:rPr>
          <w:rFonts w:ascii="system-ui" w:hAnsi="system-ui" w:eastAsia="system-ui" w:cs="system-ui"/>
          <w:b w:val="1"/>
          <w:bCs w:val="1"/>
          <w:i w:val="0"/>
          <w:iCs w:val="0"/>
          <w:caps w:val="0"/>
          <w:smallCaps w:val="0"/>
          <w:noProof w:val="0"/>
          <w:color w:val="0F1115"/>
          <w:sz w:val="24"/>
          <w:szCs w:val="24"/>
          <w:lang w:val="en-US"/>
        </w:rPr>
        <w:t>Cause:</w:t>
      </w:r>
      <w:r w:rsidRPr="3DFDBE14" w:rsidR="72461EA1">
        <w:rPr>
          <w:rFonts w:ascii="system-ui" w:hAnsi="system-ui" w:eastAsia="system-ui" w:cs="system-ui"/>
          <w:b w:val="0"/>
          <w:bCs w:val="0"/>
          <w:i w:val="0"/>
          <w:iCs w:val="0"/>
          <w:caps w:val="0"/>
          <w:smallCaps w:val="0"/>
          <w:noProof w:val="0"/>
          <w:color w:val="0F1115"/>
          <w:sz w:val="24"/>
          <w:szCs w:val="24"/>
          <w:lang w:val="en-US"/>
        </w:rPr>
        <w:t xml:space="preserve"> The CCC improved slightly due to a reduction in Receivable Days (from 2.5 to 2.0) and a slight increase in Payable Days (15.6 to 16.2). The business continued to strengthen its operational efficiency.</w:t>
      </w:r>
    </w:p>
    <w:p xmlns:wp14="http://schemas.microsoft.com/office/word/2010/wordml" wp14:paraId="2C078E63" wp14:textId="3F847A8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5b300a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F294D2"/>
    <w:rsid w:val="3DFDBE14"/>
    <w:rsid w:val="43F294D2"/>
    <w:rsid w:val="72461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B5D81"/>
  <w15:chartTrackingRefBased/>
  <w15:docId w15:val="{52F2257F-139F-4183-A2EC-303B7727C2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3DFDBE1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DFDBE1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6b0b6d5b62641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2026-07-31T16:05:44.9135462Z</dcterms:created>
  <dcterms:modified xsi:type="dcterms:W3CDTF">2026-07-31T16:06:15.0670602Z</dcterms:modified>
  <dc:creator>Naitikkumar Anilbhai Patel (2538069)</dc:creator>
  <lastModifiedBy>Naitikkumar Anilbhai Patel (2538069)</lastModifiedBy>
</coreProperties>
</file>