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ind w:left="-180" w:right="-334" w:firstLine="0"/>
        <w:rPr>
          <w:rFonts w:ascii="Georgia" w:cs="Georgia" w:eastAsia="Georgia" w:hAnsi="Georgia"/>
          <w:sz w:val="21"/>
          <w:szCs w:val="21"/>
        </w:rPr>
      </w:pPr>
      <w:r w:rsidDel="00000000" w:rsidR="00000000" w:rsidRPr="00000000">
        <w:rPr>
          <w:rFonts w:ascii="Georgia" w:cs="Georgia" w:eastAsia="Georgia" w:hAnsi="Georgia"/>
          <w:sz w:val="21"/>
          <w:szCs w:val="21"/>
        </w:rPr>
        <w:drawing>
          <wp:inline distB="0" distT="0" distL="114300" distR="114300">
            <wp:extent cx="1908175" cy="635635"/>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908175" cy="63563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240" w:lineRule="auto"/>
        <w:ind w:left="-180" w:right="-334" w:firstLine="0"/>
        <w:rPr>
          <w:rFonts w:ascii="Georgia" w:cs="Georgia" w:eastAsia="Georgia" w:hAnsi="Georgia"/>
          <w:sz w:val="21"/>
          <w:szCs w:val="21"/>
        </w:rPr>
      </w:pPr>
      <w:r w:rsidDel="00000000" w:rsidR="00000000" w:rsidRPr="00000000">
        <w:rPr>
          <w:rtl w:val="0"/>
        </w:rPr>
      </w:r>
    </w:p>
    <w:p w:rsidR="00000000" w:rsidDel="00000000" w:rsidP="00000000" w:rsidRDefault="00000000" w:rsidRPr="00000000" w14:paraId="00000003">
      <w:pPr>
        <w:spacing w:line="240" w:lineRule="auto"/>
        <w:ind w:left="-180" w:right="-334" w:firstLine="0"/>
        <w:rPr>
          <w:rFonts w:ascii="Georgia" w:cs="Georgia" w:eastAsia="Georgia" w:hAnsi="Georgia"/>
          <w:sz w:val="21"/>
          <w:szCs w:val="21"/>
        </w:rPr>
      </w:pPr>
      <w:r w:rsidDel="00000000" w:rsidR="00000000" w:rsidRPr="00000000">
        <w:rPr>
          <w:rtl w:val="0"/>
        </w:rPr>
      </w:r>
    </w:p>
    <w:p w:rsidR="00000000" w:rsidDel="00000000" w:rsidP="00000000" w:rsidRDefault="00000000" w:rsidRPr="00000000" w14:paraId="00000004">
      <w:pPr>
        <w:spacing w:line="240" w:lineRule="auto"/>
        <w:ind w:left="-180" w:right="-334" w:firstLine="0"/>
        <w:jc w:val="center"/>
        <w:rPr>
          <w:sz w:val="28"/>
          <w:szCs w:val="28"/>
        </w:rPr>
      </w:pPr>
      <w:r w:rsidDel="00000000" w:rsidR="00000000" w:rsidRPr="00000000">
        <w:rPr>
          <w:b w:val="1"/>
          <w:sz w:val="28"/>
          <w:szCs w:val="28"/>
          <w:rtl w:val="0"/>
        </w:rPr>
        <w:t xml:space="preserve">Postgraduate/Distance Learning </w:t>
      </w:r>
      <w:r w:rsidDel="00000000" w:rsidR="00000000" w:rsidRPr="00000000">
        <w:rPr>
          <w:rtl w:val="0"/>
        </w:rPr>
      </w:r>
    </w:p>
    <w:p w:rsidR="00000000" w:rsidDel="00000000" w:rsidP="00000000" w:rsidRDefault="00000000" w:rsidRPr="00000000" w14:paraId="00000005">
      <w:pPr>
        <w:spacing w:line="240" w:lineRule="auto"/>
        <w:ind w:left="-180" w:right="-334" w:firstLine="0"/>
        <w:jc w:val="center"/>
        <w:rPr>
          <w:sz w:val="28"/>
          <w:szCs w:val="28"/>
        </w:rPr>
      </w:pPr>
      <w:r w:rsidDel="00000000" w:rsidR="00000000" w:rsidRPr="00000000">
        <w:rPr>
          <w:b w:val="1"/>
          <w:sz w:val="28"/>
          <w:szCs w:val="28"/>
          <w:rtl w:val="0"/>
        </w:rPr>
        <w:t xml:space="preserve">Assignment coversheet &amp; feedback form</w:t>
      </w:r>
      <w:r w:rsidDel="00000000" w:rsidR="00000000" w:rsidRPr="00000000">
        <w:rPr>
          <w:rtl w:val="0"/>
        </w:rPr>
      </w:r>
    </w:p>
    <w:p w:rsidR="00000000" w:rsidDel="00000000" w:rsidP="00000000" w:rsidRDefault="00000000" w:rsidRPr="00000000" w14:paraId="00000006">
      <w:pPr>
        <w:spacing w:line="240" w:lineRule="auto"/>
        <w:rPr>
          <w:sz w:val="28"/>
          <w:szCs w:val="28"/>
        </w:rPr>
      </w:pPr>
      <w:r w:rsidDel="00000000" w:rsidR="00000000" w:rsidRPr="00000000">
        <w:rPr>
          <w:rtl w:val="0"/>
        </w:rPr>
      </w:r>
    </w:p>
    <w:p w:rsidR="00000000" w:rsidDel="00000000" w:rsidP="00000000" w:rsidRDefault="00000000" w:rsidRPr="00000000" w14:paraId="00000007">
      <w:pPr>
        <w:pStyle w:val="Heading3"/>
        <w:keepLines w:val="0"/>
        <w:spacing w:after="0" w:before="0" w:line="240" w:lineRule="auto"/>
        <w:ind w:left="720" w:firstLine="0"/>
        <w:jc w:val="center"/>
        <w:rPr>
          <w:rFonts w:ascii="Tahoma" w:cs="Tahoma" w:eastAsia="Tahoma" w:hAnsi="Tahoma"/>
          <w:b w:val="1"/>
          <w:color w:val="000000"/>
          <w:sz w:val="20"/>
          <w:szCs w:val="20"/>
        </w:rPr>
      </w:pPr>
      <w:r w:rsidDel="00000000" w:rsidR="00000000" w:rsidRPr="00000000">
        <w:rPr>
          <w:rFonts w:ascii="Tahoma" w:cs="Tahoma" w:eastAsia="Tahoma" w:hAnsi="Tahoma"/>
          <w:b w:val="1"/>
          <w:color w:val="000000"/>
          <w:sz w:val="20"/>
          <w:szCs w:val="20"/>
          <w:rtl w:val="0"/>
        </w:rPr>
        <w:t xml:space="preserve">THIS SHEET MUST BE THE FIRST PAGE OF THE ASSIGNMENT YOU ARE SUBMITTING  (DO NOT SEND AS A SEPARATE FILE)</w:t>
      </w:r>
    </w:p>
    <w:p w:rsidR="00000000" w:rsidDel="00000000" w:rsidP="00000000" w:rsidRDefault="00000000" w:rsidRPr="00000000" w14:paraId="00000008">
      <w:pPr>
        <w:pStyle w:val="Heading3"/>
        <w:keepLines w:val="0"/>
        <w:spacing w:after="0" w:before="0" w:line="240" w:lineRule="auto"/>
        <w:ind w:left="720" w:firstLine="0"/>
        <w:jc w:val="center"/>
        <w:rPr>
          <w:rFonts w:ascii="Trebuchet MS" w:cs="Trebuchet MS" w:eastAsia="Trebuchet MS" w:hAnsi="Trebuchet MS"/>
          <w:b w:val="1"/>
          <w:color w:val="000000"/>
          <w:sz w:val="20"/>
          <w:szCs w:val="20"/>
        </w:rPr>
      </w:pPr>
      <w:r w:rsidDel="00000000" w:rsidR="00000000" w:rsidRPr="00000000">
        <w:rPr>
          <w:rtl w:val="0"/>
        </w:rPr>
      </w:r>
    </w:p>
    <w:tbl>
      <w:tblPr>
        <w:tblStyle w:val="Table1"/>
        <w:tblW w:w="885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788"/>
        <w:gridCol w:w="423"/>
        <w:gridCol w:w="1557"/>
        <w:gridCol w:w="286"/>
        <w:gridCol w:w="1802"/>
        <w:tblGridChange w:id="0">
          <w:tblGrid>
            <w:gridCol w:w="4788"/>
            <w:gridCol w:w="423"/>
            <w:gridCol w:w="1557"/>
            <w:gridCol w:w="286"/>
            <w:gridCol w:w="1802"/>
          </w:tblGrid>
        </w:tblGridChange>
      </w:tblGrid>
      <w:tr>
        <w:trPr>
          <w:cantSplit w:val="0"/>
          <w:trHeight w:val="614" w:hRule="atLeast"/>
          <w:tblHeader w:val="0"/>
        </w:trPr>
        <w:tc>
          <w:tcPr>
            <w:gridSpan w:val="5"/>
            <w:vAlign w:val="top"/>
          </w:tcPr>
          <w:p w:rsidR="00000000" w:rsidDel="00000000" w:rsidP="00000000" w:rsidRDefault="00000000" w:rsidRPr="00000000" w14:paraId="00000009">
            <w:pPr>
              <w:spacing w:line="240" w:lineRule="auto"/>
              <w:ind w:right="34"/>
              <w:rPr/>
            </w:pPr>
            <w:r w:rsidDel="00000000" w:rsidR="00000000" w:rsidRPr="00000000">
              <w:rPr>
                <w:b w:val="1"/>
                <w:rtl w:val="0"/>
              </w:rPr>
              <w:t xml:space="preserve">For completion by the student</w:t>
            </w:r>
            <w:r w:rsidDel="00000000" w:rsidR="00000000" w:rsidRPr="00000000">
              <w:rPr>
                <w:rtl w:val="0"/>
              </w:rPr>
              <w:t xml:space="preserve">:</w:t>
            </w:r>
          </w:p>
        </w:tc>
      </w:tr>
      <w:tr>
        <w:trPr>
          <w:cantSplit w:val="0"/>
          <w:trHeight w:val="718" w:hRule="atLeast"/>
          <w:tblHeader w:val="0"/>
        </w:trPr>
        <w:tc>
          <w:tcPr>
            <w:gridSpan w:val="5"/>
            <w:vAlign w:val="top"/>
          </w:tcPr>
          <w:p w:rsidR="00000000" w:rsidDel="00000000" w:rsidP="00000000" w:rsidRDefault="00000000" w:rsidRPr="00000000" w14:paraId="0000000E">
            <w:pPr>
              <w:spacing w:line="240" w:lineRule="auto"/>
              <w:ind w:right="34"/>
              <w:rPr/>
            </w:pPr>
            <w:r w:rsidDel="00000000" w:rsidR="00000000" w:rsidRPr="00000000">
              <w:rPr>
                <w:rtl w:val="0"/>
              </w:rPr>
              <w:t xml:space="preserve">Student Name: Sarah Morrison</w:t>
            </w:r>
          </w:p>
          <w:p w:rsidR="00000000" w:rsidDel="00000000" w:rsidP="00000000" w:rsidRDefault="00000000" w:rsidRPr="00000000" w14:paraId="0000000F">
            <w:pPr>
              <w:spacing w:line="240" w:lineRule="auto"/>
              <w:ind w:right="34"/>
              <w:rPr/>
            </w:pPr>
            <w:r w:rsidDel="00000000" w:rsidR="00000000" w:rsidRPr="00000000">
              <w:rPr>
                <w:rtl w:val="0"/>
              </w:rPr>
            </w:r>
          </w:p>
        </w:tc>
      </w:tr>
      <w:tr>
        <w:trPr>
          <w:cantSplit w:val="0"/>
          <w:trHeight w:val="849" w:hRule="atLeast"/>
          <w:tblHeader w:val="0"/>
        </w:trPr>
        <w:tc>
          <w:tcPr>
            <w:vAlign w:val="top"/>
          </w:tcPr>
          <w:p w:rsidR="00000000" w:rsidDel="00000000" w:rsidP="00000000" w:rsidRDefault="00000000" w:rsidRPr="00000000" w14:paraId="00000014">
            <w:pPr>
              <w:spacing w:line="240" w:lineRule="auto"/>
              <w:ind w:right="34"/>
              <w:rPr/>
            </w:pPr>
            <w:r w:rsidDel="00000000" w:rsidR="00000000" w:rsidRPr="00000000">
              <w:rPr>
                <w:rtl w:val="0"/>
              </w:rPr>
              <w:t xml:space="preserve">Module code: HPCA7016</w:t>
            </w:r>
          </w:p>
          <w:p w:rsidR="00000000" w:rsidDel="00000000" w:rsidP="00000000" w:rsidRDefault="00000000" w:rsidRPr="00000000" w14:paraId="00000015">
            <w:pPr>
              <w:spacing w:line="240" w:lineRule="auto"/>
              <w:ind w:right="34"/>
              <w:rPr/>
            </w:pPr>
            <w:r w:rsidDel="00000000" w:rsidR="00000000" w:rsidRPr="00000000">
              <w:rPr>
                <w:rtl w:val="0"/>
              </w:rPr>
            </w:r>
          </w:p>
          <w:p w:rsidR="00000000" w:rsidDel="00000000" w:rsidP="00000000" w:rsidRDefault="00000000" w:rsidRPr="00000000" w14:paraId="00000016">
            <w:pPr>
              <w:spacing w:line="240" w:lineRule="auto"/>
              <w:ind w:right="34"/>
              <w:rPr/>
            </w:pPr>
            <w:r w:rsidDel="00000000" w:rsidR="00000000" w:rsidRPr="00000000">
              <w:rPr>
                <w:rtl w:val="0"/>
              </w:rPr>
              <w:t xml:space="preserve">Module title: Researching Contemporary Cosmologies</w:t>
            </w:r>
          </w:p>
          <w:p w:rsidR="00000000" w:rsidDel="00000000" w:rsidP="00000000" w:rsidRDefault="00000000" w:rsidRPr="00000000" w14:paraId="00000017">
            <w:pPr>
              <w:spacing w:line="240" w:lineRule="auto"/>
              <w:ind w:right="34"/>
              <w:rPr/>
            </w:pPr>
            <w:r w:rsidDel="00000000" w:rsidR="00000000" w:rsidRPr="00000000">
              <w:rPr>
                <w:rtl w:val="0"/>
              </w:rPr>
            </w:r>
          </w:p>
          <w:p w:rsidR="00000000" w:rsidDel="00000000" w:rsidP="00000000" w:rsidRDefault="00000000" w:rsidRPr="00000000" w14:paraId="00000018">
            <w:pPr>
              <w:spacing w:line="240" w:lineRule="auto"/>
              <w:ind w:right="34"/>
              <w:rPr/>
            </w:pPr>
            <w:r w:rsidDel="00000000" w:rsidR="00000000" w:rsidRPr="00000000">
              <w:rPr>
                <w:rtl w:val="0"/>
              </w:rPr>
            </w:r>
          </w:p>
        </w:tc>
        <w:tc>
          <w:tcPr>
            <w:gridSpan w:val="3"/>
            <w:vAlign w:val="top"/>
          </w:tcPr>
          <w:p w:rsidR="00000000" w:rsidDel="00000000" w:rsidP="00000000" w:rsidRDefault="00000000" w:rsidRPr="00000000" w14:paraId="00000019">
            <w:pPr>
              <w:spacing w:line="240" w:lineRule="auto"/>
              <w:ind w:right="34"/>
              <w:rPr/>
            </w:pPr>
            <w:r w:rsidDel="00000000" w:rsidR="00000000" w:rsidRPr="00000000">
              <w:rPr>
                <w:rtl w:val="0"/>
              </w:rPr>
              <w:t xml:space="preserve">Student ID number:</w:t>
            </w:r>
          </w:p>
          <w:p w:rsidR="00000000" w:rsidDel="00000000" w:rsidP="00000000" w:rsidRDefault="00000000" w:rsidRPr="00000000" w14:paraId="0000001A">
            <w:pPr>
              <w:spacing w:line="240" w:lineRule="auto"/>
              <w:ind w:right="34"/>
              <w:rPr/>
            </w:pPr>
            <w:r w:rsidDel="00000000" w:rsidR="00000000" w:rsidRPr="00000000">
              <w:rPr>
                <w:rtl w:val="0"/>
              </w:rPr>
            </w:r>
          </w:p>
          <w:p w:rsidR="00000000" w:rsidDel="00000000" w:rsidP="00000000" w:rsidRDefault="00000000" w:rsidRPr="00000000" w14:paraId="0000001B">
            <w:pPr>
              <w:spacing w:line="240" w:lineRule="auto"/>
              <w:ind w:right="34"/>
              <w:rPr/>
            </w:pPr>
            <w:r w:rsidDel="00000000" w:rsidR="00000000" w:rsidRPr="00000000">
              <w:rPr>
                <w:rtl w:val="0"/>
              </w:rPr>
              <w:t xml:space="preserve">2430245</w:t>
            </w:r>
          </w:p>
        </w:tc>
        <w:tc>
          <w:tcPr>
            <w:vAlign w:val="top"/>
          </w:tcPr>
          <w:p w:rsidR="00000000" w:rsidDel="00000000" w:rsidP="00000000" w:rsidRDefault="00000000" w:rsidRPr="00000000" w14:paraId="0000001E">
            <w:pPr>
              <w:spacing w:line="240" w:lineRule="auto"/>
              <w:ind w:right="34"/>
              <w:rPr/>
            </w:pPr>
            <w:r w:rsidDel="00000000" w:rsidR="00000000" w:rsidRPr="00000000">
              <w:rPr>
                <w:rtl w:val="0"/>
              </w:rPr>
              <w:t xml:space="preserve">Educational support needs:</w:t>
            </w:r>
          </w:p>
          <w:p w:rsidR="00000000" w:rsidDel="00000000" w:rsidP="00000000" w:rsidRDefault="00000000" w:rsidRPr="00000000" w14:paraId="0000001F">
            <w:pPr>
              <w:spacing w:line="240" w:lineRule="auto"/>
              <w:ind w:right="34"/>
              <w:rPr/>
            </w:pPr>
            <w:r w:rsidDel="00000000" w:rsidR="00000000" w:rsidRPr="00000000">
              <w:rPr>
                <w:rtl w:val="0"/>
              </w:rPr>
              <w:t xml:space="preserve">No</w:t>
            </w:r>
          </w:p>
        </w:tc>
      </w:tr>
      <w:tr>
        <w:trPr>
          <w:cantSplit w:val="0"/>
          <w:trHeight w:val="1139" w:hRule="atLeast"/>
          <w:tblHeader w:val="0"/>
        </w:trPr>
        <w:tc>
          <w:tcPr>
            <w:gridSpan w:val="5"/>
            <w:vAlign w:val="top"/>
          </w:tcPr>
          <w:p w:rsidR="00000000" w:rsidDel="00000000" w:rsidP="00000000" w:rsidRDefault="00000000" w:rsidRPr="00000000" w14:paraId="00000020">
            <w:pPr>
              <w:spacing w:line="240" w:lineRule="auto"/>
              <w:ind w:right="34"/>
              <w:rPr/>
            </w:pPr>
            <w:r w:rsidDel="00000000" w:rsidR="00000000" w:rsidRPr="00000000">
              <w:rPr>
                <w:rtl w:val="0"/>
              </w:rPr>
              <w:t xml:space="preserve">Module tutor: Dr Jack Hunter</w:t>
            </w:r>
          </w:p>
          <w:p w:rsidR="00000000" w:rsidDel="00000000" w:rsidP="00000000" w:rsidRDefault="00000000" w:rsidRPr="00000000" w14:paraId="00000021">
            <w:pPr>
              <w:spacing w:line="240" w:lineRule="auto"/>
              <w:ind w:right="34"/>
              <w:rPr/>
            </w:pPr>
            <w:r w:rsidDel="00000000" w:rsidR="00000000" w:rsidRPr="00000000">
              <w:rPr>
                <w:rtl w:val="0"/>
              </w:rPr>
            </w:r>
          </w:p>
          <w:p w:rsidR="00000000" w:rsidDel="00000000" w:rsidP="00000000" w:rsidRDefault="00000000" w:rsidRPr="00000000" w14:paraId="00000022">
            <w:pPr>
              <w:spacing w:line="240" w:lineRule="auto"/>
              <w:ind w:right="34"/>
              <w:rPr/>
            </w:pPr>
            <w:r w:rsidDel="00000000" w:rsidR="00000000" w:rsidRPr="00000000">
              <w:rPr>
                <w:rtl w:val="0"/>
              </w:rPr>
            </w:r>
          </w:p>
          <w:p w:rsidR="00000000" w:rsidDel="00000000" w:rsidP="00000000" w:rsidRDefault="00000000" w:rsidRPr="00000000" w14:paraId="00000023">
            <w:pPr>
              <w:spacing w:line="240" w:lineRule="auto"/>
              <w:ind w:right="34"/>
              <w:rPr/>
            </w:pPr>
            <w:r w:rsidDel="00000000" w:rsidR="00000000" w:rsidRPr="00000000">
              <w:rPr>
                <w:rtl w:val="0"/>
              </w:rPr>
              <w:t xml:space="preserve">Assignment due date: 17/02/2025</w:t>
            </w:r>
          </w:p>
        </w:tc>
      </w:tr>
      <w:tr>
        <w:trPr>
          <w:cantSplit w:val="0"/>
          <w:trHeight w:val="978" w:hRule="atLeast"/>
          <w:tblHeader w:val="0"/>
        </w:trPr>
        <w:tc>
          <w:tcPr>
            <w:gridSpan w:val="5"/>
            <w:tcBorders>
              <w:bottom w:color="000000" w:space="0" w:sz="4" w:val="single"/>
            </w:tcBorders>
            <w:vAlign w:val="top"/>
          </w:tcPr>
          <w:p w:rsidR="00000000" w:rsidDel="00000000" w:rsidP="00000000" w:rsidRDefault="00000000" w:rsidRPr="00000000" w14:paraId="00000028">
            <w:pPr>
              <w:spacing w:line="240" w:lineRule="auto"/>
              <w:rPr/>
            </w:pPr>
            <w:r w:rsidDel="00000000" w:rsidR="00000000" w:rsidRPr="00000000">
              <w:rPr>
                <w:rtl w:val="0"/>
              </w:rPr>
              <w:t xml:space="preserve">If your module has multiple submissions please indicate which piece of work this is.</w:t>
            </w:r>
          </w:p>
          <w:p w:rsidR="00000000" w:rsidDel="00000000" w:rsidP="00000000" w:rsidRDefault="00000000" w:rsidRPr="00000000" w14:paraId="00000029">
            <w:pPr>
              <w:spacing w:line="240" w:lineRule="auto"/>
              <w:rPr/>
            </w:pPr>
            <w:r w:rsidDel="00000000" w:rsidR="00000000" w:rsidRPr="00000000">
              <w:rPr>
                <w:rtl w:val="0"/>
              </w:rPr>
            </w:r>
          </w:p>
          <w:p w:rsidR="00000000" w:rsidDel="00000000" w:rsidP="00000000" w:rsidRDefault="00000000" w:rsidRPr="00000000" w14:paraId="0000002A">
            <w:pPr>
              <w:spacing w:line="240" w:lineRule="auto"/>
              <w:rPr/>
            </w:pPr>
            <w:r w:rsidDel="00000000" w:rsidR="00000000" w:rsidRPr="00000000">
              <w:rPr>
                <w:rtl w:val="0"/>
              </w:rPr>
              <w:t xml:space="preserve">1</w:t>
            </w:r>
            <w:r w:rsidDel="00000000" w:rsidR="00000000" w:rsidRPr="00000000">
              <w:rPr>
                <w:vertAlign w:val="superscript"/>
                <w:rtl w:val="0"/>
              </w:rPr>
              <w:t xml:space="preserve">st </w:t>
            </w:r>
            <w:bookmarkStart w:colFirst="0" w:colLast="0" w:name="bookmark=kix.z0glnqauaddd" w:id="0"/>
            <w:bookmarkEnd w:id="0"/>
            <w:r w:rsidDel="00000000" w:rsidR="00000000" w:rsidRPr="00000000">
              <w:rPr>
                <w:rtl w:val="0"/>
              </w:rPr>
              <w:t xml:space="preserve">☐    2</w:t>
            </w:r>
            <w:r w:rsidDel="00000000" w:rsidR="00000000" w:rsidRPr="00000000">
              <w:rPr>
                <w:vertAlign w:val="superscript"/>
                <w:rtl w:val="0"/>
              </w:rPr>
              <w:t xml:space="preserve">nd</w:t>
            </w:r>
            <w:r w:rsidDel="00000000" w:rsidR="00000000" w:rsidRPr="00000000">
              <w:rPr>
                <w:rtl w:val="0"/>
              </w:rPr>
              <w:t xml:space="preserve">  </w:t>
            </w:r>
            <w:bookmarkStart w:colFirst="0" w:colLast="0" w:name="bookmark=kix.lpunsf5gih0i" w:id="1"/>
            <w:bookmarkEnd w:id="1"/>
            <w:r w:rsidDel="00000000" w:rsidR="00000000" w:rsidRPr="00000000">
              <w:rPr>
                <w:rtl w:val="0"/>
              </w:rPr>
              <w:t xml:space="preserve">☐     3</w:t>
            </w:r>
            <w:r w:rsidDel="00000000" w:rsidR="00000000" w:rsidRPr="00000000">
              <w:rPr>
                <w:vertAlign w:val="superscript"/>
                <w:rtl w:val="0"/>
              </w:rPr>
              <w:t xml:space="preserve">rd</w:t>
            </w:r>
            <w:r w:rsidDel="00000000" w:rsidR="00000000" w:rsidRPr="00000000">
              <w:rPr>
                <w:rtl w:val="0"/>
              </w:rPr>
              <w:t xml:space="preserve">  </w:t>
            </w:r>
            <w:bookmarkStart w:colFirst="0" w:colLast="0" w:name="bookmark=kix.pateeinfysdg" w:id="2"/>
            <w:bookmarkEnd w:id="2"/>
            <w:r w:rsidDel="00000000" w:rsidR="00000000" w:rsidRPr="00000000">
              <w:rPr>
                <w:rtl w:val="0"/>
              </w:rPr>
              <w:t xml:space="preserve">☐      4</w:t>
            </w:r>
            <w:r w:rsidDel="00000000" w:rsidR="00000000" w:rsidRPr="00000000">
              <w:rPr>
                <w:vertAlign w:val="superscript"/>
                <w:rtl w:val="0"/>
              </w:rPr>
              <w:t xml:space="preserve">th</w:t>
            </w:r>
            <w:r w:rsidDel="00000000" w:rsidR="00000000" w:rsidRPr="00000000">
              <w:rPr>
                <w:rtl w:val="0"/>
              </w:rPr>
              <w:t xml:space="preserve"> </w:t>
            </w:r>
            <w:bookmarkStart w:colFirst="0" w:colLast="0" w:name="bookmark=kix.qgj637o8i24g" w:id="3"/>
            <w:bookmarkEnd w:id="3"/>
            <w:r w:rsidDel="00000000" w:rsidR="00000000" w:rsidRPr="00000000">
              <w:rPr>
                <w:rtl w:val="0"/>
              </w:rPr>
              <w:t xml:space="preserve">☐      5</w:t>
            </w:r>
            <w:r w:rsidDel="00000000" w:rsidR="00000000" w:rsidRPr="00000000">
              <w:rPr>
                <w:vertAlign w:val="superscript"/>
                <w:rtl w:val="0"/>
              </w:rPr>
              <w:t xml:space="preserve">th</w:t>
            </w:r>
            <w:r w:rsidDel="00000000" w:rsidR="00000000" w:rsidRPr="00000000">
              <w:rPr>
                <w:rtl w:val="0"/>
              </w:rPr>
              <w:t xml:space="preserve"> </w:t>
            </w:r>
            <w:bookmarkStart w:colFirst="0" w:colLast="0" w:name="bookmark=kix.cftr0lx00o54" w:id="4"/>
            <w:bookmarkEnd w:id="4"/>
            <w:r w:rsidDel="00000000" w:rsidR="00000000" w:rsidRPr="00000000">
              <w:rPr>
                <w:rtl w:val="0"/>
              </w:rPr>
              <w:t xml:space="preserve">☐      6</w:t>
            </w:r>
            <w:r w:rsidDel="00000000" w:rsidR="00000000" w:rsidRPr="00000000">
              <w:rPr>
                <w:vertAlign w:val="superscript"/>
                <w:rtl w:val="0"/>
              </w:rPr>
              <w:t xml:space="preserve">th</w:t>
            </w:r>
            <w:r w:rsidDel="00000000" w:rsidR="00000000" w:rsidRPr="00000000">
              <w:rPr>
                <w:rtl w:val="0"/>
              </w:rPr>
              <w:t xml:space="preserve"> </w:t>
            </w:r>
            <w:bookmarkStart w:colFirst="0" w:colLast="0" w:name="bookmark=kix.f36y4z266p6d" w:id="5"/>
            <w:bookmarkEnd w:id="5"/>
            <w:r w:rsidDel="00000000" w:rsidR="00000000" w:rsidRPr="00000000">
              <w:rPr>
                <w:rtl w:val="0"/>
              </w:rPr>
              <w:t xml:space="preserve">☐</w:t>
            </w:r>
          </w:p>
        </w:tc>
      </w:tr>
      <w:tr>
        <w:trPr>
          <w:cantSplit w:val="0"/>
          <w:trHeight w:val="978" w:hRule="atLeast"/>
          <w:tblHeader w:val="0"/>
        </w:trPr>
        <w:tc>
          <w:tcPr>
            <w:gridSpan w:val="5"/>
            <w:shd w:fill="d9d9d9" w:val="clear"/>
            <w:vAlign w:val="top"/>
          </w:tcPr>
          <w:p w:rsidR="00000000" w:rsidDel="00000000" w:rsidP="00000000" w:rsidRDefault="00000000" w:rsidRPr="00000000" w14:paraId="0000002F">
            <w:pPr>
              <w:spacing w:line="240" w:lineRule="auto"/>
              <w:ind w:right="34"/>
              <w:rPr/>
            </w:pPr>
            <w:r w:rsidDel="00000000" w:rsidR="00000000" w:rsidRPr="00000000">
              <w:rPr>
                <w:rtl w:val="0"/>
              </w:rPr>
              <w:t xml:space="preserve">I confirm that this is my original work and that I have adhered to the University policy on plagiarism.</w:t>
            </w:r>
          </w:p>
          <w:p w:rsidR="00000000" w:rsidDel="00000000" w:rsidP="00000000" w:rsidRDefault="00000000" w:rsidRPr="00000000" w14:paraId="00000030">
            <w:pPr>
              <w:spacing w:line="240" w:lineRule="auto"/>
              <w:ind w:right="34"/>
              <w:rPr/>
            </w:pPr>
            <w:r w:rsidDel="00000000" w:rsidR="00000000" w:rsidRPr="00000000">
              <w:rPr>
                <w:rtl w:val="0"/>
              </w:rPr>
              <w:t xml:space="preserve">Signed ……………Sarah Morrison ………………………………………………</w:t>
            </w:r>
          </w:p>
          <w:p w:rsidR="00000000" w:rsidDel="00000000" w:rsidP="00000000" w:rsidRDefault="00000000" w:rsidRPr="00000000" w14:paraId="00000031">
            <w:pPr>
              <w:spacing w:line="240" w:lineRule="auto"/>
              <w:ind w:right="34"/>
              <w:rPr>
                <w:rFonts w:ascii="Calibri" w:cs="Calibri" w:eastAsia="Calibri" w:hAnsi="Calibri"/>
                <w:sz w:val="44"/>
                <w:szCs w:val="44"/>
              </w:rPr>
            </w:pPr>
            <w:r w:rsidDel="00000000" w:rsidR="00000000" w:rsidRPr="00000000">
              <w:rPr>
                <w:rFonts w:ascii="Calibri" w:cs="Calibri" w:eastAsia="Calibri" w:hAnsi="Calibri"/>
                <w:b w:val="1"/>
                <w:sz w:val="24"/>
                <w:szCs w:val="24"/>
                <w:rtl w:val="0"/>
              </w:rPr>
              <w:t xml:space="preserve">Email submission: if you are submitting this form via email, please tick this box </w:t>
            </w:r>
            <w:r w:rsidDel="00000000" w:rsidR="00000000" w:rsidRPr="00000000">
              <w:rPr>
                <w:rFonts w:ascii="Calibri" w:cs="Calibri" w:eastAsia="Calibri" w:hAnsi="Calibri"/>
                <w:b w:val="1"/>
                <w:sz w:val="44"/>
                <w:szCs w:val="44"/>
                <w:rtl w:val="0"/>
              </w:rPr>
              <w:t xml:space="preserve">X</w:t>
            </w:r>
            <w:r w:rsidDel="00000000" w:rsidR="00000000" w:rsidRPr="00000000">
              <w:rPr>
                <w:rtl w:val="0"/>
              </w:rPr>
            </w:r>
          </w:p>
          <w:p w:rsidR="00000000" w:rsidDel="00000000" w:rsidP="00000000" w:rsidRDefault="00000000" w:rsidRPr="00000000" w14:paraId="00000032">
            <w:pPr>
              <w:spacing w:line="240" w:lineRule="auto"/>
              <w:ind w:right="34"/>
              <w:rPr/>
            </w:pPr>
            <w:r w:rsidDel="00000000" w:rsidR="00000000" w:rsidRPr="00000000">
              <w:rPr>
                <w:rFonts w:ascii="Calibri" w:cs="Calibri" w:eastAsia="Calibri" w:hAnsi="Calibri"/>
                <w:b w:val="1"/>
                <w:sz w:val="24"/>
                <w:szCs w:val="24"/>
                <w:rtl w:val="0"/>
              </w:rPr>
              <w:t xml:space="preserve">(as a substitute for your signature) to confirm that you agree to the above declaration.</w:t>
            </w:r>
            <w:r w:rsidDel="00000000" w:rsidR="00000000" w:rsidRPr="00000000">
              <w:rPr>
                <w:rtl w:val="0"/>
              </w:rPr>
            </w:r>
          </w:p>
        </w:tc>
      </w:tr>
      <w:tr>
        <w:trPr>
          <w:cantSplit w:val="0"/>
          <w:trHeight w:val="3972" w:hRule="atLeast"/>
          <w:tblHeader w:val="0"/>
        </w:trPr>
        <w:tc>
          <w:tcPr>
            <w:gridSpan w:val="5"/>
            <w:vAlign w:val="top"/>
          </w:tcPr>
          <w:p w:rsidR="00000000" w:rsidDel="00000000" w:rsidP="00000000" w:rsidRDefault="00000000" w:rsidRPr="00000000" w14:paraId="00000037">
            <w:pPr>
              <w:spacing w:line="240" w:lineRule="auto"/>
              <w:rPr>
                <w:sz w:val="24"/>
                <w:szCs w:val="24"/>
              </w:rPr>
            </w:pPr>
            <w:r w:rsidDel="00000000" w:rsidR="00000000" w:rsidRPr="00000000">
              <w:rPr>
                <w:rtl w:val="0"/>
              </w:rPr>
            </w:r>
          </w:p>
          <w:p w:rsidR="00000000" w:rsidDel="00000000" w:rsidP="00000000" w:rsidRDefault="00000000" w:rsidRPr="00000000" w14:paraId="00000038">
            <w:pPr>
              <w:spacing w:line="240" w:lineRule="auto"/>
              <w:rPr>
                <w:sz w:val="24"/>
                <w:szCs w:val="24"/>
              </w:rPr>
            </w:pPr>
            <w:r w:rsidDel="00000000" w:rsidR="00000000" w:rsidRPr="00000000">
              <w:rPr>
                <w:b w:val="1"/>
                <w:sz w:val="24"/>
                <w:szCs w:val="24"/>
                <w:rtl w:val="0"/>
              </w:rPr>
              <w:t xml:space="preserve">Assignment Mark</w:t>
            </w:r>
            <w:r w:rsidDel="00000000" w:rsidR="00000000" w:rsidRPr="00000000">
              <w:rPr>
                <w:rtl w:val="0"/>
              </w:rPr>
            </w:r>
          </w:p>
          <w:tbl>
            <w:tblPr>
              <w:tblStyle w:val="Table2"/>
              <w:tblW w:w="86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970"/>
              <w:gridCol w:w="1660"/>
              <w:tblGridChange w:id="0">
                <w:tblGrid>
                  <w:gridCol w:w="6970"/>
                  <w:gridCol w:w="1660"/>
                </w:tblGrid>
              </w:tblGridChange>
            </w:tblGrid>
            <w:tr>
              <w:trPr>
                <w:cantSplit w:val="0"/>
                <w:tblHeader w:val="0"/>
              </w:trPr>
              <w:tc>
                <w:tcPr>
                  <w:vAlign w:val="top"/>
                </w:tcPr>
                <w:p w:rsidR="00000000" w:rsidDel="00000000" w:rsidP="00000000" w:rsidRDefault="00000000" w:rsidRPr="00000000" w14:paraId="00000039">
                  <w:pPr>
                    <w:spacing w:line="240" w:lineRule="auto"/>
                    <w:rPr>
                      <w:sz w:val="20"/>
                      <w:szCs w:val="20"/>
                    </w:rPr>
                  </w:pPr>
                  <w:r w:rsidDel="00000000" w:rsidR="00000000" w:rsidRPr="00000000">
                    <w:rPr>
                      <w:rtl w:val="0"/>
                    </w:rPr>
                  </w:r>
                </w:p>
                <w:p w:rsidR="00000000" w:rsidDel="00000000" w:rsidP="00000000" w:rsidRDefault="00000000" w:rsidRPr="00000000" w14:paraId="0000003A">
                  <w:pPr>
                    <w:spacing w:line="240" w:lineRule="auto"/>
                    <w:rPr>
                      <w:sz w:val="20"/>
                      <w:szCs w:val="20"/>
                    </w:rPr>
                  </w:pPr>
                  <w:r w:rsidDel="00000000" w:rsidR="00000000" w:rsidRPr="00000000">
                    <w:rPr>
                      <w:b w:val="1"/>
                      <w:sz w:val="20"/>
                      <w:szCs w:val="20"/>
                      <w:rtl w:val="0"/>
                    </w:rPr>
                    <w:t xml:space="preserve">Final Mark</w:t>
                  </w:r>
                  <w:r w:rsidDel="00000000" w:rsidR="00000000" w:rsidRPr="00000000">
                    <w:rPr>
                      <w:rtl w:val="0"/>
                    </w:rPr>
                  </w:r>
                </w:p>
                <w:p w:rsidR="00000000" w:rsidDel="00000000" w:rsidP="00000000" w:rsidRDefault="00000000" w:rsidRPr="00000000" w14:paraId="0000003B">
                  <w:pPr>
                    <w:spacing w:line="240" w:lineRule="auto"/>
                    <w:rPr>
                      <w:sz w:val="20"/>
                      <w:szCs w:val="20"/>
                    </w:rPr>
                  </w:pPr>
                  <w:r w:rsidDel="00000000" w:rsidR="00000000" w:rsidRPr="00000000">
                    <w:rPr>
                      <w:rtl w:val="0"/>
                    </w:rPr>
                  </w:r>
                </w:p>
              </w:tc>
              <w:tc>
                <w:tcPr>
                  <w:vAlign w:val="top"/>
                </w:tcPr>
                <w:p w:rsidR="00000000" w:rsidDel="00000000" w:rsidP="00000000" w:rsidRDefault="00000000" w:rsidRPr="00000000" w14:paraId="0000003C">
                  <w:pPr>
                    <w:spacing w:line="240" w:lineRule="auto"/>
                    <w:rPr>
                      <w:sz w:val="20"/>
                      <w:szCs w:val="20"/>
                    </w:rPr>
                  </w:pPr>
                  <w:r w:rsidDel="00000000" w:rsidR="00000000" w:rsidRPr="00000000">
                    <w:rPr>
                      <w:sz w:val="20"/>
                      <w:szCs w:val="20"/>
                      <w:rtl w:val="0"/>
                    </w:rPr>
                    <w:t xml:space="preserve">WILL BE GIVEN ON TURNITIN</w:t>
                  </w:r>
                </w:p>
              </w:tc>
            </w:tr>
          </w:tbl>
          <w:p w:rsidR="00000000" w:rsidDel="00000000" w:rsidP="00000000" w:rsidRDefault="00000000" w:rsidRPr="00000000" w14:paraId="0000003D">
            <w:pPr>
              <w:spacing w:line="240" w:lineRule="auto"/>
              <w:ind w:left="142" w:right="34" w:firstLine="0"/>
              <w:rPr/>
            </w:pPr>
            <w:r w:rsidDel="00000000" w:rsidR="00000000" w:rsidRPr="00000000">
              <w:rPr>
                <w:rtl w:val="0"/>
              </w:rPr>
            </w:r>
          </w:p>
          <w:p w:rsidR="00000000" w:rsidDel="00000000" w:rsidP="00000000" w:rsidRDefault="00000000" w:rsidRPr="00000000" w14:paraId="0000003E">
            <w:pPr>
              <w:spacing w:line="240" w:lineRule="auto"/>
              <w:ind w:left="142" w:right="34" w:firstLine="0"/>
              <w:rPr/>
            </w:pPr>
            <w:r w:rsidDel="00000000" w:rsidR="00000000" w:rsidRPr="00000000">
              <w:rPr>
                <w:b w:val="1"/>
                <w:rtl w:val="0"/>
              </w:rPr>
              <w:t xml:space="preserve">NB.</w:t>
            </w:r>
            <w:r w:rsidDel="00000000" w:rsidR="00000000" w:rsidRPr="00000000">
              <w:rPr>
                <w:rtl w:val="0"/>
              </w:rPr>
              <w:t xml:space="preserve">  All marks are provisional until confirmed by the Final Examination Board.</w:t>
            </w:r>
          </w:p>
          <w:p w:rsidR="00000000" w:rsidDel="00000000" w:rsidP="00000000" w:rsidRDefault="00000000" w:rsidRPr="00000000" w14:paraId="0000003F">
            <w:pPr>
              <w:spacing w:line="240" w:lineRule="auto"/>
              <w:rPr/>
            </w:pPr>
            <w:r w:rsidDel="00000000" w:rsidR="00000000" w:rsidRPr="00000000">
              <w:rPr>
                <w:rtl w:val="0"/>
              </w:rPr>
            </w:r>
          </w:p>
          <w:p w:rsidR="00000000" w:rsidDel="00000000" w:rsidP="00000000" w:rsidRDefault="00000000" w:rsidRPr="00000000" w14:paraId="00000040">
            <w:pPr>
              <w:spacing w:line="240" w:lineRule="auto"/>
              <w:rPr/>
            </w:pPr>
            <w:r w:rsidDel="00000000" w:rsidR="00000000" w:rsidRPr="00000000">
              <w:rPr>
                <w:b w:val="1"/>
                <w:rtl w:val="0"/>
              </w:rPr>
              <w:t xml:space="preserve">PLEASE NOTE: ALL COMMENTS WIL BE POSTED ON TURNITIN</w:t>
            </w:r>
            <w:r w:rsidDel="00000000" w:rsidR="00000000" w:rsidRPr="00000000">
              <w:rPr>
                <w:rtl w:val="0"/>
              </w:rPr>
            </w:r>
          </w:p>
          <w:p w:rsidR="00000000" w:rsidDel="00000000" w:rsidP="00000000" w:rsidRDefault="00000000" w:rsidRPr="00000000" w14:paraId="00000041">
            <w:pPr>
              <w:spacing w:line="240" w:lineRule="auto"/>
              <w:rPr/>
            </w:pPr>
            <w:r w:rsidDel="00000000" w:rsidR="00000000" w:rsidRPr="00000000">
              <w:rPr>
                <w:rtl w:val="0"/>
              </w:rPr>
            </w:r>
          </w:p>
          <w:p w:rsidR="00000000" w:rsidDel="00000000" w:rsidP="00000000" w:rsidRDefault="00000000" w:rsidRPr="00000000" w14:paraId="00000042">
            <w:pPr>
              <w:spacing w:line="240" w:lineRule="auto"/>
              <w:rPr/>
            </w:pPr>
            <w:r w:rsidDel="00000000" w:rsidR="00000000" w:rsidRPr="00000000">
              <w:rPr>
                <w:rtl w:val="0"/>
              </w:rPr>
            </w:r>
          </w:p>
          <w:p w:rsidR="00000000" w:rsidDel="00000000" w:rsidP="00000000" w:rsidRDefault="00000000" w:rsidRPr="00000000" w14:paraId="00000043">
            <w:pPr>
              <w:spacing w:line="240" w:lineRule="auto"/>
              <w:rPr/>
            </w:pPr>
            <w:r w:rsidDel="00000000" w:rsidR="00000000" w:rsidRPr="00000000">
              <w:rPr>
                <w:b w:val="1"/>
                <w:rtl w:val="0"/>
              </w:rPr>
              <w:t xml:space="preserve">For completion by Marker 1 :</w:t>
            </w:r>
            <w:r w:rsidDel="00000000" w:rsidR="00000000" w:rsidRPr="00000000">
              <w:rPr>
                <w:rtl w:val="0"/>
              </w:rPr>
            </w:r>
          </w:p>
          <w:p w:rsidR="00000000" w:rsidDel="00000000" w:rsidP="00000000" w:rsidRDefault="00000000" w:rsidRPr="00000000" w14:paraId="00000044">
            <w:pPr>
              <w:spacing w:after="280" w:before="280" w:line="240" w:lineRule="auto"/>
              <w:rPr/>
            </w:pPr>
            <w:r w:rsidDel="00000000" w:rsidR="00000000" w:rsidRPr="00000000">
              <w:rPr>
                <w:rtl w:val="0"/>
              </w:rPr>
              <w:t xml:space="preserve">Comments:</w:t>
            </w:r>
          </w:p>
          <w:p w:rsidR="00000000" w:rsidDel="00000000" w:rsidP="00000000" w:rsidRDefault="00000000" w:rsidRPr="00000000" w14:paraId="00000045">
            <w:pPr>
              <w:spacing w:before="280" w:line="240" w:lineRule="auto"/>
              <w:rPr/>
            </w:pPr>
            <w:r w:rsidDel="00000000" w:rsidR="00000000" w:rsidRPr="00000000">
              <w:rPr>
                <w:rtl w:val="0"/>
              </w:rPr>
            </w:r>
          </w:p>
        </w:tc>
      </w:tr>
      <w:tr>
        <w:trPr>
          <w:cantSplit w:val="0"/>
          <w:trHeight w:val="492" w:hRule="atLeast"/>
          <w:tblHeader w:val="0"/>
        </w:trPr>
        <w:tc>
          <w:tcPr>
            <w:gridSpan w:val="3"/>
            <w:vAlign w:val="top"/>
          </w:tcPr>
          <w:p w:rsidR="00000000" w:rsidDel="00000000" w:rsidP="00000000" w:rsidRDefault="00000000" w:rsidRPr="00000000" w14:paraId="0000004A">
            <w:pPr>
              <w:spacing w:line="240" w:lineRule="auto"/>
              <w:ind w:left="142" w:right="34" w:firstLine="0"/>
              <w:rPr/>
            </w:pPr>
            <w:r w:rsidDel="00000000" w:rsidR="00000000" w:rsidRPr="00000000">
              <w:rPr>
                <w:rtl w:val="0"/>
              </w:rPr>
              <w:t xml:space="preserve">Marker’s signature:</w:t>
            </w:r>
          </w:p>
        </w:tc>
        <w:tc>
          <w:tcPr>
            <w:gridSpan w:val="2"/>
            <w:vAlign w:val="top"/>
          </w:tcPr>
          <w:p w:rsidR="00000000" w:rsidDel="00000000" w:rsidP="00000000" w:rsidRDefault="00000000" w:rsidRPr="00000000" w14:paraId="0000004D">
            <w:pPr>
              <w:spacing w:line="240" w:lineRule="auto"/>
              <w:ind w:left="142" w:right="34" w:firstLine="0"/>
              <w:rPr/>
            </w:pPr>
            <w:r w:rsidDel="00000000" w:rsidR="00000000" w:rsidRPr="00000000">
              <w:rPr>
                <w:rtl w:val="0"/>
              </w:rPr>
              <w:t xml:space="preserve">Date:</w:t>
            </w:r>
          </w:p>
        </w:tc>
      </w:tr>
      <w:tr>
        <w:trPr>
          <w:cantSplit w:val="0"/>
          <w:tblHeader w:val="0"/>
        </w:trPr>
        <w:tc>
          <w:tcPr>
            <w:gridSpan w:val="5"/>
            <w:vAlign w:val="top"/>
          </w:tcPr>
          <w:p w:rsidR="00000000" w:rsidDel="00000000" w:rsidP="00000000" w:rsidRDefault="00000000" w:rsidRPr="00000000" w14:paraId="0000004F">
            <w:pPr>
              <w:spacing w:line="240" w:lineRule="auto"/>
              <w:ind w:right="-334"/>
              <w:rPr/>
            </w:pPr>
            <w:r w:rsidDel="00000000" w:rsidR="00000000" w:rsidRPr="00000000">
              <w:rPr>
                <w:rtl w:val="0"/>
              </w:rPr>
            </w:r>
          </w:p>
          <w:p w:rsidR="00000000" w:rsidDel="00000000" w:rsidP="00000000" w:rsidRDefault="00000000" w:rsidRPr="00000000" w14:paraId="00000050">
            <w:pPr>
              <w:spacing w:line="240" w:lineRule="auto"/>
              <w:ind w:right="-334"/>
              <w:rPr/>
            </w:pPr>
            <w:r w:rsidDel="00000000" w:rsidR="00000000" w:rsidRPr="00000000">
              <w:rPr>
                <w:b w:val="1"/>
                <w:rtl w:val="0"/>
              </w:rPr>
              <w:t xml:space="preserve">For completion by Marker 2/Moderator:</w:t>
            </w:r>
            <w:r w:rsidDel="00000000" w:rsidR="00000000" w:rsidRPr="00000000">
              <w:rPr>
                <w:rtl w:val="0"/>
              </w:rPr>
            </w:r>
          </w:p>
          <w:p w:rsidR="00000000" w:rsidDel="00000000" w:rsidP="00000000" w:rsidRDefault="00000000" w:rsidRPr="00000000" w14:paraId="00000051">
            <w:pPr>
              <w:spacing w:line="240" w:lineRule="auto"/>
              <w:ind w:right="-334"/>
              <w:rPr/>
            </w:pPr>
            <w:r w:rsidDel="00000000" w:rsidR="00000000" w:rsidRPr="00000000">
              <w:rPr>
                <w:rtl w:val="0"/>
              </w:rPr>
            </w:r>
          </w:p>
          <w:p w:rsidR="00000000" w:rsidDel="00000000" w:rsidP="00000000" w:rsidRDefault="00000000" w:rsidRPr="00000000" w14:paraId="00000052">
            <w:pPr>
              <w:spacing w:line="240" w:lineRule="auto"/>
              <w:ind w:right="-334"/>
              <w:rPr/>
            </w:pPr>
            <w:r w:rsidDel="00000000" w:rsidR="00000000" w:rsidRPr="00000000">
              <w:rPr>
                <w:rtl w:val="0"/>
              </w:rPr>
              <w:t xml:space="preserve">Comments:</w:t>
            </w:r>
          </w:p>
          <w:p w:rsidR="00000000" w:rsidDel="00000000" w:rsidP="00000000" w:rsidRDefault="00000000" w:rsidRPr="00000000" w14:paraId="00000053">
            <w:pPr>
              <w:spacing w:line="240" w:lineRule="auto"/>
              <w:ind w:right="-334"/>
              <w:rPr/>
            </w:pPr>
            <w:r w:rsidDel="00000000" w:rsidR="00000000" w:rsidRPr="00000000">
              <w:rPr>
                <w:rtl w:val="0"/>
              </w:rPr>
            </w:r>
          </w:p>
          <w:p w:rsidR="00000000" w:rsidDel="00000000" w:rsidP="00000000" w:rsidRDefault="00000000" w:rsidRPr="00000000" w14:paraId="00000054">
            <w:pPr>
              <w:spacing w:line="240" w:lineRule="auto"/>
              <w:ind w:right="-334"/>
              <w:rPr/>
            </w:pPr>
            <w:r w:rsidDel="00000000" w:rsidR="00000000" w:rsidRPr="00000000">
              <w:rPr>
                <w:rtl w:val="0"/>
              </w:rPr>
            </w:r>
          </w:p>
          <w:p w:rsidR="00000000" w:rsidDel="00000000" w:rsidP="00000000" w:rsidRDefault="00000000" w:rsidRPr="00000000" w14:paraId="00000055">
            <w:pPr>
              <w:spacing w:line="240" w:lineRule="auto"/>
              <w:ind w:right="-334"/>
              <w:rPr/>
            </w:pPr>
            <w:r w:rsidDel="00000000" w:rsidR="00000000" w:rsidRPr="00000000">
              <w:rPr>
                <w:rtl w:val="0"/>
              </w:rPr>
            </w:r>
          </w:p>
        </w:tc>
      </w:tr>
      <w:tr>
        <w:trPr>
          <w:cantSplit w:val="0"/>
          <w:trHeight w:val="720" w:hRule="atLeast"/>
          <w:tblHeader w:val="0"/>
        </w:trPr>
        <w:tc>
          <w:tcPr>
            <w:gridSpan w:val="2"/>
            <w:vAlign w:val="top"/>
          </w:tcPr>
          <w:p w:rsidR="00000000" w:rsidDel="00000000" w:rsidP="00000000" w:rsidRDefault="00000000" w:rsidRPr="00000000" w14:paraId="0000005A">
            <w:pPr>
              <w:spacing w:line="240" w:lineRule="auto"/>
              <w:ind w:right="-334"/>
              <w:rPr/>
            </w:pPr>
            <w:r w:rsidDel="00000000" w:rsidR="00000000" w:rsidRPr="00000000">
              <w:rPr>
                <w:rtl w:val="0"/>
              </w:rPr>
              <w:t xml:space="preserve">Marker’s Signature:</w:t>
            </w:r>
          </w:p>
        </w:tc>
        <w:tc>
          <w:tcPr>
            <w:gridSpan w:val="3"/>
            <w:vAlign w:val="top"/>
          </w:tcPr>
          <w:p w:rsidR="00000000" w:rsidDel="00000000" w:rsidP="00000000" w:rsidRDefault="00000000" w:rsidRPr="00000000" w14:paraId="0000005C">
            <w:pPr>
              <w:spacing w:line="240" w:lineRule="auto"/>
              <w:ind w:right="-334"/>
              <w:rPr/>
            </w:pPr>
            <w:r w:rsidDel="00000000" w:rsidR="00000000" w:rsidRPr="00000000">
              <w:rPr>
                <w:rtl w:val="0"/>
              </w:rPr>
              <w:t xml:space="preserve">Date:</w:t>
            </w:r>
          </w:p>
        </w:tc>
      </w:tr>
      <w:tr>
        <w:trPr>
          <w:cantSplit w:val="0"/>
          <w:trHeight w:val="720" w:hRule="atLeast"/>
          <w:tblHeader w:val="0"/>
        </w:trPr>
        <w:tc>
          <w:tcPr>
            <w:gridSpan w:val="5"/>
            <w:vAlign w:val="top"/>
          </w:tcPr>
          <w:p w:rsidR="00000000" w:rsidDel="00000000" w:rsidP="00000000" w:rsidRDefault="00000000" w:rsidRPr="00000000" w14:paraId="0000005F">
            <w:pPr>
              <w:spacing w:line="240" w:lineRule="auto"/>
              <w:rPr/>
            </w:pPr>
            <w:r w:rsidDel="00000000" w:rsidR="00000000" w:rsidRPr="00000000">
              <w:rPr>
                <w:b w:val="1"/>
                <w:rtl w:val="0"/>
              </w:rPr>
              <w:t xml:space="preserve">AGREED INTERNAL MARK (where necessary):</w:t>
            </w:r>
            <w:r w:rsidDel="00000000" w:rsidR="00000000" w:rsidRPr="00000000">
              <w:rPr>
                <w:rtl w:val="0"/>
              </w:rPr>
            </w:r>
          </w:p>
          <w:p w:rsidR="00000000" w:rsidDel="00000000" w:rsidP="00000000" w:rsidRDefault="00000000" w:rsidRPr="00000000" w14:paraId="00000060">
            <w:pPr>
              <w:spacing w:line="240" w:lineRule="auto"/>
              <w:rPr/>
            </w:pPr>
            <w:r w:rsidDel="00000000" w:rsidR="00000000" w:rsidRPr="00000000">
              <w:rPr>
                <w:rtl w:val="0"/>
              </w:rPr>
            </w:r>
          </w:p>
          <w:p w:rsidR="00000000" w:rsidDel="00000000" w:rsidP="00000000" w:rsidRDefault="00000000" w:rsidRPr="00000000" w14:paraId="00000061">
            <w:pPr>
              <w:spacing w:line="240" w:lineRule="auto"/>
              <w:rPr/>
            </w:pPr>
            <w:r w:rsidDel="00000000" w:rsidR="00000000" w:rsidRPr="00000000">
              <w:rPr>
                <w:b w:val="1"/>
                <w:rtl w:val="0"/>
              </w:rPr>
              <w:t xml:space="preserve">Comment on process of arriving at agreed mark:</w:t>
            </w:r>
            <w:r w:rsidDel="00000000" w:rsidR="00000000" w:rsidRPr="00000000">
              <w:rPr>
                <w:rtl w:val="0"/>
              </w:rPr>
            </w:r>
          </w:p>
          <w:p w:rsidR="00000000" w:rsidDel="00000000" w:rsidP="00000000" w:rsidRDefault="00000000" w:rsidRPr="00000000" w14:paraId="00000062">
            <w:pPr>
              <w:spacing w:line="240" w:lineRule="auto"/>
              <w:rPr/>
            </w:pPr>
            <w:r w:rsidDel="00000000" w:rsidR="00000000" w:rsidRPr="00000000">
              <w:rPr>
                <w:rtl w:val="0"/>
              </w:rPr>
            </w:r>
          </w:p>
          <w:p w:rsidR="00000000" w:rsidDel="00000000" w:rsidP="00000000" w:rsidRDefault="00000000" w:rsidRPr="00000000" w14:paraId="00000063">
            <w:pPr>
              <w:spacing w:line="240" w:lineRule="auto"/>
              <w:rPr/>
            </w:pPr>
            <w:r w:rsidDel="00000000" w:rsidR="00000000" w:rsidRPr="00000000">
              <w:rPr>
                <w:rtl w:val="0"/>
              </w:rPr>
            </w:r>
          </w:p>
          <w:p w:rsidR="00000000" w:rsidDel="00000000" w:rsidP="00000000" w:rsidRDefault="00000000" w:rsidRPr="00000000" w14:paraId="00000064">
            <w:pPr>
              <w:spacing w:line="240" w:lineRule="auto"/>
              <w:rPr/>
            </w:pPr>
            <w:r w:rsidDel="00000000" w:rsidR="00000000" w:rsidRPr="00000000">
              <w:rPr>
                <w:rtl w:val="0"/>
              </w:rPr>
            </w:r>
          </w:p>
          <w:p w:rsidR="00000000" w:rsidDel="00000000" w:rsidP="00000000" w:rsidRDefault="00000000" w:rsidRPr="00000000" w14:paraId="00000065">
            <w:pPr>
              <w:spacing w:line="240" w:lineRule="auto"/>
              <w:rPr/>
            </w:pPr>
            <w:r w:rsidDel="00000000" w:rsidR="00000000" w:rsidRPr="00000000">
              <w:rPr>
                <w:rtl w:val="0"/>
              </w:rPr>
            </w:r>
          </w:p>
          <w:p w:rsidR="00000000" w:rsidDel="00000000" w:rsidP="00000000" w:rsidRDefault="00000000" w:rsidRPr="00000000" w14:paraId="00000066">
            <w:pPr>
              <w:spacing w:line="240" w:lineRule="auto"/>
              <w:rPr/>
            </w:pPr>
            <w:r w:rsidDel="00000000" w:rsidR="00000000" w:rsidRPr="00000000">
              <w:rPr>
                <w:rtl w:val="0"/>
              </w:rPr>
            </w:r>
          </w:p>
          <w:p w:rsidR="00000000" w:rsidDel="00000000" w:rsidP="00000000" w:rsidRDefault="00000000" w:rsidRPr="00000000" w14:paraId="00000067">
            <w:pPr>
              <w:spacing w:line="240" w:lineRule="auto"/>
              <w:rPr/>
            </w:pPr>
            <w:r w:rsidDel="00000000" w:rsidR="00000000" w:rsidRPr="00000000">
              <w:rPr>
                <w:rtl w:val="0"/>
              </w:rPr>
            </w:r>
          </w:p>
          <w:p w:rsidR="00000000" w:rsidDel="00000000" w:rsidP="00000000" w:rsidRDefault="00000000" w:rsidRPr="00000000" w14:paraId="00000068">
            <w:pPr>
              <w:spacing w:line="240" w:lineRule="auto"/>
              <w:rPr/>
            </w:pPr>
            <w:r w:rsidDel="00000000" w:rsidR="00000000" w:rsidRPr="00000000">
              <w:rPr>
                <w:rtl w:val="0"/>
              </w:rPr>
            </w:r>
          </w:p>
          <w:p w:rsidR="00000000" w:rsidDel="00000000" w:rsidP="00000000" w:rsidRDefault="00000000" w:rsidRPr="00000000" w14:paraId="00000069">
            <w:pPr>
              <w:spacing w:line="240" w:lineRule="auto"/>
              <w:rPr/>
            </w:pPr>
            <w:r w:rsidDel="00000000" w:rsidR="00000000" w:rsidRPr="00000000">
              <w:rPr>
                <w:rtl w:val="0"/>
              </w:rPr>
            </w:r>
          </w:p>
        </w:tc>
      </w:tr>
      <w:tr>
        <w:trPr>
          <w:cantSplit w:val="0"/>
          <w:trHeight w:val="720" w:hRule="atLeast"/>
          <w:tblHeader w:val="0"/>
        </w:trPr>
        <w:tc>
          <w:tcPr>
            <w:gridSpan w:val="5"/>
            <w:vAlign w:val="top"/>
          </w:tcPr>
          <w:p w:rsidR="00000000" w:rsidDel="00000000" w:rsidP="00000000" w:rsidRDefault="00000000" w:rsidRPr="00000000" w14:paraId="0000006E">
            <w:pPr>
              <w:spacing w:line="240" w:lineRule="auto"/>
              <w:rPr/>
            </w:pPr>
            <w:r w:rsidDel="00000000" w:rsidR="00000000" w:rsidRPr="00000000">
              <w:rPr>
                <w:b w:val="1"/>
                <w:rtl w:val="0"/>
              </w:rPr>
              <w:t xml:space="preserve">External Examiner’s comments (if relevant)</w:t>
            </w:r>
            <w:r w:rsidDel="00000000" w:rsidR="00000000" w:rsidRPr="00000000">
              <w:rPr>
                <w:rtl w:val="0"/>
              </w:rPr>
            </w:r>
          </w:p>
          <w:p w:rsidR="00000000" w:rsidDel="00000000" w:rsidP="00000000" w:rsidRDefault="00000000" w:rsidRPr="00000000" w14:paraId="0000006F">
            <w:pPr>
              <w:spacing w:line="240" w:lineRule="auto"/>
              <w:ind w:right="-334"/>
              <w:rPr/>
            </w:pPr>
            <w:r w:rsidDel="00000000" w:rsidR="00000000" w:rsidRPr="00000000">
              <w:rPr>
                <w:rtl w:val="0"/>
              </w:rPr>
            </w:r>
          </w:p>
          <w:p w:rsidR="00000000" w:rsidDel="00000000" w:rsidP="00000000" w:rsidRDefault="00000000" w:rsidRPr="00000000" w14:paraId="00000070">
            <w:pPr>
              <w:spacing w:line="240" w:lineRule="auto"/>
              <w:ind w:right="-334"/>
              <w:rPr/>
            </w:pPr>
            <w:r w:rsidDel="00000000" w:rsidR="00000000" w:rsidRPr="00000000">
              <w:rPr>
                <w:rtl w:val="0"/>
              </w:rPr>
            </w:r>
          </w:p>
          <w:p w:rsidR="00000000" w:rsidDel="00000000" w:rsidP="00000000" w:rsidRDefault="00000000" w:rsidRPr="00000000" w14:paraId="00000071">
            <w:pPr>
              <w:spacing w:line="240" w:lineRule="auto"/>
              <w:ind w:right="-334"/>
              <w:rPr/>
            </w:pPr>
            <w:r w:rsidDel="00000000" w:rsidR="00000000" w:rsidRPr="00000000">
              <w:rPr>
                <w:rtl w:val="0"/>
              </w:rPr>
            </w:r>
          </w:p>
          <w:p w:rsidR="00000000" w:rsidDel="00000000" w:rsidP="00000000" w:rsidRDefault="00000000" w:rsidRPr="00000000" w14:paraId="00000072">
            <w:pPr>
              <w:spacing w:line="240" w:lineRule="auto"/>
              <w:ind w:right="-334"/>
              <w:rPr/>
            </w:pPr>
            <w:r w:rsidDel="00000000" w:rsidR="00000000" w:rsidRPr="00000000">
              <w:rPr>
                <w:rtl w:val="0"/>
              </w:rPr>
            </w:r>
          </w:p>
          <w:p w:rsidR="00000000" w:rsidDel="00000000" w:rsidP="00000000" w:rsidRDefault="00000000" w:rsidRPr="00000000" w14:paraId="00000073">
            <w:pPr>
              <w:spacing w:line="240" w:lineRule="auto"/>
              <w:ind w:right="-334"/>
              <w:rPr/>
            </w:pPr>
            <w:r w:rsidDel="00000000" w:rsidR="00000000" w:rsidRPr="00000000">
              <w:rPr>
                <w:rtl w:val="0"/>
              </w:rPr>
            </w:r>
          </w:p>
          <w:p w:rsidR="00000000" w:rsidDel="00000000" w:rsidP="00000000" w:rsidRDefault="00000000" w:rsidRPr="00000000" w14:paraId="00000074">
            <w:pPr>
              <w:spacing w:line="240" w:lineRule="auto"/>
              <w:ind w:right="-334"/>
              <w:rPr/>
            </w:pPr>
            <w:r w:rsidDel="00000000" w:rsidR="00000000" w:rsidRPr="00000000">
              <w:rPr>
                <w:rtl w:val="0"/>
              </w:rPr>
            </w:r>
          </w:p>
          <w:p w:rsidR="00000000" w:rsidDel="00000000" w:rsidP="00000000" w:rsidRDefault="00000000" w:rsidRPr="00000000" w14:paraId="00000075">
            <w:pPr>
              <w:spacing w:line="240" w:lineRule="auto"/>
              <w:ind w:right="-334"/>
              <w:rPr/>
            </w:pPr>
            <w:r w:rsidDel="00000000" w:rsidR="00000000" w:rsidRPr="00000000">
              <w:rPr>
                <w:rtl w:val="0"/>
              </w:rPr>
            </w:r>
          </w:p>
        </w:tc>
      </w:tr>
      <w:tr>
        <w:trPr>
          <w:cantSplit w:val="0"/>
          <w:trHeight w:val="720" w:hRule="atLeast"/>
          <w:tblHeader w:val="0"/>
        </w:trPr>
        <w:tc>
          <w:tcPr>
            <w:gridSpan w:val="2"/>
            <w:vAlign w:val="top"/>
          </w:tcPr>
          <w:p w:rsidR="00000000" w:rsidDel="00000000" w:rsidP="00000000" w:rsidRDefault="00000000" w:rsidRPr="00000000" w14:paraId="0000007A">
            <w:pPr>
              <w:spacing w:line="240" w:lineRule="auto"/>
              <w:rPr/>
            </w:pPr>
            <w:r w:rsidDel="00000000" w:rsidR="00000000" w:rsidRPr="00000000">
              <w:rPr>
                <w:rtl w:val="0"/>
              </w:rPr>
              <w:t xml:space="preserve">External Examiner’s Signature:</w:t>
            </w:r>
          </w:p>
        </w:tc>
        <w:tc>
          <w:tcPr>
            <w:gridSpan w:val="3"/>
            <w:vAlign w:val="top"/>
          </w:tcPr>
          <w:p w:rsidR="00000000" w:rsidDel="00000000" w:rsidP="00000000" w:rsidRDefault="00000000" w:rsidRPr="00000000" w14:paraId="0000007C">
            <w:pPr>
              <w:spacing w:line="240" w:lineRule="auto"/>
              <w:rPr/>
            </w:pPr>
            <w:r w:rsidDel="00000000" w:rsidR="00000000" w:rsidRPr="00000000">
              <w:rPr>
                <w:rtl w:val="0"/>
              </w:rPr>
              <w:t xml:space="preserve">Date:</w:t>
            </w:r>
          </w:p>
        </w:tc>
      </w:tr>
    </w:tbl>
    <w:p w:rsidR="00000000" w:rsidDel="00000000" w:rsidP="00000000" w:rsidRDefault="00000000" w:rsidRPr="00000000" w14:paraId="0000007F">
      <w:pPr>
        <w:spacing w:line="240" w:lineRule="auto"/>
        <w:ind w:right="-334"/>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080">
      <w:pP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081">
      <w:pP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082">
      <w:pP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083">
      <w:pP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084">
      <w:pP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085">
      <w:pP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086">
      <w:pP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087">
      <w:pP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088">
      <w:pPr>
        <w:spacing w:line="240" w:lineRule="auto"/>
        <w:jc w:val="both"/>
        <w:rPr>
          <w:sz w:val="24"/>
          <w:szCs w:val="24"/>
        </w:rPr>
      </w:pPr>
      <w:r w:rsidDel="00000000" w:rsidR="00000000" w:rsidRPr="00000000">
        <w:rPr>
          <w:sz w:val="36"/>
          <w:szCs w:val="36"/>
          <w:rtl w:val="0"/>
        </w:rPr>
        <w:t xml:space="preserve">A Critical Comparison of two Secondary Sources</w:t>
      </w:r>
      <w:r w:rsidDel="00000000" w:rsidR="00000000" w:rsidRPr="00000000">
        <w:rPr>
          <w:rtl w:val="0"/>
        </w:rPr>
      </w:r>
    </w:p>
    <w:p w:rsidR="00000000" w:rsidDel="00000000" w:rsidP="00000000" w:rsidRDefault="00000000" w:rsidRPr="00000000" w14:paraId="00000089">
      <w:pP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08A">
      <w:pPr>
        <w:shd w:fill="ffffff" w:val="clear"/>
        <w:spacing w:after="240" w:before="240" w:lineRule="auto"/>
        <w:rPr>
          <w:sz w:val="24"/>
          <w:szCs w:val="24"/>
        </w:rPr>
      </w:pPr>
      <w:r w:rsidDel="00000000" w:rsidR="00000000" w:rsidRPr="00000000">
        <w:rPr>
          <w:sz w:val="24"/>
          <w:szCs w:val="24"/>
          <w:rtl w:val="0"/>
        </w:rPr>
        <w:t xml:space="preserve">This essay critically compares and contrasts two academic studies on religious belief: T.L. Brink’s Inconsistency of Belief among Roman Catholic Girls (1978) and Tony Walter &amp; Helen Waterhouse’s A Very Private Belief: Reincarnation in Contemporary England (1999). Brink, employing a psychological framework, examines belief inconsistency through structured surveys, testing cognitive dissonance among Catholic schoolgirls. Walter and Waterhouse, adopting a sociological perspective, explore reincarnation beliefs in contemporary England through qualitative interviews, situating belief within a broader trend of religious privatization. By comparing their methodological choices, epistemological assumptions, and engagement with literature, this analysis highlights the strengths and limitations of both approaches, ultimately arguing for an integrated perspective that balances empirical measurement with interpretive depth.</w:t>
      </w:r>
    </w:p>
    <w:p w:rsidR="00000000" w:rsidDel="00000000" w:rsidP="00000000" w:rsidRDefault="00000000" w:rsidRPr="00000000" w14:paraId="0000008B">
      <w:pPr>
        <w:shd w:fill="ffffff" w:val="clear"/>
        <w:spacing w:after="240" w:before="240" w:lineRule="auto"/>
        <w:rPr>
          <w:sz w:val="24"/>
          <w:szCs w:val="24"/>
        </w:rPr>
      </w:pPr>
      <w:r w:rsidDel="00000000" w:rsidR="00000000" w:rsidRPr="00000000">
        <w:rPr>
          <w:sz w:val="24"/>
          <w:szCs w:val="24"/>
          <w:rtl w:val="0"/>
        </w:rPr>
        <w:t xml:space="preserve">Brink’s study is grounded in cognitive consistency theories, particularly Festinger’s (1957) cognitive dissonance theory, which suggests that individuals strive to align their beliefs and attitudes. His work is primarily aimed at academics in religious psychology and cognitive studies, contributing to debates on belief consistency and adherence to doctrinal teachings. The context of his study—1970s America—was shaped by increasing psychological interest in religious commitment and cognitive dissonance, making his focus on Catholic schoolgirls particularly relevant to contemporary discussions on youth religiosity. However, his study assumes that belief inconsistency should be resolved rather than accepted. </w:t>
      </w:r>
    </w:p>
    <w:p w:rsidR="00000000" w:rsidDel="00000000" w:rsidP="00000000" w:rsidRDefault="00000000" w:rsidRPr="00000000" w14:paraId="0000008C">
      <w:pPr>
        <w:shd w:fill="ffffff" w:val="clear"/>
        <w:spacing w:after="240" w:before="240" w:lineRule="auto"/>
        <w:rPr>
          <w:sz w:val="24"/>
          <w:szCs w:val="24"/>
        </w:rPr>
      </w:pPr>
      <w:r w:rsidDel="00000000" w:rsidR="00000000" w:rsidRPr="00000000">
        <w:rPr>
          <w:sz w:val="24"/>
          <w:szCs w:val="24"/>
          <w:rtl w:val="0"/>
        </w:rPr>
        <w:t xml:space="preserve">Walter and Waterhouse’s study belongs to the sociological tradition, engaging with theories of belief privatization (Berger, 1969; Davie, 1994). Their research is contextualized within discussions of modernity and religious pluralism, analyzing how individuals integrate spiritual beliefs outside institutional structures. Their audience includes sociologists of religion, anthropologists, and scholars studying secularization, offering insights into the dynamics of belief in post-Christian societies, where religion is increasingly detached from formal institutions. Unlike Brink, who assumes a need for internal consistency, Walter and Waterhouse challenge this assumption, arguing that contemporary religious belief is often fragmented and individualized. As they note, “Reincarnation may prove prototypical of a kind of new religious belief that requires no church, sect, or cult for its sustenance” (Walter &amp; Waterhouse, 1999, p. 196), highlighting the increasing detachment of belief from institutional frameworks in modern religious life.</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sz w:val="24"/>
          <w:szCs w:val="24"/>
          <w:highlight w:val="white"/>
        </w:rPr>
      </w:pPr>
      <w:r w:rsidDel="00000000" w:rsidR="00000000" w:rsidRPr="00000000">
        <w:rPr>
          <w:sz w:val="24"/>
          <w:szCs w:val="24"/>
          <w:highlight w:val="white"/>
          <w:rtl w:val="0"/>
        </w:rPr>
        <w:t xml:space="preserve">The methodological choices made reflect their distinct epistemological assumptions about belief formation and research design. Brink employs a quantitative survey-based approach, using structured questionnaires to assess belief consistency among 227 Catholic schoolgirls in Chicago. Walter and Waterhouse, in contrast, adopt a qualitative method, conducting 30 in-depth interviews with adults and three group interviews with schoolchildren to explore reincarnation beliefs in contemporary England. These methodological differences significantly impact the depth, validity, and scope of their findings, as well as their contribution to broader debates on religious belief and consistency.</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sz w:val="24"/>
          <w:szCs w:val="24"/>
          <w:highlight w:val="white"/>
        </w:rPr>
      </w:pPr>
      <w:r w:rsidDel="00000000" w:rsidR="00000000" w:rsidRPr="00000000">
        <w:rPr>
          <w:sz w:val="24"/>
          <w:szCs w:val="24"/>
          <w:highlight w:val="white"/>
          <w:rtl w:val="0"/>
        </w:rPr>
        <w:t xml:space="preserve">Brink’s study is grounded in cognitive consistency theories (Festinger, 1957; Rokeach, 1960), assuming that individuals seek alignment in their belief systems. His structured questionnaire was designed to determine whether Catholic schoolgirls’ belief in astrology and reincarnation was inconsistent with their religious identity. This positivist approach, rooted in psychological research, relies on numerical data, statistical correlations, and hypothesis testing to quantify belief inconsistency as an objective phenomenon. The structured format allows for standardization and replicability, making it possible to apply the same survey in different contexts to test whether belief inconsistencies persist across populations. His relatively large sample size of 227 participants provides statistical significance, offering generalizable insights into patterns of belief inconsistency among young Catholics. Furthermore, by explicitly testing for logical coherence, his study aligns with dominant psychological research paradigms on cognitive dissonance.</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sz w:val="24"/>
          <w:szCs w:val="24"/>
          <w:highlight w:val="white"/>
        </w:rPr>
      </w:pPr>
      <w:r w:rsidDel="00000000" w:rsidR="00000000" w:rsidRPr="00000000">
        <w:rPr>
          <w:sz w:val="24"/>
          <w:szCs w:val="24"/>
          <w:highlight w:val="white"/>
          <w:rtl w:val="0"/>
        </w:rPr>
        <w:t xml:space="preserve">However, Brink’s methodological approach is not without its limitations. While surveys enable large-scale data collection, they lack depth in understanding the subjective reasoning behind respondents' beliefs. Participants were asked to select predefined responses rather than explain their thought processes, limiting the study’s ability to capture nuanced interpretations of religious identity and inconsistency. </w:t>
      </w:r>
    </w:p>
    <w:p w:rsidR="00000000" w:rsidDel="00000000" w:rsidP="00000000" w:rsidRDefault="00000000" w:rsidRPr="00000000" w14:paraId="00000093">
      <w:pPr>
        <w:rPr>
          <w:sz w:val="24"/>
          <w:szCs w:val="24"/>
          <w:highlight w:val="white"/>
        </w:rPr>
      </w:pPr>
      <w:r w:rsidDel="00000000" w:rsidR="00000000" w:rsidRPr="00000000">
        <w:rPr>
          <w:sz w:val="24"/>
          <w:szCs w:val="24"/>
          <w:highlight w:val="white"/>
          <w:rtl w:val="0"/>
        </w:rPr>
        <w:t xml:space="preserve">Moreover, Brink assumes that belief inconsistencies indicate a cognitive error, rather than considering the sociological perspective that individuals may compartmentalize their beliefs without experiencing psychological discomfort (Davie, 1994). As Brink himself notes, “Believers in astrology or reincarnation are not significantly less likely to express a belief in Roman Catholic religion” (Brink, 1978, p. 84), suggesting that such inconsistencies do not necessarily lead to cognitive dissonance.</w:t>
      </w:r>
    </w:p>
    <w:p w:rsidR="00000000" w:rsidDel="00000000" w:rsidP="00000000" w:rsidRDefault="00000000" w:rsidRPr="00000000" w14:paraId="00000094">
      <w:pPr>
        <w:rPr>
          <w:sz w:val="24"/>
          <w:szCs w:val="24"/>
          <w:highlight w:val="white"/>
        </w:rPr>
      </w:pPr>
      <w:r w:rsidDel="00000000" w:rsidR="00000000" w:rsidRPr="00000000">
        <w:rPr>
          <w:sz w:val="24"/>
          <w:szCs w:val="24"/>
          <w:highlight w:val="white"/>
          <w:rtl w:val="0"/>
        </w:rPr>
        <w:t xml:space="preserve">Additionally, his sample is restricted to a single Catholic school in Chicago, raising questions about its broader applicability to other Catholic communities, particularly in different cultural or socio-economic contexts. The study also provides only a single snapshot of belief inconsistency, without exploring whether contradictions persist or fluctuate over time, leaving open the possibility that participants may resolve or reinterpret their beliefs as they mature.</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sz w:val="24"/>
          <w:szCs w:val="24"/>
          <w:highlight w:val="white"/>
        </w:rPr>
      </w:pPr>
      <w:r w:rsidDel="00000000" w:rsidR="00000000" w:rsidRPr="00000000">
        <w:rPr>
          <w:sz w:val="24"/>
          <w:szCs w:val="24"/>
          <w:highlight w:val="white"/>
          <w:rtl w:val="0"/>
        </w:rPr>
        <w:t xml:space="preserve">In contrast, Walter and Waterhouse adopt a qualitative, phenomenological approach, aiming to understand how individuals experience and interpret belief in reincarnation, rather than measuring the internal consistency of their beliefs. Their use of semi-structured interviews allows participants to elaborate on their views, providing a richer and more detailed exploration of belief formation. Unlike Brink’s method, which assumes an external standard of rationality, Walter and Waterhouse approach belief as fluid and socially situated, recognizing that individuals may hold seemingly contradictory views without perceiving them as problematic. Their study aligns with sociological perspectives on the privatization of religion (Berger, 1969; Davie, 1994), highlighting how contemporary religious belief is increasingly detached from institutional frameworks and shaped by personal meaning-making.</w:t>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sz w:val="24"/>
          <w:szCs w:val="24"/>
          <w:highlight w:val="white"/>
        </w:rPr>
      </w:pPr>
      <w:r w:rsidDel="00000000" w:rsidR="00000000" w:rsidRPr="00000000">
        <w:rPr>
          <w:sz w:val="24"/>
          <w:szCs w:val="24"/>
          <w:highlight w:val="white"/>
          <w:rtl w:val="0"/>
        </w:rPr>
        <w:t xml:space="preserve">Despite offering valuable interpretive insights, Walter and Waterhouse’s methodology has its own limitations. Their small sample size, consisting of 30 adult participants and three school groups, limits the generalizability of their findings compared to Brink’s larger dataset. Additionally, they use snowball sampling, which, while useful for accessing participants with relevant experiences, can result in selection bias, as participants are more likely to share similar backgrounds and perspectives. Unlike Brink’s study, which presents clear numerical trends, Walter and Waterhouse’s findings rely on researcher interpretation, introducing a degree of subjectivity into the analysis. The lack of structured comparison across participants makes it difficult to assess whether belief in reincarnation follows broader sociological trends or remains an individualized, idiosyncratic phenomenon.</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sz w:val="24"/>
          <w:szCs w:val="24"/>
          <w:highlight w:val="white"/>
        </w:rPr>
      </w:pPr>
      <w:r w:rsidDel="00000000" w:rsidR="00000000" w:rsidRPr="00000000">
        <w:rPr>
          <w:sz w:val="24"/>
          <w:szCs w:val="24"/>
          <w:highlight w:val="white"/>
          <w:rtl w:val="0"/>
        </w:rPr>
        <w:t xml:space="preserve">The strengths and weaknesses of these two methodological approaches highlight the trade-offs inherent in quantitative and qualitative research. Brink’s survey-based approach offers measurable data and broad applicability but oversimplifies belief dynamics by treating inconsistencies as deviations from rational thought rather than natural aspects of belief formation. Walter and Waterhouse’s qualitative approach, by contrast, provides rich personal narratives and deeper insight into meaning-making, but its findings remain limited in scope and applicability due to the small sample and subjective interpretive framework. A mixed-methods approach, incorporating quantitative breadth with qualitative depth, would provide a more comprehensive understanding of belief inconsistency, capturing both large-scale trends and the personal experiences that shape individual religious beliefs. By integrating the strengths of both approaches, future research could bridge the gap between statistical correlation and lived experience, ultimately contributing to a more holistic understanding of contemporary belief systems.</w:t>
      </w:r>
    </w:p>
    <w:p w:rsidR="00000000" w:rsidDel="00000000" w:rsidP="00000000" w:rsidRDefault="00000000" w:rsidRPr="00000000" w14:paraId="0000009B">
      <w:pPr>
        <w:shd w:fill="ffffff" w:val="clear"/>
        <w:rPr>
          <w:sz w:val="24"/>
          <w:szCs w:val="24"/>
          <w:highlight w:val="white"/>
        </w:rPr>
      </w:pPr>
      <w:r w:rsidDel="00000000" w:rsidR="00000000" w:rsidRPr="00000000">
        <w:rPr>
          <w:rtl w:val="0"/>
        </w:rPr>
      </w:r>
    </w:p>
    <w:p w:rsidR="00000000" w:rsidDel="00000000" w:rsidP="00000000" w:rsidRDefault="00000000" w:rsidRPr="00000000" w14:paraId="0000009C">
      <w:pPr>
        <w:rPr>
          <w:sz w:val="24"/>
          <w:szCs w:val="24"/>
          <w:highlight w:val="white"/>
        </w:rPr>
      </w:pPr>
      <w:r w:rsidDel="00000000" w:rsidR="00000000" w:rsidRPr="00000000">
        <w:rPr>
          <w:rtl w:val="0"/>
        </w:rPr>
      </w:r>
    </w:p>
    <w:p w:rsidR="00000000" w:rsidDel="00000000" w:rsidP="00000000" w:rsidRDefault="00000000" w:rsidRPr="00000000" w14:paraId="0000009D">
      <w:pPr>
        <w:rPr>
          <w:sz w:val="24"/>
          <w:szCs w:val="24"/>
          <w:highlight w:val="white"/>
        </w:rPr>
      </w:pPr>
      <w:r w:rsidDel="00000000" w:rsidR="00000000" w:rsidRPr="00000000">
        <w:rPr>
          <w:sz w:val="24"/>
          <w:szCs w:val="24"/>
          <w:highlight w:val="white"/>
          <w:rtl w:val="0"/>
        </w:rPr>
        <w:t xml:space="preserve">The positionality of researchers plays a crucial role in shaping their methodological approaches, analytical frameworks, and the interpretations of their findings. Brink approaches his study from an outsider perspective, applying a psychological framework to analyze belief inconsistency among Catholic schoolgirls without engaging with their personal interpretations. Walter and Waterhouse, whilst still technically outsiders, adopt a more interpretivist stance, positioning themselves as facilitators of subjective meaning-making rather than external evaluators of belief coherence. These distinctions in researcher positionality significantly impact the way the studies conceptualize and assess belief systems.</w:t>
      </w:r>
    </w:p>
    <w:p w:rsidR="00000000" w:rsidDel="00000000" w:rsidP="00000000" w:rsidRDefault="00000000" w:rsidRPr="00000000" w14:paraId="0000009E">
      <w:pPr>
        <w:rPr>
          <w:sz w:val="24"/>
          <w:szCs w:val="24"/>
          <w:highlight w:val="white"/>
        </w:rPr>
      </w:pPr>
      <w:r w:rsidDel="00000000" w:rsidR="00000000" w:rsidRPr="00000000">
        <w:rPr>
          <w:rtl w:val="0"/>
        </w:rPr>
      </w:r>
    </w:p>
    <w:p w:rsidR="00000000" w:rsidDel="00000000" w:rsidP="00000000" w:rsidRDefault="00000000" w:rsidRPr="00000000" w14:paraId="0000009F">
      <w:pPr>
        <w:rPr>
          <w:sz w:val="24"/>
          <w:szCs w:val="24"/>
          <w:highlight w:val="white"/>
        </w:rPr>
      </w:pPr>
      <w:r w:rsidDel="00000000" w:rsidR="00000000" w:rsidRPr="00000000">
        <w:rPr>
          <w:sz w:val="24"/>
          <w:szCs w:val="24"/>
          <w:highlight w:val="white"/>
          <w:rtl w:val="0"/>
        </w:rPr>
        <w:t xml:space="preserve">Brink’s outsider stance is evident in his hypothesis-driven methodology, which presupposes cognitive consistency as an ideal norm. By designing a study that treats belief inconsistency as an anomaly requiring explanation, he assumes an objective, detached perspective that does not engage with the lived religious experiences of his participants. His role as a researcher is primarily that of an observer and data analyst, drawing conclusions based on statistical correlations rather than direct engagement with participants’ subjective experiences. While this detached approach enhances perceived objectivity and replicability, it also risks imposing external assumptions on the data, potentially misrepresenting the complexities of personal belief formation. Moreover, his study does not acknowledge the potential influence of his own perspective on Catholicism and belief systems, which may shape the design and interpretation of his research.</w:t>
      </w:r>
    </w:p>
    <w:p w:rsidR="00000000" w:rsidDel="00000000" w:rsidP="00000000" w:rsidRDefault="00000000" w:rsidRPr="00000000" w14:paraId="000000A0">
      <w:pPr>
        <w:rPr>
          <w:sz w:val="24"/>
          <w:szCs w:val="24"/>
          <w:highlight w:val="white"/>
        </w:rPr>
      </w:pPr>
      <w:r w:rsidDel="00000000" w:rsidR="00000000" w:rsidRPr="00000000">
        <w:rPr>
          <w:rtl w:val="0"/>
        </w:rPr>
      </w:r>
    </w:p>
    <w:p w:rsidR="00000000" w:rsidDel="00000000" w:rsidP="00000000" w:rsidRDefault="00000000" w:rsidRPr="00000000" w14:paraId="000000A1">
      <w:pPr>
        <w:rPr>
          <w:sz w:val="24"/>
          <w:szCs w:val="24"/>
          <w:highlight w:val="white"/>
        </w:rPr>
      </w:pPr>
      <w:r w:rsidDel="00000000" w:rsidR="00000000" w:rsidRPr="00000000">
        <w:rPr>
          <w:sz w:val="24"/>
          <w:szCs w:val="24"/>
          <w:highlight w:val="white"/>
          <w:rtl w:val="0"/>
        </w:rPr>
        <w:t xml:space="preserve">Walter and Waterhouse adopt a more embedded approach, engaging with their subjects through semi-structured interviews that allow for open-ended discussion. Their positionality is closer to that of cultural interpreters, seeking to understand how belief in reincarnation is integrated into contemporary religious life. Rather than imposing an external framework of rationality, they allow participants to define the significance and coherence of their own beliefs. This interpretivist approach aligns with phenomenological methodologies, where the researcher’s role is not to judge the validity of beliefs but to explore how they are personally and socially constructed. However, this engagement with participants introduces potential biases, as researcher presence and interaction can influence responses. Additionally, their lack of explicit reflexivity about their own positions within the research process raises questions about whether their interpretations remain entirely neutral.</w:t>
      </w:r>
    </w:p>
    <w:p w:rsidR="00000000" w:rsidDel="00000000" w:rsidP="00000000" w:rsidRDefault="00000000" w:rsidRPr="00000000" w14:paraId="000000A2">
      <w:pPr>
        <w:rPr>
          <w:sz w:val="24"/>
          <w:szCs w:val="24"/>
          <w:highlight w:val="white"/>
        </w:rPr>
      </w:pPr>
      <w:r w:rsidDel="00000000" w:rsidR="00000000" w:rsidRPr="00000000">
        <w:rPr>
          <w:rtl w:val="0"/>
        </w:rPr>
      </w:r>
    </w:p>
    <w:p w:rsidR="00000000" w:rsidDel="00000000" w:rsidP="00000000" w:rsidRDefault="00000000" w:rsidRPr="00000000" w14:paraId="000000A3">
      <w:pPr>
        <w:rPr>
          <w:sz w:val="24"/>
          <w:szCs w:val="24"/>
          <w:highlight w:val="white"/>
        </w:rPr>
      </w:pPr>
      <w:r w:rsidDel="00000000" w:rsidR="00000000" w:rsidRPr="00000000">
        <w:rPr>
          <w:sz w:val="24"/>
          <w:szCs w:val="24"/>
          <w:highlight w:val="white"/>
          <w:rtl w:val="0"/>
        </w:rPr>
        <w:t xml:space="preserve">Both studies demonstrate the tensions between objectivity and engagement in research design. Brink’s detached, quantitative stance prioritizes measurable consistency but overlooks subjective meaning, while Walter and Waterhouse’s embedded approach offers rich qualitative insights but introduces interpretive biases. A balanced positionality, where researchers acknowledge both objective distance and reflexive engagement, could enhance future studies on belief systems.</w:t>
      </w:r>
    </w:p>
    <w:p w:rsidR="00000000" w:rsidDel="00000000" w:rsidP="00000000" w:rsidRDefault="00000000" w:rsidRPr="00000000" w14:paraId="000000A4">
      <w:pPr>
        <w:shd w:fill="ffffff" w:val="clear"/>
        <w:rPr>
          <w:sz w:val="24"/>
          <w:szCs w:val="24"/>
        </w:rPr>
      </w:pPr>
      <w:r w:rsidDel="00000000" w:rsidR="00000000" w:rsidRPr="00000000">
        <w:rPr>
          <w:rtl w:val="0"/>
        </w:rPr>
      </w:r>
    </w:p>
    <w:p w:rsidR="00000000" w:rsidDel="00000000" w:rsidP="00000000" w:rsidRDefault="00000000" w:rsidRPr="00000000" w14:paraId="000000A5">
      <w:pPr>
        <w:shd w:fill="ffffff" w:val="clear"/>
        <w:rPr/>
      </w:pPr>
      <w:r w:rsidDel="00000000" w:rsidR="00000000" w:rsidRPr="00000000">
        <w:rPr>
          <w:rtl w:val="0"/>
        </w:rPr>
      </w:r>
    </w:p>
    <w:p w:rsidR="00000000" w:rsidDel="00000000" w:rsidP="00000000" w:rsidRDefault="00000000" w:rsidRPr="00000000" w14:paraId="000000A6">
      <w:pPr>
        <w:shd w:fill="ffffff" w:val="clear"/>
        <w:rPr>
          <w:sz w:val="24"/>
          <w:szCs w:val="24"/>
          <w:highlight w:val="white"/>
        </w:rPr>
      </w:pPr>
      <w:r w:rsidDel="00000000" w:rsidR="00000000" w:rsidRPr="00000000">
        <w:rPr>
          <w:sz w:val="24"/>
          <w:szCs w:val="24"/>
          <w:highlight w:val="white"/>
          <w:rtl w:val="0"/>
        </w:rPr>
        <w:t xml:space="preserve">Both Brink and Walter &amp; Waterhouse engage with existing academic literature, yet they do so in markedly different ways, reflecting their disciplinary orientations. Brink situates his study within the field of cognitive psychology, drawing primarily from theories of cognitive consistency (Festinger, 1957) and belief congruence (Rokeach, 1960). His engagement with literature is narrowly focused on psychological models, treating belief inconsistency as a deviation from rational coherence rather than a social or cultural phenomenon. Walter and Waterhouse, in contrast, embed their research within sociological debates on religious privatization and secularization (Berger, 1969; Davie, 1994), drawing from a broader interdisciplinary framework that incorporates perspectives from religious studies, sociology, and anthropology. This divergence in their engagement with literature influences how they conceptualize belief formation and inconsistency.</w:t>
      </w:r>
    </w:p>
    <w:p w:rsidR="00000000" w:rsidDel="00000000" w:rsidP="00000000" w:rsidRDefault="00000000" w:rsidRPr="00000000" w14:paraId="000000A7">
      <w:pPr>
        <w:shd w:fill="ffffff" w:val="clear"/>
        <w:rPr/>
      </w:pPr>
      <w:r w:rsidDel="00000000" w:rsidR="00000000" w:rsidRPr="00000000">
        <w:rPr>
          <w:rtl w:val="0"/>
        </w:rPr>
      </w:r>
    </w:p>
    <w:p w:rsidR="00000000" w:rsidDel="00000000" w:rsidP="00000000" w:rsidRDefault="00000000" w:rsidRPr="00000000" w14:paraId="000000A8">
      <w:pPr>
        <w:shd w:fill="ffffff" w:val="clear"/>
        <w:rPr>
          <w:sz w:val="24"/>
          <w:szCs w:val="24"/>
          <w:highlight w:val="white"/>
        </w:rPr>
      </w:pPr>
      <w:r w:rsidDel="00000000" w:rsidR="00000000" w:rsidRPr="00000000">
        <w:rPr>
          <w:sz w:val="24"/>
          <w:szCs w:val="24"/>
          <w:highlight w:val="white"/>
          <w:rtl w:val="0"/>
        </w:rPr>
        <w:t xml:space="preserve">Brink’s reliance on cognitive dissonance theory (Festinger, 1957) and belief congruence theory (Rokeach, 1960) underscores his assumption that individuals naturally strive for internal logical consistency. These theories emphasize the psychological discomfort that arises when individuals hold conflicting beliefs, predicting that people will modify their beliefs or attitudes to reduce cognitive tension. While these models provide a structured framework for assessing patterns of belief inconsistency, they are also reductive, overlooking social, cultural, and contextual factors that shape religious belief (McGuire, 2008). The application of these psychological theories to a religious context assumes that individuals perceive inconsistencies as problematic, a perspective that sociological literature has increasingly challenged (Davie, 1994; Luckmann, 1967). Furthermore, Brink does not engage with alternative explanations, such as theories of compartmentalization, which suggest that individuals may consciously or unconsciously maintain separate belief systems without experiencing cognitive conflict (Berger &amp; Luckmann, 1966). This omission limits the interpretive depth of his study, as it does not account for how religious individuals may reconcile conflicting beliefs through ritual, identity negotiation, or symbolic reinterpretation (Geertz, 1973).</w:t>
      </w:r>
    </w:p>
    <w:p w:rsidR="00000000" w:rsidDel="00000000" w:rsidP="00000000" w:rsidRDefault="00000000" w:rsidRPr="00000000" w14:paraId="000000A9">
      <w:pPr>
        <w:shd w:fill="ffffff" w:val="clear"/>
        <w:rPr/>
      </w:pPr>
      <w:r w:rsidDel="00000000" w:rsidR="00000000" w:rsidRPr="00000000">
        <w:rPr>
          <w:rtl w:val="0"/>
        </w:rPr>
      </w:r>
    </w:p>
    <w:p w:rsidR="00000000" w:rsidDel="00000000" w:rsidP="00000000" w:rsidRDefault="00000000" w:rsidRPr="00000000" w14:paraId="000000AA">
      <w:pPr>
        <w:shd w:fill="ffffff" w:val="clear"/>
        <w:rPr>
          <w:sz w:val="24"/>
          <w:szCs w:val="24"/>
          <w:highlight w:val="white"/>
        </w:rPr>
      </w:pPr>
      <w:r w:rsidDel="00000000" w:rsidR="00000000" w:rsidRPr="00000000">
        <w:rPr>
          <w:sz w:val="24"/>
          <w:szCs w:val="24"/>
          <w:highlight w:val="white"/>
          <w:rtl w:val="0"/>
        </w:rPr>
        <w:t xml:space="preserve">Walter and Waterhouse’s engagement with literature is more expansive and critically reflective, integrating sociological theories on the decline of institutional religion and the rise of individualized spirituality (Berger, 1969; Heelas &amp; Woodhead, 2005). Their study draws on Davie’s (1994) influential concept of "believing without belonging", which argues that contemporary religious belief is increasingly detached from formal religious structures. This theoretical grounding allows them to interpret reincarnation belief as an expression of personal spirituality, rather than as an irrational inconsistency. Their engagement with secularization theory (Bruce, 2002) further supports their argument that belief in reincarnation persists outside traditional religious institutions, reflecting a shift toward self-directed spiritual exploration rather than adherence to doctrinal authority. However, their literature review lacks engagement with psychological theories of belief formation, which could have provided additional explanatory depth regarding how individuals cognitively construct and sustain fragmented belief systems (McGuire, 2008). By focusing almost exclusively on sociological frameworks, they risk overemphasizing external social influences while neglecting internal cognitive processes that shape belief retention and adaptation.</w:t>
      </w:r>
    </w:p>
    <w:p w:rsidR="00000000" w:rsidDel="00000000" w:rsidP="00000000" w:rsidRDefault="00000000" w:rsidRPr="00000000" w14:paraId="000000AB">
      <w:pPr>
        <w:shd w:fill="ffffff" w:val="clear"/>
        <w:rPr>
          <w:sz w:val="24"/>
          <w:szCs w:val="24"/>
          <w:highlight w:val="white"/>
        </w:rPr>
      </w:pPr>
      <w:r w:rsidDel="00000000" w:rsidR="00000000" w:rsidRPr="00000000">
        <w:rPr>
          <w:rtl w:val="0"/>
        </w:rPr>
      </w:r>
    </w:p>
    <w:p w:rsidR="00000000" w:rsidDel="00000000" w:rsidP="00000000" w:rsidRDefault="00000000" w:rsidRPr="00000000" w14:paraId="000000AC">
      <w:pPr>
        <w:shd w:fill="ffffff" w:val="clear"/>
        <w:rPr>
          <w:sz w:val="24"/>
          <w:szCs w:val="24"/>
          <w:highlight w:val="white"/>
        </w:rPr>
      </w:pPr>
      <w:r w:rsidDel="00000000" w:rsidR="00000000" w:rsidRPr="00000000">
        <w:rPr>
          <w:sz w:val="24"/>
          <w:szCs w:val="24"/>
          <w:highlight w:val="white"/>
          <w:rtl w:val="0"/>
        </w:rPr>
        <w:t xml:space="preserve">The argumentation and writing styles of Brink (1978) and Walter &amp; Waterhouse (1999) reflect their differing methodological and epistemological orientations. Brink’s study, rooted in quantitative psychological research, follows a positivist, hypothesis-driven structure, presenting statistical findings as objective indicators of belief inconsistency. His argument is deductive, beginning with a clear hypothesis derived from cognitive consistency theory (Festinger, 1957), which he then tests through numerical correlations. Walter and Waterhouse, in contrast, adopt a more inductive and interpretivist approach, allowing themes to emerge from their qualitative data rather than imposing a predefined theoretical framework. Their argumentation is exploratory and discursive, reflecting the open-ended nature of their interview-based methodology.</w:t>
      </w:r>
    </w:p>
    <w:p w:rsidR="00000000" w:rsidDel="00000000" w:rsidP="00000000" w:rsidRDefault="00000000" w:rsidRPr="00000000" w14:paraId="000000AD">
      <w:pPr>
        <w:shd w:fill="ffffff" w:val="clear"/>
        <w:rPr>
          <w:sz w:val="24"/>
          <w:szCs w:val="24"/>
          <w:highlight w:val="white"/>
        </w:rPr>
      </w:pPr>
      <w:r w:rsidDel="00000000" w:rsidR="00000000" w:rsidRPr="00000000">
        <w:rPr>
          <w:rtl w:val="0"/>
        </w:rPr>
      </w:r>
    </w:p>
    <w:p w:rsidR="00000000" w:rsidDel="00000000" w:rsidP="00000000" w:rsidRDefault="00000000" w:rsidRPr="00000000" w14:paraId="000000AE">
      <w:pPr>
        <w:shd w:fill="ffffff" w:val="clear"/>
        <w:rPr>
          <w:sz w:val="24"/>
          <w:szCs w:val="24"/>
          <w:highlight w:val="white"/>
        </w:rPr>
      </w:pPr>
      <w:r w:rsidDel="00000000" w:rsidR="00000000" w:rsidRPr="00000000">
        <w:rPr>
          <w:sz w:val="24"/>
          <w:szCs w:val="24"/>
          <w:highlight w:val="white"/>
          <w:rtl w:val="0"/>
        </w:rPr>
        <w:t xml:space="preserve">Brink’s writing style is concise and formal, adhering to the conventions of psychological research. His argument is structured around hypothesis testing, with clearly delineated sections for methodology, results, and discussion. This structured approach enhances clarity and replicability, making his study accessible to researchers in psychology and religious studies who seek to test similar hypotheses. However, his style is also rigid and detached, presenting belief inconsistency as an empirical deviation rather than engaging with the lived experiences of participants. His statistical correlations, while rigorous, lack interpretative depth, as they reduce religious belief to numerical patterns rather than exploring the complexities of personal spirituality. Furthermore, his reliance on technical psychological terminology may make his work less accessible to interdisciplinary audiences outside cognitive psychology.</w:t>
      </w:r>
    </w:p>
    <w:p w:rsidR="00000000" w:rsidDel="00000000" w:rsidP="00000000" w:rsidRDefault="00000000" w:rsidRPr="00000000" w14:paraId="000000AF">
      <w:pPr>
        <w:shd w:fill="ffffff" w:val="clear"/>
        <w:rPr>
          <w:sz w:val="24"/>
          <w:szCs w:val="24"/>
          <w:highlight w:val="white"/>
        </w:rPr>
      </w:pPr>
      <w:r w:rsidDel="00000000" w:rsidR="00000000" w:rsidRPr="00000000">
        <w:rPr>
          <w:rtl w:val="0"/>
        </w:rPr>
      </w:r>
    </w:p>
    <w:p w:rsidR="00000000" w:rsidDel="00000000" w:rsidP="00000000" w:rsidRDefault="00000000" w:rsidRPr="00000000" w14:paraId="000000B0">
      <w:pPr>
        <w:shd w:fill="ffffff" w:val="clear"/>
        <w:rPr>
          <w:sz w:val="24"/>
          <w:szCs w:val="24"/>
        </w:rPr>
      </w:pPr>
      <w:r w:rsidDel="00000000" w:rsidR="00000000" w:rsidRPr="00000000">
        <w:rPr>
          <w:sz w:val="24"/>
          <w:szCs w:val="24"/>
          <w:highlight w:val="white"/>
          <w:rtl w:val="0"/>
        </w:rPr>
        <w:t xml:space="preserve">In contrast, Walter and Waterhouse adopt a more fluid and interpretive writing style, reflecting the narrative and thematic nature of qualitative research. Their argumentation is descriptive rather than predictive, allowing respondents’ voices to shape their findings rather than testing for pre-existing patterns. This inductive structure makes their study more adaptable to emerging themes, capturing the ambiguity and subjectivity of reincarnation belief in contemporary England. Their use of direct quotations from participants enhances authenticity and engagement, offering insights that Brink’s numerical data cannot provide. However, this less structured approach also introduces potential limitations in coherence and systematic comparison. Unlike Brink, who follows a clearly delineated structure, Walter and Waterhouse’s argument occasionally lacks clear transitions between themes, making it more difficult to extract generalizable conclusions.</w:t>
      </w:r>
      <w:r w:rsidDel="00000000" w:rsidR="00000000" w:rsidRPr="00000000">
        <w:rPr>
          <w:rtl w:val="0"/>
        </w:rPr>
      </w:r>
    </w:p>
    <w:p w:rsidR="00000000" w:rsidDel="00000000" w:rsidP="00000000" w:rsidRDefault="00000000" w:rsidRPr="00000000" w14:paraId="000000B1">
      <w:pPr>
        <w:shd w:fill="ffffff" w:val="clear"/>
        <w:rPr>
          <w:sz w:val="24"/>
          <w:szCs w:val="24"/>
        </w:rPr>
      </w:pPr>
      <w:r w:rsidDel="00000000" w:rsidR="00000000" w:rsidRPr="00000000">
        <w:rPr>
          <w:rtl w:val="0"/>
        </w:rPr>
      </w:r>
    </w:p>
    <w:p w:rsidR="00000000" w:rsidDel="00000000" w:rsidP="00000000" w:rsidRDefault="00000000" w:rsidRPr="00000000" w14:paraId="000000B2">
      <w:pPr>
        <w:shd w:fill="ffffff" w:val="clear"/>
        <w:rPr>
          <w:sz w:val="24"/>
          <w:szCs w:val="24"/>
        </w:rPr>
      </w:pPr>
      <w:r w:rsidDel="00000000" w:rsidR="00000000" w:rsidRPr="00000000">
        <w:rPr>
          <w:sz w:val="24"/>
          <w:szCs w:val="24"/>
          <w:rtl w:val="0"/>
        </w:rPr>
        <w:t xml:space="preserve">The comparative analysis of Brink and Walter &amp; Waterhouse highlights fundamental differences in epistemological assumptions, methodologies, and theoretical engagements in the study of belief. Brink, operating within a quantitative psychological framework, treats belief inconsistency as a measurable deviation from rationality, whereas Walter and Waterhouse, employing qualitative sociological methods, approach belief as fluid, individualized, and socially constructed. These distinct orientations shape the strengths and limitations of their respective studies.</w:t>
      </w:r>
    </w:p>
    <w:p w:rsidR="00000000" w:rsidDel="00000000" w:rsidP="00000000" w:rsidRDefault="00000000" w:rsidRPr="00000000" w14:paraId="000000B3">
      <w:pPr>
        <w:shd w:fill="ffffff" w:val="clear"/>
        <w:rPr>
          <w:sz w:val="24"/>
          <w:szCs w:val="24"/>
        </w:rPr>
      </w:pPr>
      <w:r w:rsidDel="00000000" w:rsidR="00000000" w:rsidRPr="00000000">
        <w:rPr>
          <w:rtl w:val="0"/>
        </w:rPr>
      </w:r>
    </w:p>
    <w:p w:rsidR="00000000" w:rsidDel="00000000" w:rsidP="00000000" w:rsidRDefault="00000000" w:rsidRPr="00000000" w14:paraId="000000B4">
      <w:pPr>
        <w:shd w:fill="ffffff" w:val="clear"/>
        <w:rPr>
          <w:sz w:val="24"/>
          <w:szCs w:val="24"/>
        </w:rPr>
      </w:pPr>
      <w:r w:rsidDel="00000000" w:rsidR="00000000" w:rsidRPr="00000000">
        <w:rPr>
          <w:sz w:val="24"/>
          <w:szCs w:val="24"/>
          <w:rtl w:val="0"/>
        </w:rPr>
        <w:t xml:space="preserve">Brink’s survey-based approach allows for broad statistical generalizability, making his findings replicable and comparable across different populations. However, his reliance on cognitive dissonance theory (Festinger, 1957) assumes that inconsistencies in belief necessarily lead to psychological discomfort, a claim that remains contested in sociological research (Davie, 1994). Moreover, his detached, positivist approach does not account for the personal meaning-making processes that influence belief formation. Walter and Waterhouse, on the other hand, offer rich, in-depth insights into individual belief experiences, challenging the assumption that belief inconsistency must be resolved. Their work aligns with contemporary sociological theories of religious privatization and secularization (Berger, 1969; Heelas &amp; Woodhead, 2005). However, their small sample size and reliance on snowball sampling limit the generalizability of their findings, and their interpretive framework introduces an element of researcher subjectivity.</w:t>
      </w:r>
    </w:p>
    <w:p w:rsidR="00000000" w:rsidDel="00000000" w:rsidP="00000000" w:rsidRDefault="00000000" w:rsidRPr="00000000" w14:paraId="000000B5">
      <w:pPr>
        <w:shd w:fill="ffffff" w:val="clear"/>
        <w:rPr>
          <w:sz w:val="24"/>
          <w:szCs w:val="24"/>
        </w:rPr>
      </w:pPr>
      <w:r w:rsidDel="00000000" w:rsidR="00000000" w:rsidRPr="00000000">
        <w:rPr>
          <w:rtl w:val="0"/>
        </w:rPr>
      </w:r>
    </w:p>
    <w:p w:rsidR="00000000" w:rsidDel="00000000" w:rsidP="00000000" w:rsidRDefault="00000000" w:rsidRPr="00000000" w14:paraId="000000B6">
      <w:pPr>
        <w:shd w:fill="ffffff" w:val="clear"/>
        <w:rPr>
          <w:sz w:val="24"/>
          <w:szCs w:val="24"/>
        </w:rPr>
      </w:pPr>
      <w:r w:rsidDel="00000000" w:rsidR="00000000" w:rsidRPr="00000000">
        <w:rPr>
          <w:sz w:val="24"/>
          <w:szCs w:val="24"/>
          <w:rtl w:val="0"/>
        </w:rPr>
        <w:t xml:space="preserve">The contrast in these two approaches underscores a larger disciplinary tension between psychology and sociology in the study of belief. While psychological models seek universal patterns in belief formation, sociological perspectives emphasize contextual variability and cultural specificity. This suggests that future research on belief formation and inconsistency would benefit from integrating both approaches. A mixed-methods design—incorporating the statistical rigor of quantitative research with the depth of qualitative inquiry—would allow for a more comprehensive understanding of how beliefs are formed, sustained, and negotiated. By bridging cognitive and sociological perspectives, researchers could move beyond simplistic models of belief consistency to explore the dynamic, lived realities of contemporary spirituality.</w:t>
      </w:r>
    </w:p>
    <w:p w:rsidR="00000000" w:rsidDel="00000000" w:rsidP="00000000" w:rsidRDefault="00000000" w:rsidRPr="00000000" w14:paraId="000000B7">
      <w:pPr>
        <w:shd w:fill="ffffff" w:val="clear"/>
        <w:rPr>
          <w:sz w:val="24"/>
          <w:szCs w:val="24"/>
        </w:rPr>
      </w:pPr>
      <w:r w:rsidDel="00000000" w:rsidR="00000000" w:rsidRPr="00000000">
        <w:rPr>
          <w:rtl w:val="0"/>
        </w:rPr>
      </w:r>
    </w:p>
    <w:p w:rsidR="00000000" w:rsidDel="00000000" w:rsidP="00000000" w:rsidRDefault="00000000" w:rsidRPr="00000000" w14:paraId="000000B8">
      <w:pPr>
        <w:shd w:fill="ffffff" w:val="clear"/>
        <w:rPr>
          <w:sz w:val="24"/>
          <w:szCs w:val="24"/>
        </w:rPr>
      </w:pPr>
      <w:r w:rsidDel="00000000" w:rsidR="00000000" w:rsidRPr="00000000">
        <w:rPr>
          <w:sz w:val="24"/>
          <w:szCs w:val="24"/>
          <w:rtl w:val="0"/>
        </w:rPr>
        <w:t xml:space="preserve">This comparative analysis ultimately demonstrates that no single methodological approach is sufficient on its own. While Brink provides a structured, replicable framework, his study lacks interpretive depth. Walter and Waterhouse, conversely, offer thematic richness but at the expense of broad applicability. The most effective way forward is an approach that integrates psychological insights with sociological perspectives, allowing for an analysis that is both systematic and reflective of the complexities of belief systems in modern society.</w:t>
      </w:r>
    </w:p>
    <w:p w:rsidR="00000000" w:rsidDel="00000000" w:rsidP="00000000" w:rsidRDefault="00000000" w:rsidRPr="00000000" w14:paraId="000000B9">
      <w:pPr>
        <w:shd w:fill="ffffff" w:val="clear"/>
        <w:rPr>
          <w:sz w:val="24"/>
          <w:szCs w:val="24"/>
        </w:rPr>
      </w:pPr>
      <w:r w:rsidDel="00000000" w:rsidR="00000000" w:rsidRPr="00000000">
        <w:rPr>
          <w:rtl w:val="0"/>
        </w:rPr>
      </w:r>
    </w:p>
    <w:p w:rsidR="00000000" w:rsidDel="00000000" w:rsidP="00000000" w:rsidRDefault="00000000" w:rsidRPr="00000000" w14:paraId="000000BA">
      <w:pPr>
        <w:shd w:fill="ffffff" w:val="clear"/>
        <w:rPr>
          <w:sz w:val="24"/>
          <w:szCs w:val="24"/>
        </w:rPr>
      </w:pPr>
      <w:r w:rsidDel="00000000" w:rsidR="00000000" w:rsidRPr="00000000">
        <w:rPr>
          <w:rtl w:val="0"/>
        </w:rPr>
      </w:r>
    </w:p>
    <w:p w:rsidR="00000000" w:rsidDel="00000000" w:rsidP="00000000" w:rsidRDefault="00000000" w:rsidRPr="00000000" w14:paraId="000000BB">
      <w:pPr>
        <w:shd w:fill="ffffff" w:val="clear"/>
        <w:rPr>
          <w:sz w:val="24"/>
          <w:szCs w:val="24"/>
        </w:rPr>
      </w:pPr>
      <w:r w:rsidDel="00000000" w:rsidR="00000000" w:rsidRPr="00000000">
        <w:rPr>
          <w:rtl w:val="0"/>
        </w:rPr>
      </w:r>
    </w:p>
    <w:p w:rsidR="00000000" w:rsidDel="00000000" w:rsidP="00000000" w:rsidRDefault="00000000" w:rsidRPr="00000000" w14:paraId="000000BC">
      <w:pPr>
        <w:shd w:fill="ffffff" w:val="clear"/>
        <w:rPr>
          <w:sz w:val="24"/>
          <w:szCs w:val="24"/>
        </w:rPr>
      </w:pPr>
      <w:r w:rsidDel="00000000" w:rsidR="00000000" w:rsidRPr="00000000">
        <w:rPr>
          <w:rtl w:val="0"/>
        </w:rPr>
      </w:r>
    </w:p>
    <w:p w:rsidR="00000000" w:rsidDel="00000000" w:rsidP="00000000" w:rsidRDefault="00000000" w:rsidRPr="00000000" w14:paraId="000000BD">
      <w:pPr>
        <w:shd w:fill="ffffff" w:val="clear"/>
        <w:rPr>
          <w:sz w:val="24"/>
          <w:szCs w:val="24"/>
        </w:rPr>
      </w:pPr>
      <w:r w:rsidDel="00000000" w:rsidR="00000000" w:rsidRPr="00000000">
        <w:rPr>
          <w:rtl w:val="0"/>
        </w:rPr>
      </w:r>
    </w:p>
    <w:p w:rsidR="00000000" w:rsidDel="00000000" w:rsidP="00000000" w:rsidRDefault="00000000" w:rsidRPr="00000000" w14:paraId="000000BE">
      <w:pPr>
        <w:shd w:fill="ffffff" w:val="clear"/>
        <w:rPr>
          <w:sz w:val="24"/>
          <w:szCs w:val="24"/>
        </w:rPr>
      </w:pPr>
      <w:r w:rsidDel="00000000" w:rsidR="00000000" w:rsidRPr="00000000">
        <w:rPr>
          <w:rtl w:val="0"/>
        </w:rPr>
      </w:r>
    </w:p>
    <w:p w:rsidR="00000000" w:rsidDel="00000000" w:rsidP="00000000" w:rsidRDefault="00000000" w:rsidRPr="00000000" w14:paraId="000000BF">
      <w:pPr>
        <w:shd w:fill="ffffff" w:val="clear"/>
        <w:rPr>
          <w:sz w:val="24"/>
          <w:szCs w:val="24"/>
        </w:rPr>
      </w:pPr>
      <w:r w:rsidDel="00000000" w:rsidR="00000000" w:rsidRPr="00000000">
        <w:rPr>
          <w:rtl w:val="0"/>
        </w:rPr>
      </w:r>
    </w:p>
    <w:p w:rsidR="00000000" w:rsidDel="00000000" w:rsidP="00000000" w:rsidRDefault="00000000" w:rsidRPr="00000000" w14:paraId="000000C0">
      <w:pPr>
        <w:shd w:fill="ffffff" w:val="clear"/>
        <w:rPr>
          <w:sz w:val="24"/>
          <w:szCs w:val="24"/>
        </w:rPr>
      </w:pPr>
      <w:r w:rsidDel="00000000" w:rsidR="00000000" w:rsidRPr="00000000">
        <w:rPr>
          <w:rtl w:val="0"/>
        </w:rPr>
      </w:r>
    </w:p>
    <w:p w:rsidR="00000000" w:rsidDel="00000000" w:rsidP="00000000" w:rsidRDefault="00000000" w:rsidRPr="00000000" w14:paraId="000000C1">
      <w:pPr>
        <w:shd w:fill="ffffff" w:val="clear"/>
        <w:rPr>
          <w:sz w:val="24"/>
          <w:szCs w:val="24"/>
        </w:rPr>
      </w:pPr>
      <w:r w:rsidDel="00000000" w:rsidR="00000000" w:rsidRPr="00000000">
        <w:rPr>
          <w:rtl w:val="0"/>
        </w:rPr>
      </w:r>
    </w:p>
    <w:p w:rsidR="00000000" w:rsidDel="00000000" w:rsidP="00000000" w:rsidRDefault="00000000" w:rsidRPr="00000000" w14:paraId="000000C2">
      <w:pPr>
        <w:shd w:fill="ffffff" w:val="clear"/>
        <w:rPr>
          <w:sz w:val="24"/>
          <w:szCs w:val="24"/>
        </w:rPr>
      </w:pPr>
      <w:r w:rsidDel="00000000" w:rsidR="00000000" w:rsidRPr="00000000">
        <w:rPr>
          <w:rtl w:val="0"/>
        </w:rPr>
      </w:r>
    </w:p>
    <w:p w:rsidR="00000000" w:rsidDel="00000000" w:rsidP="00000000" w:rsidRDefault="00000000" w:rsidRPr="00000000" w14:paraId="000000C3">
      <w:pPr>
        <w:shd w:fill="ffffff" w:val="clear"/>
        <w:rPr>
          <w:sz w:val="24"/>
          <w:szCs w:val="24"/>
        </w:rPr>
      </w:pPr>
      <w:r w:rsidDel="00000000" w:rsidR="00000000" w:rsidRPr="00000000">
        <w:rPr>
          <w:rtl w:val="0"/>
        </w:rPr>
      </w:r>
    </w:p>
    <w:p w:rsidR="00000000" w:rsidDel="00000000" w:rsidP="00000000" w:rsidRDefault="00000000" w:rsidRPr="00000000" w14:paraId="000000C4">
      <w:pPr>
        <w:shd w:fill="ffffff" w:val="clear"/>
        <w:rPr>
          <w:sz w:val="24"/>
          <w:szCs w:val="24"/>
        </w:rPr>
      </w:pPr>
      <w:r w:rsidDel="00000000" w:rsidR="00000000" w:rsidRPr="00000000">
        <w:rPr>
          <w:rtl w:val="0"/>
        </w:rPr>
      </w:r>
    </w:p>
    <w:p w:rsidR="00000000" w:rsidDel="00000000" w:rsidP="00000000" w:rsidRDefault="00000000" w:rsidRPr="00000000" w14:paraId="000000C5">
      <w:pPr>
        <w:shd w:fill="ffffff" w:val="clear"/>
        <w:rPr>
          <w:sz w:val="24"/>
          <w:szCs w:val="24"/>
        </w:rPr>
      </w:pPr>
      <w:r w:rsidDel="00000000" w:rsidR="00000000" w:rsidRPr="00000000">
        <w:rPr>
          <w:rtl w:val="0"/>
        </w:rPr>
      </w:r>
    </w:p>
    <w:p w:rsidR="00000000" w:rsidDel="00000000" w:rsidP="00000000" w:rsidRDefault="00000000" w:rsidRPr="00000000" w14:paraId="000000C6">
      <w:pPr>
        <w:shd w:fill="ffffff" w:val="clear"/>
        <w:rPr>
          <w:sz w:val="24"/>
          <w:szCs w:val="24"/>
        </w:rPr>
      </w:pPr>
      <w:r w:rsidDel="00000000" w:rsidR="00000000" w:rsidRPr="00000000">
        <w:rPr>
          <w:rtl w:val="0"/>
        </w:rPr>
      </w:r>
    </w:p>
    <w:p w:rsidR="00000000" w:rsidDel="00000000" w:rsidP="00000000" w:rsidRDefault="00000000" w:rsidRPr="00000000" w14:paraId="000000C7">
      <w:pPr>
        <w:shd w:fill="ffffff" w:val="clear"/>
        <w:rPr>
          <w:sz w:val="24"/>
          <w:szCs w:val="24"/>
        </w:rPr>
      </w:pPr>
      <w:r w:rsidDel="00000000" w:rsidR="00000000" w:rsidRPr="00000000">
        <w:rPr>
          <w:rtl w:val="0"/>
        </w:rPr>
      </w:r>
    </w:p>
    <w:p w:rsidR="00000000" w:rsidDel="00000000" w:rsidP="00000000" w:rsidRDefault="00000000" w:rsidRPr="00000000" w14:paraId="000000C8">
      <w:pPr>
        <w:shd w:fill="ffffff" w:val="clear"/>
        <w:rPr>
          <w:sz w:val="24"/>
          <w:szCs w:val="24"/>
        </w:rPr>
      </w:pPr>
      <w:r w:rsidDel="00000000" w:rsidR="00000000" w:rsidRPr="00000000">
        <w:rPr>
          <w:sz w:val="24"/>
          <w:szCs w:val="24"/>
          <w:rtl w:val="0"/>
        </w:rPr>
        <w:t xml:space="preserve">References</w:t>
      </w:r>
    </w:p>
    <w:p w:rsidR="00000000" w:rsidDel="00000000" w:rsidP="00000000" w:rsidRDefault="00000000" w:rsidRPr="00000000" w14:paraId="000000C9">
      <w:pPr>
        <w:shd w:fill="ffffff" w:val="clear"/>
        <w:rPr>
          <w:sz w:val="24"/>
          <w:szCs w:val="24"/>
        </w:rPr>
      </w:pPr>
      <w:r w:rsidDel="00000000" w:rsidR="00000000" w:rsidRPr="00000000">
        <w:rPr>
          <w:rtl w:val="0"/>
        </w:rPr>
      </w:r>
    </w:p>
    <w:p w:rsidR="00000000" w:rsidDel="00000000" w:rsidP="00000000" w:rsidRDefault="00000000" w:rsidRPr="00000000" w14:paraId="000000CA">
      <w:pPr>
        <w:shd w:fill="ffffff" w:val="clear"/>
        <w:rPr>
          <w:sz w:val="24"/>
          <w:szCs w:val="24"/>
        </w:rPr>
      </w:pPr>
      <w:r w:rsidDel="00000000" w:rsidR="00000000" w:rsidRPr="00000000">
        <w:rPr>
          <w:sz w:val="24"/>
          <w:szCs w:val="24"/>
          <w:rtl w:val="0"/>
        </w:rPr>
        <w:t xml:space="preserve">Primary Sources (Reviewed Studies)</w:t>
      </w:r>
    </w:p>
    <w:p w:rsidR="00000000" w:rsidDel="00000000" w:rsidP="00000000" w:rsidRDefault="00000000" w:rsidRPr="00000000" w14:paraId="000000CB">
      <w:pPr>
        <w:shd w:fill="ffffff" w:val="clear"/>
        <w:rPr>
          <w:sz w:val="24"/>
          <w:szCs w:val="24"/>
        </w:rPr>
      </w:pPr>
      <w:r w:rsidDel="00000000" w:rsidR="00000000" w:rsidRPr="00000000">
        <w:rPr>
          <w:sz w:val="24"/>
          <w:szCs w:val="24"/>
          <w:rtl w:val="0"/>
        </w:rPr>
        <w:t xml:space="preserve">Brink, T.L. (1978) ‘Inconsistency of Belief among Roman Catholic Girls: Concerning Religion, Astrology, Reincarnation’, Review of Religious Research, 20(1), pp. 82–85.</w:t>
      </w:r>
    </w:p>
    <w:p w:rsidR="00000000" w:rsidDel="00000000" w:rsidP="00000000" w:rsidRDefault="00000000" w:rsidRPr="00000000" w14:paraId="000000CC">
      <w:pPr>
        <w:shd w:fill="ffffff" w:val="clear"/>
        <w:rPr>
          <w:sz w:val="24"/>
          <w:szCs w:val="24"/>
        </w:rPr>
      </w:pPr>
      <w:r w:rsidDel="00000000" w:rsidR="00000000" w:rsidRPr="00000000">
        <w:rPr>
          <w:rtl w:val="0"/>
        </w:rPr>
      </w:r>
    </w:p>
    <w:p w:rsidR="00000000" w:rsidDel="00000000" w:rsidP="00000000" w:rsidRDefault="00000000" w:rsidRPr="00000000" w14:paraId="000000CD">
      <w:pPr>
        <w:shd w:fill="ffffff" w:val="clear"/>
        <w:rPr>
          <w:sz w:val="24"/>
          <w:szCs w:val="24"/>
        </w:rPr>
      </w:pPr>
      <w:r w:rsidDel="00000000" w:rsidR="00000000" w:rsidRPr="00000000">
        <w:rPr>
          <w:sz w:val="24"/>
          <w:szCs w:val="24"/>
          <w:rtl w:val="0"/>
        </w:rPr>
        <w:t xml:space="preserve">Walter, T. and Waterhouse, H. (1999) ‘A Very Private Belief: Reincarnation in Contemporary England’, Sociology of Religion, 60(2), pp. 187–197.</w:t>
      </w:r>
    </w:p>
    <w:p w:rsidR="00000000" w:rsidDel="00000000" w:rsidP="00000000" w:rsidRDefault="00000000" w:rsidRPr="00000000" w14:paraId="000000CE">
      <w:pPr>
        <w:shd w:fill="ffffff" w:val="clear"/>
        <w:rPr>
          <w:sz w:val="24"/>
          <w:szCs w:val="24"/>
        </w:rPr>
      </w:pPr>
      <w:r w:rsidDel="00000000" w:rsidR="00000000" w:rsidRPr="00000000">
        <w:rPr>
          <w:rtl w:val="0"/>
        </w:rPr>
      </w:r>
    </w:p>
    <w:p w:rsidR="00000000" w:rsidDel="00000000" w:rsidP="00000000" w:rsidRDefault="00000000" w:rsidRPr="00000000" w14:paraId="000000CF">
      <w:pPr>
        <w:shd w:fill="ffffff" w:val="clear"/>
        <w:rPr>
          <w:sz w:val="24"/>
          <w:szCs w:val="24"/>
        </w:rPr>
      </w:pPr>
      <w:r w:rsidDel="00000000" w:rsidR="00000000" w:rsidRPr="00000000">
        <w:rPr>
          <w:sz w:val="24"/>
          <w:szCs w:val="24"/>
          <w:rtl w:val="0"/>
        </w:rPr>
        <w:t xml:space="preserve">Secondary Sources (Theoretical and Methodological Contexts)</w:t>
      </w:r>
    </w:p>
    <w:p w:rsidR="00000000" w:rsidDel="00000000" w:rsidP="00000000" w:rsidRDefault="00000000" w:rsidRPr="00000000" w14:paraId="000000D0">
      <w:pPr>
        <w:shd w:fill="ffffff" w:val="clear"/>
        <w:rPr>
          <w:sz w:val="24"/>
          <w:szCs w:val="24"/>
        </w:rPr>
      </w:pPr>
      <w:r w:rsidDel="00000000" w:rsidR="00000000" w:rsidRPr="00000000">
        <w:rPr>
          <w:sz w:val="24"/>
          <w:szCs w:val="24"/>
          <w:rtl w:val="0"/>
        </w:rPr>
        <w:t xml:space="preserve">Berger, P.L. (1969) The Social Reality of Religion. London: Faber.</w:t>
      </w:r>
    </w:p>
    <w:p w:rsidR="00000000" w:rsidDel="00000000" w:rsidP="00000000" w:rsidRDefault="00000000" w:rsidRPr="00000000" w14:paraId="000000D1">
      <w:pPr>
        <w:shd w:fill="ffffff" w:val="clear"/>
        <w:rPr>
          <w:sz w:val="24"/>
          <w:szCs w:val="24"/>
        </w:rPr>
      </w:pPr>
      <w:r w:rsidDel="00000000" w:rsidR="00000000" w:rsidRPr="00000000">
        <w:rPr>
          <w:rtl w:val="0"/>
        </w:rPr>
      </w:r>
    </w:p>
    <w:p w:rsidR="00000000" w:rsidDel="00000000" w:rsidP="00000000" w:rsidRDefault="00000000" w:rsidRPr="00000000" w14:paraId="000000D2">
      <w:pPr>
        <w:shd w:fill="ffffff" w:val="clear"/>
        <w:rPr>
          <w:sz w:val="24"/>
          <w:szCs w:val="24"/>
        </w:rPr>
      </w:pPr>
      <w:r w:rsidDel="00000000" w:rsidR="00000000" w:rsidRPr="00000000">
        <w:rPr>
          <w:sz w:val="24"/>
          <w:szCs w:val="24"/>
          <w:rtl w:val="0"/>
        </w:rPr>
        <w:t xml:space="preserve">Berger, P.L. and Luckmann, T. (1966) The Social Construction of Reality: A Treatise in the Sociology of Knowledge. New York: Anchor Books.</w:t>
      </w:r>
    </w:p>
    <w:p w:rsidR="00000000" w:rsidDel="00000000" w:rsidP="00000000" w:rsidRDefault="00000000" w:rsidRPr="00000000" w14:paraId="000000D3">
      <w:pPr>
        <w:shd w:fill="ffffff" w:val="clear"/>
        <w:rPr>
          <w:sz w:val="24"/>
          <w:szCs w:val="24"/>
        </w:rPr>
      </w:pPr>
      <w:r w:rsidDel="00000000" w:rsidR="00000000" w:rsidRPr="00000000">
        <w:rPr>
          <w:rtl w:val="0"/>
        </w:rPr>
      </w:r>
    </w:p>
    <w:p w:rsidR="00000000" w:rsidDel="00000000" w:rsidP="00000000" w:rsidRDefault="00000000" w:rsidRPr="00000000" w14:paraId="000000D4">
      <w:pPr>
        <w:shd w:fill="ffffff" w:val="clear"/>
        <w:rPr>
          <w:sz w:val="24"/>
          <w:szCs w:val="24"/>
        </w:rPr>
      </w:pPr>
      <w:r w:rsidDel="00000000" w:rsidR="00000000" w:rsidRPr="00000000">
        <w:rPr>
          <w:sz w:val="24"/>
          <w:szCs w:val="24"/>
          <w:rtl w:val="0"/>
        </w:rPr>
        <w:t xml:space="preserve">Bruce, S. (2002) God is Dead: Secularization in the West. Oxford: Blackwell.</w:t>
      </w:r>
    </w:p>
    <w:p w:rsidR="00000000" w:rsidDel="00000000" w:rsidP="00000000" w:rsidRDefault="00000000" w:rsidRPr="00000000" w14:paraId="000000D5">
      <w:pPr>
        <w:shd w:fill="ffffff" w:val="clear"/>
        <w:rPr>
          <w:sz w:val="24"/>
          <w:szCs w:val="24"/>
        </w:rPr>
      </w:pPr>
      <w:r w:rsidDel="00000000" w:rsidR="00000000" w:rsidRPr="00000000">
        <w:rPr>
          <w:rtl w:val="0"/>
        </w:rPr>
      </w:r>
    </w:p>
    <w:p w:rsidR="00000000" w:rsidDel="00000000" w:rsidP="00000000" w:rsidRDefault="00000000" w:rsidRPr="00000000" w14:paraId="000000D6">
      <w:pPr>
        <w:shd w:fill="ffffff" w:val="clear"/>
        <w:rPr>
          <w:sz w:val="24"/>
          <w:szCs w:val="24"/>
        </w:rPr>
      </w:pPr>
      <w:r w:rsidDel="00000000" w:rsidR="00000000" w:rsidRPr="00000000">
        <w:rPr>
          <w:sz w:val="24"/>
          <w:szCs w:val="24"/>
          <w:rtl w:val="0"/>
        </w:rPr>
        <w:t xml:space="preserve">Davie, G. (1994) Religion in Britain since 1945: Believing without Belonging. Oxford: Blackwell.</w:t>
      </w:r>
    </w:p>
    <w:p w:rsidR="00000000" w:rsidDel="00000000" w:rsidP="00000000" w:rsidRDefault="00000000" w:rsidRPr="00000000" w14:paraId="000000D7">
      <w:pPr>
        <w:shd w:fill="ffffff" w:val="clear"/>
        <w:rPr>
          <w:sz w:val="24"/>
          <w:szCs w:val="24"/>
        </w:rPr>
      </w:pPr>
      <w:r w:rsidDel="00000000" w:rsidR="00000000" w:rsidRPr="00000000">
        <w:rPr>
          <w:rtl w:val="0"/>
        </w:rPr>
      </w:r>
    </w:p>
    <w:p w:rsidR="00000000" w:rsidDel="00000000" w:rsidP="00000000" w:rsidRDefault="00000000" w:rsidRPr="00000000" w14:paraId="000000D8">
      <w:pPr>
        <w:shd w:fill="ffffff" w:val="clear"/>
        <w:rPr>
          <w:sz w:val="24"/>
          <w:szCs w:val="24"/>
        </w:rPr>
      </w:pPr>
      <w:r w:rsidDel="00000000" w:rsidR="00000000" w:rsidRPr="00000000">
        <w:rPr>
          <w:sz w:val="24"/>
          <w:szCs w:val="24"/>
          <w:rtl w:val="0"/>
        </w:rPr>
        <w:t xml:space="preserve">Festinger, L. (1957) A Theory of Cognitive Dissonance. Stanford, CA: Stanford University Press.</w:t>
      </w:r>
    </w:p>
    <w:p w:rsidR="00000000" w:rsidDel="00000000" w:rsidP="00000000" w:rsidRDefault="00000000" w:rsidRPr="00000000" w14:paraId="000000D9">
      <w:pPr>
        <w:shd w:fill="ffffff" w:val="clear"/>
        <w:rPr>
          <w:sz w:val="24"/>
          <w:szCs w:val="24"/>
        </w:rPr>
      </w:pPr>
      <w:r w:rsidDel="00000000" w:rsidR="00000000" w:rsidRPr="00000000">
        <w:rPr>
          <w:rtl w:val="0"/>
        </w:rPr>
      </w:r>
    </w:p>
    <w:p w:rsidR="00000000" w:rsidDel="00000000" w:rsidP="00000000" w:rsidRDefault="00000000" w:rsidRPr="00000000" w14:paraId="000000DA">
      <w:pPr>
        <w:shd w:fill="ffffff" w:val="clear"/>
        <w:rPr>
          <w:sz w:val="24"/>
          <w:szCs w:val="24"/>
        </w:rPr>
      </w:pPr>
      <w:r w:rsidDel="00000000" w:rsidR="00000000" w:rsidRPr="00000000">
        <w:rPr>
          <w:sz w:val="24"/>
          <w:szCs w:val="24"/>
          <w:rtl w:val="0"/>
        </w:rPr>
        <w:t xml:space="preserve">Geertz, C. (1973) The Interpretation of Cultures: Selected Essays. New York: Basic Books.</w:t>
      </w:r>
    </w:p>
    <w:p w:rsidR="00000000" w:rsidDel="00000000" w:rsidP="00000000" w:rsidRDefault="00000000" w:rsidRPr="00000000" w14:paraId="000000DB">
      <w:pPr>
        <w:shd w:fill="ffffff" w:val="clear"/>
        <w:rPr>
          <w:sz w:val="24"/>
          <w:szCs w:val="24"/>
        </w:rPr>
      </w:pPr>
      <w:r w:rsidDel="00000000" w:rsidR="00000000" w:rsidRPr="00000000">
        <w:rPr>
          <w:rtl w:val="0"/>
        </w:rPr>
      </w:r>
    </w:p>
    <w:p w:rsidR="00000000" w:rsidDel="00000000" w:rsidP="00000000" w:rsidRDefault="00000000" w:rsidRPr="00000000" w14:paraId="000000DC">
      <w:pPr>
        <w:shd w:fill="ffffff" w:val="clear"/>
        <w:rPr>
          <w:sz w:val="24"/>
          <w:szCs w:val="24"/>
        </w:rPr>
      </w:pPr>
      <w:r w:rsidDel="00000000" w:rsidR="00000000" w:rsidRPr="00000000">
        <w:rPr>
          <w:sz w:val="24"/>
          <w:szCs w:val="24"/>
          <w:rtl w:val="0"/>
        </w:rPr>
        <w:t xml:space="preserve">Heelas, P. and Woodhead, L. (2005) The Spiritual Revolution: Why Religion is Giving Way to Spirituality. Oxford: Blackwell.</w:t>
      </w:r>
    </w:p>
    <w:p w:rsidR="00000000" w:rsidDel="00000000" w:rsidP="00000000" w:rsidRDefault="00000000" w:rsidRPr="00000000" w14:paraId="000000DD">
      <w:pPr>
        <w:shd w:fill="ffffff" w:val="clear"/>
        <w:rPr>
          <w:sz w:val="24"/>
          <w:szCs w:val="24"/>
        </w:rPr>
      </w:pPr>
      <w:r w:rsidDel="00000000" w:rsidR="00000000" w:rsidRPr="00000000">
        <w:rPr>
          <w:rtl w:val="0"/>
        </w:rPr>
      </w:r>
    </w:p>
    <w:p w:rsidR="00000000" w:rsidDel="00000000" w:rsidP="00000000" w:rsidRDefault="00000000" w:rsidRPr="00000000" w14:paraId="000000DE">
      <w:pPr>
        <w:shd w:fill="ffffff" w:val="clear"/>
        <w:rPr>
          <w:sz w:val="24"/>
          <w:szCs w:val="24"/>
        </w:rPr>
      </w:pPr>
      <w:r w:rsidDel="00000000" w:rsidR="00000000" w:rsidRPr="00000000">
        <w:rPr>
          <w:sz w:val="24"/>
          <w:szCs w:val="24"/>
          <w:rtl w:val="0"/>
        </w:rPr>
        <w:t xml:space="preserve">Luckmann, T. (1967) The Invisible Religion: The Problem of Religion in Modern Society. New York: Macmillan.</w:t>
      </w:r>
    </w:p>
    <w:p w:rsidR="00000000" w:rsidDel="00000000" w:rsidP="00000000" w:rsidRDefault="00000000" w:rsidRPr="00000000" w14:paraId="000000DF">
      <w:pPr>
        <w:shd w:fill="ffffff" w:val="clear"/>
        <w:rPr>
          <w:sz w:val="24"/>
          <w:szCs w:val="24"/>
        </w:rPr>
      </w:pPr>
      <w:r w:rsidDel="00000000" w:rsidR="00000000" w:rsidRPr="00000000">
        <w:rPr>
          <w:rtl w:val="0"/>
        </w:rPr>
      </w:r>
    </w:p>
    <w:p w:rsidR="00000000" w:rsidDel="00000000" w:rsidP="00000000" w:rsidRDefault="00000000" w:rsidRPr="00000000" w14:paraId="000000E0">
      <w:pPr>
        <w:shd w:fill="ffffff" w:val="clear"/>
        <w:rPr>
          <w:sz w:val="24"/>
          <w:szCs w:val="24"/>
        </w:rPr>
      </w:pPr>
      <w:r w:rsidDel="00000000" w:rsidR="00000000" w:rsidRPr="00000000">
        <w:rPr>
          <w:sz w:val="24"/>
          <w:szCs w:val="24"/>
          <w:rtl w:val="0"/>
        </w:rPr>
        <w:t xml:space="preserve">McGuire, M.B. (2008) *Lived Religion: Faith and Practice</w:t>
      </w:r>
    </w:p>
    <w:p w:rsidR="00000000" w:rsidDel="00000000" w:rsidP="00000000" w:rsidRDefault="00000000" w:rsidRPr="00000000" w14:paraId="000000E1">
      <w:pPr>
        <w:shd w:fill="ffffff" w:val="clear"/>
        <w:rPr>
          <w:sz w:val="24"/>
          <w:szCs w:val="24"/>
        </w:rPr>
      </w:pPr>
      <w:r w:rsidDel="00000000" w:rsidR="00000000" w:rsidRPr="00000000">
        <w:rPr>
          <w:rtl w:val="0"/>
        </w:rPr>
      </w:r>
    </w:p>
    <w:p w:rsidR="00000000" w:rsidDel="00000000" w:rsidP="00000000" w:rsidRDefault="00000000" w:rsidRPr="00000000" w14:paraId="000000E2">
      <w:pPr>
        <w:shd w:fill="ffffff" w:val="clear"/>
        <w:rPr>
          <w:color w:val="0086f0"/>
          <w:sz w:val="24"/>
          <w:szCs w:val="24"/>
          <w:u w:val="single"/>
        </w:rPr>
      </w:pPr>
      <w:r w:rsidDel="00000000" w:rsidR="00000000" w:rsidRPr="00000000">
        <w:rPr>
          <w:rtl w:val="0"/>
        </w:rPr>
      </w:r>
    </w:p>
    <w:p w:rsidR="00000000" w:rsidDel="00000000" w:rsidP="00000000" w:rsidRDefault="00000000" w:rsidRPr="00000000" w14:paraId="000000E3">
      <w:pPr>
        <w:rPr>
          <w:sz w:val="24"/>
          <w:szCs w:val="24"/>
        </w:rPr>
      </w:pPr>
      <w:r w:rsidDel="00000000" w:rsidR="00000000" w:rsidRPr="00000000">
        <w:rPr>
          <w:rtl w:val="0"/>
        </w:rPr>
      </w:r>
    </w:p>
    <w:sectPr>
      <w:headerReference r:id="rId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rebuchet MS"/>
  <w:font w:name="Calibri"/>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8mqN9h2cPHE6KikMNOKAntDouA==">CgMxLjAyEGtpeC56MGdsbnFhdWFkZGQyEGtpeC5scHVuc2Y1Z2loMGkyEGtpeC5wYXRlZWluZnlzZGcyEGtpeC5xZ2o2MzdvOGkyNGcyEGtpeC5jZnRyMGx4MDBvNTQyEGtpeC5mMzZ5NHoyNjZwNmQ4AHIhMXk3cFJrVkpaa3FKSEtrcFo4OVdmUXR0Z0swOVFmYVBZ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