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6476488"/>
        <w:docPartObj>
          <w:docPartGallery w:val="Cover Pages"/>
          <w:docPartUnique/>
        </w:docPartObj>
      </w:sdtPr>
      <w:sdtEndPr/>
      <w:sdtContent>
        <w:p w14:paraId="2DA6FEB2" w14:textId="77777777" w:rsidR="009B74BA" w:rsidRDefault="009B74BA">
          <w:r>
            <w:rPr>
              <w:noProof/>
              <w:lang w:eastAsia="en-GB"/>
            </w:rPr>
            <mc:AlternateContent>
              <mc:Choice Requires="wpg">
                <w:drawing>
                  <wp:anchor distT="0" distB="0" distL="114300" distR="114300" simplePos="0" relativeHeight="251659264" behindDoc="1" locked="0" layoutInCell="1" allowOverlap="1" wp14:anchorId="3EF7A8E9" wp14:editId="3E17BC4D">
                    <wp:simplePos x="0" y="0"/>
                    <wp:positionH relativeFrom="page">
                      <wp:align>center</wp:align>
                    </wp:positionH>
                    <wp:positionV relativeFrom="page">
                      <wp:align>center</wp:align>
                    </wp:positionV>
                    <wp:extent cx="6864824" cy="9123528"/>
                    <wp:effectExtent l="0" t="0" r="0" b="762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F9F9EA8" w14:textId="77777777" w:rsidR="009B74BA" w:rsidRDefault="009B74BA">
                                      <w:pPr>
                                        <w:pStyle w:val="NoSpacing"/>
                                        <w:spacing w:before="120"/>
                                        <w:jc w:val="center"/>
                                        <w:rPr>
                                          <w:color w:val="FFFFFF" w:themeColor="background1"/>
                                        </w:rPr>
                                      </w:pPr>
                                      <w:r>
                                        <w:rPr>
                                          <w:color w:val="FFFFFF" w:themeColor="background1"/>
                                        </w:rPr>
                                        <w:t>Rhea Pittaway</w:t>
                                      </w:r>
                                      <w:r>
                                        <w:rPr>
                                          <w:color w:val="FFFFFF" w:themeColor="background1"/>
                                          <w:lang w:val="en-GB"/>
                                        </w:rPr>
                                        <w:t xml:space="preserve"> (P149829)</w:t>
                                      </w:r>
                                    </w:p>
                                  </w:sdtContent>
                                </w:sdt>
                                <w:p w14:paraId="19964DDA" w14:textId="1087CFC3" w:rsidR="009B74BA" w:rsidRDefault="00502DA7">
                                  <w:pPr>
                                    <w:pStyle w:val="NoSpacing"/>
                                    <w:spacing w:before="120"/>
                                    <w:jc w:val="center"/>
                                    <w:rPr>
                                      <w:color w:val="FFFFFF" w:themeColor="background1"/>
                                    </w:rPr>
                                  </w:pPr>
                                  <w:sdt>
                                    <w:sdtPr>
                                      <w:rPr>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B74BA" w:rsidRPr="001155FE">
                                        <w:rPr>
                                          <w:caps/>
                                          <w:color w:val="FFFFFF" w:themeColor="background1"/>
                                          <w:sz w:val="24"/>
                                          <w:szCs w:val="24"/>
                                        </w:rPr>
                                        <w:t>Drago</w:t>
                                      </w:r>
                                      <w:r w:rsidR="00E26669" w:rsidRPr="001155FE">
                                        <w:rPr>
                                          <w:caps/>
                                          <w:color w:val="FFFFFF" w:themeColor="background1"/>
                                          <w:sz w:val="24"/>
                                          <w:szCs w:val="24"/>
                                        </w:rPr>
                                        <w:t xml:space="preserve">n office </w:t>
                                      </w:r>
                                      <w:r w:rsidR="009B74BA" w:rsidRPr="001155FE">
                                        <w:rPr>
                                          <w:caps/>
                                          <w:color w:val="FFFFFF" w:themeColor="background1"/>
                                          <w:sz w:val="24"/>
                                          <w:szCs w:val="24"/>
                                        </w:rPr>
                                        <w:t>supplies</w:t>
                                      </w:r>
                                    </w:sdtContent>
                                  </w:sdt>
                                  <w:r w:rsidR="009B74BA" w:rsidRPr="001155FE">
                                    <w:rPr>
                                      <w:color w:val="FFFFFF" w:themeColor="background1"/>
                                      <w:sz w:val="24"/>
                                      <w:szCs w:val="24"/>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B74B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D26C3B" w14:textId="77777777" w:rsidR="009B74BA" w:rsidRPr="0004770A" w:rsidRDefault="009B74BA">
                                  <w:pPr>
                                    <w:pStyle w:val="NoSpacing"/>
                                    <w:jc w:val="center"/>
                                    <w:rPr>
                                      <w:rFonts w:ascii="Arial" w:eastAsiaTheme="majorEastAsia" w:hAnsi="Arial" w:cs="Arial"/>
                                      <w:caps/>
                                      <w:color w:val="5B9BD5" w:themeColor="accent1"/>
                                      <w:sz w:val="72"/>
                                      <w:szCs w:val="72"/>
                                    </w:rPr>
                                  </w:pPr>
                                  <w:r w:rsidRPr="0004770A">
                                    <w:rPr>
                                      <w:rFonts w:ascii="Arial" w:eastAsiaTheme="majorEastAsia" w:hAnsi="Arial" w:cs="Arial"/>
                                      <w:caps/>
                                      <w:color w:val="5B9BD5" w:themeColor="accent1"/>
                                      <w:sz w:val="72"/>
                                      <w:szCs w:val="72"/>
                                    </w:rPr>
                                    <w:t>The effects of the new general data protection regulations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F7A8E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">
                    <v:rect id="Rectangle 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 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F9F9EA8" w14:textId="77777777" w:rsidR="009B74BA" w:rsidRDefault="009B74BA">
                                <w:pPr>
                                  <w:pStyle w:val="NoSpacing"/>
                                  <w:spacing w:before="120"/>
                                  <w:jc w:val="center"/>
                                  <w:rPr>
                                    <w:color w:val="FFFFFF" w:themeColor="background1"/>
                                  </w:rPr>
                                </w:pPr>
                                <w:r>
                                  <w:rPr>
                                    <w:color w:val="FFFFFF" w:themeColor="background1"/>
                                  </w:rPr>
                                  <w:t>Rhea Pittaway</w:t>
                                </w:r>
                                <w:r>
                                  <w:rPr>
                                    <w:color w:val="FFFFFF" w:themeColor="background1"/>
                                    <w:lang w:val="en-GB"/>
                                  </w:rPr>
                                  <w:t xml:space="preserve"> (P149829)</w:t>
                                </w:r>
                              </w:p>
                            </w:sdtContent>
                          </w:sdt>
                          <w:p w14:paraId="19964DDA" w14:textId="1087CFC3" w:rsidR="009B74BA" w:rsidRDefault="009B74BA">
                            <w:pPr>
                              <w:pStyle w:val="NoSpacing"/>
                              <w:spacing w:before="120"/>
                              <w:jc w:val="center"/>
                              <w:rPr>
                                <w:color w:val="FFFFFF" w:themeColor="background1"/>
                              </w:rPr>
                            </w:pPr>
                            <w:sdt>
                              <w:sdtPr>
                                <w:rPr>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Content>
                                <w:r w:rsidRPr="001155FE">
                                  <w:rPr>
                                    <w:caps/>
                                    <w:color w:val="FFFFFF" w:themeColor="background1"/>
                                    <w:sz w:val="24"/>
                                    <w:szCs w:val="24"/>
                                  </w:rPr>
                                  <w:t>Drago</w:t>
                                </w:r>
                                <w:r w:rsidR="00E26669" w:rsidRPr="001155FE">
                                  <w:rPr>
                                    <w:caps/>
                                    <w:color w:val="FFFFFF" w:themeColor="background1"/>
                                    <w:sz w:val="24"/>
                                    <w:szCs w:val="24"/>
                                  </w:rPr>
                                  <w:t xml:space="preserve">n office </w:t>
                                </w:r>
                                <w:r w:rsidRPr="001155FE">
                                  <w:rPr>
                                    <w:caps/>
                                    <w:color w:val="FFFFFF" w:themeColor="background1"/>
                                    <w:sz w:val="24"/>
                                    <w:szCs w:val="24"/>
                                  </w:rPr>
                                  <w:t>supplies</w:t>
                                </w:r>
                              </w:sdtContent>
                            </w:sdt>
                            <w:r w:rsidRPr="001155FE">
                              <w:rPr>
                                <w:color w:val="FFFFFF" w:themeColor="background1"/>
                                <w:sz w:val="24"/>
                                <w:szCs w:val="24"/>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p w14:paraId="3AD26C3B" w14:textId="77777777" w:rsidR="009B74BA" w:rsidRPr="0004770A" w:rsidRDefault="009B74BA">
                            <w:pPr>
                              <w:pStyle w:val="NoSpacing"/>
                              <w:jc w:val="center"/>
                              <w:rPr>
                                <w:rFonts w:ascii="Arial" w:eastAsiaTheme="majorEastAsia" w:hAnsi="Arial" w:cs="Arial"/>
                                <w:caps/>
                                <w:color w:val="5B9BD5" w:themeColor="accent1"/>
                                <w:sz w:val="72"/>
                                <w:szCs w:val="72"/>
                              </w:rPr>
                            </w:pPr>
                            <w:r w:rsidRPr="0004770A">
                              <w:rPr>
                                <w:rFonts w:ascii="Arial" w:eastAsiaTheme="majorEastAsia" w:hAnsi="Arial" w:cs="Arial"/>
                                <w:caps/>
                                <w:color w:val="5B9BD5" w:themeColor="accent1"/>
                                <w:sz w:val="72"/>
                                <w:szCs w:val="72"/>
                              </w:rPr>
                              <w:t>The effects of the new general data protection regulations</w:t>
                            </w:r>
                          </w:p>
                        </w:txbxContent>
                      </v:textbox>
                    </v:shape>
                    <w10:wrap anchorx="page" anchory="page"/>
                  </v:group>
                </w:pict>
              </mc:Fallback>
            </mc:AlternateContent>
          </w:r>
        </w:p>
        <w:p w14:paraId="7A85CDD9" w14:textId="77777777" w:rsidR="009B74BA" w:rsidRDefault="009B74BA">
          <w:r>
            <w:br w:type="page"/>
          </w:r>
        </w:p>
      </w:sdtContent>
    </w:sdt>
    <w:p w14:paraId="6840C2F8" w14:textId="77777777" w:rsidR="009B74BA" w:rsidRPr="0004770A" w:rsidRDefault="009B74BA" w:rsidP="009B74BA">
      <w:pPr>
        <w:pStyle w:val="Heading1"/>
        <w:rPr>
          <w:rFonts w:ascii="Arial" w:hAnsi="Arial" w:cs="Arial"/>
          <w:b/>
          <w:sz w:val="28"/>
          <w:szCs w:val="28"/>
        </w:rPr>
      </w:pPr>
      <w:r w:rsidRPr="0004770A">
        <w:rPr>
          <w:rFonts w:ascii="Arial" w:hAnsi="Arial" w:cs="Arial"/>
          <w:b/>
          <w:sz w:val="28"/>
          <w:szCs w:val="28"/>
        </w:rPr>
        <w:lastRenderedPageBreak/>
        <w:t>Introduction</w:t>
      </w:r>
    </w:p>
    <w:p w14:paraId="1784A4D3" w14:textId="77777777" w:rsidR="009B74BA" w:rsidRPr="0004770A" w:rsidRDefault="009B74BA" w:rsidP="009B74BA">
      <w:pPr>
        <w:rPr>
          <w:sz w:val="24"/>
          <w:szCs w:val="24"/>
        </w:rPr>
      </w:pPr>
    </w:p>
    <w:p w14:paraId="56B3E860" w14:textId="4F4426CB" w:rsidR="00D80CA1" w:rsidRPr="0004770A" w:rsidRDefault="009B74BA" w:rsidP="00470A95">
      <w:pPr>
        <w:rPr>
          <w:rFonts w:eastAsia="Times New Roman"/>
          <w:color w:val="000000" w:themeColor="text1"/>
          <w:sz w:val="24"/>
          <w:szCs w:val="24"/>
          <w:lang w:eastAsia="en-GB"/>
        </w:rPr>
      </w:pPr>
      <w:r w:rsidRPr="0004770A">
        <w:rPr>
          <w:sz w:val="24"/>
          <w:szCs w:val="24"/>
        </w:rPr>
        <w:t xml:space="preserve">According to </w:t>
      </w:r>
      <w:r w:rsidRPr="0004770A">
        <w:rPr>
          <w:noProof/>
          <w:sz w:val="24"/>
          <w:szCs w:val="24"/>
        </w:rPr>
        <w:t>EU GDPR Portal (2018)</w:t>
      </w:r>
      <w:r w:rsidRPr="0004770A">
        <w:rPr>
          <w:sz w:val="24"/>
          <w:szCs w:val="24"/>
        </w:rPr>
        <w:t>, “The EU General Data Protection Regulation (GDPR) is the most important change in data privacy regulations in 20 years”</w:t>
      </w:r>
      <w:r w:rsidR="00B54CCC" w:rsidRPr="0004770A">
        <w:rPr>
          <w:sz w:val="24"/>
          <w:szCs w:val="24"/>
        </w:rPr>
        <w:t xml:space="preserve"> The EU GDPR</w:t>
      </w:r>
      <w:r w:rsidR="00124A46" w:rsidRPr="0004770A">
        <w:rPr>
          <w:sz w:val="24"/>
          <w:szCs w:val="24"/>
        </w:rPr>
        <w:t xml:space="preserve"> aims to assemble</w:t>
      </w:r>
      <w:r w:rsidR="00B54CCC" w:rsidRPr="0004770A">
        <w:rPr>
          <w:sz w:val="24"/>
          <w:szCs w:val="24"/>
        </w:rPr>
        <w:t xml:space="preserve"> data privacy laws, to protect all EU </w:t>
      </w:r>
      <w:r w:rsidR="00124A46" w:rsidRPr="0004770A">
        <w:rPr>
          <w:sz w:val="24"/>
          <w:szCs w:val="24"/>
        </w:rPr>
        <w:t>citizen’s</w:t>
      </w:r>
      <w:r w:rsidR="00B54CCC" w:rsidRPr="0004770A">
        <w:rPr>
          <w:sz w:val="24"/>
          <w:szCs w:val="24"/>
        </w:rPr>
        <w:t xml:space="preserve"> </w:t>
      </w:r>
      <w:r w:rsidR="00124A46" w:rsidRPr="0004770A">
        <w:rPr>
          <w:sz w:val="24"/>
          <w:szCs w:val="24"/>
        </w:rPr>
        <w:t>data privacy. It is in place to change the way that businesses approach data privacy.</w:t>
      </w:r>
      <w:r w:rsidR="00470A95" w:rsidRPr="0004770A">
        <w:rPr>
          <w:sz w:val="24"/>
          <w:szCs w:val="24"/>
        </w:rPr>
        <w:t xml:space="preserve"> </w:t>
      </w:r>
      <w:r w:rsidR="00470A95" w:rsidRPr="0004770A">
        <w:rPr>
          <w:noProof/>
          <w:sz w:val="24"/>
          <w:szCs w:val="24"/>
        </w:rPr>
        <w:t>Burgess (2018),</w:t>
      </w:r>
      <w:r w:rsidR="00470A95" w:rsidRPr="0004770A">
        <w:rPr>
          <w:sz w:val="24"/>
          <w:szCs w:val="24"/>
        </w:rPr>
        <w:t xml:space="preserve"> also defines GDPR as “</w:t>
      </w:r>
      <w:r w:rsidR="00470A95" w:rsidRPr="0004770A">
        <w:rPr>
          <w:rFonts w:eastAsia="Times New Roman"/>
          <w:color w:val="000000" w:themeColor="text1"/>
          <w:sz w:val="24"/>
          <w:szCs w:val="24"/>
          <w:lang w:eastAsia="en-GB"/>
        </w:rPr>
        <w:t>Europe's new framework for data protection laws – it replaces the </w:t>
      </w:r>
      <w:hyperlink r:id="rId5" w:history="1">
        <w:r w:rsidR="00470A95" w:rsidRPr="0004770A">
          <w:rPr>
            <w:rFonts w:eastAsia="Times New Roman"/>
            <w:color w:val="000000" w:themeColor="text1"/>
            <w:sz w:val="24"/>
            <w:szCs w:val="24"/>
            <w:lang w:eastAsia="en-GB"/>
          </w:rPr>
          <w:t>previous 1995 data protection directive</w:t>
        </w:r>
      </w:hyperlink>
      <w:r w:rsidR="00470A95" w:rsidRPr="0004770A">
        <w:rPr>
          <w:rFonts w:eastAsia="Times New Roman"/>
          <w:color w:val="000000" w:themeColor="text1"/>
          <w:sz w:val="24"/>
          <w:szCs w:val="24"/>
          <w:lang w:eastAsia="en-GB"/>
        </w:rPr>
        <w:t xml:space="preserve">, which current UK law is based upon” </w:t>
      </w:r>
      <w:r w:rsidR="00D80CA1" w:rsidRPr="0004770A">
        <w:rPr>
          <w:rFonts w:eastAsia="Times New Roman"/>
          <w:color w:val="000000" w:themeColor="text1"/>
          <w:sz w:val="24"/>
          <w:szCs w:val="24"/>
          <w:lang w:eastAsia="en-GB"/>
        </w:rPr>
        <w:t>Both Bur</w:t>
      </w:r>
      <w:r w:rsidR="00571786" w:rsidRPr="0004770A">
        <w:rPr>
          <w:rFonts w:eastAsia="Times New Roman"/>
          <w:color w:val="000000" w:themeColor="text1"/>
          <w:sz w:val="24"/>
          <w:szCs w:val="24"/>
          <w:lang w:eastAsia="en-GB"/>
        </w:rPr>
        <w:t>gess and EU GDPR Portal identifies</w:t>
      </w:r>
      <w:r w:rsidR="00D80CA1" w:rsidRPr="0004770A">
        <w:rPr>
          <w:rFonts w:eastAsia="Times New Roman"/>
          <w:color w:val="000000" w:themeColor="text1"/>
          <w:sz w:val="24"/>
          <w:szCs w:val="24"/>
          <w:lang w:eastAsia="en-GB"/>
        </w:rPr>
        <w:t xml:space="preserve"> that GDPR will drastically change the way that data is handled. It is </w:t>
      </w:r>
      <w:r w:rsidR="00571786" w:rsidRPr="0004770A">
        <w:rPr>
          <w:rFonts w:eastAsia="Times New Roman"/>
          <w:color w:val="000000" w:themeColor="text1"/>
          <w:sz w:val="24"/>
          <w:szCs w:val="24"/>
          <w:lang w:eastAsia="en-GB"/>
        </w:rPr>
        <w:t>cruc</w:t>
      </w:r>
      <w:r w:rsidR="00D80CA1" w:rsidRPr="0004770A">
        <w:rPr>
          <w:rFonts w:eastAsia="Times New Roman"/>
          <w:color w:val="000000" w:themeColor="text1"/>
          <w:sz w:val="24"/>
          <w:szCs w:val="24"/>
          <w:lang w:eastAsia="en-GB"/>
        </w:rPr>
        <w:t>ial that businesses understand the i</w:t>
      </w:r>
      <w:r w:rsidR="00BF6E16">
        <w:rPr>
          <w:rFonts w:eastAsia="Times New Roman"/>
          <w:color w:val="000000" w:themeColor="text1"/>
          <w:sz w:val="24"/>
          <w:szCs w:val="24"/>
          <w:lang w:eastAsia="en-GB"/>
        </w:rPr>
        <w:t>mportance of GDPR as well as</w:t>
      </w:r>
      <w:r w:rsidR="00D80CA1" w:rsidRPr="0004770A">
        <w:rPr>
          <w:rFonts w:eastAsia="Times New Roman"/>
          <w:color w:val="000000" w:themeColor="text1"/>
          <w:sz w:val="24"/>
          <w:szCs w:val="24"/>
          <w:lang w:eastAsia="en-GB"/>
        </w:rPr>
        <w:t xml:space="preserve"> its implications</w:t>
      </w:r>
      <w:r w:rsidR="00571786" w:rsidRPr="0004770A">
        <w:rPr>
          <w:rFonts w:eastAsia="Times New Roman"/>
          <w:color w:val="000000" w:themeColor="text1"/>
          <w:sz w:val="24"/>
          <w:szCs w:val="24"/>
          <w:lang w:eastAsia="en-GB"/>
        </w:rPr>
        <w:t>.</w:t>
      </w:r>
      <w:r w:rsidR="00D80CA1" w:rsidRPr="0004770A">
        <w:rPr>
          <w:rFonts w:eastAsia="Times New Roman"/>
          <w:color w:val="000000" w:themeColor="text1"/>
          <w:sz w:val="24"/>
          <w:szCs w:val="24"/>
          <w:lang w:eastAsia="en-GB"/>
        </w:rPr>
        <w:t xml:space="preserve"> GDPR reinforces current data protection regulations as well as introducing new developments in </w:t>
      </w:r>
      <w:r w:rsidR="00571786" w:rsidRPr="0004770A">
        <w:rPr>
          <w:rFonts w:eastAsia="Times New Roman"/>
          <w:color w:val="000000" w:themeColor="text1"/>
          <w:sz w:val="24"/>
          <w:szCs w:val="24"/>
          <w:lang w:eastAsia="en-GB"/>
        </w:rPr>
        <w:t>the way data is handled. GDPR</w:t>
      </w:r>
      <w:r w:rsidR="00D80CA1" w:rsidRPr="0004770A">
        <w:rPr>
          <w:rFonts w:eastAsia="Times New Roman"/>
          <w:color w:val="000000" w:themeColor="text1"/>
          <w:sz w:val="24"/>
          <w:szCs w:val="24"/>
          <w:lang w:eastAsia="en-GB"/>
        </w:rPr>
        <w:t xml:space="preserve"> also </w:t>
      </w:r>
      <w:r w:rsidR="00571786" w:rsidRPr="0004770A">
        <w:rPr>
          <w:rFonts w:eastAsia="Times New Roman"/>
          <w:color w:val="000000" w:themeColor="text1"/>
          <w:sz w:val="24"/>
          <w:szCs w:val="24"/>
          <w:lang w:eastAsia="en-GB"/>
        </w:rPr>
        <w:t>recognises</w:t>
      </w:r>
      <w:r w:rsidR="00D80CA1" w:rsidRPr="0004770A">
        <w:rPr>
          <w:rFonts w:eastAsia="Times New Roman"/>
          <w:color w:val="000000" w:themeColor="text1"/>
          <w:sz w:val="24"/>
          <w:szCs w:val="24"/>
          <w:lang w:eastAsia="en-GB"/>
        </w:rPr>
        <w:t xml:space="preserve"> the importance of data protection to the consumer, the new implementations of data protection allow for consumers to take control of the uses of their private data by companies. This can have major impacts on the way businesses handle and use customer data, failing this could result in massive fines to the organisation. </w:t>
      </w:r>
      <w:r w:rsidR="00571786" w:rsidRPr="0004770A">
        <w:rPr>
          <w:rFonts w:eastAsia="Times New Roman"/>
          <w:color w:val="000000" w:themeColor="text1"/>
          <w:sz w:val="24"/>
          <w:szCs w:val="24"/>
          <w:lang w:eastAsia="en-GB"/>
        </w:rPr>
        <w:t>Ultimately, GDPR aims to update the personal data rules to be in line with the increasingly digital era. The volumes of data pr</w:t>
      </w:r>
      <w:r w:rsidR="00BF6E16">
        <w:rPr>
          <w:rFonts w:eastAsia="Times New Roman"/>
          <w:color w:val="000000" w:themeColor="text1"/>
          <w:sz w:val="24"/>
          <w:szCs w:val="24"/>
          <w:lang w:eastAsia="en-GB"/>
        </w:rPr>
        <w:t>oduced today were</w:t>
      </w:r>
      <w:r w:rsidR="00571786" w:rsidRPr="0004770A">
        <w:rPr>
          <w:rFonts w:eastAsia="Times New Roman"/>
          <w:color w:val="000000" w:themeColor="text1"/>
          <w:sz w:val="24"/>
          <w:szCs w:val="24"/>
          <w:lang w:eastAsia="en-GB"/>
        </w:rPr>
        <w:t xml:space="preserve"> unforeseeable when current data protection laws were created in the late 1990s.</w:t>
      </w:r>
    </w:p>
    <w:p w14:paraId="4EE68DC8" w14:textId="77777777" w:rsidR="00571786" w:rsidRDefault="00571786" w:rsidP="00470A95">
      <w:pPr>
        <w:rPr>
          <w:rFonts w:eastAsia="Times New Roman"/>
          <w:color w:val="000000" w:themeColor="text1"/>
          <w:lang w:eastAsia="en-GB"/>
        </w:rPr>
      </w:pPr>
    </w:p>
    <w:p w14:paraId="7DDA0280" w14:textId="77777777" w:rsidR="00571786" w:rsidRPr="0004770A" w:rsidRDefault="00571786" w:rsidP="00571786">
      <w:pPr>
        <w:pStyle w:val="Heading1"/>
        <w:rPr>
          <w:rFonts w:ascii="Arial" w:eastAsia="Times New Roman" w:hAnsi="Arial" w:cs="Arial"/>
          <w:b/>
          <w:sz w:val="28"/>
          <w:szCs w:val="28"/>
          <w:lang w:eastAsia="en-GB"/>
        </w:rPr>
      </w:pPr>
      <w:r w:rsidRPr="0004770A">
        <w:rPr>
          <w:rFonts w:ascii="Arial" w:eastAsia="Times New Roman" w:hAnsi="Arial" w:cs="Arial"/>
          <w:b/>
          <w:sz w:val="28"/>
          <w:szCs w:val="28"/>
          <w:lang w:eastAsia="en-GB"/>
        </w:rPr>
        <w:t>Main Body</w:t>
      </w:r>
    </w:p>
    <w:p w14:paraId="2F9EE854" w14:textId="77777777" w:rsidR="00571786" w:rsidRDefault="00571786" w:rsidP="00571786">
      <w:pPr>
        <w:rPr>
          <w:lang w:eastAsia="en-GB"/>
        </w:rPr>
      </w:pPr>
    </w:p>
    <w:p w14:paraId="24778EE4" w14:textId="3F4DE1D3" w:rsidR="00E26669" w:rsidRPr="0004770A" w:rsidRDefault="00E4360F" w:rsidP="00E26669">
      <w:pPr>
        <w:rPr>
          <w:noProof/>
          <w:sz w:val="24"/>
          <w:szCs w:val="24"/>
          <w:lang w:eastAsia="en-GB"/>
        </w:rPr>
      </w:pPr>
      <w:r w:rsidRPr="0004770A">
        <w:rPr>
          <w:sz w:val="24"/>
          <w:szCs w:val="24"/>
          <w:lang w:eastAsia="en-GB"/>
        </w:rPr>
        <w:t xml:space="preserve">A main aspect of the changes occurred due to GDPR is the development of </w:t>
      </w:r>
      <w:r w:rsidR="002358CE" w:rsidRPr="0004770A">
        <w:rPr>
          <w:sz w:val="24"/>
          <w:szCs w:val="24"/>
          <w:lang w:eastAsia="en-GB"/>
        </w:rPr>
        <w:t>the Data Protection Officers</w:t>
      </w:r>
      <w:r w:rsidR="00E26669" w:rsidRPr="0004770A">
        <w:rPr>
          <w:sz w:val="24"/>
          <w:szCs w:val="24"/>
          <w:lang w:eastAsia="en-GB"/>
        </w:rPr>
        <w:t xml:space="preserve"> (DPOs)</w:t>
      </w:r>
      <w:r w:rsidR="002358CE" w:rsidRPr="0004770A">
        <w:rPr>
          <w:sz w:val="24"/>
          <w:szCs w:val="24"/>
          <w:lang w:eastAsia="en-GB"/>
        </w:rPr>
        <w:t xml:space="preserve">. According to </w:t>
      </w:r>
      <w:r w:rsidR="00DA02C1" w:rsidRPr="0004770A">
        <w:rPr>
          <w:noProof/>
          <w:sz w:val="24"/>
          <w:szCs w:val="24"/>
          <w:lang w:eastAsia="en-GB"/>
        </w:rPr>
        <w:t>Intersoft Consulting (2018),</w:t>
      </w:r>
      <w:r w:rsidR="001D2509" w:rsidRPr="0004770A">
        <w:rPr>
          <w:noProof/>
          <w:sz w:val="24"/>
          <w:szCs w:val="24"/>
          <w:lang w:eastAsia="en-GB"/>
        </w:rPr>
        <w:t xml:space="preserve"> GDPR states that businesses need to ap</w:t>
      </w:r>
      <w:r w:rsidR="00BF6E16">
        <w:rPr>
          <w:noProof/>
          <w:sz w:val="24"/>
          <w:szCs w:val="24"/>
          <w:lang w:eastAsia="en-GB"/>
        </w:rPr>
        <w:t>p</w:t>
      </w:r>
      <w:r w:rsidR="001D2509" w:rsidRPr="0004770A">
        <w:rPr>
          <w:noProof/>
          <w:sz w:val="24"/>
          <w:szCs w:val="24"/>
          <w:lang w:eastAsia="en-GB"/>
        </w:rPr>
        <w:t>oint a dedicated data protection office to organise the companies data handling activit</w:t>
      </w:r>
      <w:r w:rsidR="00BF6E16">
        <w:rPr>
          <w:noProof/>
          <w:sz w:val="24"/>
          <w:szCs w:val="24"/>
          <w:lang w:eastAsia="en-GB"/>
        </w:rPr>
        <w:t>i</w:t>
      </w:r>
      <w:r w:rsidR="001D2509" w:rsidRPr="0004770A">
        <w:rPr>
          <w:noProof/>
          <w:sz w:val="24"/>
          <w:szCs w:val="24"/>
          <w:lang w:eastAsia="en-GB"/>
        </w:rPr>
        <w:t>es, such as storing the data and</w:t>
      </w:r>
      <w:r w:rsidR="00B105E8" w:rsidRPr="0004770A">
        <w:rPr>
          <w:noProof/>
          <w:sz w:val="24"/>
          <w:szCs w:val="24"/>
          <w:lang w:eastAsia="en-GB"/>
        </w:rPr>
        <w:t xml:space="preserve"> handling</w:t>
      </w:r>
      <w:r w:rsidR="001D2509" w:rsidRPr="0004770A">
        <w:rPr>
          <w:noProof/>
          <w:sz w:val="24"/>
          <w:szCs w:val="24"/>
          <w:lang w:eastAsia="en-GB"/>
        </w:rPr>
        <w:t xml:space="preserve"> the use of the data. </w:t>
      </w:r>
      <w:r w:rsidR="00E26669" w:rsidRPr="0004770A">
        <w:rPr>
          <w:noProof/>
          <w:sz w:val="24"/>
          <w:szCs w:val="24"/>
          <w:lang w:eastAsia="en-GB"/>
        </w:rPr>
        <w:t>The DPOs main responsibility is to mo</w:t>
      </w:r>
      <w:r w:rsidR="00B105E8" w:rsidRPr="0004770A">
        <w:rPr>
          <w:noProof/>
          <w:sz w:val="24"/>
          <w:szCs w:val="24"/>
          <w:lang w:eastAsia="en-GB"/>
        </w:rPr>
        <w:t>nitor compliance with the GDPR and t</w:t>
      </w:r>
      <w:r w:rsidR="00E26669" w:rsidRPr="0004770A">
        <w:rPr>
          <w:noProof/>
          <w:sz w:val="24"/>
          <w:szCs w:val="24"/>
          <w:lang w:eastAsia="en-GB"/>
        </w:rPr>
        <w:t>herefore, will be held responsible for producing internal guidelines f</w:t>
      </w:r>
      <w:r w:rsidR="00B105E8" w:rsidRPr="0004770A">
        <w:rPr>
          <w:noProof/>
          <w:sz w:val="24"/>
          <w:szCs w:val="24"/>
          <w:lang w:eastAsia="en-GB"/>
        </w:rPr>
        <w:t>or the organisation on the GDPR. T</w:t>
      </w:r>
      <w:r w:rsidR="00E26669" w:rsidRPr="0004770A">
        <w:rPr>
          <w:noProof/>
          <w:sz w:val="24"/>
          <w:szCs w:val="24"/>
          <w:lang w:eastAsia="en-GB"/>
        </w:rPr>
        <w:t>his involves checking that existing policies are in place and, when necessary, adapting or c</w:t>
      </w:r>
      <w:r w:rsidR="00B105E8" w:rsidRPr="0004770A">
        <w:rPr>
          <w:noProof/>
          <w:sz w:val="24"/>
          <w:szCs w:val="24"/>
          <w:lang w:eastAsia="en-GB"/>
        </w:rPr>
        <w:t>reating new ones to comply with</w:t>
      </w:r>
      <w:r w:rsidR="00E26669" w:rsidRPr="0004770A">
        <w:rPr>
          <w:noProof/>
          <w:sz w:val="24"/>
          <w:szCs w:val="24"/>
          <w:lang w:eastAsia="en-GB"/>
        </w:rPr>
        <w:t xml:space="preserve"> the provis</w:t>
      </w:r>
      <w:r w:rsidR="00BF6E16">
        <w:rPr>
          <w:noProof/>
          <w:sz w:val="24"/>
          <w:szCs w:val="24"/>
          <w:lang w:eastAsia="en-GB"/>
        </w:rPr>
        <w:t>i</w:t>
      </w:r>
      <w:r w:rsidR="00E26669" w:rsidRPr="0004770A">
        <w:rPr>
          <w:noProof/>
          <w:sz w:val="24"/>
          <w:szCs w:val="24"/>
          <w:lang w:eastAsia="en-GB"/>
        </w:rPr>
        <w:t xml:space="preserve">ons. </w:t>
      </w:r>
      <w:r w:rsidR="00AF6C21" w:rsidRPr="0004770A">
        <w:rPr>
          <w:noProof/>
          <w:sz w:val="24"/>
          <w:szCs w:val="24"/>
          <w:lang w:eastAsia="en-GB"/>
        </w:rPr>
        <w:t>This aspect of GDPR will impact businesses such as Dragon Office Supplies due to them either having to appoint a DPO or train an e</w:t>
      </w:r>
      <w:r w:rsidR="00B105E8" w:rsidRPr="0004770A">
        <w:rPr>
          <w:noProof/>
          <w:sz w:val="24"/>
          <w:szCs w:val="24"/>
          <w:lang w:eastAsia="en-GB"/>
        </w:rPr>
        <w:t>xisting employee on</w:t>
      </w:r>
      <w:r w:rsidR="00AF6C21" w:rsidRPr="0004770A">
        <w:rPr>
          <w:noProof/>
          <w:sz w:val="24"/>
          <w:szCs w:val="24"/>
          <w:lang w:eastAsia="en-GB"/>
        </w:rPr>
        <w:t xml:space="preserve"> the responsibilities of a DPO. This will not only be time-con</w:t>
      </w:r>
      <w:r w:rsidR="00BF6E16">
        <w:rPr>
          <w:noProof/>
          <w:sz w:val="24"/>
          <w:szCs w:val="24"/>
          <w:lang w:eastAsia="en-GB"/>
        </w:rPr>
        <w:t>s</w:t>
      </w:r>
      <w:r w:rsidR="00AF6C21" w:rsidRPr="0004770A">
        <w:rPr>
          <w:noProof/>
          <w:sz w:val="24"/>
          <w:szCs w:val="24"/>
          <w:lang w:eastAsia="en-GB"/>
        </w:rPr>
        <w:t>uming for the organisation but can be costly if they have to recruit a new member of staff. On the o</w:t>
      </w:r>
      <w:r w:rsidR="00B105E8" w:rsidRPr="0004770A">
        <w:rPr>
          <w:noProof/>
          <w:sz w:val="24"/>
          <w:szCs w:val="24"/>
          <w:lang w:eastAsia="en-GB"/>
        </w:rPr>
        <w:t>ther hand, having a DPO will benefit consumers because they will feel assured that their data is being stored efficiently.</w:t>
      </w:r>
    </w:p>
    <w:p w14:paraId="06FA05AC" w14:textId="77777777" w:rsidR="00B105E8" w:rsidRPr="0004770A" w:rsidRDefault="00B105E8" w:rsidP="00E26669">
      <w:pPr>
        <w:rPr>
          <w:noProof/>
          <w:sz w:val="24"/>
          <w:szCs w:val="24"/>
          <w:lang w:eastAsia="en-GB"/>
        </w:rPr>
      </w:pPr>
    </w:p>
    <w:p w14:paraId="4524A3CB" w14:textId="4BD7FBF2" w:rsidR="00D83F47" w:rsidRPr="0004770A" w:rsidRDefault="00640DDD" w:rsidP="00D83F47">
      <w:pPr>
        <w:rPr>
          <w:noProof/>
          <w:sz w:val="24"/>
          <w:szCs w:val="24"/>
          <w:lang w:eastAsia="en-GB"/>
        </w:rPr>
      </w:pPr>
      <w:r w:rsidRPr="0004770A">
        <w:rPr>
          <w:noProof/>
          <w:sz w:val="24"/>
          <w:szCs w:val="24"/>
          <w:lang w:eastAsia="en-GB"/>
        </w:rPr>
        <w:t xml:space="preserve">Another important aspect of the changes occurred due to GDPR is the Breach Notification. </w:t>
      </w:r>
      <w:r w:rsidR="001155FE" w:rsidRPr="0004770A">
        <w:rPr>
          <w:noProof/>
          <w:sz w:val="24"/>
          <w:szCs w:val="24"/>
          <w:lang w:eastAsia="en-GB"/>
        </w:rPr>
        <w:t xml:space="preserve">According to i-SCOOP (2018), </w:t>
      </w:r>
      <w:r w:rsidR="00EE10DC" w:rsidRPr="0004770A">
        <w:rPr>
          <w:noProof/>
          <w:sz w:val="24"/>
          <w:szCs w:val="24"/>
          <w:lang w:eastAsia="en-GB"/>
        </w:rPr>
        <w:t>Breach Notification will involve businesses being required to notify their consumers within 72 hours if any data breach occurs.</w:t>
      </w:r>
      <w:r w:rsidR="00D83F47" w:rsidRPr="0004770A">
        <w:rPr>
          <w:noProof/>
          <w:sz w:val="24"/>
          <w:szCs w:val="24"/>
          <w:lang w:eastAsia="en-GB"/>
        </w:rPr>
        <w:t xml:space="preserve"> In the event of a data breach not being addressed in a timely manner, then the implications can involve physical material, or non-physical material damage to people, for example</w:t>
      </w:r>
      <w:r w:rsidR="00BF6E16">
        <w:rPr>
          <w:noProof/>
          <w:sz w:val="24"/>
          <w:szCs w:val="24"/>
          <w:lang w:eastAsia="en-GB"/>
        </w:rPr>
        <w:t>,</w:t>
      </w:r>
      <w:r w:rsidR="00D83F47" w:rsidRPr="0004770A">
        <w:rPr>
          <w:noProof/>
          <w:sz w:val="24"/>
          <w:szCs w:val="24"/>
          <w:lang w:eastAsia="en-GB"/>
        </w:rPr>
        <w:t xml:space="preserve"> loss of control over their data. This is a huge implication for businesses and consumers, due to it resulting in damaging both parties reputations and loss of confidentiality of the consumer. This aspect of the GDPR will ensure businesses such as Dragon Office Supplies take preca</w:t>
      </w:r>
      <w:r w:rsidR="00BF6E16">
        <w:rPr>
          <w:noProof/>
          <w:sz w:val="24"/>
          <w:szCs w:val="24"/>
          <w:lang w:eastAsia="en-GB"/>
        </w:rPr>
        <w:t>u</w:t>
      </w:r>
      <w:r w:rsidR="00D83F47" w:rsidRPr="0004770A">
        <w:rPr>
          <w:noProof/>
          <w:sz w:val="24"/>
          <w:szCs w:val="24"/>
          <w:lang w:eastAsia="en-GB"/>
        </w:rPr>
        <w:t>tious measures when handling consumer data. As a result, this is</w:t>
      </w:r>
      <w:r w:rsidR="00BF6E16">
        <w:rPr>
          <w:noProof/>
          <w:sz w:val="24"/>
          <w:szCs w:val="24"/>
          <w:lang w:eastAsia="en-GB"/>
        </w:rPr>
        <w:t xml:space="preserve"> benefici</w:t>
      </w:r>
      <w:r w:rsidR="00D83F47" w:rsidRPr="0004770A">
        <w:rPr>
          <w:noProof/>
          <w:sz w:val="24"/>
          <w:szCs w:val="24"/>
          <w:lang w:eastAsia="en-GB"/>
        </w:rPr>
        <w:t>al for the consumer because the implications to the organisation in the event of a breach would be critical and therefore, the organisation will ensure to avoid data breaches at all costs.</w:t>
      </w:r>
    </w:p>
    <w:p w14:paraId="5035F8E4" w14:textId="77777777" w:rsidR="00D83F47" w:rsidRPr="0004770A" w:rsidRDefault="00D83F47" w:rsidP="00D83F47">
      <w:pPr>
        <w:rPr>
          <w:noProof/>
          <w:sz w:val="24"/>
          <w:szCs w:val="24"/>
          <w:lang w:eastAsia="en-GB"/>
        </w:rPr>
      </w:pPr>
    </w:p>
    <w:p w14:paraId="2489D6B2" w14:textId="2CE605D3" w:rsidR="00BD5B3C" w:rsidRPr="0004770A" w:rsidRDefault="00CB7DBB" w:rsidP="00BD5B3C">
      <w:pPr>
        <w:rPr>
          <w:noProof/>
          <w:sz w:val="24"/>
          <w:szCs w:val="24"/>
          <w:lang w:eastAsia="en-GB"/>
        </w:rPr>
      </w:pPr>
      <w:r w:rsidRPr="0004770A">
        <w:rPr>
          <w:noProof/>
          <w:sz w:val="24"/>
          <w:szCs w:val="24"/>
          <w:lang w:eastAsia="en-GB"/>
        </w:rPr>
        <w:t>Finally, one of the most important aspects of GDPR involves streng</w:t>
      </w:r>
      <w:r w:rsidR="00BF6E16">
        <w:rPr>
          <w:noProof/>
          <w:sz w:val="24"/>
          <w:szCs w:val="24"/>
          <w:lang w:eastAsia="en-GB"/>
        </w:rPr>
        <w:t>th</w:t>
      </w:r>
      <w:r w:rsidRPr="0004770A">
        <w:rPr>
          <w:noProof/>
          <w:sz w:val="24"/>
          <w:szCs w:val="24"/>
          <w:lang w:eastAsia="en-GB"/>
        </w:rPr>
        <w:t xml:space="preserve">ening the conditions for consent. </w:t>
      </w:r>
      <w:r w:rsidR="00313133" w:rsidRPr="0004770A">
        <w:rPr>
          <w:noProof/>
          <w:sz w:val="24"/>
          <w:szCs w:val="24"/>
          <w:lang w:eastAsia="en-GB"/>
        </w:rPr>
        <w:t xml:space="preserve">Wood (2018), suggests that the new guidelines of consent </w:t>
      </w:r>
      <w:r w:rsidR="00BD5B3C" w:rsidRPr="0004770A">
        <w:rPr>
          <w:noProof/>
          <w:sz w:val="24"/>
          <w:szCs w:val="24"/>
          <w:lang w:eastAsia="en-GB"/>
        </w:rPr>
        <w:t xml:space="preserve">can no longer include long illegible terms and conditions and therefore, they must be clear and distinguishable using plain language so that consumers can understand. New regulations will ensure that it is as easy to withdraw consent as it is to give consent. </w:t>
      </w:r>
      <w:r w:rsidR="00AF0927" w:rsidRPr="0004770A">
        <w:rPr>
          <w:noProof/>
          <w:sz w:val="24"/>
          <w:szCs w:val="24"/>
          <w:lang w:eastAsia="en-GB"/>
        </w:rPr>
        <w:t>Wood also suggests that businesses are only required to change their existing conditions of consent if they are not compatible with the GDPR standar</w:t>
      </w:r>
      <w:r w:rsidR="00BF6E16">
        <w:rPr>
          <w:noProof/>
          <w:sz w:val="24"/>
          <w:szCs w:val="24"/>
          <w:lang w:eastAsia="en-GB"/>
        </w:rPr>
        <w:t>d</w:t>
      </w:r>
      <w:r w:rsidR="00AF0927" w:rsidRPr="0004770A">
        <w:rPr>
          <w:noProof/>
          <w:sz w:val="24"/>
          <w:szCs w:val="24"/>
          <w:lang w:eastAsia="en-GB"/>
        </w:rPr>
        <w:t xml:space="preserve">s. Therefore, the benefit of this aspect to Dragon Office Supplies is that it is not an automatic requirement that they obtain new </w:t>
      </w:r>
      <w:r w:rsidR="00EB3B2E" w:rsidRPr="0004770A">
        <w:rPr>
          <w:noProof/>
          <w:sz w:val="24"/>
          <w:szCs w:val="24"/>
          <w:lang w:eastAsia="en-GB"/>
        </w:rPr>
        <w:t>consent from existing customers, however, it could result in difficulties obtaining new customer information useful for marketing campaigns. On the other hand, the stricter guidelines to consent from a consumer perspective is beneficial because it allows for more freedom of rights and they will have a clearer understanding from the new guidelines of what organisations are able to do with their data as well as how their data is collected.</w:t>
      </w:r>
    </w:p>
    <w:p w14:paraId="01054117" w14:textId="77777777" w:rsidR="00EB3B2E" w:rsidRDefault="00EB3B2E" w:rsidP="00BD5B3C">
      <w:pPr>
        <w:rPr>
          <w:noProof/>
          <w:lang w:eastAsia="en-GB"/>
        </w:rPr>
      </w:pPr>
    </w:p>
    <w:p w14:paraId="490A8647" w14:textId="084FCD4F" w:rsidR="00EB3B2E" w:rsidRPr="0004770A" w:rsidRDefault="00EB3B2E" w:rsidP="00EB3B2E">
      <w:pPr>
        <w:pStyle w:val="Heading1"/>
        <w:rPr>
          <w:rFonts w:ascii="Arial" w:hAnsi="Arial" w:cs="Arial"/>
          <w:b/>
          <w:noProof/>
          <w:sz w:val="28"/>
          <w:szCs w:val="28"/>
          <w:lang w:eastAsia="en-GB"/>
        </w:rPr>
      </w:pPr>
      <w:r w:rsidRPr="0004770A">
        <w:rPr>
          <w:rFonts w:ascii="Arial" w:hAnsi="Arial" w:cs="Arial"/>
          <w:b/>
          <w:noProof/>
          <w:sz w:val="28"/>
          <w:szCs w:val="28"/>
          <w:lang w:eastAsia="en-GB"/>
        </w:rPr>
        <w:t>Conclusion</w:t>
      </w:r>
    </w:p>
    <w:p w14:paraId="33CE318D" w14:textId="77777777" w:rsidR="00EB3B2E" w:rsidRPr="00EB3B2E" w:rsidRDefault="00EB3B2E" w:rsidP="00EB3B2E">
      <w:pPr>
        <w:rPr>
          <w:lang w:eastAsia="en-GB"/>
        </w:rPr>
      </w:pPr>
    </w:p>
    <w:p w14:paraId="00F04AB7" w14:textId="66D5803D" w:rsidR="00EB3B2E" w:rsidRPr="0004770A" w:rsidRDefault="00EB3B2E" w:rsidP="00BD5B3C">
      <w:pPr>
        <w:rPr>
          <w:noProof/>
          <w:sz w:val="24"/>
          <w:szCs w:val="24"/>
          <w:lang w:eastAsia="en-GB"/>
        </w:rPr>
      </w:pPr>
      <w:r w:rsidRPr="0004770A">
        <w:rPr>
          <w:noProof/>
          <w:sz w:val="24"/>
          <w:szCs w:val="24"/>
          <w:lang w:eastAsia="en-GB"/>
        </w:rPr>
        <w:t xml:space="preserve">To conclude, GDPR’s main focus is to allow for more transparency for consumers, in order for them to understand their data privacy rights. It is evident that GDPR benefits both consumers and organisations. However, the implementation of GDPR can be time-consuming and costly to organisations and some organisations may not have the resources required. It is vital that all organisations understand the new requirements of GDPR in order to avoid penalties such as fines and loss of reputation. The </w:t>
      </w:r>
      <w:r w:rsidR="00F2434B" w:rsidRPr="0004770A">
        <w:rPr>
          <w:noProof/>
          <w:sz w:val="24"/>
          <w:szCs w:val="24"/>
          <w:lang w:eastAsia="en-GB"/>
        </w:rPr>
        <w:t>main benefits of GDPR to Dragon</w:t>
      </w:r>
      <w:r w:rsidRPr="0004770A">
        <w:rPr>
          <w:noProof/>
          <w:sz w:val="24"/>
          <w:szCs w:val="24"/>
          <w:lang w:eastAsia="en-GB"/>
        </w:rPr>
        <w:t xml:space="preserve"> Office Supplies is </w:t>
      </w:r>
      <w:r w:rsidR="00F2434B" w:rsidRPr="0004770A">
        <w:rPr>
          <w:noProof/>
          <w:sz w:val="24"/>
          <w:szCs w:val="24"/>
          <w:lang w:eastAsia="en-GB"/>
        </w:rPr>
        <w:t>that the new guidelines are clear to follow and if implemented correctly, the organisation</w:t>
      </w:r>
      <w:r w:rsidR="00BF6E16">
        <w:rPr>
          <w:noProof/>
          <w:sz w:val="24"/>
          <w:szCs w:val="24"/>
          <w:lang w:eastAsia="en-GB"/>
        </w:rPr>
        <w:t>’</w:t>
      </w:r>
      <w:r w:rsidR="00F2434B" w:rsidRPr="0004770A">
        <w:rPr>
          <w:noProof/>
          <w:sz w:val="24"/>
          <w:szCs w:val="24"/>
          <w:lang w:eastAsia="en-GB"/>
        </w:rPr>
        <w:t xml:space="preserve">s reputation will be upheld and existing customer loyalty will remain. However, there are disadvantages to implementing the new guidelines such as </w:t>
      </w:r>
      <w:r w:rsidR="004F452A" w:rsidRPr="0004770A">
        <w:rPr>
          <w:noProof/>
          <w:sz w:val="24"/>
          <w:szCs w:val="24"/>
          <w:lang w:eastAsia="en-GB"/>
        </w:rPr>
        <w:t>the ability to use customer data will be limited due to conditions of consent being constricted and breach notifications becoming stricter. Therefore, this reinforces the requirement for Dragon Office Supplies to appoint an effective DPO who will closely monitor the new data protection regulations. Finally, GDPR summarises the importance of improved data protection polic</w:t>
      </w:r>
      <w:r w:rsidR="00BF6E16">
        <w:rPr>
          <w:noProof/>
          <w:sz w:val="24"/>
          <w:szCs w:val="24"/>
          <w:lang w:eastAsia="en-GB"/>
        </w:rPr>
        <w:t>i</w:t>
      </w:r>
      <w:r w:rsidR="004F452A" w:rsidRPr="0004770A">
        <w:rPr>
          <w:noProof/>
          <w:sz w:val="24"/>
          <w:szCs w:val="24"/>
          <w:lang w:eastAsia="en-GB"/>
        </w:rPr>
        <w:t>es due to the increase in data protection laws.</w:t>
      </w:r>
    </w:p>
    <w:p w14:paraId="2AEE0B7D" w14:textId="77777777" w:rsidR="004F452A" w:rsidRDefault="004F452A" w:rsidP="00BD5B3C">
      <w:pPr>
        <w:rPr>
          <w:noProof/>
          <w:lang w:eastAsia="en-GB"/>
        </w:rPr>
      </w:pPr>
    </w:p>
    <w:sdt>
      <w:sdtPr>
        <w:rPr>
          <w:rFonts w:ascii="Arial" w:eastAsiaTheme="minorHAnsi" w:hAnsi="Arial" w:cs="Arial"/>
          <w:color w:val="111111"/>
          <w:sz w:val="22"/>
          <w:szCs w:val="22"/>
        </w:rPr>
        <w:id w:val="-1838835999"/>
        <w:docPartObj>
          <w:docPartGallery w:val="Bibliographies"/>
          <w:docPartUnique/>
        </w:docPartObj>
      </w:sdtPr>
      <w:sdtEndPr/>
      <w:sdtContent>
        <w:p w14:paraId="729E6853" w14:textId="7FB2D63E" w:rsidR="004F452A" w:rsidRDefault="004F452A">
          <w:pPr>
            <w:pStyle w:val="Heading1"/>
            <w:rPr>
              <w:rFonts w:ascii="Arial" w:hAnsi="Arial" w:cs="Arial"/>
              <w:b/>
              <w:sz w:val="28"/>
              <w:szCs w:val="28"/>
            </w:rPr>
          </w:pPr>
          <w:r w:rsidRPr="0004770A">
            <w:rPr>
              <w:rFonts w:ascii="Arial" w:hAnsi="Arial" w:cs="Arial"/>
              <w:b/>
              <w:sz w:val="28"/>
              <w:szCs w:val="28"/>
            </w:rPr>
            <w:t>Reference List</w:t>
          </w:r>
        </w:p>
        <w:p w14:paraId="399DDE63" w14:textId="77777777" w:rsidR="0004770A" w:rsidRPr="0004770A" w:rsidRDefault="0004770A" w:rsidP="0004770A"/>
        <w:sdt>
          <w:sdtPr>
            <w:id w:val="111145805"/>
            <w:bibliography/>
          </w:sdtPr>
          <w:sdtEndPr/>
          <w:sdtContent>
            <w:p w14:paraId="52E84576" w14:textId="77777777" w:rsidR="0004770A" w:rsidRPr="0004770A" w:rsidRDefault="004F452A" w:rsidP="0004770A">
              <w:pPr>
                <w:pStyle w:val="Bibliography"/>
                <w:rPr>
                  <w:noProof/>
                </w:rPr>
              </w:pPr>
              <w:r w:rsidRPr="0004770A">
                <w:fldChar w:fldCharType="begin"/>
              </w:r>
              <w:r w:rsidRPr="0004770A">
                <w:instrText xml:space="preserve"> BIBLIOGRAPHY </w:instrText>
              </w:r>
              <w:r w:rsidRPr="0004770A">
                <w:fldChar w:fldCharType="separate"/>
              </w:r>
              <w:r w:rsidR="0004770A" w:rsidRPr="0004770A">
                <w:rPr>
                  <w:noProof/>
                </w:rPr>
                <w:t xml:space="preserve">Blann, A. D., 2015. </w:t>
              </w:r>
              <w:r w:rsidR="0004770A" w:rsidRPr="0004770A">
                <w:rPr>
                  <w:i/>
                  <w:iCs/>
                  <w:noProof/>
                </w:rPr>
                <w:t xml:space="preserve">Data Handling and Analysis. </w:t>
              </w:r>
              <w:r w:rsidR="0004770A" w:rsidRPr="0004770A">
                <w:rPr>
                  <w:noProof/>
                </w:rPr>
                <w:t>Oxford: Oxford University Press.</w:t>
              </w:r>
            </w:p>
            <w:p w14:paraId="33BD9908" w14:textId="77777777" w:rsidR="0004770A" w:rsidRPr="0004770A" w:rsidRDefault="0004770A" w:rsidP="000D08DB">
              <w:pPr>
                <w:pStyle w:val="Bibliography"/>
                <w:rPr>
                  <w:noProof/>
                </w:rPr>
              </w:pPr>
              <w:r w:rsidRPr="0004770A">
                <w:rPr>
                  <w:noProof/>
                </w:rPr>
                <w:t xml:space="preserve">Burgess, M., 2018. What is GDPR? The summary guide to GDPR compliance in the UK. </w:t>
              </w:r>
              <w:r w:rsidRPr="0004770A">
                <w:rPr>
                  <w:i/>
                  <w:iCs/>
                  <w:noProof/>
                </w:rPr>
                <w:t>Wired</w:t>
              </w:r>
              <w:r w:rsidRPr="0004770A">
                <w:rPr>
                  <w:noProof/>
                </w:rPr>
                <w:t>, 8 May, p. 1.</w:t>
              </w:r>
            </w:p>
            <w:p w14:paraId="0BA4A798" w14:textId="77777777" w:rsidR="0004770A" w:rsidRPr="0004770A" w:rsidRDefault="0004770A" w:rsidP="0004770A">
              <w:pPr>
                <w:pStyle w:val="Bibliography"/>
                <w:rPr>
                  <w:noProof/>
                </w:rPr>
              </w:pPr>
              <w:r w:rsidRPr="0004770A">
                <w:rPr>
                  <w:noProof/>
                </w:rPr>
                <w:t xml:space="preserve">Castro-Edwards, J., 2017. </w:t>
              </w:r>
              <w:r w:rsidRPr="0004770A">
                <w:rPr>
                  <w:i/>
                  <w:iCs/>
                  <w:noProof/>
                </w:rPr>
                <w:t xml:space="preserve">EU General Data Protection Regulation: A Guide to the New Law. </w:t>
              </w:r>
              <w:r w:rsidRPr="0004770A">
                <w:rPr>
                  <w:noProof/>
                </w:rPr>
                <w:t>s.l.:Law Society.</w:t>
              </w:r>
            </w:p>
            <w:p w14:paraId="46BE23F9" w14:textId="77777777" w:rsidR="0004770A" w:rsidRPr="0004770A" w:rsidRDefault="0004770A" w:rsidP="0004770A">
              <w:pPr>
                <w:pStyle w:val="Bibliography"/>
                <w:rPr>
                  <w:noProof/>
                </w:rPr>
              </w:pPr>
              <w:r w:rsidRPr="0004770A">
                <w:rPr>
                  <w:noProof/>
                </w:rPr>
                <w:t xml:space="preserve">EU GDPR Portal, 2018. </w:t>
              </w:r>
              <w:r w:rsidRPr="0004770A">
                <w:rPr>
                  <w:i/>
                  <w:iCs/>
                  <w:noProof/>
                </w:rPr>
                <w:t xml:space="preserve">GDPR Portal: Site Overview. </w:t>
              </w:r>
              <w:r w:rsidRPr="0004770A">
                <w:rPr>
                  <w:noProof/>
                </w:rPr>
                <w:t xml:space="preserve">[Online] </w:t>
              </w:r>
              <w:r w:rsidRPr="0004770A">
                <w:rPr>
                  <w:noProof/>
                </w:rPr>
                <w:br/>
                <w:t xml:space="preserve">Available at: </w:t>
              </w:r>
              <w:r w:rsidRPr="0004770A">
                <w:rPr>
                  <w:noProof/>
                  <w:u w:val="single"/>
                </w:rPr>
                <w:t>https://www.eugdpr.org/</w:t>
              </w:r>
              <w:r w:rsidRPr="0004770A">
                <w:rPr>
                  <w:noProof/>
                </w:rPr>
                <w:br/>
                <w:t>[Accessed 13 May 2018].</w:t>
              </w:r>
            </w:p>
            <w:p w14:paraId="0776D250" w14:textId="77777777" w:rsidR="0004770A" w:rsidRPr="0004770A" w:rsidRDefault="0004770A" w:rsidP="0004770A">
              <w:pPr>
                <w:pStyle w:val="Bibliography"/>
                <w:rPr>
                  <w:noProof/>
                </w:rPr>
              </w:pPr>
              <w:r w:rsidRPr="0004770A">
                <w:rPr>
                  <w:noProof/>
                </w:rPr>
                <w:t xml:space="preserve">Intersoft Consulting, 2018. Designation of the data protection officer. </w:t>
              </w:r>
              <w:r w:rsidRPr="0004770A">
                <w:rPr>
                  <w:i/>
                  <w:iCs/>
                  <w:noProof/>
                </w:rPr>
                <w:t>General Data Protection Regulations</w:t>
              </w:r>
              <w:r w:rsidRPr="0004770A">
                <w:rPr>
                  <w:noProof/>
                </w:rPr>
                <w:t>, 13 May, p. 1.</w:t>
              </w:r>
            </w:p>
            <w:p w14:paraId="746F0C25" w14:textId="77777777" w:rsidR="0004770A" w:rsidRPr="0004770A" w:rsidRDefault="0004770A" w:rsidP="0004770A">
              <w:pPr>
                <w:pStyle w:val="Bibliography"/>
                <w:rPr>
                  <w:noProof/>
                </w:rPr>
              </w:pPr>
              <w:r w:rsidRPr="0004770A">
                <w:rPr>
                  <w:noProof/>
                </w:rPr>
                <w:t xml:space="preserve">i-SCOOP , 2018. </w:t>
              </w:r>
              <w:r w:rsidRPr="0004770A">
                <w:rPr>
                  <w:i/>
                  <w:iCs/>
                  <w:noProof/>
                </w:rPr>
                <w:t xml:space="preserve">Personal data breach notification and communication duties under the GDPR. </w:t>
              </w:r>
              <w:r w:rsidRPr="0004770A">
                <w:rPr>
                  <w:noProof/>
                </w:rPr>
                <w:t xml:space="preserve">[Online] </w:t>
              </w:r>
              <w:r w:rsidRPr="0004770A">
                <w:rPr>
                  <w:noProof/>
                </w:rPr>
                <w:br/>
                <w:t xml:space="preserve">Available at: </w:t>
              </w:r>
              <w:r w:rsidRPr="0004770A">
                <w:rPr>
                  <w:noProof/>
                  <w:u w:val="single"/>
                </w:rPr>
                <w:t>https://www.i-scoop.eu/gdpr/personal-data-breach-notification/</w:t>
              </w:r>
              <w:r w:rsidRPr="0004770A">
                <w:rPr>
                  <w:noProof/>
                </w:rPr>
                <w:br/>
                <w:t>[Accessed 13 May 2018].</w:t>
              </w:r>
            </w:p>
            <w:p w14:paraId="6331D369" w14:textId="77777777" w:rsidR="0004770A" w:rsidRPr="0004770A" w:rsidRDefault="0004770A" w:rsidP="0004770A">
              <w:pPr>
                <w:pStyle w:val="Bibliography"/>
                <w:rPr>
                  <w:noProof/>
                </w:rPr>
              </w:pPr>
              <w:r w:rsidRPr="0004770A">
                <w:rPr>
                  <w:noProof/>
                </w:rPr>
                <w:t xml:space="preserve">Jay, R. &amp; Hamilton, A., 2003. </w:t>
              </w:r>
              <w:r w:rsidRPr="0004770A">
                <w:rPr>
                  <w:i/>
                  <w:iCs/>
                  <w:noProof/>
                </w:rPr>
                <w:t xml:space="preserve">Data Protection: Law and Practice. </w:t>
              </w:r>
              <w:r w:rsidRPr="0004770A">
                <w:rPr>
                  <w:noProof/>
                </w:rPr>
                <w:t>2 ed. s.l.:Sweet &amp; Maxwell.</w:t>
              </w:r>
            </w:p>
            <w:p w14:paraId="0988599C" w14:textId="77777777" w:rsidR="0004770A" w:rsidRPr="0004770A" w:rsidRDefault="0004770A" w:rsidP="0004770A">
              <w:pPr>
                <w:pStyle w:val="Bibliography"/>
                <w:rPr>
                  <w:noProof/>
                </w:rPr>
              </w:pPr>
              <w:r w:rsidRPr="0004770A">
                <w:rPr>
                  <w:noProof/>
                </w:rPr>
                <w:t xml:space="preserve">Tankard, C., 2016. What the GDPR means for businesses. </w:t>
              </w:r>
              <w:r w:rsidRPr="0004770A">
                <w:rPr>
                  <w:i/>
                  <w:iCs/>
                  <w:noProof/>
                </w:rPr>
                <w:t xml:space="preserve">Network Security, </w:t>
              </w:r>
              <w:r w:rsidRPr="0004770A">
                <w:rPr>
                  <w:noProof/>
                </w:rPr>
                <w:t>1(6), pp. 5-8.</w:t>
              </w:r>
            </w:p>
            <w:p w14:paraId="4EE26FD1" w14:textId="77777777" w:rsidR="0004770A" w:rsidRPr="0004770A" w:rsidRDefault="0004770A" w:rsidP="0004770A">
              <w:pPr>
                <w:pStyle w:val="Bibliography"/>
                <w:rPr>
                  <w:noProof/>
                </w:rPr>
              </w:pPr>
              <w:r w:rsidRPr="0004770A">
                <w:rPr>
                  <w:noProof/>
                </w:rPr>
                <w:t xml:space="preserve">Voigt, P. &amp; von dem Bussche, A., 2017. </w:t>
              </w:r>
              <w:r w:rsidRPr="0004770A">
                <w:rPr>
                  <w:i/>
                  <w:iCs/>
                  <w:noProof/>
                </w:rPr>
                <w:t xml:space="preserve">The EU General Data Protection Regulation (GDPR): A Practical Guide. </w:t>
              </w:r>
              <w:r w:rsidRPr="0004770A">
                <w:rPr>
                  <w:noProof/>
                </w:rPr>
                <w:t>Germany: Springer.</w:t>
              </w:r>
            </w:p>
            <w:p w14:paraId="5FE87CF7" w14:textId="77777777" w:rsidR="0004770A" w:rsidRPr="0004770A" w:rsidRDefault="0004770A" w:rsidP="0004770A">
              <w:pPr>
                <w:pStyle w:val="Bibliography"/>
                <w:rPr>
                  <w:noProof/>
                </w:rPr>
              </w:pPr>
              <w:r w:rsidRPr="0004770A">
                <w:rPr>
                  <w:noProof/>
                </w:rPr>
                <w:t xml:space="preserve">Wood, S., 2018. </w:t>
              </w:r>
              <w:r w:rsidRPr="0004770A">
                <w:rPr>
                  <w:i/>
                  <w:iCs/>
                  <w:noProof/>
                </w:rPr>
                <w:t xml:space="preserve">Raising the bar – consent under the GDPR. </w:t>
              </w:r>
              <w:r w:rsidRPr="0004770A">
                <w:rPr>
                  <w:noProof/>
                </w:rPr>
                <w:t xml:space="preserve">[Online] </w:t>
              </w:r>
              <w:r w:rsidRPr="0004770A">
                <w:rPr>
                  <w:noProof/>
                </w:rPr>
                <w:br/>
                <w:t xml:space="preserve">Available at: </w:t>
              </w:r>
              <w:r w:rsidRPr="0004770A">
                <w:rPr>
                  <w:noProof/>
                  <w:u w:val="single"/>
                </w:rPr>
                <w:t>https://iconewsblog.org.uk/2018/05/09/raising-the-bar-consent-under-the-gdpr/</w:t>
              </w:r>
              <w:r w:rsidRPr="0004770A">
                <w:rPr>
                  <w:noProof/>
                </w:rPr>
                <w:br/>
                <w:t>[Accessed 13 May 2018].</w:t>
              </w:r>
            </w:p>
            <w:p w14:paraId="5B9B00C7" w14:textId="5FCEE8FC" w:rsidR="00595D63" w:rsidRPr="00502DA7" w:rsidRDefault="004F452A">
              <w:r w:rsidRPr="0004770A">
                <w:rPr>
                  <w:b/>
                  <w:bCs/>
                  <w:noProof/>
                </w:rPr>
                <w:fldChar w:fldCharType="end"/>
              </w:r>
            </w:p>
            <w:bookmarkStart w:id="0" w:name="_GoBack" w:displacedByCustomXml="next"/>
            <w:bookmarkEnd w:id="0" w:displacedByCustomXml="next"/>
          </w:sdtContent>
        </w:sdt>
      </w:sdtContent>
    </w:sdt>
    <w:sectPr w:rsidR="00595D63" w:rsidRPr="00502DA7" w:rsidSect="009B74BA">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imes New Roman">
    <w:panose1 w:val="02020603050405020304"/>
    <w:charset w:val="00"/>
    <w:family w:val="auto"/>
    <w:pitch w:val="variable"/>
    <w:sig w:usb0="E0002AEF" w:usb1="C0007841"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74BA"/>
    <w:rsid w:val="0004770A"/>
    <w:rsid w:val="000D08DB"/>
    <w:rsid w:val="001155FE"/>
    <w:rsid w:val="00124A46"/>
    <w:rsid w:val="001D2509"/>
    <w:rsid w:val="001D6FE6"/>
    <w:rsid w:val="002358CE"/>
    <w:rsid w:val="00313133"/>
    <w:rsid w:val="00406CEC"/>
    <w:rsid w:val="00470A95"/>
    <w:rsid w:val="004F452A"/>
    <w:rsid w:val="00502DA7"/>
    <w:rsid w:val="00571786"/>
    <w:rsid w:val="00640DDD"/>
    <w:rsid w:val="009B74BA"/>
    <w:rsid w:val="00AF0927"/>
    <w:rsid w:val="00AF6C21"/>
    <w:rsid w:val="00B105E8"/>
    <w:rsid w:val="00B23C85"/>
    <w:rsid w:val="00B54CCC"/>
    <w:rsid w:val="00BD5B3C"/>
    <w:rsid w:val="00BF6E16"/>
    <w:rsid w:val="00CB7DBB"/>
    <w:rsid w:val="00D116B1"/>
    <w:rsid w:val="00D80CA1"/>
    <w:rsid w:val="00D83F47"/>
    <w:rsid w:val="00DA02C1"/>
    <w:rsid w:val="00E26669"/>
    <w:rsid w:val="00E4360F"/>
    <w:rsid w:val="00E907F1"/>
    <w:rsid w:val="00EB3B2E"/>
    <w:rsid w:val="00EE10DC"/>
    <w:rsid w:val="00F2434B"/>
    <w:rsid w:val="00FC2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63F9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color w:val="111111"/>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sz w:val="22"/>
      <w:szCs w:val="22"/>
    </w:rPr>
  </w:style>
  <w:style w:type="paragraph" w:styleId="Heading1">
    <w:name w:val="heading 1"/>
    <w:basedOn w:val="Normal"/>
    <w:next w:val="Normal"/>
    <w:link w:val="Heading1Char"/>
    <w:uiPriority w:val="9"/>
    <w:qFormat/>
    <w:rsid w:val="009B74BA"/>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74BA"/>
    <w:rPr>
      <w:rFonts w:asciiTheme="minorHAnsi" w:eastAsiaTheme="minorEastAsia" w:hAnsiTheme="minorHAnsi" w:cstheme="minorBidi"/>
      <w:color w:val="auto"/>
      <w:sz w:val="22"/>
      <w:szCs w:val="22"/>
      <w:lang w:val="en-US" w:eastAsia="zh-CN"/>
    </w:rPr>
  </w:style>
  <w:style w:type="character" w:customStyle="1" w:styleId="NoSpacingChar">
    <w:name w:val="No Spacing Char"/>
    <w:basedOn w:val="DefaultParagraphFont"/>
    <w:link w:val="NoSpacing"/>
    <w:uiPriority w:val="1"/>
    <w:rsid w:val="009B74BA"/>
    <w:rPr>
      <w:rFonts w:asciiTheme="minorHAnsi" w:eastAsiaTheme="minorEastAsia" w:hAnsiTheme="minorHAnsi" w:cstheme="minorBidi"/>
      <w:color w:val="auto"/>
      <w:sz w:val="22"/>
      <w:szCs w:val="22"/>
      <w:lang w:val="en-US" w:eastAsia="zh-CN"/>
    </w:rPr>
  </w:style>
  <w:style w:type="character" w:customStyle="1" w:styleId="Heading1Char">
    <w:name w:val="Heading 1 Char"/>
    <w:basedOn w:val="DefaultParagraphFont"/>
    <w:link w:val="Heading1"/>
    <w:uiPriority w:val="9"/>
    <w:rsid w:val="009B74BA"/>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9B74BA"/>
    <w:pPr>
      <w:spacing w:before="100" w:beforeAutospacing="1" w:after="100" w:afterAutospacing="1"/>
    </w:pPr>
    <w:rPr>
      <w:rFonts w:ascii="Times New Roman" w:hAnsi="Times New Roman" w:cs="Times New Roman"/>
      <w:color w:val="auto"/>
      <w:sz w:val="24"/>
      <w:szCs w:val="24"/>
      <w:lang w:eastAsia="en-GB"/>
    </w:rPr>
  </w:style>
  <w:style w:type="character" w:styleId="Strong">
    <w:name w:val="Strong"/>
    <w:basedOn w:val="DefaultParagraphFont"/>
    <w:uiPriority w:val="22"/>
    <w:qFormat/>
    <w:rsid w:val="009B74BA"/>
    <w:rPr>
      <w:b/>
      <w:bCs/>
    </w:rPr>
  </w:style>
  <w:style w:type="character" w:styleId="Hyperlink">
    <w:name w:val="Hyperlink"/>
    <w:basedOn w:val="DefaultParagraphFont"/>
    <w:uiPriority w:val="99"/>
    <w:semiHidden/>
    <w:unhideWhenUsed/>
    <w:rsid w:val="00470A95"/>
    <w:rPr>
      <w:color w:val="0000FF"/>
      <w:u w:val="single"/>
    </w:rPr>
  </w:style>
  <w:style w:type="paragraph" w:styleId="Bibliography">
    <w:name w:val="Bibliography"/>
    <w:basedOn w:val="Normal"/>
    <w:next w:val="Normal"/>
    <w:uiPriority w:val="37"/>
    <w:unhideWhenUsed/>
    <w:rsid w:val="004F4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955569">
      <w:bodyDiv w:val="1"/>
      <w:marLeft w:val="0"/>
      <w:marRight w:val="0"/>
      <w:marTop w:val="0"/>
      <w:marBottom w:val="0"/>
      <w:divBdr>
        <w:top w:val="none" w:sz="0" w:space="0" w:color="auto"/>
        <w:left w:val="none" w:sz="0" w:space="0" w:color="auto"/>
        <w:bottom w:val="none" w:sz="0" w:space="0" w:color="auto"/>
        <w:right w:val="none" w:sz="0" w:space="0" w:color="auto"/>
      </w:divBdr>
    </w:div>
    <w:div w:id="110326042">
      <w:bodyDiv w:val="1"/>
      <w:marLeft w:val="0"/>
      <w:marRight w:val="0"/>
      <w:marTop w:val="0"/>
      <w:marBottom w:val="0"/>
      <w:divBdr>
        <w:top w:val="none" w:sz="0" w:space="0" w:color="auto"/>
        <w:left w:val="none" w:sz="0" w:space="0" w:color="auto"/>
        <w:bottom w:val="none" w:sz="0" w:space="0" w:color="auto"/>
        <w:right w:val="none" w:sz="0" w:space="0" w:color="auto"/>
      </w:divBdr>
    </w:div>
    <w:div w:id="164173455">
      <w:bodyDiv w:val="1"/>
      <w:marLeft w:val="0"/>
      <w:marRight w:val="0"/>
      <w:marTop w:val="0"/>
      <w:marBottom w:val="0"/>
      <w:divBdr>
        <w:top w:val="none" w:sz="0" w:space="0" w:color="auto"/>
        <w:left w:val="none" w:sz="0" w:space="0" w:color="auto"/>
        <w:bottom w:val="none" w:sz="0" w:space="0" w:color="auto"/>
        <w:right w:val="none" w:sz="0" w:space="0" w:color="auto"/>
      </w:divBdr>
    </w:div>
    <w:div w:id="272399564">
      <w:bodyDiv w:val="1"/>
      <w:marLeft w:val="0"/>
      <w:marRight w:val="0"/>
      <w:marTop w:val="0"/>
      <w:marBottom w:val="0"/>
      <w:divBdr>
        <w:top w:val="none" w:sz="0" w:space="0" w:color="auto"/>
        <w:left w:val="none" w:sz="0" w:space="0" w:color="auto"/>
        <w:bottom w:val="none" w:sz="0" w:space="0" w:color="auto"/>
        <w:right w:val="none" w:sz="0" w:space="0" w:color="auto"/>
      </w:divBdr>
    </w:div>
    <w:div w:id="277956796">
      <w:bodyDiv w:val="1"/>
      <w:marLeft w:val="0"/>
      <w:marRight w:val="0"/>
      <w:marTop w:val="0"/>
      <w:marBottom w:val="0"/>
      <w:divBdr>
        <w:top w:val="none" w:sz="0" w:space="0" w:color="auto"/>
        <w:left w:val="none" w:sz="0" w:space="0" w:color="auto"/>
        <w:bottom w:val="none" w:sz="0" w:space="0" w:color="auto"/>
        <w:right w:val="none" w:sz="0" w:space="0" w:color="auto"/>
      </w:divBdr>
    </w:div>
    <w:div w:id="323554103">
      <w:bodyDiv w:val="1"/>
      <w:marLeft w:val="0"/>
      <w:marRight w:val="0"/>
      <w:marTop w:val="0"/>
      <w:marBottom w:val="0"/>
      <w:divBdr>
        <w:top w:val="none" w:sz="0" w:space="0" w:color="auto"/>
        <w:left w:val="none" w:sz="0" w:space="0" w:color="auto"/>
        <w:bottom w:val="none" w:sz="0" w:space="0" w:color="auto"/>
        <w:right w:val="none" w:sz="0" w:space="0" w:color="auto"/>
      </w:divBdr>
    </w:div>
    <w:div w:id="323818585">
      <w:bodyDiv w:val="1"/>
      <w:marLeft w:val="0"/>
      <w:marRight w:val="0"/>
      <w:marTop w:val="0"/>
      <w:marBottom w:val="0"/>
      <w:divBdr>
        <w:top w:val="none" w:sz="0" w:space="0" w:color="auto"/>
        <w:left w:val="none" w:sz="0" w:space="0" w:color="auto"/>
        <w:bottom w:val="none" w:sz="0" w:space="0" w:color="auto"/>
        <w:right w:val="none" w:sz="0" w:space="0" w:color="auto"/>
      </w:divBdr>
    </w:div>
    <w:div w:id="562368651">
      <w:bodyDiv w:val="1"/>
      <w:marLeft w:val="0"/>
      <w:marRight w:val="0"/>
      <w:marTop w:val="0"/>
      <w:marBottom w:val="0"/>
      <w:divBdr>
        <w:top w:val="none" w:sz="0" w:space="0" w:color="auto"/>
        <w:left w:val="none" w:sz="0" w:space="0" w:color="auto"/>
        <w:bottom w:val="none" w:sz="0" w:space="0" w:color="auto"/>
        <w:right w:val="none" w:sz="0" w:space="0" w:color="auto"/>
      </w:divBdr>
    </w:div>
    <w:div w:id="598560792">
      <w:bodyDiv w:val="1"/>
      <w:marLeft w:val="0"/>
      <w:marRight w:val="0"/>
      <w:marTop w:val="0"/>
      <w:marBottom w:val="0"/>
      <w:divBdr>
        <w:top w:val="none" w:sz="0" w:space="0" w:color="auto"/>
        <w:left w:val="none" w:sz="0" w:space="0" w:color="auto"/>
        <w:bottom w:val="none" w:sz="0" w:space="0" w:color="auto"/>
        <w:right w:val="none" w:sz="0" w:space="0" w:color="auto"/>
      </w:divBdr>
    </w:div>
    <w:div w:id="599266248">
      <w:bodyDiv w:val="1"/>
      <w:marLeft w:val="0"/>
      <w:marRight w:val="0"/>
      <w:marTop w:val="0"/>
      <w:marBottom w:val="0"/>
      <w:divBdr>
        <w:top w:val="none" w:sz="0" w:space="0" w:color="auto"/>
        <w:left w:val="none" w:sz="0" w:space="0" w:color="auto"/>
        <w:bottom w:val="none" w:sz="0" w:space="0" w:color="auto"/>
        <w:right w:val="none" w:sz="0" w:space="0" w:color="auto"/>
      </w:divBdr>
    </w:div>
    <w:div w:id="806164212">
      <w:bodyDiv w:val="1"/>
      <w:marLeft w:val="0"/>
      <w:marRight w:val="0"/>
      <w:marTop w:val="0"/>
      <w:marBottom w:val="0"/>
      <w:divBdr>
        <w:top w:val="none" w:sz="0" w:space="0" w:color="auto"/>
        <w:left w:val="none" w:sz="0" w:space="0" w:color="auto"/>
        <w:bottom w:val="none" w:sz="0" w:space="0" w:color="auto"/>
        <w:right w:val="none" w:sz="0" w:space="0" w:color="auto"/>
      </w:divBdr>
    </w:div>
    <w:div w:id="927545906">
      <w:bodyDiv w:val="1"/>
      <w:marLeft w:val="0"/>
      <w:marRight w:val="0"/>
      <w:marTop w:val="0"/>
      <w:marBottom w:val="0"/>
      <w:divBdr>
        <w:top w:val="none" w:sz="0" w:space="0" w:color="auto"/>
        <w:left w:val="none" w:sz="0" w:space="0" w:color="auto"/>
        <w:bottom w:val="none" w:sz="0" w:space="0" w:color="auto"/>
        <w:right w:val="none" w:sz="0" w:space="0" w:color="auto"/>
      </w:divBdr>
    </w:div>
    <w:div w:id="1111626901">
      <w:bodyDiv w:val="1"/>
      <w:marLeft w:val="0"/>
      <w:marRight w:val="0"/>
      <w:marTop w:val="0"/>
      <w:marBottom w:val="0"/>
      <w:divBdr>
        <w:top w:val="none" w:sz="0" w:space="0" w:color="auto"/>
        <w:left w:val="none" w:sz="0" w:space="0" w:color="auto"/>
        <w:bottom w:val="none" w:sz="0" w:space="0" w:color="auto"/>
        <w:right w:val="none" w:sz="0" w:space="0" w:color="auto"/>
      </w:divBdr>
    </w:div>
    <w:div w:id="1132677540">
      <w:bodyDiv w:val="1"/>
      <w:marLeft w:val="0"/>
      <w:marRight w:val="0"/>
      <w:marTop w:val="0"/>
      <w:marBottom w:val="0"/>
      <w:divBdr>
        <w:top w:val="none" w:sz="0" w:space="0" w:color="auto"/>
        <w:left w:val="none" w:sz="0" w:space="0" w:color="auto"/>
        <w:bottom w:val="none" w:sz="0" w:space="0" w:color="auto"/>
        <w:right w:val="none" w:sz="0" w:space="0" w:color="auto"/>
      </w:divBdr>
    </w:div>
    <w:div w:id="1198592210">
      <w:bodyDiv w:val="1"/>
      <w:marLeft w:val="0"/>
      <w:marRight w:val="0"/>
      <w:marTop w:val="0"/>
      <w:marBottom w:val="0"/>
      <w:divBdr>
        <w:top w:val="none" w:sz="0" w:space="0" w:color="auto"/>
        <w:left w:val="none" w:sz="0" w:space="0" w:color="auto"/>
        <w:bottom w:val="none" w:sz="0" w:space="0" w:color="auto"/>
        <w:right w:val="none" w:sz="0" w:space="0" w:color="auto"/>
      </w:divBdr>
    </w:div>
    <w:div w:id="1228028781">
      <w:bodyDiv w:val="1"/>
      <w:marLeft w:val="0"/>
      <w:marRight w:val="0"/>
      <w:marTop w:val="0"/>
      <w:marBottom w:val="0"/>
      <w:divBdr>
        <w:top w:val="none" w:sz="0" w:space="0" w:color="auto"/>
        <w:left w:val="none" w:sz="0" w:space="0" w:color="auto"/>
        <w:bottom w:val="none" w:sz="0" w:space="0" w:color="auto"/>
        <w:right w:val="none" w:sz="0" w:space="0" w:color="auto"/>
      </w:divBdr>
    </w:div>
    <w:div w:id="1268150966">
      <w:bodyDiv w:val="1"/>
      <w:marLeft w:val="0"/>
      <w:marRight w:val="0"/>
      <w:marTop w:val="0"/>
      <w:marBottom w:val="0"/>
      <w:divBdr>
        <w:top w:val="none" w:sz="0" w:space="0" w:color="auto"/>
        <w:left w:val="none" w:sz="0" w:space="0" w:color="auto"/>
        <w:bottom w:val="none" w:sz="0" w:space="0" w:color="auto"/>
        <w:right w:val="none" w:sz="0" w:space="0" w:color="auto"/>
      </w:divBdr>
    </w:div>
    <w:div w:id="1269242339">
      <w:bodyDiv w:val="1"/>
      <w:marLeft w:val="0"/>
      <w:marRight w:val="0"/>
      <w:marTop w:val="0"/>
      <w:marBottom w:val="0"/>
      <w:divBdr>
        <w:top w:val="none" w:sz="0" w:space="0" w:color="auto"/>
        <w:left w:val="none" w:sz="0" w:space="0" w:color="auto"/>
        <w:bottom w:val="none" w:sz="0" w:space="0" w:color="auto"/>
        <w:right w:val="none" w:sz="0" w:space="0" w:color="auto"/>
      </w:divBdr>
    </w:div>
    <w:div w:id="1333558936">
      <w:bodyDiv w:val="1"/>
      <w:marLeft w:val="0"/>
      <w:marRight w:val="0"/>
      <w:marTop w:val="0"/>
      <w:marBottom w:val="0"/>
      <w:divBdr>
        <w:top w:val="none" w:sz="0" w:space="0" w:color="auto"/>
        <w:left w:val="none" w:sz="0" w:space="0" w:color="auto"/>
        <w:bottom w:val="none" w:sz="0" w:space="0" w:color="auto"/>
        <w:right w:val="none" w:sz="0" w:space="0" w:color="auto"/>
      </w:divBdr>
    </w:div>
    <w:div w:id="1381368505">
      <w:bodyDiv w:val="1"/>
      <w:marLeft w:val="0"/>
      <w:marRight w:val="0"/>
      <w:marTop w:val="0"/>
      <w:marBottom w:val="0"/>
      <w:divBdr>
        <w:top w:val="none" w:sz="0" w:space="0" w:color="auto"/>
        <w:left w:val="none" w:sz="0" w:space="0" w:color="auto"/>
        <w:bottom w:val="none" w:sz="0" w:space="0" w:color="auto"/>
        <w:right w:val="none" w:sz="0" w:space="0" w:color="auto"/>
      </w:divBdr>
    </w:div>
    <w:div w:id="1585840369">
      <w:bodyDiv w:val="1"/>
      <w:marLeft w:val="0"/>
      <w:marRight w:val="0"/>
      <w:marTop w:val="0"/>
      <w:marBottom w:val="0"/>
      <w:divBdr>
        <w:top w:val="none" w:sz="0" w:space="0" w:color="auto"/>
        <w:left w:val="none" w:sz="0" w:space="0" w:color="auto"/>
        <w:bottom w:val="none" w:sz="0" w:space="0" w:color="auto"/>
        <w:right w:val="none" w:sz="0" w:space="0" w:color="auto"/>
      </w:divBdr>
    </w:div>
    <w:div w:id="1669213051">
      <w:bodyDiv w:val="1"/>
      <w:marLeft w:val="0"/>
      <w:marRight w:val="0"/>
      <w:marTop w:val="0"/>
      <w:marBottom w:val="0"/>
      <w:divBdr>
        <w:top w:val="none" w:sz="0" w:space="0" w:color="auto"/>
        <w:left w:val="none" w:sz="0" w:space="0" w:color="auto"/>
        <w:bottom w:val="none" w:sz="0" w:space="0" w:color="auto"/>
        <w:right w:val="none" w:sz="0" w:space="0" w:color="auto"/>
      </w:divBdr>
    </w:div>
    <w:div w:id="1800683783">
      <w:bodyDiv w:val="1"/>
      <w:marLeft w:val="0"/>
      <w:marRight w:val="0"/>
      <w:marTop w:val="0"/>
      <w:marBottom w:val="0"/>
      <w:divBdr>
        <w:top w:val="none" w:sz="0" w:space="0" w:color="auto"/>
        <w:left w:val="none" w:sz="0" w:space="0" w:color="auto"/>
        <w:bottom w:val="none" w:sz="0" w:space="0" w:color="auto"/>
        <w:right w:val="none" w:sz="0" w:space="0" w:color="auto"/>
      </w:divBdr>
    </w:div>
    <w:div w:id="1831942036">
      <w:bodyDiv w:val="1"/>
      <w:marLeft w:val="0"/>
      <w:marRight w:val="0"/>
      <w:marTop w:val="0"/>
      <w:marBottom w:val="0"/>
      <w:divBdr>
        <w:top w:val="none" w:sz="0" w:space="0" w:color="auto"/>
        <w:left w:val="none" w:sz="0" w:space="0" w:color="auto"/>
        <w:bottom w:val="none" w:sz="0" w:space="0" w:color="auto"/>
        <w:right w:val="none" w:sz="0" w:space="0" w:color="auto"/>
      </w:divBdr>
    </w:div>
    <w:div w:id="1927567035">
      <w:bodyDiv w:val="1"/>
      <w:marLeft w:val="0"/>
      <w:marRight w:val="0"/>
      <w:marTop w:val="0"/>
      <w:marBottom w:val="0"/>
      <w:divBdr>
        <w:top w:val="none" w:sz="0" w:space="0" w:color="auto"/>
        <w:left w:val="none" w:sz="0" w:space="0" w:color="auto"/>
        <w:bottom w:val="none" w:sz="0" w:space="0" w:color="auto"/>
        <w:right w:val="none" w:sz="0" w:space="0" w:color="auto"/>
      </w:divBdr>
    </w:div>
    <w:div w:id="1928422733">
      <w:bodyDiv w:val="1"/>
      <w:marLeft w:val="0"/>
      <w:marRight w:val="0"/>
      <w:marTop w:val="0"/>
      <w:marBottom w:val="0"/>
      <w:divBdr>
        <w:top w:val="none" w:sz="0" w:space="0" w:color="auto"/>
        <w:left w:val="none" w:sz="0" w:space="0" w:color="auto"/>
        <w:bottom w:val="none" w:sz="0" w:space="0" w:color="auto"/>
        <w:right w:val="none" w:sz="0" w:space="0" w:color="auto"/>
      </w:divBdr>
    </w:div>
    <w:div w:id="19757896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eur-lex.europa.eu/LexUriServ/LexUriServ.do?uri=CELEX:31995L0046:en: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EUG18</b:Tag>
    <b:SourceType>InternetSite</b:SourceType>
    <b:Guid>{B335AD1B-3F3B-AF4C-AFF5-B536DB043554}</b:Guid>
    <b:Title>GDPR Portal: Site Overview</b:Title>
    <b:Year>2018</b:Year>
    <b:Author>
      <b:Author>
        <b:Corporate>EU GDPR Portal</b:Corporate>
      </b:Author>
    </b:Author>
    <b:URL>https://www.eugdpr.org/</b:URL>
    <b:YearAccessed>2018</b:YearAccessed>
    <b:MonthAccessed>May</b:MonthAccessed>
    <b:DayAccessed>13</b:DayAccessed>
    <b:RefOrder>6</b:RefOrder>
  </b:Source>
  <b:Source>
    <b:Tag>Bur18</b:Tag>
    <b:SourceType>ArticleInAPeriodical</b:SourceType>
    <b:Guid>{8A6A7CA9-FC3A-0A48-B15F-A84B9378F479}</b:Guid>
    <b:Title>What is GDPR? The summary guide to GDPR compliance in the UK</b:Title>
    <b:Year>2018</b:Year>
    <b:Month>May</b:Month>
    <b:Day>8</b:Day>
    <b:PeriodicalTitle>Wired</b:PeriodicalTitle>
    <b:Pages>1</b:Pages>
    <b:Author>
      <b:Author>
        <b:NameList>
          <b:Person>
            <b:Last>Burgess</b:Last>
            <b:First>Matt</b:First>
          </b:Person>
        </b:NameList>
      </b:Author>
    </b:Author>
    <b:RefOrder>7</b:RefOrder>
  </b:Source>
  <b:Source>
    <b:Tag>Int18</b:Tag>
    <b:SourceType>ArticleInAPeriodical</b:SourceType>
    <b:Guid>{1B008DCB-F83A-0B40-AD06-1988A116606C}</b:Guid>
    <b:Author>
      <b:Author>
        <b:Corporate>Intersoft Consulting</b:Corporate>
      </b:Author>
    </b:Author>
    <b:Title>Designation of the data protection officer</b:Title>
    <b:PeriodicalTitle>General Data Protection Regulations</b:PeriodicalTitle>
    <b:Year>2018</b:Year>
    <b:Month>May</b:Month>
    <b:Day>13</b:Day>
    <b:Pages>1</b:Pages>
    <b:RefOrder>8</b:RefOrder>
  </b:Source>
  <b:Source>
    <b:Tag>iSC18</b:Tag>
    <b:SourceType>InternetSite</b:SourceType>
    <b:Guid>{989AB70D-16A7-0642-95AB-4CC87CB18388}</b:Guid>
    <b:Author>
      <b:Author>
        <b:Corporate>i-SCOOP </b:Corporate>
      </b:Author>
    </b:Author>
    <b:Title>Personal data breach notification and communication duties under the GDPR</b:Title>
    <b:Year>2018</b:Year>
    <b:URL>https://www.i-scoop.eu/gdpr/personal-data-breach-notification/</b:URL>
    <b:YearAccessed>2018</b:YearAccessed>
    <b:MonthAccessed>May</b:MonthAccessed>
    <b:DayAccessed>13</b:DayAccessed>
    <b:RefOrder>9</b:RefOrder>
  </b:Source>
  <b:Source>
    <b:Tag>Woo18</b:Tag>
    <b:SourceType>InternetSite</b:SourceType>
    <b:Guid>{08B99CC2-F6A7-8549-9094-608511D7BEE7}</b:Guid>
    <b:Title>Raising the bar – consent under the GDPR</b:Title>
    <b:URL>https://iconewsblog.org.uk/2018/05/09/raising-the-bar-consent-under-the-gdpr/</b:URL>
    <b:Year>2018</b:Year>
    <b:YearAccessed>2018</b:YearAccessed>
    <b:MonthAccessed>May</b:MonthAccessed>
    <b:DayAccessed>13</b:DayAccessed>
    <b:Author>
      <b:Author>
        <b:NameList>
          <b:Person>
            <b:Last>Wood</b:Last>
            <b:First>Steve</b:First>
          </b:Person>
        </b:NameList>
      </b:Author>
    </b:Author>
    <b:RefOrder>10</b:RefOrder>
  </b:Source>
  <b:Source>
    <b:Tag>Bla15</b:Tag>
    <b:SourceType>Book</b:SourceType>
    <b:Guid>{62D250E7-0ECB-0B45-A9DE-88B6AE66096C}</b:Guid>
    <b:Title>Data Handling and Analysis</b:Title>
    <b:Year>2015</b:Year>
    <b:City>Oxford</b:City>
    <b:Publisher>Oxford University Press</b:Publisher>
    <b:Pages>196</b:Pages>
    <b:Author>
      <b:Author>
        <b:NameList>
          <b:Person>
            <b:Last>Blann</b:Last>
            <b:Middle>D.</b:Middle>
            <b:First>Andrew</b:First>
          </b:Person>
        </b:NameList>
      </b:Author>
    </b:Author>
    <b:RefOrder>1</b:RefOrder>
  </b:Source>
  <b:Source>
    <b:Tag>Voi17</b:Tag>
    <b:SourceType>Book</b:SourceType>
    <b:Guid>{E9E25BFA-3DCF-5B44-B923-A9CA29C5D59A}</b:Guid>
    <b:Title>The EU General Data Protection Regulation (GDPR): A Practical Guide</b:Title>
    <b:City>Germany</b:City>
    <b:Publisher>Springer</b:Publisher>
    <b:Year>2017</b:Year>
    <b:Pages>383</b:Pages>
    <b:Author>
      <b:Author>
        <b:NameList>
          <b:Person>
            <b:Last>Voigt</b:Last>
            <b:First>Paul</b:First>
          </b:Person>
          <b:Person>
            <b:Last>von dem Bussche</b:Last>
            <b:First>Axel</b:First>
          </b:Person>
        </b:NameList>
      </b:Author>
    </b:Author>
    <b:RefOrder>2</b:RefOrder>
  </b:Source>
  <b:Source>
    <b:Tag>Cas17</b:Tag>
    <b:SourceType>Book</b:SourceType>
    <b:Guid>{C501BB53-EA08-3D4D-BC2D-02DE10AD390E}</b:Guid>
    <b:Title>EU General Data Protection Regulation: A Guide to the New Law</b:Title>
    <b:Publisher>Law Society</b:Publisher>
    <b:Year>2017</b:Year>
    <b:Pages>240</b:Pages>
    <b:Author>
      <b:Author>
        <b:NameList>
          <b:Person>
            <b:Last>Castro-Edwards</b:Last>
            <b:First>James</b:First>
          </b:Person>
        </b:NameList>
      </b:Author>
    </b:Author>
    <b:RefOrder>3</b:RefOrder>
  </b:Source>
  <b:Source>
    <b:Tag>Jay03</b:Tag>
    <b:SourceType>Book</b:SourceType>
    <b:Guid>{49365EDB-509E-CF46-8FDB-59A4A6C01181}</b:Guid>
    <b:Title>Data Protection: Law and Practice</b:Title>
    <b:Publisher>Sweet &amp; Maxwell</b:Publisher>
    <b:Year>2003</b:Year>
    <b:Pages>836</b:Pages>
    <b:Edition>2</b:Edition>
    <b:Author>
      <b:Author>
        <b:NameList>
          <b:Person>
            <b:Last>Jay</b:Last>
            <b:First>Rosemary</b:First>
          </b:Person>
          <b:Person>
            <b:Last>Hamilton</b:Last>
            <b:First>Angus</b:First>
          </b:Person>
        </b:NameList>
      </b:Author>
    </b:Author>
    <b:RefOrder>4</b:RefOrder>
  </b:Source>
  <b:Source>
    <b:Tag>Tan16</b:Tag>
    <b:SourceType>JournalArticle</b:SourceType>
    <b:Guid>{9EE22ABB-8E7E-C644-BBCC-764B53ACC12B}</b:Guid>
    <b:Title>What the GDPR means for businesses</b:Title>
    <b:Year>2016</b:Year>
    <b:Volume>1</b:Volume>
    <b:Pages>5-8</b:Pages>
    <b:JournalName>Network Security</b:JournalName>
    <b:Issue>6</b:Issue>
    <b:Author>
      <b:Author>
        <b:NameList>
          <b:Person>
            <b:Last>Tankard</b:Last>
            <b:First>Colin</b:First>
          </b:Person>
        </b:NameList>
      </b:Author>
    </b:Author>
    <b:RefOrder>5</b:RefOrder>
  </b:Source>
</b:Sources>
</file>

<file path=customXml/itemProps1.xml><?xml version="1.0" encoding="utf-8"?>
<ds:datastoreItem xmlns:ds="http://schemas.openxmlformats.org/officeDocument/2006/customXml" ds:itemID="{6F8F03F7-1EAF-5F49-A088-FA875A0C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4</Pages>
  <Words>1075</Words>
  <Characters>6131</Characters>
  <Application>Microsoft Macintosh Word</Application>
  <DocSecurity>0</DocSecurity>
  <Lines>51</Lines>
  <Paragraphs>14</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Introduction</vt:lpstr>
      <vt:lpstr>Main Body</vt:lpstr>
      <vt:lpstr>Conclusion</vt:lpstr>
      <vt:lpstr>Reference List</vt:lpstr>
      <vt:lpstr/>
    </vt:vector>
  </TitlesOfParts>
  <Company>Dragon office supplies</Company>
  <LinksUpToDate>false</LinksUpToDate>
  <CharactersWithSpaces>7192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Rhea Pittaway (P149829)</dc:creator>
  <cp:keywords/>
  <dc:description/>
  <cp:lastModifiedBy>Tyler Rowland (P149838)</cp:lastModifiedBy>
  <cp:revision>8</cp:revision>
  <dcterms:created xsi:type="dcterms:W3CDTF">2018-05-14T09:04:00Z</dcterms:created>
  <dcterms:modified xsi:type="dcterms:W3CDTF">2018-05-14T11:34:00Z</dcterms:modified>
</cp:coreProperties>
</file>