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68976" w14:textId="77777777" w:rsidR="000E69BF" w:rsidRPr="000E69BF" w:rsidRDefault="000E69BF" w:rsidP="000E69BF">
      <w:pPr>
        <w:spacing w:after="220" w:line="240" w:lineRule="auto"/>
        <w:ind w:left="426"/>
        <w:rPr>
          <w:rFonts w:ascii="Arial" w:eastAsia="Century Schoolbook" w:hAnsi="Arial" w:cs="Arial"/>
          <w:lang w:val="en-US"/>
        </w:rPr>
      </w:pPr>
    </w:p>
    <w:p w14:paraId="6FC4422A" w14:textId="77777777" w:rsidR="000E69BF" w:rsidRPr="000E69BF" w:rsidRDefault="000E69BF" w:rsidP="000E69BF">
      <w:pPr>
        <w:spacing w:after="220" w:line="360" w:lineRule="auto"/>
        <w:ind w:left="426"/>
        <w:rPr>
          <w:rFonts w:ascii="Arial" w:eastAsia="Century Schoolbook" w:hAnsi="Arial" w:cs="Arial"/>
          <w:szCs w:val="24"/>
          <w:lang w:val="en-US"/>
        </w:rPr>
      </w:pPr>
      <w:r w:rsidRPr="000E69BF">
        <w:rPr>
          <w:rFonts w:ascii="Century Schoolbook" w:eastAsia="Century Schoolbook" w:hAnsi="Century Schoolbook" w:cs="Times New Roman"/>
          <w:noProof/>
          <w:lang w:val="en-US"/>
        </w:rPr>
        <w:drawing>
          <wp:anchor distT="0" distB="0" distL="114300" distR="114300" simplePos="0" relativeHeight="251659264" behindDoc="0" locked="0" layoutInCell="1" allowOverlap="1" wp14:anchorId="485D40DF" wp14:editId="3C8E8440">
            <wp:simplePos x="0" y="0"/>
            <wp:positionH relativeFrom="margin">
              <wp:posOffset>-635</wp:posOffset>
            </wp:positionH>
            <wp:positionV relativeFrom="paragraph">
              <wp:posOffset>289560</wp:posOffset>
            </wp:positionV>
            <wp:extent cx="2600325" cy="914400"/>
            <wp:effectExtent l="0" t="0" r="9525" b="0"/>
            <wp:wrapSquare wrapText="bothSides"/>
            <wp:docPr id="1738574180" name="Picture 1" descr="Description: 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pic:spPr>
                </pic:pic>
              </a:graphicData>
            </a:graphic>
            <wp14:sizeRelH relativeFrom="margin">
              <wp14:pctWidth>0</wp14:pctWidth>
            </wp14:sizeRelH>
            <wp14:sizeRelV relativeFrom="margin">
              <wp14:pctHeight>0</wp14:pctHeight>
            </wp14:sizeRelV>
          </wp:anchor>
        </w:drawing>
      </w:r>
    </w:p>
    <w:p w14:paraId="572B3E57" w14:textId="77777777" w:rsidR="000E69BF" w:rsidRPr="000E69BF" w:rsidRDefault="000E69BF" w:rsidP="000E69BF">
      <w:pPr>
        <w:spacing w:after="220" w:line="360" w:lineRule="auto"/>
        <w:ind w:left="426"/>
        <w:rPr>
          <w:rFonts w:ascii="Arial" w:eastAsia="Century Schoolbook" w:hAnsi="Arial" w:cs="Arial"/>
          <w:szCs w:val="24"/>
          <w:lang w:val="en-US"/>
        </w:rPr>
      </w:pPr>
    </w:p>
    <w:p w14:paraId="31037DD4" w14:textId="77777777" w:rsidR="000E69BF" w:rsidRPr="000E69BF" w:rsidRDefault="000E69BF" w:rsidP="000E69BF">
      <w:pPr>
        <w:spacing w:after="220" w:line="360" w:lineRule="auto"/>
        <w:ind w:left="426"/>
        <w:rPr>
          <w:rFonts w:ascii="Arial" w:eastAsia="Century Schoolbook" w:hAnsi="Arial" w:cs="Arial"/>
          <w:szCs w:val="24"/>
          <w:lang w:val="en-US"/>
        </w:rPr>
      </w:pPr>
    </w:p>
    <w:p w14:paraId="6DFEE8E8" w14:textId="77777777" w:rsidR="000E69BF" w:rsidRPr="000E69BF" w:rsidRDefault="000E69BF" w:rsidP="000E69BF">
      <w:pPr>
        <w:spacing w:after="220" w:line="360" w:lineRule="auto"/>
        <w:ind w:left="426"/>
        <w:rPr>
          <w:rFonts w:ascii="Arial" w:eastAsia="Century Schoolbook" w:hAnsi="Arial" w:cs="Arial"/>
          <w:szCs w:val="24"/>
          <w:lang w:val="en-US"/>
        </w:rPr>
      </w:pPr>
    </w:p>
    <w:p w14:paraId="673A03A4" w14:textId="18209372" w:rsidR="000E69BF" w:rsidRPr="000E69BF" w:rsidRDefault="000E69BF" w:rsidP="000E69BF">
      <w:pPr>
        <w:tabs>
          <w:tab w:val="left" w:pos="6540"/>
        </w:tabs>
        <w:spacing w:after="220" w:line="360" w:lineRule="auto"/>
        <w:rPr>
          <w:rFonts w:ascii="Arial" w:eastAsia="Century Schoolbook" w:hAnsi="Arial" w:cs="Arial"/>
          <w:sz w:val="28"/>
          <w:szCs w:val="28"/>
          <w:lang w:val="en-US"/>
        </w:rPr>
      </w:pPr>
      <w:r>
        <w:rPr>
          <w:rFonts w:ascii="Arial" w:eastAsia="Century Schoolbook" w:hAnsi="Arial" w:cs="Arial"/>
          <w:sz w:val="28"/>
          <w:szCs w:val="28"/>
          <w:lang w:val="en-US"/>
        </w:rPr>
        <w:t>Assignment Ti</w:t>
      </w:r>
      <w:r w:rsidR="00C408A3">
        <w:rPr>
          <w:rFonts w:ascii="Arial" w:eastAsia="Century Schoolbook" w:hAnsi="Arial" w:cs="Arial"/>
          <w:sz w:val="28"/>
          <w:szCs w:val="28"/>
          <w:lang w:val="en-US"/>
        </w:rPr>
        <w:t>t</w:t>
      </w:r>
      <w:r>
        <w:rPr>
          <w:rFonts w:ascii="Arial" w:eastAsia="Century Schoolbook" w:hAnsi="Arial" w:cs="Arial"/>
          <w:sz w:val="28"/>
          <w:szCs w:val="28"/>
          <w:lang w:val="en-US"/>
        </w:rPr>
        <w:t>le:</w:t>
      </w:r>
      <w:r w:rsidR="005960E4">
        <w:rPr>
          <w:rFonts w:ascii="Arial" w:eastAsia="Century Schoolbook" w:hAnsi="Arial" w:cs="Arial"/>
          <w:sz w:val="28"/>
          <w:szCs w:val="28"/>
          <w:lang w:val="en-US"/>
        </w:rPr>
        <w:t xml:space="preserve"> Portfolio – Two Tasks</w:t>
      </w:r>
    </w:p>
    <w:p w14:paraId="37AA920E" w14:textId="253AC2B4" w:rsidR="000E69BF" w:rsidRPr="000E69BF" w:rsidRDefault="000E69BF" w:rsidP="000E69BF">
      <w:pPr>
        <w:tabs>
          <w:tab w:val="left" w:pos="6540"/>
        </w:tabs>
        <w:spacing w:after="220" w:line="360" w:lineRule="auto"/>
        <w:rPr>
          <w:rFonts w:ascii="Arial" w:eastAsia="Century Schoolbook" w:hAnsi="Arial" w:cs="Arial"/>
          <w:sz w:val="28"/>
          <w:szCs w:val="28"/>
        </w:rPr>
      </w:pPr>
      <w:r w:rsidRPr="000E69BF">
        <w:rPr>
          <w:rFonts w:ascii="Arial" w:eastAsia="Century Schoolbook" w:hAnsi="Arial" w:cs="Arial"/>
          <w:b/>
          <w:bCs/>
          <w:sz w:val="28"/>
          <w:szCs w:val="28"/>
        </w:rPr>
        <w:t>Student name</w:t>
      </w:r>
      <w:r w:rsidRPr="000E69BF">
        <w:rPr>
          <w:rFonts w:ascii="Arial" w:eastAsia="Century Schoolbook" w:hAnsi="Arial" w:cs="Arial"/>
          <w:sz w:val="28"/>
          <w:szCs w:val="28"/>
        </w:rPr>
        <w:t>:</w:t>
      </w:r>
      <w:r w:rsidR="005960E4" w:rsidRPr="005960E4">
        <w:rPr>
          <w:rFonts w:ascii="Arial" w:eastAsia="Century Schoolbook" w:hAnsi="Arial" w:cs="Arial"/>
          <w:sz w:val="28"/>
          <w:szCs w:val="28"/>
        </w:rPr>
        <w:t xml:space="preserve"> Jose Ng</w:t>
      </w:r>
      <w:r w:rsidR="005960E4">
        <w:rPr>
          <w:rFonts w:ascii="Arial" w:eastAsia="Century Schoolbook" w:hAnsi="Arial" w:cs="Arial"/>
          <w:sz w:val="28"/>
          <w:szCs w:val="28"/>
        </w:rPr>
        <w:t>onga</w:t>
      </w:r>
    </w:p>
    <w:p w14:paraId="25B1F702" w14:textId="1AD8AE9C" w:rsidR="000E69BF" w:rsidRPr="000E69BF" w:rsidRDefault="000E69BF" w:rsidP="000E69BF">
      <w:pPr>
        <w:tabs>
          <w:tab w:val="left" w:pos="6540"/>
        </w:tabs>
        <w:spacing w:after="220" w:line="360" w:lineRule="auto"/>
        <w:rPr>
          <w:rFonts w:ascii="Arial" w:eastAsia="Century Schoolbook" w:hAnsi="Arial" w:cs="Arial"/>
          <w:sz w:val="28"/>
          <w:szCs w:val="28"/>
        </w:rPr>
      </w:pPr>
      <w:r w:rsidRPr="000E69BF">
        <w:rPr>
          <w:rFonts w:ascii="Arial" w:eastAsia="Century Schoolbook" w:hAnsi="Arial" w:cs="Arial"/>
          <w:b/>
          <w:bCs/>
          <w:sz w:val="28"/>
          <w:szCs w:val="28"/>
        </w:rPr>
        <w:t>Student ID</w:t>
      </w:r>
      <w:r w:rsidRPr="000E69BF">
        <w:rPr>
          <w:rFonts w:ascii="Arial" w:eastAsia="Century Schoolbook" w:hAnsi="Arial" w:cs="Arial"/>
          <w:sz w:val="28"/>
          <w:szCs w:val="28"/>
        </w:rPr>
        <w:t>:</w:t>
      </w:r>
      <w:r w:rsidR="00123872">
        <w:rPr>
          <w:rFonts w:ascii="Arial" w:eastAsia="Century Schoolbook" w:hAnsi="Arial" w:cs="Arial"/>
          <w:sz w:val="28"/>
          <w:szCs w:val="28"/>
        </w:rPr>
        <w:t xml:space="preserve"> 2320803</w:t>
      </w:r>
    </w:p>
    <w:p w14:paraId="24676E98" w14:textId="67364FBC" w:rsidR="000E69BF" w:rsidRPr="000E69BF" w:rsidRDefault="000E69BF" w:rsidP="000E69BF">
      <w:pPr>
        <w:tabs>
          <w:tab w:val="left" w:pos="6540"/>
        </w:tabs>
        <w:spacing w:after="220" w:line="360" w:lineRule="auto"/>
        <w:rPr>
          <w:rFonts w:ascii="Arial" w:eastAsia="Century Schoolbook" w:hAnsi="Arial" w:cs="Arial"/>
          <w:sz w:val="28"/>
          <w:szCs w:val="28"/>
        </w:rPr>
      </w:pPr>
      <w:r w:rsidRPr="000E69BF">
        <w:rPr>
          <w:rFonts w:ascii="Arial" w:eastAsia="Century Schoolbook" w:hAnsi="Arial" w:cs="Arial"/>
          <w:b/>
          <w:bCs/>
          <w:sz w:val="28"/>
          <w:szCs w:val="28"/>
        </w:rPr>
        <w:t>Module name</w:t>
      </w:r>
      <w:r w:rsidRPr="000E69BF">
        <w:rPr>
          <w:rFonts w:ascii="Arial" w:eastAsia="Century Schoolbook" w:hAnsi="Arial" w:cs="Arial"/>
          <w:sz w:val="28"/>
          <w:szCs w:val="28"/>
        </w:rPr>
        <w:t xml:space="preserve">: </w:t>
      </w:r>
      <w:r w:rsidR="005960E4" w:rsidRPr="005960E4">
        <w:rPr>
          <w:rFonts w:ascii="Arial" w:eastAsia="Century Schoolbook" w:hAnsi="Arial" w:cs="Arial"/>
          <w:sz w:val="28"/>
          <w:szCs w:val="28"/>
        </w:rPr>
        <w:t xml:space="preserve"> Introduction to H</w:t>
      </w:r>
      <w:r w:rsidR="005960E4">
        <w:rPr>
          <w:rFonts w:ascii="Arial" w:eastAsia="Century Schoolbook" w:hAnsi="Arial" w:cs="Arial"/>
          <w:sz w:val="28"/>
          <w:szCs w:val="28"/>
        </w:rPr>
        <w:t>ealth and Social Care</w:t>
      </w:r>
    </w:p>
    <w:p w14:paraId="0EAEE924" w14:textId="71CC4BFF" w:rsidR="000E69BF" w:rsidRPr="005960E4" w:rsidRDefault="000E69BF" w:rsidP="000E69BF">
      <w:pPr>
        <w:tabs>
          <w:tab w:val="left" w:pos="6540"/>
        </w:tabs>
        <w:spacing w:after="220" w:line="360" w:lineRule="auto"/>
        <w:rPr>
          <w:rFonts w:ascii="Arial" w:eastAsia="Century Schoolbook" w:hAnsi="Arial" w:cs="Arial"/>
          <w:sz w:val="28"/>
          <w:szCs w:val="28"/>
          <w:lang w:val="fr-FR"/>
        </w:rPr>
      </w:pPr>
      <w:r w:rsidRPr="000E69BF">
        <w:rPr>
          <w:rFonts w:ascii="Arial" w:eastAsia="Century Schoolbook" w:hAnsi="Arial" w:cs="Arial"/>
          <w:b/>
          <w:bCs/>
          <w:sz w:val="28"/>
          <w:szCs w:val="28"/>
          <w:lang w:val="fr-FR"/>
        </w:rPr>
        <w:t>Module code</w:t>
      </w:r>
      <w:r w:rsidRPr="000E69BF">
        <w:rPr>
          <w:rFonts w:ascii="Arial" w:eastAsia="Century Schoolbook" w:hAnsi="Arial" w:cs="Arial"/>
          <w:sz w:val="28"/>
          <w:szCs w:val="28"/>
          <w:lang w:val="fr-FR"/>
        </w:rPr>
        <w:t>:</w:t>
      </w:r>
      <w:r w:rsidR="005960E4" w:rsidRPr="005960E4">
        <w:rPr>
          <w:rFonts w:ascii="Arial" w:eastAsia="Century Schoolbook" w:hAnsi="Arial" w:cs="Arial"/>
          <w:sz w:val="28"/>
          <w:szCs w:val="28"/>
          <w:lang w:val="fr-FR"/>
        </w:rPr>
        <w:t xml:space="preserve"> LCHS400</w:t>
      </w:r>
      <w:r w:rsidR="00123872">
        <w:rPr>
          <w:rFonts w:ascii="Arial" w:eastAsia="Century Schoolbook" w:hAnsi="Arial" w:cs="Arial"/>
          <w:sz w:val="28"/>
          <w:szCs w:val="28"/>
          <w:lang w:val="fr-FR"/>
        </w:rPr>
        <w:t>3</w:t>
      </w:r>
      <w:r w:rsidR="00123872">
        <w:rPr>
          <w:rFonts w:ascii="Arial" w:eastAsia="Century Schoolbook" w:hAnsi="Arial" w:cs="Arial"/>
          <w:sz w:val="28"/>
          <w:szCs w:val="28"/>
          <w:lang w:val="fr-FR"/>
        </w:rPr>
        <w:tab/>
      </w:r>
    </w:p>
    <w:p w14:paraId="43E4B109" w14:textId="0DB60990" w:rsidR="000E69BF" w:rsidRDefault="000E69BF" w:rsidP="000E69BF">
      <w:pPr>
        <w:tabs>
          <w:tab w:val="left" w:pos="6540"/>
        </w:tabs>
        <w:spacing w:after="220" w:line="360" w:lineRule="auto"/>
        <w:rPr>
          <w:rFonts w:ascii="Arial" w:eastAsia="Century Schoolbook" w:hAnsi="Arial" w:cs="Arial"/>
          <w:sz w:val="28"/>
          <w:szCs w:val="28"/>
          <w:lang w:val="en-US"/>
        </w:rPr>
      </w:pPr>
      <w:r>
        <w:rPr>
          <w:rFonts w:ascii="Arial" w:eastAsia="Century Schoolbook" w:hAnsi="Arial" w:cs="Arial"/>
          <w:b/>
          <w:bCs/>
          <w:sz w:val="28"/>
          <w:szCs w:val="28"/>
          <w:lang w:val="en-US"/>
        </w:rPr>
        <w:t>Lecture</w:t>
      </w:r>
      <w:r w:rsidRPr="000E69BF">
        <w:rPr>
          <w:rFonts w:ascii="Arial" w:eastAsia="Century Schoolbook" w:hAnsi="Arial" w:cs="Arial"/>
          <w:b/>
          <w:bCs/>
          <w:sz w:val="28"/>
          <w:szCs w:val="28"/>
          <w:lang w:val="en-US"/>
        </w:rPr>
        <w:t xml:space="preserve"> name</w:t>
      </w:r>
      <w:r w:rsidRPr="000E69BF">
        <w:rPr>
          <w:rFonts w:ascii="Arial" w:eastAsia="Century Schoolbook" w:hAnsi="Arial" w:cs="Arial"/>
          <w:sz w:val="28"/>
          <w:szCs w:val="28"/>
          <w:lang w:val="en-US"/>
        </w:rPr>
        <w:t>:</w:t>
      </w:r>
      <w:r w:rsidR="005960E4">
        <w:rPr>
          <w:rFonts w:ascii="Arial" w:eastAsia="Century Schoolbook" w:hAnsi="Arial" w:cs="Arial"/>
          <w:sz w:val="28"/>
          <w:szCs w:val="28"/>
          <w:lang w:val="en-US"/>
        </w:rPr>
        <w:t xml:space="preserve"> </w:t>
      </w:r>
      <w:r w:rsidR="00123872">
        <w:rPr>
          <w:rFonts w:ascii="Arial" w:eastAsia="Century Schoolbook" w:hAnsi="Arial" w:cs="Arial"/>
          <w:sz w:val="28"/>
          <w:szCs w:val="28"/>
          <w:lang w:val="en-US"/>
        </w:rPr>
        <w:t xml:space="preserve">Jolly Nwankwo </w:t>
      </w:r>
    </w:p>
    <w:p w14:paraId="29E8D3CB" w14:textId="03E56B70" w:rsidR="00D21EFA" w:rsidRPr="000E69BF" w:rsidRDefault="00E578A4" w:rsidP="000E69BF">
      <w:pPr>
        <w:tabs>
          <w:tab w:val="left" w:pos="6540"/>
        </w:tabs>
        <w:spacing w:after="220" w:line="360" w:lineRule="auto"/>
        <w:rPr>
          <w:rFonts w:ascii="Arial" w:eastAsia="Century Schoolbook" w:hAnsi="Arial" w:cs="Arial"/>
          <w:sz w:val="28"/>
          <w:szCs w:val="28"/>
          <w:lang w:val="en-US"/>
        </w:rPr>
      </w:pPr>
      <w:r w:rsidRPr="00E578A4">
        <w:rPr>
          <w:rFonts w:ascii="Arial" w:eastAsia="Century Schoolbook" w:hAnsi="Arial" w:cs="Arial"/>
          <w:b/>
          <w:bCs/>
          <w:sz w:val="28"/>
          <w:szCs w:val="28"/>
          <w:lang w:val="en-US"/>
        </w:rPr>
        <w:t>Date</w:t>
      </w:r>
      <w:r>
        <w:rPr>
          <w:rFonts w:ascii="Arial" w:eastAsia="Century Schoolbook" w:hAnsi="Arial" w:cs="Arial"/>
          <w:sz w:val="28"/>
          <w:szCs w:val="28"/>
          <w:lang w:val="en-US"/>
        </w:rPr>
        <w:t xml:space="preserve">: </w:t>
      </w:r>
      <w:r w:rsidR="00386758">
        <w:rPr>
          <w:rFonts w:ascii="Arial" w:eastAsia="Century Schoolbook" w:hAnsi="Arial" w:cs="Arial"/>
          <w:sz w:val="28"/>
          <w:szCs w:val="28"/>
          <w:lang w:val="en-US"/>
        </w:rPr>
        <w:t>14 November 2025</w:t>
      </w:r>
    </w:p>
    <w:p w14:paraId="376882CF" w14:textId="77777777" w:rsidR="000E69BF" w:rsidRPr="000E69BF" w:rsidRDefault="000E69BF" w:rsidP="000E69BF">
      <w:pPr>
        <w:spacing w:after="220" w:line="240" w:lineRule="auto"/>
        <w:rPr>
          <w:rFonts w:ascii="Arial" w:eastAsia="Century Schoolbook" w:hAnsi="Arial" w:cs="Arial"/>
          <w:lang w:val="en-US"/>
        </w:rPr>
      </w:pPr>
    </w:p>
    <w:p w14:paraId="3F6EFF30" w14:textId="77777777" w:rsidR="000E69BF" w:rsidRPr="000E69BF" w:rsidRDefault="000E69BF" w:rsidP="000E69BF">
      <w:pPr>
        <w:spacing w:after="220" w:line="240" w:lineRule="auto"/>
        <w:rPr>
          <w:rFonts w:ascii="Century Schoolbook" w:eastAsia="Century Schoolbook" w:hAnsi="Century Schoolbook" w:cs="Times New Roman"/>
          <w:lang w:val="en-US"/>
        </w:rPr>
      </w:pPr>
      <w:r w:rsidRPr="000E69BF">
        <w:rPr>
          <w:rFonts w:ascii="Century Schoolbook" w:eastAsia="Century Schoolbook" w:hAnsi="Century Schoolbook" w:cs="Times New Roman"/>
          <w:lang w:val="en-US"/>
        </w:rPr>
        <w:br w:type="page"/>
      </w:r>
    </w:p>
    <w:tbl>
      <w:tblPr>
        <w:tblW w:w="51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2836"/>
        <w:gridCol w:w="353"/>
        <w:gridCol w:w="2816"/>
        <w:gridCol w:w="320"/>
        <w:gridCol w:w="2871"/>
      </w:tblGrid>
      <w:tr w:rsidR="000E69BF" w:rsidRPr="000E69BF" w14:paraId="50F396F5" w14:textId="77777777" w:rsidTr="000E69BF">
        <w:trPr>
          <w:trHeight w:val="897"/>
          <w:jc w:val="center"/>
        </w:trPr>
        <w:tc>
          <w:tcPr>
            <w:tcW w:w="4633" w:type="dxa"/>
            <w:tcBorders>
              <w:top w:val="single" w:sz="4" w:space="0" w:color="auto"/>
              <w:left w:val="single" w:sz="4" w:space="0" w:color="auto"/>
              <w:bottom w:val="single" w:sz="4" w:space="0" w:color="auto"/>
              <w:right w:val="single" w:sz="4" w:space="0" w:color="auto"/>
            </w:tcBorders>
            <w:hideMark/>
          </w:tcPr>
          <w:p w14:paraId="2040B2ED" w14:textId="77777777" w:rsidR="000E69BF" w:rsidRPr="000E69BF" w:rsidRDefault="000E69BF" w:rsidP="000E69BF">
            <w:pPr>
              <w:spacing w:after="220" w:line="240" w:lineRule="auto"/>
              <w:rPr>
                <w:rFonts w:ascii="Arial" w:eastAsia="Century Schoolbook" w:hAnsi="Arial" w:cs="Arial"/>
                <w:noProof/>
                <w:lang w:val="en-US"/>
              </w:rPr>
            </w:pPr>
            <w:r w:rsidRPr="000E69BF">
              <w:rPr>
                <w:rFonts w:ascii="Arial" w:eastAsia="Century Schoolbook" w:hAnsi="Arial" w:cs="Arial"/>
                <w:noProof/>
                <w:lang w:eastAsia="en-GB"/>
              </w:rPr>
              <w:lastRenderedPageBreak/>
              <w:drawing>
                <wp:inline distT="0" distB="0" distL="0" distR="0" wp14:anchorId="427471E7" wp14:editId="57D44AD8">
                  <wp:extent cx="2828925" cy="2238375"/>
                  <wp:effectExtent l="0" t="0" r="9525" b="9525"/>
                  <wp:docPr id="1" name="Picture 2" descr="A group of ambulances parked on the side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group of ambulances parked on the side of a roa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2238375"/>
                          </a:xfrm>
                          <a:prstGeom prst="rect">
                            <a:avLst/>
                          </a:prstGeom>
                          <a:noFill/>
                          <a:ln>
                            <a:noFill/>
                          </a:ln>
                        </pic:spPr>
                      </pic:pic>
                    </a:graphicData>
                  </a:graphic>
                </wp:inline>
              </w:drawing>
            </w:r>
          </w:p>
        </w:tc>
        <w:tc>
          <w:tcPr>
            <w:tcW w:w="425" w:type="dxa"/>
            <w:vMerge w:val="restart"/>
            <w:tcBorders>
              <w:top w:val="single" w:sz="4" w:space="0" w:color="auto"/>
              <w:left w:val="single" w:sz="4" w:space="0" w:color="auto"/>
              <w:bottom w:val="single" w:sz="4" w:space="0" w:color="auto"/>
              <w:right w:val="single" w:sz="4" w:space="0" w:color="auto"/>
            </w:tcBorders>
          </w:tcPr>
          <w:p w14:paraId="6D1CE372" w14:textId="77777777" w:rsidR="000E69BF" w:rsidRPr="000E69BF" w:rsidRDefault="000E69BF" w:rsidP="000E69BF">
            <w:pPr>
              <w:spacing w:after="220" w:line="240" w:lineRule="auto"/>
              <w:rPr>
                <w:rFonts w:ascii="Arial" w:eastAsia="Century Schoolbook" w:hAnsi="Arial" w:cs="Arial"/>
                <w:noProof/>
                <w:lang w:val="en-US"/>
              </w:rPr>
            </w:pPr>
          </w:p>
        </w:tc>
        <w:tc>
          <w:tcPr>
            <w:tcW w:w="4600" w:type="dxa"/>
            <w:vMerge w:val="restart"/>
            <w:tcBorders>
              <w:top w:val="single" w:sz="4" w:space="0" w:color="auto"/>
              <w:left w:val="single" w:sz="4" w:space="0" w:color="auto"/>
              <w:bottom w:val="single" w:sz="4" w:space="0" w:color="auto"/>
              <w:right w:val="single" w:sz="4" w:space="0" w:color="auto"/>
            </w:tcBorders>
            <w:hideMark/>
          </w:tcPr>
          <w:p w14:paraId="084E72D8" w14:textId="77777777" w:rsidR="000E69BF" w:rsidRPr="000E69BF" w:rsidRDefault="000E69BF" w:rsidP="00DC41A4">
            <w:pPr>
              <w:spacing w:after="220" w:line="360" w:lineRule="auto"/>
              <w:jc w:val="center"/>
              <w:rPr>
                <w:rFonts w:ascii="Arial" w:eastAsia="Century Schoolbook" w:hAnsi="Arial" w:cs="Arial"/>
                <w:b/>
                <w:color w:val="002060"/>
                <w:spacing w:val="10"/>
                <w:lang w:val="en-US"/>
              </w:rPr>
            </w:pPr>
            <w:r w:rsidRPr="000E69BF">
              <w:rPr>
                <w:rFonts w:ascii="Arial" w:eastAsia="Century Schoolbook" w:hAnsi="Arial" w:cs="Arial"/>
                <w:b/>
                <w:color w:val="002060"/>
                <w:spacing w:val="10"/>
                <w:lang w:val="en-US"/>
              </w:rPr>
              <w:t>“NHS Ambulance Service in UK NHS”</w:t>
            </w:r>
          </w:p>
          <w:p w14:paraId="449887A2" w14:textId="77777777" w:rsidR="000E69BF" w:rsidRPr="000E69BF" w:rsidRDefault="000E69BF" w:rsidP="00DC41A4">
            <w:pPr>
              <w:spacing w:after="220" w:line="360" w:lineRule="auto"/>
              <w:jc w:val="lowKashida"/>
              <w:rPr>
                <w:rFonts w:ascii="Arial" w:eastAsia="Century Schoolbook" w:hAnsi="Arial" w:cs="Arial"/>
                <w:lang w:val="en-US"/>
              </w:rPr>
            </w:pPr>
            <w:r w:rsidRPr="000E69BF">
              <w:rPr>
                <w:rFonts w:ascii="Arial" w:eastAsia="Century Schoolbook" w:hAnsi="Arial" w:cs="Arial"/>
                <w:lang w:val="en-US"/>
              </w:rPr>
              <w:t>The ambulance service in UK is an important aspect of the National Health Service (NHS) because it is a significant part of emergency and pre-hospital care. It offers emergency healthcare service to critical patients who are in urgent need of emergency calls at 999, which is life-saving since they can be provided with necessary treatment before reaching the hospital. The service, working under the regional ambulance trusts, provides services in all of England, Scotland, Wales and Northern Ireland, where it offers medical assistance quickly, transport of patients and liaison with other health care providers (NHS, 2024).</w:t>
            </w:r>
          </w:p>
        </w:tc>
        <w:tc>
          <w:tcPr>
            <w:tcW w:w="368" w:type="dxa"/>
            <w:vMerge w:val="restart"/>
            <w:tcBorders>
              <w:top w:val="single" w:sz="4" w:space="0" w:color="auto"/>
              <w:left w:val="single" w:sz="4" w:space="0" w:color="auto"/>
              <w:bottom w:val="single" w:sz="4" w:space="0" w:color="auto"/>
              <w:right w:val="single" w:sz="4" w:space="0" w:color="auto"/>
            </w:tcBorders>
          </w:tcPr>
          <w:p w14:paraId="2A98306A" w14:textId="77777777" w:rsidR="000E69BF" w:rsidRPr="000E69BF" w:rsidRDefault="000E69BF" w:rsidP="000E69BF">
            <w:pPr>
              <w:spacing w:after="220" w:line="240" w:lineRule="auto"/>
              <w:rPr>
                <w:rFonts w:ascii="Arial" w:eastAsia="Century Schoolbook" w:hAnsi="Arial" w:cs="Arial"/>
                <w:noProof/>
                <w:lang w:val="en-US"/>
              </w:rPr>
            </w:pPr>
          </w:p>
        </w:tc>
        <w:tc>
          <w:tcPr>
            <w:tcW w:w="4692" w:type="dxa"/>
            <w:tcBorders>
              <w:top w:val="single" w:sz="4" w:space="0" w:color="auto"/>
              <w:left w:val="single" w:sz="4" w:space="0" w:color="auto"/>
              <w:bottom w:val="single" w:sz="4" w:space="0" w:color="auto"/>
              <w:right w:val="single" w:sz="4" w:space="0" w:color="auto"/>
            </w:tcBorders>
            <w:vAlign w:val="center"/>
            <w:hideMark/>
          </w:tcPr>
          <w:p w14:paraId="2B860ED4" w14:textId="77777777" w:rsidR="000E69BF" w:rsidRPr="000E69BF" w:rsidRDefault="000E69BF" w:rsidP="000E69BF">
            <w:pPr>
              <w:spacing w:after="220" w:line="240" w:lineRule="auto"/>
              <w:rPr>
                <w:rFonts w:ascii="Arial" w:eastAsia="Century Schoolbook" w:hAnsi="Arial" w:cs="Arial"/>
                <w:noProof/>
                <w:lang w:val="en-US"/>
              </w:rPr>
            </w:pPr>
            <w:r w:rsidRPr="000E69BF">
              <w:rPr>
                <w:rFonts w:ascii="Arial" w:eastAsia="Century Schoolbook" w:hAnsi="Arial" w:cs="Arial"/>
                <w:noProof/>
                <w:lang w:eastAsia="en-GB"/>
              </w:rPr>
              <w:drawing>
                <wp:inline distT="0" distB="0" distL="0" distR="0" wp14:anchorId="7A0BA23C" wp14:editId="43E3D775">
                  <wp:extent cx="2800350" cy="2257425"/>
                  <wp:effectExtent l="0" t="0" r="0" b="9525"/>
                  <wp:docPr id="2" name="Picture 4" descr="A horse and carriage with a person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horse and carriage with a person i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0350" cy="2257425"/>
                          </a:xfrm>
                          <a:prstGeom prst="rect">
                            <a:avLst/>
                          </a:prstGeom>
                          <a:noFill/>
                          <a:ln>
                            <a:noFill/>
                          </a:ln>
                        </pic:spPr>
                      </pic:pic>
                    </a:graphicData>
                  </a:graphic>
                </wp:inline>
              </w:drawing>
            </w:r>
          </w:p>
        </w:tc>
      </w:tr>
      <w:tr w:rsidR="000E69BF" w:rsidRPr="000E69BF" w14:paraId="3B012F81" w14:textId="77777777" w:rsidTr="000E69BF">
        <w:trPr>
          <w:trHeight w:val="33"/>
          <w:jc w:val="center"/>
        </w:trPr>
        <w:tc>
          <w:tcPr>
            <w:tcW w:w="4633" w:type="dxa"/>
            <w:tcBorders>
              <w:top w:val="single" w:sz="4" w:space="0" w:color="auto"/>
              <w:left w:val="single" w:sz="4" w:space="0" w:color="auto"/>
              <w:bottom w:val="single" w:sz="4" w:space="0" w:color="auto"/>
              <w:right w:val="single" w:sz="4" w:space="0" w:color="auto"/>
            </w:tcBorders>
            <w:hideMark/>
          </w:tcPr>
          <w:p w14:paraId="2BF31AD5" w14:textId="77777777" w:rsidR="000E69BF" w:rsidRPr="000E69BF" w:rsidRDefault="000E69BF" w:rsidP="000E69BF">
            <w:pPr>
              <w:spacing w:after="220" w:line="240" w:lineRule="auto"/>
              <w:jc w:val="center"/>
              <w:rPr>
                <w:rFonts w:ascii="Arial" w:eastAsia="Century Schoolbook" w:hAnsi="Arial" w:cs="Arial"/>
                <w:noProof/>
                <w:lang w:val="en-US"/>
              </w:rPr>
            </w:pPr>
            <w:r w:rsidRPr="000E69BF">
              <w:rPr>
                <w:rFonts w:ascii="Arial" w:eastAsia="Century Schoolbook" w:hAnsi="Arial" w:cs="Arial"/>
                <w:noProof/>
                <w:lang w:val="en-US"/>
              </w:rPr>
              <w:t xml:space="preserve">Fig:”A paramedic’s View: The NHS Ambulance Service at Breaking Point” Source: </w:t>
            </w:r>
            <w:hyperlink r:id="rId10" w:history="1">
              <w:r w:rsidRPr="000E69BF">
                <w:rPr>
                  <w:rFonts w:ascii="Arial" w:eastAsia="Century Schoolbook" w:hAnsi="Arial" w:cs="Arial"/>
                  <w:noProof/>
                  <w:color w:val="0563C1"/>
                  <w:u w:val="single"/>
                  <w:lang w:val="en-US"/>
                </w:rPr>
                <w:t>https://www.theguardian.com/commentisfree/2022/jan/11/nhs-ambulance-service-paramedics-patients-waiting-times</w:t>
              </w:r>
            </w:hyperlink>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8593173" w14:textId="77777777" w:rsidR="000E69BF" w:rsidRPr="000E69BF" w:rsidRDefault="000E69BF" w:rsidP="000E69BF">
            <w:pPr>
              <w:spacing w:after="0" w:line="240" w:lineRule="auto"/>
              <w:rPr>
                <w:rFonts w:ascii="Arial" w:eastAsia="Century Schoolbook" w:hAnsi="Arial" w:cs="Arial"/>
                <w:noProof/>
                <w:lang w:val="en-US"/>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00CADAFA" w14:textId="77777777" w:rsidR="000E69BF" w:rsidRPr="000E69BF" w:rsidRDefault="000E69BF" w:rsidP="00DC41A4">
            <w:pPr>
              <w:spacing w:after="0" w:line="360" w:lineRule="auto"/>
              <w:rPr>
                <w:rFonts w:ascii="Arial" w:eastAsia="Century Schoolbook" w:hAnsi="Arial" w:cs="Arial"/>
                <w:lang w:val="en-US"/>
              </w:rPr>
            </w:pPr>
          </w:p>
        </w:tc>
        <w:tc>
          <w:tcPr>
            <w:tcW w:w="368" w:type="dxa"/>
            <w:vMerge/>
            <w:tcBorders>
              <w:top w:val="single" w:sz="4" w:space="0" w:color="auto"/>
              <w:left w:val="single" w:sz="4" w:space="0" w:color="auto"/>
              <w:bottom w:val="single" w:sz="4" w:space="0" w:color="auto"/>
              <w:right w:val="single" w:sz="4" w:space="0" w:color="auto"/>
            </w:tcBorders>
            <w:vAlign w:val="center"/>
            <w:hideMark/>
          </w:tcPr>
          <w:p w14:paraId="013F6644" w14:textId="77777777" w:rsidR="000E69BF" w:rsidRPr="000E69BF" w:rsidRDefault="000E69BF" w:rsidP="000E69BF">
            <w:pPr>
              <w:spacing w:after="0" w:line="240" w:lineRule="auto"/>
              <w:rPr>
                <w:rFonts w:ascii="Arial" w:eastAsia="Century Schoolbook" w:hAnsi="Arial" w:cs="Arial"/>
                <w:noProof/>
                <w:lang w:val="en-US"/>
              </w:rPr>
            </w:pPr>
          </w:p>
        </w:tc>
        <w:tc>
          <w:tcPr>
            <w:tcW w:w="4692" w:type="dxa"/>
            <w:tcBorders>
              <w:top w:val="single" w:sz="4" w:space="0" w:color="auto"/>
              <w:left w:val="single" w:sz="4" w:space="0" w:color="auto"/>
              <w:bottom w:val="single" w:sz="4" w:space="0" w:color="auto"/>
              <w:right w:val="single" w:sz="4" w:space="0" w:color="auto"/>
            </w:tcBorders>
            <w:hideMark/>
          </w:tcPr>
          <w:p w14:paraId="7842F014" w14:textId="77777777" w:rsidR="000E69BF" w:rsidRPr="000E69BF" w:rsidRDefault="000E69BF" w:rsidP="000E69BF">
            <w:pPr>
              <w:spacing w:after="220" w:line="240" w:lineRule="auto"/>
              <w:ind w:firstLine="720"/>
              <w:rPr>
                <w:rFonts w:ascii="Arial" w:eastAsia="Times New Roman" w:hAnsi="Arial" w:cs="Arial"/>
                <w:noProof/>
                <w:lang w:val="en-US"/>
              </w:rPr>
            </w:pPr>
            <w:r w:rsidRPr="000E69BF">
              <w:rPr>
                <w:rFonts w:ascii="Arial" w:eastAsia="Times New Roman" w:hAnsi="Arial" w:cs="Arial"/>
                <w:noProof/>
                <w:lang w:val="en-US"/>
              </w:rPr>
              <w:t>Fig:”Early 20</w:t>
            </w:r>
            <w:r w:rsidRPr="000E69BF">
              <w:rPr>
                <w:rFonts w:ascii="Arial" w:eastAsia="Times New Roman" w:hAnsi="Arial" w:cs="Arial"/>
                <w:noProof/>
                <w:vertAlign w:val="superscript"/>
                <w:lang w:val="en-US"/>
              </w:rPr>
              <w:t>th</w:t>
            </w:r>
            <w:r w:rsidRPr="000E69BF">
              <w:rPr>
                <w:rFonts w:ascii="Arial" w:eastAsia="Times New Roman" w:hAnsi="Arial" w:cs="Arial"/>
                <w:noProof/>
                <w:lang w:val="en-US"/>
              </w:rPr>
              <w:t xml:space="preserve"> Century Horse-Drawn Ambulance in the UK” Source: </w:t>
            </w:r>
            <w:hyperlink r:id="rId11" w:history="1">
              <w:r w:rsidRPr="000E69BF">
                <w:rPr>
                  <w:rFonts w:ascii="Arial" w:eastAsia="Times New Roman" w:hAnsi="Arial" w:cs="Arial"/>
                  <w:noProof/>
                  <w:color w:val="0563C1"/>
                  <w:u w:val="single"/>
                  <w:lang w:val="en-US"/>
                </w:rPr>
                <w:t>https://princehenryhospitalmuseum.org/international-year-of-the-nurse/bravery-bandages-bedpans/2-1900-1913/the-ambulance-service/</w:t>
              </w:r>
            </w:hyperlink>
          </w:p>
        </w:tc>
      </w:tr>
      <w:tr w:rsidR="000E69BF" w:rsidRPr="000E69BF" w14:paraId="48E76B3E" w14:textId="77777777" w:rsidTr="000E69BF">
        <w:trPr>
          <w:trHeight w:val="509"/>
          <w:jc w:val="center"/>
        </w:trPr>
        <w:tc>
          <w:tcPr>
            <w:tcW w:w="4633" w:type="dxa"/>
            <w:vMerge w:val="restart"/>
            <w:tcBorders>
              <w:top w:val="single" w:sz="4" w:space="0" w:color="auto"/>
              <w:left w:val="single" w:sz="4" w:space="0" w:color="auto"/>
              <w:bottom w:val="single" w:sz="4" w:space="0" w:color="auto"/>
              <w:right w:val="single" w:sz="4" w:space="0" w:color="auto"/>
            </w:tcBorders>
            <w:hideMark/>
          </w:tcPr>
          <w:p w14:paraId="37883950" w14:textId="77777777" w:rsidR="000E69BF" w:rsidRPr="000E69BF" w:rsidRDefault="000E69BF" w:rsidP="000E69BF">
            <w:pPr>
              <w:spacing w:after="220" w:line="240" w:lineRule="auto"/>
              <w:jc w:val="center"/>
              <w:rPr>
                <w:rFonts w:ascii="Arial" w:eastAsia="Century Schoolbook" w:hAnsi="Arial" w:cs="Arial"/>
                <w:b/>
                <w:color w:val="002060"/>
                <w:spacing w:val="10"/>
                <w:lang w:val="en-US"/>
              </w:rPr>
            </w:pPr>
            <w:r w:rsidRPr="000E69BF">
              <w:rPr>
                <w:rFonts w:ascii="Arial" w:eastAsia="Century Schoolbook" w:hAnsi="Arial" w:cs="Arial"/>
                <w:b/>
                <w:color w:val="002060"/>
                <w:spacing w:val="10"/>
                <w:lang w:val="en-US"/>
              </w:rPr>
              <w:t>History of Ambulance Service</w:t>
            </w:r>
          </w:p>
          <w:p w14:paraId="000B768D" w14:textId="77777777" w:rsidR="000E69BF" w:rsidRPr="000E69BF" w:rsidRDefault="000E69BF" w:rsidP="000E69BF">
            <w:pPr>
              <w:spacing w:after="220" w:line="360" w:lineRule="auto"/>
              <w:jc w:val="lowKashida"/>
              <w:rPr>
                <w:rFonts w:ascii="Arial" w:eastAsia="Century Schoolbook" w:hAnsi="Arial" w:cs="Arial"/>
                <w:lang w:val="en-US"/>
              </w:rPr>
            </w:pPr>
            <w:r w:rsidRPr="000E69BF">
              <w:rPr>
                <w:rFonts w:ascii="Arial" w:eastAsia="Century Schoolbook" w:hAnsi="Arial" w:cs="Arial"/>
                <w:lang w:val="en-US"/>
              </w:rPr>
              <w:t xml:space="preserve">The ambulance service in the United Kingdom can be traced back to the 19th century when the necessity to introduce organised transportation was first introduced due to the need to deliver medical services during wars and industrial growth (AACE, 2023). This was a significant move with the </w:t>
            </w:r>
            <w:r w:rsidRPr="000E69BF">
              <w:rPr>
                <w:rFonts w:ascii="Arial" w:eastAsia="Century Schoolbook" w:hAnsi="Arial" w:cs="Arial"/>
                <w:lang w:val="en-US"/>
              </w:rPr>
              <w:lastRenderedPageBreak/>
              <w:t xml:space="preserve">formation of St John Ambulance in 1877 where trained volunteers offered first aid and transport of injured citizens. By the early 20th century motorised ambulances replaced horse-drawn wagons in improving speed and capacity. The establishment of t NHS in 1948 integrated ambulance system nationwide that providing free emergency and non-emergency medical transport (NHS, 2024). The service has been modernised over the decades because of major technological and procedural changes such as the introduction of radio communication, satellite navigation, and state of the art life-support equipment. Improvement of paramedic headed response teams has also improved the quality of pre-hospital care and as a result of this the lifesaving interventions can be done on-site (Khan, 2022). The UK ambulance service is one of the most important arms of NHS </w:t>
            </w:r>
            <w:r w:rsidRPr="000E69BF">
              <w:rPr>
                <w:rFonts w:ascii="Arial" w:eastAsia="Century Schoolbook" w:hAnsi="Arial" w:cs="Arial"/>
                <w:lang w:val="en-US"/>
              </w:rPr>
              <w:lastRenderedPageBreak/>
              <w:t>today as it is a result of historical dedication and innovation in that it renders quality and fast emergency care in the United Kingdom.</w:t>
            </w:r>
          </w:p>
          <w:p w14:paraId="52CFB372" w14:textId="77777777" w:rsidR="000E69BF" w:rsidRPr="000E69BF" w:rsidRDefault="000E69BF" w:rsidP="000E69BF">
            <w:pPr>
              <w:spacing w:after="220" w:line="240" w:lineRule="auto"/>
              <w:jc w:val="center"/>
              <w:rPr>
                <w:rFonts w:ascii="Arial" w:eastAsia="Century Schoolbook" w:hAnsi="Arial" w:cs="Arial"/>
                <w:b/>
                <w:color w:val="002060"/>
                <w:spacing w:val="10"/>
                <w:lang w:val="en-US"/>
              </w:rPr>
            </w:pPr>
            <w:bookmarkStart w:id="0" w:name="_Toc213379695"/>
            <w:r w:rsidRPr="000E69BF">
              <w:rPr>
                <w:rFonts w:ascii="Arial" w:eastAsia="Century Schoolbook" w:hAnsi="Arial" w:cs="Arial"/>
                <w:b/>
                <w:color w:val="002060"/>
                <w:spacing w:val="10"/>
                <w:lang w:val="en-US"/>
              </w:rPr>
              <w:t>Current Operations of the NHS Ambulance Service</w:t>
            </w:r>
            <w:bookmarkEnd w:id="0"/>
          </w:p>
          <w:p w14:paraId="05240D69" w14:textId="77777777" w:rsidR="000E69BF" w:rsidRPr="000E69BF" w:rsidRDefault="000E69BF" w:rsidP="000E69BF">
            <w:pPr>
              <w:spacing w:after="220" w:line="360" w:lineRule="auto"/>
              <w:jc w:val="lowKashida"/>
              <w:rPr>
                <w:rFonts w:ascii="Arial" w:eastAsia="Century Schoolbook" w:hAnsi="Arial" w:cs="Arial"/>
                <w:lang w:val="en-US"/>
              </w:rPr>
            </w:pPr>
            <w:r w:rsidRPr="000E69BF">
              <w:rPr>
                <w:rFonts w:ascii="Arial" w:eastAsia="Century Schoolbook" w:hAnsi="Arial" w:cs="Arial"/>
                <w:lang w:val="en-US"/>
              </w:rPr>
              <w:t xml:space="preserve">The management of the NHS Ambulance Service in England today falls under the supervision of the NHS England and is incorporated into the Integrated Care Systems (ICS) to provide the coordination and efficiency in the care delivery of emergencies in the healthcare (AmbSYS, 2019). The service manages in excess of 10 million emergency calls each year and the national response time to emergency under the category 1 is about eight minutes. In England, GPS-based dispatching, electronic patient records and real-time communication between control centres and paramedics with hospitals have enabled digital </w:t>
            </w:r>
            <w:r w:rsidRPr="000E69BF">
              <w:rPr>
                <w:rFonts w:ascii="Arial" w:eastAsia="Century Schoolbook" w:hAnsi="Arial" w:cs="Arial"/>
                <w:lang w:val="en-US"/>
              </w:rPr>
              <w:lastRenderedPageBreak/>
              <w:t>transformation to a great extent resulting into better accuracy and patient outcomes (Bradson, 2025).</w:t>
            </w: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532332F6" w14:textId="77777777" w:rsidR="000E69BF" w:rsidRPr="000E69BF" w:rsidRDefault="000E69BF" w:rsidP="000E69BF">
            <w:pPr>
              <w:spacing w:after="0" w:line="240" w:lineRule="auto"/>
              <w:rPr>
                <w:rFonts w:ascii="Arial" w:eastAsia="Century Schoolbook" w:hAnsi="Arial" w:cs="Arial"/>
                <w:noProof/>
                <w:lang w:val="en-US"/>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0866DB97" w14:textId="77777777" w:rsidR="000E69BF" w:rsidRPr="000E69BF" w:rsidRDefault="000E69BF" w:rsidP="00DC41A4">
            <w:pPr>
              <w:spacing w:after="0" w:line="360" w:lineRule="auto"/>
              <w:rPr>
                <w:rFonts w:ascii="Arial" w:eastAsia="Century Schoolbook" w:hAnsi="Arial" w:cs="Arial"/>
                <w:lang w:val="en-US"/>
              </w:rPr>
            </w:pPr>
          </w:p>
        </w:tc>
        <w:tc>
          <w:tcPr>
            <w:tcW w:w="368" w:type="dxa"/>
            <w:vMerge/>
            <w:tcBorders>
              <w:top w:val="single" w:sz="4" w:space="0" w:color="auto"/>
              <w:left w:val="single" w:sz="4" w:space="0" w:color="auto"/>
              <w:bottom w:val="single" w:sz="4" w:space="0" w:color="auto"/>
              <w:right w:val="single" w:sz="4" w:space="0" w:color="auto"/>
            </w:tcBorders>
            <w:vAlign w:val="center"/>
            <w:hideMark/>
          </w:tcPr>
          <w:p w14:paraId="6D02E99F" w14:textId="77777777" w:rsidR="000E69BF" w:rsidRPr="000E69BF" w:rsidRDefault="000E69BF" w:rsidP="000E69BF">
            <w:pPr>
              <w:spacing w:after="0" w:line="240" w:lineRule="auto"/>
              <w:rPr>
                <w:rFonts w:ascii="Arial" w:eastAsia="Century Schoolbook" w:hAnsi="Arial" w:cs="Arial"/>
                <w:noProof/>
                <w:lang w:val="en-US"/>
              </w:rPr>
            </w:pPr>
          </w:p>
        </w:tc>
        <w:tc>
          <w:tcPr>
            <w:tcW w:w="4692" w:type="dxa"/>
            <w:vMerge w:val="restart"/>
            <w:tcBorders>
              <w:top w:val="single" w:sz="4" w:space="0" w:color="auto"/>
              <w:left w:val="single" w:sz="4" w:space="0" w:color="auto"/>
              <w:bottom w:val="single" w:sz="4" w:space="0" w:color="auto"/>
              <w:right w:val="single" w:sz="4" w:space="0" w:color="auto"/>
            </w:tcBorders>
          </w:tcPr>
          <w:p w14:paraId="23C97AB0" w14:textId="77777777" w:rsidR="000E69BF" w:rsidRPr="000E69BF" w:rsidRDefault="000E69BF" w:rsidP="000E69BF">
            <w:pPr>
              <w:spacing w:after="220" w:line="240" w:lineRule="auto"/>
              <w:jc w:val="center"/>
              <w:rPr>
                <w:rFonts w:ascii="Arial" w:eastAsia="Century Schoolbook" w:hAnsi="Arial" w:cs="Arial"/>
                <w:b/>
                <w:color w:val="002060"/>
                <w:spacing w:val="10"/>
                <w:lang w:val="en-US"/>
              </w:rPr>
            </w:pPr>
            <w:r w:rsidRPr="000E69BF">
              <w:rPr>
                <w:rFonts w:ascii="Arial" w:eastAsia="Century Schoolbook" w:hAnsi="Arial" w:cs="Arial"/>
                <w:b/>
                <w:color w:val="002060"/>
                <w:spacing w:val="10"/>
                <w:lang w:val="en-US"/>
              </w:rPr>
              <w:t>Conclusion</w:t>
            </w:r>
          </w:p>
          <w:p w14:paraId="03748A95" w14:textId="77777777" w:rsidR="000E69BF" w:rsidRPr="000E69BF" w:rsidRDefault="000E69BF" w:rsidP="000E69BF">
            <w:pPr>
              <w:spacing w:after="220" w:line="360" w:lineRule="auto"/>
              <w:jc w:val="lowKashida"/>
              <w:rPr>
                <w:rFonts w:ascii="Arial" w:eastAsia="Century Schoolbook" w:hAnsi="Arial" w:cs="Arial"/>
                <w:color w:val="0D0D0D"/>
                <w:lang w:val="en-US"/>
              </w:rPr>
            </w:pPr>
            <w:r w:rsidRPr="000E69BF">
              <w:rPr>
                <w:rFonts w:ascii="Arial" w:eastAsia="Century Schoolbook" w:hAnsi="Arial" w:cs="Arial"/>
                <w:color w:val="0D0D0D"/>
                <w:lang w:val="en-US"/>
              </w:rPr>
              <w:t xml:space="preserve">In conclusion, the NHS Ambulance Service in England is a vital component of emergency healthcare, which offers quick and life-saving services to millions of people annually. Its extended relevance is based on its capacity to provide essential pre-hospital services and contribute to the overall </w:t>
            </w:r>
            <w:r w:rsidRPr="000E69BF">
              <w:rPr>
                <w:rFonts w:ascii="Arial" w:eastAsia="Century Schoolbook" w:hAnsi="Arial" w:cs="Arial"/>
                <w:color w:val="0D0D0D"/>
                <w:lang w:val="en-US"/>
              </w:rPr>
              <w:lastRenderedPageBreak/>
              <w:t>NHS to cope with an emergency in the overall population health. Nonetheless, it needs to improve in the retention of workforce, management of response time, and efficiency of the hospital handover. The digital innovation, capacity building, and training investments will make the service effective, responsive, and sustainable to meet the future healthcare needs.</w:t>
            </w:r>
          </w:p>
          <w:p w14:paraId="28F52509" w14:textId="77777777" w:rsidR="000E69BF" w:rsidRPr="000E69BF" w:rsidRDefault="000E69BF" w:rsidP="000E69BF">
            <w:pPr>
              <w:spacing w:after="220" w:line="240" w:lineRule="auto"/>
              <w:rPr>
                <w:rFonts w:ascii="Arial" w:eastAsia="Century Schoolbook" w:hAnsi="Arial" w:cs="Arial"/>
                <w:lang w:val="en-US"/>
              </w:rPr>
            </w:pPr>
          </w:p>
          <w:p w14:paraId="5F9A98DE" w14:textId="77777777" w:rsidR="000E69BF" w:rsidRPr="000E69BF" w:rsidRDefault="000E69BF" w:rsidP="000E69BF">
            <w:pPr>
              <w:spacing w:after="220" w:line="240" w:lineRule="auto"/>
              <w:rPr>
                <w:rFonts w:ascii="Arial" w:eastAsia="Century Schoolbook" w:hAnsi="Arial" w:cs="Arial"/>
                <w:lang w:val="en-US"/>
              </w:rPr>
            </w:pPr>
          </w:p>
        </w:tc>
      </w:tr>
      <w:tr w:rsidR="000E69BF" w:rsidRPr="000E69BF" w14:paraId="7FAD95A4" w14:textId="77777777" w:rsidTr="000E69BF">
        <w:trPr>
          <w:trHeight w:val="33"/>
          <w:jc w:val="center"/>
        </w:trPr>
        <w:tc>
          <w:tcPr>
            <w:tcW w:w="4633" w:type="dxa"/>
            <w:vMerge/>
            <w:tcBorders>
              <w:top w:val="single" w:sz="4" w:space="0" w:color="auto"/>
              <w:left w:val="single" w:sz="4" w:space="0" w:color="auto"/>
              <w:bottom w:val="single" w:sz="4" w:space="0" w:color="auto"/>
              <w:right w:val="single" w:sz="4" w:space="0" w:color="auto"/>
            </w:tcBorders>
            <w:vAlign w:val="center"/>
            <w:hideMark/>
          </w:tcPr>
          <w:p w14:paraId="710A0742" w14:textId="77777777" w:rsidR="000E69BF" w:rsidRPr="000E69BF" w:rsidRDefault="000E69BF" w:rsidP="000E69BF">
            <w:pPr>
              <w:spacing w:after="0" w:line="240" w:lineRule="auto"/>
              <w:rPr>
                <w:rFonts w:ascii="Arial" w:eastAsia="Century Schoolbook" w:hAnsi="Arial" w:cs="Arial"/>
                <w:lang w:val="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8C551BC" w14:textId="77777777" w:rsidR="000E69BF" w:rsidRPr="000E69BF" w:rsidRDefault="000E69BF" w:rsidP="000E69BF">
            <w:pPr>
              <w:spacing w:after="0" w:line="240" w:lineRule="auto"/>
              <w:rPr>
                <w:rFonts w:ascii="Arial" w:eastAsia="Century Schoolbook" w:hAnsi="Arial" w:cs="Arial"/>
                <w:noProof/>
                <w:lang w:val="en-US"/>
              </w:rPr>
            </w:pPr>
          </w:p>
        </w:tc>
        <w:tc>
          <w:tcPr>
            <w:tcW w:w="4600" w:type="dxa"/>
            <w:tcBorders>
              <w:top w:val="single" w:sz="4" w:space="0" w:color="auto"/>
              <w:left w:val="single" w:sz="4" w:space="0" w:color="auto"/>
              <w:bottom w:val="single" w:sz="4" w:space="0" w:color="auto"/>
              <w:right w:val="single" w:sz="4" w:space="0" w:color="auto"/>
            </w:tcBorders>
          </w:tcPr>
          <w:p w14:paraId="34DD5C5C" w14:textId="77777777" w:rsidR="000E69BF" w:rsidRPr="000E69BF" w:rsidRDefault="000E69BF" w:rsidP="00DC41A4">
            <w:pPr>
              <w:spacing w:after="220" w:line="360" w:lineRule="auto"/>
              <w:rPr>
                <w:rFonts w:ascii="Arial" w:eastAsia="Century Schoolbook" w:hAnsi="Arial" w:cs="Arial"/>
                <w:noProof/>
                <w:lang w:val="en-US"/>
              </w:rPr>
            </w:pPr>
          </w:p>
        </w:tc>
        <w:tc>
          <w:tcPr>
            <w:tcW w:w="368" w:type="dxa"/>
            <w:vMerge/>
            <w:tcBorders>
              <w:top w:val="single" w:sz="4" w:space="0" w:color="auto"/>
              <w:left w:val="single" w:sz="4" w:space="0" w:color="auto"/>
              <w:bottom w:val="single" w:sz="4" w:space="0" w:color="auto"/>
              <w:right w:val="single" w:sz="4" w:space="0" w:color="auto"/>
            </w:tcBorders>
            <w:vAlign w:val="center"/>
            <w:hideMark/>
          </w:tcPr>
          <w:p w14:paraId="2B2CFEB4" w14:textId="77777777" w:rsidR="000E69BF" w:rsidRPr="000E69BF" w:rsidRDefault="000E69BF" w:rsidP="000E69BF">
            <w:pPr>
              <w:spacing w:after="0" w:line="240" w:lineRule="auto"/>
              <w:rPr>
                <w:rFonts w:ascii="Arial" w:eastAsia="Century Schoolbook" w:hAnsi="Arial" w:cs="Arial"/>
                <w:noProof/>
                <w:lang w:val="en-US"/>
              </w:rPr>
            </w:pPr>
          </w:p>
        </w:tc>
        <w:tc>
          <w:tcPr>
            <w:tcW w:w="4692" w:type="dxa"/>
            <w:vMerge/>
            <w:tcBorders>
              <w:top w:val="single" w:sz="4" w:space="0" w:color="auto"/>
              <w:left w:val="single" w:sz="4" w:space="0" w:color="auto"/>
              <w:bottom w:val="single" w:sz="4" w:space="0" w:color="auto"/>
              <w:right w:val="single" w:sz="4" w:space="0" w:color="auto"/>
            </w:tcBorders>
            <w:vAlign w:val="center"/>
            <w:hideMark/>
          </w:tcPr>
          <w:p w14:paraId="78340B97" w14:textId="77777777" w:rsidR="000E69BF" w:rsidRPr="000E69BF" w:rsidRDefault="000E69BF" w:rsidP="000E69BF">
            <w:pPr>
              <w:spacing w:after="0" w:line="240" w:lineRule="auto"/>
              <w:rPr>
                <w:rFonts w:ascii="Arial" w:eastAsia="Century Schoolbook" w:hAnsi="Arial" w:cs="Arial"/>
                <w:lang w:val="en-US"/>
              </w:rPr>
            </w:pPr>
          </w:p>
        </w:tc>
      </w:tr>
      <w:tr w:rsidR="000E69BF" w:rsidRPr="000E69BF" w14:paraId="1A4AA3CC" w14:textId="77777777" w:rsidTr="000E69BF">
        <w:trPr>
          <w:trHeight w:val="3069"/>
          <w:jc w:val="center"/>
        </w:trPr>
        <w:tc>
          <w:tcPr>
            <w:tcW w:w="4633" w:type="dxa"/>
            <w:vMerge/>
            <w:tcBorders>
              <w:top w:val="single" w:sz="4" w:space="0" w:color="auto"/>
              <w:left w:val="single" w:sz="4" w:space="0" w:color="auto"/>
              <w:bottom w:val="single" w:sz="4" w:space="0" w:color="auto"/>
              <w:right w:val="single" w:sz="4" w:space="0" w:color="auto"/>
            </w:tcBorders>
            <w:vAlign w:val="center"/>
            <w:hideMark/>
          </w:tcPr>
          <w:p w14:paraId="4152A319" w14:textId="77777777" w:rsidR="000E69BF" w:rsidRPr="000E69BF" w:rsidRDefault="000E69BF" w:rsidP="000E69BF">
            <w:pPr>
              <w:spacing w:after="0" w:line="240" w:lineRule="auto"/>
              <w:rPr>
                <w:rFonts w:ascii="Arial" w:eastAsia="Century Schoolbook" w:hAnsi="Arial" w:cs="Arial"/>
                <w:lang w:val="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A47CCED" w14:textId="77777777" w:rsidR="000E69BF" w:rsidRPr="000E69BF" w:rsidRDefault="000E69BF" w:rsidP="000E69BF">
            <w:pPr>
              <w:spacing w:after="0" w:line="240" w:lineRule="auto"/>
              <w:rPr>
                <w:rFonts w:ascii="Arial" w:eastAsia="Century Schoolbook" w:hAnsi="Arial" w:cs="Arial"/>
                <w:noProof/>
                <w:lang w:val="en-US"/>
              </w:rPr>
            </w:pPr>
          </w:p>
        </w:tc>
        <w:tc>
          <w:tcPr>
            <w:tcW w:w="4600" w:type="dxa"/>
            <w:tcBorders>
              <w:top w:val="single" w:sz="4" w:space="0" w:color="auto"/>
              <w:left w:val="single" w:sz="4" w:space="0" w:color="auto"/>
              <w:bottom w:val="single" w:sz="4" w:space="0" w:color="auto"/>
              <w:right w:val="single" w:sz="4" w:space="0" w:color="auto"/>
            </w:tcBorders>
          </w:tcPr>
          <w:p w14:paraId="4F8D6794" w14:textId="77777777" w:rsidR="000E69BF" w:rsidRPr="000E69BF" w:rsidRDefault="000E69BF" w:rsidP="00DC41A4">
            <w:pPr>
              <w:spacing w:after="220" w:line="360" w:lineRule="auto"/>
              <w:jc w:val="center"/>
              <w:rPr>
                <w:rFonts w:ascii="Arial" w:eastAsia="Century Schoolbook" w:hAnsi="Arial" w:cs="Arial"/>
                <w:b/>
                <w:color w:val="002060"/>
                <w:spacing w:val="10"/>
                <w:lang w:val="en-US"/>
              </w:rPr>
            </w:pPr>
            <w:r w:rsidRPr="000E69BF">
              <w:rPr>
                <w:rFonts w:ascii="Arial" w:eastAsia="Century Schoolbook" w:hAnsi="Arial" w:cs="Arial"/>
                <w:b/>
                <w:color w:val="002060"/>
                <w:spacing w:val="10"/>
                <w:lang w:val="en-US"/>
              </w:rPr>
              <w:t>NHS Ambulance Service in England</w:t>
            </w:r>
          </w:p>
          <w:p w14:paraId="7ECB7D8A" w14:textId="77777777" w:rsidR="000E69BF" w:rsidRPr="000E69BF" w:rsidRDefault="000E69BF" w:rsidP="00DC41A4">
            <w:pPr>
              <w:spacing w:after="220" w:line="360" w:lineRule="auto"/>
              <w:jc w:val="lowKashida"/>
              <w:rPr>
                <w:rFonts w:ascii="Arial" w:eastAsia="Century Schoolbook" w:hAnsi="Arial" w:cs="Arial"/>
                <w:color w:val="0D0D0D"/>
                <w:lang w:val="en-US"/>
              </w:rPr>
            </w:pPr>
            <w:r w:rsidRPr="000E69BF">
              <w:rPr>
                <w:rFonts w:ascii="Arial" w:eastAsia="Century Schoolbook" w:hAnsi="Arial" w:cs="Arial"/>
                <w:color w:val="0D0D0D"/>
                <w:lang w:val="en-US"/>
              </w:rPr>
              <w:t xml:space="preserve">The specific service area of this poster will be the NHS Ambulance Service in England that is in charge of pre-hospital emergency and urgent care provision to the population of the country. It has eleven regional ambulance trusts, such as the London Ambulance Service, North West, and West Midlands each with local emergency response service and patient transport service. The main role of the service is to make fast response to the 999 emergency calls, evaluate the health of the patients, and give life-saving treatment before they are admitted to hospitals (Cimino and Braun, 2023).  The ambulance service transport of non-emergency patients is also used in conjunction with emergency operations and this is ensuring the safety of transporting people with long-term illnesses or disabilities in and out of healthcare facilities. It also </w:t>
            </w:r>
            <w:r w:rsidRPr="000E69BF">
              <w:rPr>
                <w:rFonts w:ascii="Arial" w:eastAsia="Century Schoolbook" w:hAnsi="Arial" w:cs="Arial"/>
                <w:color w:val="0D0D0D"/>
                <w:lang w:val="en-US"/>
              </w:rPr>
              <w:lastRenderedPageBreak/>
              <w:t>promotes the by supporting the NHS 111 service, which provides clinical guidance and refers callers to the relevant medical care when they do not need to be hospitalised urgently (Philip, 2019). The NHS Ambulance Service is spread all over England, in the urban, rural, and coastal areas of the country, with no access to care being based on the location. The service ensures continuous, emergency ready care across England through skilled paramedics, advanced technology and an integrated healthcare network.</w:t>
            </w:r>
          </w:p>
          <w:p w14:paraId="5F9C2319" w14:textId="77777777" w:rsidR="000E69BF" w:rsidRPr="000E69BF" w:rsidRDefault="000E69BF" w:rsidP="00DC41A4">
            <w:pPr>
              <w:spacing w:after="220" w:line="360" w:lineRule="auto"/>
              <w:jc w:val="center"/>
              <w:rPr>
                <w:rFonts w:ascii="Arial" w:eastAsia="Century Schoolbook" w:hAnsi="Arial" w:cs="Arial"/>
                <w:b/>
                <w:color w:val="002060"/>
                <w:spacing w:val="10"/>
                <w:lang w:val="en-US"/>
              </w:rPr>
            </w:pPr>
            <w:bookmarkStart w:id="1" w:name="_Toc213379696"/>
            <w:r w:rsidRPr="000E69BF">
              <w:rPr>
                <w:rFonts w:ascii="Arial" w:eastAsia="Century Schoolbook" w:hAnsi="Arial" w:cs="Arial"/>
                <w:b/>
                <w:color w:val="002060"/>
                <w:spacing w:val="10"/>
                <w:lang w:val="en-US"/>
              </w:rPr>
              <w:t>Two Major Challenges</w:t>
            </w:r>
            <w:bookmarkEnd w:id="1"/>
            <w:r w:rsidRPr="000E69BF">
              <w:rPr>
                <w:rFonts w:ascii="Arial" w:eastAsia="Century Schoolbook" w:hAnsi="Arial" w:cs="Arial"/>
                <w:b/>
                <w:color w:val="002060"/>
                <w:spacing w:val="10"/>
                <w:lang w:val="en-US"/>
              </w:rPr>
              <w:t xml:space="preserve"> </w:t>
            </w:r>
          </w:p>
          <w:p w14:paraId="03FB5B9D" w14:textId="77777777" w:rsidR="000E69BF" w:rsidRPr="000E69BF" w:rsidRDefault="000E69BF" w:rsidP="00DC41A4">
            <w:pPr>
              <w:spacing w:after="220" w:line="360" w:lineRule="auto"/>
              <w:rPr>
                <w:rFonts w:ascii="Arial" w:eastAsia="Century Schoolbook" w:hAnsi="Arial" w:cs="Arial"/>
                <w:lang w:val="en-US"/>
              </w:rPr>
            </w:pPr>
            <w:r w:rsidRPr="000E69BF">
              <w:rPr>
                <w:rFonts w:ascii="Arial" w:eastAsia="Century Schoolbook" w:hAnsi="Arial" w:cs="Arial"/>
                <w:b/>
                <w:color w:val="002060"/>
                <w:spacing w:val="10"/>
                <w:lang w:val="en-US"/>
              </w:rPr>
              <w:t>Delayed Response Time and Staff Shortages:</w:t>
            </w:r>
          </w:p>
          <w:p w14:paraId="5CF64E3B" w14:textId="77777777" w:rsidR="000E69BF" w:rsidRPr="000E69BF" w:rsidRDefault="000E69BF" w:rsidP="00DC41A4">
            <w:pPr>
              <w:spacing w:after="220" w:line="360" w:lineRule="auto"/>
              <w:jc w:val="lowKashida"/>
              <w:rPr>
                <w:rFonts w:ascii="Arial" w:eastAsia="Century Schoolbook" w:hAnsi="Arial" w:cs="Arial"/>
                <w:lang w:val="en-US"/>
              </w:rPr>
            </w:pPr>
            <w:r w:rsidRPr="000E69BF">
              <w:rPr>
                <w:rFonts w:ascii="Arial" w:eastAsia="Century Schoolbook" w:hAnsi="Arial" w:cs="Arial"/>
                <w:lang w:val="en-US"/>
              </w:rPr>
              <w:t xml:space="preserve">Amongst the most significant problems of NHS Ambulance Service in England, a rising delay in response time is listed, which has been mainly due to the rising workload </w:t>
            </w:r>
            <w:r w:rsidRPr="000E69BF">
              <w:rPr>
                <w:rFonts w:ascii="Arial" w:eastAsia="Century Schoolbook" w:hAnsi="Arial" w:cs="Arial"/>
                <w:lang w:val="en-US"/>
              </w:rPr>
              <w:lastRenderedPageBreak/>
              <w:t>and the lack of workforce (Naeem et al., 2022). There has also been an increasing number of 999 calls in the last couple of years, with the ambulance trusts often recording unprecedented numbers. NHS England data has recorded that in 2024, only approximately 50% of Category 2 emergencies (e.g. strokes or chest pain) were attended to within the target time of 18 minutes. Staff shortages, sickness absence and high rates of turnover have reduced ambulances availability, leading to longer patients waiting times for urgent care (NHS, 2024).</w:t>
            </w:r>
            <w:bookmarkStart w:id="2" w:name="_Toc213379698"/>
            <w:bookmarkEnd w:id="2"/>
          </w:p>
          <w:p w14:paraId="7024101D" w14:textId="77777777" w:rsidR="000E69BF" w:rsidRPr="000E69BF" w:rsidRDefault="000E69BF" w:rsidP="00DC41A4">
            <w:pPr>
              <w:spacing w:after="220" w:line="360" w:lineRule="auto"/>
              <w:rPr>
                <w:rFonts w:ascii="Arial" w:eastAsia="Century Schoolbook" w:hAnsi="Arial" w:cs="Arial"/>
                <w:b/>
                <w:color w:val="002060"/>
                <w:spacing w:val="10"/>
                <w:lang w:val="en-US"/>
              </w:rPr>
            </w:pPr>
            <w:r w:rsidRPr="000E69BF">
              <w:rPr>
                <w:rFonts w:ascii="Arial" w:eastAsia="Century Schoolbook" w:hAnsi="Arial" w:cs="Arial"/>
                <w:b/>
                <w:color w:val="002060"/>
                <w:spacing w:val="10"/>
                <w:lang w:val="en-US"/>
              </w:rPr>
              <w:t>Non-Urgent Calls and A&amp;E Overcrowding:</w:t>
            </w:r>
          </w:p>
          <w:p w14:paraId="328B0AD8" w14:textId="77777777" w:rsidR="000E69BF" w:rsidRPr="000E69BF" w:rsidRDefault="000E69BF" w:rsidP="00DC41A4">
            <w:pPr>
              <w:spacing w:after="220" w:line="360" w:lineRule="auto"/>
              <w:jc w:val="lowKashida"/>
              <w:rPr>
                <w:rFonts w:ascii="Arial" w:eastAsia="Century Schoolbook" w:hAnsi="Arial" w:cs="Arial"/>
                <w:lang w:val="en-US"/>
              </w:rPr>
            </w:pPr>
            <w:r w:rsidRPr="000E69BF">
              <w:rPr>
                <w:rFonts w:ascii="Arial" w:eastAsia="Century Schoolbook" w:hAnsi="Arial" w:cs="Arial"/>
                <w:lang w:val="en-US"/>
              </w:rPr>
              <w:t xml:space="preserve">The other major concern is the increasing pressure due to the non-emergency calls and over-crowded Accident and Emergency (A&amp;E) departments. A high percentage of 999 calls is discovered to be non-emerging thereby spilling urgent resources on cases which are life threatening. </w:t>
            </w:r>
            <w:r w:rsidRPr="000E69BF">
              <w:rPr>
                <w:rFonts w:ascii="Arial" w:eastAsia="Century Schoolbook" w:hAnsi="Arial" w:cs="Arial"/>
                <w:lang w:val="en-US"/>
              </w:rPr>
              <w:lastRenderedPageBreak/>
              <w:t>Delays in transferring patients to A&amp;E due to beds shortages create a bottleneck, leaving ambulances waiting for long hours (Snooks et al., 2019). These systemic issues still impact on the performance of services and the general safety of patients in the NHS Ambulance system.</w:t>
            </w:r>
          </w:p>
          <w:p w14:paraId="1B2BBFF0" w14:textId="77777777" w:rsidR="000E69BF" w:rsidRPr="000E69BF" w:rsidRDefault="000E69BF" w:rsidP="00DC41A4">
            <w:pPr>
              <w:spacing w:after="220" w:line="360" w:lineRule="auto"/>
              <w:jc w:val="center"/>
              <w:rPr>
                <w:rFonts w:ascii="Arial" w:eastAsia="Century Schoolbook" w:hAnsi="Arial" w:cs="Arial"/>
                <w:b/>
                <w:color w:val="44546A"/>
                <w:spacing w:val="10"/>
                <w:lang w:val="en-US"/>
              </w:rPr>
            </w:pPr>
          </w:p>
          <w:p w14:paraId="786F07E4" w14:textId="77777777" w:rsidR="000E69BF" w:rsidRPr="000E69BF" w:rsidRDefault="000E69BF" w:rsidP="00DC41A4">
            <w:pPr>
              <w:spacing w:after="220" w:line="360" w:lineRule="auto"/>
              <w:jc w:val="lowKashida"/>
              <w:rPr>
                <w:rFonts w:ascii="Arial" w:eastAsia="Century Schoolbook" w:hAnsi="Arial" w:cs="Arial"/>
                <w:lang w:val="en-US"/>
              </w:rPr>
            </w:pPr>
          </w:p>
          <w:p w14:paraId="568EAE63" w14:textId="77777777" w:rsidR="000E69BF" w:rsidRPr="000E69BF" w:rsidRDefault="000E69BF" w:rsidP="00DC41A4">
            <w:pPr>
              <w:spacing w:after="220" w:line="360" w:lineRule="auto"/>
              <w:jc w:val="lowKashida"/>
              <w:rPr>
                <w:rFonts w:ascii="Arial" w:eastAsia="Century Schoolbook" w:hAnsi="Arial" w:cs="Arial"/>
                <w:lang w:val="en-US"/>
              </w:rPr>
            </w:pPr>
          </w:p>
          <w:p w14:paraId="3AC4EFD8" w14:textId="77777777" w:rsidR="000E69BF" w:rsidRPr="000E69BF" w:rsidRDefault="000E69BF" w:rsidP="00DC41A4">
            <w:pPr>
              <w:spacing w:after="220" w:line="360" w:lineRule="auto"/>
              <w:jc w:val="lowKashida"/>
              <w:rPr>
                <w:rFonts w:ascii="Arial" w:eastAsia="Century Schoolbook" w:hAnsi="Arial" w:cs="Arial"/>
                <w:lang w:val="en-US"/>
              </w:rPr>
            </w:pPr>
          </w:p>
        </w:tc>
        <w:tc>
          <w:tcPr>
            <w:tcW w:w="368" w:type="dxa"/>
            <w:vMerge/>
            <w:tcBorders>
              <w:top w:val="single" w:sz="4" w:space="0" w:color="auto"/>
              <w:left w:val="single" w:sz="4" w:space="0" w:color="auto"/>
              <w:bottom w:val="single" w:sz="4" w:space="0" w:color="auto"/>
              <w:right w:val="single" w:sz="4" w:space="0" w:color="auto"/>
            </w:tcBorders>
            <w:vAlign w:val="center"/>
            <w:hideMark/>
          </w:tcPr>
          <w:p w14:paraId="3032102E" w14:textId="77777777" w:rsidR="000E69BF" w:rsidRPr="000E69BF" w:rsidRDefault="000E69BF" w:rsidP="000E69BF">
            <w:pPr>
              <w:spacing w:after="0" w:line="240" w:lineRule="auto"/>
              <w:rPr>
                <w:rFonts w:ascii="Arial" w:eastAsia="Century Schoolbook" w:hAnsi="Arial" w:cs="Arial"/>
                <w:noProof/>
                <w:lang w:val="en-US"/>
              </w:rPr>
            </w:pPr>
          </w:p>
        </w:tc>
        <w:tc>
          <w:tcPr>
            <w:tcW w:w="4692" w:type="dxa"/>
            <w:vMerge/>
            <w:tcBorders>
              <w:top w:val="single" w:sz="4" w:space="0" w:color="auto"/>
              <w:left w:val="single" w:sz="4" w:space="0" w:color="auto"/>
              <w:bottom w:val="single" w:sz="4" w:space="0" w:color="auto"/>
              <w:right w:val="single" w:sz="4" w:space="0" w:color="auto"/>
            </w:tcBorders>
            <w:vAlign w:val="center"/>
            <w:hideMark/>
          </w:tcPr>
          <w:p w14:paraId="0BA37EF8" w14:textId="77777777" w:rsidR="000E69BF" w:rsidRPr="000E69BF" w:rsidRDefault="000E69BF" w:rsidP="000E69BF">
            <w:pPr>
              <w:spacing w:after="0" w:line="240" w:lineRule="auto"/>
              <w:rPr>
                <w:rFonts w:ascii="Arial" w:eastAsia="Century Schoolbook" w:hAnsi="Arial" w:cs="Arial"/>
                <w:lang w:val="en-US"/>
              </w:rPr>
            </w:pPr>
          </w:p>
        </w:tc>
      </w:tr>
    </w:tbl>
    <w:p w14:paraId="3C7A8953" w14:textId="77777777" w:rsidR="000E69BF" w:rsidRPr="000E69BF" w:rsidRDefault="000E69BF" w:rsidP="000E69BF">
      <w:pPr>
        <w:spacing w:after="220" w:line="240" w:lineRule="auto"/>
        <w:rPr>
          <w:rFonts w:ascii="Arial" w:eastAsia="Century Schoolbook" w:hAnsi="Arial" w:cs="Arial"/>
          <w:lang w:val="en-US"/>
        </w:rPr>
      </w:pPr>
    </w:p>
    <w:p w14:paraId="7B00DACD" w14:textId="77777777" w:rsidR="000E69BF" w:rsidRDefault="000E69BF" w:rsidP="000E69BF">
      <w:pPr>
        <w:tabs>
          <w:tab w:val="left" w:pos="2580"/>
        </w:tabs>
        <w:spacing w:after="220" w:line="240" w:lineRule="auto"/>
        <w:rPr>
          <w:rFonts w:ascii="Arial" w:eastAsia="Century Schoolbook" w:hAnsi="Arial" w:cs="Arial"/>
          <w:b/>
          <w:bCs/>
          <w:lang w:val="en-US"/>
        </w:rPr>
      </w:pPr>
    </w:p>
    <w:p w14:paraId="53AAACF0" w14:textId="77777777" w:rsidR="000E69BF" w:rsidRDefault="000E69BF" w:rsidP="000E69BF">
      <w:pPr>
        <w:tabs>
          <w:tab w:val="left" w:pos="2580"/>
        </w:tabs>
        <w:spacing w:after="220" w:line="240" w:lineRule="auto"/>
        <w:rPr>
          <w:rFonts w:ascii="Arial" w:eastAsia="Century Schoolbook" w:hAnsi="Arial" w:cs="Arial"/>
          <w:b/>
          <w:bCs/>
          <w:lang w:val="en-US"/>
        </w:rPr>
      </w:pPr>
    </w:p>
    <w:p w14:paraId="3FE6E190" w14:textId="77777777" w:rsidR="000E69BF" w:rsidRDefault="000E69BF" w:rsidP="000E69BF">
      <w:pPr>
        <w:tabs>
          <w:tab w:val="left" w:pos="2580"/>
        </w:tabs>
        <w:spacing w:after="220" w:line="240" w:lineRule="auto"/>
        <w:rPr>
          <w:rFonts w:ascii="Arial" w:eastAsia="Century Schoolbook" w:hAnsi="Arial" w:cs="Arial"/>
          <w:b/>
          <w:bCs/>
          <w:lang w:val="en-US"/>
        </w:rPr>
      </w:pPr>
    </w:p>
    <w:p w14:paraId="0FE52485" w14:textId="77777777" w:rsidR="000E69BF" w:rsidRDefault="000E69BF" w:rsidP="000E69BF">
      <w:pPr>
        <w:tabs>
          <w:tab w:val="left" w:pos="2580"/>
        </w:tabs>
        <w:spacing w:after="220" w:line="240" w:lineRule="auto"/>
        <w:rPr>
          <w:rFonts w:ascii="Arial" w:eastAsia="Century Schoolbook" w:hAnsi="Arial" w:cs="Arial"/>
          <w:b/>
          <w:bCs/>
          <w:lang w:val="en-US"/>
        </w:rPr>
      </w:pPr>
    </w:p>
    <w:p w14:paraId="50467FF8" w14:textId="77777777" w:rsidR="000E69BF" w:rsidRDefault="000E69BF" w:rsidP="000E69BF">
      <w:pPr>
        <w:tabs>
          <w:tab w:val="left" w:pos="2580"/>
        </w:tabs>
        <w:spacing w:after="220" w:line="240" w:lineRule="auto"/>
        <w:rPr>
          <w:rFonts w:ascii="Arial" w:eastAsia="Century Schoolbook" w:hAnsi="Arial" w:cs="Arial"/>
          <w:b/>
          <w:bCs/>
          <w:lang w:val="en-US"/>
        </w:rPr>
      </w:pPr>
    </w:p>
    <w:p w14:paraId="3E829E22" w14:textId="77777777" w:rsidR="000E69BF" w:rsidRDefault="000E69BF" w:rsidP="000E69BF">
      <w:pPr>
        <w:tabs>
          <w:tab w:val="left" w:pos="2580"/>
        </w:tabs>
        <w:spacing w:after="220" w:line="240" w:lineRule="auto"/>
        <w:rPr>
          <w:rFonts w:ascii="Arial" w:eastAsia="Century Schoolbook" w:hAnsi="Arial" w:cs="Arial"/>
          <w:b/>
          <w:bCs/>
          <w:lang w:val="en-US"/>
        </w:rPr>
      </w:pPr>
    </w:p>
    <w:p w14:paraId="7E32330F" w14:textId="77777777" w:rsidR="000E69BF" w:rsidRDefault="000E69BF" w:rsidP="000E69BF">
      <w:pPr>
        <w:tabs>
          <w:tab w:val="left" w:pos="2580"/>
        </w:tabs>
        <w:spacing w:after="220" w:line="240" w:lineRule="auto"/>
        <w:rPr>
          <w:rFonts w:ascii="Arial" w:eastAsia="Century Schoolbook" w:hAnsi="Arial" w:cs="Arial"/>
          <w:b/>
          <w:bCs/>
          <w:lang w:val="en-US"/>
        </w:rPr>
      </w:pPr>
    </w:p>
    <w:p w14:paraId="62CAA10E" w14:textId="77777777" w:rsidR="000E69BF" w:rsidRDefault="000E69BF" w:rsidP="000E69BF">
      <w:pPr>
        <w:tabs>
          <w:tab w:val="left" w:pos="2580"/>
        </w:tabs>
        <w:spacing w:after="220" w:line="240" w:lineRule="auto"/>
        <w:rPr>
          <w:rFonts w:ascii="Arial" w:eastAsia="Century Schoolbook" w:hAnsi="Arial" w:cs="Arial"/>
          <w:b/>
          <w:bCs/>
          <w:lang w:val="en-US"/>
        </w:rPr>
      </w:pPr>
    </w:p>
    <w:p w14:paraId="723774FB" w14:textId="77777777" w:rsidR="000E69BF" w:rsidRDefault="000E69BF" w:rsidP="000E69BF">
      <w:pPr>
        <w:tabs>
          <w:tab w:val="left" w:pos="2580"/>
        </w:tabs>
        <w:spacing w:after="220" w:line="240" w:lineRule="auto"/>
        <w:rPr>
          <w:rFonts w:ascii="Arial" w:eastAsia="Century Schoolbook" w:hAnsi="Arial" w:cs="Arial"/>
          <w:b/>
          <w:bCs/>
          <w:lang w:val="en-US"/>
        </w:rPr>
      </w:pPr>
    </w:p>
    <w:p w14:paraId="27688267" w14:textId="77777777" w:rsidR="000E69BF" w:rsidRDefault="000E69BF" w:rsidP="000E69BF">
      <w:pPr>
        <w:tabs>
          <w:tab w:val="left" w:pos="2580"/>
        </w:tabs>
        <w:spacing w:after="220" w:line="240" w:lineRule="auto"/>
        <w:rPr>
          <w:rFonts w:ascii="Arial" w:eastAsia="Century Schoolbook" w:hAnsi="Arial" w:cs="Arial"/>
          <w:b/>
          <w:bCs/>
          <w:lang w:val="en-US"/>
        </w:rPr>
      </w:pPr>
    </w:p>
    <w:p w14:paraId="3DF36FE2" w14:textId="77777777" w:rsidR="000E69BF" w:rsidRDefault="000E69BF" w:rsidP="000E69BF">
      <w:pPr>
        <w:tabs>
          <w:tab w:val="left" w:pos="2580"/>
        </w:tabs>
        <w:spacing w:after="220" w:line="240" w:lineRule="auto"/>
        <w:rPr>
          <w:rFonts w:ascii="Arial" w:eastAsia="Century Schoolbook" w:hAnsi="Arial" w:cs="Arial"/>
          <w:b/>
          <w:bCs/>
          <w:lang w:val="en-US"/>
        </w:rPr>
      </w:pPr>
    </w:p>
    <w:p w14:paraId="168B66B2" w14:textId="77777777" w:rsidR="000E69BF" w:rsidRDefault="000E69BF" w:rsidP="000E69BF">
      <w:pPr>
        <w:tabs>
          <w:tab w:val="left" w:pos="2580"/>
        </w:tabs>
        <w:spacing w:after="220" w:line="240" w:lineRule="auto"/>
        <w:rPr>
          <w:rFonts w:ascii="Arial" w:eastAsia="Century Schoolbook" w:hAnsi="Arial" w:cs="Arial"/>
          <w:b/>
          <w:bCs/>
          <w:lang w:val="en-US"/>
        </w:rPr>
      </w:pPr>
    </w:p>
    <w:p w14:paraId="0758B8A7" w14:textId="77777777" w:rsidR="000E69BF" w:rsidRDefault="000E69BF" w:rsidP="000E69BF">
      <w:pPr>
        <w:tabs>
          <w:tab w:val="left" w:pos="2580"/>
        </w:tabs>
        <w:spacing w:after="220" w:line="240" w:lineRule="auto"/>
        <w:rPr>
          <w:rFonts w:ascii="Arial" w:eastAsia="Century Schoolbook" w:hAnsi="Arial" w:cs="Arial"/>
          <w:b/>
          <w:bCs/>
          <w:lang w:val="en-US"/>
        </w:rPr>
      </w:pPr>
    </w:p>
    <w:p w14:paraId="63F737CE" w14:textId="77777777" w:rsidR="000E69BF" w:rsidRDefault="000E69BF" w:rsidP="000E69BF">
      <w:pPr>
        <w:tabs>
          <w:tab w:val="left" w:pos="2580"/>
        </w:tabs>
        <w:spacing w:after="220" w:line="240" w:lineRule="auto"/>
        <w:rPr>
          <w:rFonts w:ascii="Arial" w:eastAsia="Century Schoolbook" w:hAnsi="Arial" w:cs="Arial"/>
          <w:b/>
          <w:bCs/>
          <w:lang w:val="en-US"/>
        </w:rPr>
      </w:pPr>
    </w:p>
    <w:p w14:paraId="02FAEFF1" w14:textId="77777777" w:rsidR="00374C75" w:rsidRDefault="00374C75" w:rsidP="000E69BF">
      <w:pPr>
        <w:tabs>
          <w:tab w:val="left" w:pos="2580"/>
        </w:tabs>
        <w:spacing w:after="220" w:line="240" w:lineRule="auto"/>
        <w:rPr>
          <w:rFonts w:ascii="Arial" w:eastAsia="Century Schoolbook" w:hAnsi="Arial" w:cs="Arial"/>
          <w:b/>
          <w:bCs/>
          <w:lang w:val="en-US"/>
        </w:rPr>
      </w:pPr>
    </w:p>
    <w:p w14:paraId="272E3C5D" w14:textId="77777777" w:rsidR="00374C75" w:rsidRDefault="00374C75" w:rsidP="000E69BF">
      <w:pPr>
        <w:tabs>
          <w:tab w:val="left" w:pos="2580"/>
        </w:tabs>
        <w:spacing w:after="220" w:line="240" w:lineRule="auto"/>
        <w:rPr>
          <w:rFonts w:ascii="Arial" w:eastAsia="Century Schoolbook" w:hAnsi="Arial" w:cs="Arial"/>
          <w:b/>
          <w:bCs/>
          <w:lang w:val="en-US"/>
        </w:rPr>
      </w:pPr>
    </w:p>
    <w:p w14:paraId="43F3022E" w14:textId="4F6B73B8" w:rsidR="000E69BF" w:rsidRPr="000E69BF" w:rsidRDefault="000E69BF" w:rsidP="000E69BF">
      <w:pPr>
        <w:tabs>
          <w:tab w:val="left" w:pos="2580"/>
        </w:tabs>
        <w:spacing w:after="220" w:line="240" w:lineRule="auto"/>
        <w:rPr>
          <w:rFonts w:ascii="Arial" w:eastAsia="Century Schoolbook" w:hAnsi="Arial" w:cs="Arial"/>
          <w:b/>
          <w:bCs/>
          <w:lang w:val="en-US"/>
        </w:rPr>
      </w:pPr>
      <w:r w:rsidRPr="000E69BF">
        <w:rPr>
          <w:rFonts w:ascii="Arial" w:eastAsia="Century Schoolbook" w:hAnsi="Arial" w:cs="Arial"/>
          <w:b/>
          <w:bCs/>
          <w:lang w:val="en-US"/>
        </w:rPr>
        <w:t>References:</w:t>
      </w:r>
      <w:r w:rsidR="007042D1">
        <w:rPr>
          <w:rFonts w:ascii="Arial" w:eastAsia="Century Schoolbook" w:hAnsi="Arial" w:cs="Arial"/>
          <w:b/>
          <w:bCs/>
          <w:lang w:val="en-US"/>
        </w:rPr>
        <w:t xml:space="preserve"> </w:t>
      </w:r>
    </w:p>
    <w:p w14:paraId="5CA76E0F"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AACE (2023) Delayed hospital handovers: Impact assessment of patient ... Available at: </w:t>
      </w:r>
      <w:hyperlink r:id="rId12" w:history="1">
        <w:r w:rsidRPr="000E69BF">
          <w:rPr>
            <w:rFonts w:ascii="Arial" w:eastAsia="Century Schoolbook" w:hAnsi="Arial" w:cs="Arial"/>
            <w:color w:val="0563C1"/>
            <w:u w:val="single"/>
            <w:lang w:val="en-US" w:eastAsia="en-GB"/>
          </w:rPr>
          <w:t>https://aace.org.uk/wp-content/uploads/2021/11/AACE-Delayed-hospital-handovers-Impact-assessment-of-patient-harm-FINAL-Nov-2021.pdf</w:t>
        </w:r>
      </w:hyperlink>
      <w:r w:rsidRPr="000E69BF">
        <w:rPr>
          <w:rFonts w:ascii="Arial" w:eastAsia="Times New Roman" w:hAnsi="Arial" w:cs="Arial"/>
          <w:lang w:val="en-US" w:eastAsia="en-GB"/>
        </w:rPr>
        <w:t xml:space="preserve"> (Accessed: 06 November 2025).</w:t>
      </w:r>
    </w:p>
    <w:p w14:paraId="1E361D01"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Alex bradson (2025) Ambulance handover delays, Nuffield Trust. Available at: </w:t>
      </w:r>
      <w:hyperlink r:id="rId13" w:history="1">
        <w:r w:rsidRPr="000E69BF">
          <w:rPr>
            <w:rFonts w:ascii="Arial" w:eastAsia="Century Schoolbook" w:hAnsi="Arial" w:cs="Arial"/>
            <w:color w:val="0563C1"/>
            <w:u w:val="single"/>
            <w:lang w:val="en-US" w:eastAsia="en-GB"/>
          </w:rPr>
          <w:t>https://www.nuffieldtrust.org.uk/resource/ambulance-handover-delays</w:t>
        </w:r>
      </w:hyperlink>
      <w:r w:rsidRPr="000E69BF">
        <w:rPr>
          <w:rFonts w:ascii="Arial" w:eastAsia="Times New Roman" w:hAnsi="Arial" w:cs="Arial"/>
          <w:lang w:val="en-US" w:eastAsia="en-GB"/>
        </w:rPr>
        <w:t xml:space="preserve"> (Accessed: 07 November 2025).</w:t>
      </w:r>
    </w:p>
    <w:p w14:paraId="1D0363E4"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AmbSYS (2019) NHS choices. Available at: </w:t>
      </w:r>
      <w:hyperlink r:id="rId14" w:history="1">
        <w:r w:rsidRPr="000E69BF">
          <w:rPr>
            <w:rFonts w:ascii="Arial" w:eastAsia="Century Schoolbook" w:hAnsi="Arial" w:cs="Arial"/>
            <w:color w:val="0563C1"/>
            <w:u w:val="single"/>
            <w:lang w:val="en-US" w:eastAsia="en-GB"/>
          </w:rPr>
          <w:t>https://www.england.nhs.uk/statistics/statistical-work-areas/ambulance-quality-indicators/</w:t>
        </w:r>
      </w:hyperlink>
      <w:r w:rsidRPr="000E69BF">
        <w:rPr>
          <w:rFonts w:ascii="Arial" w:eastAsia="Times New Roman" w:hAnsi="Arial" w:cs="Arial"/>
          <w:lang w:val="en-US" w:eastAsia="en-GB"/>
        </w:rPr>
        <w:t xml:space="preserve"> (Accessed: 06 November 2025).</w:t>
      </w:r>
    </w:p>
    <w:p w14:paraId="16B8AD28"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Eaton, G. (2023). Addressing the challenges facing the paramedic profession in the United Kingdom. British Medical Bulletin, 148(1), 70-78. Available at: </w:t>
      </w:r>
      <w:hyperlink r:id="rId15" w:history="1">
        <w:r w:rsidRPr="000E69BF">
          <w:rPr>
            <w:rFonts w:ascii="Arial" w:eastAsia="Century Schoolbook" w:hAnsi="Arial" w:cs="Arial"/>
            <w:color w:val="0563C1"/>
            <w:u w:val="single"/>
            <w:lang w:val="en-US" w:eastAsia="en-GB"/>
          </w:rPr>
          <w:t>https://doi.org/10.1093/bmb/ldad024</w:t>
        </w:r>
      </w:hyperlink>
      <w:r w:rsidRPr="000E69BF">
        <w:rPr>
          <w:rFonts w:ascii="Arial" w:eastAsia="Times New Roman" w:hAnsi="Arial" w:cs="Arial"/>
          <w:lang w:val="en-US" w:eastAsia="en-GB"/>
        </w:rPr>
        <w:t xml:space="preserve"> (Accessed: 07 November 2025).</w:t>
      </w:r>
    </w:p>
    <w:p w14:paraId="45D784A3"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Khan, N. (2022). Ambulance response times: the NHS’s falling house of cards. The British Journal of General Practice, 72(722), 436.</w:t>
      </w:r>
      <w:r w:rsidRPr="000E69BF">
        <w:rPr>
          <w:rFonts w:ascii="Arial" w:eastAsia="Century Schoolbook" w:hAnsi="Arial" w:cs="Arial"/>
          <w:lang w:val="en-US"/>
        </w:rPr>
        <w:t xml:space="preserve"> </w:t>
      </w:r>
      <w:r w:rsidRPr="000E69BF">
        <w:rPr>
          <w:rFonts w:ascii="Arial" w:eastAsia="Times New Roman" w:hAnsi="Arial" w:cs="Arial"/>
          <w:lang w:val="en-US" w:eastAsia="en-GB"/>
        </w:rPr>
        <w:t xml:space="preserve">Available at: doi: </w:t>
      </w:r>
      <w:hyperlink r:id="rId16" w:history="1">
        <w:r w:rsidRPr="000E69BF">
          <w:rPr>
            <w:rFonts w:ascii="Arial" w:eastAsia="Century Schoolbook" w:hAnsi="Arial" w:cs="Arial"/>
            <w:color w:val="0563C1"/>
            <w:u w:val="single"/>
            <w:lang w:val="en-US" w:eastAsia="en-GB"/>
          </w:rPr>
          <w:t>https://10.3399/bjgp22X720605</w:t>
        </w:r>
      </w:hyperlink>
      <w:r w:rsidRPr="000E69BF">
        <w:rPr>
          <w:rFonts w:ascii="Arial" w:eastAsia="Times New Roman" w:hAnsi="Arial" w:cs="Arial"/>
          <w:lang w:val="en-US" w:eastAsia="en-GB"/>
        </w:rPr>
        <w:t>.</w:t>
      </w:r>
    </w:p>
    <w:p w14:paraId="78084863"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Naeem, S., Edmunds, C., Hirst, T., Williams, J., Alzarrad, A., Ronaldson, J., ... &amp; Network, P. T. O. R. (2022). A national survey of prehospital care services of United Kingdom for use, governance and perception of prehospital point of care ultrasound. POCUS journal, 7(2), 232. Available at: doi: </w:t>
      </w:r>
      <w:hyperlink r:id="rId17" w:history="1">
        <w:r w:rsidRPr="000E69BF">
          <w:rPr>
            <w:rFonts w:ascii="Arial" w:eastAsia="Century Schoolbook" w:hAnsi="Arial" w:cs="Arial"/>
            <w:color w:val="0563C1"/>
            <w:u w:val="single"/>
            <w:lang w:val="en-US" w:eastAsia="en-GB"/>
          </w:rPr>
          <w:t>https://10.24908/pocus.v7i2.15739</w:t>
        </w:r>
      </w:hyperlink>
      <w:r w:rsidRPr="000E69BF">
        <w:rPr>
          <w:rFonts w:ascii="Arial" w:eastAsia="Times New Roman" w:hAnsi="Arial" w:cs="Arial"/>
          <w:lang w:val="en-US" w:eastAsia="en-GB"/>
        </w:rPr>
        <w:t xml:space="preserve"> (Accessed: 07 November 2025).</w:t>
      </w:r>
    </w:p>
    <w:p w14:paraId="70CE02BC"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 xml:space="preserve">NHS (2024) NHS choices. Available at: </w:t>
      </w:r>
      <w:hyperlink r:id="rId18" w:history="1">
        <w:r w:rsidRPr="000E69BF">
          <w:rPr>
            <w:rFonts w:ascii="Arial" w:eastAsia="Century Schoolbook" w:hAnsi="Arial" w:cs="Arial"/>
            <w:color w:val="0563C1"/>
            <w:u w:val="single"/>
            <w:lang w:val="en-US" w:eastAsia="en-GB"/>
          </w:rPr>
          <w:t>https://www.england.nhs.uk/long-read/monthly-operational-statistics-september-2024</w:t>
        </w:r>
      </w:hyperlink>
      <w:r w:rsidRPr="000E69BF">
        <w:rPr>
          <w:rFonts w:ascii="Arial" w:eastAsia="Times New Roman" w:hAnsi="Arial" w:cs="Arial"/>
          <w:lang w:val="en-US" w:eastAsia="en-GB"/>
        </w:rPr>
        <w:t xml:space="preserve"> (Accessed: 06 November 2025).</w:t>
      </w:r>
    </w:p>
    <w:p w14:paraId="0394886D" w14:textId="77777777" w:rsidR="000E69BF" w:rsidRDefault="000E69BF" w:rsidP="000E69BF">
      <w:pPr>
        <w:tabs>
          <w:tab w:val="left" w:pos="2580"/>
        </w:tabs>
        <w:spacing w:after="220" w:line="240" w:lineRule="auto"/>
        <w:rPr>
          <w:rFonts w:ascii="Arial" w:eastAsia="Times New Roman" w:hAnsi="Arial" w:cs="Arial"/>
          <w:lang w:val="en-US" w:eastAsia="en-GB"/>
        </w:rPr>
      </w:pPr>
      <w:bookmarkStart w:id="3" w:name="_Toc213379700"/>
    </w:p>
    <w:p w14:paraId="214E9DBA" w14:textId="77777777" w:rsidR="00374C75" w:rsidRDefault="00374C75" w:rsidP="000E69BF">
      <w:pPr>
        <w:tabs>
          <w:tab w:val="left" w:pos="2580"/>
        </w:tabs>
        <w:spacing w:after="220" w:line="240" w:lineRule="auto"/>
        <w:rPr>
          <w:rFonts w:ascii="Arial" w:eastAsia="Times New Roman" w:hAnsi="Arial" w:cs="Arial"/>
          <w:lang w:val="en-US" w:eastAsia="en-GB"/>
        </w:rPr>
      </w:pPr>
    </w:p>
    <w:p w14:paraId="2B55844C" w14:textId="77777777" w:rsidR="00374C75" w:rsidRDefault="00374C75" w:rsidP="000E69BF">
      <w:pPr>
        <w:tabs>
          <w:tab w:val="left" w:pos="2580"/>
        </w:tabs>
        <w:spacing w:after="220" w:line="240" w:lineRule="auto"/>
        <w:rPr>
          <w:rFonts w:ascii="Arial" w:eastAsia="Times New Roman" w:hAnsi="Arial" w:cs="Arial"/>
          <w:lang w:val="en-US" w:eastAsia="en-GB"/>
        </w:rPr>
      </w:pPr>
    </w:p>
    <w:p w14:paraId="2EC12F67" w14:textId="77777777" w:rsidR="00374C75" w:rsidRDefault="00374C75" w:rsidP="000E69BF">
      <w:pPr>
        <w:tabs>
          <w:tab w:val="left" w:pos="2580"/>
        </w:tabs>
        <w:spacing w:after="220" w:line="240" w:lineRule="auto"/>
        <w:rPr>
          <w:rFonts w:ascii="Arial" w:eastAsia="Times New Roman" w:hAnsi="Arial" w:cs="Arial"/>
          <w:lang w:val="en-US" w:eastAsia="en-GB"/>
        </w:rPr>
      </w:pPr>
    </w:p>
    <w:p w14:paraId="0A134A00" w14:textId="77777777" w:rsidR="00374C75" w:rsidRDefault="00374C75" w:rsidP="000E69BF">
      <w:pPr>
        <w:tabs>
          <w:tab w:val="left" w:pos="2580"/>
        </w:tabs>
        <w:spacing w:after="220" w:line="240" w:lineRule="auto"/>
        <w:rPr>
          <w:rFonts w:ascii="Arial" w:eastAsia="Times New Roman" w:hAnsi="Arial" w:cs="Arial"/>
          <w:lang w:val="en-US" w:eastAsia="en-GB"/>
        </w:rPr>
      </w:pPr>
    </w:p>
    <w:p w14:paraId="30FAD9A1" w14:textId="77777777" w:rsidR="00374C75" w:rsidRDefault="00374C75" w:rsidP="000E69BF">
      <w:pPr>
        <w:tabs>
          <w:tab w:val="left" w:pos="2580"/>
        </w:tabs>
        <w:spacing w:after="220" w:line="240" w:lineRule="auto"/>
        <w:rPr>
          <w:rFonts w:ascii="Arial" w:eastAsia="Times New Roman" w:hAnsi="Arial" w:cs="Arial"/>
          <w:lang w:val="en-US" w:eastAsia="en-GB"/>
        </w:rPr>
      </w:pPr>
    </w:p>
    <w:p w14:paraId="7EA04B4B" w14:textId="77777777" w:rsidR="00374C75" w:rsidRDefault="00374C75" w:rsidP="000E69BF">
      <w:pPr>
        <w:tabs>
          <w:tab w:val="left" w:pos="2580"/>
        </w:tabs>
        <w:spacing w:after="220" w:line="240" w:lineRule="auto"/>
        <w:rPr>
          <w:rFonts w:ascii="Arial" w:eastAsia="Times New Roman" w:hAnsi="Arial" w:cs="Arial"/>
          <w:lang w:val="en-US" w:eastAsia="en-GB"/>
        </w:rPr>
      </w:pPr>
    </w:p>
    <w:p w14:paraId="43E95CE3" w14:textId="77777777" w:rsidR="00374C75" w:rsidRDefault="00374C75" w:rsidP="000E69BF">
      <w:pPr>
        <w:tabs>
          <w:tab w:val="left" w:pos="2580"/>
        </w:tabs>
        <w:spacing w:after="220" w:line="240" w:lineRule="auto"/>
        <w:rPr>
          <w:rFonts w:ascii="Arial" w:eastAsia="Times New Roman" w:hAnsi="Arial" w:cs="Arial"/>
          <w:lang w:val="en-US" w:eastAsia="en-GB"/>
        </w:rPr>
      </w:pPr>
    </w:p>
    <w:p w14:paraId="2F01C677" w14:textId="77777777" w:rsidR="00374C75" w:rsidRDefault="00374C75" w:rsidP="000E69BF">
      <w:pPr>
        <w:tabs>
          <w:tab w:val="left" w:pos="2580"/>
        </w:tabs>
        <w:spacing w:after="220" w:line="240" w:lineRule="auto"/>
        <w:rPr>
          <w:rFonts w:ascii="Arial" w:eastAsia="Times New Roman" w:hAnsi="Arial" w:cs="Arial"/>
          <w:lang w:val="en-US" w:eastAsia="en-GB"/>
        </w:rPr>
      </w:pPr>
    </w:p>
    <w:p w14:paraId="74ECAB45" w14:textId="77777777" w:rsidR="00374C75" w:rsidRDefault="00374C75" w:rsidP="000E69BF">
      <w:pPr>
        <w:tabs>
          <w:tab w:val="left" w:pos="2580"/>
        </w:tabs>
        <w:spacing w:after="220" w:line="240" w:lineRule="auto"/>
        <w:rPr>
          <w:rFonts w:ascii="Arial" w:eastAsia="Century Schoolbook" w:hAnsi="Arial" w:cs="Arial"/>
          <w:b/>
          <w:bCs/>
          <w:lang w:val="en-US"/>
        </w:rPr>
      </w:pPr>
    </w:p>
    <w:p w14:paraId="32ED639A" w14:textId="77777777" w:rsidR="000E69BF" w:rsidRDefault="000E69BF" w:rsidP="000E69BF">
      <w:pPr>
        <w:tabs>
          <w:tab w:val="left" w:pos="2580"/>
        </w:tabs>
        <w:spacing w:after="220" w:line="240" w:lineRule="auto"/>
        <w:rPr>
          <w:rFonts w:ascii="Arial" w:eastAsia="Century Schoolbook" w:hAnsi="Arial" w:cs="Arial"/>
          <w:b/>
          <w:bCs/>
          <w:lang w:val="en-US"/>
        </w:rPr>
      </w:pPr>
    </w:p>
    <w:p w14:paraId="67C305FC" w14:textId="77777777" w:rsidR="000E69BF" w:rsidRDefault="000E69BF" w:rsidP="000E69BF">
      <w:pPr>
        <w:tabs>
          <w:tab w:val="left" w:pos="2580"/>
        </w:tabs>
        <w:spacing w:after="220" w:line="240" w:lineRule="auto"/>
        <w:rPr>
          <w:rFonts w:ascii="Arial" w:eastAsia="Century Schoolbook" w:hAnsi="Arial" w:cs="Arial"/>
          <w:b/>
          <w:bCs/>
          <w:lang w:val="en-US"/>
        </w:rPr>
      </w:pPr>
    </w:p>
    <w:p w14:paraId="2DF89980" w14:textId="77777777" w:rsidR="000E69BF" w:rsidRDefault="000E69BF" w:rsidP="000E69BF">
      <w:pPr>
        <w:tabs>
          <w:tab w:val="left" w:pos="2580"/>
        </w:tabs>
        <w:spacing w:after="220" w:line="240" w:lineRule="auto"/>
        <w:rPr>
          <w:rFonts w:ascii="Arial" w:eastAsia="Century Schoolbook" w:hAnsi="Arial" w:cs="Arial"/>
          <w:b/>
          <w:bCs/>
          <w:lang w:val="en-US"/>
        </w:rPr>
      </w:pPr>
    </w:p>
    <w:p w14:paraId="7F3DD833" w14:textId="3FC970C9" w:rsidR="000E69BF" w:rsidRPr="000E69BF" w:rsidRDefault="000E69BF" w:rsidP="000E69BF">
      <w:pPr>
        <w:tabs>
          <w:tab w:val="left" w:pos="2580"/>
        </w:tabs>
        <w:spacing w:after="220" w:line="360" w:lineRule="auto"/>
        <w:rPr>
          <w:rFonts w:ascii="Arial" w:eastAsia="Century Schoolbook" w:hAnsi="Arial" w:cs="Arial"/>
          <w:b/>
          <w:bCs/>
          <w:lang w:val="en-US"/>
        </w:rPr>
      </w:pPr>
      <w:r w:rsidRPr="000E69BF">
        <w:rPr>
          <w:rFonts w:ascii="Arial" w:eastAsia="Century Schoolbook" w:hAnsi="Arial" w:cs="Arial"/>
          <w:b/>
          <w:bCs/>
          <w:lang w:val="en-US"/>
        </w:rPr>
        <w:t>Task 2: Essay</w:t>
      </w:r>
      <w:bookmarkEnd w:id="3"/>
      <w:r w:rsidRPr="000E69BF">
        <w:rPr>
          <w:rFonts w:ascii="Arial" w:eastAsia="Century Schoolbook" w:hAnsi="Arial" w:cs="Arial"/>
          <w:b/>
          <w:bCs/>
          <w:lang w:val="en-US"/>
        </w:rPr>
        <w:t xml:space="preserve"> </w:t>
      </w:r>
    </w:p>
    <w:p w14:paraId="029C1850" w14:textId="77777777" w:rsidR="000E69BF" w:rsidRPr="000E69BF" w:rsidRDefault="000E69BF" w:rsidP="000E69BF">
      <w:pPr>
        <w:tabs>
          <w:tab w:val="left" w:pos="2580"/>
        </w:tabs>
        <w:spacing w:after="220" w:line="360" w:lineRule="auto"/>
        <w:rPr>
          <w:rFonts w:ascii="Arial" w:eastAsia="Century Schoolbook" w:hAnsi="Arial" w:cs="Arial"/>
          <w:b/>
          <w:bCs/>
          <w:lang w:val="en-US"/>
        </w:rPr>
      </w:pPr>
      <w:bookmarkStart w:id="4" w:name="_Toc213379701"/>
      <w:r w:rsidRPr="000E69BF">
        <w:rPr>
          <w:rFonts w:ascii="Arial" w:eastAsia="Century Schoolbook" w:hAnsi="Arial" w:cs="Arial"/>
          <w:b/>
          <w:bCs/>
          <w:lang w:val="en-US"/>
        </w:rPr>
        <w:t>Introduction</w:t>
      </w:r>
      <w:bookmarkEnd w:id="4"/>
    </w:p>
    <w:p w14:paraId="395D6B3D" w14:textId="77777777" w:rsidR="000E69BF" w:rsidRPr="000E69BF" w:rsidRDefault="000E69BF" w:rsidP="000E69BF">
      <w:pPr>
        <w:spacing w:before="100" w:beforeAutospacing="1" w:after="100" w:afterAutospacing="1" w:line="360" w:lineRule="auto"/>
        <w:ind w:firstLine="720"/>
        <w:jc w:val="lowKashida"/>
        <w:rPr>
          <w:rFonts w:ascii="Arial" w:eastAsia="Times New Roman" w:hAnsi="Arial" w:cs="Arial"/>
          <w:lang w:val="en-US" w:eastAsia="en-GB"/>
        </w:rPr>
      </w:pPr>
      <w:r w:rsidRPr="000E69BF">
        <w:rPr>
          <w:rFonts w:ascii="Arial" w:eastAsia="Times New Roman" w:hAnsi="Arial" w:cs="Arial"/>
          <w:lang w:val="en-US" w:eastAsia="en-GB"/>
        </w:rPr>
        <w:t>The National Health Service (NHS) was formed in 1948 and was formed on the basis of offering universal healthcare to all the citizens of the United Kingdom and doing so without charge. The NHS was designed on the basis of equality in access to medical care and thus it was designed based on the need principle of healthcare and did not rely on the ability to afford healthcare (Alderwick, Ham and Buck, 2019). It is one of the most important social reforms in the British history, which intended to improve and enhance the well-being of the people and their health is a priority.</w:t>
      </w:r>
    </w:p>
    <w:p w14:paraId="4FE7C327" w14:textId="77777777" w:rsidR="000E69BF" w:rsidRPr="000E69BF" w:rsidRDefault="000E69BF" w:rsidP="000E69BF">
      <w:pPr>
        <w:tabs>
          <w:tab w:val="left" w:pos="2580"/>
        </w:tabs>
        <w:spacing w:after="220" w:line="360" w:lineRule="auto"/>
        <w:rPr>
          <w:rFonts w:ascii="Arial" w:eastAsia="Century Schoolbook" w:hAnsi="Arial" w:cs="Arial"/>
          <w:b/>
          <w:bCs/>
          <w:lang w:val="en-US"/>
        </w:rPr>
      </w:pPr>
      <w:bookmarkStart w:id="5" w:name="_Toc213379702"/>
      <w:r w:rsidRPr="000E69BF">
        <w:rPr>
          <w:rFonts w:ascii="Arial" w:eastAsia="Century Schoolbook" w:hAnsi="Arial" w:cs="Arial"/>
          <w:b/>
          <w:bCs/>
          <w:lang w:val="en-US"/>
        </w:rPr>
        <w:t>Origins of the NHS</w:t>
      </w:r>
      <w:bookmarkEnd w:id="5"/>
      <w:r w:rsidRPr="000E69BF">
        <w:rPr>
          <w:rFonts w:ascii="Arial" w:eastAsia="Century Schoolbook" w:hAnsi="Arial" w:cs="Arial"/>
          <w:b/>
          <w:bCs/>
          <w:lang w:val="en-US"/>
        </w:rPr>
        <w:t xml:space="preserve"> </w:t>
      </w:r>
    </w:p>
    <w:p w14:paraId="09367E4C" w14:textId="77777777" w:rsidR="000E69BF" w:rsidRPr="000E69BF" w:rsidRDefault="000E69BF" w:rsidP="000E69BF">
      <w:pPr>
        <w:spacing w:before="100" w:beforeAutospacing="1" w:after="100" w:afterAutospacing="1" w:line="360" w:lineRule="auto"/>
        <w:ind w:firstLine="720"/>
        <w:jc w:val="lowKashida"/>
        <w:rPr>
          <w:rFonts w:ascii="Arial" w:eastAsia="Times New Roman" w:hAnsi="Arial" w:cs="Arial"/>
          <w:lang w:val="en-US" w:eastAsia="en-GB"/>
        </w:rPr>
      </w:pPr>
      <w:r w:rsidRPr="000E69BF">
        <w:rPr>
          <w:rFonts w:ascii="Arial" w:eastAsia="Times New Roman" w:hAnsi="Arial" w:cs="Arial"/>
          <w:lang w:val="en-US" w:eastAsia="en-GB"/>
        </w:rPr>
        <w:t>The history of the National Health Service (NHS) can be followed back to the Beveridge Report of 1942 that determined the necessity to address the five giants of want, disease, ignorance, squalor and idleness. The aftermath of the Second World War experienced poverty and ill health in Britain and this fact led to the emergence of the necessity of a state-funded medical system that all people would have access to (Bayliss, 2022). The post-war Labour government then replied by making the NHS formally on 5 July 1948, under the chairmanship of Minister of Health Aneurin Bevan.  This saw the formation of a single healthcare service that was tax funded and accessible to all citizens irrespective of their earnings (Goodair and Reeves, 2022). The BBC archives and the NHS digital library shed light on how this project revolutionised the situation in the United Kingdom, moving the system of voluntary and local authority hospitals to a national system. The NHS creation was not only an indication of social advancement but also the British government has aimed to enhance the overall health and wellbeing to locals all over the country.</w:t>
      </w:r>
    </w:p>
    <w:p w14:paraId="0A97D5E5" w14:textId="77777777" w:rsidR="000E69BF" w:rsidRPr="000E69BF" w:rsidRDefault="000E69BF" w:rsidP="000E69BF">
      <w:pPr>
        <w:tabs>
          <w:tab w:val="left" w:pos="2580"/>
        </w:tabs>
        <w:spacing w:after="220" w:line="360" w:lineRule="auto"/>
        <w:rPr>
          <w:rFonts w:ascii="Arial" w:eastAsia="Century Schoolbook" w:hAnsi="Arial" w:cs="Arial"/>
          <w:b/>
          <w:bCs/>
          <w:lang w:val="en-US"/>
        </w:rPr>
      </w:pPr>
      <w:bookmarkStart w:id="6" w:name="_Toc213379703"/>
      <w:r w:rsidRPr="000E69BF">
        <w:rPr>
          <w:rFonts w:ascii="Arial" w:eastAsia="Century Schoolbook" w:hAnsi="Arial" w:cs="Arial"/>
          <w:b/>
          <w:bCs/>
          <w:lang w:val="en-US"/>
        </w:rPr>
        <w:t>Current Structure of the NHS</w:t>
      </w:r>
      <w:bookmarkEnd w:id="6"/>
    </w:p>
    <w:p w14:paraId="7DF57313" w14:textId="77777777" w:rsidR="000E69BF" w:rsidRPr="000E69BF" w:rsidRDefault="000E69BF" w:rsidP="000E69BF">
      <w:pPr>
        <w:spacing w:before="100" w:beforeAutospacing="1" w:after="100" w:afterAutospacing="1" w:line="360" w:lineRule="auto"/>
        <w:ind w:firstLine="720"/>
        <w:jc w:val="lowKashida"/>
        <w:rPr>
          <w:rFonts w:ascii="Arial" w:eastAsia="Times New Roman" w:hAnsi="Arial" w:cs="Arial"/>
          <w:lang w:val="en-US" w:eastAsia="en-GB"/>
        </w:rPr>
      </w:pPr>
      <w:r w:rsidRPr="000E69BF">
        <w:rPr>
          <w:rFonts w:ascii="Arial" w:eastAsia="Times New Roman" w:hAnsi="Arial" w:cs="Arial"/>
          <w:lang w:val="en-US" w:eastAsia="en-GB"/>
        </w:rPr>
        <w:t xml:space="preserve">The existing organisation of the National Health Service (NHS) in England is carried out in the framework of a holistic organisation system that should provide efficient and equal healthcare to the population of the country. Health policy, financial distribution, and strategic </w:t>
      </w:r>
      <w:r w:rsidRPr="000E69BF">
        <w:rPr>
          <w:rFonts w:ascii="Arial" w:eastAsia="Times New Roman" w:hAnsi="Arial" w:cs="Arial"/>
          <w:lang w:val="en-US" w:eastAsia="en-GB"/>
        </w:rPr>
        <w:lastRenderedPageBreak/>
        <w:t xml:space="preserve">intent are the key areas of responsibility of the Department of Health and Social Care that are managed by NHS England (Lalani et al., 2024). The planning and resource allocation in the local area to make sure the services address the local health needs are organised by Integrated Care Boards (ICBs) introduced by the reforms of the Integrated Care System (ICS) in 2022 as the organisation below NHS England. The boards liaise with local NHS trusts, providers of community services, and local authorities in providing joined-up care (Corrigan et al., 2024). </w:t>
      </w:r>
    </w:p>
    <w:p w14:paraId="4C4CABA5" w14:textId="77777777" w:rsidR="000E69BF" w:rsidRPr="000E69BF" w:rsidRDefault="000E69BF" w:rsidP="000E69BF">
      <w:pPr>
        <w:spacing w:before="100" w:beforeAutospacing="1" w:after="100" w:afterAutospacing="1" w:line="360" w:lineRule="auto"/>
        <w:ind w:firstLine="720"/>
        <w:jc w:val="lowKashida"/>
        <w:rPr>
          <w:rFonts w:ascii="Arial" w:eastAsia="Times New Roman" w:hAnsi="Arial" w:cs="Arial"/>
          <w:lang w:val="en-US" w:eastAsia="en-GB"/>
        </w:rPr>
      </w:pPr>
      <w:r w:rsidRPr="000E69BF">
        <w:rPr>
          <w:rFonts w:ascii="Arial" w:eastAsia="Times New Roman" w:hAnsi="Arial" w:cs="Arial"/>
          <w:lang w:val="en-US" w:eastAsia="en-GB"/>
        </w:rPr>
        <w:t xml:space="preserve">The ambulance services and the regional ambulance trusts constitute an essential section of the commissioning system of the NHS England making the emergency response and patient transport services readily available and well controlled.  With the NHS Long Term Plan is to there has been a modernization aspect that has led to enhancement of digital connectedness, community-based care, and hospital pressures by providing integrated service delivery (Charlesworth and Raymond, 2025). The advent of the electronic patient records, telemedicine, and digital triage have improved service coordination between services including general practice, hospitals, and emergency services. </w:t>
      </w:r>
    </w:p>
    <w:p w14:paraId="3461A9A4" w14:textId="77777777" w:rsidR="000E69BF" w:rsidRPr="000E69BF" w:rsidRDefault="000E69BF" w:rsidP="000E69BF">
      <w:pPr>
        <w:tabs>
          <w:tab w:val="left" w:pos="2580"/>
        </w:tabs>
        <w:spacing w:after="220" w:line="360" w:lineRule="auto"/>
        <w:rPr>
          <w:rFonts w:ascii="Arial" w:eastAsia="Century Schoolbook" w:hAnsi="Arial" w:cs="Arial"/>
          <w:b/>
          <w:bCs/>
          <w:lang w:val="en-US"/>
        </w:rPr>
      </w:pPr>
      <w:bookmarkStart w:id="7" w:name="_Toc213379704"/>
      <w:r w:rsidRPr="000E69BF">
        <w:rPr>
          <w:rFonts w:ascii="Arial" w:eastAsia="Century Schoolbook" w:hAnsi="Arial" w:cs="Arial"/>
          <w:b/>
          <w:bCs/>
          <w:lang w:val="en-US"/>
        </w:rPr>
        <w:t xml:space="preserve">Impact of Structural Changes on NHS </w:t>
      </w:r>
      <w:bookmarkEnd w:id="7"/>
      <w:r w:rsidRPr="000E69BF">
        <w:rPr>
          <w:rFonts w:ascii="Arial" w:eastAsia="Century Schoolbook" w:hAnsi="Arial" w:cs="Arial"/>
          <w:b/>
          <w:bCs/>
          <w:lang w:val="en-US"/>
        </w:rPr>
        <w:t xml:space="preserve">Efficiency </w:t>
      </w:r>
    </w:p>
    <w:p w14:paraId="21B5C41C" w14:textId="77777777" w:rsidR="000E69BF" w:rsidRPr="000E69BF" w:rsidRDefault="000E69BF" w:rsidP="000E69BF">
      <w:pPr>
        <w:spacing w:before="100" w:beforeAutospacing="1" w:after="100" w:afterAutospacing="1" w:line="360" w:lineRule="auto"/>
        <w:ind w:firstLine="720"/>
        <w:jc w:val="lowKashida"/>
        <w:rPr>
          <w:rFonts w:ascii="Arial" w:eastAsia="Century Schoolbook" w:hAnsi="Arial" w:cs="Arial"/>
          <w:lang w:val="en-US"/>
        </w:rPr>
      </w:pPr>
      <w:r w:rsidRPr="000E69BF">
        <w:rPr>
          <w:rFonts w:ascii="Arial" w:eastAsia="Century Schoolbook" w:hAnsi="Arial" w:cs="Arial"/>
          <w:lang w:val="en-US"/>
        </w:rPr>
        <w:t xml:space="preserve">The reforms in the NHS have presented both the advances and obstacles in terms of service delivery and efficiency. Although the ICS </w:t>
      </w:r>
      <w:r w:rsidRPr="000E69BF">
        <w:rPr>
          <w:rFonts w:ascii="Arial" w:eastAsia="Times New Roman" w:hAnsi="Arial" w:cs="Arial"/>
          <w:lang w:val="en-US" w:eastAsia="en-GB"/>
        </w:rPr>
        <w:t>framework</w:t>
      </w:r>
      <w:r w:rsidRPr="000E69BF">
        <w:rPr>
          <w:rFonts w:ascii="Arial" w:eastAsia="Century Schoolbook" w:hAnsi="Arial" w:cs="Arial"/>
          <w:lang w:val="en-US"/>
        </w:rPr>
        <w:t xml:space="preserve"> has improved interdependence amongst services by integrating them, the current funding pressures and staffing shortage still remain a weakness in performance (Snow and Whitecross, 2022). Raised the administrative requirements and workload, which has impacted the staff morale and patient outcomes. The stability between efficiency and quality care is one of the most important issues that allow maintaining the founding principles of the NHS (Gibbons, 2025).</w:t>
      </w:r>
    </w:p>
    <w:p w14:paraId="55311D3E" w14:textId="77777777" w:rsidR="000E69BF" w:rsidRPr="000E69BF" w:rsidRDefault="000E69BF" w:rsidP="000E69BF">
      <w:pPr>
        <w:tabs>
          <w:tab w:val="left" w:pos="2580"/>
        </w:tabs>
        <w:spacing w:after="220" w:line="360" w:lineRule="auto"/>
        <w:rPr>
          <w:rFonts w:ascii="Arial" w:eastAsia="Century Schoolbook" w:hAnsi="Arial" w:cs="Arial"/>
          <w:b/>
          <w:bCs/>
          <w:lang w:val="en-US"/>
        </w:rPr>
      </w:pPr>
      <w:bookmarkStart w:id="8" w:name="_Toc213379705"/>
      <w:r w:rsidRPr="000E69BF">
        <w:rPr>
          <w:rFonts w:ascii="Arial" w:eastAsia="Century Schoolbook" w:hAnsi="Arial" w:cs="Arial"/>
          <w:b/>
          <w:bCs/>
          <w:lang w:val="en-US"/>
        </w:rPr>
        <w:t>Conclusion</w:t>
      </w:r>
      <w:bookmarkEnd w:id="8"/>
    </w:p>
    <w:p w14:paraId="583BC0C5" w14:textId="77777777" w:rsidR="000E69BF" w:rsidRPr="000E69BF" w:rsidRDefault="000E69BF" w:rsidP="000E69BF">
      <w:pPr>
        <w:spacing w:before="100" w:beforeAutospacing="1" w:after="100" w:afterAutospacing="1" w:line="360" w:lineRule="auto"/>
        <w:ind w:firstLine="720"/>
        <w:jc w:val="lowKashida"/>
        <w:rPr>
          <w:rFonts w:ascii="Arial" w:eastAsia="Century Schoolbook" w:hAnsi="Arial" w:cs="Arial"/>
          <w:lang w:val="en-US"/>
        </w:rPr>
      </w:pPr>
      <w:r w:rsidRPr="000E69BF">
        <w:rPr>
          <w:rFonts w:ascii="Arial" w:eastAsia="Century Schoolbook" w:hAnsi="Arial" w:cs="Arial"/>
          <w:lang w:val="en-US"/>
        </w:rPr>
        <w:t>The National Health Service has developed its roots in 1948 and has turned out to become a modern, integrated healthcare system that still reflects the values of universality, equality, and free access. The NHS has overcome financial, structural, and workforce issues but it is still a pillar of the British society. Its provision of fair healthcare has made sure that each citizen is accorded quality treatment irrespective of their social or economic status.</w:t>
      </w:r>
    </w:p>
    <w:p w14:paraId="075F18F7" w14:textId="77777777" w:rsidR="000E69BF" w:rsidRPr="000E69BF" w:rsidRDefault="000E69BF" w:rsidP="000E69BF">
      <w:pPr>
        <w:spacing w:before="100" w:beforeAutospacing="1" w:after="100" w:afterAutospacing="1" w:line="360" w:lineRule="auto"/>
        <w:ind w:firstLine="720"/>
        <w:jc w:val="lowKashida"/>
        <w:rPr>
          <w:rFonts w:ascii="Arial" w:eastAsia="Century Schoolbook" w:hAnsi="Arial" w:cs="Arial"/>
          <w:lang w:val="en-US"/>
        </w:rPr>
      </w:pPr>
    </w:p>
    <w:p w14:paraId="7C7CC205" w14:textId="77777777" w:rsidR="000E69BF" w:rsidRDefault="000E69BF" w:rsidP="000E69BF">
      <w:pPr>
        <w:tabs>
          <w:tab w:val="left" w:pos="2580"/>
        </w:tabs>
        <w:spacing w:after="220" w:line="240" w:lineRule="auto"/>
        <w:rPr>
          <w:rFonts w:ascii="Arial" w:eastAsia="Century Schoolbook" w:hAnsi="Arial" w:cs="Arial"/>
          <w:b/>
          <w:bCs/>
          <w:lang w:val="en-US"/>
        </w:rPr>
      </w:pPr>
    </w:p>
    <w:p w14:paraId="0EFA37BE" w14:textId="77777777" w:rsidR="000E69BF" w:rsidRDefault="000E69BF" w:rsidP="000E69BF">
      <w:pPr>
        <w:tabs>
          <w:tab w:val="left" w:pos="2580"/>
        </w:tabs>
        <w:spacing w:after="220" w:line="240" w:lineRule="auto"/>
        <w:rPr>
          <w:rFonts w:ascii="Arial" w:eastAsia="Century Schoolbook" w:hAnsi="Arial" w:cs="Arial"/>
          <w:b/>
          <w:bCs/>
          <w:lang w:val="en-US"/>
        </w:rPr>
      </w:pPr>
    </w:p>
    <w:p w14:paraId="1B42CFF6" w14:textId="77777777" w:rsidR="000E69BF" w:rsidRDefault="000E69BF" w:rsidP="000E69BF">
      <w:pPr>
        <w:tabs>
          <w:tab w:val="left" w:pos="2580"/>
        </w:tabs>
        <w:spacing w:after="220" w:line="240" w:lineRule="auto"/>
        <w:rPr>
          <w:rFonts w:ascii="Arial" w:eastAsia="Century Schoolbook" w:hAnsi="Arial" w:cs="Arial"/>
          <w:b/>
          <w:bCs/>
          <w:lang w:val="en-US"/>
        </w:rPr>
      </w:pPr>
    </w:p>
    <w:p w14:paraId="029F699A" w14:textId="77777777" w:rsidR="000E69BF" w:rsidRDefault="000E69BF" w:rsidP="000E69BF">
      <w:pPr>
        <w:tabs>
          <w:tab w:val="left" w:pos="2580"/>
        </w:tabs>
        <w:spacing w:after="220" w:line="240" w:lineRule="auto"/>
        <w:rPr>
          <w:rFonts w:ascii="Arial" w:eastAsia="Century Schoolbook" w:hAnsi="Arial" w:cs="Arial"/>
          <w:b/>
          <w:bCs/>
          <w:lang w:val="en-US"/>
        </w:rPr>
      </w:pPr>
    </w:p>
    <w:p w14:paraId="2837EFB9" w14:textId="77777777" w:rsidR="000E69BF" w:rsidRDefault="000E69BF" w:rsidP="000E69BF">
      <w:pPr>
        <w:tabs>
          <w:tab w:val="left" w:pos="2580"/>
        </w:tabs>
        <w:spacing w:after="220" w:line="240" w:lineRule="auto"/>
        <w:rPr>
          <w:rFonts w:ascii="Arial" w:eastAsia="Century Schoolbook" w:hAnsi="Arial" w:cs="Arial"/>
          <w:b/>
          <w:bCs/>
          <w:lang w:val="en-US"/>
        </w:rPr>
      </w:pPr>
    </w:p>
    <w:p w14:paraId="664D7593" w14:textId="4C670BAE" w:rsidR="000E69BF" w:rsidRPr="000E69BF" w:rsidRDefault="000E69BF" w:rsidP="000E69BF">
      <w:pPr>
        <w:tabs>
          <w:tab w:val="left" w:pos="2580"/>
        </w:tabs>
        <w:spacing w:after="220" w:line="240" w:lineRule="auto"/>
        <w:rPr>
          <w:rFonts w:ascii="Arial" w:eastAsia="Century Schoolbook" w:hAnsi="Arial" w:cs="Arial"/>
          <w:b/>
          <w:bCs/>
          <w:lang w:val="en-US"/>
        </w:rPr>
      </w:pPr>
      <w:r w:rsidRPr="000E69BF">
        <w:rPr>
          <w:rFonts w:ascii="Arial" w:eastAsia="Century Schoolbook" w:hAnsi="Arial" w:cs="Arial"/>
          <w:b/>
          <w:bCs/>
          <w:lang w:val="en-US"/>
        </w:rPr>
        <w:t>References:</w:t>
      </w:r>
    </w:p>
    <w:p w14:paraId="44A46AEF" w14:textId="77777777" w:rsidR="000E69BF" w:rsidRPr="000E69BF" w:rsidRDefault="000E69BF" w:rsidP="000E69BF">
      <w:pPr>
        <w:spacing w:before="100" w:beforeAutospacing="1" w:after="100" w:afterAutospacing="1" w:line="240" w:lineRule="auto"/>
        <w:ind w:left="720" w:hanging="720"/>
        <w:jc w:val="lowKashida"/>
        <w:rPr>
          <w:rFonts w:ascii="Arial" w:eastAsia="Times New Roman" w:hAnsi="Arial" w:cs="Arial"/>
          <w:lang w:val="en-US" w:eastAsia="en-GB"/>
        </w:rPr>
      </w:pPr>
      <w:r w:rsidRPr="000E69BF">
        <w:rPr>
          <w:rFonts w:ascii="Arial" w:eastAsia="Times New Roman" w:hAnsi="Arial" w:cs="Arial"/>
          <w:lang w:val="en-US" w:eastAsia="en-GB"/>
        </w:rPr>
        <w:t>Alderwick, H., Ham, C. &amp; Buck, D. (2019) ‘The NHS Long Term Plan’, BMJ, 364:l84. Available at: long-read/analysis of the Long-Term Plan.</w:t>
      </w:r>
      <w:r w:rsidRPr="000E69BF">
        <w:rPr>
          <w:rFonts w:ascii="Arial" w:eastAsia="Century Schoolbook" w:hAnsi="Arial" w:cs="Arial"/>
          <w:lang w:val="en-US"/>
        </w:rPr>
        <w:t xml:space="preserve"> </w:t>
      </w:r>
      <w:hyperlink r:id="rId19" w:history="1">
        <w:r w:rsidRPr="000E69BF">
          <w:rPr>
            <w:rFonts w:ascii="Arial" w:eastAsia="Century Schoolbook" w:hAnsi="Arial" w:cs="Arial"/>
            <w:color w:val="0563C1"/>
            <w:u w:val="single"/>
            <w:lang w:val="en-US" w:eastAsia="en-GB"/>
          </w:rPr>
          <w:t>https://www.bmj.com/content/364/bmj.l84</w:t>
        </w:r>
      </w:hyperlink>
      <w:r w:rsidRPr="000E69BF">
        <w:rPr>
          <w:rFonts w:ascii="Arial" w:eastAsia="Times New Roman" w:hAnsi="Arial" w:cs="Arial"/>
          <w:lang w:val="en-US" w:eastAsia="en-GB"/>
        </w:rPr>
        <w:t xml:space="preserve"> (Accessed: 07 November 2025).</w:t>
      </w:r>
    </w:p>
    <w:p w14:paraId="119770E0" w14:textId="77777777" w:rsidR="000E69BF" w:rsidRPr="000E69BF" w:rsidRDefault="000E69BF" w:rsidP="000E69BF">
      <w:pPr>
        <w:spacing w:before="100" w:beforeAutospacing="1" w:after="100" w:afterAutospacing="1" w:line="240" w:lineRule="auto"/>
        <w:ind w:left="720" w:hanging="720"/>
        <w:jc w:val="lowKashida"/>
        <w:rPr>
          <w:rFonts w:ascii="Arial" w:eastAsia="Century Schoolbook" w:hAnsi="Arial" w:cs="Arial"/>
          <w:color w:val="222222"/>
          <w:shd w:val="clear" w:color="auto" w:fill="FFFFFF"/>
          <w:lang w:val="en-US"/>
        </w:rPr>
      </w:pPr>
      <w:r w:rsidRPr="000E69BF">
        <w:rPr>
          <w:rFonts w:ascii="Arial" w:eastAsia="Century Schoolbook" w:hAnsi="Arial" w:cs="Arial"/>
          <w:color w:val="222222"/>
          <w:shd w:val="clear" w:color="auto" w:fill="FFFFFF"/>
          <w:lang w:val="en-US"/>
        </w:rPr>
        <w:t xml:space="preserve">Charlesworth, A., &amp; Raymond, A. (2025). Affording the NHS: estimating demand pressures and the options for addressing the challenge of fiscal sustainability. Oxford Review of Economic Policy, 41(1), 195-212. Available at: </w:t>
      </w:r>
      <w:hyperlink r:id="rId20" w:history="1">
        <w:r w:rsidRPr="000E69BF">
          <w:rPr>
            <w:rFonts w:ascii="Arial" w:eastAsia="Century Schoolbook" w:hAnsi="Arial" w:cs="Arial"/>
            <w:color w:val="0563C1"/>
            <w:u w:val="single"/>
            <w:shd w:val="clear" w:color="auto" w:fill="FFFFFF"/>
            <w:lang w:val="en-US"/>
          </w:rPr>
          <w:t>https://doi.org/10.1093/oxrep/graf009</w:t>
        </w:r>
      </w:hyperlink>
      <w:r w:rsidRPr="000E69BF">
        <w:rPr>
          <w:rFonts w:ascii="Arial" w:eastAsia="Century Schoolbook" w:hAnsi="Arial" w:cs="Arial"/>
          <w:color w:val="222222"/>
          <w:shd w:val="clear" w:color="auto" w:fill="FFFFFF"/>
          <w:lang w:val="en-US"/>
        </w:rPr>
        <w:t xml:space="preserve"> (Accessed: 07 November 2025).</w:t>
      </w:r>
    </w:p>
    <w:p w14:paraId="79D1EE67" w14:textId="77777777" w:rsidR="000E69BF" w:rsidRPr="000E69BF" w:rsidRDefault="000E69BF" w:rsidP="000E69BF">
      <w:pPr>
        <w:spacing w:before="100" w:beforeAutospacing="1" w:after="100" w:afterAutospacing="1" w:line="240" w:lineRule="auto"/>
        <w:ind w:left="720" w:hanging="720"/>
        <w:jc w:val="lowKashida"/>
        <w:rPr>
          <w:rFonts w:ascii="Arial" w:eastAsia="Century Schoolbook" w:hAnsi="Arial" w:cs="Arial"/>
          <w:color w:val="222222"/>
          <w:shd w:val="clear" w:color="auto" w:fill="FFFFFF"/>
          <w:lang w:val="en-US"/>
        </w:rPr>
      </w:pPr>
      <w:r w:rsidRPr="000E69BF">
        <w:rPr>
          <w:rFonts w:ascii="Arial" w:eastAsia="Century Schoolbook" w:hAnsi="Arial" w:cs="Arial"/>
          <w:color w:val="222222"/>
          <w:shd w:val="clear" w:color="auto" w:fill="FFFFFF"/>
          <w:lang w:val="en-US"/>
        </w:rPr>
        <w:t>Corrigan, O., Danielsen, S., Doherty, S., &amp; Lane, P. (2024). Integrated care systems in England: the significance of collaborative community assets in promoting and sustaining health and wellbeing. </w:t>
      </w:r>
      <w:r w:rsidRPr="000E69BF">
        <w:rPr>
          <w:rFonts w:ascii="Arial" w:eastAsia="Century Schoolbook" w:hAnsi="Arial" w:cs="Arial"/>
          <w:i/>
          <w:iCs/>
          <w:color w:val="222222"/>
          <w:shd w:val="clear" w:color="auto" w:fill="FFFFFF"/>
          <w:lang w:val="en-US"/>
        </w:rPr>
        <w:t>Frontiers in Sociology</w:t>
      </w:r>
      <w:r w:rsidRPr="000E69BF">
        <w:rPr>
          <w:rFonts w:ascii="Arial" w:eastAsia="Century Schoolbook" w:hAnsi="Arial" w:cs="Arial"/>
          <w:color w:val="222222"/>
          <w:shd w:val="clear" w:color="auto" w:fill="FFFFFF"/>
          <w:lang w:val="en-US"/>
        </w:rPr>
        <w:t>, </w:t>
      </w:r>
      <w:r w:rsidRPr="000E69BF">
        <w:rPr>
          <w:rFonts w:ascii="Arial" w:eastAsia="Century Schoolbook" w:hAnsi="Arial" w:cs="Arial"/>
          <w:i/>
          <w:iCs/>
          <w:color w:val="222222"/>
          <w:shd w:val="clear" w:color="auto" w:fill="FFFFFF"/>
          <w:lang w:val="en-US"/>
        </w:rPr>
        <w:t>9</w:t>
      </w:r>
      <w:r w:rsidRPr="000E69BF">
        <w:rPr>
          <w:rFonts w:ascii="Arial" w:eastAsia="Century Schoolbook" w:hAnsi="Arial" w:cs="Arial"/>
          <w:color w:val="222222"/>
          <w:shd w:val="clear" w:color="auto" w:fill="FFFFFF"/>
          <w:lang w:val="en-US"/>
        </w:rPr>
        <w:t xml:space="preserve">, 1355215. Available at: </w:t>
      </w:r>
      <w:hyperlink r:id="rId21" w:history="1">
        <w:r w:rsidRPr="000E69BF">
          <w:rPr>
            <w:rFonts w:ascii="Arial" w:eastAsia="Century Schoolbook" w:hAnsi="Arial" w:cs="Arial"/>
            <w:color w:val="0563C1"/>
            <w:u w:val="single"/>
            <w:shd w:val="clear" w:color="auto" w:fill="FFFFFF"/>
            <w:lang w:val="en-US"/>
          </w:rPr>
          <w:t>https://doi.org/10.3389/fsoc.2024.1355215</w:t>
        </w:r>
      </w:hyperlink>
      <w:r w:rsidRPr="000E69BF">
        <w:rPr>
          <w:rFonts w:ascii="Arial" w:eastAsia="Century Schoolbook" w:hAnsi="Arial" w:cs="Arial"/>
          <w:color w:val="222222"/>
          <w:shd w:val="clear" w:color="auto" w:fill="FFFFFF"/>
          <w:lang w:val="en-US"/>
        </w:rPr>
        <w:t xml:space="preserve"> (Accessed: 07 November 2025).</w:t>
      </w:r>
    </w:p>
    <w:p w14:paraId="05B3EBFE" w14:textId="77777777" w:rsidR="000E69BF" w:rsidRPr="000E69BF" w:rsidRDefault="000E69BF" w:rsidP="000E69BF">
      <w:pPr>
        <w:spacing w:before="100" w:beforeAutospacing="1" w:after="100" w:afterAutospacing="1" w:line="240" w:lineRule="auto"/>
        <w:ind w:left="720" w:hanging="720"/>
        <w:jc w:val="lowKashida"/>
        <w:rPr>
          <w:rFonts w:ascii="Arial" w:eastAsia="Century Schoolbook" w:hAnsi="Arial" w:cs="Arial"/>
          <w:color w:val="222222"/>
          <w:shd w:val="clear" w:color="auto" w:fill="FFFFFF"/>
          <w:lang w:val="en-US"/>
        </w:rPr>
      </w:pPr>
      <w:r w:rsidRPr="000E69BF">
        <w:rPr>
          <w:rFonts w:ascii="Arial" w:eastAsia="Century Schoolbook" w:hAnsi="Arial" w:cs="Arial"/>
          <w:color w:val="222222"/>
          <w:shd w:val="clear" w:color="auto" w:fill="FFFFFF"/>
          <w:lang w:val="en-US"/>
        </w:rPr>
        <w:t>Gibbons, R. (2025). The ‘Impossibility’of working in the current NHS: sacrifice to a primitive god. </w:t>
      </w:r>
      <w:r w:rsidRPr="000E69BF">
        <w:rPr>
          <w:rFonts w:ascii="Arial" w:eastAsia="Century Schoolbook" w:hAnsi="Arial" w:cs="Arial"/>
          <w:i/>
          <w:iCs/>
          <w:color w:val="222222"/>
          <w:shd w:val="clear" w:color="auto" w:fill="FFFFFF"/>
          <w:lang w:val="en-US"/>
        </w:rPr>
        <w:t>Psychoanalytic Psychotherapy</w:t>
      </w:r>
      <w:r w:rsidRPr="000E69BF">
        <w:rPr>
          <w:rFonts w:ascii="Arial" w:eastAsia="Century Schoolbook" w:hAnsi="Arial" w:cs="Arial"/>
          <w:color w:val="222222"/>
          <w:shd w:val="clear" w:color="auto" w:fill="FFFFFF"/>
          <w:lang w:val="en-US"/>
        </w:rPr>
        <w:t xml:space="preserve">, 1-11. Available at: </w:t>
      </w:r>
      <w:hyperlink r:id="rId22" w:history="1">
        <w:r w:rsidRPr="000E69BF">
          <w:rPr>
            <w:rFonts w:ascii="Arial" w:eastAsia="Century Schoolbook" w:hAnsi="Arial" w:cs="Arial"/>
            <w:color w:val="0563C1"/>
            <w:u w:val="single"/>
            <w:shd w:val="clear" w:color="auto" w:fill="FFFFFF"/>
            <w:lang w:val="en-US"/>
          </w:rPr>
          <w:t>https://doi.org/10.1080/02668734.2025.2490626</w:t>
        </w:r>
      </w:hyperlink>
      <w:r w:rsidRPr="000E69BF">
        <w:rPr>
          <w:rFonts w:ascii="Arial" w:eastAsia="Century Schoolbook" w:hAnsi="Arial" w:cs="Arial"/>
          <w:color w:val="222222"/>
          <w:shd w:val="clear" w:color="auto" w:fill="FFFFFF"/>
          <w:lang w:val="en-US"/>
        </w:rPr>
        <w:t xml:space="preserve"> (Accessed: 07 November 2025).</w:t>
      </w:r>
    </w:p>
    <w:p w14:paraId="62712B70" w14:textId="77777777" w:rsidR="000E69BF" w:rsidRPr="000E69BF" w:rsidRDefault="000E69BF" w:rsidP="000E69BF">
      <w:pPr>
        <w:spacing w:before="100" w:beforeAutospacing="1" w:after="100" w:afterAutospacing="1" w:line="240" w:lineRule="auto"/>
        <w:ind w:left="720" w:hanging="720"/>
        <w:jc w:val="lowKashida"/>
        <w:rPr>
          <w:rFonts w:ascii="Arial" w:eastAsia="Century Schoolbook" w:hAnsi="Arial" w:cs="Arial"/>
          <w:color w:val="222222"/>
          <w:shd w:val="clear" w:color="auto" w:fill="FFFFFF"/>
          <w:lang w:val="en-US"/>
        </w:rPr>
      </w:pPr>
      <w:r w:rsidRPr="000E69BF">
        <w:rPr>
          <w:rFonts w:ascii="Arial" w:eastAsia="Century Schoolbook" w:hAnsi="Arial" w:cs="Arial"/>
          <w:color w:val="222222"/>
          <w:shd w:val="clear" w:color="auto" w:fill="FFFFFF"/>
          <w:lang w:val="en-US"/>
        </w:rPr>
        <w:t xml:space="preserve">Goodair, B., &amp; Reeves, A. (2022). Outsourcing health-care services to the private sector and treatable mortality rates in England, 2013–20: an observational study of NHS privatisation. The Lancet Public Health, 7(7), e638-e646. Available at: DOI: </w:t>
      </w:r>
      <w:hyperlink r:id="rId23" w:history="1">
        <w:r w:rsidRPr="000E69BF">
          <w:rPr>
            <w:rFonts w:ascii="Arial" w:eastAsia="Century Schoolbook" w:hAnsi="Arial" w:cs="Arial"/>
            <w:color w:val="0563C1"/>
            <w:u w:val="single"/>
            <w:shd w:val="clear" w:color="auto" w:fill="FFFFFF"/>
            <w:lang w:val="en-US"/>
          </w:rPr>
          <w:t>https://10.1016/S2468-2667(22)00133-5</w:t>
        </w:r>
      </w:hyperlink>
      <w:r w:rsidRPr="000E69BF">
        <w:rPr>
          <w:rFonts w:ascii="Arial" w:eastAsia="Century Schoolbook" w:hAnsi="Arial" w:cs="Arial"/>
          <w:color w:val="222222"/>
          <w:shd w:val="clear" w:color="auto" w:fill="FFFFFF"/>
          <w:lang w:val="en-US"/>
        </w:rPr>
        <w:t xml:space="preserve"> (Accessed: 07 November 2025).</w:t>
      </w:r>
    </w:p>
    <w:p w14:paraId="4C7890F1" w14:textId="77777777" w:rsidR="000E69BF" w:rsidRPr="000E69BF" w:rsidRDefault="000E69BF" w:rsidP="000E69BF">
      <w:pPr>
        <w:spacing w:before="100" w:beforeAutospacing="1" w:after="100" w:afterAutospacing="1" w:line="240" w:lineRule="auto"/>
        <w:ind w:left="720" w:hanging="720"/>
        <w:jc w:val="lowKashida"/>
        <w:rPr>
          <w:rFonts w:ascii="Arial" w:eastAsia="Century Schoolbook" w:hAnsi="Arial" w:cs="Arial"/>
          <w:color w:val="222222"/>
          <w:shd w:val="clear" w:color="auto" w:fill="FFFFFF"/>
          <w:lang w:val="en-US"/>
        </w:rPr>
      </w:pPr>
      <w:r w:rsidRPr="000E69BF">
        <w:rPr>
          <w:rFonts w:ascii="Arial" w:eastAsia="Century Schoolbook" w:hAnsi="Arial" w:cs="Arial"/>
          <w:color w:val="222222"/>
          <w:shd w:val="clear" w:color="auto" w:fill="FFFFFF"/>
          <w:lang w:val="en-US"/>
        </w:rPr>
        <w:t xml:space="preserve">Snow, S. J., &amp; Whitecross, A. F. (2022). Making history together: the UK’s National Health Service and the story of our lives since 1948. Contemporary British History, 36(3), 403-429. Available at: </w:t>
      </w:r>
      <w:hyperlink r:id="rId24" w:history="1">
        <w:r w:rsidRPr="000E69BF">
          <w:rPr>
            <w:rFonts w:ascii="Arial" w:eastAsia="Century Schoolbook" w:hAnsi="Arial" w:cs="Arial"/>
            <w:color w:val="0563C1"/>
            <w:u w:val="single"/>
            <w:shd w:val="clear" w:color="auto" w:fill="FFFFFF"/>
            <w:lang w:val="en-US"/>
          </w:rPr>
          <w:t>https://doi.org/10.1080/13619462.2022.2045199</w:t>
        </w:r>
      </w:hyperlink>
      <w:r w:rsidRPr="000E69BF">
        <w:rPr>
          <w:rFonts w:ascii="Arial" w:eastAsia="Century Schoolbook" w:hAnsi="Arial" w:cs="Arial"/>
          <w:color w:val="222222"/>
          <w:shd w:val="clear" w:color="auto" w:fill="FFFFFF"/>
          <w:lang w:val="en-US"/>
        </w:rPr>
        <w:t xml:space="preserve"> (Accessed: 07 November 2025).</w:t>
      </w:r>
    </w:p>
    <w:p w14:paraId="1D341D55" w14:textId="77777777" w:rsidR="00BD74B3" w:rsidRPr="000E69BF" w:rsidRDefault="00BD74B3">
      <w:pPr>
        <w:rPr>
          <w:lang w:val="en-US"/>
        </w:rPr>
      </w:pPr>
    </w:p>
    <w:sectPr w:rsidR="00BD74B3" w:rsidRPr="000E69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13F77" w14:textId="77777777" w:rsidR="00BB28FA" w:rsidRDefault="00BB28FA" w:rsidP="00F178DD">
      <w:pPr>
        <w:spacing w:after="0" w:line="240" w:lineRule="auto"/>
      </w:pPr>
      <w:r>
        <w:separator/>
      </w:r>
    </w:p>
  </w:endnote>
  <w:endnote w:type="continuationSeparator" w:id="0">
    <w:p w14:paraId="6359A923" w14:textId="77777777" w:rsidR="00BB28FA" w:rsidRDefault="00BB28FA" w:rsidP="00F17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9419D" w14:textId="77777777" w:rsidR="00BB28FA" w:rsidRDefault="00BB28FA" w:rsidP="00F178DD">
      <w:pPr>
        <w:spacing w:after="0" w:line="240" w:lineRule="auto"/>
      </w:pPr>
      <w:r>
        <w:separator/>
      </w:r>
    </w:p>
  </w:footnote>
  <w:footnote w:type="continuationSeparator" w:id="0">
    <w:p w14:paraId="0172C00A" w14:textId="77777777" w:rsidR="00BB28FA" w:rsidRDefault="00BB28FA" w:rsidP="00F178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BF"/>
    <w:rsid w:val="00031AE5"/>
    <w:rsid w:val="000B6F34"/>
    <w:rsid w:val="000E69BF"/>
    <w:rsid w:val="00123872"/>
    <w:rsid w:val="001C11C7"/>
    <w:rsid w:val="00374C75"/>
    <w:rsid w:val="00386758"/>
    <w:rsid w:val="00443543"/>
    <w:rsid w:val="004613BB"/>
    <w:rsid w:val="004747B1"/>
    <w:rsid w:val="00592F4B"/>
    <w:rsid w:val="005960E4"/>
    <w:rsid w:val="00666F40"/>
    <w:rsid w:val="007042D1"/>
    <w:rsid w:val="00767842"/>
    <w:rsid w:val="00783B99"/>
    <w:rsid w:val="0085032C"/>
    <w:rsid w:val="00886D9B"/>
    <w:rsid w:val="008B3DA5"/>
    <w:rsid w:val="009B4074"/>
    <w:rsid w:val="00B438EE"/>
    <w:rsid w:val="00B5033F"/>
    <w:rsid w:val="00BB28FA"/>
    <w:rsid w:val="00BD74B3"/>
    <w:rsid w:val="00C408A3"/>
    <w:rsid w:val="00CF552C"/>
    <w:rsid w:val="00D11821"/>
    <w:rsid w:val="00D21EFA"/>
    <w:rsid w:val="00D644E2"/>
    <w:rsid w:val="00D7367A"/>
    <w:rsid w:val="00DC41A4"/>
    <w:rsid w:val="00E578A4"/>
    <w:rsid w:val="00EA30B1"/>
    <w:rsid w:val="00F1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EB8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9B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E69B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E69B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E69B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E69B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E6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9B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E69B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E69B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E69B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E69B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E6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9BF"/>
    <w:rPr>
      <w:rFonts w:eastAsiaTheme="majorEastAsia" w:cstheme="majorBidi"/>
      <w:color w:val="272727" w:themeColor="text1" w:themeTint="D8"/>
    </w:rPr>
  </w:style>
  <w:style w:type="paragraph" w:styleId="Title">
    <w:name w:val="Title"/>
    <w:basedOn w:val="Normal"/>
    <w:next w:val="Normal"/>
    <w:link w:val="TitleChar"/>
    <w:uiPriority w:val="10"/>
    <w:qFormat/>
    <w:rsid w:val="000E6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9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9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69BF"/>
    <w:rPr>
      <w:i/>
      <w:iCs/>
      <w:color w:val="404040" w:themeColor="text1" w:themeTint="BF"/>
    </w:rPr>
  </w:style>
  <w:style w:type="paragraph" w:styleId="ListParagraph">
    <w:name w:val="List Paragraph"/>
    <w:basedOn w:val="Normal"/>
    <w:uiPriority w:val="34"/>
    <w:qFormat/>
    <w:rsid w:val="000E69BF"/>
    <w:pPr>
      <w:ind w:left="720"/>
      <w:contextualSpacing/>
    </w:pPr>
  </w:style>
  <w:style w:type="character" w:styleId="IntenseEmphasis">
    <w:name w:val="Intense Emphasis"/>
    <w:basedOn w:val="DefaultParagraphFont"/>
    <w:uiPriority w:val="21"/>
    <w:qFormat/>
    <w:rsid w:val="000E69BF"/>
    <w:rPr>
      <w:i/>
      <w:iCs/>
      <w:color w:val="365F91" w:themeColor="accent1" w:themeShade="BF"/>
    </w:rPr>
  </w:style>
  <w:style w:type="paragraph" w:styleId="IntenseQuote">
    <w:name w:val="Intense Quote"/>
    <w:basedOn w:val="Normal"/>
    <w:next w:val="Normal"/>
    <w:link w:val="IntenseQuoteChar"/>
    <w:uiPriority w:val="30"/>
    <w:qFormat/>
    <w:rsid w:val="000E69B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E69BF"/>
    <w:rPr>
      <w:i/>
      <w:iCs/>
      <w:color w:val="365F91" w:themeColor="accent1" w:themeShade="BF"/>
    </w:rPr>
  </w:style>
  <w:style w:type="character" w:styleId="IntenseReference">
    <w:name w:val="Intense Reference"/>
    <w:basedOn w:val="DefaultParagraphFont"/>
    <w:uiPriority w:val="32"/>
    <w:qFormat/>
    <w:rsid w:val="000E69BF"/>
    <w:rPr>
      <w:b/>
      <w:bCs/>
      <w:smallCaps/>
      <w:color w:val="365F91" w:themeColor="accent1" w:themeShade="BF"/>
      <w:spacing w:val="5"/>
    </w:rPr>
  </w:style>
  <w:style w:type="paragraph" w:styleId="Header">
    <w:name w:val="header"/>
    <w:basedOn w:val="Normal"/>
    <w:link w:val="HeaderChar"/>
    <w:uiPriority w:val="99"/>
    <w:unhideWhenUsed/>
    <w:rsid w:val="00F17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DD"/>
  </w:style>
  <w:style w:type="paragraph" w:styleId="Footer">
    <w:name w:val="footer"/>
    <w:basedOn w:val="Normal"/>
    <w:link w:val="FooterChar"/>
    <w:uiPriority w:val="99"/>
    <w:unhideWhenUsed/>
    <w:rsid w:val="00F17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51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uffieldtrust.org.uk/resource/ambulance-handover-delays" TargetMode="External"/><Relationship Id="rId18" Type="http://schemas.openxmlformats.org/officeDocument/2006/relationships/hyperlink" Target="https://www.england.nhs.uk/long-read/monthly-operational-statistics-september-202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3389/fsoc.2024.1355215" TargetMode="External"/><Relationship Id="rId7" Type="http://schemas.openxmlformats.org/officeDocument/2006/relationships/image" Target="cid:image001.png@01D0EA4A.2BD679A0" TargetMode="External"/><Relationship Id="rId12" Type="http://schemas.openxmlformats.org/officeDocument/2006/relationships/hyperlink" Target="https://aace.org.uk/wp-content/uploads/2021/11/AACE-Delayed-hospital-handovers-Impact-assessment-of-patient-harm-FINAL-Nov-2021.pdf" TargetMode="External"/><Relationship Id="rId17" Type="http://schemas.openxmlformats.org/officeDocument/2006/relationships/hyperlink" Target="https://10.24908/pocus.v7i2.15739"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10.3399/bjgp22X720605" TargetMode="External"/><Relationship Id="rId20" Type="http://schemas.openxmlformats.org/officeDocument/2006/relationships/hyperlink" Target="https://doi.org/10.1093/oxrep/graf00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rincehenryhospitalmuseum.org/international-year-of-the-nurse/bravery-bandages-bedpans/2-1900-1913/the-ambulance-service/" TargetMode="External"/><Relationship Id="rId24" Type="http://schemas.openxmlformats.org/officeDocument/2006/relationships/hyperlink" Target="https://doi.org/10.1080/13619462.2022.2045199" TargetMode="External"/><Relationship Id="rId5" Type="http://schemas.openxmlformats.org/officeDocument/2006/relationships/endnotes" Target="endnotes.xml"/><Relationship Id="rId15" Type="http://schemas.openxmlformats.org/officeDocument/2006/relationships/hyperlink" Target="https://doi.org/10.1093/bmb/ldad024" TargetMode="External"/><Relationship Id="rId23" Type="http://schemas.openxmlformats.org/officeDocument/2006/relationships/hyperlink" Target="https://10.1016/S2468-2667(22)00133-5" TargetMode="External"/><Relationship Id="rId10" Type="http://schemas.openxmlformats.org/officeDocument/2006/relationships/hyperlink" Target="https://www.theguardian.com/commentisfree/2022/jan/11/nhs-ambulance-service-paramedics-patients-waiting-times" TargetMode="External"/><Relationship Id="rId19" Type="http://schemas.openxmlformats.org/officeDocument/2006/relationships/hyperlink" Target="https://www.bmj.com/content/364/bmj.l84"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www.england.nhs.uk/statistics/statistical-work-areas/ambulance-quality-indicators/" TargetMode="External"/><Relationship Id="rId22" Type="http://schemas.openxmlformats.org/officeDocument/2006/relationships/hyperlink" Target="https://doi.org/10.1080/02668734.2025.24906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2327</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2025-11-14T14:03:00Z</dcterms:created>
  <dcterms:modified xsi:type="dcterms:W3CDTF">2025-11-14T14:03:00Z</dcterms:modified>
</cp:coreProperties>
</file>